
<file path=[Content_Types].xml><?xml version="1.0" encoding="utf-8"?>
<Types xmlns="http://schemas.openxmlformats.org/package/2006/content-types">
  <Default Extension="rels" ContentType="application/vnd.openxmlformats-package.relationships+xml"/>
  <Default Extension="xml" ContentType="application/xml"/>
  <Default Extension="wmf" ContentType="image/wmf"/>
  <Default Extension="bin" ContentType="application/vnd.openxmlformats-officedocument.oleObject"/>
  <Default Extension="emf" ContentType="image/emf"/>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黑体" w:eastAsia="黑体" w:cs="黑体" w:hint="eastAsia"/>
          <w:color w:val="auto"/>
          <w:spacing w:val="0"/>
          <w:position w:val="0"/>
          <w:sz w:val="72"/>
          <w:szCs w:val="72"/>
          <w:shd w:val="clear" w:color="auto" w:fill="auto"/>
        </w:rPr>
      </w:pPr>
    </w:p>
    <w:p>
      <w:pPr>
        <w:spacing w:before="0" w:after="0" w:line="360" w:lineRule="auto"/>
        <w:ind w:left="0" w:right="0" w:firstLine="0"/>
        <w:jc w:val="center"/>
        <w:rPr>
          <w:rFonts w:ascii="黑体" w:eastAsia="黑体" w:cs="黑体" w:hint="eastAsia"/>
          <w:color w:val="000000"/>
          <w:spacing w:val="0"/>
          <w:position w:val="0"/>
          <w:sz w:val="72"/>
          <w:szCs w:val="72"/>
          <w:shd w:val="clear" w:color="auto" w:fill="auto"/>
        </w:rPr>
      </w:pPr>
      <w:r>
        <w:rPr>
          <w:rFonts w:ascii="黑体" w:eastAsia="黑体" w:cs="黑体" w:hint="eastAsia"/>
          <w:color w:val="000000"/>
          <w:spacing w:val="0"/>
          <w:position w:val="0"/>
          <w:sz w:val="72"/>
          <w:szCs w:val="72"/>
          <w:shd w:val="clear" w:color="auto" w:fill="auto"/>
        </w:rPr>
        <w:t>2022年度</w:t>
      </w:r>
    </w:p>
    <w:p>
      <w:pPr>
        <w:spacing w:before="0" w:after="0" w:line="360" w:lineRule="auto"/>
        <w:ind w:left="2880" w:right="0" w:hangingChars="400" w:hanging="2880"/>
        <w:jc w:val="both"/>
        <w:rPr>
          <w:rFonts w:ascii="黑体" w:eastAsia="黑体" w:cs="黑体" w:hint="eastAsia"/>
          <w:color w:val="000000"/>
          <w:spacing w:val="0"/>
          <w:position w:val="0"/>
          <w:sz w:val="72"/>
          <w:szCs w:val="72"/>
          <w:shd w:val="clear" w:color="auto" w:fill="auto"/>
        </w:rPr>
      </w:pPr>
      <w:r>
        <w:rPr>
          <w:rFonts w:ascii="黑体" w:eastAsia="黑体" w:cs="黑体" w:hint="eastAsia"/>
          <w:color w:val="000000"/>
          <w:spacing w:val="0"/>
          <w:position w:val="0"/>
          <w:sz w:val="72"/>
          <w:szCs w:val="72"/>
          <w:shd w:val="clear" w:color="auto" w:fill="auto"/>
        </w:rPr>
        <w:t>金川县卫生健康综合行政执法中队</w:t>
      </w:r>
    </w:p>
    <w:p>
      <w:pPr>
        <w:spacing w:before="0" w:after="0" w:line="360" w:lineRule="auto"/>
        <w:ind w:right="0" w:firstLineChars="300" w:firstLine="2160"/>
        <w:jc w:val="both"/>
        <w:rPr>
          <w:rFonts w:ascii="黑体" w:eastAsia="黑体" w:cs="黑体" w:hint="eastAsia"/>
          <w:color w:val="000000"/>
          <w:spacing w:val="0"/>
          <w:position w:val="0"/>
          <w:sz w:val="72"/>
          <w:szCs w:val="72"/>
          <w:shd w:val="clear" w:color="auto" w:fill="auto"/>
        </w:rPr>
      </w:pPr>
      <w:r>
        <w:rPr>
          <w:rFonts w:ascii="黑体" w:eastAsia="黑体" w:cs="黑体" w:hint="eastAsia"/>
          <w:color w:val="000000"/>
          <w:spacing w:val="0"/>
          <w:position w:val="0"/>
          <w:sz w:val="72"/>
          <w:szCs w:val="72"/>
          <w:shd w:val="clear" w:color="auto" w:fill="auto"/>
          <w:lang w:eastAsia="zh-CN"/>
        </w:rPr>
        <w:t>部门</w:t>
      </w:r>
      <w:r>
        <w:rPr>
          <w:rFonts w:ascii="黑体" w:eastAsia="黑体" w:cs="黑体" w:hint="eastAsia"/>
          <w:color w:val="000000"/>
          <w:spacing w:val="0"/>
          <w:position w:val="0"/>
          <w:sz w:val="72"/>
          <w:szCs w:val="72"/>
          <w:shd w:val="clear" w:color="auto" w:fill="auto"/>
        </w:rPr>
        <w:t>决算报告</w:t>
      </w:r>
    </w:p>
    <w:p>
      <w:pPr>
        <w:spacing w:before="0" w:after="0" w:line="240" w:lineRule="auto"/>
        <w:ind w:left="0" w:right="0" w:firstLine="0"/>
        <w:jc w:val="center"/>
        <w:rPr>
          <w:rFonts w:ascii="黑体" w:eastAsia="黑体" w:cs="黑体" w:hint="eastAsia"/>
          <w:color w:val="auto"/>
          <w:spacing w:val="0"/>
          <w:position w:val="0"/>
          <w:sz w:val="72"/>
          <w:szCs w:val="72"/>
          <w:shd w:val="clear" w:color="auto" w:fill="auto"/>
        </w:rPr>
      </w:pP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000000"/>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000000"/>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000000"/>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000000"/>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000000"/>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000000"/>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000000"/>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000000"/>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000000"/>
          <w:spacing w:val="0"/>
          <w:position w:val="0"/>
          <w:sz w:val="44"/>
          <w:szCs w:val="44"/>
          <w:shd w:val="clear" w:color="auto" w:fill="auto"/>
        </w:rPr>
      </w:pPr>
      <w:r>
        <w:rPr>
          <w:rFonts w:ascii="仿宋" w:eastAsia="仿宋" w:cs="仿宋" w:hint="eastAsia"/>
          <w:color w:val="000000"/>
          <w:spacing w:val="0"/>
          <w:position w:val="0"/>
          <w:sz w:val="44"/>
          <w:szCs w:val="44"/>
          <w:shd w:val="clear" w:color="auto" w:fill="auto"/>
        </w:rPr>
        <w:t>目录</w:t>
      </w: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tabs>
          <w:tab w:val="right" w:leader="dot" w:pos="8296"/>
        </w:tabs>
        <w:spacing w:before="93" w:after="0" w:line="240" w:lineRule="auto"/>
        <w:ind w:left="0" w:right="0" w:firstLine="0"/>
        <w:jc w:val="center"/>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第一部分 部门概况</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4</w:t>
      </w:r>
      <w:r>
        <w:rPr>
          <w:rFonts w:ascii="仿宋" w:eastAsia="仿宋" w:cs="仿宋" w:hint="eastAsia"/>
          <w:color w:val="0000FF"/>
          <w:spacing w:val="0"/>
          <w:position w:val="0"/>
          <w:sz w:val="32"/>
          <w:szCs w:val="32"/>
          <w:u w:val="single"/>
          <w:shd w:val="clear" w:color="auto" w:fill="auto"/>
        </w:rPr>
        <w:fldChar w:fldCharType="end"/>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一、基本职能及主要工作</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4</w:t>
      </w:r>
      <w:r>
        <w:rPr>
          <w:rFonts w:ascii="仿宋" w:eastAsia="仿宋" w:cs="仿宋" w:hint="eastAsia"/>
          <w:color w:val="0000FF"/>
          <w:spacing w:val="0"/>
          <w:position w:val="0"/>
          <w:sz w:val="32"/>
          <w:szCs w:val="32"/>
          <w:u w:val="single"/>
          <w:shd w:val="clear" w:color="auto" w:fill="auto"/>
        </w:rPr>
        <w:fldChar w:fldCharType="end"/>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二、机构设置</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5</w:t>
      </w:r>
      <w:r>
        <w:rPr>
          <w:rFonts w:ascii="仿宋" w:eastAsia="仿宋" w:cs="仿宋" w:hint="eastAsia"/>
          <w:color w:val="0000FF"/>
          <w:spacing w:val="0"/>
          <w:position w:val="0"/>
          <w:sz w:val="32"/>
          <w:szCs w:val="32"/>
          <w:u w:val="single"/>
          <w:shd w:val="clear" w:color="auto" w:fill="auto"/>
        </w:rPr>
        <w:fldChar w:fldCharType="end"/>
      </w:r>
    </w:p>
    <w:p>
      <w:pPr>
        <w:tabs>
          <w:tab w:val="right" w:leader="dot" w:pos="8296"/>
        </w:tabs>
        <w:spacing w:before="93" w:after="0" w:line="240" w:lineRule="auto"/>
        <w:ind w:left="0" w:right="0" w:firstLine="0"/>
        <w:jc w:val="center"/>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第二部分 部门决算情况说明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5</w:t>
      </w:r>
      <w:r>
        <w:rPr>
          <w:rFonts w:ascii="仿宋" w:eastAsia="仿宋" w:cs="仿宋" w:hint="eastAsia"/>
          <w:color w:val="0000FF"/>
          <w:spacing w:val="0"/>
          <w:position w:val="0"/>
          <w:sz w:val="32"/>
          <w:szCs w:val="32"/>
          <w:u w:val="single"/>
          <w:shd w:val="clear" w:color="auto" w:fill="auto"/>
        </w:rPr>
        <w:fldChar w:fldCharType="end"/>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一、</w:t>
      </w:r>
      <w:r>
        <w:rPr>
          <w:rFonts w:ascii="仿宋" w:eastAsia="仿宋" w:cs="仿宋" w:hint="eastAsia"/>
          <w:vanish/>
          <w:color w:val="0000FF"/>
          <w:spacing w:val="0"/>
          <w:position w:val="0"/>
          <w:sz w:val="32"/>
          <w:szCs w:val="32"/>
          <w:u w:val="single"/>
          <w:shd w:val="clear" w:color="auto" w:fill="auto"/>
        </w:rPr>
        <w:t>HYPERLINK "#_Toc15396603"</w:t>
      </w:r>
      <w:r>
        <w:rPr>
          <w:rFonts w:ascii="仿宋" w:eastAsia="仿宋" w:cs="仿宋" w:hint="eastAsia"/>
          <w:color w:val="0000FF"/>
          <w:spacing w:val="0"/>
          <w:position w:val="0"/>
          <w:sz w:val="32"/>
          <w:szCs w:val="32"/>
          <w:u w:val="single"/>
          <w:shd w:val="clear" w:color="auto" w:fill="auto"/>
        </w:rPr>
        <w:t>收</w:t>
      </w:r>
      <w:r>
        <w:rPr>
          <w:rFonts w:ascii="仿宋" w:eastAsia="仿宋" w:cs="仿宋" w:hint="eastAsia"/>
          <w:vanish/>
          <w:color w:val="0000FF"/>
          <w:spacing w:val="0"/>
          <w:position w:val="0"/>
          <w:sz w:val="32"/>
          <w:szCs w:val="32"/>
          <w:u w:val="single"/>
          <w:shd w:val="clear" w:color="auto" w:fill="auto"/>
        </w:rPr>
        <w:t>HYPERLINK "#_Toc15396603"</w:t>
      </w:r>
      <w:r>
        <w:rPr>
          <w:rFonts w:ascii="仿宋" w:eastAsia="仿宋" w:cs="仿宋" w:hint="eastAsia"/>
          <w:color w:val="0000FF"/>
          <w:spacing w:val="0"/>
          <w:position w:val="0"/>
          <w:sz w:val="32"/>
          <w:szCs w:val="32"/>
          <w:u w:val="single"/>
          <w:shd w:val="clear" w:color="auto" w:fill="auto"/>
        </w:rPr>
        <w:t>入支出决算总体情况说明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5</w:t>
      </w:r>
      <w:r>
        <w:rPr>
          <w:rFonts w:ascii="仿宋" w:eastAsia="仿宋" w:cs="仿宋" w:hint="eastAsia"/>
          <w:color w:val="0000FF"/>
          <w:spacing w:val="0"/>
          <w:position w:val="0"/>
          <w:sz w:val="32"/>
          <w:szCs w:val="32"/>
          <w:u w:val="single"/>
          <w:shd w:val="clear" w:color="auto" w:fill="auto"/>
        </w:rPr>
        <w:fldChar w:fldCharType="end"/>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二、</w:t>
      </w:r>
      <w:r>
        <w:rPr>
          <w:rFonts w:ascii="仿宋" w:eastAsia="仿宋" w:cs="仿宋" w:hint="eastAsia"/>
          <w:vanish/>
          <w:color w:val="0000FF"/>
          <w:spacing w:val="0"/>
          <w:position w:val="0"/>
          <w:sz w:val="32"/>
          <w:szCs w:val="32"/>
          <w:u w:val="single"/>
          <w:shd w:val="clear" w:color="auto" w:fill="auto"/>
        </w:rPr>
        <w:t>HYPERLINK "#_Toc15396604"</w:t>
      </w:r>
      <w:r>
        <w:rPr>
          <w:rFonts w:ascii="仿宋" w:eastAsia="仿宋" w:cs="仿宋" w:hint="eastAsia"/>
          <w:color w:val="0000FF"/>
          <w:spacing w:val="0"/>
          <w:position w:val="0"/>
          <w:sz w:val="32"/>
          <w:szCs w:val="32"/>
          <w:u w:val="single"/>
          <w:shd w:val="clear" w:color="auto" w:fill="auto"/>
        </w:rPr>
        <w:t>收</w:t>
      </w:r>
      <w:r>
        <w:rPr>
          <w:rFonts w:ascii="仿宋" w:eastAsia="仿宋" w:cs="仿宋" w:hint="eastAsia"/>
          <w:vanish/>
          <w:color w:val="0000FF"/>
          <w:spacing w:val="0"/>
          <w:position w:val="0"/>
          <w:sz w:val="32"/>
          <w:szCs w:val="32"/>
          <w:u w:val="single"/>
          <w:shd w:val="clear" w:color="auto" w:fill="auto"/>
        </w:rPr>
        <w:t>HYPERLINK "#_Toc15396604"</w:t>
      </w:r>
      <w:r>
        <w:rPr>
          <w:rFonts w:ascii="仿宋" w:eastAsia="仿宋" w:cs="仿宋" w:hint="eastAsia"/>
          <w:color w:val="0000FF"/>
          <w:spacing w:val="0"/>
          <w:position w:val="0"/>
          <w:sz w:val="32"/>
          <w:szCs w:val="32"/>
          <w:u w:val="single"/>
          <w:shd w:val="clear" w:color="auto" w:fill="auto"/>
        </w:rPr>
        <w:t>入决算情况说明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6</w:t>
      </w:r>
      <w:r>
        <w:rPr>
          <w:rFonts w:ascii="仿宋" w:eastAsia="仿宋" w:cs="仿宋" w:hint="eastAsia"/>
          <w:color w:val="0000FF"/>
          <w:spacing w:val="0"/>
          <w:position w:val="0"/>
          <w:sz w:val="32"/>
          <w:szCs w:val="32"/>
          <w:u w:val="single"/>
          <w:shd w:val="clear" w:color="auto" w:fill="auto"/>
        </w:rPr>
        <w:fldChar w:fldCharType="end"/>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三、</w:t>
      </w:r>
      <w:r>
        <w:rPr>
          <w:rFonts w:ascii="仿宋" w:eastAsia="仿宋" w:cs="仿宋" w:hint="eastAsia"/>
          <w:vanish/>
          <w:color w:val="0000FF"/>
          <w:spacing w:val="0"/>
          <w:position w:val="0"/>
          <w:sz w:val="32"/>
          <w:szCs w:val="32"/>
          <w:u w:val="single"/>
          <w:shd w:val="clear" w:color="auto" w:fill="auto"/>
        </w:rPr>
        <w:t>HYPERLINK "#_Toc15396605"</w:t>
      </w:r>
      <w:r>
        <w:rPr>
          <w:rFonts w:ascii="仿宋" w:eastAsia="仿宋" w:cs="仿宋" w:hint="eastAsia"/>
          <w:color w:val="0000FF"/>
          <w:spacing w:val="0"/>
          <w:position w:val="0"/>
          <w:sz w:val="32"/>
          <w:szCs w:val="32"/>
          <w:u w:val="single"/>
          <w:shd w:val="clear" w:color="auto" w:fill="auto"/>
        </w:rPr>
        <w:t>支</w:t>
      </w:r>
      <w:r>
        <w:rPr>
          <w:rFonts w:ascii="仿宋" w:eastAsia="仿宋" w:cs="仿宋" w:hint="eastAsia"/>
          <w:vanish/>
          <w:color w:val="0000FF"/>
          <w:spacing w:val="0"/>
          <w:position w:val="0"/>
          <w:sz w:val="32"/>
          <w:szCs w:val="32"/>
          <w:u w:val="single"/>
          <w:shd w:val="clear" w:color="auto" w:fill="auto"/>
        </w:rPr>
        <w:t>HYPERLINK "#_Toc15396605"</w:t>
      </w:r>
      <w:r>
        <w:rPr>
          <w:rFonts w:ascii="仿宋" w:eastAsia="仿宋" w:cs="仿宋" w:hint="eastAsia"/>
          <w:color w:val="0000FF"/>
          <w:spacing w:val="0"/>
          <w:position w:val="0"/>
          <w:sz w:val="32"/>
          <w:szCs w:val="32"/>
          <w:u w:val="single"/>
          <w:shd w:val="clear" w:color="auto" w:fill="auto"/>
        </w:rPr>
        <w:t>出决算情况说明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7</w:t>
      </w:r>
      <w:r>
        <w:rPr>
          <w:rFonts w:ascii="仿宋" w:eastAsia="仿宋" w:cs="仿宋" w:hint="eastAsia"/>
          <w:color w:val="0000FF"/>
          <w:spacing w:val="0"/>
          <w:position w:val="0"/>
          <w:sz w:val="32"/>
          <w:szCs w:val="32"/>
          <w:u w:val="single"/>
          <w:shd w:val="clear" w:color="auto" w:fill="auto"/>
        </w:rPr>
        <w:fldChar w:fldCharType="end"/>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四、财</w:t>
      </w:r>
      <w:r>
        <w:rPr>
          <w:rFonts w:ascii="仿宋" w:eastAsia="仿宋" w:cs="仿宋" w:hint="eastAsia"/>
          <w:vanish/>
          <w:color w:val="0000FF"/>
          <w:spacing w:val="0"/>
          <w:position w:val="0"/>
          <w:sz w:val="32"/>
          <w:szCs w:val="32"/>
          <w:u w:val="single"/>
          <w:shd w:val="clear" w:color="auto" w:fill="auto"/>
        </w:rPr>
        <w:t>HYPERLINK "#_Toc15396606"</w:t>
      </w:r>
      <w:r>
        <w:rPr>
          <w:rFonts w:ascii="仿宋" w:eastAsia="仿宋" w:cs="仿宋" w:hint="eastAsia"/>
          <w:color w:val="0000FF"/>
          <w:spacing w:val="0"/>
          <w:position w:val="0"/>
          <w:sz w:val="32"/>
          <w:szCs w:val="32"/>
          <w:u w:val="single"/>
          <w:shd w:val="clear" w:color="auto" w:fill="auto"/>
        </w:rPr>
        <w:t>政拨款收入支出决算总体情况说明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8</w:t>
      </w:r>
      <w:r>
        <w:rPr>
          <w:rFonts w:ascii="仿宋" w:eastAsia="仿宋" w:cs="仿宋" w:hint="eastAsia"/>
          <w:color w:val="0000FF"/>
          <w:spacing w:val="0"/>
          <w:position w:val="0"/>
          <w:sz w:val="32"/>
          <w:szCs w:val="32"/>
          <w:u w:val="single"/>
          <w:shd w:val="clear" w:color="auto" w:fill="auto"/>
        </w:rPr>
        <w:fldChar w:fldCharType="end"/>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五、一</w:t>
      </w:r>
      <w:r>
        <w:rPr>
          <w:rFonts w:ascii="仿宋" w:eastAsia="仿宋" w:cs="仿宋" w:hint="eastAsia"/>
          <w:vanish/>
          <w:color w:val="0000FF"/>
          <w:spacing w:val="0"/>
          <w:position w:val="0"/>
          <w:sz w:val="32"/>
          <w:szCs w:val="32"/>
          <w:u w:val="single"/>
          <w:shd w:val="clear" w:color="auto" w:fill="auto"/>
        </w:rPr>
        <w:t>HYPERLINK "#_Toc15396607"</w:t>
      </w:r>
      <w:r>
        <w:rPr>
          <w:rFonts w:ascii="仿宋" w:eastAsia="仿宋" w:cs="仿宋" w:hint="eastAsia"/>
          <w:color w:val="0000FF"/>
          <w:spacing w:val="0"/>
          <w:position w:val="0"/>
          <w:sz w:val="32"/>
          <w:szCs w:val="32"/>
          <w:u w:val="single"/>
          <w:shd w:val="clear" w:color="auto" w:fill="auto"/>
        </w:rPr>
        <w:t>般公共预算财政拨款支出决算情况说明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9</w:t>
      </w:r>
      <w:r>
        <w:rPr>
          <w:rFonts w:ascii="仿宋" w:eastAsia="仿宋" w:cs="仿宋" w:hint="eastAsia"/>
          <w:color w:val="0000FF"/>
          <w:spacing w:val="0"/>
          <w:position w:val="0"/>
          <w:sz w:val="32"/>
          <w:szCs w:val="32"/>
          <w:u w:val="single"/>
          <w:shd w:val="clear" w:color="auto" w:fill="auto"/>
        </w:rPr>
        <w:fldChar w:fldCharType="end"/>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五、</w:t>
      </w:r>
      <w:r>
        <w:rPr>
          <w:rFonts w:ascii="仿宋" w:eastAsia="仿宋" w:cs="仿宋" w:hint="eastAsia"/>
          <w:vanish/>
          <w:color w:val="0000FF"/>
          <w:spacing w:val="0"/>
          <w:position w:val="0"/>
          <w:sz w:val="32"/>
          <w:szCs w:val="32"/>
          <w:u w:val="single"/>
          <w:shd w:val="clear" w:color="auto" w:fill="auto"/>
        </w:rPr>
        <w:t>HYPERLINK "#_Toc15396607"</w:t>
      </w:r>
      <w:r>
        <w:rPr>
          <w:rFonts w:ascii="仿宋" w:eastAsia="仿宋" w:cs="仿宋" w:hint="eastAsia"/>
          <w:color w:val="0000FF"/>
          <w:spacing w:val="0"/>
          <w:position w:val="0"/>
          <w:sz w:val="32"/>
          <w:szCs w:val="32"/>
          <w:u w:val="single"/>
          <w:shd w:val="clear" w:color="auto" w:fill="auto"/>
        </w:rPr>
        <w:t>一般公共预算财政拨款基本支出决算情况说明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1</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2</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七、“</w:t>
      </w:r>
      <w:r>
        <w:rPr>
          <w:rFonts w:ascii="仿宋" w:eastAsia="仿宋" w:cs="仿宋" w:hint="eastAsia"/>
          <w:vanish/>
          <w:color w:val="0000FF"/>
          <w:spacing w:val="0"/>
          <w:position w:val="0"/>
          <w:sz w:val="32"/>
          <w:szCs w:val="32"/>
          <w:u w:val="single"/>
          <w:shd w:val="clear" w:color="auto" w:fill="auto"/>
        </w:rPr>
        <w:t>HYPERLINK "#_Toc15396609"</w:t>
      </w:r>
      <w:r>
        <w:rPr>
          <w:rFonts w:ascii="仿宋" w:eastAsia="仿宋" w:cs="仿宋" w:hint="eastAsia"/>
          <w:color w:val="0000FF"/>
          <w:spacing w:val="0"/>
          <w:position w:val="0"/>
          <w:sz w:val="32"/>
          <w:szCs w:val="32"/>
          <w:u w:val="single"/>
          <w:shd w:val="clear" w:color="auto" w:fill="auto"/>
        </w:rPr>
        <w:t>三公”经费财政拨款支出决算情况说明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1</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2</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八、</w:t>
      </w:r>
      <w:r>
        <w:rPr>
          <w:rFonts w:ascii="仿宋" w:eastAsia="仿宋" w:cs="仿宋" w:hint="eastAsia"/>
          <w:vanish/>
          <w:color w:val="0000FF"/>
          <w:spacing w:val="0"/>
          <w:position w:val="0"/>
          <w:sz w:val="32"/>
          <w:szCs w:val="32"/>
          <w:u w:val="single"/>
          <w:shd w:val="clear" w:color="auto" w:fill="auto"/>
        </w:rPr>
        <w:t>HYPERLINK "#_Toc15396610"</w:t>
      </w:r>
      <w:r>
        <w:rPr>
          <w:rFonts w:ascii="仿宋" w:eastAsia="仿宋" w:cs="仿宋" w:hint="eastAsia"/>
          <w:color w:val="0000FF"/>
          <w:spacing w:val="0"/>
          <w:position w:val="0"/>
          <w:sz w:val="32"/>
          <w:szCs w:val="32"/>
          <w:u w:val="single"/>
          <w:shd w:val="clear" w:color="auto" w:fill="auto"/>
        </w:rPr>
        <w:t>政府性基金预算支出决算情况说明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1</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4</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九、</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0000FF"/>
          <w:spacing w:val="0"/>
          <w:position w:val="0"/>
          <w:sz w:val="32"/>
          <w:szCs w:val="32"/>
          <w:u w:val="single"/>
          <w:shd w:val="clear" w:color="auto" w:fill="auto"/>
        </w:rPr>
        <w:t xml:space="preserve"> </w:t>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国</w:t>
      </w:r>
      <w:r>
        <w:rPr>
          <w:rFonts w:ascii="仿宋" w:eastAsia="仿宋" w:cs="仿宋" w:hint="eastAsia"/>
          <w:vanish/>
          <w:color w:val="0000FF"/>
          <w:spacing w:val="0"/>
          <w:position w:val="0"/>
          <w:sz w:val="32"/>
          <w:szCs w:val="32"/>
          <w:u w:val="single"/>
          <w:shd w:val="clear" w:color="auto" w:fill="auto"/>
        </w:rPr>
        <w:t>HYPERLINK "#_Toc15396611"</w:t>
      </w:r>
      <w:r>
        <w:rPr>
          <w:rFonts w:ascii="仿宋" w:eastAsia="仿宋" w:cs="仿宋" w:hint="eastAsia"/>
          <w:color w:val="0000FF"/>
          <w:spacing w:val="0"/>
          <w:position w:val="0"/>
          <w:sz w:val="32"/>
          <w:szCs w:val="32"/>
          <w:u w:val="single"/>
          <w:shd w:val="clear" w:color="auto" w:fill="auto"/>
        </w:rPr>
        <w:t>有资本经营预算支出决算情况说明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1</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4</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十</w:t>
      </w:r>
      <w:r>
        <w:rPr>
          <w:rFonts w:ascii="仿宋" w:eastAsia="仿宋" w:cs="仿宋" w:hint="eastAsia"/>
          <w:vanish/>
          <w:color w:val="0000FF"/>
          <w:spacing w:val="0"/>
          <w:position w:val="0"/>
          <w:sz w:val="32"/>
          <w:szCs w:val="32"/>
          <w:u w:val="single"/>
          <w:shd w:val="clear" w:color="auto" w:fill="auto"/>
        </w:rPr>
        <w:t>HYPERLINK "#_Toc15396612"</w:t>
      </w:r>
      <w:r>
        <w:rPr>
          <w:rFonts w:ascii="仿宋" w:eastAsia="仿宋" w:cs="仿宋" w:hint="eastAsia"/>
          <w:color w:val="0000FF"/>
          <w:spacing w:val="0"/>
          <w:position w:val="0"/>
          <w:sz w:val="32"/>
          <w:szCs w:val="32"/>
          <w:u w:val="single"/>
          <w:shd w:val="clear" w:color="auto" w:fill="auto"/>
        </w:rPr>
        <w:t>、其他重要事项的情况说明</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1</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4</w:t>
      </w:r>
    </w:p>
    <w:p>
      <w:pPr>
        <w:tabs>
          <w:tab w:val="right" w:leader="dot" w:pos="8296"/>
        </w:tabs>
        <w:spacing w:before="93" w:after="0" w:line="240" w:lineRule="auto"/>
        <w:ind w:left="0" w:right="0" w:firstLine="0"/>
        <w:jc w:val="center"/>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第三部分</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0000FF"/>
          <w:spacing w:val="0"/>
          <w:position w:val="0"/>
          <w:sz w:val="32"/>
          <w:szCs w:val="32"/>
          <w:u w:val="single"/>
          <w:shd w:val="clear" w:color="auto" w:fill="auto"/>
        </w:rPr>
        <w:t xml:space="preserve"> </w:t>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名</w:t>
      </w:r>
      <w:r>
        <w:rPr>
          <w:rFonts w:ascii="仿宋" w:eastAsia="仿宋" w:cs="仿宋" w:hint="eastAsia"/>
          <w:vanish/>
          <w:color w:val="0000FF"/>
          <w:spacing w:val="0"/>
          <w:position w:val="0"/>
          <w:sz w:val="32"/>
          <w:szCs w:val="32"/>
          <w:u w:val="single"/>
          <w:shd w:val="clear" w:color="auto" w:fill="auto"/>
        </w:rPr>
        <w:t>HYPERLINK "#_Toc15396613"</w:t>
      </w:r>
      <w:r>
        <w:rPr>
          <w:rFonts w:ascii="仿宋" w:eastAsia="仿宋" w:cs="仿宋" w:hint="eastAsia"/>
          <w:color w:val="0000FF"/>
          <w:spacing w:val="0"/>
          <w:position w:val="0"/>
          <w:sz w:val="32"/>
          <w:szCs w:val="32"/>
          <w:u w:val="single"/>
          <w:shd w:val="clear" w:color="auto" w:fill="auto"/>
        </w:rPr>
        <w:t>词解释</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1</w:t>
      </w:r>
      <w:r>
        <w:rPr>
          <w:rFonts w:ascii="仿宋" w:eastAsia="仿宋" w:cs="仿宋" w:hint="eastAsia"/>
          <w:vanish/>
          <w:color w:val="0000FF"/>
          <w:spacing w:val="0"/>
          <w:position w:val="0"/>
          <w:sz w:val="32"/>
          <w:szCs w:val="32"/>
          <w:u w:val="single"/>
          <w:shd w:val="clear" w:color="auto" w:fill="auto"/>
        </w:rPr>
        <w:t>HYPERLINK "#_Toc15396613"</w:t>
      </w:r>
      <w:r>
        <w:rPr>
          <w:rFonts w:ascii="仿宋" w:eastAsia="仿宋" w:cs="仿宋" w:hint="eastAsia"/>
          <w:color w:val="0000FF"/>
          <w:spacing w:val="0"/>
          <w:position w:val="0"/>
          <w:sz w:val="32"/>
          <w:szCs w:val="32"/>
          <w:u w:val="single"/>
          <w:shd w:val="clear" w:color="auto" w:fill="auto"/>
        </w:rPr>
        <w:t>5</w:t>
      </w:r>
      <w:r>
        <w:rPr>
          <w:rFonts w:ascii="仿宋" w:eastAsia="仿宋" w:cs="仿宋" w:hint="eastAsia"/>
          <w:color w:val="0000FF"/>
          <w:spacing w:val="0"/>
          <w:position w:val="0"/>
          <w:sz w:val="32"/>
          <w:szCs w:val="32"/>
          <w:u w:val="single"/>
          <w:shd w:val="clear" w:color="auto" w:fill="auto"/>
        </w:rPr>
        <w:fldChar w:fldCharType="end"/>
      </w:r>
    </w:p>
    <w:p>
      <w:pPr>
        <w:tabs>
          <w:tab w:val="right" w:leader="dot" w:pos="8296"/>
        </w:tabs>
        <w:spacing w:before="93" w:after="0" w:line="240" w:lineRule="auto"/>
        <w:ind w:left="0" w:right="0" w:firstLine="0"/>
        <w:jc w:val="center"/>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第</w:t>
      </w:r>
      <w:r>
        <w:rPr>
          <w:rFonts w:ascii="仿宋" w:eastAsia="仿宋" w:cs="仿宋" w:hint="eastAsia"/>
          <w:vanish/>
          <w:color w:val="0000FF"/>
          <w:spacing w:val="0"/>
          <w:position w:val="0"/>
          <w:sz w:val="32"/>
          <w:szCs w:val="32"/>
          <w:u w:val="single"/>
          <w:shd w:val="clear" w:color="auto" w:fill="auto"/>
        </w:rPr>
        <w:t>HYPERLINK "#_Toc15396614"</w:t>
      </w:r>
      <w:r>
        <w:rPr>
          <w:rFonts w:ascii="仿宋" w:eastAsia="仿宋" w:cs="仿宋" w:hint="eastAsia"/>
          <w:color w:val="0000FF"/>
          <w:spacing w:val="0"/>
          <w:position w:val="0"/>
          <w:sz w:val="32"/>
          <w:szCs w:val="32"/>
          <w:u w:val="single"/>
          <w:shd w:val="clear" w:color="auto" w:fill="auto"/>
        </w:rPr>
        <w:t>四部分 附件</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18</w:t>
      </w:r>
      <w:r>
        <w:rPr>
          <w:rFonts w:ascii="仿宋" w:eastAsia="仿宋" w:cs="仿宋" w:hint="eastAsia"/>
          <w:color w:val="0000FF"/>
          <w:spacing w:val="0"/>
          <w:position w:val="0"/>
          <w:sz w:val="32"/>
          <w:szCs w:val="32"/>
          <w:u w:val="single"/>
          <w:shd w:val="clear" w:color="auto" w:fill="auto"/>
        </w:rPr>
        <w:fldChar w:fldCharType="end"/>
      </w:r>
    </w:p>
    <w:p>
      <w:pPr>
        <w:tabs>
          <w:tab w:val="right" w:leader="dot" w:pos="8296"/>
        </w:tabs>
        <w:spacing w:before="93" w:after="0" w:line="240" w:lineRule="auto"/>
        <w:ind w:left="0" w:right="0" w:firstLine="0"/>
        <w:jc w:val="center"/>
        <w:rPr>
          <w:rFonts w:ascii="仿宋" w:eastAsia="仿宋" w:cs="仿宋" w:hint="eastAsia"/>
          <w:color w:val="auto"/>
          <w:spacing w:val="0"/>
          <w:position w:val="0"/>
          <w:sz w:val="32"/>
          <w:szCs w:val="32"/>
          <w:shd w:val="clear" w:color="auto" w:fill="auto"/>
        </w:rPr>
      </w:pP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第</w:t>
      </w:r>
      <w:r>
        <w:rPr>
          <w:rFonts w:ascii="仿宋" w:eastAsia="仿宋" w:cs="仿宋" w:hint="eastAsia"/>
          <w:vanish/>
          <w:color w:val="0000FF"/>
          <w:spacing w:val="0"/>
          <w:position w:val="0"/>
          <w:sz w:val="32"/>
          <w:szCs w:val="32"/>
          <w:u w:val="single"/>
          <w:shd w:val="clear" w:color="auto" w:fill="auto"/>
        </w:rPr>
        <w:t>HYPERLINK "#_Toc15396618"</w:t>
      </w:r>
      <w:r>
        <w:rPr>
          <w:rFonts w:ascii="仿宋" w:eastAsia="仿宋" w:cs="仿宋" w:hint="eastAsia"/>
          <w:color w:val="0000FF"/>
          <w:spacing w:val="0"/>
          <w:position w:val="0"/>
          <w:sz w:val="32"/>
          <w:szCs w:val="32"/>
          <w:u w:val="single"/>
          <w:shd w:val="clear" w:color="auto" w:fill="auto"/>
        </w:rPr>
        <w:t>五部分 附表</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4</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一</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收</w:t>
      </w:r>
      <w:r>
        <w:rPr>
          <w:rFonts w:ascii="仿宋" w:eastAsia="仿宋" w:cs="仿宋" w:hint="eastAsia"/>
          <w:vanish/>
          <w:color w:val="0000FF"/>
          <w:spacing w:val="0"/>
          <w:position w:val="0"/>
          <w:sz w:val="32"/>
          <w:szCs w:val="32"/>
          <w:u w:val="single"/>
          <w:shd w:val="clear" w:color="auto" w:fill="auto"/>
        </w:rPr>
        <w:t>HYPERLINK "#_Toc15396620"</w:t>
      </w:r>
      <w:r>
        <w:rPr>
          <w:rFonts w:ascii="仿宋" w:eastAsia="仿宋" w:cs="仿宋" w:hint="eastAsia"/>
          <w:color w:val="0000FF"/>
          <w:spacing w:val="0"/>
          <w:position w:val="0"/>
          <w:sz w:val="32"/>
          <w:szCs w:val="32"/>
          <w:u w:val="single"/>
          <w:shd w:val="clear" w:color="auto" w:fill="auto"/>
        </w:rPr>
        <w:t>入支出决算总表</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二</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收</w:t>
      </w:r>
      <w:r>
        <w:rPr>
          <w:rFonts w:ascii="仿宋" w:eastAsia="仿宋" w:cs="仿宋" w:hint="eastAsia"/>
          <w:vanish/>
          <w:color w:val="0000FF"/>
          <w:spacing w:val="0"/>
          <w:position w:val="0"/>
          <w:sz w:val="32"/>
          <w:szCs w:val="32"/>
          <w:u w:val="single"/>
          <w:shd w:val="clear" w:color="auto" w:fill="auto"/>
        </w:rPr>
        <w:t>HYPERLINK "#_Toc15396621"</w:t>
      </w:r>
      <w:r>
        <w:rPr>
          <w:rFonts w:ascii="仿宋" w:eastAsia="仿宋" w:cs="仿宋" w:hint="eastAsia"/>
          <w:color w:val="0000FF"/>
          <w:spacing w:val="0"/>
          <w:position w:val="0"/>
          <w:sz w:val="32"/>
          <w:szCs w:val="32"/>
          <w:u w:val="single"/>
          <w:shd w:val="clear" w:color="auto" w:fill="auto"/>
        </w:rPr>
        <w:t>入总表</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三</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支</w:t>
      </w:r>
      <w:r>
        <w:rPr>
          <w:rFonts w:ascii="仿宋" w:eastAsia="仿宋" w:cs="仿宋" w:hint="eastAsia"/>
          <w:vanish/>
          <w:color w:val="0000FF"/>
          <w:spacing w:val="0"/>
          <w:position w:val="0"/>
          <w:sz w:val="32"/>
          <w:szCs w:val="32"/>
          <w:u w:val="single"/>
          <w:shd w:val="clear" w:color="auto" w:fill="auto"/>
        </w:rPr>
        <w:t>HYPERLINK "#_Toc15396622"</w:t>
      </w:r>
      <w:r>
        <w:rPr>
          <w:rFonts w:ascii="仿宋" w:eastAsia="仿宋" w:cs="仿宋" w:hint="eastAsia"/>
          <w:color w:val="0000FF"/>
          <w:spacing w:val="0"/>
          <w:position w:val="0"/>
          <w:sz w:val="32"/>
          <w:szCs w:val="32"/>
          <w:u w:val="single"/>
          <w:shd w:val="clear" w:color="auto" w:fill="auto"/>
        </w:rPr>
        <w:t>出总表</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四</w:t>
      </w:r>
      <w:r>
        <w:rPr>
          <w:rFonts w:ascii="仿宋" w:eastAsia="仿宋" w:cs="仿宋" w:hint="eastAsia"/>
          <w:color w:val="auto"/>
          <w:spacing w:val="0"/>
          <w:position w:val="0"/>
          <w:sz w:val="32"/>
          <w:szCs w:val="32"/>
          <w:shd w:val="clear" w:color="auto" w:fill="auto"/>
        </w:rPr>
        <w:t>、</w:t>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财政拨款收入支出决算总表</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五</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财</w:t>
      </w:r>
      <w:r>
        <w:rPr>
          <w:rFonts w:ascii="仿宋" w:eastAsia="仿宋" w:cs="仿宋" w:hint="eastAsia"/>
          <w:vanish/>
          <w:color w:val="0000FF"/>
          <w:spacing w:val="0"/>
          <w:position w:val="0"/>
          <w:sz w:val="32"/>
          <w:szCs w:val="32"/>
          <w:u w:val="single"/>
          <w:shd w:val="clear" w:color="auto" w:fill="auto"/>
        </w:rPr>
        <w:t>HYPERLINK "#_Toc15396624"</w:t>
      </w:r>
      <w:r>
        <w:rPr>
          <w:rFonts w:ascii="仿宋" w:eastAsia="仿宋" w:cs="仿宋" w:hint="eastAsia"/>
          <w:color w:val="0000FF"/>
          <w:spacing w:val="0"/>
          <w:position w:val="0"/>
          <w:sz w:val="32"/>
          <w:szCs w:val="32"/>
          <w:u w:val="single"/>
          <w:shd w:val="clear" w:color="auto" w:fill="auto"/>
        </w:rPr>
        <w:t>政拨款支出决算明细表（政府经济分类科目）</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六</w:t>
      </w:r>
      <w:r>
        <w:rPr>
          <w:rFonts w:ascii="仿宋" w:eastAsia="仿宋" w:cs="仿宋" w:hint="eastAsia"/>
          <w:color w:val="auto"/>
          <w:spacing w:val="0"/>
          <w:position w:val="0"/>
          <w:sz w:val="32"/>
          <w:szCs w:val="32"/>
          <w:shd w:val="clear" w:color="auto" w:fill="auto"/>
        </w:rPr>
        <w:t>、</w:t>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一般公共预算财政拨款支出决算表</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七</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一</w:t>
      </w:r>
      <w:r>
        <w:rPr>
          <w:rFonts w:ascii="仿宋" w:eastAsia="仿宋" w:cs="仿宋" w:hint="eastAsia"/>
          <w:vanish/>
          <w:color w:val="0000FF"/>
          <w:spacing w:val="0"/>
          <w:position w:val="0"/>
          <w:sz w:val="32"/>
          <w:szCs w:val="32"/>
          <w:u w:val="single"/>
          <w:shd w:val="clear" w:color="auto" w:fill="auto"/>
        </w:rPr>
        <w:t>HYPERLINK "#_Toc15396626"</w:t>
      </w:r>
      <w:r>
        <w:rPr>
          <w:rFonts w:ascii="仿宋" w:eastAsia="仿宋" w:cs="仿宋" w:hint="eastAsia"/>
          <w:color w:val="0000FF"/>
          <w:spacing w:val="0"/>
          <w:position w:val="0"/>
          <w:sz w:val="32"/>
          <w:szCs w:val="32"/>
          <w:u w:val="single"/>
          <w:shd w:val="clear" w:color="auto" w:fill="auto"/>
        </w:rPr>
        <w:t>般公共预算财政拨款支出决算明细表</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八</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一</w:t>
      </w:r>
      <w:r>
        <w:rPr>
          <w:rFonts w:ascii="仿宋" w:eastAsia="仿宋" w:cs="仿宋" w:hint="eastAsia"/>
          <w:vanish/>
          <w:color w:val="0000FF"/>
          <w:spacing w:val="0"/>
          <w:position w:val="0"/>
          <w:sz w:val="32"/>
          <w:szCs w:val="32"/>
          <w:u w:val="single"/>
          <w:shd w:val="clear" w:color="auto" w:fill="auto"/>
        </w:rPr>
        <w:t>HYPERLINK "#_Toc15396627"</w:t>
      </w:r>
      <w:r>
        <w:rPr>
          <w:rFonts w:ascii="仿宋" w:eastAsia="仿宋" w:cs="仿宋" w:hint="eastAsia"/>
          <w:color w:val="0000FF"/>
          <w:spacing w:val="0"/>
          <w:position w:val="0"/>
          <w:sz w:val="32"/>
          <w:szCs w:val="32"/>
          <w:u w:val="single"/>
          <w:shd w:val="clear" w:color="auto" w:fill="auto"/>
        </w:rPr>
        <w:t>般公共预算财政拨款基本支出决算表</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lang w:eastAsia="zh-CN"/>
        </w:rPr>
        <w:t>九</w:t>
      </w:r>
      <w:r>
        <w:rPr>
          <w:rFonts w:ascii="仿宋" w:eastAsia="仿宋" w:cs="仿宋" w:hint="eastAsia"/>
          <w:color w:val="auto"/>
          <w:spacing w:val="0"/>
          <w:position w:val="0"/>
          <w:sz w:val="32"/>
          <w:szCs w:val="32"/>
          <w:shd w:val="clear" w:color="auto" w:fill="auto"/>
        </w:rPr>
        <w:t>、</w:t>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一般公共预算财政拨款项目支出决算表</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十、</w:t>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一般公共预算财政拨款“三公”经费支出决算表</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十</w:t>
      </w:r>
      <w:r>
        <w:rPr>
          <w:rFonts w:ascii="仿宋" w:eastAsia="仿宋" w:cs="仿宋" w:hint="eastAsia"/>
          <w:color w:val="000000"/>
          <w:spacing w:val="0"/>
          <w:position w:val="0"/>
          <w:sz w:val="32"/>
          <w:szCs w:val="32"/>
          <w:shd w:val="clear" w:color="auto" w:fill="auto"/>
          <w:lang w:eastAsia="zh-CN"/>
        </w:rPr>
        <w:t>一</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政府性基金预算财政拨款收入支出决算表</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十</w:t>
      </w:r>
      <w:r>
        <w:rPr>
          <w:rFonts w:ascii="仿宋" w:eastAsia="仿宋" w:cs="仿宋" w:hint="eastAsia"/>
          <w:color w:val="auto"/>
          <w:spacing w:val="0"/>
          <w:position w:val="0"/>
          <w:sz w:val="32"/>
          <w:szCs w:val="32"/>
          <w:shd w:val="clear" w:color="auto" w:fill="auto"/>
          <w:lang w:eastAsia="zh-CN"/>
        </w:rPr>
        <w:t>二</w:t>
      </w:r>
      <w:r>
        <w:rPr>
          <w:rFonts w:ascii="仿宋" w:eastAsia="仿宋" w:cs="仿宋" w:hint="eastAsia"/>
          <w:color w:val="auto"/>
          <w:spacing w:val="0"/>
          <w:position w:val="0"/>
          <w:sz w:val="32"/>
          <w:szCs w:val="32"/>
          <w:shd w:val="clear" w:color="auto" w:fill="auto"/>
        </w:rPr>
        <w:t>、</w:t>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政府性基金预算财政拨“三公”经费支出决算表</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十</w:t>
      </w:r>
      <w:r>
        <w:rPr>
          <w:rFonts w:ascii="仿宋" w:eastAsia="仿宋" w:cs="仿宋" w:hint="eastAsia"/>
          <w:color w:val="auto"/>
          <w:spacing w:val="0"/>
          <w:position w:val="0"/>
          <w:sz w:val="32"/>
          <w:szCs w:val="32"/>
          <w:shd w:val="clear" w:color="auto" w:fill="auto"/>
          <w:lang w:eastAsia="zh-CN"/>
        </w:rPr>
        <w:t>三</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国</w:t>
      </w:r>
      <w:r>
        <w:rPr>
          <w:rFonts w:ascii="仿宋" w:eastAsia="仿宋" w:cs="仿宋" w:hint="eastAsia"/>
          <w:vanish/>
          <w:color w:val="0000FF"/>
          <w:spacing w:val="0"/>
          <w:position w:val="0"/>
          <w:sz w:val="32"/>
          <w:szCs w:val="32"/>
          <w:u w:val="single"/>
          <w:shd w:val="clear" w:color="auto" w:fill="auto"/>
        </w:rPr>
        <w:t>HYPERLINK "#_Toc15396629"</w:t>
      </w:r>
      <w:r>
        <w:rPr>
          <w:rFonts w:ascii="仿宋" w:eastAsia="仿宋" w:cs="仿宋" w:hint="eastAsia"/>
          <w:color w:val="0000FF"/>
          <w:spacing w:val="0"/>
          <w:position w:val="0"/>
          <w:sz w:val="32"/>
          <w:szCs w:val="32"/>
          <w:u w:val="single"/>
          <w:shd w:val="clear" w:color="auto" w:fill="auto"/>
        </w:rPr>
        <w:t>有资本经营财政拨款收入支出决算表</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tabs>
          <w:tab w:val="right" w:leader="dot" w:pos="8496"/>
        </w:tabs>
        <w:spacing w:before="0" w:after="0" w:line="240" w:lineRule="auto"/>
        <w:ind w:left="42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十</w:t>
      </w:r>
      <w:r>
        <w:rPr>
          <w:rFonts w:ascii="仿宋" w:eastAsia="仿宋" w:cs="仿宋" w:hint="eastAsia"/>
          <w:color w:val="auto"/>
          <w:spacing w:val="0"/>
          <w:position w:val="0"/>
          <w:sz w:val="32"/>
          <w:szCs w:val="32"/>
          <w:shd w:val="clear" w:color="auto" w:fill="auto"/>
          <w:lang w:eastAsia="zh-CN"/>
        </w:rPr>
        <w:t>四</w:t>
      </w:r>
      <w:r>
        <w:rPr>
          <w:rFonts w:ascii="仿宋" w:eastAsia="仿宋" w:cs="仿宋" w:hint="eastAsia"/>
          <w:color w:val="auto"/>
          <w:spacing w:val="0"/>
          <w:position w:val="0"/>
          <w:sz w:val="32"/>
          <w:szCs w:val="32"/>
          <w:shd w:val="clear" w:color="auto" w:fill="auto"/>
        </w:rPr>
        <w:t>、</w:t>
      </w:r>
      <w:r>
        <w:rPr>
          <w:rFonts w:ascii="仿宋" w:eastAsia="仿宋" w:cs="仿宋" w:hint="eastAsia"/>
          <w:color w:val="000000"/>
          <w:spacing w:val="0"/>
          <w:position w:val="0"/>
          <w:sz w:val="32"/>
          <w:szCs w:val="32"/>
          <w:u w:val="single"/>
          <w:shd w:val="clear" w:color="auto" w:fill="auto"/>
        </w:rPr>
        <w:fldChar w:fldCharType="begin"/>
      </w:r>
      <w:r>
        <w:instrText>HYPERLINK  \l " "</w:instrText>
      </w:r>
      <w:r>
        <w:rPr>
          <w:rFonts w:ascii="仿宋" w:eastAsia="仿宋" w:cs="仿宋" w:hint="eastAsia"/>
          <w:color w:val="000000"/>
          <w:spacing w:val="0"/>
          <w:position w:val="0"/>
          <w:sz w:val="32"/>
          <w:szCs w:val="32"/>
          <w:u w:val="single"/>
          <w:shd w:val="clear" w:color="auto" w:fill="auto"/>
        </w:rPr>
        <w:fldChar w:fldCharType="separate"/>
      </w:r>
      <w:r>
        <w:rPr>
          <w:rFonts w:ascii="仿宋" w:eastAsia="仿宋" w:cs="仿宋" w:hint="eastAsia"/>
          <w:color w:val="000000"/>
          <w:spacing w:val="0"/>
          <w:position w:val="0"/>
          <w:sz w:val="32"/>
          <w:szCs w:val="32"/>
          <w:u w:val="single"/>
          <w:shd w:val="clear" w:color="auto" w:fill="auto"/>
        </w:rPr>
        <w:t>国</w:t>
      </w:r>
      <w:r>
        <w:rPr>
          <w:rFonts w:ascii="仿宋" w:eastAsia="仿宋" w:cs="仿宋" w:hint="eastAsia"/>
          <w:vanish/>
          <w:color w:val="0000FF"/>
          <w:spacing w:val="0"/>
          <w:position w:val="0"/>
          <w:sz w:val="32"/>
          <w:szCs w:val="32"/>
          <w:u w:val="single"/>
          <w:shd w:val="clear" w:color="auto" w:fill="auto"/>
        </w:rPr>
        <w:t>HYPERLINK "#_Toc15396629"</w:t>
      </w:r>
      <w:r>
        <w:rPr>
          <w:rFonts w:ascii="仿宋" w:eastAsia="仿宋" w:cs="仿宋" w:hint="eastAsia"/>
          <w:color w:val="0000FF"/>
          <w:spacing w:val="0"/>
          <w:position w:val="0"/>
          <w:sz w:val="32"/>
          <w:szCs w:val="32"/>
          <w:u w:val="single"/>
          <w:shd w:val="clear" w:color="auto" w:fill="auto"/>
        </w:rPr>
        <w:t>有资本经营财政拨款支出决算表</w:t>
      </w:r>
      <w:r>
        <w:rPr>
          <w:rFonts w:ascii="仿宋" w:eastAsia="仿宋" w:cs="仿宋" w:hint="eastAsia"/>
          <w:color w:val="000000"/>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ab/>
      </w:r>
      <w:r>
        <w:rPr>
          <w:rFonts w:ascii="仿宋" w:eastAsia="仿宋" w:cs="仿宋" w:hint="eastAsia"/>
          <w:color w:val="0000FF"/>
          <w:spacing w:val="0"/>
          <w:position w:val="0"/>
          <w:sz w:val="32"/>
          <w:szCs w:val="32"/>
          <w:u w:val="single"/>
          <w:shd w:val="clear" w:color="auto" w:fill="auto"/>
        </w:rPr>
        <w:fldChar w:fldCharType="begin"/>
      </w:r>
      <w:r>
        <w:instrText>HYPERLINK  \l " "</w:instrText>
      </w:r>
      <w:r>
        <w:rPr>
          <w:rFonts w:ascii="仿宋" w:eastAsia="仿宋" w:cs="仿宋" w:hint="eastAsia"/>
          <w:color w:val="0000FF"/>
          <w:spacing w:val="0"/>
          <w:position w:val="0"/>
          <w:sz w:val="32"/>
          <w:szCs w:val="32"/>
          <w:u w:val="single"/>
          <w:shd w:val="clear" w:color="auto" w:fill="auto"/>
        </w:rPr>
        <w:fldChar w:fldCharType="separate"/>
      </w:r>
      <w:r>
        <w:rPr>
          <w:rFonts w:ascii="仿宋" w:eastAsia="仿宋" w:cs="仿宋" w:hint="eastAsia"/>
          <w:color w:val="0000FF"/>
          <w:spacing w:val="0"/>
          <w:position w:val="0"/>
          <w:sz w:val="32"/>
          <w:szCs w:val="32"/>
          <w:u w:val="single"/>
          <w:shd w:val="clear" w:color="auto" w:fill="auto"/>
        </w:rPr>
        <w:t>2</w:t>
      </w:r>
      <w:r>
        <w:rPr>
          <w:rFonts w:ascii="仿宋" w:eastAsia="仿宋" w:cs="仿宋" w:hint="eastAsia"/>
          <w:color w:val="0000FF"/>
          <w:spacing w:val="0"/>
          <w:position w:val="0"/>
          <w:sz w:val="32"/>
          <w:szCs w:val="32"/>
          <w:u w:val="single"/>
          <w:shd w:val="clear" w:color="auto" w:fill="auto"/>
        </w:rPr>
        <w:fldChar w:fldCharType="end"/>
      </w:r>
      <w:r>
        <w:rPr>
          <w:rFonts w:ascii="仿宋" w:eastAsia="仿宋" w:cs="仿宋" w:hint="eastAsia"/>
          <w:color w:val="auto"/>
          <w:spacing w:val="0"/>
          <w:position w:val="0"/>
          <w:sz w:val="32"/>
          <w:szCs w:val="32"/>
          <w:shd w:val="clear" w:color="auto" w:fill="auto"/>
        </w:rPr>
        <w:t>5</w:t>
      </w:r>
    </w:p>
    <w:p>
      <w:pPr>
        <w:spacing w:before="0" w:after="0" w:line="240" w:lineRule="auto"/>
        <w:ind w:left="0" w:right="0" w:firstLine="0"/>
        <w:jc w:val="left"/>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left"/>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left"/>
        <w:rPr>
          <w:rFonts w:ascii="仿宋" w:eastAsia="仿宋" w:cs="仿宋" w:hint="eastAsia"/>
          <w:color w:val="auto"/>
          <w:spacing w:val="0"/>
          <w:position w:val="0"/>
          <w:sz w:val="32"/>
          <w:szCs w:val="32"/>
          <w:shd w:val="clear" w:color="auto" w:fill="auto"/>
        </w:rPr>
      </w:pPr>
    </w:p>
    <w:p>
      <w:pPr>
        <w:spacing w:before="340" w:after="330" w:line="576" w:lineRule="auto"/>
        <w:ind w:left="0" w:right="0" w:firstLine="0"/>
        <w:jc w:val="center"/>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第一部分 部门概况</w:t>
      </w:r>
    </w:p>
    <w:p>
      <w:pPr>
        <w:spacing w:before="0" w:after="0" w:line="240" w:lineRule="auto"/>
        <w:ind w:left="640" w:right="0" w:hanging="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一、基</w:t>
      </w:r>
      <w:r>
        <w:rPr>
          <w:rFonts w:ascii="仿宋" w:eastAsia="仿宋" w:cs="仿宋" w:hint="eastAsia"/>
          <w:color w:val="auto"/>
          <w:spacing w:val="0"/>
          <w:position w:val="0"/>
          <w:sz w:val="32"/>
          <w:szCs w:val="32"/>
          <w:shd w:val="clear" w:color="auto" w:fill="auto"/>
        </w:rPr>
        <w:t>本职能及主要工作</w:t>
      </w:r>
    </w:p>
    <w:p>
      <w:pPr>
        <w:spacing w:before="0" w:after="0" w:line="240" w:lineRule="auto"/>
        <w:ind w:left="642" w:right="0" w:hanging="321"/>
        <w:jc w:val="both"/>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（一）主要职能</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贯彻落实国家关于卫生健康工作的方针政策和法律法规。负责起草卫生健康、中医药事业发展的地方性法规和县政府规章草案，拟定政策规划，制定地方标准的技术规范。负责协调推进全县医药卫生体制改革和医疗保障，统筹规划全县卫生健康服务资源配置，指导区域卫生健康规划的编制和实施。</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依法依规履行卫生健康行业安全生产监管职责。负责县职责范围内的生态环境保护、审批服务便民化等工作。</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拟定全县医疗机构、医疗服务行业管理办法并监督实施，建立医疗服务评价和监督管理体系。负责医疗机构、人员和行为的日常监管。</w:t>
      </w:r>
    </w:p>
    <w:p>
      <w:pPr>
        <w:spacing w:before="0" w:after="0" w:line="240" w:lineRule="auto"/>
        <w:ind w:left="0" w:right="0" w:firstLine="321"/>
        <w:jc w:val="both"/>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（二）2022年重点工作完成情况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2022年我单位继续坚持积极稳妥，收入预算与经济发展相协调；坚持民生优先，继续加大民生投入；坚持厉行节约，努力降低行政成本；坚持改革创新，着力提高财政绩效。全面完成2022年各项工作，取得了实效。</w:t>
      </w: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二、机构设置</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金川县卫生健康综合行政执法中队，独立编制机构数1个，独立核算机构数1个，为行政单位；我单位2022年末实有人数6人，其中：参照公务员法管理参公人员6人。</w:t>
      </w:r>
    </w:p>
    <w:p>
      <w:pPr>
        <w:spacing w:before="340" w:after="330" w:line="576" w:lineRule="auto"/>
        <w:ind w:left="0" w:right="440" w:firstLine="0"/>
        <w:jc w:val="right"/>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第二部分</w:t>
      </w:r>
      <w:r>
        <w:rPr>
          <w:rFonts w:ascii="仿宋" w:eastAsia="仿宋" w:cs="仿宋" w:hint="eastAsia"/>
          <w:b/>
          <w:color w:val="000000"/>
          <w:spacing w:val="0"/>
          <w:position w:val="0"/>
          <w:sz w:val="32"/>
          <w:szCs w:val="32"/>
          <w:shd w:val="clear" w:color="auto" w:fill="auto"/>
        </w:rPr>
        <w:t xml:space="preserve"> </w:t>
      </w:r>
      <w:r>
        <w:rPr>
          <w:rFonts w:ascii="仿宋" w:eastAsia="仿宋" w:cs="仿宋" w:hint="eastAsia"/>
          <w:color w:val="auto"/>
          <w:spacing w:val="0"/>
          <w:position w:val="0"/>
          <w:sz w:val="32"/>
          <w:szCs w:val="32"/>
          <w:shd w:val="clear" w:color="auto" w:fill="auto"/>
        </w:rPr>
        <w:t>2022年度部门决算情况说明</w:t>
      </w:r>
    </w:p>
    <w:p>
      <w:pPr>
        <w:numPr>
          <w:ilvl w:val="0"/>
          <w:numId w:val="1"/>
        </w:num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收</w:t>
      </w:r>
      <w:r>
        <w:rPr>
          <w:rFonts w:ascii="仿宋" w:eastAsia="仿宋" w:cs="仿宋" w:hint="eastAsia"/>
          <w:color w:val="auto"/>
          <w:spacing w:val="0"/>
          <w:position w:val="0"/>
          <w:sz w:val="32"/>
          <w:szCs w:val="32"/>
          <w:shd w:val="clear" w:color="auto" w:fill="auto"/>
        </w:rPr>
        <w:t>入支出决算总体情况说明</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2022年度总收入115.866554万元，较上年收入增加了115.866554万元，同比增加100%，增加的主要原因为机构改革，无上一年数据作比较。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sz w:val="32"/>
          <w:szCs w:val="32"/>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0.24997pt;height:227.25pt;" o:ole="">
            <v:stroke color="#000000"/>
            <v:imagedata r:id="rId3" o:title="image1"/>
            <o:lock aspectratio="t"/>
            <w10:anchorLock/>
          </v:shape>
          <o:OLEObject Type="Embed" ProgID="Package" ShapeID="_x0000_i1" DrawAspect="Content" ObjectID="_1393063351" r:id="rId4"/>
        </w:objec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2022年总支出115.866554万元，较上年支出增加了   115.866554万元，同比增加100%，主要原因为机构改革，无上一年数据。</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sz w:val="32"/>
          <w:szCs w:val="32"/>
        </w:rPr>
        <w:object>
          <v:shape id="_x0000_i2" type="#_x0000_t75" filled="f" stroked="f" style="width:410.24997pt;height:180.7pt;" o:ole="">
            <v:stroke color="#000000"/>
            <v:imagedata r:id="rId5" o:title="image2"/>
            <o:lock aspectratio="t"/>
            <w10:anchorLock/>
          </v:shape>
          <o:OLEObject Type="Embed" ProgID="Package" ShapeID="_x0000_i2" DrawAspect="Content" ObjectID="_1393063352" r:id="rId6"/>
        </w:objec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二、收入决</w:t>
      </w:r>
      <w:r>
        <w:rPr>
          <w:rFonts w:ascii="仿宋" w:eastAsia="仿宋" w:cs="仿宋" w:hint="eastAsia"/>
          <w:color w:val="auto"/>
          <w:spacing w:val="0"/>
          <w:position w:val="0"/>
          <w:sz w:val="32"/>
          <w:szCs w:val="32"/>
          <w:shd w:val="clear" w:color="auto" w:fill="auto"/>
        </w:rPr>
        <w:t>算情况说明</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总收入115.866554万元，其中：一般财政拨款收入115.866554万元，占总收入的100%；政府性基金预算财政拨款收入0万元，占总收入的0%；国有资本经营预算财政拨款收入0万元，占总收入的0%；事业收入0万元，占总收入的0%；经营收入0万元，占总收入的0%；附属单位上缴收入0万元，占总收入的0%；其他收入0万元，占总收入的0%</w:t>
      </w: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sz w:val="32"/>
          <w:szCs w:val="32"/>
        </w:rPr>
        <w:object>
          <v:shape id="_x0000_i3" type="#_x0000_t75" filled="f" stroked="f" style="width:429.75pt;height:236.19998pt;" o:ole="">
            <v:stroke color="#000000"/>
            <v:imagedata r:id="rId7" o:title="image3"/>
            <o:lock aspectratio="t"/>
            <w10:anchorLock/>
          </v:shape>
          <o:OLEObject Type="Embed" ProgID="Package" ShapeID="_x0000_i3" DrawAspect="Content" ObjectID="_1393063353" r:id="rId8"/>
        </w:object>
      </w: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三、支出决</w:t>
      </w:r>
      <w:r>
        <w:rPr>
          <w:rFonts w:ascii="仿宋" w:eastAsia="仿宋" w:cs="仿宋" w:hint="eastAsia"/>
          <w:color w:val="auto"/>
          <w:spacing w:val="0"/>
          <w:position w:val="0"/>
          <w:sz w:val="32"/>
          <w:szCs w:val="32"/>
          <w:shd w:val="clear" w:color="auto" w:fill="auto"/>
        </w:rPr>
        <w:t>算情况说明</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金川县卫生健康综合行政执法中队本年支出合计115.866554万元，其中：教育支出0万元，社会保障和就业支出13.493568万元，卫生健康支出94.450586万元，农林水支出0万元，住房保障支出7.9224万元，其他支出0万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其中基本支出：115.866554万元，占100%；项目支出：0万元，占0%。上缴上级支出0万元，占0%；经营支出0万元，占0%；对附属单位补助支出0万元，占0%。</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sz w:val="32"/>
          <w:szCs w:val="32"/>
        </w:rPr>
        <w:object>
          <v:shape id="_x0000_i4" type="#_x0000_t75" filled="f" stroked="f" style="width:326.2pt;height:189.75pt;" o:ole="">
            <v:stroke color="#000000"/>
            <v:imagedata r:id="rId9" o:title="image4"/>
            <o:lock aspectratio="t"/>
            <w10:anchorLock/>
          </v:shape>
          <o:OLEObject Type="Embed" ProgID="Package" ShapeID="_x0000_i4" DrawAspect="Content" ObjectID="_1393063354" r:id="rId10"/>
        </w:objec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1"/>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四、财</w:t>
      </w:r>
      <w:r>
        <w:rPr>
          <w:rFonts w:ascii="仿宋" w:eastAsia="仿宋" w:cs="仿宋" w:hint="eastAsia"/>
          <w:color w:val="auto"/>
          <w:spacing w:val="0"/>
          <w:position w:val="0"/>
          <w:sz w:val="32"/>
          <w:szCs w:val="32"/>
          <w:shd w:val="clear" w:color="auto" w:fill="auto"/>
        </w:rPr>
        <w:t>政拨款收入支出决算总体情况说明</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2022年财政拨款收入115.866554万元。与2021年相比，一般公共预算财政拨款收入较上年增加115.866554万元，同比增加100%。原因是机构改革，无上一年数据作比较。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sz w:val="32"/>
          <w:szCs w:val="32"/>
        </w:rPr>
        <w:object>
          <v:shape id="_x0000_i5" type="#_x0000_t75" filled="f" stroked="f" style="width:410.24997pt;height:227.25pt;" o:ole="">
            <v:stroke color="#000000"/>
            <v:imagedata r:id="rId11" o:title="image5"/>
            <o:lock aspectratio="t"/>
            <w10:anchorLock/>
          </v:shape>
          <o:OLEObject Type="Embed" ProgID="Package" ShapeID="_x0000_i5" DrawAspect="Content" ObjectID="_1393063355" r:id="rId12"/>
        </w:objec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2022年金川县卫生健康综合行政执法中队支出了115.866554万元，较上年支出增加了115.866554万元，同比增加100%，主要原因为机构改革，无上一年数据作比较。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sz w:val="32"/>
          <w:szCs w:val="32"/>
        </w:rPr>
        <w:object>
          <v:shape id="_x0000_i6" type="#_x0000_t75" filled="f" stroked="f" style="width:410.24997pt;height:176.95pt;" o:ole="">
            <v:stroke color="#000000"/>
            <v:imagedata r:id="rId13" o:title="image2"/>
            <o:lock aspectratio="t"/>
            <w10:anchorLock/>
          </v:shape>
          <o:OLEObject Type="Embed" ProgID="Package" ShapeID="_x0000_i6" DrawAspect="Content" ObjectID="_1393063356" r:id="rId14"/>
        </w:objec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五、</w:t>
      </w:r>
      <w:r>
        <w:rPr>
          <w:rFonts w:ascii="仿宋" w:eastAsia="仿宋" w:cs="仿宋" w:hint="eastAsia"/>
          <w:b/>
          <w:color w:val="000000"/>
          <w:spacing w:val="0"/>
          <w:position w:val="0"/>
          <w:sz w:val="32"/>
          <w:szCs w:val="32"/>
          <w:shd w:val="clear" w:color="auto" w:fill="auto"/>
        </w:rPr>
        <w:t>一</w:t>
      </w:r>
      <w:r>
        <w:rPr>
          <w:rFonts w:ascii="仿宋" w:eastAsia="仿宋" w:cs="仿宋" w:hint="eastAsia"/>
          <w:color w:val="auto"/>
          <w:spacing w:val="0"/>
          <w:position w:val="0"/>
          <w:sz w:val="32"/>
          <w:szCs w:val="32"/>
          <w:shd w:val="clear" w:color="auto" w:fill="auto"/>
        </w:rPr>
        <w:t>般公共预算财政拨款支出决算情况说明</w:t>
      </w:r>
    </w:p>
    <w:p>
      <w:pPr>
        <w:spacing w:before="0" w:after="0" w:line="240" w:lineRule="auto"/>
        <w:ind w:left="0" w:right="0" w:firstLine="643"/>
        <w:jc w:val="both"/>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（一）一般公共预算财政拨款支出决算总体情况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2022年一般公共预算财政拨款支出115.866554万元，占本年总支出的100%。与2021年相比，一般公共预算财政拨款支出增加了115.866554万元，增加100%，主要原因机构改革，无上一年数据作比较。</w:t>
      </w:r>
    </w:p>
    <w:p>
      <w:pPr>
        <w:spacing w:before="0" w:after="0" w:line="240" w:lineRule="auto"/>
        <w:ind w:left="0" w:right="0" w:firstLine="643"/>
        <w:jc w:val="both"/>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（二）一般公共预算财政拨款支出决算结构情况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金川县卫生健康综合行政执法中队本年支出合计115.866554万元，其中：教育支出0万元，社会保障和就业支出13.493568万元，卫生健康支出94.450586万元，农林水支出0万元，住房保障支出7.9224万元，其他支出0万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8353"/>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sz w:val="32"/>
          <w:szCs w:val="32"/>
        </w:rPr>
        <w:object>
          <v:shape id="_x0000_i7" type="#_x0000_t75" filled="f" stroked="f" style="width:326.2pt;height:189.75pt;" o:ole="">
            <v:stroke color="#000000"/>
            <v:imagedata r:id="rId15" o:title="image4"/>
            <o:lock aspectratio="t"/>
            <w10:anchorLock/>
          </v:shape>
          <o:OLEObject Type="Embed" ProgID="Package" ShapeID="_x0000_i7" DrawAspect="Content" ObjectID="_1393063357" r:id="rId16"/>
        </w:object>
      </w: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（三）一般公共预算财政拨款支出决算具体情况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 xml:space="preserve"> </w:t>
      </w:r>
      <w:r>
        <w:rPr>
          <w:rFonts w:ascii="仿宋" w:eastAsia="仿宋" w:cs="仿宋" w:hint="eastAsia"/>
          <w:color w:val="auto"/>
          <w:spacing w:val="0"/>
          <w:position w:val="0"/>
          <w:sz w:val="32"/>
          <w:szCs w:val="32"/>
          <w:shd w:val="clear" w:color="auto" w:fill="auto"/>
        </w:rPr>
        <w:t>2022年一般公共预算支出决算数为115.866554万元，完成预算100%，其中：</w:t>
      </w:r>
    </w:p>
    <w:p>
      <w:pPr>
        <w:spacing w:before="0" w:after="0" w:line="240" w:lineRule="auto"/>
        <w:ind w:left="0" w:right="0" w:firstLine="643"/>
        <w:jc w:val="both"/>
        <w:rPr>
          <w:rFonts w:ascii="仿宋" w:eastAsia="仿宋" w:cs="仿宋" w:hint="eastAsia"/>
          <w:color w:val="auto"/>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1.教育支出（类）进修及培训（款）培训支出：</w:t>
      </w:r>
      <w:r>
        <w:rPr>
          <w:rFonts w:ascii="仿宋" w:eastAsia="仿宋" w:cs="仿宋" w:hint="eastAsia"/>
          <w:color w:val="auto"/>
          <w:spacing w:val="0"/>
          <w:position w:val="0"/>
          <w:sz w:val="32"/>
          <w:szCs w:val="32"/>
          <w:shd w:val="clear" w:color="auto" w:fill="auto"/>
        </w:rPr>
        <w:t>支出决算数0万元，完成预算100%.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2.</w:t>
      </w:r>
      <w:r>
        <w:rPr>
          <w:rFonts w:ascii="仿宋" w:eastAsia="仿宋" w:cs="仿宋" w:hint="eastAsia"/>
          <w:color w:val="000000"/>
          <w:spacing w:val="0"/>
          <w:position w:val="0"/>
          <w:sz w:val="32"/>
          <w:szCs w:val="32"/>
          <w:shd w:val="clear" w:color="auto" w:fill="auto"/>
        </w:rPr>
        <w:t xml:space="preserve"> </w:t>
      </w:r>
      <w:r>
        <w:rPr>
          <w:rFonts w:ascii="仿宋" w:eastAsia="仿宋" w:cs="仿宋" w:hint="eastAsia"/>
          <w:b/>
          <w:color w:val="000000"/>
          <w:spacing w:val="0"/>
          <w:position w:val="0"/>
          <w:sz w:val="32"/>
          <w:szCs w:val="32"/>
          <w:shd w:val="clear" w:color="auto" w:fill="auto"/>
        </w:rPr>
        <w:t>社会保障和就业（类）行政事业单位离退休（款）机关事业单位基本养老保险缴费支出（项）:</w:t>
      </w:r>
      <w:r>
        <w:rPr>
          <w:rFonts w:ascii="仿宋" w:eastAsia="仿宋" w:cs="仿宋" w:hint="eastAsia"/>
          <w:color w:val="000000"/>
          <w:spacing w:val="0"/>
          <w:position w:val="0"/>
          <w:sz w:val="32"/>
          <w:szCs w:val="32"/>
          <w:shd w:val="clear" w:color="auto" w:fill="auto"/>
        </w:rPr>
        <w:t xml:space="preserve"> 支出决算为8.995712万元，完成预算100%。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3.</w:t>
      </w:r>
      <w:r>
        <w:rPr>
          <w:rFonts w:ascii="仿宋" w:eastAsia="仿宋" w:cs="仿宋" w:hint="eastAsia"/>
          <w:color w:val="000000"/>
          <w:spacing w:val="0"/>
          <w:position w:val="0"/>
          <w:sz w:val="32"/>
          <w:szCs w:val="32"/>
          <w:shd w:val="clear" w:color="auto" w:fill="auto"/>
        </w:rPr>
        <w:t xml:space="preserve"> </w:t>
      </w:r>
      <w:r>
        <w:rPr>
          <w:rFonts w:ascii="仿宋" w:eastAsia="仿宋" w:cs="仿宋" w:hint="eastAsia"/>
          <w:b/>
          <w:color w:val="000000"/>
          <w:spacing w:val="0"/>
          <w:position w:val="0"/>
          <w:sz w:val="32"/>
          <w:szCs w:val="32"/>
          <w:shd w:val="clear" w:color="auto" w:fill="auto"/>
        </w:rPr>
        <w:t>社会保障和就业（类）行政事业单位离退休（款）机关事业单位职业年金缴费支出（项）:</w:t>
      </w:r>
      <w:r>
        <w:rPr>
          <w:rFonts w:ascii="仿宋" w:eastAsia="仿宋" w:cs="仿宋" w:hint="eastAsia"/>
          <w:color w:val="000000"/>
          <w:spacing w:val="0"/>
          <w:position w:val="0"/>
          <w:sz w:val="32"/>
          <w:szCs w:val="32"/>
          <w:shd w:val="clear" w:color="auto" w:fill="auto"/>
        </w:rPr>
        <w:t xml:space="preserve"> 支出决算为4.497856万元，完成预算100%。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4.卫生健康支出（类）卫生健康管理事务（款）行政运行（项）：</w:t>
      </w:r>
      <w:r>
        <w:rPr>
          <w:rFonts w:ascii="仿宋" w:eastAsia="仿宋" w:cs="仿宋" w:hint="eastAsia"/>
          <w:color w:val="000000"/>
          <w:spacing w:val="0"/>
          <w:position w:val="0"/>
          <w:sz w:val="32"/>
          <w:szCs w:val="32"/>
          <w:shd w:val="clear" w:color="auto" w:fill="auto"/>
        </w:rPr>
        <w:t>支出决算88.431867万元，完成预算100%。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5.卫生健康支出（类）基层医疗卫生机构（款）乡镇卫生院（项）：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6.卫生健康支出（类）基层医疗卫生机构（款）其他基层医疗卫生机构支出（项）：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7.卫生健康支出（类）公共卫生（款）基本公共卫生服务（项）：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8.卫生健康支出（类）公共卫生（款）重大卫生服务（项）：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9.卫生健康支出（类）公共卫生（款）突发公共卫生事件应急处理（项）：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10.卫生健康支出（类）中医药（款）中医（民族医）药专项（项）：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11.卫生健康支出（类）计划生育事务（款）其他计划生育事务支出（项）：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12.卫生健康支出（类）行政事业单位医疗（款）行政单位医疗（项）：</w:t>
      </w:r>
      <w:r>
        <w:rPr>
          <w:rFonts w:ascii="仿宋" w:eastAsia="仿宋" w:cs="仿宋" w:hint="eastAsia"/>
          <w:color w:val="000000"/>
          <w:spacing w:val="0"/>
          <w:position w:val="0"/>
          <w:sz w:val="32"/>
          <w:szCs w:val="32"/>
          <w:shd w:val="clear" w:color="auto" w:fill="auto"/>
        </w:rPr>
        <w:t>支出决算4.733715万元，完成预算100%。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13.卫生健康支出（类）行政事业单位医疗（款）事业单位医疗（项）：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14.卫生健康支出（类）行政事业单位医疗（款）公务员医疗补助（项）：</w:t>
      </w:r>
      <w:r>
        <w:rPr>
          <w:rFonts w:ascii="仿宋" w:eastAsia="仿宋" w:cs="仿宋" w:hint="eastAsia"/>
          <w:color w:val="000000"/>
          <w:spacing w:val="0"/>
          <w:position w:val="0"/>
          <w:sz w:val="32"/>
          <w:szCs w:val="32"/>
          <w:shd w:val="clear" w:color="auto" w:fill="auto"/>
        </w:rPr>
        <w:t>支出决算1.285004万元，完成预算100%。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15.卫生健康支出（类）其他卫生健康支出（款）其他卫生健康支出（项）：</w:t>
      </w:r>
      <w:r>
        <w:rPr>
          <w:rFonts w:ascii="仿宋" w:eastAsia="仿宋" w:cs="仿宋" w:hint="eastAsia"/>
          <w:color w:val="000000"/>
          <w:spacing w:val="0"/>
          <w:position w:val="0"/>
          <w:sz w:val="32"/>
          <w:szCs w:val="32"/>
          <w:shd w:val="clear" w:color="auto" w:fill="auto"/>
        </w:rPr>
        <w:t>支出决算0万元，完成预算0%。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16.农林水（类）扶贫（款）其他扶贫支出（项）：</w:t>
      </w:r>
      <w:r>
        <w:rPr>
          <w:rFonts w:ascii="仿宋" w:eastAsia="仿宋" w:cs="仿宋" w:hint="eastAsia"/>
          <w:color w:val="000000"/>
          <w:spacing w:val="0"/>
          <w:position w:val="0"/>
          <w:sz w:val="32"/>
          <w:szCs w:val="32"/>
          <w:shd w:val="clear" w:color="auto" w:fill="auto"/>
        </w:rPr>
        <w:t>支出决算0万元，完成预算100%。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17.住房保障（类）住房改革支出（款）住房公积金（项）：</w:t>
      </w:r>
      <w:r>
        <w:rPr>
          <w:rFonts w:ascii="仿宋" w:eastAsia="仿宋" w:cs="仿宋" w:hint="eastAsia"/>
          <w:color w:val="000000"/>
          <w:spacing w:val="0"/>
          <w:position w:val="0"/>
          <w:sz w:val="32"/>
          <w:szCs w:val="32"/>
          <w:shd w:val="clear" w:color="auto" w:fill="auto"/>
        </w:rPr>
        <w:t>支出决算为7.9224万元，完成预算100%.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18.住房保障（类）住房改革支出（款）购房补贴（项）：</w:t>
      </w:r>
      <w:r>
        <w:rPr>
          <w:rFonts w:ascii="仿宋" w:eastAsia="仿宋" w:cs="仿宋" w:hint="eastAsia"/>
          <w:color w:val="000000"/>
          <w:spacing w:val="0"/>
          <w:position w:val="0"/>
          <w:sz w:val="32"/>
          <w:szCs w:val="32"/>
          <w:shd w:val="clear" w:color="auto" w:fill="auto"/>
        </w:rPr>
        <w:t>支出决算为0万元，完成预算0%.</w:t>
      </w:r>
    </w:p>
    <w:p>
      <w:pPr>
        <w:spacing w:before="0" w:after="0" w:line="240" w:lineRule="auto"/>
        <w:ind w:left="0" w:right="0" w:firstLine="643"/>
        <w:jc w:val="both"/>
        <w:rPr>
          <w:rFonts w:ascii="仿宋" w:eastAsia="仿宋" w:cs="仿宋" w:hint="eastAsia"/>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19.其他支出（类）其他支出（款）其他支出（项）：</w:t>
      </w:r>
      <w:r>
        <w:rPr>
          <w:rFonts w:ascii="仿宋" w:eastAsia="仿宋" w:cs="仿宋" w:hint="eastAsia"/>
          <w:color w:val="000000"/>
          <w:spacing w:val="0"/>
          <w:position w:val="0"/>
          <w:sz w:val="32"/>
          <w:szCs w:val="32"/>
          <w:shd w:val="clear" w:color="auto" w:fill="auto"/>
        </w:rPr>
        <w:t>支出决算为0万元，完成预算0%.</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六</w:t>
      </w:r>
      <w:r>
        <w:rPr>
          <w:rFonts w:ascii="仿宋" w:eastAsia="仿宋" w:cs="仿宋" w:hint="eastAsia"/>
          <w:b/>
          <w:color w:val="000000"/>
          <w:spacing w:val="0"/>
          <w:position w:val="0"/>
          <w:sz w:val="32"/>
          <w:szCs w:val="32"/>
          <w:shd w:val="clear" w:color="auto" w:fill="auto"/>
        </w:rPr>
        <w:t>、一</w:t>
      </w:r>
      <w:r>
        <w:rPr>
          <w:rFonts w:ascii="仿宋" w:eastAsia="仿宋" w:cs="仿宋" w:hint="eastAsia"/>
          <w:color w:val="auto"/>
          <w:spacing w:val="0"/>
          <w:position w:val="0"/>
          <w:sz w:val="32"/>
          <w:szCs w:val="32"/>
          <w:shd w:val="clear" w:color="auto" w:fill="auto"/>
        </w:rPr>
        <w:t>般公共预算财政拨款基本支出决算情况说明</w:t>
        <w:tab/>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2</w:t>
      </w:r>
      <w:r>
        <w:rPr>
          <w:rFonts w:ascii="仿宋" w:eastAsia="仿宋" w:cs="仿宋" w:hint="eastAsia"/>
          <w:color w:val="auto"/>
          <w:spacing w:val="0"/>
          <w:position w:val="0"/>
          <w:sz w:val="32"/>
          <w:szCs w:val="32"/>
          <w:shd w:val="clear" w:color="auto" w:fill="auto"/>
        </w:rPr>
        <w:t>02</w:t>
      </w:r>
      <w:r>
        <w:rPr>
          <w:rFonts w:ascii="仿宋" w:eastAsia="仿宋" w:cs="仿宋" w:hint="eastAsia"/>
          <w:color w:val="auto"/>
          <w:spacing w:val="0"/>
          <w:position w:val="0"/>
          <w:sz w:val="32"/>
          <w:szCs w:val="32"/>
          <w:shd w:val="clear" w:color="auto" w:fill="auto"/>
          <w:lang w:val="en-US" w:eastAsia="zh-CN"/>
        </w:rPr>
        <w:t>2</w:t>
      </w:r>
      <w:r>
        <w:rPr>
          <w:rFonts w:ascii="仿宋" w:eastAsia="仿宋" w:cs="仿宋" w:hint="eastAsia"/>
          <w:color w:val="auto"/>
          <w:spacing w:val="0"/>
          <w:position w:val="0"/>
          <w:sz w:val="32"/>
          <w:szCs w:val="32"/>
          <w:shd w:val="clear" w:color="auto" w:fill="auto"/>
        </w:rPr>
        <w:t>年一般公共预算财政拨款基本支出115.866554万元，其中：</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人员经费105.882736万元，主要包括：基本工资20.1288万元、津贴补贴27.54185万元、奖金17.6212万元、机关事业单位基本养老保险缴费8.995712万元、职业年金缴费4.497856万元、职工基本医疗保险缴费4.733715万元、公务员医疗补助缴费1.285004万元、其他社会保障缴费0.886599万元、住房公积金7.9224万元、生活补助0万元、抚恤金0万元、奖励金12.2696万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公用经费9.983818万元，主要包括：办公费4.124118万元、印刷费0万元、手续费0万元、水费0万元、电费0万元、邮电费3万元、差旅费2.8597万元、公务接待费用0万元、委托业务费0万元、公务用车运行维护费0万元。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七、</w:t>
      </w:r>
      <w:r>
        <w:rPr>
          <w:rFonts w:ascii="仿宋" w:eastAsia="仿宋" w:cs="仿宋" w:hint="eastAsia"/>
          <w:b/>
          <w:color w:val="auto"/>
          <w:spacing w:val="0"/>
          <w:position w:val="0"/>
          <w:sz w:val="32"/>
          <w:szCs w:val="32"/>
          <w:shd w:val="clear" w:color="auto" w:fill="auto"/>
        </w:rPr>
        <w:t>“</w:t>
      </w:r>
      <w:r>
        <w:rPr>
          <w:rFonts w:ascii="仿宋" w:eastAsia="仿宋" w:cs="仿宋" w:hint="eastAsia"/>
          <w:color w:val="auto"/>
          <w:spacing w:val="0"/>
          <w:position w:val="0"/>
          <w:sz w:val="32"/>
          <w:szCs w:val="32"/>
          <w:shd w:val="clear" w:color="auto" w:fill="auto"/>
        </w:rPr>
        <w:t>三公”经费财政拨款支出决算情况说明</w:t>
      </w:r>
    </w:p>
    <w:p>
      <w:pPr>
        <w:spacing w:before="0" w:after="0" w:line="240" w:lineRule="auto"/>
        <w:ind w:left="0" w:right="0" w:firstLine="640"/>
        <w:jc w:val="both"/>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（一）“三公”经费财政拨款支出决算总体情况说明</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2022年“三公”经费财政拨款支出决算为115.866554万元，较上年增加了115.866554万元，增加了100%，主要原因是</w:t>
      </w:r>
      <w:r>
        <w:rPr>
          <w:rFonts w:ascii="仿宋" w:eastAsia="仿宋" w:cs="仿宋" w:hint="eastAsia"/>
          <w:color w:val="auto"/>
          <w:spacing w:val="0"/>
          <w:position w:val="0"/>
          <w:sz w:val="32"/>
          <w:szCs w:val="32"/>
          <w:shd w:val="clear" w:color="auto" w:fill="auto"/>
          <w:lang w:eastAsia="zh-CN"/>
        </w:rPr>
        <w:t>机构改革，无上一年数据。</w:t>
      </w:r>
      <w:r>
        <w:rPr>
          <w:rFonts w:ascii="仿宋" w:eastAsia="仿宋" w:cs="仿宋" w:hint="eastAsia"/>
          <w:color w:val="auto"/>
          <w:spacing w:val="0"/>
          <w:position w:val="0"/>
          <w:sz w:val="32"/>
          <w:szCs w:val="32"/>
          <w:shd w:val="clear" w:color="auto" w:fill="auto"/>
        </w:rPr>
        <w:t>2022年三公经费预算0万元，较上年相比无变化。</w:t>
      </w:r>
    </w:p>
    <w:p>
      <w:pPr>
        <w:spacing w:before="0" w:after="0" w:line="240" w:lineRule="auto"/>
        <w:ind w:left="0" w:right="0" w:firstLine="640"/>
        <w:jc w:val="both"/>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（二）“三公”经费财政拨款支出决算具体情况说明</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2022年“三公”经费财政拨款支出决算0万元，其中：因公出国（境）费支出决算0万元，占0%；公务用车购置及运行维护费支出决算0万元，占0%；公务接待费支出决算0万元，占0%。具体情况如下：</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sz w:val="32"/>
          <w:szCs w:val="32"/>
        </w:rPr>
        <w:object>
          <v:shape id="_x0000_i8" type="#_x0000_t75" filled="f" stroked="f" style="width:228.75pt;height:118.45pt;" o:ole="">
            <v:stroke color="#000000"/>
            <v:imagedata r:id="rId17" o:title="image6"/>
            <o:lock aspectratio="t"/>
            <w10:anchorLock/>
          </v:shape>
          <o:OLEObject Type="Embed" ProgID="Package" ShapeID="_x0000_i8" DrawAspect="Content" ObjectID="_1393063358" r:id="rId18"/>
        </w:objec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1.因公出国（境）经费支出</w:t>
      </w:r>
      <w:r>
        <w:rPr>
          <w:rFonts w:ascii="仿宋" w:eastAsia="仿宋" w:cs="仿宋" w:hint="eastAsia"/>
          <w:color w:val="auto"/>
          <w:spacing w:val="0"/>
          <w:position w:val="0"/>
          <w:sz w:val="32"/>
          <w:szCs w:val="32"/>
          <w:shd w:val="clear" w:color="auto" w:fill="auto"/>
        </w:rPr>
        <w:t>0万元，完成预算0%。全年安排因公出国（境）团组0次，出国（境）0人。因公出国（境）支出决算比2021年增加0万元。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2.公务</w:t>
      </w:r>
      <w:r>
        <w:rPr>
          <w:rFonts w:ascii="仿宋" w:eastAsia="仿宋" w:cs="仿宋" w:hint="eastAsia"/>
          <w:b/>
          <w:color w:val="auto"/>
          <w:spacing w:val="0"/>
          <w:position w:val="0"/>
          <w:sz w:val="32"/>
          <w:szCs w:val="32"/>
          <w:shd w:val="clear" w:color="auto" w:fill="auto"/>
        </w:rPr>
        <w:t>用车</w:t>
      </w:r>
      <w:r>
        <w:rPr>
          <w:rFonts w:ascii="仿宋" w:eastAsia="仿宋" w:cs="仿宋" w:hint="eastAsia"/>
          <w:b/>
          <w:color w:val="000000"/>
          <w:spacing w:val="0"/>
          <w:position w:val="0"/>
          <w:sz w:val="32"/>
          <w:szCs w:val="32"/>
          <w:shd w:val="clear" w:color="auto" w:fill="auto"/>
        </w:rPr>
        <w:t>购置及运行维护费支出0</w:t>
      </w:r>
      <w:r>
        <w:rPr>
          <w:rFonts w:ascii="仿宋" w:eastAsia="仿宋" w:cs="仿宋" w:hint="eastAsia"/>
          <w:color w:val="auto"/>
          <w:spacing w:val="0"/>
          <w:position w:val="0"/>
          <w:sz w:val="32"/>
          <w:szCs w:val="32"/>
          <w:shd w:val="clear" w:color="auto" w:fill="auto"/>
        </w:rPr>
        <w:t>万元，完成预算0%。主要用我单位购置公务用车及所需的公务用车燃料费、维修费、过路过桥费、保险费等支出。</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其中：</w:t>
      </w:r>
      <w:r>
        <w:rPr>
          <w:rFonts w:ascii="仿宋" w:eastAsia="仿宋" w:cs="仿宋" w:hint="eastAsia"/>
          <w:b/>
          <w:color w:val="000000"/>
          <w:spacing w:val="0"/>
          <w:position w:val="0"/>
          <w:sz w:val="32"/>
          <w:szCs w:val="32"/>
          <w:shd w:val="clear" w:color="auto" w:fill="auto"/>
        </w:rPr>
        <w:t>公务用车购置支出</w:t>
      </w:r>
      <w:r>
        <w:rPr>
          <w:rFonts w:ascii="仿宋" w:eastAsia="仿宋" w:cs="仿宋" w:hint="eastAsia"/>
          <w:color w:val="000000"/>
          <w:spacing w:val="0"/>
          <w:position w:val="0"/>
          <w:sz w:val="32"/>
          <w:szCs w:val="32"/>
          <w:shd w:val="clear" w:color="auto" w:fill="auto"/>
        </w:rPr>
        <w:t>0</w:t>
      </w:r>
      <w:r>
        <w:rPr>
          <w:rFonts w:ascii="仿宋" w:eastAsia="仿宋" w:cs="仿宋" w:hint="eastAsia"/>
          <w:color w:val="auto"/>
          <w:spacing w:val="0"/>
          <w:position w:val="0"/>
          <w:sz w:val="32"/>
          <w:szCs w:val="32"/>
          <w:shd w:val="clear" w:color="auto" w:fill="auto"/>
        </w:rPr>
        <w:t>万元</w:t>
      </w:r>
      <w:r>
        <w:rPr>
          <w:rFonts w:ascii="仿宋" w:eastAsia="仿宋" w:cs="仿宋" w:hint="eastAsia"/>
          <w:color w:val="000000"/>
          <w:spacing w:val="0"/>
          <w:position w:val="0"/>
          <w:sz w:val="32"/>
          <w:szCs w:val="32"/>
          <w:shd w:val="clear" w:color="auto" w:fill="auto"/>
        </w:rPr>
        <w:t>。</w:t>
      </w:r>
    </w:p>
    <w:p>
      <w:pPr>
        <w:spacing w:before="0" w:after="0" w:line="240" w:lineRule="auto"/>
        <w:ind w:left="0" w:right="0" w:firstLine="643"/>
        <w:jc w:val="left"/>
        <w:rPr>
          <w:rFonts w:ascii="仿宋" w:eastAsia="仿宋" w:cs="仿宋" w:hint="eastAsia"/>
          <w:color w:val="auto"/>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公务用车运行维护费0</w:t>
      </w:r>
      <w:r>
        <w:rPr>
          <w:rFonts w:ascii="仿宋" w:eastAsia="仿宋" w:cs="仿宋" w:hint="eastAsia"/>
          <w:color w:val="auto"/>
          <w:spacing w:val="0"/>
          <w:position w:val="0"/>
          <w:sz w:val="32"/>
          <w:szCs w:val="32"/>
          <w:shd w:val="clear" w:color="auto" w:fill="auto"/>
        </w:rPr>
        <w:t>万元，用于公务用车燃料费、维修费、过路过桥费、保险费等支出。</w:t>
      </w:r>
    </w:p>
    <w:p>
      <w:pPr>
        <w:numPr>
          <w:ilvl w:val="0"/>
          <w:numId w:val="2"/>
        </w:num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公务接待费支出0</w:t>
      </w:r>
      <w:r>
        <w:rPr>
          <w:rFonts w:ascii="仿宋" w:eastAsia="仿宋" w:cs="仿宋" w:hint="eastAsia"/>
          <w:color w:val="auto"/>
          <w:spacing w:val="0"/>
          <w:position w:val="0"/>
          <w:sz w:val="32"/>
          <w:szCs w:val="32"/>
          <w:shd w:val="clear" w:color="auto" w:fill="auto"/>
        </w:rPr>
        <w:t>万元，完成预算0%。公务接待费0万元。主要用于执行公务、开展业务活动开支的交通费、住宿费、用餐费等。国内公务接待6批次，30人次，共计支出0万元。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外事接待支出</w:t>
      </w:r>
      <w:r>
        <w:rPr>
          <w:rFonts w:ascii="仿宋" w:eastAsia="仿宋" w:cs="仿宋" w:hint="eastAsia"/>
          <w:color w:val="000000"/>
          <w:spacing w:val="0"/>
          <w:position w:val="0"/>
          <w:sz w:val="32"/>
          <w:szCs w:val="32"/>
          <w:shd w:val="clear" w:color="auto" w:fill="auto"/>
        </w:rPr>
        <w:t>0</w:t>
      </w:r>
      <w:r>
        <w:rPr>
          <w:rFonts w:ascii="仿宋" w:eastAsia="仿宋" w:cs="仿宋" w:hint="eastAsia"/>
          <w:color w:val="auto"/>
          <w:spacing w:val="0"/>
          <w:position w:val="0"/>
          <w:sz w:val="32"/>
          <w:szCs w:val="32"/>
          <w:shd w:val="clear" w:color="auto" w:fill="auto"/>
        </w:rPr>
        <w:t>万元，外事接待0批次，0人，共计支出0万元。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八、</w:t>
      </w:r>
      <w:r>
        <w:rPr>
          <w:rFonts w:ascii="仿宋" w:eastAsia="仿宋" w:cs="仿宋" w:hint="eastAsia"/>
          <w:color w:val="auto"/>
          <w:spacing w:val="0"/>
          <w:position w:val="0"/>
          <w:sz w:val="32"/>
          <w:szCs w:val="32"/>
          <w:shd w:val="clear" w:color="auto" w:fill="auto"/>
        </w:rPr>
        <w:t>政府性基金预算支出决算情况说明</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2022年政府性基金预算拨款支出0万元。</w:t>
      </w:r>
    </w:p>
    <w:p>
      <w:pPr>
        <w:numPr>
          <w:ilvl w:val="0"/>
          <w:numId w:val="3"/>
        </w:num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国有资本经营预算支出决算情况说明</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w:t>
      </w:r>
      <w:r>
        <w:rPr>
          <w:rFonts w:ascii="仿宋" w:eastAsia="仿宋" w:cs="仿宋" w:hint="eastAsia"/>
          <w:color w:val="auto"/>
          <w:spacing w:val="0"/>
          <w:position w:val="0"/>
          <w:sz w:val="32"/>
          <w:szCs w:val="32"/>
          <w:shd w:val="clear" w:color="auto" w:fill="auto"/>
          <w:lang w:val="en-US" w:eastAsia="zh-CN"/>
        </w:rPr>
        <w:t>2</w:t>
      </w:r>
      <w:r>
        <w:rPr>
          <w:rFonts w:ascii="仿宋" w:eastAsia="仿宋" w:cs="仿宋" w:hint="eastAsia"/>
          <w:color w:val="auto"/>
          <w:spacing w:val="0"/>
          <w:position w:val="0"/>
          <w:sz w:val="32"/>
          <w:szCs w:val="32"/>
          <w:shd w:val="clear" w:color="auto" w:fill="auto"/>
        </w:rPr>
        <w:t>年国有资本经营预算拨款支出0万元。</w:t>
      </w:r>
    </w:p>
    <w:p>
      <w:pPr>
        <w:numPr>
          <w:ilvl w:val="0"/>
          <w:numId w:val="4"/>
        </w:numPr>
        <w:spacing w:before="0" w:after="0" w:line="240" w:lineRule="auto"/>
        <w:ind w:left="0" w:right="0" w:firstLine="20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预算绩效情况说明</w:t>
      </w:r>
    </w:p>
    <w:p>
      <w:pPr>
        <w:numPr>
          <w:ilvl w:val="0"/>
          <w:numId w:val="4"/>
        </w:numPr>
        <w:spacing w:before="0" w:after="0" w:line="240" w:lineRule="auto"/>
        <w:ind w:left="0" w:right="0" w:firstLine="643"/>
        <w:jc w:val="both"/>
        <w:rPr>
          <w:rFonts w:ascii="仿宋" w:eastAsia="仿宋" w:cs="仿宋" w:hint="eastAsia"/>
          <w:b/>
          <w:color w:val="auto"/>
          <w:spacing w:val="0"/>
          <w:position w:val="0"/>
          <w:sz w:val="32"/>
          <w:szCs w:val="32"/>
          <w:shd w:val="clear" w:color="auto" w:fill="auto"/>
        </w:rPr>
      </w:pPr>
      <w:r>
        <w:rPr>
          <w:rFonts w:ascii="仿宋" w:eastAsia="仿宋" w:cs="仿宋" w:hint="eastAsia"/>
          <w:b/>
          <w:color w:val="auto"/>
          <w:spacing w:val="0"/>
          <w:position w:val="0"/>
          <w:sz w:val="32"/>
          <w:szCs w:val="32"/>
          <w:shd w:val="clear" w:color="auto" w:fill="auto"/>
        </w:rPr>
        <w:t>预算绩效管理工作开展情况。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本部门按要求对2022年部门整体支出开展绩效自评，经全面综合评价，我单位预算支出绩效自评得分94分。我部门深入贯彻落实</w:t>
      </w:r>
      <w:r>
        <w:rPr>
          <w:rFonts w:ascii="仿宋" w:eastAsia="仿宋" w:cs="仿宋"/>
          <w:color w:val="auto"/>
          <w:spacing w:val="0"/>
          <w:position w:val="0"/>
          <w:sz w:val="32"/>
          <w:szCs w:val="32"/>
          <w:shd w:val="clear" w:color="auto" w:fill="auto"/>
        </w:rPr>
        <w:t>党的</w:t>
      </w:r>
      <w:r>
        <w:rPr>
          <w:rFonts w:ascii="仿宋" w:eastAsia="仿宋" w:cs="仿宋" w:hint="eastAsia"/>
          <w:color w:val="auto"/>
          <w:spacing w:val="0"/>
          <w:position w:val="0"/>
          <w:sz w:val="32"/>
          <w:szCs w:val="32"/>
          <w:shd w:val="clear" w:color="auto" w:fill="auto"/>
        </w:rPr>
        <w:t>十九大关于“全面实施绩效管理”的要求，努力提升本单位绩效预算管理业务水平。主动公开绩效结果，加大资金使用效率，提升政府管理水平。及时告知各部门（科室）部门预算及项目支出进度。</w:t>
      </w:r>
    </w:p>
    <w:p>
      <w:pPr>
        <w:numPr>
          <w:ilvl w:val="0"/>
          <w:numId w:val="5"/>
        </w:numPr>
        <w:spacing w:before="0" w:after="0" w:line="240" w:lineRule="auto"/>
        <w:ind w:left="0" w:right="0" w:firstLine="643"/>
        <w:jc w:val="both"/>
        <w:rPr>
          <w:rFonts w:ascii="仿宋" w:eastAsia="仿宋" w:cs="仿宋" w:hint="eastAsia"/>
          <w:b/>
          <w:color w:val="auto"/>
          <w:spacing w:val="0"/>
          <w:position w:val="0"/>
          <w:sz w:val="32"/>
          <w:szCs w:val="32"/>
          <w:shd w:val="clear" w:color="auto" w:fill="auto"/>
        </w:rPr>
      </w:pPr>
      <w:r>
        <w:rPr>
          <w:rFonts w:ascii="仿宋" w:eastAsia="仿宋" w:cs="仿宋" w:hint="eastAsia"/>
          <w:b/>
          <w:color w:val="auto"/>
          <w:spacing w:val="0"/>
          <w:position w:val="0"/>
          <w:sz w:val="32"/>
          <w:szCs w:val="32"/>
          <w:shd w:val="clear" w:color="auto" w:fill="auto"/>
        </w:rPr>
        <w:t>部门开展绩效评价结果。</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本部门按要求对2022年部门整体支出绩效评价情况开展自评，《金川县卫生健康</w:t>
      </w:r>
      <w:r>
        <w:rPr>
          <w:rFonts w:ascii="仿宋" w:eastAsia="仿宋" w:cs="仿宋" w:hint="eastAsia"/>
          <w:color w:val="auto"/>
          <w:spacing w:val="0"/>
          <w:position w:val="0"/>
          <w:sz w:val="32"/>
          <w:szCs w:val="32"/>
          <w:shd w:val="clear" w:color="auto" w:fill="auto"/>
          <w:lang w:eastAsia="zh-CN"/>
        </w:rPr>
        <w:t>执法中队</w:t>
      </w:r>
      <w:r>
        <w:rPr>
          <w:rFonts w:ascii="仿宋" w:eastAsia="仿宋" w:cs="仿宋" w:hint="eastAsia"/>
          <w:color w:val="auto"/>
          <w:spacing w:val="0"/>
          <w:position w:val="0"/>
          <w:sz w:val="32"/>
          <w:szCs w:val="32"/>
          <w:shd w:val="clear" w:color="auto" w:fill="auto"/>
        </w:rPr>
        <w:t>2022年部门预算整体支出绩效评价报告》见附件。</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十</w:t>
      </w:r>
      <w:r>
        <w:rPr>
          <w:rFonts w:ascii="仿宋" w:eastAsia="仿宋" w:cs="仿宋" w:hint="eastAsia"/>
          <w:b/>
          <w:color w:val="auto"/>
          <w:spacing w:val="0"/>
          <w:position w:val="0"/>
          <w:sz w:val="32"/>
          <w:szCs w:val="32"/>
          <w:shd w:val="clear" w:color="auto" w:fill="auto"/>
        </w:rPr>
        <w:t>一、</w:t>
      </w:r>
      <w:r>
        <w:rPr>
          <w:rFonts w:ascii="仿宋" w:eastAsia="仿宋" w:cs="仿宋" w:hint="eastAsia"/>
          <w:color w:val="auto"/>
          <w:spacing w:val="0"/>
          <w:position w:val="0"/>
          <w:sz w:val="32"/>
          <w:szCs w:val="32"/>
          <w:shd w:val="clear" w:color="auto" w:fill="auto"/>
        </w:rPr>
        <w:t>其他重要事项的情况说明</w:t>
      </w:r>
    </w:p>
    <w:p>
      <w:pPr>
        <w:spacing w:before="0" w:after="0" w:line="240" w:lineRule="auto"/>
        <w:ind w:left="0" w:right="0" w:firstLine="643"/>
        <w:jc w:val="both"/>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（一）机关运行经费支出情况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2022年，金川县卫生综合行政执法中队运行经费支出88.431867万元，</w:t>
      </w:r>
    </w:p>
    <w:p>
      <w:pPr>
        <w:spacing w:before="0" w:after="0" w:line="240" w:lineRule="auto"/>
        <w:ind w:left="0" w:right="0" w:firstLine="0"/>
        <w:jc w:val="both"/>
        <w:rPr>
          <w:rFonts w:ascii="仿宋" w:eastAsia="仿宋" w:cs="仿宋" w:hint="eastAsia"/>
          <w:color w:val="auto"/>
          <w:spacing w:val="0"/>
          <w:position w:val="0"/>
          <w:sz w:val="32"/>
          <w:szCs w:val="32"/>
          <w:shd w:val="clear" w:color="auto" w:fill="FFFF00"/>
        </w:rPr>
      </w:pPr>
      <w:r>
        <w:rPr>
          <w:rFonts w:ascii="仿宋" w:eastAsia="仿宋" w:cs="仿宋" w:hint="eastAsia"/>
          <w:color w:val="auto"/>
          <w:spacing w:val="0"/>
          <w:position w:val="0"/>
          <w:sz w:val="32"/>
          <w:szCs w:val="32"/>
          <w:shd w:val="clear" w:color="auto" w:fill="auto"/>
        </w:rPr>
        <w:t>比202</w:t>
      </w:r>
      <w:r>
        <w:rPr>
          <w:rFonts w:ascii="仿宋" w:eastAsia="仿宋" w:cs="仿宋" w:hint="eastAsia"/>
          <w:color w:val="auto"/>
          <w:spacing w:val="0"/>
          <w:position w:val="0"/>
          <w:sz w:val="32"/>
          <w:szCs w:val="32"/>
          <w:shd w:val="clear" w:color="auto" w:fill="auto"/>
          <w:lang w:val="en-US" w:eastAsia="zh-CN"/>
        </w:rPr>
        <w:t>1</w:t>
      </w:r>
      <w:r>
        <w:rPr>
          <w:rFonts w:ascii="仿宋" w:eastAsia="仿宋" w:cs="仿宋" w:hint="eastAsia"/>
          <w:color w:val="auto"/>
          <w:spacing w:val="0"/>
          <w:position w:val="0"/>
          <w:sz w:val="32"/>
          <w:szCs w:val="32"/>
          <w:shd w:val="clear" w:color="auto" w:fill="auto"/>
        </w:rPr>
        <w:t>年增加88.431867万元，</w:t>
      </w:r>
      <w:r>
        <w:rPr>
          <w:rFonts w:ascii="仿宋" w:eastAsia="仿宋" w:cs="仿宋" w:hint="eastAsia"/>
          <w:color w:val="auto"/>
          <w:spacing w:val="0"/>
          <w:position w:val="0"/>
          <w:sz w:val="32"/>
          <w:szCs w:val="32"/>
          <w:shd w:val="clear" w:color="auto" w:fill="auto"/>
          <w:lang w:eastAsia="zh-CN"/>
        </w:rPr>
        <w:t>较上一年无明显变化。</w:t>
      </w:r>
    </w:p>
    <w:p>
      <w:pPr>
        <w:spacing w:before="0" w:after="0" w:line="240" w:lineRule="auto"/>
        <w:ind w:left="0" w:right="0" w:firstLine="643"/>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（二）政府采购支出情况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2022年，政府采购支出总额</w:t>
      </w:r>
      <w:r>
        <w:rPr>
          <w:rFonts w:ascii="仿宋" w:eastAsia="仿宋" w:cs="仿宋" w:hint="eastAsia"/>
          <w:color w:val="auto"/>
          <w:spacing w:val="0"/>
          <w:position w:val="0"/>
          <w:sz w:val="32"/>
          <w:szCs w:val="32"/>
          <w:shd w:val="clear" w:color="auto" w:fill="auto"/>
          <w:lang w:val="en-US" w:eastAsia="zh-CN"/>
        </w:rPr>
        <w:t>0</w:t>
      </w:r>
      <w:r>
        <w:rPr>
          <w:rFonts w:ascii="仿宋" w:eastAsia="仿宋" w:cs="仿宋" w:hint="eastAsia"/>
          <w:color w:val="auto"/>
          <w:spacing w:val="0"/>
          <w:position w:val="0"/>
          <w:sz w:val="32"/>
          <w:szCs w:val="32"/>
          <w:shd w:val="clear" w:color="auto" w:fill="auto"/>
        </w:rPr>
        <w:t>万元，其中：政府采购货物支出</w:t>
      </w:r>
      <w:r>
        <w:rPr>
          <w:rFonts w:ascii="仿宋" w:eastAsia="仿宋" w:cs="仿宋" w:hint="eastAsia"/>
          <w:color w:val="auto"/>
          <w:spacing w:val="0"/>
          <w:position w:val="0"/>
          <w:sz w:val="32"/>
          <w:szCs w:val="32"/>
          <w:shd w:val="clear" w:color="auto" w:fill="auto"/>
          <w:lang w:val="en-US" w:eastAsia="zh-CN"/>
        </w:rPr>
        <w:t>0</w:t>
      </w:r>
      <w:r>
        <w:rPr>
          <w:rFonts w:ascii="仿宋" w:eastAsia="仿宋" w:cs="仿宋" w:hint="eastAsia"/>
          <w:color w:val="auto"/>
          <w:spacing w:val="0"/>
          <w:position w:val="0"/>
          <w:sz w:val="32"/>
          <w:szCs w:val="32"/>
          <w:shd w:val="clear" w:color="auto" w:fill="auto"/>
        </w:rPr>
        <w:t>万元，占采购总额的100%、政府采购工程支出0万元。政府采购授予中小企业合同金额</w:t>
      </w:r>
      <w:r>
        <w:rPr>
          <w:rFonts w:ascii="仿宋" w:eastAsia="仿宋" w:cs="仿宋" w:hint="eastAsia"/>
          <w:color w:val="auto"/>
          <w:spacing w:val="0"/>
          <w:position w:val="0"/>
          <w:sz w:val="32"/>
          <w:szCs w:val="32"/>
          <w:shd w:val="clear" w:color="auto" w:fill="auto"/>
          <w:lang w:val="en-US" w:eastAsia="zh-CN"/>
        </w:rPr>
        <w:t>0</w:t>
      </w:r>
      <w:r>
        <w:rPr>
          <w:rFonts w:ascii="仿宋" w:eastAsia="仿宋" w:cs="仿宋" w:hint="eastAsia"/>
          <w:color w:val="auto"/>
          <w:spacing w:val="0"/>
          <w:position w:val="0"/>
          <w:sz w:val="32"/>
          <w:szCs w:val="32"/>
          <w:shd w:val="clear" w:color="auto" w:fill="auto"/>
        </w:rPr>
        <w:t>万元，占合同金额的100%，其中：授予小微企业合同金额</w:t>
      </w:r>
      <w:r>
        <w:rPr>
          <w:rFonts w:ascii="仿宋" w:eastAsia="仿宋" w:cs="仿宋" w:hint="eastAsia"/>
          <w:color w:val="auto"/>
          <w:spacing w:val="0"/>
          <w:position w:val="0"/>
          <w:sz w:val="32"/>
          <w:szCs w:val="32"/>
          <w:shd w:val="clear" w:color="auto" w:fill="auto"/>
          <w:lang w:val="en-US" w:eastAsia="zh-CN"/>
        </w:rPr>
        <w:t>0</w:t>
      </w:r>
      <w:r>
        <w:rPr>
          <w:rFonts w:ascii="仿宋" w:eastAsia="仿宋" w:cs="仿宋" w:hint="eastAsia"/>
          <w:color w:val="auto"/>
          <w:spacing w:val="0"/>
          <w:position w:val="0"/>
          <w:sz w:val="32"/>
          <w:szCs w:val="32"/>
          <w:shd w:val="clear" w:color="auto" w:fill="auto"/>
        </w:rPr>
        <w:t>万元。</w:t>
      </w:r>
    </w:p>
    <w:p>
      <w:pPr>
        <w:spacing w:before="0" w:after="0" w:line="240" w:lineRule="auto"/>
        <w:ind w:left="0" w:right="0" w:firstLine="643"/>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（三）国有资产占有使用情况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截至2022年12月31日，共有车辆</w:t>
      </w:r>
      <w:r>
        <w:rPr>
          <w:rFonts w:ascii="仿宋" w:eastAsia="仿宋" w:cs="仿宋" w:hint="eastAsia"/>
          <w:color w:val="auto"/>
          <w:spacing w:val="0"/>
          <w:position w:val="0"/>
          <w:sz w:val="32"/>
          <w:szCs w:val="32"/>
          <w:shd w:val="clear" w:color="auto" w:fill="auto"/>
          <w:lang w:val="en-US" w:eastAsia="zh-CN"/>
        </w:rPr>
        <w:t>0</w:t>
      </w:r>
      <w:r>
        <w:rPr>
          <w:rFonts w:ascii="仿宋" w:eastAsia="仿宋" w:cs="仿宋" w:hint="eastAsia"/>
          <w:color w:val="auto"/>
          <w:spacing w:val="0"/>
          <w:position w:val="0"/>
          <w:sz w:val="32"/>
          <w:szCs w:val="32"/>
          <w:shd w:val="clear" w:color="auto" w:fill="auto"/>
        </w:rPr>
        <w:t>辆，其中</w:t>
      </w:r>
      <w:r>
        <w:rPr>
          <w:rFonts w:ascii="仿宋" w:eastAsia="仿宋" w:cs="仿宋" w:hint="eastAsia"/>
          <w:color w:val="auto"/>
          <w:spacing w:val="0"/>
          <w:position w:val="0"/>
          <w:sz w:val="32"/>
          <w:szCs w:val="32"/>
          <w:shd w:val="clear" w:color="auto" w:fill="auto"/>
          <w:lang w:val="en-US" w:eastAsia="zh-CN"/>
        </w:rPr>
        <w:t>0</w:t>
      </w:r>
      <w:r>
        <w:rPr>
          <w:rFonts w:ascii="仿宋" w:eastAsia="仿宋" w:cs="仿宋" w:hint="eastAsia"/>
          <w:color w:val="auto"/>
          <w:spacing w:val="0"/>
          <w:position w:val="0"/>
          <w:sz w:val="32"/>
          <w:szCs w:val="32"/>
          <w:shd w:val="clear" w:color="auto" w:fill="auto"/>
        </w:rPr>
        <w:t>辆为其他用车。单价50万元以上的通用设备共计</w:t>
      </w:r>
      <w:r>
        <w:rPr>
          <w:rFonts w:ascii="仿宋" w:eastAsia="仿宋" w:cs="仿宋" w:hint="eastAsia"/>
          <w:color w:val="auto"/>
          <w:spacing w:val="0"/>
          <w:position w:val="0"/>
          <w:sz w:val="32"/>
          <w:szCs w:val="32"/>
          <w:shd w:val="clear" w:color="auto" w:fill="auto"/>
          <w:lang w:val="en-US" w:eastAsia="zh-CN"/>
        </w:rPr>
        <w:t>0</w:t>
      </w:r>
      <w:r>
        <w:rPr>
          <w:rFonts w:ascii="仿宋" w:eastAsia="仿宋" w:cs="仿宋" w:hint="eastAsia"/>
          <w:color w:val="auto"/>
          <w:spacing w:val="0"/>
          <w:position w:val="0"/>
          <w:sz w:val="32"/>
          <w:szCs w:val="32"/>
          <w:shd w:val="clear" w:color="auto" w:fill="auto"/>
        </w:rPr>
        <w:t xml:space="preserve"> 套，单价100万元以上的专用设备共计</w:t>
      </w:r>
      <w:r>
        <w:rPr>
          <w:rFonts w:ascii="仿宋" w:eastAsia="仿宋" w:cs="仿宋" w:hint="eastAsia"/>
          <w:color w:val="auto"/>
          <w:spacing w:val="0"/>
          <w:position w:val="0"/>
          <w:sz w:val="32"/>
          <w:szCs w:val="32"/>
          <w:shd w:val="clear" w:color="auto" w:fill="auto"/>
          <w:lang w:val="en-US" w:eastAsia="zh-CN"/>
        </w:rPr>
        <w:t>0</w:t>
      </w:r>
      <w:r>
        <w:rPr>
          <w:rFonts w:ascii="仿宋" w:eastAsia="仿宋" w:cs="仿宋" w:hint="eastAsia"/>
          <w:color w:val="auto"/>
          <w:spacing w:val="0"/>
          <w:position w:val="0"/>
          <w:sz w:val="32"/>
          <w:szCs w:val="32"/>
          <w:shd w:val="clear" w:color="auto" w:fill="auto"/>
        </w:rPr>
        <w:t xml:space="preserve"> 套。</w:t>
      </w:r>
    </w:p>
    <w:p>
      <w:pPr>
        <w:numPr>
          <w:ilvl w:val="0"/>
          <w:numId w:val="6"/>
        </w:numPr>
        <w:spacing w:before="0" w:after="0" w:line="240" w:lineRule="auto"/>
        <w:ind w:left="0" w:right="0" w:firstLine="663"/>
        <w:jc w:val="center"/>
        <w:rPr>
          <w:rFonts w:ascii="仿宋" w:eastAsia="仿宋" w:cs="仿宋" w:hint="eastAsia"/>
          <w:color w:val="auto"/>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名</w:t>
      </w:r>
      <w:r>
        <w:rPr>
          <w:rFonts w:ascii="仿宋" w:eastAsia="仿宋" w:cs="仿宋" w:hint="eastAsia"/>
          <w:color w:val="auto"/>
          <w:spacing w:val="0"/>
          <w:position w:val="0"/>
          <w:sz w:val="32"/>
          <w:szCs w:val="32"/>
          <w:shd w:val="clear" w:color="auto" w:fill="auto"/>
        </w:rPr>
        <w:t>词解释</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1.财政拨款收入：指单位从同级财政部门取得的财政预算资金。</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2.事业收入：指事业单位开展专业业务活动及辅助活动取得的收入。</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3.经营收入：指事业单位在专业业务活动及其辅助活动之外开展非独立核算经营活动取得的收入。</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 xml:space="preserve">4.其他收入：指单位取得的除上述收入以外的各项收入。主要是银行存款利息和伙食团缴费等。 </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 xml:space="preserve">5. 年初结转和结余：指以前年度尚未完成、结转到本年按有关规定继续使用的资金。 </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6.结余分配：指事业单位按照事业单位会计制度的规定从非财政补助结余中分配的事业基金和职工福利基金等。</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7、年末结转和结余：指单位按有关规定结转到下年或以后年度继续使用的资金。</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8.一般公共服务（类）政府办公厅（室）及相关机构事务（款）行政运行（项）：指行政单位的基本支出。</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9.一般公共服务（类）政府办公厅（室）及相关机构事务（款）一般行政管理事务（项）：指反映行政单位未单独设置顶级科目的其他项目支出。</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10.教育（类）其他教育支出（款）其他教育支出（项）：除上述项目以外用于教育管理事务方面的支出。</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11.社会保障和就业（类）行政事业单位离退休（款）机关事业单位基本养老保险缴费支出（项）：指单位为职工缴纳的基本养老保险费。</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12.社会保障和就业（类）行政事业单位离退休（款）机关事业单位基本职业年金缴费支出（项）：指单位为职工实际缴纳的职业年金。</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13.医疗卫生与计划生育（类）行政事业单位医疗（款）行政单位医疗（项）：指反映职工缴纳的基本医疗保险费。</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14.医疗卫生与计划生育（类）行政事业单位医疗（款）公务员医疗补助（项）：指按规定可享受公务员医疗补助单位为职工缴纳的公务员医疗补助费。</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15.住房保障（类）住房改革支出（款）住房公积金（项）：指单位按规定为职工缴纳的住房公积金。</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16.基本支出：指为保障机构正常运转、完成日常工作任务而发生的人员支出和公用支出。</w:t>
      </w:r>
    </w:p>
    <w:p>
      <w:pPr>
        <w:spacing w:before="0" w:after="0" w:line="240" w:lineRule="auto"/>
        <w:ind w:left="0" w:right="0" w:firstLine="64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 xml:space="preserve">17.项目支出：指在基本支出之外为完成特定行政任务和事业发展目标所发生的支出。 </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before="0" w:after="0" w:line="240" w:lineRule="auto"/>
        <w:ind w:left="0" w:right="0" w:firstLine="64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260" w:after="260" w:line="420" w:lineRule="auto"/>
        <w:ind w:left="0" w:right="0" w:firstLine="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附件1</w:t>
      </w:r>
    </w:p>
    <w:p>
      <w:pPr>
        <w:numPr>
          <w:ilvl w:val="0"/>
          <w:numId w:val="7"/>
        </w:numPr>
        <w:spacing w:before="0" w:after="0" w:line="240" w:lineRule="auto"/>
        <w:ind w:left="0" w:right="0" w:firstLine="660"/>
        <w:jc w:val="center"/>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附件</w:t>
      </w: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360" w:lineRule="auto"/>
        <w:ind w:left="0" w:right="0" w:firstLine="0"/>
        <w:jc w:val="center"/>
        <w:rPr>
          <w:rFonts w:ascii="仿宋" w:eastAsia="仿宋" w:cs="仿宋" w:hint="eastAsia"/>
          <w:b/>
          <w:color w:val="auto"/>
          <w:spacing w:val="0"/>
          <w:position w:val="0"/>
          <w:sz w:val="32"/>
          <w:szCs w:val="32"/>
          <w:shd w:val="clear" w:color="auto" w:fill="auto"/>
        </w:rPr>
      </w:pPr>
      <w:r>
        <w:rPr>
          <w:rFonts w:ascii="仿宋" w:eastAsia="仿宋" w:cs="仿宋" w:hint="eastAsia"/>
          <w:b/>
          <w:color w:val="auto"/>
          <w:spacing w:val="0"/>
          <w:position w:val="0"/>
          <w:sz w:val="32"/>
          <w:szCs w:val="32"/>
          <w:shd w:val="clear" w:color="auto" w:fill="auto"/>
        </w:rPr>
        <w:t>202</w:t>
      </w:r>
      <w:r>
        <w:rPr>
          <w:rFonts w:ascii="仿宋" w:eastAsia="仿宋" w:cs="仿宋" w:hint="eastAsia"/>
          <w:b/>
          <w:color w:val="auto"/>
          <w:spacing w:val="0"/>
          <w:position w:val="0"/>
          <w:sz w:val="32"/>
          <w:szCs w:val="32"/>
          <w:shd w:val="clear" w:color="auto" w:fill="auto"/>
          <w:lang w:val="en-US" w:eastAsia="zh-CN"/>
        </w:rPr>
        <w:t>2</w:t>
      </w:r>
      <w:r>
        <w:rPr>
          <w:rFonts w:ascii="仿宋" w:eastAsia="仿宋" w:cs="仿宋" w:hint="eastAsia"/>
          <w:b/>
          <w:color w:val="auto"/>
          <w:spacing w:val="0"/>
          <w:position w:val="0"/>
          <w:sz w:val="32"/>
          <w:szCs w:val="32"/>
          <w:shd w:val="clear" w:color="auto" w:fill="auto"/>
        </w:rPr>
        <w:t>年金川县卫生系统</w:t>
      </w:r>
    </w:p>
    <w:p>
      <w:pPr>
        <w:spacing w:before="0" w:after="0" w:line="360" w:lineRule="auto"/>
        <w:ind w:left="0" w:right="0" w:firstLine="0"/>
        <w:jc w:val="center"/>
        <w:rPr>
          <w:rFonts w:ascii="仿宋" w:eastAsia="仿宋" w:cs="仿宋" w:hint="eastAsia"/>
          <w:b/>
          <w:color w:val="auto"/>
          <w:spacing w:val="0"/>
          <w:position w:val="0"/>
          <w:sz w:val="32"/>
          <w:szCs w:val="32"/>
          <w:shd w:val="clear" w:color="auto" w:fill="auto"/>
        </w:rPr>
      </w:pPr>
      <w:r>
        <w:rPr>
          <w:rFonts w:ascii="仿宋" w:eastAsia="仿宋" w:cs="仿宋" w:hint="eastAsia"/>
          <w:b/>
          <w:color w:val="auto"/>
          <w:spacing w:val="0"/>
          <w:position w:val="0"/>
          <w:sz w:val="32"/>
          <w:szCs w:val="32"/>
          <w:shd w:val="clear" w:color="auto" w:fill="auto"/>
        </w:rPr>
        <w:t>部门整体支出绩效报告</w:t>
      </w:r>
    </w:p>
    <w:p>
      <w:pPr>
        <w:spacing w:before="0" w:after="0" w:line="240" w:lineRule="auto"/>
        <w:ind w:left="0" w:right="0" w:firstLine="48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根据金川县财政</w:t>
      </w:r>
      <w:r>
        <w:rPr>
          <w:rFonts w:ascii="仿宋" w:eastAsia="仿宋" w:cs="仿宋" w:hint="eastAsia"/>
          <w:color w:val="auto"/>
          <w:spacing w:val="0"/>
          <w:position w:val="0"/>
          <w:sz w:val="32"/>
          <w:szCs w:val="32"/>
          <w:shd w:val="clear" w:color="auto" w:fill="auto"/>
          <w:lang w:eastAsia="zh-CN"/>
        </w:rPr>
        <w:t>单位</w:t>
      </w:r>
      <w:r>
        <w:rPr>
          <w:rFonts w:ascii="仿宋" w:eastAsia="仿宋" w:cs="仿宋" w:hint="eastAsia"/>
          <w:color w:val="auto"/>
          <w:spacing w:val="0"/>
          <w:position w:val="0"/>
          <w:sz w:val="32"/>
          <w:szCs w:val="32"/>
          <w:shd w:val="clear" w:color="auto" w:fill="auto"/>
        </w:rPr>
        <w:t>关于开展202</w:t>
      </w:r>
      <w:r>
        <w:rPr>
          <w:rFonts w:ascii="仿宋" w:eastAsia="仿宋" w:cs="仿宋" w:hint="eastAsia"/>
          <w:color w:val="auto"/>
          <w:spacing w:val="0"/>
          <w:position w:val="0"/>
          <w:sz w:val="32"/>
          <w:szCs w:val="32"/>
          <w:shd w:val="clear" w:color="auto" w:fill="auto"/>
          <w:lang w:val="en-US" w:eastAsia="zh-CN"/>
        </w:rPr>
        <w:t>2</w:t>
      </w:r>
      <w:r>
        <w:rPr>
          <w:rFonts w:ascii="仿宋" w:eastAsia="仿宋" w:cs="仿宋" w:hint="eastAsia"/>
          <w:color w:val="auto"/>
          <w:spacing w:val="0"/>
          <w:position w:val="0"/>
          <w:sz w:val="32"/>
          <w:szCs w:val="32"/>
          <w:shd w:val="clear" w:color="auto" w:fill="auto"/>
        </w:rPr>
        <w:t>年财政支出绩效评价工作的要求，我</w:t>
      </w:r>
      <w:r>
        <w:rPr>
          <w:rFonts w:ascii="仿宋" w:eastAsia="仿宋" w:cs="仿宋" w:hint="eastAsia"/>
          <w:color w:val="auto"/>
          <w:spacing w:val="0"/>
          <w:position w:val="0"/>
          <w:sz w:val="32"/>
          <w:szCs w:val="32"/>
          <w:shd w:val="clear" w:color="auto" w:fill="auto"/>
          <w:lang w:eastAsia="zh-CN"/>
        </w:rPr>
        <w:t>单位</w:t>
      </w:r>
      <w:r>
        <w:rPr>
          <w:rFonts w:ascii="仿宋" w:eastAsia="仿宋" w:cs="仿宋" w:hint="eastAsia"/>
          <w:color w:val="auto"/>
          <w:spacing w:val="0"/>
          <w:position w:val="0"/>
          <w:sz w:val="32"/>
          <w:szCs w:val="32"/>
          <w:shd w:val="clear" w:color="auto" w:fill="auto"/>
        </w:rPr>
        <w:t>高度重视，赓即</w:t>
      </w:r>
      <w:r>
        <w:rPr>
          <w:rFonts w:ascii="仿宋" w:eastAsia="仿宋" w:cs="仿宋" w:hint="eastAsia"/>
          <w:color w:val="000000"/>
          <w:spacing w:val="0"/>
          <w:position w:val="0"/>
          <w:sz w:val="32"/>
          <w:szCs w:val="32"/>
          <w:shd w:val="clear" w:color="auto" w:fill="auto"/>
        </w:rPr>
        <w:t>成立了绩效评价工作组负责开展202</w:t>
      </w:r>
      <w:r>
        <w:rPr>
          <w:rFonts w:ascii="仿宋" w:eastAsia="仿宋" w:cs="仿宋" w:hint="eastAsia"/>
          <w:color w:val="000000"/>
          <w:spacing w:val="0"/>
          <w:position w:val="0"/>
          <w:sz w:val="32"/>
          <w:szCs w:val="32"/>
          <w:shd w:val="clear" w:color="auto" w:fill="auto"/>
          <w:lang w:val="en-US" w:eastAsia="zh-CN"/>
        </w:rPr>
        <w:t>2</w:t>
      </w:r>
      <w:r>
        <w:rPr>
          <w:rFonts w:ascii="仿宋" w:eastAsia="仿宋" w:cs="仿宋" w:hint="eastAsia"/>
          <w:color w:val="000000"/>
          <w:spacing w:val="0"/>
          <w:position w:val="0"/>
          <w:sz w:val="32"/>
          <w:szCs w:val="32"/>
          <w:shd w:val="clear" w:color="auto" w:fill="auto"/>
        </w:rPr>
        <w:t>年财政支出绩效评价。成立由局长任组长各股室为成员的绩效评价领导小组，下设绩效评价办公室于财务室，负责评价工作组织、开展、资料收集、评价报告的</w:t>
      </w:r>
      <w:r>
        <w:rPr>
          <w:rFonts w:ascii="仿宋" w:eastAsia="仿宋" w:cs="仿宋" w:hint="eastAsia"/>
          <w:color w:val="auto"/>
          <w:spacing w:val="0"/>
          <w:position w:val="0"/>
          <w:sz w:val="32"/>
          <w:szCs w:val="32"/>
          <w:shd w:val="clear" w:color="auto" w:fill="auto"/>
        </w:rPr>
        <w:t>撰写及</w:t>
      </w:r>
      <w:r>
        <w:rPr>
          <w:rFonts w:ascii="仿宋" w:eastAsia="仿宋" w:cs="仿宋" w:hint="eastAsia"/>
          <w:color w:val="000000"/>
          <w:spacing w:val="0"/>
          <w:position w:val="0"/>
          <w:sz w:val="32"/>
          <w:szCs w:val="32"/>
          <w:shd w:val="clear" w:color="auto" w:fill="auto"/>
        </w:rPr>
        <w:t>上报等日常工作。</w:t>
      </w:r>
    </w:p>
    <w:p>
      <w:pPr>
        <w:spacing w:before="0" w:after="0" w:line="240" w:lineRule="auto"/>
        <w:ind w:left="0" w:right="0" w:firstLine="480"/>
        <w:jc w:val="both"/>
        <w:rPr>
          <w:rFonts w:ascii="仿宋" w:eastAsia="仿宋" w:cs="仿宋" w:hint="eastAsia"/>
          <w:color w:val="auto"/>
          <w:spacing w:val="0"/>
          <w:position w:val="0"/>
          <w:sz w:val="32"/>
          <w:szCs w:val="32"/>
          <w:shd w:val="clear" w:color="auto" w:fill="auto"/>
        </w:rPr>
      </w:pPr>
    </w:p>
    <w:p>
      <w:pPr>
        <w:spacing w:before="0" w:after="0" w:line="360" w:lineRule="auto"/>
        <w:ind w:left="0" w:right="0" w:firstLine="72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一、部门（单位）概况</w:t>
      </w:r>
    </w:p>
    <w:p>
      <w:pPr>
        <w:spacing w:before="0" w:after="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（一）机构组成。</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金川县卫生健康</w:t>
      </w:r>
      <w:r>
        <w:rPr>
          <w:rFonts w:ascii="仿宋" w:eastAsia="仿宋" w:cs="仿宋" w:hint="eastAsia"/>
          <w:color w:val="auto"/>
          <w:spacing w:val="0"/>
          <w:position w:val="0"/>
          <w:sz w:val="32"/>
          <w:szCs w:val="32"/>
          <w:shd w:val="clear" w:color="auto" w:fill="auto"/>
          <w:lang w:eastAsia="zh-CN"/>
        </w:rPr>
        <w:t>执法中队</w:t>
      </w:r>
      <w:r>
        <w:rPr>
          <w:rFonts w:ascii="仿宋" w:eastAsia="仿宋" w:cs="仿宋" w:hint="eastAsia"/>
          <w:color w:val="auto"/>
          <w:spacing w:val="0"/>
          <w:position w:val="0"/>
          <w:sz w:val="32"/>
          <w:szCs w:val="32"/>
          <w:shd w:val="clear" w:color="auto" w:fill="auto"/>
        </w:rPr>
        <w:t>，独立编制机构数1个，独立核算机构数1个，为行政单位；</w:t>
      </w:r>
    </w:p>
    <w:p>
      <w:pPr>
        <w:spacing w:before="0" w:after="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（二）机构职能</w:t>
      </w:r>
    </w:p>
    <w:p>
      <w:pPr>
        <w:spacing w:before="0" w:after="0" w:line="360" w:lineRule="auto"/>
        <w:ind w:left="0" w:right="0" w:firstLine="640"/>
        <w:jc w:val="left"/>
        <w:rPr>
          <w:rFonts w:ascii="仿宋" w:eastAsia="仿宋" w:cs="仿宋" w:hint="eastAsia"/>
          <w:color w:val="333333"/>
          <w:spacing w:val="0"/>
          <w:position w:val="0"/>
          <w:sz w:val="32"/>
          <w:szCs w:val="32"/>
          <w:shd w:val="clear" w:color="auto" w:fill="FFFFFF"/>
        </w:rPr>
      </w:pPr>
      <w:r>
        <w:rPr>
          <w:rFonts w:ascii="仿宋" w:eastAsia="仿宋" w:cs="仿宋" w:hint="eastAsia"/>
          <w:color w:val="333333"/>
          <w:spacing w:val="0"/>
          <w:position w:val="0"/>
          <w:sz w:val="32"/>
          <w:szCs w:val="32"/>
          <w:shd w:val="clear" w:color="auto" w:fill="FFFFFF"/>
        </w:rPr>
        <w:t>贯彻落实国家关于卫生健康工作的方针政策和法律法规。负责起草卫生健康、中医药事业发展的地方性法规和县政府规章草案，拟定政策规划，制定地方标准的技术规范。负责协调推进全县医药卫生体制改革和医疗保障，统筹规划全县卫生和计划生育服务资源配置，指导区域卫生和计划生育规划的编制和实施。</w:t>
      </w:r>
    </w:p>
    <w:p>
      <w:pPr>
        <w:spacing w:before="0" w:after="0" w:line="360" w:lineRule="auto"/>
        <w:ind w:left="0" w:right="0" w:firstLine="480"/>
        <w:jc w:val="left"/>
        <w:rPr>
          <w:rFonts w:ascii="仿宋" w:eastAsia="仿宋" w:cs="仿宋" w:hint="eastAsia"/>
          <w:color w:val="333333"/>
          <w:spacing w:val="0"/>
          <w:position w:val="0"/>
          <w:sz w:val="32"/>
          <w:szCs w:val="32"/>
          <w:shd w:val="clear" w:color="auto" w:fill="FFFFFF"/>
        </w:rPr>
      </w:pPr>
      <w:r>
        <w:rPr>
          <w:rFonts w:ascii="仿宋" w:eastAsia="仿宋" w:cs="仿宋" w:hint="eastAsia"/>
          <w:color w:val="auto"/>
          <w:spacing w:val="0"/>
          <w:position w:val="0"/>
          <w:sz w:val="32"/>
          <w:szCs w:val="32"/>
          <w:shd w:val="clear" w:color="auto" w:fill="auto"/>
        </w:rPr>
        <w:t xml:space="preserve"> </w:t>
      </w:r>
      <w:r>
        <w:rPr>
          <w:rFonts w:ascii="仿宋" w:eastAsia="仿宋" w:cs="仿宋" w:hint="eastAsia"/>
          <w:color w:val="333333"/>
          <w:spacing w:val="0"/>
          <w:position w:val="0"/>
          <w:sz w:val="32"/>
          <w:szCs w:val="32"/>
          <w:shd w:val="clear" w:color="auto" w:fill="FFFFFF"/>
        </w:rPr>
        <w:t>贯彻落实国家药物政策和国家基本药物制度，执行国家药品法典和国家基本药物目录、制定我县基本药物的采购、配送、使用的政策措施并会同有关部门组织实施。 </w:t>
      </w:r>
    </w:p>
    <w:p>
      <w:pPr>
        <w:spacing w:before="0" w:after="0" w:line="360" w:lineRule="auto"/>
        <w:ind w:left="0" w:right="0" w:firstLine="480"/>
        <w:jc w:val="left"/>
        <w:rPr>
          <w:rFonts w:ascii="仿宋" w:eastAsia="仿宋" w:cs="仿宋" w:hint="eastAsia"/>
          <w:color w:val="333333"/>
          <w:spacing w:val="0"/>
          <w:position w:val="0"/>
          <w:sz w:val="32"/>
          <w:szCs w:val="32"/>
          <w:shd w:val="clear" w:color="auto" w:fill="FFFFFF"/>
        </w:rPr>
      </w:pPr>
      <w:r>
        <w:rPr>
          <w:rFonts w:ascii="仿宋" w:eastAsia="仿宋" w:cs="仿宋" w:hint="eastAsia"/>
          <w:color w:val="333333"/>
          <w:spacing w:val="0"/>
          <w:position w:val="0"/>
          <w:sz w:val="32"/>
          <w:szCs w:val="32"/>
          <w:shd w:val="clear" w:color="auto" w:fill="FFFFFF"/>
        </w:rPr>
        <w:t>拟定全县卫生健康人才发展规划，指导卫生健康人才队伍建设。加强全科医生等急需紧缺专业人才培养，贯彻落实国家住院医师和专科医师规范化培训制度。</w:t>
      </w:r>
    </w:p>
    <w:p>
      <w:pPr>
        <w:spacing w:before="0" w:after="0" w:line="360" w:lineRule="auto"/>
        <w:ind w:left="0" w:right="0" w:firstLine="0"/>
        <w:jc w:val="left"/>
        <w:rPr>
          <w:rFonts w:ascii="仿宋" w:eastAsia="仿宋" w:cs="仿宋" w:hint="eastAsia"/>
          <w:color w:val="333333"/>
          <w:spacing w:val="0"/>
          <w:position w:val="0"/>
          <w:sz w:val="32"/>
          <w:szCs w:val="32"/>
          <w:shd w:val="clear" w:color="auto" w:fill="FFFFFF"/>
        </w:rPr>
      </w:pPr>
      <w:r>
        <w:rPr>
          <w:rFonts w:ascii="仿宋" w:eastAsia="仿宋" w:cs="仿宋" w:hint="eastAsia"/>
          <w:color w:val="333333"/>
          <w:spacing w:val="0"/>
          <w:position w:val="0"/>
          <w:sz w:val="32"/>
          <w:szCs w:val="32"/>
          <w:shd w:val="clear" w:color="auto" w:fill="FFFFFF"/>
        </w:rPr>
        <w:t>   负责卫生健康与宣传、健康教育、健康促进和信息化建设等工作，依法组织实施统计调查，参与县人口基础信息库建设。</w:t>
      </w:r>
    </w:p>
    <w:p>
      <w:pPr>
        <w:spacing w:before="0" w:after="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（三）人员概况。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我</w:t>
      </w:r>
      <w:r>
        <w:rPr>
          <w:rFonts w:ascii="仿宋" w:eastAsia="仿宋" w:cs="仿宋" w:hint="eastAsia"/>
          <w:color w:val="auto"/>
          <w:spacing w:val="0"/>
          <w:position w:val="0"/>
          <w:sz w:val="32"/>
          <w:szCs w:val="32"/>
          <w:shd w:val="clear" w:color="auto" w:fill="auto"/>
          <w:lang w:eastAsia="zh-CN"/>
        </w:rPr>
        <w:t>单位</w:t>
      </w:r>
      <w:r>
        <w:rPr>
          <w:rFonts w:ascii="仿宋" w:eastAsia="仿宋" w:cs="仿宋" w:hint="eastAsia"/>
          <w:color w:val="auto"/>
          <w:spacing w:val="0"/>
          <w:position w:val="0"/>
          <w:sz w:val="32"/>
          <w:szCs w:val="32"/>
          <w:shd w:val="clear" w:color="auto" w:fill="auto"/>
        </w:rPr>
        <w:t>2022年末实有人数</w:t>
      </w:r>
      <w:r>
        <w:rPr>
          <w:rFonts w:ascii="仿宋" w:eastAsia="仿宋" w:cs="仿宋" w:hint="eastAsia"/>
          <w:color w:val="auto"/>
          <w:spacing w:val="0"/>
          <w:position w:val="0"/>
          <w:sz w:val="32"/>
          <w:szCs w:val="32"/>
          <w:shd w:val="clear" w:color="auto" w:fill="auto"/>
          <w:lang w:val="en-US" w:eastAsia="zh-CN"/>
        </w:rPr>
        <w:t>6</w:t>
      </w:r>
      <w:r>
        <w:rPr>
          <w:rFonts w:ascii="仿宋" w:eastAsia="仿宋" w:cs="仿宋" w:hint="eastAsia"/>
          <w:color w:val="auto"/>
          <w:spacing w:val="0"/>
          <w:position w:val="0"/>
          <w:sz w:val="32"/>
          <w:szCs w:val="32"/>
          <w:shd w:val="clear" w:color="auto" w:fill="auto"/>
        </w:rPr>
        <w:t>人，其中：</w:t>
      </w:r>
      <w:r>
        <w:rPr>
          <w:rFonts w:ascii="仿宋" w:eastAsia="仿宋" w:cs="仿宋" w:hint="eastAsia"/>
          <w:color w:val="auto"/>
          <w:spacing w:val="0"/>
          <w:position w:val="0"/>
          <w:sz w:val="32"/>
          <w:szCs w:val="32"/>
          <w:shd w:val="clear" w:color="auto" w:fill="auto"/>
          <w:lang w:eastAsia="zh-CN"/>
        </w:rPr>
        <w:t>参公</w:t>
      </w:r>
      <w:r>
        <w:rPr>
          <w:rFonts w:ascii="仿宋" w:eastAsia="仿宋" w:cs="仿宋" w:hint="eastAsia"/>
          <w:color w:val="auto"/>
          <w:spacing w:val="0"/>
          <w:position w:val="0"/>
          <w:sz w:val="32"/>
          <w:szCs w:val="32"/>
          <w:shd w:val="clear" w:color="auto" w:fill="auto"/>
        </w:rPr>
        <w:t>行政人员</w:t>
      </w:r>
      <w:r>
        <w:rPr>
          <w:rFonts w:ascii="仿宋" w:eastAsia="仿宋" w:cs="仿宋" w:hint="eastAsia"/>
          <w:color w:val="auto"/>
          <w:spacing w:val="0"/>
          <w:position w:val="0"/>
          <w:sz w:val="32"/>
          <w:szCs w:val="32"/>
          <w:shd w:val="clear" w:color="auto" w:fill="auto"/>
          <w:lang w:val="en-US" w:eastAsia="zh-CN"/>
        </w:rPr>
        <w:t>6</w:t>
      </w:r>
      <w:r>
        <w:rPr>
          <w:rFonts w:ascii="仿宋" w:eastAsia="仿宋" w:cs="仿宋" w:hint="eastAsia"/>
          <w:color w:val="auto"/>
          <w:spacing w:val="0"/>
          <w:position w:val="0"/>
          <w:sz w:val="32"/>
          <w:szCs w:val="32"/>
          <w:shd w:val="clear" w:color="auto" w:fill="auto"/>
        </w:rPr>
        <w:t>人。</w:t>
      </w:r>
    </w:p>
    <w:p>
      <w:pPr>
        <w:spacing w:before="0" w:after="0" w:line="360" w:lineRule="auto"/>
        <w:ind w:left="0" w:right="0" w:firstLine="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 xml:space="preserve">   </w:t>
      </w:r>
    </w:p>
    <w:p>
      <w:pPr>
        <w:spacing w:before="0" w:after="0" w:line="360" w:lineRule="auto"/>
        <w:ind w:left="0" w:right="0" w:firstLine="72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二、部门财政资金收支情况</w:t>
      </w:r>
    </w:p>
    <w:p>
      <w:pPr>
        <w:spacing w:before="240" w:after="24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（一）部门财政资金收入情况。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2022年度总收入115.866554万元，较上年收入增加了115.866554万元，同比增加100%，增加的主要原因为机构改革，无上一年数据作比较。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2022年总支出115.866554万元，较上年支出增加了   115.866554万元，同比增加100%，主要原因为机构改革，无上一年数据作比较。</w:t>
      </w:r>
    </w:p>
    <w:p>
      <w:pPr>
        <w:spacing w:before="0" w:after="0" w:line="240" w:lineRule="auto"/>
        <w:ind w:left="0" w:right="0" w:firstLine="709"/>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（2）单位本年度政府性基金预算财政拨款收入</w:t>
      </w:r>
      <w:r>
        <w:rPr>
          <w:rFonts w:ascii="仿宋" w:eastAsia="仿宋" w:cs="仿宋" w:hint="eastAsia"/>
          <w:color w:val="000000"/>
          <w:spacing w:val="0"/>
          <w:position w:val="0"/>
          <w:sz w:val="32"/>
          <w:szCs w:val="32"/>
          <w:u w:val="single"/>
          <w:shd w:val="clear" w:color="auto" w:fill="auto"/>
        </w:rPr>
        <w:t xml:space="preserve">0 </w:t>
      </w:r>
      <w:r>
        <w:rPr>
          <w:rFonts w:ascii="仿宋" w:eastAsia="仿宋" w:cs="仿宋" w:hint="eastAsia"/>
          <w:color w:val="000000"/>
          <w:spacing w:val="0"/>
          <w:position w:val="0"/>
          <w:sz w:val="32"/>
          <w:szCs w:val="32"/>
          <w:shd w:val="clear" w:color="auto" w:fill="auto"/>
        </w:rPr>
        <w:t>万元，财政部门拨款对账单</w:t>
      </w:r>
      <w:r>
        <w:rPr>
          <w:rFonts w:ascii="仿宋" w:eastAsia="仿宋" w:cs="仿宋" w:hint="eastAsia"/>
          <w:color w:val="000000"/>
          <w:spacing w:val="0"/>
          <w:position w:val="0"/>
          <w:sz w:val="32"/>
          <w:szCs w:val="32"/>
          <w:u w:val="single"/>
          <w:shd w:val="clear" w:color="auto" w:fill="auto"/>
        </w:rPr>
        <w:t>  0</w:t>
      </w:r>
      <w:r>
        <w:rPr>
          <w:rFonts w:ascii="仿宋" w:eastAsia="仿宋" w:cs="仿宋" w:hint="eastAsia"/>
          <w:color w:val="000000"/>
          <w:spacing w:val="0"/>
          <w:position w:val="0"/>
          <w:sz w:val="32"/>
          <w:szCs w:val="32"/>
          <w:shd w:val="clear" w:color="auto" w:fill="auto"/>
        </w:rPr>
        <w:t>万元，差额</w:t>
      </w:r>
      <w:r>
        <w:rPr>
          <w:rFonts w:ascii="仿宋" w:eastAsia="仿宋" w:cs="仿宋" w:hint="eastAsia"/>
          <w:color w:val="000000"/>
          <w:spacing w:val="0"/>
          <w:position w:val="0"/>
          <w:sz w:val="32"/>
          <w:szCs w:val="32"/>
          <w:u w:val="single"/>
          <w:shd w:val="clear" w:color="auto" w:fill="auto"/>
        </w:rPr>
        <w:t xml:space="preserve">  0 </w:t>
      </w:r>
      <w:r>
        <w:rPr>
          <w:rFonts w:ascii="仿宋" w:eastAsia="仿宋" w:cs="仿宋" w:hint="eastAsia"/>
          <w:color w:val="000000"/>
          <w:spacing w:val="0"/>
          <w:position w:val="0"/>
          <w:sz w:val="32"/>
          <w:szCs w:val="32"/>
          <w:shd w:val="clear" w:color="auto" w:fill="auto"/>
        </w:rPr>
        <w:t>万元。</w:t>
      </w:r>
    </w:p>
    <w:p>
      <w:pPr>
        <w:spacing w:before="240" w:after="24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（二）部门财政资金支出情况。</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2022年金川县卫生综合行政执法中队本年支出合计115.866554万元，其中：教育支出0万元，社会保障和就业支出13.493568万元，卫生健康支出94.450586万元，农林水支出0万元，住房保障支出7.9224万元，其他支出0万元。</w:t>
      </w:r>
    </w:p>
    <w:p>
      <w:pPr>
        <w:spacing w:before="0" w:after="0" w:line="240" w:lineRule="auto"/>
        <w:ind w:left="0" w:right="0" w:firstLine="640"/>
        <w:jc w:val="both"/>
        <w:rPr>
          <w:rFonts w:ascii="仿宋" w:eastAsia="仿宋" w:cs="仿宋" w:hint="eastAsia"/>
          <w:color w:val="auto"/>
          <w:spacing w:val="0"/>
          <w:position w:val="0"/>
          <w:sz w:val="32"/>
          <w:szCs w:val="32"/>
          <w:shd w:val="clear" w:color="auto" w:fill="auto"/>
        </w:rPr>
      </w:pPr>
      <w:r>
        <w:rPr>
          <w:rFonts w:ascii="仿宋" w:eastAsia="仿宋" w:cs="仿宋" w:hint="eastAsia"/>
          <w:color w:val="auto"/>
          <w:spacing w:val="0"/>
          <w:position w:val="0"/>
          <w:sz w:val="32"/>
          <w:szCs w:val="32"/>
          <w:shd w:val="clear" w:color="auto" w:fill="auto"/>
        </w:rPr>
        <w:t>2022年“三公”经费财政拨款支出决算0万元，其中：因公出国（境）费支出决算0万元，占0%；公务用车购置及运行维护费支出决算0万元，占0%；公务接待费支出决算0万元，占0%。我单位认真“贯彻落实中央八项规定”精神和厉行节约要求，进一步从严控制“三公”经费开支，全年公车运行经费实际支出比预算有所节约。</w:t>
      </w:r>
    </w:p>
    <w:p>
      <w:pPr>
        <w:spacing w:before="0" w:after="0" w:line="240" w:lineRule="auto"/>
        <w:ind w:left="0" w:right="0" w:firstLine="72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72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三、预算、执行、综合管理情况</w:t>
      </w:r>
    </w:p>
    <w:p>
      <w:pPr>
        <w:spacing w:before="240" w:after="24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（一）预算编制情况。</w:t>
      </w:r>
    </w:p>
    <w:p>
      <w:pPr>
        <w:spacing w:before="0" w:after="0" w:line="360" w:lineRule="auto"/>
        <w:ind w:left="0" w:right="0" w:firstLine="480"/>
        <w:jc w:val="left"/>
        <w:rPr>
          <w:rFonts w:ascii="仿宋" w:eastAsia="仿宋" w:cs="仿宋" w:hint="eastAsia"/>
          <w:color w:val="000000"/>
          <w:spacing w:val="0"/>
          <w:position w:val="0"/>
          <w:sz w:val="32"/>
          <w:szCs w:val="32"/>
          <w:shd w:val="clear" w:color="auto" w:fill="FFFFFF"/>
        </w:rPr>
      </w:pPr>
      <w:r>
        <w:rPr>
          <w:rFonts w:ascii="仿宋" w:eastAsia="仿宋" w:cs="仿宋" w:hint="eastAsia"/>
          <w:color w:val="000000"/>
          <w:spacing w:val="0"/>
          <w:position w:val="0"/>
          <w:sz w:val="32"/>
          <w:szCs w:val="32"/>
          <w:shd w:val="clear" w:color="auto" w:fill="FAFAFA"/>
        </w:rPr>
        <w:t>严格按照财政预算统一口径编制预算，编制预算按照二上二下的程序，并明确绩效目标，项目经费使用提前细化并报财政和县政府分管领导同意。</w:t>
      </w:r>
      <w:r>
        <w:rPr>
          <w:rFonts w:ascii="仿宋" w:eastAsia="仿宋" w:cs="仿宋" w:hint="eastAsia"/>
          <w:color w:val="000000"/>
          <w:spacing w:val="0"/>
          <w:position w:val="0"/>
          <w:sz w:val="32"/>
          <w:szCs w:val="32"/>
          <w:shd w:val="clear" w:color="auto" w:fill="FFFFFF"/>
        </w:rPr>
        <w:t>对本年度相应用款进行及时清理和处理，做到账账相符、账实相符、账证相符，先有预算再有支出的原则，及时处理相关事务；对绩效目标进行季度梳理和年度分析，及时上报相关报表；对专项预算提前细化，分科目上报，做到收支平衡；项目申报严格按照上级要求，明确绩效目标，控制执行成本，提高项目发挥作用。并根据财政局统一要求编制了我会整体绩效目标报告及项目整体绩效目标表，并报县财政局。</w:t>
      </w:r>
    </w:p>
    <w:p>
      <w:pPr>
        <w:spacing w:before="240" w:after="24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（二）执行管理情况。</w:t>
        <w:tab/>
      </w:r>
    </w:p>
    <w:p>
      <w:pPr>
        <w:spacing w:before="0" w:after="0" w:line="240" w:lineRule="auto"/>
        <w:ind w:left="0" w:right="0" w:firstLine="560"/>
        <w:jc w:val="both"/>
        <w:rPr>
          <w:rFonts w:ascii="仿宋" w:eastAsia="仿宋" w:cs="仿宋" w:hint="eastAsia"/>
          <w:color w:val="000000"/>
          <w:spacing w:val="0"/>
          <w:position w:val="0"/>
          <w:sz w:val="32"/>
          <w:szCs w:val="32"/>
          <w:shd w:val="clear" w:color="auto" w:fill="FAFAFA"/>
        </w:rPr>
      </w:pPr>
      <w:r>
        <w:rPr>
          <w:rFonts w:ascii="仿宋" w:eastAsia="仿宋" w:cs="仿宋" w:hint="eastAsia"/>
          <w:color w:val="000000"/>
          <w:spacing w:val="0"/>
          <w:position w:val="0"/>
          <w:sz w:val="32"/>
          <w:szCs w:val="32"/>
          <w:shd w:val="clear" w:color="auto" w:fill="FAFAFA"/>
        </w:rPr>
        <w:t>我单位严格按照分配情况进行资金支付，</w:t>
      </w:r>
      <w:r>
        <w:rPr>
          <w:rFonts w:ascii="仿宋" w:eastAsia="仿宋" w:cs="仿宋" w:hint="eastAsia"/>
          <w:color w:val="333333"/>
          <w:spacing w:val="0"/>
          <w:position w:val="0"/>
          <w:sz w:val="32"/>
          <w:szCs w:val="32"/>
          <w:shd w:val="clear" w:color="auto" w:fill="FFFFFF"/>
        </w:rPr>
        <w:t>本着少花钱、多办事、办好事、遵循有预算才支出，无预审不支出的原则。</w:t>
      </w:r>
      <w:r>
        <w:rPr>
          <w:rFonts w:ascii="仿宋" w:eastAsia="仿宋" w:cs="仿宋" w:hint="eastAsia"/>
          <w:color w:val="000000"/>
          <w:spacing w:val="0"/>
          <w:position w:val="0"/>
          <w:sz w:val="32"/>
          <w:szCs w:val="32"/>
          <w:shd w:val="clear" w:color="auto" w:fill="FAFAFA"/>
        </w:rPr>
        <w:t>部门预算执行进度严格按照预算执行、</w:t>
      </w:r>
      <w:r>
        <w:rPr>
          <w:rFonts w:ascii="仿宋" w:eastAsia="仿宋" w:cs="仿宋" w:hint="eastAsia"/>
          <w:color w:val="000000"/>
          <w:spacing w:val="0"/>
          <w:position w:val="0"/>
          <w:sz w:val="32"/>
          <w:szCs w:val="32"/>
          <w:shd w:val="clear" w:color="auto" w:fill="FFFFFF"/>
        </w:rPr>
        <w:t>严格按照各级财务规定，管好、用好每笔资金，在专项资金使用过程中严格按照项目资金管理办法的规定做好项目实施和监管，切实做到专款专用，从而发挥好项目资金对项目实施的促进作用；对涉及专项资金支出额度较大时，实行召开会议研究决定，杜绝违规违法事件的发生。在每年年中对所有项目进行中期评估，认真核查项目的进展，梳理全年目标任务的完成情况，确保了项目按时完成和财政资金的安全使用，</w:t>
      </w:r>
      <w:r>
        <w:rPr>
          <w:rFonts w:ascii="仿宋" w:eastAsia="仿宋" w:cs="仿宋" w:hint="eastAsia"/>
          <w:color w:val="000000"/>
          <w:spacing w:val="0"/>
          <w:position w:val="0"/>
          <w:sz w:val="32"/>
          <w:szCs w:val="32"/>
          <w:shd w:val="clear" w:color="auto" w:fill="FAFAFA"/>
        </w:rPr>
        <w:t>节能降耗和“三公”经费实行厉行节约条例。</w:t>
      </w:r>
    </w:p>
    <w:p>
      <w:pPr>
        <w:spacing w:before="0" w:after="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（三）综合管理情况。</w:t>
      </w:r>
    </w:p>
    <w:p>
      <w:pPr>
        <w:spacing w:before="0" w:after="0" w:line="240" w:lineRule="auto"/>
        <w:ind w:left="0" w:right="0" w:firstLine="640"/>
        <w:jc w:val="left"/>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FFFFFF"/>
        </w:rPr>
        <w:t>我</w:t>
      </w:r>
      <w:r>
        <w:rPr>
          <w:rFonts w:ascii="仿宋" w:eastAsia="仿宋" w:cs="仿宋" w:hint="eastAsia"/>
          <w:color w:val="000000"/>
          <w:spacing w:val="0"/>
          <w:position w:val="0"/>
          <w:sz w:val="32"/>
          <w:szCs w:val="32"/>
          <w:shd w:val="clear" w:color="auto" w:fill="FFFFFF"/>
          <w:lang w:eastAsia="zh-CN"/>
        </w:rPr>
        <w:t>单位</w:t>
      </w:r>
      <w:r>
        <w:rPr>
          <w:rFonts w:ascii="仿宋" w:eastAsia="仿宋" w:cs="仿宋" w:hint="eastAsia"/>
          <w:color w:val="000000"/>
          <w:spacing w:val="0"/>
          <w:position w:val="0"/>
          <w:sz w:val="32"/>
          <w:szCs w:val="32"/>
          <w:shd w:val="clear" w:color="auto" w:fill="FFFFFF"/>
        </w:rPr>
        <w:t>执行行政财务管理规章制度，严格执行内控制度管理办法，实行会计核算和账务管理制度公开；政府采购制度公开公示，公开接受群众的监督；资产管理做到实时入账资产管理系统；</w:t>
      </w:r>
      <w:r>
        <w:rPr>
          <w:rFonts w:ascii="仿宋" w:eastAsia="仿宋" w:cs="仿宋" w:hint="eastAsia"/>
          <w:color w:val="auto"/>
          <w:spacing w:val="0"/>
          <w:position w:val="0"/>
          <w:sz w:val="32"/>
          <w:szCs w:val="32"/>
          <w:shd w:val="clear" w:color="auto" w:fill="FFFFFF"/>
        </w:rPr>
        <w:t>并加强内部控制管理，不断完善内部控制管理机制和办法，强化内部控制责任落实，并</w:t>
      </w:r>
      <w:r>
        <w:rPr>
          <w:rFonts w:ascii="仿宋" w:eastAsia="仿宋" w:cs="仿宋" w:hint="eastAsia"/>
          <w:color w:val="auto"/>
          <w:spacing w:val="0"/>
          <w:position w:val="0"/>
          <w:sz w:val="32"/>
          <w:szCs w:val="32"/>
          <w:shd w:val="clear" w:color="auto" w:fill="auto"/>
        </w:rPr>
        <w:t>认真贯彻执行《</w:t>
      </w:r>
      <w:r>
        <w:rPr>
          <w:rFonts w:ascii="仿宋" w:eastAsia="仿宋" w:cs="仿宋"/>
          <w:color w:val="auto"/>
          <w:spacing w:val="0"/>
          <w:position w:val="0"/>
          <w:sz w:val="32"/>
          <w:szCs w:val="32"/>
          <w:shd w:val="clear" w:color="auto" w:fill="auto"/>
        </w:rPr>
        <w:t>中华人民共和国</w:t>
      </w:r>
      <w:bookmarkStart w:id="0" w:name="_GoBack"/>
      <w:bookmarkEnd w:id="0"/>
      <w:r>
        <w:rPr>
          <w:rFonts w:ascii="仿宋" w:eastAsia="仿宋" w:cs="仿宋" w:hint="eastAsia"/>
          <w:color w:val="auto"/>
          <w:spacing w:val="0"/>
          <w:position w:val="0"/>
          <w:sz w:val="32"/>
          <w:szCs w:val="32"/>
          <w:shd w:val="clear" w:color="auto" w:fill="auto"/>
        </w:rPr>
        <w:t>会计法》，维护财经纪律，加强财务管理，搞好会计核算；严格遵守银行支付结算纪律，加强账户管理，按规定办理存款、取款结算。定期检查、清理银行账户的开立和使用情况，定期获取银行对账单，查实银行余额，编制银行存款余额调节表；报销票据的管理制度，作为报销依据的发票或收据必须符合税务、财政部门的统一规定，未经税务或财政部门统一印制、监制的发票和收据，一律不予报销；严格按照《机关和事业单位差旅费管理办法》执行，职工因公出差前要填写出差任务单，经股室负责人和主管领导审批后，作为借款和报销的依据，并粘贴在差旅费报销单上，报销差旅费时按规定填写《差旅费报销单》。</w:t>
      </w:r>
    </w:p>
    <w:p>
      <w:pPr>
        <w:spacing w:before="0" w:after="0" w:line="240" w:lineRule="auto"/>
        <w:ind w:left="0" w:right="0" w:firstLine="720"/>
        <w:jc w:val="left"/>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FFFFFF"/>
        </w:rPr>
        <w:t>预决算在规定时限内在政府门户网站公开接受群众监督；绩效管理严格按照上级部门要求，并接受财政局监察股的动态管理，开展自评工作，对评价结果及时总结上报，</w:t>
      </w:r>
      <w:r>
        <w:rPr>
          <w:rFonts w:ascii="仿宋" w:eastAsia="仿宋" w:cs="仿宋" w:hint="eastAsia"/>
          <w:color w:val="000000"/>
          <w:spacing w:val="0"/>
          <w:position w:val="0"/>
          <w:sz w:val="32"/>
          <w:szCs w:val="32"/>
          <w:shd w:val="clear" w:color="auto" w:fill="auto"/>
        </w:rPr>
        <w:t>依法接受财政监督。</w:t>
      </w:r>
    </w:p>
    <w:p>
      <w:pPr>
        <w:spacing w:before="0" w:after="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（四）整体绩效。</w:t>
      </w:r>
    </w:p>
    <w:p>
      <w:pPr>
        <w:spacing w:before="0" w:after="0" w:line="360" w:lineRule="auto"/>
        <w:ind w:left="0" w:right="0" w:firstLine="480"/>
        <w:jc w:val="left"/>
        <w:rPr>
          <w:rFonts w:ascii="仿宋" w:eastAsia="仿宋" w:cs="仿宋" w:hint="eastAsia"/>
          <w:color w:val="222222"/>
          <w:spacing w:val="0"/>
          <w:position w:val="0"/>
          <w:sz w:val="32"/>
          <w:szCs w:val="32"/>
          <w:shd w:val="clear" w:color="auto" w:fill="FFFFFF"/>
        </w:rPr>
      </w:pPr>
      <w:r>
        <w:rPr>
          <w:rFonts w:ascii="仿宋" w:eastAsia="仿宋" w:cs="仿宋" w:hint="eastAsia"/>
          <w:color w:val="222222"/>
          <w:spacing w:val="0"/>
          <w:position w:val="0"/>
          <w:sz w:val="32"/>
          <w:szCs w:val="32"/>
          <w:shd w:val="clear" w:color="auto" w:fill="FFFFFF"/>
        </w:rPr>
        <w:t>根据年初工作规划和重点性工作，积极履职，强化管理，较好地完成了工作目标。通过加强预算收支管理，不断建立健全内部管理制度，梳理内部管理流程，部门整体支出管理情况得到提升。根</w:t>
      </w:r>
      <w:r>
        <w:rPr>
          <w:rFonts w:ascii="仿宋" w:eastAsia="仿宋" w:cs="仿宋" w:hint="eastAsia"/>
          <w:color w:val="666666"/>
          <w:spacing w:val="0"/>
          <w:position w:val="0"/>
          <w:sz w:val="32"/>
          <w:szCs w:val="32"/>
          <w:shd w:val="clear" w:color="auto" w:fill="FFFFFF"/>
        </w:rPr>
        <w:t>据</w:t>
      </w:r>
      <w:r>
        <w:rPr>
          <w:rFonts w:ascii="仿宋" w:eastAsia="仿宋" w:cs="仿宋" w:hint="eastAsia"/>
          <w:color w:val="222222"/>
          <w:spacing w:val="0"/>
          <w:position w:val="0"/>
          <w:sz w:val="32"/>
          <w:szCs w:val="32"/>
          <w:shd w:val="clear" w:color="auto" w:fill="FFFFFF"/>
        </w:rPr>
        <w:t>预算安排的基本支出保障了正常的工作运转，预算安排的项目支出是非常必要的，在执行上是严格遵守各项财经纪律的，在项目资金的使用上也是放的心的，严守法律底线、纪律底线、道德底线，半年服务对象满意度为100%。</w:t>
      </w:r>
    </w:p>
    <w:p>
      <w:pPr>
        <w:spacing w:before="0" w:after="0" w:line="240" w:lineRule="auto"/>
        <w:ind w:left="0" w:right="0" w:firstLine="720"/>
        <w:jc w:val="both"/>
        <w:rPr>
          <w:rFonts w:ascii="仿宋" w:eastAsia="仿宋" w:cs="仿宋" w:hint="eastAsia"/>
          <w:color w:val="000000"/>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四、评价结论及建议</w:t>
      </w:r>
    </w:p>
    <w:p>
      <w:pPr>
        <w:spacing w:before="0" w:after="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（一）评价结论。</w:t>
      </w:r>
    </w:p>
    <w:p>
      <w:pPr>
        <w:spacing w:before="0" w:after="0" w:line="360" w:lineRule="auto"/>
        <w:ind w:left="0" w:right="0" w:firstLine="480"/>
        <w:jc w:val="left"/>
        <w:rPr>
          <w:rFonts w:ascii="仿宋" w:eastAsia="仿宋" w:cs="仿宋" w:hint="eastAsia"/>
          <w:color w:val="000000"/>
          <w:spacing w:val="0"/>
          <w:position w:val="0"/>
          <w:sz w:val="32"/>
          <w:szCs w:val="32"/>
          <w:shd w:val="clear" w:color="auto" w:fill="FFFFFF"/>
        </w:rPr>
      </w:pPr>
      <w:r>
        <w:rPr>
          <w:rFonts w:ascii="仿宋" w:eastAsia="仿宋" w:cs="仿宋" w:hint="eastAsia"/>
          <w:color w:val="000000"/>
          <w:spacing w:val="0"/>
          <w:position w:val="0"/>
          <w:sz w:val="32"/>
          <w:szCs w:val="32"/>
          <w:shd w:val="clear" w:color="auto" w:fill="FFFFFF"/>
        </w:rPr>
        <w:t>根据州级部门支出绩效评价指标体系我部门得分94分。我</w:t>
      </w:r>
      <w:r>
        <w:rPr>
          <w:rFonts w:ascii="仿宋" w:eastAsia="仿宋" w:cs="仿宋" w:hint="eastAsia"/>
          <w:color w:val="000000"/>
          <w:spacing w:val="0"/>
          <w:position w:val="0"/>
          <w:sz w:val="32"/>
          <w:szCs w:val="32"/>
          <w:shd w:val="clear" w:color="auto" w:fill="FFFFFF"/>
          <w:lang w:eastAsia="zh-CN"/>
        </w:rPr>
        <w:t>单位</w:t>
      </w:r>
      <w:r>
        <w:rPr>
          <w:rFonts w:ascii="仿宋" w:eastAsia="仿宋" w:cs="仿宋" w:hint="eastAsia"/>
          <w:color w:val="000000"/>
          <w:spacing w:val="0"/>
          <w:position w:val="0"/>
          <w:sz w:val="32"/>
          <w:szCs w:val="32"/>
          <w:shd w:val="clear" w:color="auto" w:fill="FFFFFF"/>
        </w:rPr>
        <w:t>部门预算执行情况良好，无不良记录及违规违纪行为，预算支出和决算支出情况相符。</w:t>
      </w:r>
    </w:p>
    <w:p>
      <w:pPr>
        <w:spacing w:before="0" w:after="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（二）存在问题。</w:t>
      </w:r>
    </w:p>
    <w:p>
      <w:pPr>
        <w:spacing w:before="0" w:after="0" w:line="360" w:lineRule="auto"/>
        <w:ind w:left="0" w:right="0" w:firstLine="480"/>
        <w:jc w:val="left"/>
        <w:rPr>
          <w:rFonts w:ascii="仿宋" w:eastAsia="仿宋" w:cs="仿宋" w:hint="eastAsia"/>
          <w:color w:val="000000"/>
          <w:spacing w:val="0"/>
          <w:position w:val="0"/>
          <w:sz w:val="32"/>
          <w:szCs w:val="32"/>
          <w:shd w:val="clear" w:color="auto" w:fill="FFFFFF"/>
        </w:rPr>
      </w:pPr>
      <w:r>
        <w:rPr>
          <w:rFonts w:ascii="仿宋" w:eastAsia="仿宋" w:cs="仿宋" w:hint="eastAsia"/>
          <w:color w:val="333333"/>
          <w:spacing w:val="0"/>
          <w:position w:val="0"/>
          <w:sz w:val="32"/>
          <w:szCs w:val="32"/>
          <w:shd w:val="clear" w:color="auto" w:fill="auto"/>
        </w:rPr>
        <w:t>一是基本支出执行与年初预算稍有偏差，编制预算的先期预见性还不足；二</w:t>
      </w:r>
      <w:r>
        <w:rPr>
          <w:rFonts w:ascii="仿宋" w:eastAsia="仿宋" w:cs="仿宋" w:hint="eastAsia"/>
          <w:color w:val="000000"/>
          <w:spacing w:val="0"/>
          <w:position w:val="0"/>
          <w:sz w:val="32"/>
          <w:szCs w:val="32"/>
          <w:shd w:val="clear" w:color="auto" w:fill="FFFFFF"/>
        </w:rPr>
        <w:t>是预算经费支出明细科目存在误差；三是部门决算上报处理效率还需继续提升。   </w:t>
      </w:r>
    </w:p>
    <w:p>
      <w:pPr>
        <w:spacing w:before="0" w:after="0" w:line="360" w:lineRule="auto"/>
        <w:ind w:left="0" w:right="0" w:firstLine="482"/>
        <w:jc w:val="left"/>
        <w:rPr>
          <w:rFonts w:ascii="仿宋" w:eastAsia="仿宋" w:cs="仿宋" w:hint="eastAsia"/>
          <w:b/>
          <w:color w:val="000000"/>
          <w:spacing w:val="0"/>
          <w:position w:val="0"/>
          <w:sz w:val="32"/>
          <w:szCs w:val="32"/>
          <w:shd w:val="clear" w:color="auto" w:fill="auto"/>
        </w:rPr>
      </w:pPr>
      <w:r>
        <w:rPr>
          <w:rFonts w:ascii="仿宋" w:eastAsia="仿宋" w:cs="仿宋" w:hint="eastAsia"/>
          <w:b/>
          <w:color w:val="000000"/>
          <w:spacing w:val="0"/>
          <w:position w:val="0"/>
          <w:sz w:val="32"/>
          <w:szCs w:val="32"/>
          <w:shd w:val="clear" w:color="auto" w:fill="auto"/>
        </w:rPr>
        <w:t>（三）改进建议。</w:t>
      </w:r>
    </w:p>
    <w:p>
      <w:pPr>
        <w:spacing w:before="0" w:after="0" w:line="240" w:lineRule="auto"/>
        <w:ind w:left="0" w:right="0" w:firstLine="480"/>
        <w:jc w:val="both"/>
        <w:rPr>
          <w:rFonts w:ascii="仿宋" w:eastAsia="仿宋" w:cs="仿宋" w:hint="eastAsia"/>
          <w:color w:val="000000"/>
          <w:spacing w:val="0"/>
          <w:position w:val="0"/>
          <w:sz w:val="32"/>
          <w:szCs w:val="32"/>
          <w:shd w:val="clear" w:color="auto" w:fill="FFFFFF"/>
        </w:rPr>
      </w:pPr>
      <w:r>
        <w:rPr>
          <w:rFonts w:ascii="仿宋" w:eastAsia="仿宋" w:cs="仿宋" w:hint="eastAsia"/>
          <w:color w:val="333333"/>
          <w:spacing w:val="0"/>
          <w:position w:val="0"/>
          <w:sz w:val="32"/>
          <w:szCs w:val="32"/>
          <w:shd w:val="clear" w:color="auto" w:fill="FFFFFF"/>
        </w:rPr>
        <w:t>细化预算编制工作，认真做好预算的编制；加强财务管理，严格财务审核；</w:t>
      </w:r>
      <w:r>
        <w:rPr>
          <w:rFonts w:ascii="仿宋" w:eastAsia="仿宋" w:cs="仿宋" w:hint="eastAsia"/>
          <w:color w:val="000000"/>
          <w:spacing w:val="0"/>
          <w:position w:val="0"/>
          <w:sz w:val="32"/>
          <w:szCs w:val="32"/>
          <w:shd w:val="clear" w:color="auto" w:fill="FFFFFF"/>
        </w:rPr>
        <w:t>加快完善相应制度建设和账务处理能力，提升部门工作效率。</w:t>
      </w: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p>
      <w:pPr>
        <w:spacing w:before="0" w:after="0" w:line="240" w:lineRule="auto"/>
        <w:ind w:left="0" w:right="0" w:firstLine="0"/>
        <w:jc w:val="center"/>
        <w:rPr>
          <w:rFonts w:ascii="仿宋" w:eastAsia="仿宋" w:cs="仿宋" w:hint="eastAsia"/>
          <w:color w:val="auto"/>
          <w:spacing w:val="0"/>
          <w:position w:val="0"/>
          <w:sz w:val="32"/>
          <w:szCs w:val="32"/>
          <w:shd w:val="clear" w:color="auto" w:fill="auto"/>
        </w:rPr>
      </w:pPr>
      <w:r>
        <w:rPr>
          <w:rFonts w:ascii="仿宋" w:eastAsia="仿宋" w:cs="仿宋" w:hint="eastAsia"/>
          <w:color w:val="000000"/>
          <w:spacing w:val="0"/>
          <w:position w:val="0"/>
          <w:sz w:val="32"/>
          <w:szCs w:val="32"/>
          <w:shd w:val="clear" w:color="auto" w:fill="auto"/>
        </w:rPr>
        <w:t>第</w:t>
      </w:r>
      <w:r>
        <w:rPr>
          <w:rFonts w:ascii="仿宋" w:eastAsia="仿宋" w:cs="仿宋" w:hint="eastAsia"/>
          <w:color w:val="auto"/>
          <w:spacing w:val="0"/>
          <w:position w:val="0"/>
          <w:sz w:val="32"/>
          <w:szCs w:val="32"/>
          <w:shd w:val="clear" w:color="auto" w:fill="auto"/>
        </w:rPr>
        <w:t>五部分 附表</w:t>
      </w:r>
    </w:p>
    <w:p>
      <w:pPr>
        <w:pStyle w:val="2"/>
        <w:rPr>
          <w:rFonts w:ascii="仿宋" w:eastAsia="仿宋"/>
          <w:color w:val="000000"/>
        </w:rPr>
      </w:pPr>
      <w:r>
        <w:rPr>
          <w:rFonts w:ascii="仿宋" w:eastAsia="仿宋" w:hint="eastAsia"/>
          <w:b w:val="0"/>
          <w:color w:val="000000"/>
          <w:lang w:eastAsia="zh-CN"/>
        </w:rPr>
        <w:t>一</w:t>
      </w:r>
      <w:r>
        <w:rPr>
          <w:rFonts w:ascii="仿宋" w:eastAsia="仿宋" w:hint="eastAsia"/>
          <w:b w:val="0"/>
          <w:color w:val="000000"/>
        </w:rPr>
        <w:t>、收</w:t>
      </w:r>
      <w:r>
        <w:rPr>
          <w:rStyle w:val="2Char"/>
          <w:rFonts w:ascii="仿宋" w:eastAsia="仿宋" w:hint="eastAsia"/>
          <w:b w:val="0"/>
          <w:bCs w:val="0"/>
        </w:rPr>
        <w:t>入支出决算总表</w:t>
      </w:r>
    </w:p>
    <w:p>
      <w:pPr>
        <w:pStyle w:val="2"/>
        <w:rPr>
          <w:rFonts w:ascii="仿宋" w:eastAsia="仿宋"/>
          <w:color w:val="000000"/>
        </w:rPr>
      </w:pPr>
      <w:bookmarkStart w:id="1" w:name="_Toc15396620"/>
      <w:r>
        <w:rPr>
          <w:rStyle w:val="2Char"/>
          <w:rFonts w:ascii="仿宋" w:eastAsia="仿宋" w:hint="eastAsia"/>
          <w:b w:val="0"/>
          <w:bCs w:val="0"/>
        </w:rPr>
        <w:t>二</w:t>
      </w:r>
      <w:r>
        <w:rPr>
          <w:rFonts w:ascii="仿宋" w:eastAsia="仿宋" w:hint="eastAsia"/>
          <w:b w:val="0"/>
          <w:color w:val="000000"/>
        </w:rPr>
        <w:t>、收</w:t>
      </w:r>
      <w:r>
        <w:rPr>
          <w:rStyle w:val="2Char"/>
          <w:rFonts w:ascii="仿宋" w:eastAsia="仿宋" w:hint="eastAsia"/>
          <w:b w:val="0"/>
          <w:bCs w:val="0"/>
        </w:rPr>
        <w:t>入决算表</w:t>
      </w:r>
      <w:bookmarkEnd w:id="1"/>
    </w:p>
    <w:p>
      <w:pPr>
        <w:pStyle w:val="2"/>
        <w:rPr>
          <w:rFonts w:ascii="仿宋" w:eastAsia="仿宋"/>
          <w:color w:val="000000"/>
        </w:rPr>
      </w:pPr>
      <w:bookmarkStart w:id="2" w:name="_Toc15396621"/>
      <w:r>
        <w:rPr>
          <w:rStyle w:val="2Char"/>
          <w:rFonts w:ascii="仿宋" w:eastAsia="仿宋" w:hint="eastAsia"/>
          <w:b w:val="0"/>
          <w:bCs w:val="0"/>
        </w:rPr>
        <w:t>三、</w:t>
      </w:r>
      <w:r>
        <w:rPr>
          <w:rFonts w:ascii="仿宋" w:eastAsia="仿宋" w:hint="eastAsia"/>
          <w:b w:val="0"/>
          <w:color w:val="000000"/>
        </w:rPr>
        <w:t>支</w:t>
      </w:r>
      <w:r>
        <w:rPr>
          <w:rStyle w:val="2Char"/>
          <w:rFonts w:ascii="仿宋" w:eastAsia="仿宋" w:hint="eastAsia"/>
          <w:b w:val="0"/>
          <w:bCs w:val="0"/>
        </w:rPr>
        <w:t>出决算表</w:t>
      </w:r>
      <w:bookmarkEnd w:id="2"/>
    </w:p>
    <w:p>
      <w:pPr>
        <w:pStyle w:val="2"/>
        <w:rPr>
          <w:rFonts w:ascii="仿宋" w:eastAsia="仿宋"/>
          <w:b w:val="0"/>
          <w:color w:val="000000"/>
        </w:rPr>
      </w:pPr>
      <w:bookmarkStart w:id="3" w:name="_Toc15396622"/>
      <w:r>
        <w:rPr>
          <w:rStyle w:val="2Char"/>
          <w:rFonts w:ascii="仿宋" w:eastAsia="仿宋" w:hint="eastAsia"/>
          <w:b w:val="0"/>
          <w:bCs w:val="0"/>
        </w:rPr>
        <w:t>四、</w:t>
      </w:r>
      <w:r>
        <w:rPr>
          <w:rFonts w:ascii="仿宋" w:eastAsia="仿宋" w:hint="eastAsia"/>
          <w:b w:val="0"/>
          <w:color w:val="000000"/>
        </w:rPr>
        <w:t>财</w:t>
      </w:r>
      <w:r>
        <w:rPr>
          <w:rStyle w:val="2Char"/>
          <w:rFonts w:ascii="仿宋" w:eastAsia="仿宋" w:hint="eastAsia"/>
          <w:b w:val="0"/>
          <w:bCs w:val="0"/>
        </w:rPr>
        <w:t>政拨款收入支出决算总表</w:t>
      </w:r>
      <w:bookmarkEnd w:id="3"/>
    </w:p>
    <w:p>
      <w:pPr>
        <w:pStyle w:val="2"/>
        <w:rPr>
          <w:rFonts w:ascii="仿宋" w:eastAsia="仿宋"/>
          <w:color w:val="000000"/>
        </w:rPr>
      </w:pPr>
      <w:bookmarkStart w:id="4" w:name="_Toc15396623"/>
      <w:r>
        <w:rPr>
          <w:rStyle w:val="2Char"/>
          <w:rFonts w:ascii="仿宋" w:eastAsia="仿宋" w:hint="eastAsia"/>
          <w:b w:val="0"/>
          <w:bCs w:val="0"/>
        </w:rPr>
        <w:t>五、</w:t>
      </w:r>
      <w:r>
        <w:rPr>
          <w:rFonts w:ascii="仿宋" w:eastAsia="仿宋" w:hint="eastAsia"/>
          <w:b w:val="0"/>
          <w:color w:val="000000"/>
        </w:rPr>
        <w:t>财</w:t>
      </w:r>
      <w:r>
        <w:rPr>
          <w:rStyle w:val="2Char"/>
          <w:rFonts w:ascii="仿宋" w:eastAsia="仿宋" w:hint="eastAsia"/>
          <w:b w:val="0"/>
          <w:bCs w:val="0"/>
        </w:rPr>
        <w:t>政拨款支出决算明细表</w:t>
      </w:r>
      <w:bookmarkEnd w:id="4"/>
    </w:p>
    <w:p>
      <w:pPr>
        <w:pStyle w:val="2"/>
        <w:rPr>
          <w:rFonts w:ascii="仿宋" w:eastAsia="仿宋"/>
          <w:color w:val="000000"/>
        </w:rPr>
      </w:pPr>
      <w:bookmarkStart w:id="5" w:name="_Toc15396624"/>
      <w:r>
        <w:rPr>
          <w:rStyle w:val="2Char"/>
          <w:rFonts w:ascii="仿宋" w:eastAsia="仿宋" w:hint="eastAsia"/>
          <w:b w:val="0"/>
          <w:bCs w:val="0"/>
        </w:rPr>
        <w:t>六、</w:t>
      </w:r>
      <w:r>
        <w:rPr>
          <w:rFonts w:ascii="仿宋" w:eastAsia="仿宋" w:hint="eastAsia"/>
          <w:b w:val="0"/>
          <w:color w:val="000000"/>
        </w:rPr>
        <w:t>一</w:t>
      </w:r>
      <w:r>
        <w:rPr>
          <w:rStyle w:val="2Char"/>
          <w:rFonts w:ascii="仿宋" w:eastAsia="仿宋" w:hint="eastAsia"/>
          <w:b w:val="0"/>
          <w:bCs w:val="0"/>
        </w:rPr>
        <w:t>般公共预算财政拨款支出决算表</w:t>
      </w:r>
      <w:bookmarkEnd w:id="5"/>
    </w:p>
    <w:p>
      <w:pPr>
        <w:pStyle w:val="2"/>
        <w:rPr>
          <w:rFonts w:ascii="仿宋" w:eastAsia="仿宋"/>
          <w:color w:val="000000"/>
        </w:rPr>
      </w:pPr>
      <w:bookmarkStart w:id="6" w:name="_Toc15396625"/>
      <w:r>
        <w:rPr>
          <w:rStyle w:val="2Char"/>
          <w:rFonts w:ascii="仿宋" w:eastAsia="仿宋" w:hint="eastAsia"/>
          <w:b w:val="0"/>
          <w:bCs w:val="0"/>
        </w:rPr>
        <w:t>七、</w:t>
      </w:r>
      <w:r>
        <w:rPr>
          <w:rFonts w:ascii="仿宋" w:eastAsia="仿宋" w:hint="eastAsia"/>
          <w:b w:val="0"/>
          <w:color w:val="000000"/>
        </w:rPr>
        <w:t>一</w:t>
      </w:r>
      <w:r>
        <w:rPr>
          <w:rStyle w:val="2Char"/>
          <w:rFonts w:ascii="仿宋" w:eastAsia="仿宋" w:hint="eastAsia"/>
          <w:b w:val="0"/>
          <w:bCs w:val="0"/>
        </w:rPr>
        <w:t>般公共预算财政拨款支出决算明细表</w:t>
      </w:r>
      <w:bookmarkEnd w:id="6"/>
    </w:p>
    <w:p>
      <w:pPr>
        <w:pStyle w:val="2"/>
        <w:rPr>
          <w:rFonts w:ascii="仿宋" w:eastAsia="仿宋"/>
          <w:color w:val="000000"/>
        </w:rPr>
      </w:pPr>
      <w:bookmarkStart w:id="7" w:name="_Toc15396626"/>
      <w:r>
        <w:rPr>
          <w:rStyle w:val="2Char"/>
          <w:rFonts w:ascii="仿宋" w:eastAsia="仿宋" w:hint="eastAsia"/>
          <w:b w:val="0"/>
          <w:bCs w:val="0"/>
        </w:rPr>
        <w:t>八、</w:t>
      </w:r>
      <w:r>
        <w:rPr>
          <w:rFonts w:ascii="仿宋" w:eastAsia="仿宋" w:hint="eastAsia"/>
          <w:b w:val="0"/>
          <w:color w:val="000000"/>
        </w:rPr>
        <w:t>一</w:t>
      </w:r>
      <w:r>
        <w:rPr>
          <w:rStyle w:val="2Char"/>
          <w:rFonts w:ascii="仿宋" w:eastAsia="仿宋" w:hint="eastAsia"/>
          <w:b w:val="0"/>
          <w:bCs w:val="0"/>
        </w:rPr>
        <w:t>般公共预算财政拨款基本支出决算</w:t>
      </w:r>
      <w:r>
        <w:rPr>
          <w:rStyle w:val="2Char"/>
          <w:rFonts w:ascii="仿宋" w:eastAsia="仿宋" w:hint="eastAsia"/>
          <w:b w:val="0"/>
          <w:bCs w:val="0"/>
          <w:lang w:eastAsia="zh-CN"/>
        </w:rPr>
        <w:t>明细</w:t>
      </w:r>
      <w:r>
        <w:rPr>
          <w:rStyle w:val="2Char"/>
          <w:rFonts w:ascii="仿宋" w:eastAsia="仿宋" w:hint="eastAsia"/>
          <w:b w:val="0"/>
          <w:bCs w:val="0"/>
        </w:rPr>
        <w:t>表</w:t>
      </w:r>
      <w:bookmarkEnd w:id="7"/>
    </w:p>
    <w:p>
      <w:pPr>
        <w:pStyle w:val="2"/>
        <w:rPr>
          <w:rFonts w:ascii="仿宋" w:eastAsia="仿宋"/>
          <w:color w:val="000000"/>
        </w:rPr>
      </w:pPr>
      <w:bookmarkStart w:id="8" w:name="_Toc15396627"/>
      <w:r>
        <w:rPr>
          <w:rStyle w:val="2Char"/>
          <w:rFonts w:ascii="仿宋" w:eastAsia="仿宋" w:hint="eastAsia"/>
          <w:b w:val="0"/>
          <w:bCs w:val="0"/>
        </w:rPr>
        <w:t>九、</w:t>
      </w:r>
      <w:r>
        <w:rPr>
          <w:rFonts w:ascii="仿宋" w:eastAsia="仿宋" w:hint="eastAsia"/>
          <w:b w:val="0"/>
          <w:color w:val="000000"/>
        </w:rPr>
        <w:t>一</w:t>
      </w:r>
      <w:r>
        <w:rPr>
          <w:rStyle w:val="2Char"/>
          <w:rFonts w:ascii="仿宋" w:eastAsia="仿宋" w:hint="eastAsia"/>
          <w:b w:val="0"/>
          <w:bCs w:val="0"/>
        </w:rPr>
        <w:t>般公共预算财政拨款项目支出决算表</w:t>
      </w:r>
      <w:bookmarkEnd w:id="8"/>
    </w:p>
    <w:p>
      <w:pPr>
        <w:pStyle w:val="2"/>
        <w:rPr>
          <w:rFonts w:ascii="仿宋" w:eastAsia="仿宋"/>
          <w:color w:val="000000"/>
        </w:rPr>
      </w:pPr>
      <w:bookmarkStart w:id="9" w:name="_Toc15396629"/>
      <w:r>
        <w:rPr>
          <w:rStyle w:val="2Char"/>
          <w:rFonts w:ascii="仿宋" w:eastAsia="仿宋" w:hint="eastAsia"/>
          <w:b w:val="0"/>
          <w:bCs w:val="0"/>
        </w:rPr>
        <w:t>十、</w:t>
      </w:r>
      <w:r>
        <w:rPr>
          <w:rFonts w:ascii="仿宋" w:eastAsia="仿宋" w:hint="eastAsia"/>
          <w:b w:val="0"/>
          <w:color w:val="000000"/>
        </w:rPr>
        <w:t>政</w:t>
      </w:r>
      <w:r>
        <w:rPr>
          <w:rStyle w:val="2Char"/>
          <w:rFonts w:ascii="仿宋" w:eastAsia="仿宋" w:hint="eastAsia"/>
          <w:b w:val="0"/>
          <w:bCs w:val="0"/>
        </w:rPr>
        <w:t>府性基金预算财政拨款收入支出决算表</w:t>
      </w:r>
      <w:bookmarkEnd w:id="9"/>
    </w:p>
    <w:p>
      <w:pPr>
        <w:pStyle w:val="2"/>
        <w:rPr>
          <w:rStyle w:val="2Char"/>
          <w:rFonts w:ascii="仿宋" w:eastAsia="仿宋"/>
          <w:b w:val="0"/>
          <w:bCs w:val="0"/>
        </w:rPr>
      </w:pPr>
      <w:bookmarkStart w:id="10" w:name="_Toc15396631"/>
      <w:r>
        <w:rPr>
          <w:rStyle w:val="2Char"/>
          <w:rFonts w:ascii="仿宋" w:eastAsia="仿宋" w:hint="eastAsia"/>
          <w:b w:val="0"/>
          <w:bCs w:val="0"/>
        </w:rPr>
        <w:t>十一、</w:t>
      </w:r>
      <w:r>
        <w:rPr>
          <w:rFonts w:ascii="仿宋" w:eastAsia="仿宋" w:hint="eastAsia"/>
          <w:b w:val="0"/>
          <w:color w:val="000000"/>
        </w:rPr>
        <w:t>国</w:t>
      </w:r>
      <w:r>
        <w:rPr>
          <w:rStyle w:val="2Char"/>
          <w:rFonts w:ascii="仿宋" w:eastAsia="仿宋" w:hint="eastAsia"/>
          <w:b w:val="0"/>
          <w:bCs w:val="0"/>
        </w:rPr>
        <w:t>有资本经营财政拨款收入支出决算表</w:t>
      </w:r>
      <w:bookmarkEnd w:id="10"/>
    </w:p>
    <w:p>
      <w:pPr>
        <w:rPr>
          <w:rStyle w:val="2Char"/>
          <w:rFonts w:ascii="仿宋" w:eastAsia="仿宋" w:hint="eastAsia"/>
          <w:b w:val="0"/>
          <w:bCs w:val="0"/>
        </w:rPr>
      </w:pPr>
      <w:r>
        <w:rPr>
          <w:rStyle w:val="2Char"/>
          <w:rFonts w:ascii="仿宋" w:eastAsia="仿宋" w:hint="eastAsia"/>
          <w:b w:val="0"/>
          <w:bCs w:val="0"/>
        </w:rPr>
        <w:t>十二、国有资本经营预算财政拨款支出决算表</w:t>
      </w:r>
    </w:p>
    <w:p>
      <w:pPr>
        <w:pStyle w:val="15"/>
        <w:rPr>
          <w:rFonts w:hint="eastAsia"/>
        </w:rPr>
      </w:pPr>
    </w:p>
    <w:p>
      <w:pPr>
        <w:pStyle w:val="15"/>
        <w:ind w:left="0" w:firstLineChars="0" w:firstLine="0"/>
        <w:rPr>
          <w:rFonts w:ascii="仿宋" w:eastAsia="仿宋" w:cs="仿宋" w:hint="eastAsia"/>
          <w:sz w:val="32"/>
          <w:szCs w:val="32"/>
          <w:lang w:val="en-US" w:eastAsia="zh-CN"/>
        </w:rPr>
      </w:pPr>
      <w:r>
        <w:rPr>
          <w:rFonts w:ascii="仿宋" w:eastAsia="仿宋" w:cs="仿宋" w:hint="eastAsia"/>
          <w:sz w:val="32"/>
          <w:szCs w:val="32"/>
          <w:lang w:val="en-US" w:eastAsia="zh-CN"/>
        </w:rPr>
        <w:t>十三、财政拨款“三公”经费支出决算表</w:t>
      </w:r>
    </w:p>
    <w:p/>
    <w:p>
      <w:pPr>
        <w:spacing w:before="0" w:after="0" w:line="240" w:lineRule="auto"/>
        <w:ind w:left="0" w:right="0" w:firstLine="0"/>
        <w:jc w:val="both"/>
        <w:rPr>
          <w:rFonts w:ascii="仿宋" w:eastAsia="仿宋" w:cs="仿宋" w:hint="eastAsia"/>
          <w:color w:val="auto"/>
          <w:spacing w:val="0"/>
          <w:position w:val="0"/>
          <w:sz w:val="32"/>
          <w:szCs w:val="32"/>
          <w:shd w:val="clear" w:color="auto" w:fill="auto"/>
        </w:rPr>
      </w:pPr>
    </w:p>
    <w:sectPr>
      <w:footerReference w:type="default" r:id="rId2"/>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仿宋">
    <w:panose1 w:val="02010609060101010101"/>
    <w:charset w:val="86"/>
    <w:family w:val="auto"/>
    <w:pitch w:val="variable"/>
    <w:sig w:usb0="800002BF" w:usb1="38CF7CFA" w:usb2="00000016" w:usb3="00000000" w:csb0="00040001" w:csb1="0000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00002FF" w:usb1="4000ACFF" w:usb2="00000001" w:usb3="00000000" w:csb0="2000019F" w:csb1="00000000"/>
  </w:font>
  <w:font w:name="Arial">
    <w:panose1 w:val="020B0604020202020204"/>
    <w:charset w:val="01"/>
    <w:family w:val="swiss"/>
    <w:pitch w:val="variable"/>
    <w:sig w:usb0="E0002AFF" w:usb1="C0007843" w:usb2="00000009" w:usb3="00000000" w:csb0="400001FF" w:csb1="FFFF0000"/>
  </w:font>
  <w:font w:name="Cambria">
    <w:panose1 w:val="02040503050406030204"/>
    <w:charset w:val="00"/>
    <w:family w:val="roman"/>
    <w:pitch w:val="variable"/>
    <w:sig w:usb0="E00002FF" w:usb1="400004FF" w:usb2="00000000"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tabs>
        <w:tab w:val="center" w:pos="4153"/>
        <w:tab w:val="right" w:pos="8306"/>
      </w:tabs>
    </w:pPr>
    <w:r>
      <w:rPr>
        <w:sz w:val="18"/>
      </w:rPr>
      <mc:AlternateContent>
        <mc:Choice Requires="wps">
          <w:drawing>
            <wp:anchor distT="0" distB="0" distL="114298" distR="114298" simplePos="0" relativeHeight="36" behindDoc="0" locked="0" layoutInCell="1" hidden="0" allowOverlap="1">
              <wp:simplePos x="0" y="0"/>
              <wp:positionH relativeFrom="margin">
                <wp:align>center</wp:align>
              </wp:positionH>
              <wp:positionV relativeFrom="paragraph">
                <wp:posOffset>0</wp:posOffset>
              </wp:positionV>
              <wp:extent cx="115900" cy="139560"/>
              <wp:effectExtent l="0" t="0" r="0" b="0"/>
              <wp:wrapNone/>
              <wp:docPr id="1" name="文本框 3"/>
              <wp:cNvGraphicFramePr>
                <a:graphicFrameLocks noChangeAspect="0"/>
              </wp:cNvGraphicFramePr>
              <a:graphic>
                <a:graphicData uri="http://schemas.microsoft.com/office/word/2010/wordprocessingShape">
                  <wps:wsp>
                    <wps:cNvSpPr/>
                    <wps:spPr>
                      <a:xfrm rot="0">
                        <a:off x="0" y="0"/>
                        <a:ext cx="115900" cy="139560"/>
                      </a:xfrm>
                      <a:prstGeom prst="rect"/>
                      <a:noFill/>
                      <a:ln w="6350" cmpd="sng" cap="flat">
                        <a:noFill/>
                        <a:prstDash val="solid"/>
                        <a:round/>
                      </a:ln>
                    </wps:spPr>
                    <wps:txbx id="2">
                      <w:txbxContent>
                        <w:p>
                          <w:pPr>
                            <w:pStyle w:val="16"/>
                            <w:tabs>
                              <w:tab w:val="center" w:pos="4153"/>
                              <w:tab w:val="right" w:pos="8306"/>
                            </w:tabs>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type="#_x0000_t202" id="文本框 3 3" o:spid="_x0000_s3" filled="f" stroked="f" strokeweight="0.5pt" style="position:absolute;margin-left:0.0pt;margin-top:0.0pt;width:9.125998pt;height:10.988999pt;z-index:36;mso-position-horizontal:center;mso-position-horizontal-relative:margin;mso-position-vertical:absolute;mso-wrap-distance-left:8.999863pt;mso-wrap-distance-right:8.999863pt;mso-wrap-style:none;">
              <v:stroke color="#000000"/>
              <v:textbox id="856" inset="0mm,0mm,0mm,0mm" o:insetmode="custom" style="layout-flow:horizontal;v-text-anchor:top;mso-fit-shape-to-text:t;">
                <w:txbxContent>
                  <w:p>
                    <w:pPr>
                      <w:pStyle w:val="16"/>
                      <w:tabs>
                        <w:tab w:val="center" w:pos="4153"/>
                        <w:tab w:val="right" w:pos="8306"/>
                      </w:tabs>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053208E"/>
    <w:multiLevelType w:val="singleLevel"/>
    <w:tmpl w:val="0053208E"/>
    <w:lvl w:ilvl="0">
      <w:start w:val="1"/>
      <w:numFmt w:val="bullet"/>
      <w:lvlRestart w:val="0"/>
      <w:lvlText w:val="•"/>
      <w:lvlJc w:val="left"/>
      <w:pPr>
        <w:ind w:left="0" w:hanging="0"/>
      </w:pPr>
    </w:lvl>
  </w:abstractNum>
  <w:abstractNum w:abstractNumId="1">
    <w:nsid w:val="CF092B84"/>
    <w:multiLevelType w:val="singleLevel"/>
    <w:tmpl w:val="CF092B84"/>
    <w:lvl w:ilvl="0">
      <w:start w:val="1"/>
      <w:numFmt w:val="bullet"/>
      <w:lvlRestart w:val="0"/>
      <w:lvlText w:val="•"/>
      <w:lvlJc w:val="left"/>
      <w:pPr>
        <w:ind w:left="0" w:hanging="0"/>
      </w:pPr>
    </w:lvl>
  </w:abstractNum>
  <w:abstractNum w:abstractNumId="2">
    <w:nsid w:val="59ADCABA"/>
    <w:multiLevelType w:val="singleLevel"/>
    <w:tmpl w:val="59ADCABA"/>
    <w:lvl w:ilvl="0">
      <w:start w:val="1"/>
      <w:numFmt w:val="bullet"/>
      <w:lvlRestart w:val="0"/>
      <w:lvlText w:val="•"/>
      <w:lvlJc w:val="left"/>
      <w:pPr>
        <w:ind w:left="0" w:hanging="0"/>
      </w:pPr>
    </w:lvl>
  </w:abstractNum>
  <w:abstractNum w:abstractNumId="3">
    <w:nsid w:val="BF205925"/>
    <w:multiLevelType w:val="singleLevel"/>
    <w:tmpl w:val="BF205925"/>
    <w:lvl w:ilvl="0">
      <w:start w:val="1"/>
      <w:numFmt w:val="bullet"/>
      <w:lvlRestart w:val="0"/>
      <w:lvlText w:val="•"/>
      <w:lvlJc w:val="left"/>
      <w:pPr>
        <w:ind w:left="0" w:hanging="0"/>
      </w:pPr>
    </w:lvl>
  </w:abstractNum>
  <w:abstractNum w:abstractNumId="4">
    <w:nsid w:val="B5E306ED"/>
    <w:multiLevelType w:val="singleLevel"/>
    <w:tmpl w:val="B5E306ED"/>
    <w:lvl w:ilvl="0">
      <w:start w:val="1"/>
      <w:numFmt w:val="bullet"/>
      <w:lvlRestart w:val="0"/>
      <w:lvlText w:val="•"/>
      <w:lvlJc w:val="left"/>
      <w:pPr>
        <w:ind w:left="0" w:hanging="0"/>
      </w:pPr>
    </w:lvl>
  </w:abstractNum>
  <w:abstractNum w:abstractNumId="5">
    <w:nsid w:val="03D62ECE"/>
    <w:multiLevelType w:val="singleLevel"/>
    <w:tmpl w:val="03D62ECE"/>
    <w:lvl w:ilvl="0">
      <w:start w:val="1"/>
      <w:numFmt w:val="bullet"/>
      <w:lvlRestart w:val="0"/>
      <w:lvlText w:val="•"/>
      <w:lvlJc w:val="left"/>
      <w:pPr>
        <w:ind w:left="0" w:hanging="0"/>
      </w:pPr>
    </w:lvl>
  </w:abstractNum>
  <w:abstractNum w:abstractNumId="6">
    <w:nsid w:val="25B654F3"/>
    <w:multiLevelType w:val="singleLevel"/>
    <w:tmpl w:val="25B654F3"/>
    <w:lvl w:ilvl="0">
      <w:start w:val="1"/>
      <w:numFmt w:val="bullet"/>
      <w:lvlRestart w:val="0"/>
      <w:lvlText w:val="•"/>
      <w:lvlJc w:val="left"/>
      <w:pPr>
        <w:ind w:left="0" w:hanging="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1"/>
  <w:compat>
    <w:spaceForUL/>
    <w:compatSetting w:name="compatibilityMode" w:uri="http://schemas.microsoft.com/office/word" w:val="14"/>
  </w:compat>
  <w:docVars>
    <w:docVar w:name="commondata" w:val="eyJoZGlkIjoiN2JlZDg3ZDQ3ODA2YzBhMWM4OGNkNzlmOWMwZTM3Mj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Calibri" w:eastAsia="宋体" w:cs="Arial" w:hAnsi="Calibri"/>
      <w:sz w:val="21"/>
      <w:szCs w:val="22"/>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link w:val="2Char"/>
    <w:pPr>
      <w:keepNext/>
      <w:keepLines/>
      <w:widowControl w:val="0"/>
      <w:spacing w:before="260" w:after="260" w:line="415" w:lineRule="auto"/>
      <w:outlineLvl w:val="1"/>
    </w:pPr>
    <w:rPr>
      <w:rFonts w:ascii="Cambria" w:hAnsi="Cambria"/>
      <w:b/>
      <w:bCs/>
      <w:sz w:val="32"/>
      <w:szCs w:val="32"/>
    </w:rPr>
  </w:style>
  <w:style w:type="character" w:customStyle="1" w:styleId="2Char">
    <w:name w:val="heading 2 Char"/>
    <w:basedOn w:val="10"/>
    <w:link w:val="2"/>
    <w:rPr>
      <w:rFonts w:ascii="Cambria" w:eastAsia="宋体" w:cs="Arial" w:hAnsi="Cambria"/>
      <w:b/>
      <w:bCs/>
      <w:sz w:val="32"/>
      <w:szCs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15">
    <w:name w:val="Normal Indent"/>
    <w:basedOn w:val="0"/>
    <w:pPr>
      <w:ind w:firstLineChars="200" w:firstLine="200"/>
    </w:pPr>
  </w:style>
  <w:style w:type="paragraph" w:styleId="16">
    <w:name w:val="footer"/>
    <w:basedOn w:val="0"/>
    <w:pPr>
      <w:tabs>
        <w:tab w:val="center" w:pos="4153"/>
        <w:tab w:val="right" w:pos="8306"/>
      </w:tabs>
      <w:snapToGrid w:val="0"/>
      <w:jc w:val="left"/>
    </w:pPr>
    <w:rPr>
      <w:rFonts w:ascii="Calibri" w:hAnsi="Calibri"/>
      <w:kern w:val="0"/>
      <w:sz w:val="18"/>
      <w:szCs w:val="18"/>
    </w:rPr>
  </w:style>
  <w:style w:type="paragraph" w:styleId="17">
    <w:name w:val="header"/>
    <w:basedOn w:val="0"/>
    <w:pPr>
      <w:pBdr>
        <w:bottom w:val="single" w:sz="6" w:space="1" w:color="auto"/>
      </w:pBdr>
      <w:tabs>
        <w:tab w:val="center" w:pos="4153"/>
        <w:tab w:val="right" w:pos="8306"/>
      </w:tabs>
      <w:snapToGrid w:val="0"/>
      <w:jc w:val="center"/>
    </w:pPr>
    <w:rPr>
      <w:rFonts w:ascii="Calibri" w:hAnsi="Calibri"/>
      <w:kern w:val="0"/>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image" Target="media/5.wmf"/><Relationship Id="rId4" Type="http://schemas.openxmlformats.org/officeDocument/2006/relationships/oleObject" Target="embeddings/oleObject1.bin"/><Relationship Id="rId5" Type="http://schemas.openxmlformats.org/officeDocument/2006/relationships/image" Target="media/7.wmf"/><Relationship Id="rId6" Type="http://schemas.openxmlformats.org/officeDocument/2006/relationships/oleObject" Target="embeddings/oleObject2.bin"/><Relationship Id="rId7" Type="http://schemas.openxmlformats.org/officeDocument/2006/relationships/image" Target="media/9.wmf"/><Relationship Id="rId8" Type="http://schemas.openxmlformats.org/officeDocument/2006/relationships/oleObject" Target="embeddings/oleObject3.bin"/><Relationship Id="rId9" Type="http://schemas.openxmlformats.org/officeDocument/2006/relationships/image" Target="media/11.emf"/><Relationship Id="rId10" Type="http://schemas.openxmlformats.org/officeDocument/2006/relationships/oleObject" Target="embeddings/oleObject4.bin"/><Relationship Id="rId11" Type="http://schemas.openxmlformats.org/officeDocument/2006/relationships/image" Target="media/13.wmf"/><Relationship Id="rId12" Type="http://schemas.openxmlformats.org/officeDocument/2006/relationships/oleObject" Target="embeddings/oleObject5.bin"/><Relationship Id="rId13" Type="http://schemas.openxmlformats.org/officeDocument/2006/relationships/image" Target="media/7.wmf"/><Relationship Id="rId14" Type="http://schemas.openxmlformats.org/officeDocument/2006/relationships/oleObject" Target="embeddings/oleObject6.bin"/><Relationship Id="rId15" Type="http://schemas.openxmlformats.org/officeDocument/2006/relationships/image" Target="media/11.emf"/><Relationship Id="rId16" Type="http://schemas.openxmlformats.org/officeDocument/2006/relationships/oleObject" Target="embeddings/oleObject7.bin"/><Relationship Id="rId17" Type="http://schemas.openxmlformats.org/officeDocument/2006/relationships/image" Target="media/17.emf"/><Relationship Id="rId18" Type="http://schemas.openxmlformats.org/officeDocument/2006/relationships/oleObject" Target="embeddings/oleObject8.bin"/><Relationship Id="rId19" Type="http://schemas.openxmlformats.org/officeDocument/2006/relationships/styles" Target="styles.xml"/><Relationship Id="rId20" Type="http://schemas.openxmlformats.org/officeDocument/2006/relationships/numbering" Target="numbering.xml"/><Relationship Id="rId21"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Yozo_Office27021597764231179</Application>
  <Pages>27</Pages>
  <Words>7801</Words>
  <Characters>8539</Characters>
  <Lines>531</Lines>
  <Paragraphs>189</Paragraphs>
  <CharactersWithSpaces>8623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0</cp:revision>
  <cp:lastPrinted>2023-08-28T09:19:22Z</cp:lastPrinted>
  <dcterms:created xsi:type="dcterms:W3CDTF">2023-01-18T02:05:00Z</dcterms:created>
  <dcterms:modified xsi:type="dcterms:W3CDTF">2023-08-30T02:34:12Z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2052-12.1.0.15358</vt:lpwstr>
  </property>
  <property fmtid="{D5CDD505-2E9C-101B-9397-08002B2CF9AE}" pid="3" name="ICV">
    <vt:lpwstr>89FB1A69E6B44EF3AE15C1240A89DFD0_12</vt:lpwstr>
  </property>
</Properties>
</file>