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39E9A">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7425"/>
      <w:bookmarkStart w:id="2" w:name="_Toc15306267"/>
      <w:bookmarkStart w:id="3" w:name="_Toc15396597"/>
      <w:bookmarkStart w:id="4" w:name="_Toc15377193"/>
      <w:bookmarkStart w:id="5" w:name="_Toc15378441"/>
    </w:p>
    <w:p w14:paraId="11DDA301">
      <w:pPr>
        <w:pStyle w:val="6"/>
        <w:rPr>
          <w:rFonts w:hint="eastAsia" w:ascii="Times New Roman" w:hAnsi="Times New Roman" w:eastAsia="方正小标宋简体" w:cs="Times New Roman"/>
          <w:color w:val="auto"/>
          <w:kern w:val="2"/>
          <w:sz w:val="72"/>
          <w:szCs w:val="72"/>
          <w:highlight w:val="none"/>
          <w:lang w:val="en-US" w:eastAsia="zh-CN" w:bidi="ar-SA"/>
        </w:rPr>
      </w:pPr>
    </w:p>
    <w:p w14:paraId="50BA6B4C">
      <w:pPr>
        <w:pStyle w:val="6"/>
        <w:rPr>
          <w:rFonts w:hint="eastAsia" w:ascii="Times New Roman" w:hAnsi="Times New Roman" w:eastAsia="方正小标宋简体" w:cs="Times New Roman"/>
          <w:color w:val="auto"/>
          <w:kern w:val="2"/>
          <w:sz w:val="72"/>
          <w:szCs w:val="72"/>
          <w:highlight w:val="none"/>
          <w:lang w:val="en-US" w:eastAsia="zh-CN" w:bidi="ar-SA"/>
        </w:rPr>
      </w:pPr>
    </w:p>
    <w:p w14:paraId="261EF936">
      <w:pPr>
        <w:pStyle w:val="6"/>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金川县教育局</w:t>
      </w:r>
      <w:r>
        <w:rPr>
          <w:rFonts w:hint="eastAsia" w:ascii="Times New Roman" w:hAnsi="Times New Roman" w:eastAsia="方正小标宋简体" w:cs="Times New Roman"/>
          <w:color w:val="auto"/>
          <w:kern w:val="2"/>
          <w:sz w:val="44"/>
          <w:szCs w:val="44"/>
          <w:highlight w:val="none"/>
          <w:lang w:val="en-US" w:eastAsia="zh-CN" w:bidi="ar-SA"/>
        </w:rPr>
        <w:t>决算公</w:t>
      </w:r>
      <w:r>
        <w:rPr>
          <w:rFonts w:hint="eastAsia" w:ascii="Times New Roman" w:eastAsia="方正小标宋简体" w:cs="Times New Roman"/>
          <w:color w:val="auto"/>
          <w:kern w:val="2"/>
          <w:sz w:val="44"/>
          <w:szCs w:val="44"/>
          <w:highlight w:val="none"/>
          <w:lang w:val="en-US" w:eastAsia="zh-CN" w:bidi="ar-SA"/>
        </w:rPr>
        <w:t>开</w:t>
      </w:r>
    </w:p>
    <w:p w14:paraId="25DBB8C0">
      <w:pPr>
        <w:spacing w:line="600" w:lineRule="exact"/>
        <w:jc w:val="center"/>
        <w:outlineLvl w:val="0"/>
        <w:rPr>
          <w:rFonts w:ascii="Times New Roman" w:hAnsi="Times New Roman" w:eastAsia="方正小标宋简体"/>
          <w:color w:val="auto"/>
          <w:sz w:val="72"/>
          <w:szCs w:val="72"/>
          <w:highlight w:val="none"/>
        </w:rPr>
      </w:pPr>
    </w:p>
    <w:p w14:paraId="687579D9">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58FDEDEC">
      <w:pPr>
        <w:widowControl/>
        <w:ind w:firstLine="3840" w:firstLineChars="800"/>
        <w:jc w:val="both"/>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5C4C6EDD">
      <w:pPr>
        <w:widowControl/>
        <w:jc w:val="center"/>
        <w:rPr>
          <w:rFonts w:ascii="Times New Roman" w:hAnsi="Times New Roman" w:eastAsia="黑体" w:cstheme="minorBidi"/>
          <w:color w:val="auto"/>
          <w:sz w:val="28"/>
          <w:szCs w:val="28"/>
          <w:highlight w:val="none"/>
        </w:rPr>
      </w:pPr>
    </w:p>
    <w:p w14:paraId="3A6F5582">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18  </w:t>
      </w:r>
      <w:r>
        <w:rPr>
          <w:rFonts w:hint="eastAsia" w:ascii="Times New Roman" w:hAnsi="Times New Roman" w:eastAsia="仿宋_GB2312" w:cs="仿宋_GB2312"/>
          <w:color w:val="auto"/>
          <w:sz w:val="32"/>
          <w:szCs w:val="32"/>
          <w:highlight w:val="none"/>
        </w:rPr>
        <w:t>日</w:t>
      </w:r>
    </w:p>
    <w:p w14:paraId="4A4DEFF5">
      <w:pPr>
        <w:rPr>
          <w:rFonts w:ascii="Times New Roman" w:hAnsi="Times New Roman"/>
          <w:color w:val="auto"/>
          <w:highlight w:val="none"/>
        </w:rPr>
      </w:pPr>
    </w:p>
    <w:p w14:paraId="3156AD88">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41C12AA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.................................................3</w:t>
      </w:r>
    </w:p>
    <w:p w14:paraId="0D93DE8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..................................................3-4</w:t>
      </w:r>
    </w:p>
    <w:p w14:paraId="594AEC36">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3026406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.................5</w:t>
      </w:r>
    </w:p>
    <w:p w14:paraId="70574D3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.................................5</w:t>
      </w:r>
    </w:p>
    <w:p w14:paraId="3EE0B02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.................................6</w:t>
      </w:r>
    </w:p>
    <w:p w14:paraId="33C55B1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......7</w:t>
      </w:r>
    </w:p>
    <w:p w14:paraId="78EE1E7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.....8-9</w:t>
      </w:r>
    </w:p>
    <w:p w14:paraId="6AE6820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六、一般公共预算财政拨款基本支出决算情况明</w:t>
      </w:r>
      <w:r>
        <w:rPr>
          <w:rFonts w:hint="eastAsia" w:eastAsia="仿宋_GB2312" w:cs="仿宋_GB2312"/>
          <w:color w:val="auto"/>
          <w:sz w:val="32"/>
          <w:szCs w:val="32"/>
          <w:highlight w:val="none"/>
          <w:lang w:val="en-US" w:eastAsia="zh-CN"/>
        </w:rPr>
        <w:t>......10</w:t>
      </w:r>
    </w:p>
    <w:p w14:paraId="35B1559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........11-13</w:t>
      </w:r>
    </w:p>
    <w:p w14:paraId="5A7FA1F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.......13-14</w:t>
      </w:r>
    </w:p>
    <w:p w14:paraId="5B7351D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.............14</w:t>
      </w:r>
    </w:p>
    <w:p w14:paraId="7E7F733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.........15</w:t>
      </w:r>
    </w:p>
    <w:p w14:paraId="17B29D48">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...........................................................16-18</w:t>
      </w:r>
    </w:p>
    <w:p w14:paraId="312DCE07">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...................................................................19-34</w:t>
      </w:r>
    </w:p>
    <w:p w14:paraId="0C4706AC">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0512374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rPr>
          <w:rFonts w:hint="eastAsia" w:eastAsia="仿宋_GB2312" w:cs="仿宋_GB2312"/>
          <w:color w:val="auto"/>
          <w:sz w:val="32"/>
          <w:szCs w:val="32"/>
          <w:highlight w:val="none"/>
          <w:lang w:val="en-US" w:eastAsia="zh-CN"/>
        </w:rPr>
        <w:t>...............................................35</w:t>
      </w:r>
    </w:p>
    <w:p w14:paraId="431918F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二、收入决算表</w:t>
      </w:r>
      <w:r>
        <w:rPr>
          <w:rFonts w:hint="eastAsia" w:eastAsia="仿宋_GB2312" w:cs="仿宋_GB2312"/>
          <w:color w:val="auto"/>
          <w:sz w:val="32"/>
          <w:szCs w:val="32"/>
          <w:highlight w:val="none"/>
          <w:lang w:val="en-US" w:eastAsia="zh-CN"/>
        </w:rPr>
        <w:t>...........................................................35</w:t>
      </w:r>
    </w:p>
    <w:p w14:paraId="7FC2777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rPr>
          <w:rFonts w:hint="eastAsia" w:eastAsia="仿宋_GB2312" w:cs="仿宋_GB2312"/>
          <w:color w:val="auto"/>
          <w:sz w:val="32"/>
          <w:szCs w:val="32"/>
          <w:highlight w:val="none"/>
          <w:lang w:val="en-US" w:eastAsia="zh-CN"/>
        </w:rPr>
        <w:t>...........................................................35</w:t>
      </w:r>
    </w:p>
    <w:p w14:paraId="244EF56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eastAsia" w:eastAsia="仿宋_GB2312" w:cs="仿宋_GB2312"/>
          <w:color w:val="auto"/>
          <w:sz w:val="32"/>
          <w:szCs w:val="32"/>
          <w:highlight w:val="none"/>
          <w:lang w:val="en-US" w:eastAsia="zh-CN"/>
        </w:rPr>
        <w:t>............................35</w:t>
      </w:r>
    </w:p>
    <w:p w14:paraId="5A0CFD0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r>
        <w:rPr>
          <w:rFonts w:hint="eastAsia" w:eastAsia="仿宋_GB2312" w:cs="仿宋_GB2312"/>
          <w:color w:val="auto"/>
          <w:sz w:val="32"/>
          <w:szCs w:val="32"/>
          <w:highlight w:val="none"/>
          <w:lang w:val="en-US" w:eastAsia="zh-CN"/>
        </w:rPr>
        <w:t>................................35</w:t>
      </w:r>
    </w:p>
    <w:p w14:paraId="34C6654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rPr>
          <w:rFonts w:hint="eastAsia" w:eastAsia="仿宋_GB2312" w:cs="仿宋_GB2312"/>
          <w:color w:val="auto"/>
          <w:sz w:val="32"/>
          <w:szCs w:val="32"/>
          <w:highlight w:val="none"/>
          <w:lang w:val="en-US" w:eastAsia="zh-CN"/>
        </w:rPr>
        <w:t>.................35</w:t>
      </w:r>
    </w:p>
    <w:p w14:paraId="74F8737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eastAsia="仿宋_GB2312" w:cs="仿宋_GB2312"/>
          <w:color w:val="auto"/>
          <w:sz w:val="32"/>
          <w:szCs w:val="32"/>
          <w:highlight w:val="none"/>
          <w:lang w:val="en-US" w:eastAsia="zh-CN"/>
        </w:rPr>
        <w:t>.........35</w:t>
      </w:r>
    </w:p>
    <w:p w14:paraId="335EDE7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eastAsia="仿宋_GB2312" w:cs="仿宋_GB2312"/>
          <w:color w:val="auto"/>
          <w:sz w:val="32"/>
          <w:szCs w:val="32"/>
          <w:highlight w:val="none"/>
          <w:lang w:val="en-US" w:eastAsia="zh-CN"/>
        </w:rPr>
        <w:t>....35</w:t>
      </w:r>
    </w:p>
    <w:p w14:paraId="0050BB4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eastAsia="仿宋_GB2312" w:cs="仿宋_GB2312"/>
          <w:color w:val="auto"/>
          <w:sz w:val="32"/>
          <w:szCs w:val="32"/>
          <w:highlight w:val="none"/>
          <w:lang w:val="en-US" w:eastAsia="zh-CN"/>
        </w:rPr>
        <w:t>............35</w:t>
      </w:r>
    </w:p>
    <w:p w14:paraId="2AF0BA0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val="en-US" w:eastAsia="zh-CN"/>
        </w:rPr>
        <w:t>.........35</w:t>
      </w:r>
    </w:p>
    <w:p w14:paraId="56DB6EF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eastAsia="仿宋_GB2312" w:cs="仿宋_GB2312"/>
          <w:color w:val="auto"/>
          <w:sz w:val="32"/>
          <w:szCs w:val="32"/>
          <w:highlight w:val="none"/>
          <w:lang w:val="en-US" w:eastAsia="zh-CN"/>
        </w:rPr>
        <w:t>...35</w:t>
      </w:r>
    </w:p>
    <w:p w14:paraId="1C294DE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val="en-US" w:eastAsia="zh-CN"/>
        </w:rPr>
        <w:t>...........35</w:t>
      </w:r>
    </w:p>
    <w:p w14:paraId="6F6C11F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val="en-US" w:eastAsia="zh-CN"/>
        </w:rPr>
        <w:t>...................35</w:t>
      </w:r>
    </w:p>
    <w:p w14:paraId="38390C8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bookmarkStart w:id="68" w:name="_GoBack"/>
      <w:bookmarkEnd w:id="68"/>
    </w:p>
    <w:p w14:paraId="5BFC0535">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14:paraId="77CBB334">
      <w:pPr>
        <w:pStyle w:val="3"/>
        <w:jc w:val="center"/>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6"/>
      <w:bookmarkEnd w:id="7"/>
    </w:p>
    <w:p w14:paraId="7BA71AF7">
      <w:pPr>
        <w:pStyle w:val="4"/>
        <w:numPr>
          <w:ilvl w:val="0"/>
          <w:numId w:val="0"/>
        </w:numPr>
        <w:ind w:leftChars="0"/>
        <w:rPr>
          <w:rStyle w:val="31"/>
          <w:rFonts w:hint="eastAsia" w:ascii="黑体" w:eastAsia="黑体"/>
          <w:b/>
          <w:bCs/>
          <w:color w:val="auto"/>
          <w:highlight w:val="none"/>
          <w:lang w:eastAsia="zh-CN"/>
        </w:rPr>
      </w:pPr>
      <w:bookmarkStart w:id="8" w:name="_Toc12898"/>
      <w:bookmarkStart w:id="9" w:name="_Toc15396600"/>
      <w:bookmarkStart w:id="10" w:name="_Toc15377197"/>
      <w:r>
        <w:rPr>
          <w:rStyle w:val="31"/>
          <w:rFonts w:hint="eastAsia" w:ascii="黑体" w:eastAsia="黑体"/>
          <w:b/>
          <w:bCs/>
          <w:color w:val="auto"/>
          <w:highlight w:val="none"/>
          <w:lang w:val="en-US" w:eastAsia="zh-CN"/>
        </w:rPr>
        <w:t>一、</w:t>
      </w:r>
      <w:r>
        <w:rPr>
          <w:rStyle w:val="31"/>
          <w:rFonts w:hint="eastAsia" w:ascii="黑体" w:eastAsia="黑体"/>
          <w:b/>
          <w:bCs/>
          <w:color w:val="auto"/>
          <w:highlight w:val="none"/>
          <w:lang w:eastAsia="zh-CN"/>
        </w:rPr>
        <w:t>主要职责</w:t>
      </w:r>
      <w:bookmarkEnd w:id="8"/>
    </w:p>
    <w:p w14:paraId="38B6EB63">
      <w:pPr>
        <w:ind w:firstLine="597" w:firstLineChars="199"/>
        <w:rPr>
          <w:rFonts w:hint="default" w:ascii="宋体" w:hAnsi="宋体" w:eastAsia="宋体"/>
          <w:sz w:val="30"/>
          <w:szCs w:val="30"/>
          <w:lang w:val="en-US" w:eastAsia="zh-CN"/>
        </w:rPr>
      </w:pPr>
      <w:bookmarkStart w:id="11" w:name="_Toc1127"/>
      <w:r>
        <w:rPr>
          <w:rFonts w:hint="eastAsia" w:ascii="宋体" w:hAnsi="宋体"/>
          <w:sz w:val="30"/>
          <w:szCs w:val="30"/>
        </w:rPr>
        <w:t>在</w:t>
      </w:r>
      <w:r>
        <w:rPr>
          <w:rFonts w:hint="eastAsia" w:ascii="宋体" w:hAnsi="宋体"/>
          <w:sz w:val="30"/>
          <w:szCs w:val="30"/>
          <w:lang w:eastAsia="zh-CN"/>
        </w:rPr>
        <w:t>金川县委、县政府</w:t>
      </w:r>
      <w:r>
        <w:rPr>
          <w:rFonts w:hint="eastAsia" w:ascii="宋体" w:hAnsi="宋体"/>
          <w:sz w:val="30"/>
          <w:szCs w:val="30"/>
        </w:rPr>
        <w:t>领导下贯彻党的教育方针，开展学校教育教学工作。</w:t>
      </w:r>
      <w:r>
        <w:rPr>
          <w:rFonts w:hint="eastAsia" w:ascii="宋体" w:hAnsi="宋体"/>
          <w:sz w:val="30"/>
          <w:szCs w:val="30"/>
          <w:lang w:val="en-US" w:eastAsia="zh-CN"/>
        </w:rPr>
        <w:t>开展教师培训工作，负责指导评价教师业务能力水平。负责学校校点布局规划工作，负责学校基本建设和教学仪器设备采购工作。负责学校经费管理与使用工作。</w:t>
      </w:r>
    </w:p>
    <w:p w14:paraId="0B851893">
      <w:pPr>
        <w:pStyle w:val="4"/>
        <w:numPr>
          <w:ilvl w:val="0"/>
          <w:numId w:val="0"/>
        </w:numPr>
        <w:ind w:leftChars="0"/>
        <w:rPr>
          <w:rFonts w:hint="eastAsia" w:ascii="黑体" w:eastAsia="黑体"/>
          <w:b w:val="0"/>
          <w:color w:val="auto"/>
          <w:highlight w:val="none"/>
          <w:lang w:val="en-US" w:eastAsia="zh-CN"/>
        </w:rPr>
      </w:pPr>
      <w:r>
        <w:rPr>
          <w:rFonts w:hint="eastAsia" w:ascii="黑体" w:eastAsia="黑体"/>
          <w:b w:val="0"/>
          <w:color w:val="auto"/>
          <w:highlight w:val="none"/>
          <w:lang w:val="en-US" w:eastAsia="zh-CN"/>
        </w:rPr>
        <w:t>二、机构设置</w:t>
      </w:r>
      <w:bookmarkEnd w:id="9"/>
      <w:bookmarkEnd w:id="10"/>
      <w:bookmarkEnd w:id="11"/>
    </w:p>
    <w:p w14:paraId="6A4A54F6">
      <w:pPr>
        <w:ind w:firstLine="597" w:firstLineChars="199"/>
        <w:rPr>
          <w:rFonts w:hint="eastAsia" w:ascii="宋体" w:hAnsi="宋体"/>
          <w:sz w:val="30"/>
          <w:szCs w:val="30"/>
        </w:rPr>
      </w:pPr>
      <w:r>
        <w:rPr>
          <w:rFonts w:hint="eastAsia" w:ascii="宋体" w:hAnsi="宋体"/>
          <w:sz w:val="30"/>
          <w:szCs w:val="30"/>
        </w:rPr>
        <w:t>20</w:t>
      </w:r>
      <w:r>
        <w:rPr>
          <w:rFonts w:hint="eastAsia" w:ascii="宋体" w:hAnsi="宋体"/>
          <w:sz w:val="30"/>
          <w:szCs w:val="30"/>
          <w:lang w:val="en-US" w:eastAsia="zh-CN"/>
        </w:rPr>
        <w:t>24</w:t>
      </w:r>
      <w:r>
        <w:rPr>
          <w:rFonts w:hint="eastAsia" w:ascii="宋体" w:hAnsi="宋体"/>
          <w:sz w:val="30"/>
          <w:szCs w:val="30"/>
        </w:rPr>
        <w:t>年编制1</w:t>
      </w:r>
      <w:r>
        <w:rPr>
          <w:rFonts w:hint="eastAsia" w:ascii="宋体" w:hAnsi="宋体"/>
          <w:sz w:val="30"/>
          <w:szCs w:val="30"/>
          <w:lang w:val="en-US" w:eastAsia="zh-CN"/>
        </w:rPr>
        <w:t>075</w:t>
      </w:r>
      <w:r>
        <w:rPr>
          <w:rFonts w:hint="eastAsia" w:ascii="宋体" w:hAnsi="宋体"/>
          <w:sz w:val="30"/>
          <w:szCs w:val="30"/>
        </w:rPr>
        <w:t>人，行政编制10人，事业编制1</w:t>
      </w:r>
      <w:r>
        <w:rPr>
          <w:rFonts w:hint="eastAsia" w:ascii="宋体" w:hAnsi="宋体"/>
          <w:sz w:val="30"/>
          <w:szCs w:val="30"/>
          <w:lang w:val="en-US" w:eastAsia="zh-CN"/>
        </w:rPr>
        <w:t>065</w:t>
      </w:r>
      <w:r>
        <w:rPr>
          <w:rFonts w:hint="eastAsia" w:ascii="宋体" w:hAnsi="宋体"/>
          <w:sz w:val="30"/>
          <w:szCs w:val="30"/>
        </w:rPr>
        <w:t>人。20</w:t>
      </w:r>
      <w:r>
        <w:rPr>
          <w:rFonts w:hint="eastAsia" w:ascii="宋体" w:hAnsi="宋体"/>
          <w:sz w:val="30"/>
          <w:szCs w:val="30"/>
          <w:lang w:val="en-US" w:eastAsia="zh-CN"/>
        </w:rPr>
        <w:t>24</w:t>
      </w:r>
      <w:r>
        <w:rPr>
          <w:rFonts w:hint="eastAsia" w:ascii="宋体" w:hAnsi="宋体"/>
          <w:sz w:val="30"/>
          <w:szCs w:val="30"/>
        </w:rPr>
        <w:t>年在岗在职</w:t>
      </w:r>
      <w:r>
        <w:rPr>
          <w:rFonts w:hint="eastAsia" w:ascii="宋体" w:hAnsi="宋体"/>
          <w:sz w:val="30"/>
          <w:szCs w:val="30"/>
          <w:lang w:val="en-US" w:eastAsia="zh-CN"/>
        </w:rPr>
        <w:t>975</w:t>
      </w:r>
      <w:r>
        <w:rPr>
          <w:rFonts w:hint="eastAsia" w:ascii="宋体" w:hAnsi="宋体"/>
          <w:sz w:val="30"/>
          <w:szCs w:val="30"/>
        </w:rPr>
        <w:t>人。</w:t>
      </w:r>
    </w:p>
    <w:p w14:paraId="679965E2">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金川县教育局</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72C86471">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金川县教师进修校</w:t>
      </w:r>
    </w:p>
    <w:p w14:paraId="413954D2">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2" w:name="_Toc15377203"/>
      <w:bookmarkStart w:id="13" w:name="_Toc15378450"/>
      <w:bookmarkStart w:id="14" w:name="_Toc15306277"/>
      <w:bookmarkStart w:id="15" w:name="_Toc15377434"/>
      <w:r>
        <w:rPr>
          <w:rFonts w:hint="eastAsia" w:ascii="Times New Roman" w:cs="仿宋_GB2312"/>
          <w:color w:val="auto"/>
          <w:sz w:val="32"/>
          <w:szCs w:val="32"/>
          <w:highlight w:val="none"/>
          <w:lang w:val="en-US" w:eastAsia="zh-CN"/>
        </w:rPr>
        <w:t>金川县金川中学校</w:t>
      </w:r>
      <w:bookmarkEnd w:id="12"/>
      <w:bookmarkEnd w:id="13"/>
      <w:bookmarkEnd w:id="14"/>
      <w:bookmarkEnd w:id="15"/>
    </w:p>
    <w:p w14:paraId="62F2DC0B">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金川县东方红小学校</w:t>
      </w:r>
    </w:p>
    <w:p w14:paraId="49CB985D">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金川县勒乌镇第一小学校</w:t>
      </w:r>
    </w:p>
    <w:p w14:paraId="7812DADC">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金川县勒乌镇第二小学校</w:t>
      </w:r>
    </w:p>
    <w:p w14:paraId="3120433A">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金川县勒乌镇第三小学校</w:t>
      </w:r>
    </w:p>
    <w:p w14:paraId="26F2FF0B">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金川县咯尔乡中心校</w:t>
      </w:r>
    </w:p>
    <w:p w14:paraId="7899AD18">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金川县沙耳乡中心校</w:t>
      </w:r>
    </w:p>
    <w:p w14:paraId="2B35E11F">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金川县庆宁乡中心校</w:t>
      </w:r>
    </w:p>
    <w:p w14:paraId="0D335A86">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金川县安宁镇乡中心校</w:t>
      </w:r>
    </w:p>
    <w:p w14:paraId="15AF18B0">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金川县安宁中学校</w:t>
      </w:r>
    </w:p>
    <w:p w14:paraId="651F1B6C">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金川县观音镇第一中小学校</w:t>
      </w:r>
    </w:p>
    <w:p w14:paraId="7556302F">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金川县二嘎里乡中心校</w:t>
      </w:r>
    </w:p>
    <w:p w14:paraId="01A24EE0">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金川县俄热乡中心校</w:t>
      </w:r>
    </w:p>
    <w:p w14:paraId="575215DD">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金川县阿科里乡中心校</w:t>
      </w:r>
    </w:p>
    <w:p w14:paraId="357E8FF8">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金川县毛日乡中心校</w:t>
      </w:r>
    </w:p>
    <w:p w14:paraId="6F790493">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金川县马奈镇第一小学校</w:t>
      </w:r>
    </w:p>
    <w:p w14:paraId="5AC929D9">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金川县曾达乡中心校</w:t>
      </w:r>
    </w:p>
    <w:p w14:paraId="70472984">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金川县河西乡中心校</w:t>
      </w:r>
    </w:p>
    <w:p w14:paraId="0AA21263">
      <w:pPr>
        <w:pStyle w:val="6"/>
        <w:adjustRightInd w:val="0"/>
        <w:snapToGrid w:val="0"/>
        <w:spacing w:before="93" w:line="600" w:lineRule="exact"/>
        <w:rPr>
          <w:rFonts w:hint="eastAsia" w:ascii="Times New Roman" w:hAnsi="Times New Roman" w:eastAsia="仿宋_GB2312" w:cs="仿宋_GB2312"/>
          <w:color w:val="auto"/>
          <w:sz w:val="32"/>
          <w:szCs w:val="32"/>
          <w:highlight w:val="none"/>
        </w:rPr>
      </w:pPr>
    </w:p>
    <w:p w14:paraId="1A11AC5F">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102C9D88">
      <w:pPr>
        <w:pStyle w:val="3"/>
        <w:jc w:val="center"/>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14:paraId="1A0FA556">
      <w:pPr>
        <w:rPr>
          <w:rFonts w:ascii="Times New Roman" w:hAnsi="Times New Roman"/>
          <w:color w:val="auto"/>
          <w:highlight w:val="none"/>
        </w:rPr>
      </w:pPr>
    </w:p>
    <w:p w14:paraId="4627D892">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18" w:name="_Toc15396603"/>
      <w:bookmarkStart w:id="19"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18"/>
      <w:bookmarkEnd w:id="19"/>
    </w:p>
    <w:p w14:paraId="236199F5">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仿宋_GB2312" w:hAnsi="仿宋_GB2312" w:eastAsia="仿宋_GB2312" w:cs="仿宋_GB2312"/>
          <w:sz w:val="32"/>
          <w:szCs w:val="32"/>
        </w:rPr>
        <w:t>38245.21</w:t>
      </w:r>
      <w:r>
        <w:rPr>
          <w:rFonts w:hint="eastAsia" w:ascii="仿宋_GB2312" w:hAnsi="仿宋_GB2312" w:eastAsia="仿宋_GB2312" w:cs="仿宋_GB2312"/>
          <w:sz w:val="32"/>
          <w:szCs w:val="32"/>
          <w:lang w:val="en-US" w:eastAsia="zh-CN"/>
        </w:rPr>
        <w:t>万元</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38245.21</w:t>
      </w:r>
      <w:r>
        <w:rPr>
          <w:rFonts w:ascii="仿宋_GB2312" w:hAnsi="仿宋_GB2312" w:eastAsia="仿宋_GB2312" w:cs="仿宋_GB2312"/>
          <w:sz w:val="32"/>
          <w:szCs w:val="32"/>
        </w:rPr>
        <w:t>万元</w:t>
      </w:r>
      <w:r>
        <w:rPr>
          <w:rFonts w:hint="eastAsia" w:ascii="Times New Roman" w:hAnsi="Times New Roman" w:eastAsia="仿宋_GB2312" w:cs="仿宋_GB2312"/>
          <w:color w:val="auto"/>
          <w:sz w:val="32"/>
          <w:szCs w:val="32"/>
          <w:highlight w:val="none"/>
        </w:rPr>
        <w:t>。与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eastAsia="仿宋_GB2312" w:cs="仿宋_GB2312"/>
          <w:color w:val="auto"/>
          <w:sz w:val="32"/>
          <w:szCs w:val="32"/>
          <w:highlight w:val="none"/>
          <w:lang w:val="en-US" w:eastAsia="zh-CN"/>
        </w:rPr>
        <w:t>增加4262.51万元</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总计减少</w:t>
      </w:r>
      <w:r>
        <w:rPr>
          <w:rFonts w:hint="eastAsia" w:eastAsia="仿宋_GB2312" w:cs="仿宋_GB2312"/>
          <w:color w:val="auto"/>
          <w:sz w:val="32"/>
          <w:szCs w:val="32"/>
          <w:highlight w:val="none"/>
          <w:lang w:val="en-US" w:eastAsia="zh-CN"/>
        </w:rPr>
        <w:t>4262.51</w:t>
      </w:r>
      <w:r>
        <w:rPr>
          <w:rFonts w:hint="eastAsia" w:ascii="Times New Roman" w:hAnsi="Times New Roman" w:eastAsia="仿宋_GB2312" w:cs="仿宋_GB2312"/>
          <w:color w:val="auto"/>
          <w:sz w:val="32"/>
          <w:szCs w:val="32"/>
          <w:highlight w:val="none"/>
        </w:rPr>
        <w:t>万元。主要变动原因是</w:t>
      </w:r>
      <w:r>
        <w:rPr>
          <w:rFonts w:hint="eastAsia" w:eastAsia="仿宋_GB2312" w:cs="仿宋_GB2312"/>
          <w:color w:val="auto"/>
          <w:sz w:val="32"/>
          <w:szCs w:val="32"/>
          <w:highlight w:val="none"/>
          <w:lang w:val="en-US" w:eastAsia="zh-CN"/>
        </w:rPr>
        <w:t>基建和设备投入增加。</w:t>
      </w:r>
    </w:p>
    <w:p w14:paraId="1CE82A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391D31D7">
      <w:pPr>
        <w:pStyle w:val="21"/>
        <w:rPr>
          <w:rFonts w:hint="eastAsia"/>
        </w:rPr>
      </w:pPr>
      <w:r>
        <w:drawing>
          <wp:inline distT="0" distB="0" distL="114300" distR="114300">
            <wp:extent cx="3810000" cy="2540000"/>
            <wp:effectExtent l="4445" t="4445" r="14605" b="8255"/>
            <wp:docPr id="100001" name="图表 100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B7B5F1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1FDBCC09">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77206"/>
      <w:bookmarkStart w:id="21" w:name="_Toc15396604"/>
      <w:r>
        <w:rPr>
          <w:rFonts w:hint="eastAsia" w:ascii="Times New Roman" w:hAnsi="Times New Roman" w:eastAsia="黑体"/>
          <w:color w:val="auto"/>
          <w:sz w:val="32"/>
          <w:szCs w:val="32"/>
          <w:highlight w:val="none"/>
          <w:lang w:eastAsia="zh-CN"/>
        </w:rPr>
        <w:t>二、收入决算情况说明</w:t>
      </w:r>
      <w:bookmarkEnd w:id="20"/>
      <w:bookmarkEnd w:id="21"/>
    </w:p>
    <w:p w14:paraId="5340FEB3">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38245.21万元，其中：一般公共预算财政拨款收入38225.71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99.94</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19.5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0.05%</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1133C055">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2A79E5AA">
      <w:pPr>
        <w:pStyle w:val="21"/>
        <w:rPr>
          <w:rFonts w:hint="eastAsia"/>
          <w:lang w:eastAsia="zh-CN"/>
        </w:rPr>
      </w:pPr>
      <w:r>
        <w:drawing>
          <wp:inline distT="0" distB="0" distL="114300" distR="114300">
            <wp:extent cx="3810000" cy="2540000"/>
            <wp:effectExtent l="4445" t="4445" r="14605" b="8255"/>
            <wp:docPr id="100002" name="图表 10000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2B486C">
      <w:pPr>
        <w:ind w:firstLine="800" w:firstLineChars="250"/>
        <w:rPr>
          <w:rFonts w:hint="eastAsia" w:ascii="Times New Roman" w:hAnsi="Times New Roman" w:eastAsia="仿宋_GB2312" w:cs="仿宋_GB2312"/>
          <w:color w:val="auto"/>
          <w:sz w:val="32"/>
          <w:szCs w:val="32"/>
          <w:highlight w:val="none"/>
          <w:lang w:eastAsia="zh-CN"/>
        </w:rPr>
      </w:pPr>
    </w:p>
    <w:p w14:paraId="263DF771">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2" w:name="_Toc15396605"/>
      <w:bookmarkStart w:id="23"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2"/>
      <w:bookmarkEnd w:id="23"/>
    </w:p>
    <w:p w14:paraId="761ED203">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38245.21</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26125.48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68.31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12119.73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31.68</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07104F14">
      <w:pPr>
        <w:ind w:firstLine="800" w:firstLineChars="250"/>
        <w:rPr>
          <w:rFonts w:hint="eastAsia"/>
          <w:lang w:eastAsia="zh-CN"/>
        </w:rPr>
      </w:pPr>
      <w:r>
        <w:rPr>
          <w:rFonts w:hint="eastAsia" w:ascii="Times New Roman" w:hAnsi="Times New Roman" w:eastAsia="仿宋_GB2312" w:cs="仿宋_GB2312"/>
          <w:color w:val="auto"/>
          <w:sz w:val="32"/>
          <w:szCs w:val="32"/>
          <w:highlight w:val="none"/>
          <w:lang w:eastAsia="zh-CN"/>
        </w:rPr>
        <w:t>（图3：支出决算结构图）（饼状图）</w:t>
      </w:r>
      <w:r>
        <w:rPr>
          <w:rFonts w:ascii="仿宋" w:eastAsia="仿宋"/>
          <w:color w:val="auto"/>
          <w:sz w:val="32"/>
          <w:szCs w:val="32"/>
          <w:highlight w:val="none"/>
          <w:shd w:val="pct10" w:color="auto" w:fill="FFFFFF"/>
          <w:lang w:eastAsia="zh-CN"/>
        </w:rPr>
        <w:pict>
          <v:shape id="Object 4" o:spid="_x0000_s1026" o:spt="75" type="#_x0000_t75" style="position:absolute;left:0pt;margin-left:17.75pt;margin-top:36.8pt;height:199.05pt;width:386.4pt;mso-wrap-distance-bottom:0pt;mso-wrap-distance-top:0pt;z-index:251659264;mso-width-relative:page;mso-height-relative:page;" o:ole="t" filled="f" stroked="f" coordsize="21600,21600">
            <v:path/>
            <v:fill on="f" focussize="0,0"/>
            <v:stroke on="f"/>
            <v:imagedata r:id="rId11" o:title="2.emf"/>
            <o:lock v:ext="edit" aspectratio="t"/>
            <w10:wrap type="topAndBottom"/>
          </v:shape>
          <o:OLEObject Type="Embed" ProgID="" ShapeID="Object 4" DrawAspect="Content" ObjectID="_1468075725" r:id="rId10">
            <o:LockedField>false</o:LockedField>
          </o:OLEObject>
        </w:pict>
      </w:r>
    </w:p>
    <w:p w14:paraId="16CCDEEC">
      <w:pPr>
        <w:ind w:firstLine="800" w:firstLineChars="250"/>
        <w:rPr>
          <w:rFonts w:hint="eastAsia" w:ascii="Times New Roman" w:hAnsi="Times New Roman" w:eastAsia="仿宋_GB2312" w:cs="仿宋_GB2312"/>
          <w:color w:val="auto"/>
          <w:sz w:val="32"/>
          <w:szCs w:val="32"/>
          <w:highlight w:val="none"/>
          <w:lang w:eastAsia="zh-CN"/>
        </w:rPr>
      </w:pPr>
    </w:p>
    <w:p w14:paraId="7A881853">
      <w:pPr>
        <w:spacing w:line="600" w:lineRule="exact"/>
        <w:ind w:firstLine="640" w:firstLineChars="200"/>
        <w:outlineLvl w:val="1"/>
        <w:rPr>
          <w:rStyle w:val="31"/>
          <w:rFonts w:ascii="Times New Roman" w:hAnsi="Times New Roman" w:eastAsia="黑体"/>
          <w:b w:val="0"/>
          <w:color w:val="auto"/>
          <w:highlight w:val="none"/>
        </w:rPr>
      </w:pPr>
      <w:bookmarkStart w:id="24" w:name="_Toc15396606"/>
      <w:bookmarkStart w:id="25" w:name="_Toc15377208"/>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24"/>
      <w:bookmarkEnd w:id="25"/>
    </w:p>
    <w:p w14:paraId="14C97994">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38245.21</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万元。与2023年度相比，财政拨款收入总计、支出总计增加</w:t>
      </w:r>
      <w:r>
        <w:rPr>
          <w:rFonts w:hint="eastAsia" w:eastAsia="仿宋_GB2312" w:cs="仿宋_GB2312"/>
          <w:color w:val="auto"/>
          <w:kern w:val="2"/>
          <w:sz w:val="32"/>
          <w:szCs w:val="32"/>
          <w:highlight w:val="none"/>
          <w:lang w:val="en-US" w:eastAsia="zh-CN" w:bidi="ar-SA"/>
        </w:rPr>
        <w:t>4262.51</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12.54</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基建和设备经费投入增加。</w:t>
      </w:r>
    </w:p>
    <w:p w14:paraId="6B565BB8">
      <w:pPr>
        <w:spacing w:line="600" w:lineRule="exact"/>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r>
        <w:rPr>
          <w:rFonts w:hint="eastAsia" w:eastAsia="仿宋_GB2312" w:cs="仿宋_GB2312"/>
          <w:color w:val="auto"/>
          <w:kern w:val="2"/>
          <w:sz w:val="32"/>
          <w:szCs w:val="32"/>
          <w:highlight w:val="none"/>
          <w:lang w:val="en-US" w:eastAsia="zh-CN" w:bidi="ar-SA"/>
        </w:rPr>
        <w:t>）</w:t>
      </w:r>
    </w:p>
    <w:p w14:paraId="6486BEDE">
      <w:pPr>
        <w:pStyle w:val="21"/>
        <w:rPr>
          <w:rFonts w:hint="eastAsia" w:eastAsia="仿宋_GB2312" w:cs="仿宋_GB2312"/>
          <w:color w:val="auto"/>
          <w:kern w:val="2"/>
          <w:sz w:val="32"/>
          <w:szCs w:val="32"/>
          <w:highlight w:val="none"/>
          <w:lang w:val="en-US" w:eastAsia="zh-CN" w:bidi="ar-SA"/>
        </w:rPr>
      </w:pPr>
      <w:r>
        <w:rPr>
          <w:rFonts w:ascii="仿宋" w:eastAsia="仿宋"/>
          <w:color w:val="auto"/>
          <w:sz w:val="32"/>
          <w:szCs w:val="32"/>
          <w:highlight w:val="none"/>
          <w:lang w:eastAsia="zh-CN"/>
        </w:rPr>
        <w:pict>
          <v:shape id="_x0000_s1031" o:spid="_x0000_s1031" o:spt="75" type="#_x0000_t75" style="position:absolute;left:0pt;margin-left:0.2pt;margin-top:15.65pt;height:223.75pt;width:409.4pt;mso-wrap-distance-bottom:0pt;mso-wrap-distance-top:0pt;z-index:251661312;mso-width-relative:page;mso-height-relative:page;" o:ole="t" filled="f" stroked="f" coordsize="21600,21600">
            <v:path/>
            <v:fill on="f" focussize="0,0"/>
            <v:stroke on="f"/>
            <v:imagedata r:id="rId13" o:title="3.emf"/>
            <o:lock v:ext="edit" aspectratio="t"/>
            <w10:wrap type="topAndBottom"/>
          </v:shape>
          <o:OLEObject Type="Embed" ProgID="" ShapeID="_x0000_s1031" DrawAspect="Content" ObjectID="_1468075726" r:id="rId12">
            <o:LockedField>false</o:LockedField>
          </o:OLEObject>
        </w:pict>
      </w:r>
    </w:p>
    <w:p w14:paraId="64E10BCE">
      <w:pPr>
        <w:rPr>
          <w:rFonts w:hint="eastAsia" w:eastAsia="仿宋_GB2312" w:cs="仿宋_GB2312"/>
          <w:color w:val="auto"/>
          <w:kern w:val="2"/>
          <w:sz w:val="32"/>
          <w:szCs w:val="32"/>
          <w:highlight w:val="none"/>
          <w:lang w:val="en-US" w:eastAsia="zh-CN" w:bidi="ar-SA"/>
        </w:rPr>
      </w:pPr>
    </w:p>
    <w:p w14:paraId="398408B7">
      <w:pPr>
        <w:pStyle w:val="21"/>
        <w:rPr>
          <w:rFonts w:hint="eastAsia" w:eastAsia="仿宋_GB2312" w:cs="仿宋_GB2312"/>
          <w:color w:val="auto"/>
          <w:kern w:val="2"/>
          <w:sz w:val="32"/>
          <w:szCs w:val="32"/>
          <w:highlight w:val="none"/>
          <w:lang w:val="en-US" w:eastAsia="zh-CN" w:bidi="ar-SA"/>
        </w:rPr>
      </w:pPr>
    </w:p>
    <w:p w14:paraId="01F7E7DA">
      <w:pPr>
        <w:rPr>
          <w:rFonts w:hint="eastAsia" w:eastAsia="仿宋_GB2312" w:cs="仿宋_GB2312"/>
          <w:color w:val="auto"/>
          <w:kern w:val="2"/>
          <w:sz w:val="32"/>
          <w:szCs w:val="32"/>
          <w:highlight w:val="none"/>
          <w:lang w:val="en-US" w:eastAsia="zh-CN" w:bidi="ar-SA"/>
        </w:rPr>
      </w:pPr>
    </w:p>
    <w:p w14:paraId="246245BE">
      <w:pPr>
        <w:pStyle w:val="21"/>
        <w:rPr>
          <w:rFonts w:hint="eastAsia" w:eastAsia="仿宋_GB2312" w:cs="仿宋_GB2312"/>
          <w:color w:val="auto"/>
          <w:kern w:val="2"/>
          <w:sz w:val="32"/>
          <w:szCs w:val="32"/>
          <w:highlight w:val="none"/>
          <w:lang w:val="en-US" w:eastAsia="zh-CN" w:bidi="ar-SA"/>
        </w:rPr>
      </w:pPr>
    </w:p>
    <w:p w14:paraId="2D003D6C">
      <w:pPr>
        <w:rPr>
          <w:rFonts w:hint="eastAsia"/>
          <w:lang w:val="en-US" w:eastAsia="zh-CN"/>
        </w:rPr>
      </w:pPr>
    </w:p>
    <w:p w14:paraId="2AFF9BD6">
      <w:pPr>
        <w:pStyle w:val="21"/>
        <w:rPr>
          <w:rStyle w:val="31"/>
          <w:rFonts w:ascii="Times New Roman" w:hAnsi="Times New Roman" w:eastAsia="黑体"/>
          <w:b w:val="0"/>
          <w:color w:val="auto"/>
          <w:highlight w:val="none"/>
        </w:rPr>
      </w:pPr>
      <w:r>
        <w:rPr>
          <w:rFonts w:ascii="仿宋" w:eastAsia="仿宋"/>
          <w:color w:val="auto"/>
          <w:sz w:val="32"/>
          <w:szCs w:val="32"/>
          <w:highlight w:val="none"/>
          <w:lang w:eastAsia="zh-CN"/>
        </w:rPr>
        <w:pict>
          <v:shape id="Object 5" o:spid="_x0000_s1029" o:spt="75" type="#_x0000_t75" style="position:absolute;left:0pt;margin-left:-4.7pt;margin-top:227.35pt;height:223.75pt;width:409.4pt;mso-wrap-distance-bottom:0pt;mso-wrap-distance-top:0pt;z-index:251660288;mso-width-relative:page;mso-height-relative:page;" o:ole="t" filled="f" stroked="f" coordsize="21600,21600">
            <v:path/>
            <v:fill on="f" focussize="0,0"/>
            <v:stroke on="f"/>
            <v:imagedata r:id="rId13" o:title="3.emf"/>
            <o:lock v:ext="edit" aspectratio="t"/>
            <w10:wrap type="topAndBottom"/>
          </v:shape>
          <o:OLEObject Type="Embed" ProgID="" ShapeID="Object 5" DrawAspect="Content" ObjectID="_1468075727" r:id="rId14">
            <o:LockedField>false</o:LockedField>
          </o:OLEObject>
        </w:pict>
      </w:r>
      <w:bookmarkStart w:id="26" w:name="_Toc15377209"/>
      <w:bookmarkStart w:id="27"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26"/>
      <w:bookmarkEnd w:id="27"/>
    </w:p>
    <w:p w14:paraId="53FF9BD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2791803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38225.71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99.94</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%。与2023年度相比，一般公共预算财政拨款支出增加4262.51万元，增长11.15。主要变动原因是基建和设备投入增加</w:t>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2AF2493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867814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70B2FABF">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38225.71</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一般公共服务支出5,742.51万元，占</w:t>
      </w:r>
      <w:r>
        <w:rPr>
          <w:rFonts w:hint="eastAsia" w:eastAsia="仿宋_GB2312" w:cs="仿宋_GB2312"/>
          <w:color w:val="auto"/>
          <w:kern w:val="2"/>
          <w:sz w:val="32"/>
          <w:szCs w:val="32"/>
          <w:highlight w:val="none"/>
          <w:lang w:val="en-US" w:eastAsia="zh-CN" w:bidi="ar-SA"/>
        </w:rPr>
        <w:t>15.02</w:t>
      </w:r>
      <w:r>
        <w:rPr>
          <w:rFonts w:hint="eastAsia" w:ascii="Times New Roman" w:hAnsi="Times New Roman" w:eastAsia="仿宋_GB2312" w:cs="仿宋_GB2312"/>
          <w:color w:val="auto"/>
          <w:kern w:val="2"/>
          <w:sz w:val="32"/>
          <w:szCs w:val="32"/>
          <w:highlight w:val="none"/>
          <w:lang w:val="en-US" w:eastAsia="zh-CN" w:bidi="ar-SA"/>
        </w:rPr>
        <w:t>%；教育支出25,251.94万元，占</w:t>
      </w:r>
      <w:r>
        <w:rPr>
          <w:rFonts w:hint="eastAsia" w:eastAsia="仿宋_GB2312" w:cs="仿宋_GB2312"/>
          <w:color w:val="auto"/>
          <w:kern w:val="2"/>
          <w:sz w:val="32"/>
          <w:szCs w:val="32"/>
          <w:highlight w:val="none"/>
          <w:lang w:val="en-US" w:eastAsia="zh-CN" w:bidi="ar-SA"/>
        </w:rPr>
        <w:t>66.05</w:t>
      </w:r>
      <w:r>
        <w:rPr>
          <w:rFonts w:hint="eastAsia" w:ascii="Times New Roman" w:hAnsi="Times New Roman" w:eastAsia="仿宋_GB2312" w:cs="仿宋_GB2312"/>
          <w:color w:val="auto"/>
          <w:kern w:val="2"/>
          <w:sz w:val="32"/>
          <w:szCs w:val="32"/>
          <w:highlight w:val="none"/>
          <w:lang w:val="en-US" w:eastAsia="zh-CN" w:bidi="ar-SA"/>
        </w:rPr>
        <w:t>%；科学技术支出**万元，占**%；文化旅游体育与传媒支出**万元，占**%；社会保障和就业支出3,606.78万元，占</w:t>
      </w:r>
      <w:r>
        <w:rPr>
          <w:rFonts w:hint="eastAsia" w:eastAsia="仿宋_GB2312" w:cs="仿宋_GB2312"/>
          <w:color w:val="auto"/>
          <w:kern w:val="2"/>
          <w:sz w:val="32"/>
          <w:szCs w:val="32"/>
          <w:highlight w:val="none"/>
          <w:lang w:val="en-US" w:eastAsia="zh-CN" w:bidi="ar-SA"/>
        </w:rPr>
        <w:t>9.43</w:t>
      </w:r>
      <w:r>
        <w:rPr>
          <w:rFonts w:hint="eastAsia" w:ascii="Times New Roman" w:hAnsi="Times New Roman" w:eastAsia="仿宋_GB2312" w:cs="仿宋_GB2312"/>
          <w:color w:val="auto"/>
          <w:kern w:val="2"/>
          <w:sz w:val="32"/>
          <w:szCs w:val="32"/>
          <w:highlight w:val="none"/>
          <w:lang w:val="en-US" w:eastAsia="zh-CN" w:bidi="ar-SA"/>
        </w:rPr>
        <w:t>%；卫生健康支出1,430.00万元，占</w:t>
      </w:r>
      <w:r>
        <w:rPr>
          <w:rFonts w:hint="eastAsia" w:eastAsia="仿宋_GB2312" w:cs="仿宋_GB2312"/>
          <w:color w:val="auto"/>
          <w:kern w:val="2"/>
          <w:sz w:val="32"/>
          <w:szCs w:val="32"/>
          <w:highlight w:val="none"/>
          <w:lang w:val="en-US" w:eastAsia="zh-CN" w:bidi="ar-SA"/>
        </w:rPr>
        <w:t>3.74</w:t>
      </w:r>
      <w:r>
        <w:rPr>
          <w:rFonts w:hint="eastAsia" w:ascii="Times New Roman" w:hAnsi="Times New Roman" w:eastAsia="仿宋_GB2312" w:cs="仿宋_GB2312"/>
          <w:color w:val="auto"/>
          <w:kern w:val="2"/>
          <w:sz w:val="32"/>
          <w:szCs w:val="32"/>
          <w:highlight w:val="none"/>
          <w:lang w:val="en-US" w:eastAsia="zh-CN" w:bidi="ar-SA"/>
        </w:rPr>
        <w:t>%；住房保障支出</w:t>
      </w:r>
      <w:r>
        <w:t>2,100.85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5.49</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669A7423">
      <w:pPr>
        <w:spacing w:line="600" w:lineRule="exact"/>
        <w:ind w:firstLine="640"/>
        <w:rPr>
          <w:rFonts w:hint="eastAsia" w:ascii="Times New Roman" w:hAnsi="Times New Roman" w:eastAsia="楷体_GB2312" w:cs="楷体_GB2312"/>
          <w:b/>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bookmarkStart w:id="30" w:name="_Toc15377212"/>
    </w:p>
    <w:p w14:paraId="3DB3DD7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p>
    <w:p w14:paraId="498A2108">
      <w:pPr>
        <w:pStyle w:val="21"/>
        <w:rPr>
          <w:rFonts w:hint="eastAsia" w:ascii="Times New Roman" w:hAnsi="Times New Roman" w:eastAsia="楷体_GB2312" w:cs="楷体_GB2312"/>
          <w:b/>
          <w:color w:val="auto"/>
          <w:sz w:val="32"/>
          <w:szCs w:val="32"/>
          <w:highlight w:val="none"/>
        </w:rPr>
      </w:pPr>
      <w:r>
        <w:drawing>
          <wp:inline distT="0" distB="0" distL="114300" distR="114300">
            <wp:extent cx="3810000" cy="2540000"/>
            <wp:effectExtent l="4445" t="4445" r="14605" b="8255"/>
            <wp:docPr id="100005" name="图表 1000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C9B688">
      <w:pPr>
        <w:spacing w:line="600" w:lineRule="exact"/>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5F0DBDE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8460"/>
      <w:bookmarkStart w:id="32" w:name="_Toc15377444"/>
      <w:bookmarkStart w:id="33"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38225.71</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112.74</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14:paraId="1F4C4D7C">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支出决算为5,742.51万元，完成预算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%，决算数小于/等于预算数的主要原因是</w:t>
      </w:r>
      <w:r>
        <w:rPr>
          <w:rFonts w:hint="eastAsia" w:eastAsia="仿宋_GB2312" w:cs="仿宋_GB2312"/>
          <w:color w:val="auto"/>
          <w:kern w:val="2"/>
          <w:sz w:val="32"/>
          <w:szCs w:val="32"/>
          <w:highlight w:val="none"/>
          <w:lang w:val="en-US" w:eastAsia="zh-CN" w:bidi="ar-SA"/>
        </w:rPr>
        <w:t>按预算执行。</w:t>
      </w:r>
    </w:p>
    <w:p w14:paraId="24DAB898">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2.教育（类）</w:t>
      </w:r>
      <w:r>
        <w:rPr>
          <w:rFonts w:hint="eastAsia" w:eastAsia="仿宋_GB2312" w:cs="仿宋_GB2312"/>
          <w:color w:val="auto"/>
          <w:kern w:val="2"/>
          <w:sz w:val="32"/>
          <w:szCs w:val="32"/>
          <w:highlight w:val="none"/>
          <w:lang w:val="en-US" w:eastAsia="zh-CN" w:bidi="ar-SA"/>
        </w:rPr>
        <w:t>205</w:t>
      </w:r>
      <w:r>
        <w:rPr>
          <w:rFonts w:hint="eastAsia" w:ascii="Times New Roman" w:hAnsi="Times New Roman" w:eastAsia="仿宋_GB2312" w:cs="仿宋_GB2312"/>
          <w:color w:val="auto"/>
          <w:kern w:val="2"/>
          <w:sz w:val="32"/>
          <w:szCs w:val="32"/>
          <w:highlight w:val="none"/>
          <w:lang w:val="en-US" w:eastAsia="zh-CN" w:bidi="ar-SA"/>
        </w:rPr>
        <w:t>（款）***（项）: 支出决算为</w:t>
      </w:r>
      <w:r>
        <w:t>25,251.94</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122.45</w:t>
      </w:r>
      <w:r>
        <w:rPr>
          <w:rFonts w:hint="eastAsia" w:ascii="Times New Roman" w:hAnsi="Times New Roman" w:eastAsia="仿宋_GB2312" w:cs="仿宋_GB2312"/>
          <w:color w:val="auto"/>
          <w:kern w:val="2"/>
          <w:sz w:val="32"/>
          <w:szCs w:val="32"/>
          <w:highlight w:val="none"/>
          <w:lang w:val="en-US" w:eastAsia="zh-CN" w:bidi="ar-SA"/>
        </w:rPr>
        <w:t>%，决算数小于/等于预算数的主要原因是</w:t>
      </w:r>
      <w:r>
        <w:rPr>
          <w:rFonts w:hint="eastAsia" w:eastAsia="仿宋_GB2312" w:cs="仿宋_GB2312"/>
          <w:color w:val="auto"/>
          <w:kern w:val="2"/>
          <w:sz w:val="32"/>
          <w:szCs w:val="32"/>
          <w:highlight w:val="none"/>
          <w:lang w:val="en-US" w:eastAsia="zh-CN" w:bidi="ar-SA"/>
        </w:rPr>
        <w:t>上级资金投入。</w:t>
      </w:r>
    </w:p>
    <w:p w14:paraId="07D6C1F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3.科学技术（类）***（款）***（项）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支出决算为**万元，完成预算**%，决算数小于/等于预算数的主要原因是……</w:t>
      </w:r>
    </w:p>
    <w:p w14:paraId="239D556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4.文化旅游体育与传媒（类）***（款）***（项）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支出决算为**万元，完成预算**%，决算数小于/等于预算数的主要原因是……</w:t>
      </w:r>
    </w:p>
    <w:p w14:paraId="30418324">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5.社会保障和就业（类）***（款）***（项）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支出决算为3,606.78万元，完成预算</w:t>
      </w:r>
      <w:r>
        <w:rPr>
          <w:rFonts w:hint="eastAsia" w:eastAsia="仿宋_GB2312" w:cs="仿宋_GB2312"/>
          <w:color w:val="auto"/>
          <w:kern w:val="2"/>
          <w:sz w:val="32"/>
          <w:szCs w:val="32"/>
          <w:highlight w:val="none"/>
          <w:lang w:val="en-US" w:eastAsia="zh-CN" w:bidi="ar-SA"/>
        </w:rPr>
        <w:t>94.24</w:t>
      </w:r>
      <w:r>
        <w:rPr>
          <w:rFonts w:hint="eastAsia" w:ascii="Times New Roman" w:hAnsi="Times New Roman" w:eastAsia="仿宋_GB2312" w:cs="仿宋_GB2312"/>
          <w:color w:val="auto"/>
          <w:kern w:val="2"/>
          <w:sz w:val="32"/>
          <w:szCs w:val="32"/>
          <w:highlight w:val="none"/>
          <w:lang w:val="en-US" w:eastAsia="zh-CN" w:bidi="ar-SA"/>
        </w:rPr>
        <w:t>%，决算数小于/等于预算数的主要原因是</w:t>
      </w:r>
      <w:r>
        <w:rPr>
          <w:rFonts w:hint="eastAsia" w:eastAsia="仿宋_GB2312" w:cs="仿宋_GB2312"/>
          <w:color w:val="auto"/>
          <w:kern w:val="2"/>
          <w:sz w:val="32"/>
          <w:szCs w:val="32"/>
          <w:highlight w:val="none"/>
          <w:lang w:val="en-US" w:eastAsia="zh-CN" w:bidi="ar-SA"/>
        </w:rPr>
        <w:t>人员减少。</w:t>
      </w:r>
    </w:p>
    <w:p w14:paraId="3C428836">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6.卫生健康（类）</w:t>
      </w:r>
      <w:r>
        <w:rPr>
          <w:rFonts w:hint="eastAsia" w:eastAsia="仿宋_GB2312" w:cs="仿宋_GB2312"/>
          <w:color w:val="auto"/>
          <w:kern w:val="2"/>
          <w:sz w:val="32"/>
          <w:szCs w:val="32"/>
          <w:highlight w:val="none"/>
          <w:lang w:val="en-US" w:eastAsia="zh-CN" w:bidi="ar-SA"/>
        </w:rPr>
        <w:t>210</w:t>
      </w:r>
      <w:r>
        <w:rPr>
          <w:rFonts w:hint="eastAsia" w:ascii="Times New Roman" w:hAnsi="Times New Roman" w:eastAsia="仿宋_GB2312" w:cs="仿宋_GB2312"/>
          <w:color w:val="auto"/>
          <w:kern w:val="2"/>
          <w:sz w:val="32"/>
          <w:szCs w:val="32"/>
          <w:highlight w:val="none"/>
          <w:lang w:val="en-US" w:eastAsia="zh-CN" w:bidi="ar-SA"/>
        </w:rPr>
        <w:t>（款）***（项）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t>1,430.00</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91.84</w:t>
      </w:r>
      <w:r>
        <w:rPr>
          <w:rFonts w:hint="eastAsia" w:ascii="Times New Roman" w:hAnsi="Times New Roman" w:eastAsia="仿宋_GB2312" w:cs="仿宋_GB2312"/>
          <w:color w:val="auto"/>
          <w:kern w:val="2"/>
          <w:sz w:val="32"/>
          <w:szCs w:val="32"/>
          <w:highlight w:val="none"/>
          <w:lang w:val="en-US" w:eastAsia="zh-CN" w:bidi="ar-SA"/>
        </w:rPr>
        <w:t>%，决算数小于/等于预算数的主要原因是</w:t>
      </w:r>
      <w:r>
        <w:rPr>
          <w:rFonts w:hint="eastAsia" w:eastAsia="仿宋_GB2312" w:cs="仿宋_GB2312"/>
          <w:color w:val="auto"/>
          <w:kern w:val="2"/>
          <w:sz w:val="32"/>
          <w:szCs w:val="32"/>
          <w:highlight w:val="none"/>
          <w:lang w:val="en-US" w:eastAsia="zh-CN" w:bidi="ar-SA"/>
        </w:rPr>
        <w:t>人员减少。</w:t>
      </w:r>
    </w:p>
    <w:p w14:paraId="629EDE05">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14:paraId="497134F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44D340F">
      <w:pPr>
        <w:tabs>
          <w:tab w:val="right" w:pos="8306"/>
        </w:tabs>
        <w:spacing w:line="600" w:lineRule="exact"/>
        <w:ind w:firstLine="640"/>
        <w:outlineLvl w:val="1"/>
        <w:rPr>
          <w:rStyle w:val="31"/>
          <w:rFonts w:ascii="Times New Roman" w:hAnsi="Times New Roman"/>
          <w:color w:val="auto"/>
          <w:highlight w:val="none"/>
        </w:rPr>
      </w:pPr>
      <w:bookmarkStart w:id="34" w:name="_Toc15377214"/>
      <w:bookmarkStart w:id="35"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34"/>
      <w:bookmarkEnd w:id="35"/>
      <w:r>
        <w:rPr>
          <w:rStyle w:val="31"/>
          <w:rFonts w:ascii="Times New Roman" w:hAnsi="Times New Roman" w:eastAsia="黑体"/>
          <w:b w:val="0"/>
          <w:color w:val="auto"/>
          <w:highlight w:val="none"/>
        </w:rPr>
        <w:tab/>
      </w:r>
    </w:p>
    <w:p w14:paraId="4B7F8EF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26125.48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5F96A68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25955.73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169.75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0E4F915">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34F2A1E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0C6E565">
      <w:pPr>
        <w:spacing w:line="600" w:lineRule="exact"/>
        <w:ind w:firstLine="640"/>
        <w:outlineLvl w:val="1"/>
        <w:rPr>
          <w:rStyle w:val="31"/>
          <w:rFonts w:ascii="Times New Roman" w:hAnsi="Times New Roman" w:eastAsia="黑体"/>
          <w:b w:val="0"/>
          <w:color w:val="auto"/>
          <w:highlight w:val="none"/>
        </w:rPr>
      </w:pPr>
      <w:bookmarkStart w:id="36" w:name="_Toc15377215"/>
      <w:bookmarkStart w:id="37" w:name="_Toc15396609"/>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36"/>
      <w:bookmarkEnd w:id="37"/>
    </w:p>
    <w:p w14:paraId="733F56F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14:paraId="24213C5C">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7.06</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%。决算数小于预算数（或与预算数持平）的主要原因是</w:t>
      </w:r>
      <w:r>
        <w:rPr>
          <w:rFonts w:hint="eastAsia" w:eastAsia="仿宋_GB2312" w:cs="仿宋_GB2312"/>
          <w:color w:val="auto"/>
          <w:kern w:val="2"/>
          <w:sz w:val="32"/>
          <w:szCs w:val="32"/>
          <w:highlight w:val="none"/>
          <w:lang w:val="en-US" w:eastAsia="zh-CN" w:bidi="ar-SA"/>
        </w:rPr>
        <w:t>厉行节约，严格按预算执行。</w:t>
      </w:r>
    </w:p>
    <w:p w14:paraId="4B07CC57">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11CBF5A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14:paraId="726FE31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万元，占**%；公务用车购置及运行维护费支出决算</w:t>
      </w:r>
      <w:r>
        <w:rPr>
          <w:rFonts w:hint="eastAsia" w:ascii="仿宋_GB2312" w:hAnsi="仿宋_GB2312" w:eastAsia="仿宋_GB2312" w:cs="仿宋_GB2312"/>
          <w:sz w:val="32"/>
          <w:szCs w:val="32"/>
        </w:rPr>
        <w:t>6</w:t>
      </w:r>
      <w:r>
        <w:rPr>
          <w:rFonts w:hint="eastAsia" w:ascii="仿宋_GB2312" w:hAnsi="仿宋_GB2312" w:eastAsia="仿宋_GB2312" w:cs="仿宋_GB2312"/>
          <w:color w:val="auto"/>
          <w:kern w:val="2"/>
          <w:sz w:val="32"/>
          <w:szCs w:val="32"/>
          <w:highlight w:val="none"/>
          <w:lang w:val="en-US" w:eastAsia="zh-CN" w:bidi="ar-SA"/>
        </w:rPr>
        <w:t>万元，占84.98%；公务接待费支出决算</w:t>
      </w:r>
      <w:r>
        <w:rPr>
          <w:rFonts w:hint="eastAsia" w:ascii="仿宋_GB2312" w:hAnsi="仿宋_GB2312" w:eastAsia="仿宋_GB2312" w:cs="仿宋_GB2312"/>
          <w:sz w:val="32"/>
          <w:szCs w:val="32"/>
        </w:rPr>
        <w:t>1.06</w:t>
      </w:r>
      <w:r>
        <w:rPr>
          <w:rFonts w:hint="eastAsia" w:ascii="仿宋_GB2312" w:hAnsi="仿宋_GB2312" w:eastAsia="仿宋_GB2312" w:cs="仿宋_GB2312"/>
          <w:color w:val="auto"/>
          <w:kern w:val="2"/>
          <w:sz w:val="32"/>
          <w:szCs w:val="32"/>
          <w:highlight w:val="none"/>
          <w:lang w:val="en-US" w:eastAsia="zh-CN" w:bidi="ar-SA"/>
        </w:rPr>
        <w:t>万元，占15.02%。具体情况如下：</w:t>
      </w:r>
    </w:p>
    <w:p w14:paraId="6FE9D59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366D5B43">
      <w:pPr>
        <w:pStyle w:val="21"/>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3810000" cy="2540000"/>
            <wp:effectExtent l="4445" t="4445" r="14605" b="8255"/>
            <wp:docPr id="100006" name="图表 1000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5B97DA">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。因公出国（境）支出决算比2023年增加/减少**万元，增长/下降**%。主要原因是……</w:t>
      </w:r>
    </w:p>
    <w:p w14:paraId="5D9F3C6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14:paraId="40841555">
      <w:pPr>
        <w:numPr>
          <w:ilvl w:val="0"/>
          <w:numId w:val="2"/>
        </w:num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6万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厉行节约。</w:t>
      </w:r>
    </w:p>
    <w:p w14:paraId="53A2B2E3">
      <w:pPr>
        <w:numPr>
          <w:ilvl w:val="0"/>
          <w:numId w:val="2"/>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万元。全年按规定更新购置公务用车**辆，其中：轿车**辆、金额**万元，越野车**辆、金额**万元，载客汽车**辆、金额**万元，主要用于……。截至2024年12月31日，单位共有公务用车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辆、越野车**辆、载客汽车**辆。</w:t>
      </w:r>
    </w:p>
    <w:p w14:paraId="4CC09EF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6</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公务活动</w:t>
      </w:r>
      <w:r>
        <w:rPr>
          <w:rFonts w:hint="eastAsia" w:ascii="Times New Roman" w:hAnsi="Times New Roman" w:eastAsia="仿宋_GB2312" w:cs="仿宋_GB2312"/>
          <w:color w:val="auto"/>
          <w:kern w:val="2"/>
          <w:sz w:val="32"/>
          <w:szCs w:val="32"/>
          <w:highlight w:val="none"/>
          <w:lang w:val="en-US" w:eastAsia="zh-CN" w:bidi="ar-SA"/>
        </w:rPr>
        <w:t>（具体工作）所需的公务用车燃料费、维修费、过路过桥费、保险费等支出。</w:t>
      </w:r>
    </w:p>
    <w:p w14:paraId="2910F7F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1.06万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厉行节约</w:t>
      </w:r>
      <w:r>
        <w:rPr>
          <w:rFonts w:hint="eastAsia" w:ascii="Times New Roman" w:hAnsi="Times New Roman" w:eastAsia="仿宋_GB2312" w:cs="仿宋_GB2312"/>
          <w:color w:val="auto"/>
          <w:kern w:val="2"/>
          <w:sz w:val="32"/>
          <w:szCs w:val="32"/>
          <w:highlight w:val="none"/>
          <w:lang w:val="en-US" w:eastAsia="zh-CN" w:bidi="ar-SA"/>
        </w:rPr>
        <w:t>。其中：</w:t>
      </w:r>
    </w:p>
    <w:p w14:paraId="44891D8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1.06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eastAsia="仿宋_GB2312" w:cs="仿宋_GB2312"/>
          <w:color w:val="auto"/>
          <w:kern w:val="2"/>
          <w:sz w:val="32"/>
          <w:szCs w:val="32"/>
          <w:highlight w:val="none"/>
          <w:lang w:val="en-US" w:eastAsia="zh-CN" w:bidi="ar-SA"/>
        </w:rPr>
        <w:t>公务活动</w:t>
      </w:r>
      <w:r>
        <w:rPr>
          <w:rFonts w:hint="eastAsia" w:ascii="Times New Roman" w:hAnsi="Times New Roman" w:eastAsia="仿宋_GB2312" w:cs="仿宋_GB2312"/>
          <w:color w:val="auto"/>
          <w:kern w:val="2"/>
          <w:sz w:val="32"/>
          <w:szCs w:val="32"/>
          <w:highlight w:val="none"/>
          <w:lang w:val="en-US" w:eastAsia="zh-CN" w:bidi="ar-SA"/>
        </w:rPr>
        <w:t>(执行公务、开展业务活动开支的交通费、住宿费、用餐费等)。国内公务接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5</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120</w:t>
      </w:r>
      <w:r>
        <w:rPr>
          <w:rFonts w:hint="eastAsia" w:ascii="Times New Roman" w:hAnsi="Times New Roman" w:eastAsia="仿宋_GB2312" w:cs="仿宋_GB2312"/>
          <w:color w:val="auto"/>
          <w:kern w:val="2"/>
          <w:sz w:val="32"/>
          <w:szCs w:val="32"/>
          <w:highlight w:val="none"/>
          <w:lang w:val="en-US" w:eastAsia="zh-CN" w:bidi="ar-SA"/>
        </w:rPr>
        <w:t>人次（不包括陪同人员），共计支出**万元，具体内容包括：……（接待具体项目、金额）。</w:t>
      </w:r>
    </w:p>
    <w:p w14:paraId="0ED88E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人次（不包括陪同人员），共计支出**万</w:t>
      </w:r>
      <w:r>
        <w:rPr>
          <w:rFonts w:hint="eastAsia" w:ascii="Times New Roman" w:hAnsi="Times New Roman" w:eastAsia="仿宋_GB2312" w:cs="仿宋_GB2312"/>
          <w:color w:val="auto"/>
          <w:kern w:val="2"/>
          <w:sz w:val="32"/>
          <w:szCs w:val="32"/>
          <w:highlight w:val="none"/>
          <w:lang w:val="en-US" w:eastAsia="zh-CN" w:bidi="ar-SA"/>
        </w:rPr>
        <w:t>元。</w:t>
      </w:r>
    </w:p>
    <w:p w14:paraId="6B3F3DE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0" w:name="_Toc15377218"/>
      <w:bookmarkStart w:id="41" w:name="_Toc15396610"/>
    </w:p>
    <w:p w14:paraId="1582AA7B">
      <w:pPr>
        <w:spacing w:line="600" w:lineRule="exact"/>
        <w:ind w:firstLine="640"/>
        <w:outlineLvl w:val="1"/>
        <w:rPr>
          <w:rStyle w:val="3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40"/>
      <w:bookmarkEnd w:id="41"/>
    </w:p>
    <w:p w14:paraId="6F4DD794">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19.5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0.05</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124D1CC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C1AA4F3">
      <w:pPr>
        <w:numPr>
          <w:ilvl w:val="0"/>
          <w:numId w:val="0"/>
        </w:numPr>
        <w:spacing w:line="600" w:lineRule="exact"/>
        <w:ind w:left="630" w:leftChars="0"/>
        <w:outlineLvl w:val="1"/>
        <w:rPr>
          <w:rStyle w:val="31"/>
          <w:rFonts w:ascii="Times New Roman" w:hAnsi="Times New Roman" w:eastAsia="黑体"/>
          <w:b w:val="0"/>
          <w:color w:val="auto"/>
          <w:highlight w:val="none"/>
        </w:rPr>
      </w:pPr>
      <w:bookmarkStart w:id="42" w:name="_Toc15396611"/>
      <w:bookmarkStart w:id="43" w:name="_Toc15377219"/>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42"/>
      <w:bookmarkEnd w:id="43"/>
    </w:p>
    <w:p w14:paraId="766DC48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2E2F2E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38BAC00">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bookmarkStart w:id="44" w:name="_Toc15396612"/>
      <w:bookmarkStart w:id="45" w:name="_Toc15377221"/>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44"/>
      <w:bookmarkEnd w:id="45"/>
    </w:p>
    <w:p w14:paraId="7E5F501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14:paraId="6796305F">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金川县教育局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10.8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w:t>
      </w:r>
      <w:r>
        <w:rPr>
          <w:rFonts w:hint="eastAsia" w:eastAsia="仿宋_GB2312" w:cs="仿宋_GB2312"/>
          <w:color w:val="auto"/>
          <w:kern w:val="2"/>
          <w:sz w:val="32"/>
          <w:szCs w:val="32"/>
          <w:highlight w:val="none"/>
          <w:lang w:val="en-US" w:eastAsia="zh-CN" w:bidi="ar-SA"/>
        </w:rPr>
        <w:t>0.01</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0.09</w:t>
      </w:r>
      <w:r>
        <w:rPr>
          <w:rFonts w:hint="eastAsia" w:ascii="Times New Roman" w:hAnsi="Times New Roman" w:eastAsia="仿宋_GB2312" w:cs="仿宋_GB2312"/>
          <w:color w:val="auto"/>
          <w:kern w:val="2"/>
          <w:sz w:val="32"/>
          <w:szCs w:val="32"/>
          <w:highlight w:val="none"/>
          <w:lang w:val="en-US" w:eastAsia="zh-CN" w:bidi="ar-SA"/>
        </w:rPr>
        <w:t>%（或与2023年度决算数持平）。主要原因是</w:t>
      </w:r>
      <w:r>
        <w:rPr>
          <w:rFonts w:hint="eastAsia" w:eastAsia="仿宋_GB2312" w:cs="仿宋_GB2312"/>
          <w:color w:val="auto"/>
          <w:kern w:val="2"/>
          <w:sz w:val="32"/>
          <w:szCs w:val="32"/>
          <w:highlight w:val="none"/>
          <w:lang w:val="en-US" w:eastAsia="zh-CN" w:bidi="ar-SA"/>
        </w:rPr>
        <w:t>人员增加。</w:t>
      </w:r>
    </w:p>
    <w:p w14:paraId="0860C1F4">
      <w:pPr>
        <w:spacing w:line="600" w:lineRule="exact"/>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14:paraId="6E8FDF26">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金川县教育局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628669B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32F71B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14:paraId="66EF5F4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金川县教育局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40A4654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6DFB7C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27F5A56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根据预算绩效管理要求，在2024年度预算编制阶段，组织对</w:t>
      </w:r>
      <w:r>
        <w:rPr>
          <w:rFonts w:hint="eastAsia" w:eastAsia="仿宋_GB2312" w:cs="仿宋_GB2312"/>
          <w:color w:val="auto"/>
          <w:kern w:val="2"/>
          <w:sz w:val="32"/>
          <w:szCs w:val="32"/>
          <w:highlight w:val="none"/>
          <w:lang w:val="en-US" w:eastAsia="zh-CN" w:bidi="ar-SA"/>
        </w:rPr>
        <w:t>寄宿制补助</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3B9B6B44">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金川县教育局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eastAsia="仿宋_GB2312" w:cs="仿宋_GB2312"/>
          <w:color w:val="auto"/>
          <w:kern w:val="2"/>
          <w:sz w:val="32"/>
          <w:szCs w:val="32"/>
          <w:highlight w:val="none"/>
          <w:lang w:val="en-US" w:eastAsia="zh-CN" w:bidi="ar-SA"/>
        </w:rPr>
        <w:t>营养餐</w:t>
      </w:r>
      <w:r>
        <w:rPr>
          <w:rFonts w:hint="eastAsia" w:ascii="Times New Roman" w:hAnsi="Times New Roman" w:eastAsia="仿宋_GB2312" w:cs="仿宋_GB2312"/>
          <w:color w:val="auto"/>
          <w:kern w:val="2"/>
          <w:sz w:val="32"/>
          <w:szCs w:val="32"/>
          <w:highlight w:val="none"/>
          <w:lang w:val="en-US" w:eastAsia="zh-CN" w:bidi="ar-SA"/>
        </w:rPr>
        <w:t>等专项预算项目绩效自评报告，其中，</w:t>
      </w:r>
      <w:r>
        <w:rPr>
          <w:rFonts w:hint="eastAsia" w:eastAsia="仿宋_GB2312" w:cs="仿宋_GB2312"/>
          <w:color w:val="auto"/>
          <w:kern w:val="2"/>
          <w:sz w:val="32"/>
          <w:szCs w:val="32"/>
          <w:highlight w:val="none"/>
          <w:lang w:val="en-US" w:eastAsia="zh-CN" w:bidi="ar-SA"/>
        </w:rPr>
        <w:t>金川县教育局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95</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教育局</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95</w:t>
      </w:r>
      <w:r>
        <w:rPr>
          <w:rFonts w:hint="eastAsia" w:ascii="Times New Roman" w:hAnsi="Times New Roman" w:eastAsia="仿宋_GB2312" w:cs="仿宋_GB2312"/>
          <w:color w:val="auto"/>
          <w:kern w:val="2"/>
          <w:sz w:val="32"/>
          <w:szCs w:val="32"/>
          <w:highlight w:val="none"/>
          <w:lang w:val="en-US" w:eastAsia="zh-CN" w:bidi="ar-SA"/>
        </w:rPr>
        <w:t>分，绩效自评综述。绩效自评报告详见附件。</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14:paraId="40B537A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CD6384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7D79575">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96613"/>
      <w:bookmarkStart w:id="50"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14:paraId="6F1752C4">
      <w:pPr>
        <w:spacing w:line="600" w:lineRule="exact"/>
        <w:jc w:val="left"/>
        <w:rPr>
          <w:rFonts w:ascii="Times New Roman" w:hAnsi="Times New Roman"/>
          <w:b/>
          <w:color w:val="auto"/>
          <w:sz w:val="44"/>
          <w:szCs w:val="44"/>
          <w:highlight w:val="none"/>
        </w:rPr>
      </w:pPr>
    </w:p>
    <w:p w14:paraId="5A0110E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79007A2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14:paraId="16F335C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14:paraId="7DEC260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14:paraId="5076C18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6F3A5C6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15BD3A3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23B2997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2E9A755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9.一般公共服务（类）……（款）……（项）：指……</w:t>
      </w:r>
    </w:p>
    <w:p w14:paraId="0D8CB7E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14:paraId="4884258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14:paraId="5A2C6C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14:paraId="1E73E46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14:paraId="435921E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14:paraId="62B2ACF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15.社会保障和就业（类）……（款）……（项）：指……</w:t>
      </w:r>
    </w:p>
    <w:p w14:paraId="1739A5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16.卫生健康（类）……（款）……（项）：指……</w:t>
      </w:r>
    </w:p>
    <w:p w14:paraId="51004F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14:paraId="2E4553F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14:paraId="3F17A8F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14:paraId="36F06EF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14:paraId="74765AE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14:paraId="60687BD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14:paraId="00C5A3D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14:paraId="355449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14:paraId="069479C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25.住房保障（类）……（款）……（项）：指……</w:t>
      </w:r>
    </w:p>
    <w:p w14:paraId="4DD2D6A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14:paraId="162EB0C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14:paraId="7405108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7F7D19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14:paraId="5B03A25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14:paraId="5EF738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14:paraId="6C49EAE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959706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CD8B1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14:paraId="5BDBDD4B">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2D558548">
      <w:pPr>
        <w:spacing w:line="600" w:lineRule="exact"/>
        <w:jc w:val="center"/>
        <w:rPr>
          <w:rStyle w:val="30"/>
          <w:rFonts w:hint="eastAsia" w:ascii="Times New Roman" w:hAnsi="Times New Roman" w:eastAsia="黑体"/>
          <w:b w:val="0"/>
          <w:color w:val="auto"/>
          <w:highlight w:val="none"/>
          <w:lang w:eastAsia="zh-CN"/>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2"/>
    </w:p>
    <w:p w14:paraId="2139279C">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2BFB695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30541D92">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6090F23B">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val="en-US" w:eastAsia="zh-CN"/>
        </w:rPr>
        <w:t>金川县教育局</w:t>
      </w: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1F0AC2D7">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t>（报告范围包括机关和下属单位）</w:t>
      </w:r>
    </w:p>
    <w:p w14:paraId="49F4EBC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960" w:firstLineChars="3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zh-CN" w:eastAsia="zh-CN" w:bidi="ar-SA"/>
        </w:rPr>
        <w:t>一、</w:t>
      </w:r>
      <w:r>
        <w:rPr>
          <w:rFonts w:hint="default" w:ascii="仿宋_GB2312" w:hAnsi="Times New Roman" w:eastAsia="仿宋_GB2312" w:cs="仿宋"/>
          <w:color w:val="000000"/>
          <w:kern w:val="0"/>
          <w:sz w:val="32"/>
          <w:szCs w:val="32"/>
          <w:lang w:val="zh-CN" w:eastAsia="zh-CN" w:bidi="ar-SA"/>
        </w:rPr>
        <w:t>部门（单位）基本情况</w:t>
      </w:r>
    </w:p>
    <w:p w14:paraId="377345C7">
      <w:pPr>
        <w:widowControl/>
        <w:adjustRightInd w:val="0"/>
        <w:snapToGrid w:val="0"/>
        <w:spacing w:line="480" w:lineRule="exact"/>
        <w:ind w:firstLine="720"/>
        <w:jc w:val="left"/>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zh-CN" w:eastAsia="zh-CN" w:bidi="ar-SA"/>
        </w:rPr>
        <w:t>（一）</w:t>
      </w:r>
      <w:r>
        <w:rPr>
          <w:rFonts w:hint="default" w:ascii="仿宋_GB2312" w:hAnsi="Times New Roman" w:eastAsia="仿宋_GB2312" w:cs="仿宋"/>
          <w:color w:val="000000"/>
          <w:kern w:val="0"/>
          <w:sz w:val="32"/>
          <w:szCs w:val="32"/>
          <w:lang w:val="zh-CN" w:eastAsia="zh-CN" w:bidi="ar-SA"/>
        </w:rPr>
        <w:t>机构组成。</w:t>
      </w:r>
      <w:r>
        <w:rPr>
          <w:rFonts w:hint="eastAsia" w:ascii="仿宋_GB2312" w:hAnsi="Times New Roman" w:eastAsia="仿宋_GB2312" w:cs="仿宋"/>
          <w:color w:val="000000"/>
          <w:kern w:val="0"/>
          <w:sz w:val="32"/>
          <w:szCs w:val="32"/>
          <w:lang w:val="zh-CN" w:eastAsia="zh-CN" w:bidi="ar-SA"/>
        </w:rPr>
        <w:t>教育局机关属独立设置的</w:t>
      </w: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个行政单位，属一级预算单位。有独立设置的</w:t>
      </w:r>
      <w:r>
        <w:rPr>
          <w:rFonts w:hint="eastAsia" w:ascii="仿宋_GB2312" w:eastAsia="仿宋_GB2312" w:cs="仿宋"/>
          <w:color w:val="000000"/>
          <w:kern w:val="0"/>
          <w:sz w:val="32"/>
          <w:szCs w:val="32"/>
          <w:lang w:val="en-US" w:eastAsia="zh-CN" w:bidi="ar-SA"/>
        </w:rPr>
        <w:t>22</w:t>
      </w:r>
      <w:r>
        <w:rPr>
          <w:rFonts w:hint="eastAsia" w:ascii="仿宋_GB2312" w:hAnsi="Times New Roman" w:eastAsia="仿宋_GB2312" w:cs="仿宋"/>
          <w:color w:val="000000"/>
          <w:kern w:val="0"/>
          <w:sz w:val="32"/>
          <w:szCs w:val="32"/>
          <w:lang w:val="en-US" w:eastAsia="zh-CN" w:bidi="ar-SA"/>
        </w:rPr>
        <w:t>所中小学校，属财政全额拨款二级预算事业单位。</w:t>
      </w:r>
    </w:p>
    <w:p w14:paraId="54ADB36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（二）机构职能</w:t>
      </w:r>
      <w:r>
        <w:rPr>
          <w:rFonts w:hint="eastAsia" w:ascii="仿宋_GB2312" w:hAnsi="Times New Roman" w:eastAsia="仿宋_GB2312" w:cs="仿宋"/>
          <w:color w:val="000000"/>
          <w:kern w:val="0"/>
          <w:sz w:val="32"/>
          <w:szCs w:val="32"/>
          <w:lang w:val="zh-CN" w:eastAsia="zh-CN" w:bidi="ar-SA"/>
        </w:rPr>
        <w:t>。</w:t>
      </w:r>
    </w:p>
    <w:p w14:paraId="68A884E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金川县教育局是在县委、县政府领导下贯彻党的教育方针，为全县中小学搞好经费保障。指导学校教育教学工作，学校布局调整和教育长远规划。组织实施学校校舍建设和教学仪器设备购置。中小学经费的分配和监督管理。</w:t>
      </w:r>
    </w:p>
    <w:p w14:paraId="77E28183">
      <w:pPr>
        <w:snapToGrid w:val="0"/>
        <w:spacing w:line="360" w:lineRule="auto"/>
        <w:ind w:firstLine="640" w:firstLineChars="200"/>
        <w:rPr>
          <w:rFonts w:hint="eastAsia"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zh-CN" w:eastAsia="zh-CN" w:bidi="ar-SA"/>
        </w:rPr>
        <w:t>三</w:t>
      </w:r>
      <w:r>
        <w:rPr>
          <w:rFonts w:hint="default" w:ascii="仿宋_GB2312" w:hAnsi="Times New Roman" w:eastAsia="仿宋_GB2312" w:cs="仿宋"/>
          <w:color w:val="000000"/>
          <w:kern w:val="0"/>
          <w:sz w:val="32"/>
          <w:szCs w:val="32"/>
          <w:lang w:val="zh-CN" w:eastAsia="zh-CN" w:bidi="ar-SA"/>
        </w:rPr>
        <w:t>）人员概况</w:t>
      </w:r>
      <w:r>
        <w:rPr>
          <w:rFonts w:hint="eastAsia" w:ascii="仿宋_GB2312" w:hAnsi="Times New Roman" w:eastAsia="仿宋_GB2312" w:cs="仿宋"/>
          <w:color w:val="000000"/>
          <w:kern w:val="0"/>
          <w:sz w:val="32"/>
          <w:szCs w:val="32"/>
          <w:lang w:val="zh-CN" w:eastAsia="zh-CN" w:bidi="ar-SA"/>
        </w:rPr>
        <w:t>。202</w:t>
      </w:r>
      <w:r>
        <w:rPr>
          <w:rFonts w:hint="eastAsia" w:ascii="仿宋_GB2312"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年编制</w:t>
      </w:r>
      <w:r>
        <w:rPr>
          <w:rFonts w:hint="eastAsia" w:ascii="仿宋_GB2312" w:hAnsi="Times New Roman" w:eastAsia="仿宋_GB2312" w:cs="仿宋"/>
          <w:color w:val="000000"/>
          <w:kern w:val="0"/>
          <w:sz w:val="32"/>
          <w:szCs w:val="32"/>
          <w:lang w:val="en-US" w:eastAsia="zh-CN" w:bidi="ar-SA"/>
        </w:rPr>
        <w:t>10</w:t>
      </w:r>
      <w:r>
        <w:rPr>
          <w:rFonts w:hint="eastAsia" w:ascii="仿宋_GB2312" w:eastAsia="仿宋_GB2312" w:cs="仿宋"/>
          <w:color w:val="000000"/>
          <w:kern w:val="0"/>
          <w:sz w:val="32"/>
          <w:szCs w:val="32"/>
          <w:lang w:val="en-US" w:eastAsia="zh-CN" w:bidi="ar-SA"/>
        </w:rPr>
        <w:t>75</w:t>
      </w:r>
      <w:r>
        <w:rPr>
          <w:rFonts w:hint="eastAsia" w:ascii="仿宋_GB2312" w:hAnsi="Times New Roman" w:eastAsia="仿宋_GB2312" w:cs="仿宋"/>
          <w:color w:val="000000"/>
          <w:kern w:val="0"/>
          <w:sz w:val="32"/>
          <w:szCs w:val="32"/>
          <w:lang w:val="zh-CN" w:eastAsia="zh-CN" w:bidi="ar-SA"/>
        </w:rPr>
        <w:t>人，行政编制</w:t>
      </w:r>
      <w:r>
        <w:rPr>
          <w:rFonts w:hint="eastAsia" w:ascii="仿宋_GB2312" w:hAnsi="Times New Roman" w:eastAsia="仿宋_GB2312" w:cs="仿宋"/>
          <w:color w:val="000000"/>
          <w:kern w:val="0"/>
          <w:sz w:val="32"/>
          <w:szCs w:val="32"/>
          <w:lang w:val="en-US" w:eastAsia="zh-CN" w:bidi="ar-SA"/>
        </w:rPr>
        <w:t>10人，</w:t>
      </w:r>
      <w:r>
        <w:rPr>
          <w:rFonts w:hint="eastAsia" w:ascii="仿宋_GB2312" w:hAnsi="Times New Roman" w:eastAsia="仿宋_GB2312" w:cs="仿宋"/>
          <w:color w:val="000000"/>
          <w:kern w:val="0"/>
          <w:sz w:val="32"/>
          <w:szCs w:val="32"/>
          <w:lang w:val="zh-CN" w:eastAsia="zh-CN" w:bidi="ar-SA"/>
        </w:rPr>
        <w:t>事业编制</w:t>
      </w:r>
      <w:r>
        <w:rPr>
          <w:rFonts w:hint="eastAsia" w:ascii="仿宋_GB2312" w:hAnsi="Times New Roman" w:eastAsia="仿宋_GB2312" w:cs="仿宋"/>
          <w:color w:val="000000"/>
          <w:kern w:val="0"/>
          <w:sz w:val="32"/>
          <w:szCs w:val="32"/>
          <w:lang w:val="en-US" w:eastAsia="zh-CN" w:bidi="ar-SA"/>
        </w:rPr>
        <w:t>10</w:t>
      </w:r>
      <w:r>
        <w:rPr>
          <w:rFonts w:hint="eastAsia" w:ascii="仿宋_GB2312" w:eastAsia="仿宋_GB2312" w:cs="仿宋"/>
          <w:color w:val="000000"/>
          <w:kern w:val="0"/>
          <w:sz w:val="32"/>
          <w:szCs w:val="32"/>
          <w:lang w:val="en-US" w:eastAsia="zh-CN" w:bidi="ar-SA"/>
        </w:rPr>
        <w:t>65</w:t>
      </w:r>
      <w:r>
        <w:rPr>
          <w:rFonts w:hint="eastAsia" w:ascii="仿宋_GB2312" w:hAnsi="Times New Roman" w:eastAsia="仿宋_GB2312" w:cs="仿宋"/>
          <w:color w:val="000000"/>
          <w:kern w:val="0"/>
          <w:sz w:val="32"/>
          <w:szCs w:val="32"/>
          <w:lang w:val="zh-CN" w:eastAsia="zh-CN" w:bidi="ar-SA"/>
        </w:rPr>
        <w:t>人。202</w:t>
      </w:r>
      <w:r>
        <w:rPr>
          <w:rFonts w:hint="eastAsia" w:ascii="仿宋_GB2312"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年在岗在职</w:t>
      </w:r>
      <w:r>
        <w:rPr>
          <w:rFonts w:hint="eastAsia" w:ascii="仿宋_GB2312" w:eastAsia="仿宋_GB2312" w:cs="仿宋"/>
          <w:color w:val="000000"/>
          <w:kern w:val="0"/>
          <w:sz w:val="32"/>
          <w:szCs w:val="32"/>
          <w:lang w:val="en-US" w:eastAsia="zh-CN" w:bidi="ar-SA"/>
        </w:rPr>
        <w:t>975</w:t>
      </w:r>
      <w:r>
        <w:rPr>
          <w:rFonts w:hint="eastAsia" w:ascii="仿宋_GB2312" w:hAnsi="Times New Roman" w:eastAsia="仿宋_GB2312" w:cs="仿宋"/>
          <w:color w:val="000000"/>
          <w:kern w:val="0"/>
          <w:sz w:val="32"/>
          <w:szCs w:val="32"/>
          <w:lang w:val="zh-CN" w:eastAsia="zh-CN" w:bidi="ar-SA"/>
        </w:rPr>
        <w:t>人。</w:t>
      </w:r>
    </w:p>
    <w:p w14:paraId="4F13EBC1">
      <w:pPr>
        <w:keepNext w:val="0"/>
        <w:keepLines w:val="0"/>
        <w:pageBreakBefore w:val="0"/>
        <w:widowControl/>
        <w:kinsoku/>
        <w:wordWrap/>
        <w:overflowPunct/>
        <w:topLinePunct w:val="0"/>
        <w:autoSpaceDE/>
        <w:autoSpaceDN/>
        <w:bidi w:val="0"/>
        <w:adjustRightInd w:val="0"/>
        <w:snapToGrid w:val="0"/>
        <w:spacing w:line="578" w:lineRule="exact"/>
        <w:ind w:firstLine="960" w:firstLineChars="3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t>二、部门资金收支情况</w:t>
      </w:r>
    </w:p>
    <w:p w14:paraId="2B61243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（一）</w:t>
      </w:r>
      <w:r>
        <w:rPr>
          <w:rFonts w:hint="eastAsia" w:ascii="仿宋_GB2312" w:hAnsi="Times New Roman" w:eastAsia="仿宋_GB2312" w:cs="仿宋"/>
          <w:color w:val="000000"/>
          <w:kern w:val="0"/>
          <w:sz w:val="32"/>
          <w:szCs w:val="32"/>
          <w:lang w:val="zh-CN" w:eastAsia="zh-CN" w:bidi="ar-SA"/>
        </w:rPr>
        <w:t>收入情况</w:t>
      </w:r>
      <w:r>
        <w:rPr>
          <w:rFonts w:hint="default"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金川县教育局202</w:t>
      </w:r>
      <w:r>
        <w:rPr>
          <w:rFonts w:hint="eastAsia" w:ascii="仿宋_GB2312"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en-US" w:eastAsia="zh-CN" w:bidi="ar-SA"/>
        </w:rPr>
        <w:t>年年初预算收入33,953.49万元、决算报表收入</w:t>
      </w:r>
      <w:r>
        <w:rPr>
          <w:rFonts w:hint="eastAsia" w:ascii="仿宋_GB2312" w:hAnsi="仿宋_GB2312" w:eastAsia="仿宋_GB2312" w:cs="仿宋_GB2312"/>
          <w:sz w:val="32"/>
          <w:szCs w:val="32"/>
        </w:rPr>
        <w:t>38245.21</w:t>
      </w:r>
      <w:r>
        <w:rPr>
          <w:rFonts w:hint="eastAsia" w:ascii="仿宋_GB2312" w:hAnsi="仿宋_GB2312" w:eastAsia="仿宋_GB2312" w:cs="仿宋_GB2312"/>
          <w:sz w:val="32"/>
          <w:szCs w:val="32"/>
          <w:lang w:val="en-US" w:eastAsia="zh-CN"/>
        </w:rPr>
        <w:t>万</w:t>
      </w:r>
      <w:r>
        <w:rPr>
          <w:rFonts w:hint="eastAsia" w:ascii="仿宋_GB2312" w:hAnsi="Times New Roman" w:eastAsia="仿宋_GB2312" w:cs="仿宋"/>
          <w:color w:val="000000"/>
          <w:kern w:val="0"/>
          <w:sz w:val="32"/>
          <w:szCs w:val="32"/>
          <w:lang w:val="en-US" w:eastAsia="zh-CN" w:bidi="ar-SA"/>
        </w:rPr>
        <w:t>元。</w:t>
      </w:r>
    </w:p>
    <w:p w14:paraId="2B46670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zh-CN" w:eastAsia="zh-CN" w:bidi="ar-SA"/>
        </w:rPr>
        <w:t>二</w:t>
      </w:r>
      <w:r>
        <w:rPr>
          <w:rFonts w:hint="default"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zh-CN" w:eastAsia="zh-CN" w:bidi="ar-SA"/>
        </w:rPr>
        <w:t>支出情况</w:t>
      </w:r>
      <w:r>
        <w:rPr>
          <w:rFonts w:hint="default"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金川县教育局202</w:t>
      </w:r>
      <w:r>
        <w:rPr>
          <w:rFonts w:hint="eastAsia" w:ascii="仿宋_GB2312"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en-US" w:eastAsia="zh-CN" w:bidi="ar-SA"/>
        </w:rPr>
        <w:t>年年初预算支出33,953.49万元、决算报表支出</w:t>
      </w:r>
      <w:r>
        <w:rPr>
          <w:rFonts w:hint="eastAsia" w:ascii="仿宋_GB2312" w:hAnsi="仿宋_GB2312" w:eastAsia="仿宋_GB2312" w:cs="仿宋_GB2312"/>
          <w:sz w:val="32"/>
          <w:szCs w:val="32"/>
        </w:rPr>
        <w:t>38245.21</w:t>
      </w:r>
      <w:r>
        <w:rPr>
          <w:rFonts w:hint="eastAsia" w:ascii="仿宋_GB2312" w:hAnsi="仿宋_GB2312" w:eastAsia="仿宋_GB2312" w:cs="仿宋_GB2312"/>
          <w:sz w:val="32"/>
          <w:szCs w:val="32"/>
          <w:lang w:val="en-US" w:eastAsia="zh-CN"/>
        </w:rPr>
        <w:t>万</w:t>
      </w:r>
      <w:r>
        <w:rPr>
          <w:rFonts w:hint="eastAsia" w:ascii="仿宋_GB2312" w:hAnsi="Times New Roman" w:eastAsia="仿宋_GB2312" w:cs="仿宋"/>
          <w:color w:val="000000"/>
          <w:kern w:val="0"/>
          <w:sz w:val="32"/>
          <w:szCs w:val="32"/>
          <w:lang w:val="en-US" w:eastAsia="zh-CN" w:bidi="ar-SA"/>
        </w:rPr>
        <w:t>元。</w:t>
      </w:r>
    </w:p>
    <w:p w14:paraId="4B8509F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zh-CN" w:eastAsia="zh-CN" w:bidi="ar-SA"/>
        </w:rPr>
        <w:t>三</w:t>
      </w:r>
      <w:r>
        <w:rPr>
          <w:rFonts w:hint="default" w:ascii="仿宋_GB2312" w:hAnsi="Times New Roman" w:eastAsia="仿宋_GB2312" w:cs="仿宋"/>
          <w:color w:val="000000"/>
          <w:kern w:val="0"/>
          <w:sz w:val="32"/>
          <w:szCs w:val="32"/>
          <w:lang w:val="zh-CN" w:eastAsia="zh-CN" w:bidi="ar-SA"/>
        </w:rPr>
        <w:t>）</w:t>
      </w:r>
      <w:r>
        <w:rPr>
          <w:rFonts w:hint="default" w:ascii="仿宋_GB2312" w:hAnsi="Times New Roman" w:eastAsia="仿宋_GB2312" w:cs="仿宋"/>
          <w:color w:val="000000"/>
          <w:kern w:val="0"/>
          <w:sz w:val="32"/>
          <w:szCs w:val="32"/>
          <w:lang w:val="en-US" w:eastAsia="zh-CN" w:bidi="ar-SA"/>
        </w:rPr>
        <w:t>结余分配和结转结余情况</w:t>
      </w:r>
      <w:r>
        <w:rPr>
          <w:rFonts w:hint="eastAsia" w:ascii="仿宋_GB2312" w:hAnsi="Times New Roman" w:eastAsia="仿宋_GB2312" w:cs="仿宋"/>
          <w:color w:val="000000"/>
          <w:kern w:val="0"/>
          <w:sz w:val="32"/>
          <w:szCs w:val="32"/>
          <w:lang w:val="en-US" w:eastAsia="zh-CN" w:bidi="ar-SA"/>
        </w:rPr>
        <w:t>。金川县教育局202</w:t>
      </w:r>
      <w:r>
        <w:rPr>
          <w:rFonts w:hint="eastAsia" w:ascii="仿宋_GB2312"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en-US" w:eastAsia="zh-CN" w:bidi="ar-SA"/>
        </w:rPr>
        <w:t>年决算报表</w:t>
      </w:r>
      <w:r>
        <w:rPr>
          <w:rFonts w:hint="default" w:ascii="仿宋_GB2312" w:hAnsi="Times New Roman" w:eastAsia="仿宋_GB2312" w:cs="仿宋"/>
          <w:color w:val="000000"/>
          <w:kern w:val="0"/>
          <w:sz w:val="32"/>
          <w:szCs w:val="32"/>
          <w:lang w:val="en-US" w:eastAsia="zh-CN" w:bidi="ar-SA"/>
        </w:rPr>
        <w:t>结转结余</w:t>
      </w:r>
      <w:r>
        <w:rPr>
          <w:rFonts w:hint="eastAsia" w:ascii="仿宋_GB2312" w:hAnsi="Times New Roman" w:eastAsia="仿宋_GB2312" w:cs="仿宋"/>
          <w:color w:val="000000"/>
          <w:kern w:val="0"/>
          <w:sz w:val="32"/>
          <w:szCs w:val="32"/>
          <w:lang w:val="en-US" w:eastAsia="zh-CN" w:bidi="ar-SA"/>
        </w:rPr>
        <w:t>0.00元</w:t>
      </w:r>
      <w:r>
        <w:rPr>
          <w:rFonts w:hint="default" w:ascii="仿宋_GB2312" w:hAnsi="Times New Roman" w:eastAsia="仿宋_GB2312" w:cs="仿宋"/>
          <w:color w:val="000000"/>
          <w:kern w:val="0"/>
          <w:sz w:val="32"/>
          <w:szCs w:val="32"/>
          <w:lang w:val="en-US" w:eastAsia="zh-CN" w:bidi="ar-SA"/>
        </w:rPr>
        <w:t>。</w:t>
      </w:r>
    </w:p>
    <w:p w14:paraId="3BB573F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t>三、部门预算绩效分析</w:t>
      </w:r>
    </w:p>
    <w:p w14:paraId="5BB1289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（一）</w:t>
      </w:r>
      <w:r>
        <w:rPr>
          <w:rFonts w:hint="eastAsia" w:ascii="仿宋_GB2312" w:hAnsi="Times New Roman" w:eastAsia="仿宋_GB2312" w:cs="仿宋"/>
          <w:color w:val="000000"/>
          <w:kern w:val="0"/>
          <w:sz w:val="32"/>
          <w:szCs w:val="32"/>
          <w:lang w:val="zh-CN" w:eastAsia="zh-CN" w:bidi="ar-SA"/>
        </w:rPr>
        <w:t>部门预算</w:t>
      </w:r>
      <w:r>
        <w:rPr>
          <w:rFonts w:hint="default" w:ascii="仿宋_GB2312" w:hAnsi="Times New Roman" w:eastAsia="仿宋_GB2312" w:cs="仿宋"/>
          <w:color w:val="000000"/>
          <w:kern w:val="0"/>
          <w:sz w:val="32"/>
          <w:szCs w:val="32"/>
          <w:lang w:val="zh-CN" w:eastAsia="zh-CN" w:bidi="ar-SA"/>
        </w:rPr>
        <w:t>总体绩效分析。根据部门预算绩效评价指标体系“总体绩效”涉及</w:t>
      </w:r>
      <w:r>
        <w:rPr>
          <w:rFonts w:hint="eastAsia" w:ascii="仿宋_GB2312" w:hAnsi="Times New Roman" w:eastAsia="仿宋_GB2312" w:cs="仿宋"/>
          <w:color w:val="000000"/>
          <w:kern w:val="0"/>
          <w:sz w:val="32"/>
          <w:szCs w:val="32"/>
          <w:lang w:val="zh-CN" w:eastAsia="zh-CN" w:bidi="ar-SA"/>
        </w:rPr>
        <w:t>二、三级</w:t>
      </w:r>
      <w:r>
        <w:rPr>
          <w:rFonts w:hint="default" w:ascii="仿宋_GB2312" w:hAnsi="Times New Roman" w:eastAsia="仿宋_GB2312" w:cs="仿宋"/>
          <w:color w:val="000000"/>
          <w:kern w:val="0"/>
          <w:sz w:val="32"/>
          <w:szCs w:val="32"/>
          <w:lang w:val="zh-CN" w:eastAsia="zh-CN" w:bidi="ar-SA"/>
        </w:rPr>
        <w:t>指标进行</w:t>
      </w:r>
      <w:r>
        <w:rPr>
          <w:rFonts w:hint="eastAsia" w:ascii="仿宋_GB2312" w:hAnsi="Times New Roman" w:eastAsia="仿宋_GB2312" w:cs="仿宋"/>
          <w:color w:val="000000"/>
          <w:kern w:val="0"/>
          <w:sz w:val="32"/>
          <w:szCs w:val="32"/>
          <w:lang w:val="zh-CN" w:eastAsia="zh-CN" w:bidi="ar-SA"/>
        </w:rPr>
        <w:t>逐项</w:t>
      </w:r>
      <w:r>
        <w:rPr>
          <w:rFonts w:hint="default" w:ascii="仿宋_GB2312" w:hAnsi="Times New Roman" w:eastAsia="仿宋_GB2312" w:cs="仿宋"/>
          <w:color w:val="000000"/>
          <w:kern w:val="0"/>
          <w:sz w:val="32"/>
          <w:szCs w:val="32"/>
          <w:lang w:val="zh-CN" w:eastAsia="zh-CN" w:bidi="ar-SA"/>
        </w:rPr>
        <w:t>绩效分析</w:t>
      </w:r>
      <w:r>
        <w:rPr>
          <w:rFonts w:hint="eastAsia" w:ascii="仿宋_GB2312" w:hAnsi="Times New Roman" w:eastAsia="仿宋_GB2312" w:cs="仿宋"/>
          <w:color w:val="000000"/>
          <w:kern w:val="0"/>
          <w:sz w:val="32"/>
          <w:szCs w:val="32"/>
          <w:lang w:val="zh-CN" w:eastAsia="zh-CN" w:bidi="ar-SA"/>
        </w:rPr>
        <w:t>并评分</w:t>
      </w:r>
      <w:r>
        <w:rPr>
          <w:rFonts w:hint="default" w:ascii="仿宋_GB2312" w:hAnsi="Times New Roman" w:eastAsia="仿宋_GB2312" w:cs="仿宋"/>
          <w:color w:val="000000"/>
          <w:kern w:val="0"/>
          <w:sz w:val="32"/>
          <w:szCs w:val="32"/>
          <w:lang w:val="zh-CN" w:eastAsia="zh-CN" w:bidi="ar-SA"/>
        </w:rPr>
        <w:t>，依次包括履职效能、预算管理、财务管理、资产管理、采购管理等情况。</w:t>
      </w:r>
    </w:p>
    <w:p w14:paraId="57649F0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履职效能。教育教学管理履职效果：为严防高、中考失、泄密事件发生，县教育局与各相关招考委成员单位签定了《金川县大中专招生委员会各成员单位职能职责目标责任书》，按照“分级管理，逐级负责”的原则，逐级签订保密责任书，确保任务到岗，责任到人，并通过技防、物防、人防相结合，全方位、无死角的管理，从试卷经过的“点”到“线”，全天候无缝连接，确保高、中考工作的绝对安全，各项考试工作中狠抓考试工作细节，取得了很好的成绩，给金川人民交了一份满意的答卷。高考全县372人中：本科批共录取90人。多名考生被双一流、985、211高校录取。专科批共录取244人。升学率达91%。中考461人中，升入普通高中312人；升入各级各类中职学生144人。升学率达98%。规划及校点布局履职效果：基础教育学校校点布局科学规划，稳妥推进布局调整，优化校点布局，均衡配置资源，确保学生就近入学。根据人口分布与需求，调整学校规模，十四五期间共完成义务阶段学校“五撤销一调整”目标任务，县城学校小学、初中分别增加400个学位，切实解决了家长渴望子女接受优质教育的诉求问题，有效促进了教育公平与质量提升，为学生创造了更优质的学习环境。经费管理使用履职效果：师资队伍建设履职效果：我系统现有教职工1062人，其中公务员9人，机关工勤1人，正高级教师1人，高级教师279人，一级教师313人，工勤28人，管理6人。教师能力提升履职效果：为提升教师业务能力素质近年来开展了阿坝州第二届名优校园长、名师、学科带头人培训工作共计62人（共计三批次）；开展了“国培”“省培”“州培”线下培训工作共计707人，分56批次安排全县教师培训；开展了全县校园长任职资格培训；开展了教师寒暑假专题研修培训工作共计763人，完成率88.52%，学习人数743人，学习率97.38%，完成人数占90.69%；开展了国家乡村振兴重点帮扶县国际通用语言文字能力提升在线师范培训100人并完成线上培训工作；开展了四川网络教研教师线上培训工作共计1075人。部门整体绩效目标中选定3-5个核心职能目标，对职能目标完成效果情况绩效分析。</w:t>
      </w:r>
    </w:p>
    <w:p w14:paraId="2F1AD520">
      <w:pPr>
        <w:widowControl/>
        <w:adjustRightInd w:val="0"/>
        <w:snapToGrid w:val="0"/>
        <w:spacing w:line="480" w:lineRule="exact"/>
        <w:ind w:firstLine="720"/>
        <w:jc w:val="left"/>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2.</w:t>
      </w:r>
      <w:r>
        <w:rPr>
          <w:rFonts w:hint="default" w:ascii="仿宋_GB2312" w:hAnsi="Times New Roman" w:eastAsia="仿宋_GB2312" w:cs="仿宋"/>
          <w:color w:val="000000"/>
          <w:kern w:val="0"/>
          <w:sz w:val="32"/>
          <w:szCs w:val="32"/>
          <w:lang w:val="zh-CN" w:eastAsia="zh-CN" w:bidi="ar-SA"/>
        </w:rPr>
        <w:t>预算管理</w:t>
      </w:r>
      <w:r>
        <w:rPr>
          <w:rFonts w:hint="eastAsia" w:ascii="仿宋_GB2312" w:hAnsi="Times New Roman" w:eastAsia="仿宋_GB2312" w:cs="仿宋"/>
          <w:color w:val="000000"/>
          <w:kern w:val="0"/>
          <w:sz w:val="32"/>
          <w:szCs w:val="32"/>
          <w:lang w:val="zh-CN" w:eastAsia="zh-CN" w:bidi="ar-SA"/>
        </w:rPr>
        <w:t>。预算编制一是人员经费，根据教育系统实有人数进行预算编制。二是公用经费，根据在职教职工人数进行预算编制。</w:t>
      </w:r>
    </w:p>
    <w:p w14:paraId="4B88FB24">
      <w:pPr>
        <w:widowControl/>
        <w:adjustRightInd w:val="0"/>
        <w:snapToGrid w:val="0"/>
        <w:spacing w:line="480" w:lineRule="exact"/>
        <w:jc w:val="left"/>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三是县级配套资金，根据各级文件需要纳入年初预算的经费按文件规定进行预算编制。并对纳入年初预算的经费进行了目标绩效填报。</w:t>
      </w:r>
    </w:p>
    <w:p w14:paraId="749A6ED7">
      <w:pPr>
        <w:keepNext w:val="0"/>
        <w:keepLines w:val="0"/>
        <w:pageBreakBefore w:val="0"/>
        <w:widowControl w:val="0"/>
        <w:numPr>
          <w:ilvl w:val="0"/>
          <w:numId w:val="3"/>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财务管理</w:t>
      </w:r>
      <w:r>
        <w:rPr>
          <w:rFonts w:hint="eastAsia" w:ascii="仿宋_GB2312" w:hAnsi="Times New Roman" w:eastAsia="仿宋_GB2312" w:cs="仿宋"/>
          <w:color w:val="000000"/>
          <w:kern w:val="0"/>
          <w:sz w:val="32"/>
          <w:szCs w:val="32"/>
          <w:lang w:val="zh-CN" w:eastAsia="zh-CN" w:bidi="ar-SA"/>
        </w:rPr>
        <w:t>。财务管理制度：</w:t>
      </w:r>
      <w:r>
        <w:rPr>
          <w:rFonts w:hint="eastAsia" w:ascii="仿宋_GB2312" w:hAnsi="Times New Roman" w:eastAsia="仿宋_GB2312" w:cs="仿宋"/>
          <w:color w:val="000000"/>
          <w:kern w:val="0"/>
          <w:sz w:val="32"/>
          <w:szCs w:val="32"/>
          <w:lang w:val="en-US" w:eastAsia="zh-CN" w:bidi="ar-SA"/>
        </w:rPr>
        <w:t>制定有《金川县中小学财务管理办法》</w:t>
      </w:r>
      <w:r>
        <w:rPr>
          <w:rFonts w:hint="eastAsia" w:ascii="仿宋_GB2312" w:hAnsi="Times New Roman" w:eastAsia="仿宋_GB2312" w:cs="仿宋"/>
          <w:color w:val="000000"/>
          <w:kern w:val="0"/>
          <w:sz w:val="32"/>
          <w:szCs w:val="32"/>
          <w:lang w:val="zh-CN" w:eastAsia="zh-CN" w:bidi="ar-SA"/>
        </w:rPr>
        <w:t>、《金川县教育局关于进一步加强教育经费管理使用的实施意见》、《金川县寄宿制学生生活补助管理办法》、《金川县营养餐学生生活补助管理办法》、《金川县学前午餐学生生活补助管理办法》，</w:t>
      </w:r>
      <w:r>
        <w:rPr>
          <w:rFonts w:hint="eastAsia" w:ascii="仿宋_GB2312" w:hAnsi="Times New Roman" w:eastAsia="仿宋_GB2312" w:cs="仿宋"/>
          <w:color w:val="000000"/>
          <w:kern w:val="0"/>
          <w:sz w:val="32"/>
          <w:szCs w:val="32"/>
          <w:lang w:val="en-US" w:eastAsia="zh-CN" w:bidi="ar-SA"/>
        </w:rPr>
        <w:t>这些制度的制定进一步规范了财务收支行为，大大提高了工作效率。</w:t>
      </w:r>
      <w:r>
        <w:rPr>
          <w:rFonts w:hint="eastAsia" w:ascii="仿宋_GB2312" w:hAnsi="Times New Roman" w:eastAsia="仿宋_GB2312" w:cs="仿宋"/>
          <w:color w:val="000000"/>
          <w:kern w:val="0"/>
          <w:sz w:val="32"/>
          <w:szCs w:val="32"/>
          <w:lang w:val="zh-CN" w:eastAsia="zh-CN" w:bidi="ar-SA"/>
        </w:rPr>
        <w:t>财务岗位设置：</w:t>
      </w:r>
      <w:r>
        <w:rPr>
          <w:rFonts w:hint="eastAsia" w:ascii="仿宋_GB2312" w:hAnsi="Times New Roman" w:eastAsia="仿宋_GB2312" w:cs="仿宋"/>
          <w:color w:val="000000"/>
          <w:kern w:val="0"/>
          <w:sz w:val="32"/>
          <w:szCs w:val="32"/>
          <w:lang w:val="en-US" w:eastAsia="zh-CN" w:bidi="ar-SA"/>
        </w:rPr>
        <w:t>会计</w:t>
      </w: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出纳、工资管理、社保管理、资产管理各司其职，各负其责。又有分工既有合作，进一步提高了工作效率。</w:t>
      </w:r>
      <w:r>
        <w:rPr>
          <w:rFonts w:hint="eastAsia" w:ascii="仿宋_GB2312" w:hAnsi="Times New Roman" w:eastAsia="仿宋_GB2312" w:cs="仿宋"/>
          <w:color w:val="000000"/>
          <w:kern w:val="0"/>
          <w:sz w:val="32"/>
          <w:szCs w:val="32"/>
          <w:lang w:val="zh-CN" w:eastAsia="zh-CN" w:bidi="ar-SA"/>
        </w:rPr>
        <w:t>资金使用</w:t>
      </w:r>
      <w:r>
        <w:rPr>
          <w:rFonts w:hint="eastAsia" w:ascii="仿宋_GB2312" w:hAnsi="Times New Roman" w:eastAsia="仿宋_GB2312" w:cs="仿宋"/>
          <w:color w:val="000000"/>
          <w:kern w:val="0"/>
          <w:sz w:val="32"/>
          <w:szCs w:val="32"/>
          <w:lang w:val="en-US" w:eastAsia="zh-CN" w:bidi="ar-SA"/>
        </w:rPr>
        <w:t>方面：专款专用，建立专账</w:t>
      </w: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严格资金适用范围，严禁超范围超标准使用资金。</w:t>
      </w:r>
    </w:p>
    <w:p w14:paraId="08ACC58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zh-CN" w:eastAsia="zh-CN" w:bidi="ar-SA"/>
        </w:rPr>
        <w:t>州级财力专项预算分配当年完成、中央专款分配合规率</w:t>
      </w:r>
      <w:r>
        <w:rPr>
          <w:rFonts w:hint="eastAsia" w:ascii="仿宋_GB2312" w:hAnsi="Times New Roman" w:eastAsia="仿宋_GB2312" w:cs="仿宋"/>
          <w:color w:val="000000"/>
          <w:kern w:val="0"/>
          <w:sz w:val="32"/>
          <w:szCs w:val="32"/>
          <w:lang w:val="en-US" w:eastAsia="zh-CN" w:bidi="ar-SA"/>
        </w:rPr>
        <w:t>100%</w:t>
      </w:r>
      <w:r>
        <w:rPr>
          <w:rFonts w:hint="eastAsia" w:ascii="仿宋_GB2312" w:hAnsi="Times New Roman" w:eastAsia="仿宋_GB2312" w:cs="仿宋"/>
          <w:color w:val="000000"/>
          <w:kern w:val="0"/>
          <w:sz w:val="32"/>
          <w:szCs w:val="32"/>
          <w:lang w:val="zh-CN" w:eastAsia="zh-CN" w:bidi="ar-SA"/>
        </w:rPr>
        <w:t>、部门预算执行进度按期完成当年年初预算任务、中期对预算执行情况进行了评估、节能降耗积极推行无纸化办公、开展校内垃圾分类、节约用水、用电等。“三公”经费严格按照年初预算执行，未出现超预算情况。</w:t>
      </w:r>
    </w:p>
    <w:p w14:paraId="5B36C5D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4.</w:t>
      </w:r>
      <w:r>
        <w:rPr>
          <w:rFonts w:hint="default" w:ascii="仿宋_GB2312" w:hAnsi="Times New Roman" w:eastAsia="仿宋_GB2312" w:cs="仿宋"/>
          <w:color w:val="000000"/>
          <w:kern w:val="0"/>
          <w:sz w:val="32"/>
          <w:szCs w:val="32"/>
          <w:lang w:val="zh-CN" w:eastAsia="zh-CN" w:bidi="ar-SA"/>
        </w:rPr>
        <w:t>资产管理</w:t>
      </w: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各中小学校设有专人管理国有资产，资产使用率100%</w:t>
      </w: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没有闲置资产。</w:t>
      </w:r>
    </w:p>
    <w:p w14:paraId="4DD7B21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5.</w:t>
      </w:r>
      <w:r>
        <w:rPr>
          <w:rFonts w:hint="default" w:ascii="仿宋_GB2312" w:hAnsi="Times New Roman" w:eastAsia="仿宋_GB2312" w:cs="仿宋"/>
          <w:color w:val="000000"/>
          <w:kern w:val="0"/>
          <w:sz w:val="32"/>
          <w:szCs w:val="32"/>
          <w:lang w:val="zh-CN" w:eastAsia="zh-CN" w:bidi="ar-SA"/>
        </w:rPr>
        <w:t>采购管理</w:t>
      </w: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土建和设备采购严格按照招投标法、合同法等行业相关规定执行</w:t>
      </w:r>
      <w:r>
        <w:rPr>
          <w:rFonts w:hint="eastAsia" w:ascii="仿宋_GB2312" w:hAnsi="Times New Roman" w:eastAsia="仿宋_GB2312" w:cs="仿宋"/>
          <w:color w:val="000000"/>
          <w:kern w:val="0"/>
          <w:sz w:val="32"/>
          <w:szCs w:val="32"/>
          <w:lang w:val="zh-CN" w:eastAsia="zh-CN" w:bidi="ar-SA"/>
        </w:rPr>
        <w:t>。</w:t>
      </w:r>
    </w:p>
    <w:p w14:paraId="70D5976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（二）部门预算项目绩效分析。</w:t>
      </w:r>
      <w:r>
        <w:rPr>
          <w:rFonts w:hint="eastAsia" w:ascii="仿宋_GB2312" w:hAnsi="Times New Roman" w:eastAsia="仿宋_GB2312" w:cs="仿宋"/>
          <w:color w:val="000000"/>
          <w:kern w:val="0"/>
          <w:sz w:val="32"/>
          <w:szCs w:val="32"/>
          <w:lang w:val="zh-CN" w:eastAsia="zh-CN" w:bidi="ar-SA"/>
        </w:rPr>
        <w:t>填报以下数据，并</w:t>
      </w:r>
      <w:r>
        <w:rPr>
          <w:rFonts w:hint="default" w:ascii="仿宋_GB2312" w:hAnsi="Times New Roman" w:eastAsia="仿宋_GB2312" w:cs="仿宋"/>
          <w:color w:val="000000"/>
          <w:kern w:val="0"/>
          <w:sz w:val="32"/>
          <w:szCs w:val="32"/>
          <w:lang w:val="zh-CN" w:eastAsia="zh-CN" w:bidi="ar-SA"/>
        </w:rPr>
        <w:t>根据部门预算绩效评价指标体系“项目绩效”涉及</w:t>
      </w:r>
      <w:r>
        <w:rPr>
          <w:rFonts w:hint="eastAsia" w:ascii="仿宋_GB2312" w:hAnsi="Times New Roman" w:eastAsia="仿宋_GB2312" w:cs="仿宋"/>
          <w:color w:val="000000"/>
          <w:kern w:val="0"/>
          <w:sz w:val="32"/>
          <w:szCs w:val="32"/>
          <w:lang w:val="zh-CN" w:eastAsia="zh-CN" w:bidi="ar-SA"/>
        </w:rPr>
        <w:t>二、三级</w:t>
      </w:r>
      <w:r>
        <w:rPr>
          <w:rFonts w:hint="default" w:ascii="仿宋_GB2312" w:hAnsi="Times New Roman" w:eastAsia="仿宋_GB2312" w:cs="仿宋"/>
          <w:color w:val="000000"/>
          <w:kern w:val="0"/>
          <w:sz w:val="32"/>
          <w:szCs w:val="32"/>
          <w:lang w:val="zh-CN" w:eastAsia="zh-CN" w:bidi="ar-SA"/>
        </w:rPr>
        <w:t>指标进行</w:t>
      </w:r>
      <w:r>
        <w:rPr>
          <w:rFonts w:hint="eastAsia" w:ascii="仿宋_GB2312" w:hAnsi="Times New Roman" w:eastAsia="仿宋_GB2312" w:cs="仿宋"/>
          <w:color w:val="000000"/>
          <w:kern w:val="0"/>
          <w:sz w:val="32"/>
          <w:szCs w:val="32"/>
          <w:lang w:val="zh-CN" w:eastAsia="zh-CN" w:bidi="ar-SA"/>
        </w:rPr>
        <w:t>逐项</w:t>
      </w:r>
      <w:r>
        <w:rPr>
          <w:rFonts w:hint="default" w:ascii="仿宋_GB2312" w:hAnsi="Times New Roman" w:eastAsia="仿宋_GB2312" w:cs="仿宋"/>
          <w:color w:val="000000"/>
          <w:kern w:val="0"/>
          <w:sz w:val="32"/>
          <w:szCs w:val="32"/>
          <w:lang w:val="zh-CN" w:eastAsia="zh-CN" w:bidi="ar-SA"/>
        </w:rPr>
        <w:t>绩效分析</w:t>
      </w:r>
      <w:r>
        <w:rPr>
          <w:rFonts w:hint="eastAsia" w:ascii="仿宋_GB2312" w:hAnsi="Times New Roman" w:eastAsia="仿宋_GB2312" w:cs="仿宋"/>
          <w:color w:val="000000"/>
          <w:kern w:val="0"/>
          <w:sz w:val="32"/>
          <w:szCs w:val="32"/>
          <w:lang w:val="zh-CN" w:eastAsia="zh-CN" w:bidi="ar-SA"/>
        </w:rPr>
        <w:t>并评分</w:t>
      </w:r>
      <w:r>
        <w:rPr>
          <w:rFonts w:hint="default" w:ascii="仿宋_GB2312" w:hAnsi="Times New Roman" w:eastAsia="仿宋_GB2312" w:cs="仿宋"/>
          <w:color w:val="000000"/>
          <w:kern w:val="0"/>
          <w:sz w:val="32"/>
          <w:szCs w:val="32"/>
          <w:lang w:val="zh-CN" w:eastAsia="zh-CN" w:bidi="ar-SA"/>
        </w:rPr>
        <w:t>，依次包括项目</w:t>
      </w:r>
      <w:r>
        <w:rPr>
          <w:rFonts w:hint="default" w:ascii="仿宋_GB2312" w:hAnsi="Times New Roman" w:eastAsia="仿宋_GB2312" w:cs="仿宋"/>
          <w:color w:val="000000"/>
          <w:kern w:val="0"/>
          <w:sz w:val="32"/>
          <w:szCs w:val="32"/>
          <w:lang w:val="en-US" w:eastAsia="zh-CN" w:bidi="ar-SA"/>
        </w:rPr>
        <w:t>决策、项目执行、目标实现等情况</w:t>
      </w:r>
      <w:r>
        <w:rPr>
          <w:rFonts w:hint="eastAsia" w:ascii="仿宋_GB2312" w:hAnsi="Times New Roman" w:eastAsia="仿宋_GB2312" w:cs="仿宋"/>
          <w:color w:val="000000"/>
          <w:kern w:val="0"/>
          <w:sz w:val="32"/>
          <w:szCs w:val="32"/>
          <w:lang w:val="en-US" w:eastAsia="zh-CN" w:bidi="ar-SA"/>
        </w:rPr>
        <w:t>。</w:t>
      </w:r>
    </w:p>
    <w:p w14:paraId="79FE081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en-US" w:eastAsia="zh-CN" w:bidi="ar-SA"/>
        </w:rPr>
        <w:t>常年项目绩效分析。</w:t>
      </w:r>
      <w:r>
        <w:rPr>
          <w:rFonts w:hint="default" w:ascii="仿宋_GB2312" w:hAnsi="Times New Roman" w:eastAsia="仿宋_GB2312" w:cs="仿宋"/>
          <w:color w:val="000000"/>
          <w:kern w:val="0"/>
          <w:sz w:val="32"/>
          <w:szCs w:val="32"/>
          <w:lang w:val="zh-CN" w:eastAsia="zh-CN" w:bidi="ar-SA"/>
        </w:rPr>
        <w:t>该类项目总数</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12</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个</w:t>
      </w:r>
      <w:r>
        <w:rPr>
          <w:rFonts w:hint="default" w:ascii="仿宋_GB2312" w:hAnsi="Times New Roman" w:eastAsia="仿宋_GB2312" w:cs="仿宋"/>
          <w:color w:val="000000"/>
          <w:kern w:val="0"/>
          <w:sz w:val="32"/>
          <w:szCs w:val="32"/>
          <w:lang w:val="zh-CN" w:eastAsia="zh-CN" w:bidi="ar-SA"/>
        </w:rPr>
        <w:t>，涉及预算总金额</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1810.72</w:t>
      </w:r>
      <w:r>
        <w:rPr>
          <w:rFonts w:hint="default" w:ascii="仿宋_GB2312" w:hAnsi="Times New Roman" w:eastAsia="仿宋_GB2312" w:cs="仿宋"/>
          <w:color w:val="000000"/>
          <w:kern w:val="0"/>
          <w:sz w:val="32"/>
          <w:szCs w:val="32"/>
          <w:lang w:val="zh-CN" w:eastAsia="zh-CN" w:bidi="ar-SA"/>
        </w:rPr>
        <w:t>万元，1</w:t>
      </w:r>
      <w:r>
        <w:rPr>
          <w:rFonts w:hint="eastAsia" w:ascii="仿宋_GB2312" w:hAnsi="Times New Roman" w:eastAsia="仿宋_GB2312" w:cs="仿宋"/>
          <w:color w:val="000000"/>
          <w:kern w:val="0"/>
          <w:sz w:val="32"/>
          <w:szCs w:val="32"/>
          <w:lang w:val="zh-CN" w:eastAsia="zh-CN" w:bidi="ar-SA"/>
        </w:rPr>
        <w:t>—</w:t>
      </w:r>
      <w:r>
        <w:rPr>
          <w:rFonts w:hint="default" w:ascii="仿宋_GB2312" w:hAnsi="Times New Roman" w:eastAsia="仿宋_GB2312" w:cs="仿宋"/>
          <w:color w:val="000000"/>
          <w:kern w:val="0"/>
          <w:sz w:val="32"/>
          <w:szCs w:val="32"/>
          <w:lang w:val="zh-CN" w:eastAsia="zh-CN" w:bidi="ar-SA"/>
        </w:rPr>
        <w:t>1</w:t>
      </w:r>
      <w:r>
        <w:rPr>
          <w:rFonts w:hint="default" w:ascii="仿宋_GB2312" w:hAnsi="Times New Roman" w:eastAsia="仿宋_GB2312" w:cs="仿宋"/>
          <w:color w:val="000000"/>
          <w:kern w:val="0"/>
          <w:sz w:val="32"/>
          <w:szCs w:val="32"/>
          <w:lang w:val="en-US" w:eastAsia="zh-CN" w:bidi="ar-SA"/>
        </w:rPr>
        <w:t>2</w:t>
      </w:r>
      <w:r>
        <w:rPr>
          <w:rFonts w:hint="default" w:ascii="仿宋_GB2312" w:hAnsi="Times New Roman" w:eastAsia="仿宋_GB2312" w:cs="仿宋"/>
          <w:color w:val="000000"/>
          <w:kern w:val="0"/>
          <w:sz w:val="32"/>
          <w:szCs w:val="32"/>
          <w:lang w:val="zh-CN" w:eastAsia="zh-CN" w:bidi="ar-SA"/>
        </w:rPr>
        <w:t>月预算执行总体进度为</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100</w:t>
      </w:r>
      <w:r>
        <w:rPr>
          <w:rFonts w:hint="default" w:ascii="仿宋_GB2312" w:hAnsi="Times New Roman" w:eastAsia="仿宋_GB2312" w:cs="仿宋"/>
          <w:color w:val="000000"/>
          <w:kern w:val="0"/>
          <w:sz w:val="32"/>
          <w:szCs w:val="32"/>
          <w:lang w:val="en-US" w:eastAsia="zh-CN" w:bidi="ar-SA"/>
        </w:rPr>
        <w:t xml:space="preserve">  </w:t>
      </w:r>
      <w:r>
        <w:rPr>
          <w:rFonts w:hint="default" w:ascii="仿宋_GB2312" w:hAnsi="Times New Roman" w:eastAsia="仿宋_GB2312" w:cs="仿宋"/>
          <w:color w:val="000000"/>
          <w:kern w:val="0"/>
          <w:sz w:val="32"/>
          <w:szCs w:val="32"/>
          <w:lang w:val="zh-CN" w:eastAsia="zh-CN" w:bidi="ar-SA"/>
        </w:rPr>
        <w:t>%，其中：预算结余率大于</w:t>
      </w:r>
      <w:r>
        <w:rPr>
          <w:rFonts w:hint="default" w:ascii="仿宋_GB2312" w:hAnsi="Times New Roman" w:eastAsia="仿宋_GB2312" w:cs="仿宋"/>
          <w:color w:val="000000"/>
          <w:kern w:val="0"/>
          <w:sz w:val="32"/>
          <w:szCs w:val="32"/>
          <w:lang w:val="en-US" w:eastAsia="zh-CN" w:bidi="ar-SA"/>
        </w:rPr>
        <w:t>10%</w:t>
      </w:r>
      <w:r>
        <w:rPr>
          <w:rFonts w:hint="default" w:ascii="仿宋_GB2312" w:hAnsi="Times New Roman" w:eastAsia="仿宋_GB2312" w:cs="仿宋"/>
          <w:color w:val="000000"/>
          <w:kern w:val="0"/>
          <w:sz w:val="32"/>
          <w:szCs w:val="32"/>
          <w:lang w:val="zh-CN" w:eastAsia="zh-CN" w:bidi="ar-SA"/>
        </w:rPr>
        <w:t>的项目共计</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0</w:t>
      </w:r>
      <w:r>
        <w:rPr>
          <w:rFonts w:hint="default" w:ascii="仿宋_GB2312" w:hAnsi="Times New Roman" w:eastAsia="仿宋_GB2312" w:cs="仿宋"/>
          <w:color w:val="000000"/>
          <w:kern w:val="0"/>
          <w:sz w:val="32"/>
          <w:szCs w:val="32"/>
          <w:lang w:val="zh-CN" w:eastAsia="zh-CN" w:bidi="ar-SA"/>
        </w:rPr>
        <w:t>个。</w:t>
      </w:r>
    </w:p>
    <w:p w14:paraId="297D249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en-US" w:eastAsia="zh-CN" w:bidi="ar-SA"/>
        </w:rPr>
        <w:t>阶段</w:t>
      </w:r>
      <w:r>
        <w:rPr>
          <w:rFonts w:hint="eastAsia" w:ascii="仿宋_GB2312" w:hAnsi="Times New Roman" w:eastAsia="仿宋_GB2312" w:cs="仿宋"/>
          <w:color w:val="000000"/>
          <w:kern w:val="0"/>
          <w:sz w:val="32"/>
          <w:szCs w:val="32"/>
          <w:lang w:val="en-US" w:eastAsia="zh-CN" w:bidi="ar-SA"/>
        </w:rPr>
        <w:t>（</w:t>
      </w:r>
      <w:r>
        <w:rPr>
          <w:rFonts w:hint="default" w:ascii="仿宋_GB2312" w:hAnsi="Times New Roman" w:eastAsia="仿宋_GB2312" w:cs="仿宋"/>
          <w:color w:val="000000"/>
          <w:kern w:val="0"/>
          <w:sz w:val="32"/>
          <w:szCs w:val="32"/>
          <w:lang w:val="en-US" w:eastAsia="zh-CN" w:bidi="ar-SA"/>
        </w:rPr>
        <w:t>一次性</w:t>
      </w:r>
      <w:r>
        <w:rPr>
          <w:rFonts w:hint="eastAsia" w:ascii="仿宋_GB2312" w:hAnsi="Times New Roman" w:eastAsia="仿宋_GB2312" w:cs="仿宋"/>
          <w:color w:val="000000"/>
          <w:kern w:val="0"/>
          <w:sz w:val="32"/>
          <w:szCs w:val="32"/>
          <w:lang w:val="en-US" w:eastAsia="zh-CN" w:bidi="ar-SA"/>
        </w:rPr>
        <w:t>）</w:t>
      </w:r>
      <w:r>
        <w:rPr>
          <w:rFonts w:hint="default" w:ascii="仿宋_GB2312" w:hAnsi="Times New Roman" w:eastAsia="仿宋_GB2312" w:cs="仿宋"/>
          <w:color w:val="000000"/>
          <w:kern w:val="0"/>
          <w:sz w:val="32"/>
          <w:szCs w:val="32"/>
          <w:lang w:val="en-US" w:eastAsia="zh-CN" w:bidi="ar-SA"/>
        </w:rPr>
        <w:t>项目绩效分析。</w:t>
      </w:r>
      <w:r>
        <w:rPr>
          <w:rFonts w:hint="default" w:ascii="仿宋_GB2312" w:hAnsi="Times New Roman" w:eastAsia="仿宋_GB2312" w:cs="仿宋"/>
          <w:color w:val="000000"/>
          <w:kern w:val="0"/>
          <w:sz w:val="32"/>
          <w:szCs w:val="32"/>
          <w:lang w:val="zh-CN" w:eastAsia="zh-CN" w:bidi="ar-SA"/>
        </w:rPr>
        <w:t>该类项目总数</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0</w:t>
      </w:r>
      <w:r>
        <w:rPr>
          <w:rFonts w:hint="default" w:ascii="仿宋_GB2312" w:hAnsi="Times New Roman" w:eastAsia="仿宋_GB2312" w:cs="仿宋"/>
          <w:color w:val="000000"/>
          <w:kern w:val="0"/>
          <w:sz w:val="32"/>
          <w:szCs w:val="32"/>
          <w:lang w:val="en-US" w:eastAsia="zh-CN" w:bidi="ar-SA"/>
        </w:rPr>
        <w:t xml:space="preserve"> </w:t>
      </w:r>
      <w:r>
        <w:rPr>
          <w:rFonts w:hint="default" w:ascii="仿宋_GB2312" w:hAnsi="Times New Roman" w:eastAsia="仿宋_GB2312" w:cs="仿宋"/>
          <w:color w:val="000000"/>
          <w:kern w:val="0"/>
          <w:sz w:val="32"/>
          <w:szCs w:val="32"/>
          <w:lang w:val="zh-CN" w:eastAsia="zh-CN" w:bidi="ar-SA"/>
        </w:rPr>
        <w:t>个，涉及预算总金额</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0</w:t>
      </w:r>
      <w:r>
        <w:rPr>
          <w:rFonts w:hint="default" w:ascii="仿宋_GB2312" w:hAnsi="Times New Roman" w:eastAsia="仿宋_GB2312" w:cs="仿宋"/>
          <w:color w:val="000000"/>
          <w:kern w:val="0"/>
          <w:sz w:val="32"/>
          <w:szCs w:val="32"/>
          <w:lang w:val="en-US" w:eastAsia="zh-CN" w:bidi="ar-SA"/>
        </w:rPr>
        <w:t xml:space="preserve"> </w:t>
      </w:r>
      <w:r>
        <w:rPr>
          <w:rFonts w:hint="default" w:ascii="仿宋_GB2312" w:hAnsi="Times New Roman" w:eastAsia="仿宋_GB2312" w:cs="仿宋"/>
          <w:color w:val="000000"/>
          <w:kern w:val="0"/>
          <w:sz w:val="32"/>
          <w:szCs w:val="32"/>
          <w:lang w:val="zh-CN" w:eastAsia="zh-CN" w:bidi="ar-SA"/>
        </w:rPr>
        <w:t>万元，1</w:t>
      </w:r>
      <w:r>
        <w:rPr>
          <w:rFonts w:hint="eastAsia" w:ascii="仿宋_GB2312" w:hAnsi="Times New Roman" w:eastAsia="仿宋_GB2312" w:cs="仿宋"/>
          <w:color w:val="000000"/>
          <w:kern w:val="0"/>
          <w:sz w:val="32"/>
          <w:szCs w:val="32"/>
          <w:lang w:val="zh-CN" w:eastAsia="zh-CN" w:bidi="ar-SA"/>
        </w:rPr>
        <w:t>—</w:t>
      </w:r>
      <w:r>
        <w:rPr>
          <w:rFonts w:hint="default" w:ascii="仿宋_GB2312" w:hAnsi="Times New Roman" w:eastAsia="仿宋_GB2312" w:cs="仿宋"/>
          <w:color w:val="000000"/>
          <w:kern w:val="0"/>
          <w:sz w:val="32"/>
          <w:szCs w:val="32"/>
          <w:lang w:val="zh-CN" w:eastAsia="zh-CN" w:bidi="ar-SA"/>
        </w:rPr>
        <w:t>1</w:t>
      </w:r>
      <w:r>
        <w:rPr>
          <w:rFonts w:hint="default" w:ascii="仿宋_GB2312" w:hAnsi="Times New Roman" w:eastAsia="仿宋_GB2312" w:cs="仿宋"/>
          <w:color w:val="000000"/>
          <w:kern w:val="0"/>
          <w:sz w:val="32"/>
          <w:szCs w:val="32"/>
          <w:lang w:val="en-US" w:eastAsia="zh-CN" w:bidi="ar-SA"/>
        </w:rPr>
        <w:t>2</w:t>
      </w:r>
      <w:r>
        <w:rPr>
          <w:rFonts w:hint="default" w:ascii="仿宋_GB2312" w:hAnsi="Times New Roman" w:eastAsia="仿宋_GB2312" w:cs="仿宋"/>
          <w:color w:val="000000"/>
          <w:kern w:val="0"/>
          <w:sz w:val="32"/>
          <w:szCs w:val="32"/>
          <w:lang w:val="zh-CN" w:eastAsia="zh-CN" w:bidi="ar-SA"/>
        </w:rPr>
        <w:t>月预算执行总体进度为</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0</w:t>
      </w:r>
      <w:r>
        <w:rPr>
          <w:rFonts w:hint="default" w:ascii="仿宋_GB2312" w:hAnsi="Times New Roman" w:eastAsia="仿宋_GB2312" w:cs="仿宋"/>
          <w:color w:val="000000"/>
          <w:kern w:val="0"/>
          <w:sz w:val="32"/>
          <w:szCs w:val="32"/>
          <w:lang w:val="en-US" w:eastAsia="zh-CN" w:bidi="ar-SA"/>
        </w:rPr>
        <w:t xml:space="preserve">  </w:t>
      </w:r>
      <w:r>
        <w:rPr>
          <w:rFonts w:hint="default" w:ascii="仿宋_GB2312" w:hAnsi="Times New Roman" w:eastAsia="仿宋_GB2312" w:cs="仿宋"/>
          <w:color w:val="000000"/>
          <w:kern w:val="0"/>
          <w:sz w:val="32"/>
          <w:szCs w:val="32"/>
          <w:lang w:val="zh-CN" w:eastAsia="zh-CN" w:bidi="ar-SA"/>
        </w:rPr>
        <w:t>%，其中：预算结余率大于</w:t>
      </w:r>
      <w:r>
        <w:rPr>
          <w:rFonts w:hint="default" w:ascii="仿宋_GB2312" w:hAnsi="Times New Roman" w:eastAsia="仿宋_GB2312" w:cs="仿宋"/>
          <w:color w:val="000000"/>
          <w:kern w:val="0"/>
          <w:sz w:val="32"/>
          <w:szCs w:val="32"/>
          <w:lang w:val="en-US" w:eastAsia="zh-CN" w:bidi="ar-SA"/>
        </w:rPr>
        <w:t>10%</w:t>
      </w:r>
      <w:r>
        <w:rPr>
          <w:rFonts w:hint="default" w:ascii="仿宋_GB2312" w:hAnsi="Times New Roman" w:eastAsia="仿宋_GB2312" w:cs="仿宋"/>
          <w:color w:val="000000"/>
          <w:kern w:val="0"/>
          <w:sz w:val="32"/>
          <w:szCs w:val="32"/>
          <w:lang w:val="zh-CN" w:eastAsia="zh-CN" w:bidi="ar-SA"/>
        </w:rPr>
        <w:t>的项目共计</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0</w:t>
      </w:r>
      <w:r>
        <w:rPr>
          <w:rFonts w:hint="default" w:ascii="仿宋_GB2312" w:hAnsi="Times New Roman" w:eastAsia="仿宋_GB2312" w:cs="仿宋"/>
          <w:color w:val="000000"/>
          <w:kern w:val="0"/>
          <w:sz w:val="32"/>
          <w:szCs w:val="32"/>
          <w:lang w:val="en-US" w:eastAsia="zh-CN" w:bidi="ar-SA"/>
        </w:rPr>
        <w:t xml:space="preserve"> </w:t>
      </w:r>
      <w:r>
        <w:rPr>
          <w:rFonts w:hint="default" w:ascii="仿宋_GB2312" w:hAnsi="Times New Roman" w:eastAsia="仿宋_GB2312" w:cs="仿宋"/>
          <w:color w:val="000000"/>
          <w:kern w:val="0"/>
          <w:sz w:val="32"/>
          <w:szCs w:val="32"/>
          <w:lang w:val="zh-CN" w:eastAsia="zh-CN" w:bidi="ar-SA"/>
        </w:rPr>
        <w:t>个。</w:t>
      </w:r>
    </w:p>
    <w:p w14:paraId="4A104EDF">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zh-CN" w:eastAsia="zh-CN" w:bidi="ar-SA"/>
        </w:rPr>
        <w:t>项目决策。</w:t>
      </w:r>
      <w:r>
        <w:rPr>
          <w:rFonts w:hint="eastAsia" w:ascii="仿宋_GB2312" w:hAnsi="Times New Roman" w:eastAsia="仿宋_GB2312" w:cs="仿宋"/>
          <w:color w:val="000000"/>
          <w:kern w:val="0"/>
          <w:sz w:val="32"/>
          <w:szCs w:val="32"/>
          <w:lang w:val="en-US" w:eastAsia="zh-CN" w:bidi="ar-SA"/>
        </w:rPr>
        <w:t>根据我县中小学实际需求安排项目资金，通过局党组会研究决定项目学校。</w:t>
      </w:r>
    </w:p>
    <w:p w14:paraId="1B8CDFF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2.项目执行</w:t>
      </w: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严严格按照项目管理办法开展工作，部门自评，业务股室监控，财务绩效股重点监控。</w:t>
      </w:r>
    </w:p>
    <w:p w14:paraId="2EB55F8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3.</w:t>
      </w:r>
      <w:r>
        <w:rPr>
          <w:rFonts w:hint="eastAsia" w:ascii="仿宋_GB2312" w:hAnsi="Times New Roman" w:eastAsia="仿宋_GB2312" w:cs="仿宋"/>
          <w:color w:val="000000"/>
          <w:kern w:val="0"/>
          <w:sz w:val="32"/>
          <w:szCs w:val="32"/>
          <w:lang w:val="zh-CN" w:eastAsia="zh-CN" w:bidi="ar-SA"/>
        </w:rPr>
        <w:t>目标实现。</w:t>
      </w:r>
      <w:r>
        <w:rPr>
          <w:rFonts w:hint="eastAsia" w:ascii="仿宋_GB2312" w:hAnsi="Times New Roman" w:eastAsia="仿宋_GB2312" w:cs="仿宋"/>
          <w:color w:val="000000"/>
          <w:kern w:val="0"/>
          <w:sz w:val="32"/>
          <w:szCs w:val="32"/>
          <w:lang w:val="en-US" w:eastAsia="zh-CN" w:bidi="ar-SA"/>
        </w:rPr>
        <w:t>项目实施完成100%，资金拨付100%。</w:t>
      </w:r>
    </w:p>
    <w:p w14:paraId="4CEFBEAA">
      <w:pPr>
        <w:pageBreakBefore w:val="0"/>
        <w:kinsoku/>
        <w:wordWrap/>
        <w:overflowPunct/>
        <w:topLinePunct w:val="0"/>
        <w:autoSpaceDE/>
        <w:autoSpaceDN/>
        <w:bidi w:val="0"/>
        <w:adjustRightInd/>
        <w:snapToGrid/>
        <w:spacing w:line="578" w:lineRule="exact"/>
        <w:ind w:firstLine="640" w:firstLineChars="200"/>
        <w:textAlignment w:val="auto"/>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州</w:t>
      </w:r>
      <w:r>
        <w:rPr>
          <w:rFonts w:hint="default" w:ascii="仿宋_GB2312" w:hAnsi="Times New Roman" w:eastAsia="仿宋_GB2312" w:cs="仿宋"/>
          <w:color w:val="000000"/>
          <w:kern w:val="0"/>
          <w:sz w:val="32"/>
          <w:szCs w:val="32"/>
          <w:lang w:val="en-US" w:eastAsia="zh-CN" w:bidi="ar-SA"/>
        </w:rPr>
        <w:t>级部门</w:t>
      </w:r>
      <w:r>
        <w:rPr>
          <w:rFonts w:hint="eastAsia" w:ascii="仿宋_GB2312" w:hAnsi="Times New Roman" w:eastAsia="仿宋_GB2312" w:cs="仿宋"/>
          <w:color w:val="000000"/>
          <w:kern w:val="0"/>
          <w:sz w:val="32"/>
          <w:szCs w:val="32"/>
          <w:lang w:val="en-US" w:eastAsia="zh-CN" w:bidi="ar-SA"/>
        </w:rPr>
        <w:t>202</w:t>
      </w:r>
      <w:r>
        <w:rPr>
          <w:rFonts w:hint="eastAsia" w:ascii="仿宋_GB2312"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en-US" w:eastAsia="zh-CN" w:bidi="ar-SA"/>
        </w:rPr>
        <w:t>年度</w:t>
      </w:r>
      <w:r>
        <w:rPr>
          <w:rFonts w:hint="default" w:ascii="仿宋_GB2312" w:hAnsi="Times New Roman" w:eastAsia="仿宋_GB2312" w:cs="仿宋"/>
          <w:color w:val="000000"/>
          <w:kern w:val="0"/>
          <w:sz w:val="32"/>
          <w:szCs w:val="32"/>
          <w:lang w:val="en-US" w:eastAsia="zh-CN" w:bidi="ar-SA"/>
        </w:rPr>
        <w:t>若涉及国有资本经营预算、社会保险基金预算的，应在部门预算绩效自评报告中对完成情况进行梳理阐述。国有资本经营预算绩效自评</w:t>
      </w:r>
      <w:r>
        <w:rPr>
          <w:rFonts w:hint="eastAsia" w:ascii="仿宋_GB2312" w:hAnsi="Times New Roman" w:eastAsia="仿宋_GB2312" w:cs="仿宋"/>
          <w:color w:val="000000"/>
          <w:kern w:val="0"/>
          <w:sz w:val="32"/>
          <w:szCs w:val="32"/>
          <w:lang w:val="en-US" w:eastAsia="zh-CN" w:bidi="ar-SA"/>
        </w:rPr>
        <w:t>重点</w:t>
      </w:r>
      <w:r>
        <w:rPr>
          <w:rFonts w:hint="default" w:ascii="仿宋_GB2312" w:hAnsi="Times New Roman" w:eastAsia="仿宋_GB2312" w:cs="仿宋"/>
          <w:color w:val="000000"/>
          <w:kern w:val="0"/>
          <w:sz w:val="32"/>
          <w:szCs w:val="32"/>
          <w:lang w:val="en-US" w:eastAsia="zh-CN" w:bidi="ar-SA"/>
        </w:rPr>
        <w:t>关注企业的运营质量、行业水平等情况；社会保险基金预算绩效自评重点关注基金可持续性、区域安全性等情况。</w:t>
      </w:r>
    </w:p>
    <w:p w14:paraId="12A4C271">
      <w:pPr>
        <w:keepNext w:val="0"/>
        <w:keepLines w:val="0"/>
        <w:pageBreakBefore w:val="0"/>
        <w:widowControl w:val="0"/>
        <w:numPr>
          <w:ilvl w:val="0"/>
          <w:numId w:val="5"/>
        </w:numPr>
        <w:kinsoku/>
        <w:wordWrap/>
        <w:overflowPunct/>
        <w:topLinePunct w:val="0"/>
        <w:autoSpaceDE/>
        <w:autoSpaceDN/>
        <w:spacing w:line="578" w:lineRule="exact"/>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重点领域绩效分析。</w:t>
      </w:r>
    </w:p>
    <w:p w14:paraId="0C4DA926">
      <w:pPr>
        <w:keepNext w:val="0"/>
        <w:keepLines w:val="0"/>
        <w:pageBreakBefore w:val="0"/>
        <w:widowControl w:val="0"/>
        <w:numPr>
          <w:ilvl w:val="0"/>
          <w:numId w:val="0"/>
        </w:numPr>
        <w:kinsoku/>
        <w:wordWrap/>
        <w:overflowPunct/>
        <w:topLinePunct w:val="0"/>
        <w:autoSpaceDE/>
        <w:autoSpaceDN/>
        <w:spacing w:line="578"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通用指标</w:t>
      </w:r>
      <w:r>
        <w:rPr>
          <w:rFonts w:hint="eastAsia" w:ascii="仿宋_GB2312" w:hAnsi="Times New Roman" w:eastAsia="仿宋_GB2312" w:cs="仿宋"/>
          <w:color w:val="000000"/>
          <w:kern w:val="0"/>
          <w:sz w:val="32"/>
          <w:szCs w:val="32"/>
          <w:lang w:val="zh-CN" w:eastAsia="zh-CN" w:bidi="ar-SA"/>
        </w:rPr>
        <w:t>绩效分析。</w:t>
      </w:r>
    </w:p>
    <w:p w14:paraId="504D1542">
      <w:pPr>
        <w:keepNext w:val="0"/>
        <w:keepLines w:val="0"/>
        <w:pageBreakBefore w:val="0"/>
        <w:widowControl w:val="0"/>
        <w:kinsoku/>
        <w:wordWrap/>
        <w:overflowPunct/>
        <w:topLinePunct w:val="0"/>
        <w:autoSpaceDE/>
        <w:autoSpaceDN/>
        <w:spacing w:line="578"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1.项目决策。根据我县中小学实际需求安排项目资金，通过局党组会研究决定项目学校。</w:t>
      </w:r>
    </w:p>
    <w:p w14:paraId="1D3F9CF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2.项目管理。严严格按照项目管理办法开展工作，部门自评，业务股室监控，财务绩效股重点监控。</w:t>
      </w:r>
    </w:p>
    <w:p w14:paraId="7DC427F1">
      <w:pPr>
        <w:keepNext w:val="0"/>
        <w:keepLines w:val="0"/>
        <w:pageBreakBefore w:val="0"/>
        <w:widowControl w:val="0"/>
        <w:kinsoku/>
        <w:wordWrap/>
        <w:overflowPunct/>
        <w:topLinePunct w:val="0"/>
        <w:autoSpaceDE/>
        <w:autoSpaceDN/>
        <w:bidi w:val="0"/>
        <w:adjustRightInd/>
        <w:snapToGrid/>
        <w:spacing w:line="578" w:lineRule="exact"/>
        <w:ind w:left="420" w:leftChars="200" w:firstLine="0"/>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3.项目实施。项目实施完成50%，资金拨付3.49%。</w:t>
      </w:r>
    </w:p>
    <w:p w14:paraId="2FFC974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4.项目结果。“减免补”资金项目的实施，减轻了学生家庭经济负担，让学生在学校学得好、吃得好、留得住。</w:t>
      </w:r>
    </w:p>
    <w:p w14:paraId="4E5E9A2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基建和设备采购改善了项目学校的办学条件，让学生在学校学得好，留得住。</w:t>
      </w:r>
    </w:p>
    <w:p w14:paraId="55D049F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专用指标</w:t>
      </w:r>
      <w:r>
        <w:rPr>
          <w:rFonts w:hint="eastAsia" w:ascii="仿宋_GB2312" w:hAnsi="Times New Roman" w:eastAsia="仿宋_GB2312" w:cs="仿宋"/>
          <w:color w:val="000000"/>
          <w:kern w:val="0"/>
          <w:sz w:val="32"/>
          <w:szCs w:val="32"/>
          <w:lang w:val="zh-CN" w:eastAsia="zh-CN" w:bidi="ar-SA"/>
        </w:rPr>
        <w:t>绩效分析。根据</w:t>
      </w:r>
      <w:r>
        <w:rPr>
          <w:rFonts w:hint="eastAsia" w:ascii="仿宋_GB2312" w:hAnsi="Times New Roman" w:eastAsia="仿宋_GB2312" w:cs="仿宋"/>
          <w:color w:val="000000"/>
          <w:kern w:val="0"/>
          <w:sz w:val="32"/>
          <w:szCs w:val="32"/>
          <w:lang w:val="en-US" w:eastAsia="zh-CN" w:bidi="ar-SA"/>
        </w:rPr>
        <w:t>专项预算项目资金支持对象选择所属指标进行绩效分析。支持对象</w:t>
      </w:r>
      <w:r>
        <w:rPr>
          <w:rFonts w:hint="eastAsia" w:ascii="仿宋_GB2312" w:hAnsi="Times New Roman" w:eastAsia="仿宋_GB2312" w:cs="仿宋"/>
          <w:color w:val="000000"/>
          <w:kern w:val="0"/>
          <w:sz w:val="32"/>
          <w:szCs w:val="32"/>
          <w:lang w:val="zh-CN" w:eastAsia="zh-CN" w:bidi="ar-SA"/>
        </w:rPr>
        <w:t>包括产业发展、民生保障、基础设施、行政运转等方面。</w:t>
      </w:r>
    </w:p>
    <w:p w14:paraId="31AC5F7D">
      <w:pPr>
        <w:spacing w:line="560" w:lineRule="exact"/>
        <w:ind w:firstLine="640" w:firstLineChars="200"/>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基础设施。完成金川县</w:t>
      </w:r>
      <w:r>
        <w:rPr>
          <w:rFonts w:hint="eastAsia" w:ascii="仿宋_GB2312" w:eastAsia="仿宋_GB2312" w:cs="仿宋"/>
          <w:color w:val="000000"/>
          <w:kern w:val="0"/>
          <w:sz w:val="32"/>
          <w:szCs w:val="32"/>
          <w:lang w:val="en-US" w:eastAsia="zh-CN" w:bidi="ar-SA"/>
        </w:rPr>
        <w:t>阿科里乡中心校</w:t>
      </w:r>
      <w:r>
        <w:rPr>
          <w:rFonts w:hint="eastAsia" w:ascii="仿宋_GB2312" w:hAnsi="Times New Roman" w:eastAsia="仿宋_GB2312" w:cs="仿宋"/>
          <w:color w:val="000000"/>
          <w:kern w:val="0"/>
          <w:sz w:val="32"/>
          <w:szCs w:val="32"/>
          <w:lang w:val="en-US" w:eastAsia="zh-CN" w:bidi="ar-SA"/>
        </w:rPr>
        <w:t>等项目，资金到位</w:t>
      </w:r>
      <w:r>
        <w:rPr>
          <w:rFonts w:hint="eastAsia" w:ascii="仿宋_GB2312" w:eastAsia="仿宋_GB2312" w:cs="仿宋"/>
          <w:color w:val="000000"/>
          <w:kern w:val="0"/>
          <w:sz w:val="32"/>
          <w:szCs w:val="32"/>
          <w:lang w:val="en-US" w:eastAsia="zh-CN" w:bidi="ar-SA"/>
        </w:rPr>
        <w:t>800</w:t>
      </w:r>
      <w:r>
        <w:rPr>
          <w:rFonts w:hint="eastAsia" w:ascii="仿宋_GB2312" w:hAnsi="Times New Roman" w:eastAsia="仿宋_GB2312" w:cs="仿宋"/>
          <w:color w:val="000000"/>
          <w:kern w:val="0"/>
          <w:sz w:val="32"/>
          <w:szCs w:val="32"/>
          <w:lang w:val="en-US" w:eastAsia="zh-CN" w:bidi="ar-SA"/>
        </w:rPr>
        <w:t>万元，实际支付</w:t>
      </w:r>
      <w:r>
        <w:rPr>
          <w:rFonts w:hint="eastAsia" w:ascii="仿宋_GB2312" w:eastAsia="仿宋_GB2312" w:cs="仿宋"/>
          <w:color w:val="000000"/>
          <w:kern w:val="0"/>
          <w:sz w:val="32"/>
          <w:szCs w:val="32"/>
          <w:lang w:val="en-US" w:eastAsia="zh-CN" w:bidi="ar-SA"/>
        </w:rPr>
        <w:t>423.03</w:t>
      </w:r>
      <w:r>
        <w:rPr>
          <w:rFonts w:hint="eastAsia" w:ascii="仿宋_GB2312" w:hAnsi="Times New Roman" w:eastAsia="仿宋_GB2312" w:cs="仿宋"/>
          <w:color w:val="000000"/>
          <w:kern w:val="0"/>
          <w:sz w:val="32"/>
          <w:szCs w:val="32"/>
          <w:lang w:val="en-US" w:eastAsia="zh-CN" w:bidi="ar-SA"/>
        </w:rPr>
        <w:t>万元，结转资金</w:t>
      </w:r>
      <w:r>
        <w:rPr>
          <w:rFonts w:hint="eastAsia" w:ascii="仿宋_GB2312" w:eastAsia="仿宋_GB2312" w:cs="仿宋"/>
          <w:color w:val="000000"/>
          <w:kern w:val="0"/>
          <w:sz w:val="32"/>
          <w:szCs w:val="32"/>
          <w:lang w:val="en-US" w:eastAsia="zh-CN" w:bidi="ar-SA"/>
        </w:rPr>
        <w:t>76.97</w:t>
      </w:r>
      <w:r>
        <w:rPr>
          <w:rFonts w:hint="eastAsia" w:ascii="仿宋_GB2312" w:hAnsi="Times New Roman" w:eastAsia="仿宋_GB2312" w:cs="仿宋"/>
          <w:color w:val="000000"/>
          <w:kern w:val="0"/>
          <w:sz w:val="32"/>
          <w:szCs w:val="32"/>
          <w:lang w:val="en-US" w:eastAsia="zh-CN" w:bidi="ar-SA"/>
        </w:rPr>
        <w:t>万元。工程验收合格已交付使用，后续管护由学校组织实施。</w:t>
      </w:r>
    </w:p>
    <w:p w14:paraId="53C1A87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个性指标</w:t>
      </w:r>
      <w:r>
        <w:rPr>
          <w:rFonts w:hint="eastAsia" w:ascii="仿宋_GB2312" w:hAnsi="Times New Roman" w:eastAsia="仿宋_GB2312" w:cs="仿宋"/>
          <w:color w:val="000000"/>
          <w:kern w:val="0"/>
          <w:sz w:val="32"/>
          <w:szCs w:val="32"/>
          <w:lang w:val="zh-CN" w:eastAsia="zh-CN" w:bidi="ar-SA"/>
        </w:rPr>
        <w:t>绩效分析。</w:t>
      </w:r>
      <w:r>
        <w:rPr>
          <w:rFonts w:hint="eastAsia" w:ascii="仿宋_GB2312" w:hAnsi="Times New Roman" w:eastAsia="仿宋_GB2312" w:cs="仿宋"/>
          <w:color w:val="000000"/>
          <w:kern w:val="0"/>
          <w:sz w:val="32"/>
          <w:szCs w:val="32"/>
          <w:lang w:val="en-US" w:eastAsia="zh-CN" w:bidi="ar-SA"/>
        </w:rPr>
        <w:t>民族地区转移支付（省级财政扶持民族地区教育发展专项资金：学前学普水平提升6分，提高了学前教师普通话水平。办学条件改善5分，留住了学生。教育普及水平提高5分，学生在校学得好。</w:t>
      </w:r>
    </w:p>
    <w:p w14:paraId="271576CE">
      <w:pPr>
        <w:keepNext w:val="0"/>
        <w:keepLines w:val="0"/>
        <w:pageBreakBefore w:val="0"/>
        <w:widowControl w:val="0"/>
        <w:kinsoku/>
        <w:wordWrap/>
        <w:overflowPunct/>
        <w:topLinePunct w:val="0"/>
        <w:autoSpaceDE/>
        <w:autoSpaceDN/>
        <w:bidi w:val="0"/>
        <w:snapToGrid w:val="0"/>
        <w:spacing w:line="600" w:lineRule="exact"/>
        <w:ind w:firstLine="320" w:firstLineChars="100"/>
        <w:textAlignment w:val="auto"/>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（四）绩效结果应用情况</w:t>
      </w: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通过绩效评价进一步规范了我单位各股室工作人员的办事行为，严格按照法律法规及本行业相关规定办事，大大提高率工作效率，工作错失率降到最低点。让社会、家长、教师、学生放心，让学生在学校学得好、吃得好、留得住。基建及设备采购项目的实施，改善了项目学校的办学条件，让学生在学校学得好，留得住。</w:t>
      </w:r>
    </w:p>
    <w:p w14:paraId="00814791">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t>四、评价结论及建议</w:t>
      </w:r>
    </w:p>
    <w:p w14:paraId="7937C5B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（一）评价结论。</w:t>
      </w:r>
      <w:r>
        <w:rPr>
          <w:rFonts w:hint="eastAsia" w:ascii="仿宋_GB2312" w:hAnsi="Times New Roman" w:eastAsia="仿宋_GB2312" w:cs="仿宋"/>
          <w:color w:val="000000"/>
          <w:kern w:val="0"/>
          <w:sz w:val="32"/>
          <w:szCs w:val="32"/>
          <w:lang w:val="en-US" w:eastAsia="zh-CN" w:bidi="ar-SA"/>
        </w:rPr>
        <w:t>该项目评估总得分98、评估等级优、严格按照绩效目标实施项目，符合教育经费资金管理程序。“减免补”资金项目的实施，减轻了学生家庭经济负担，让学生在学校学得好、吃得好、留得住。</w:t>
      </w:r>
    </w:p>
    <w:p w14:paraId="609EAC52">
      <w:pPr>
        <w:pStyle w:val="6"/>
        <w:pageBreakBefore w:val="0"/>
        <w:widowControl/>
        <w:tabs>
          <w:tab w:val="left" w:pos="2160"/>
        </w:tabs>
        <w:kinsoku/>
        <w:wordWrap/>
        <w:overflowPunct/>
        <w:topLinePunct w:val="0"/>
        <w:autoSpaceDE/>
        <w:autoSpaceDN/>
        <w:bidi w:val="0"/>
        <w:adjustRightInd/>
        <w:spacing w:line="600" w:lineRule="exact"/>
        <w:ind w:left="0" w:firstLine="640" w:firstLineChars="200"/>
        <w:textAlignment w:val="auto"/>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（二）存在问题。</w:t>
      </w:r>
      <w:r>
        <w:rPr>
          <w:rFonts w:hint="eastAsia" w:ascii="仿宋_GB2312" w:hAnsi="Times New Roman" w:eastAsia="仿宋_GB2312" w:cs="仿宋"/>
          <w:color w:val="000000"/>
          <w:kern w:val="0"/>
          <w:sz w:val="32"/>
          <w:szCs w:val="32"/>
          <w:lang w:val="en-US" w:eastAsia="zh-CN" w:bidi="ar-SA"/>
        </w:rPr>
        <w:t>建设项目因地方材料价和人工工资上涨幅度大，容易超概算，不好控制建设成本。设备采购用时较长，影响资金支付进度。</w:t>
      </w:r>
    </w:p>
    <w:p w14:paraId="573CBE1B">
      <w:pPr>
        <w:pStyle w:val="6"/>
        <w:tabs>
          <w:tab w:val="left" w:pos="2160"/>
        </w:tabs>
        <w:spacing w:after="0"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（三）改进建议。</w:t>
      </w:r>
      <w:bookmarkStart w:id="53" w:name="_Hlk110546638"/>
      <w:r>
        <w:rPr>
          <w:rFonts w:hint="eastAsia" w:ascii="仿宋_GB2312" w:hAnsi="Times New Roman" w:eastAsia="仿宋_GB2312" w:cs="仿宋"/>
          <w:color w:val="000000"/>
          <w:kern w:val="0"/>
          <w:sz w:val="32"/>
          <w:szCs w:val="32"/>
          <w:lang w:val="en-US" w:eastAsia="zh-CN" w:bidi="ar-SA"/>
        </w:rPr>
        <w:t>改善基本办学条件方面，深入各校调研根据学校实际情况安排项目，进一步完善我县义务教育学校优质均衡发展，加强工程成本控制，切实做好工程规划，做细工程量编制预算工作，早谋划早开工做到当年下达的资金计划当年完成。</w:t>
      </w:r>
    </w:p>
    <w:bookmarkEnd w:id="53"/>
    <w:p w14:paraId="48CD3863">
      <w:pPr>
        <w:pStyle w:val="6"/>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附表：</w:t>
      </w:r>
      <w:r>
        <w:rPr>
          <w:rFonts w:hint="default" w:ascii="仿宋_GB2312" w:hAnsi="Times New Roman" w:eastAsia="仿宋_GB2312" w:cs="仿宋"/>
          <w:color w:val="000000"/>
          <w:kern w:val="0"/>
          <w:sz w:val="32"/>
          <w:szCs w:val="32"/>
          <w:lang w:val="en-US" w:eastAsia="zh-CN" w:bidi="ar-SA"/>
        </w:rPr>
        <w:t>部门整体支出绩效目标完成情况自评表</w:t>
      </w:r>
    </w:p>
    <w:tbl>
      <w:tblPr>
        <w:tblStyle w:val="17"/>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45"/>
        <w:gridCol w:w="1771"/>
        <w:gridCol w:w="2258"/>
        <w:gridCol w:w="520"/>
        <w:gridCol w:w="1671"/>
        <w:gridCol w:w="520"/>
        <w:gridCol w:w="1090"/>
        <w:gridCol w:w="505"/>
        <w:gridCol w:w="487"/>
        <w:gridCol w:w="2550"/>
      </w:tblGrid>
      <w:tr w14:paraId="66000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E98AD4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274C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8D8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59F7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整体绩效</w:t>
            </w:r>
          </w:p>
        </w:tc>
      </w:tr>
      <w:tr w14:paraId="52AFE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BE3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84AE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金川县教育局本级</w:t>
            </w:r>
          </w:p>
        </w:tc>
        <w:tc>
          <w:tcPr>
            <w:tcW w:w="1091" w:type="dxa"/>
            <w:tcBorders>
              <w:top w:val="nil"/>
              <w:left w:val="nil"/>
              <w:bottom w:val="nil"/>
              <w:right w:val="nil"/>
            </w:tcBorders>
            <w:shd w:val="clear" w:color="auto" w:fill="auto"/>
            <w:vAlign w:val="center"/>
          </w:tcPr>
          <w:p w14:paraId="022593E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790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金川县教育局</w:t>
            </w:r>
          </w:p>
        </w:tc>
      </w:tr>
      <w:tr w14:paraId="75362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5C94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0C5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042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6FF35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D424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3E7E3">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A879A">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CEA2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阿科里乡中心校综合楼建设500万元。</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5D3B1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完成2024年目标任务</w:t>
            </w:r>
          </w:p>
        </w:tc>
      </w:tr>
      <w:tr w14:paraId="6CF8F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80AB8">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00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2C43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经费由财政局严格审核下拨，手续完整，程序规范；资金专款专用，不存在截留、挤占、挪用等情况。做到及时、足额发放。使项目资金能最大限度地发挥作用。</w:t>
            </w:r>
          </w:p>
        </w:tc>
      </w:tr>
      <w:tr w14:paraId="20F83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1B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7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5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4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A9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7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0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F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8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CB2A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ADF8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1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C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33,953.49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9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38,245.21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FE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38,245.21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7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A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1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B854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23B1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14BA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F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7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33,953.49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7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38,245.21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7E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38,245.21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B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1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A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BCAB7">
            <w:pPr>
              <w:rPr>
                <w:rFonts w:hint="eastAsia" w:ascii="黑体" w:hAnsi="黑体" w:eastAsia="黑体" w:cs="黑体"/>
                <w:i/>
                <w:iCs/>
                <w:color w:val="000000"/>
                <w:sz w:val="18"/>
                <w:szCs w:val="18"/>
                <w:u w:val="none"/>
              </w:rPr>
            </w:pPr>
          </w:p>
        </w:tc>
      </w:tr>
      <w:tr w14:paraId="29903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E25F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4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B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3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0C3E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7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B8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1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B390F">
            <w:pPr>
              <w:rPr>
                <w:rFonts w:hint="eastAsia" w:ascii="黑体" w:hAnsi="黑体" w:eastAsia="黑体" w:cs="黑体"/>
                <w:i/>
                <w:iCs/>
                <w:color w:val="000000"/>
                <w:sz w:val="18"/>
                <w:szCs w:val="18"/>
                <w:u w:val="none"/>
              </w:rPr>
            </w:pPr>
          </w:p>
        </w:tc>
      </w:tr>
      <w:tr w14:paraId="74E5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9E42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7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E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A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1DC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C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5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4A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83FF1">
            <w:pPr>
              <w:rPr>
                <w:rFonts w:hint="eastAsia" w:ascii="黑体" w:hAnsi="黑体" w:eastAsia="黑体" w:cs="黑体"/>
                <w:i/>
                <w:iCs/>
                <w:color w:val="000000"/>
                <w:sz w:val="18"/>
                <w:szCs w:val="18"/>
                <w:u w:val="none"/>
              </w:rPr>
            </w:pPr>
          </w:p>
        </w:tc>
      </w:tr>
      <w:tr w14:paraId="5ED0A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5386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9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08FF">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4C0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05ACB6">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95A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8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6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E6D2E">
            <w:pPr>
              <w:rPr>
                <w:rFonts w:hint="eastAsia" w:ascii="黑体" w:hAnsi="黑体" w:eastAsia="黑体" w:cs="黑体"/>
                <w:i/>
                <w:iCs/>
                <w:color w:val="000000"/>
                <w:sz w:val="18"/>
                <w:szCs w:val="18"/>
                <w:u w:val="none"/>
              </w:rPr>
            </w:pPr>
          </w:p>
        </w:tc>
      </w:tr>
      <w:tr w14:paraId="6E4BF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30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4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F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0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3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5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8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B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F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5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0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高寒地区施工工期短。</w:t>
            </w:r>
          </w:p>
        </w:tc>
      </w:tr>
      <w:tr w14:paraId="77397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0C5C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B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F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0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F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D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E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E4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C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5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4889">
            <w:pPr>
              <w:jc w:val="center"/>
              <w:rPr>
                <w:rFonts w:hint="eastAsia" w:ascii="微软雅黑" w:hAnsi="微软雅黑" w:eastAsia="微软雅黑" w:cs="微软雅黑"/>
                <w:i/>
                <w:iCs/>
                <w:color w:val="000000"/>
                <w:sz w:val="16"/>
                <w:szCs w:val="16"/>
                <w:u w:val="none"/>
              </w:rPr>
            </w:pPr>
          </w:p>
        </w:tc>
      </w:tr>
      <w:tr w14:paraId="06D26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6276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0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0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F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7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8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45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C2B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4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2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58B4">
            <w:pPr>
              <w:jc w:val="center"/>
              <w:rPr>
                <w:rFonts w:hint="eastAsia" w:ascii="微软雅黑" w:hAnsi="微软雅黑" w:eastAsia="微软雅黑" w:cs="微软雅黑"/>
                <w:i/>
                <w:iCs/>
                <w:color w:val="000000"/>
                <w:sz w:val="16"/>
                <w:szCs w:val="16"/>
                <w:u w:val="none"/>
              </w:rPr>
            </w:pPr>
          </w:p>
        </w:tc>
      </w:tr>
      <w:tr w14:paraId="322F3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977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9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897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2A91">
            <w:pPr>
              <w:rPr>
                <w:rFonts w:hint="eastAsia" w:ascii="宋体" w:hAnsi="宋体" w:eastAsia="宋体" w:cs="宋体"/>
                <w:i w:val="0"/>
                <w:iCs w:val="0"/>
                <w:color w:val="000000"/>
                <w:sz w:val="18"/>
                <w:szCs w:val="18"/>
                <w:u w:val="none"/>
              </w:rPr>
            </w:pPr>
          </w:p>
        </w:tc>
      </w:tr>
      <w:tr w14:paraId="3E42B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8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018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一是严格按照财政规定，做到专款专用，合理使用。二是整体上各项目能够按照工作进度支出，保障了各项项目工作的顺利开展。三是基本上达成年初项目预期绩效目标。</w:t>
            </w:r>
          </w:p>
        </w:tc>
      </w:tr>
      <w:tr w14:paraId="18069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0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B851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1.部分资金支付进度滞后。2.预算绩效管理理念有待提高。</w:t>
            </w:r>
          </w:p>
        </w:tc>
      </w:tr>
      <w:tr w14:paraId="5297C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2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7D30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完善制度、创新机制、加强管理、强化监督。保证资金使用管理的规范性、安全性和有效性。优化财政支出结构，提高财政资金使用效率。</w:t>
            </w:r>
          </w:p>
        </w:tc>
      </w:tr>
      <w:tr w14:paraId="42043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1657B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项目负责人：孟洪美</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1CCD5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财务负责人：马敏</w:t>
            </w:r>
          </w:p>
        </w:tc>
      </w:tr>
    </w:tbl>
    <w:p w14:paraId="6C5DF6CF">
      <w:pPr>
        <w:pStyle w:val="6"/>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br w:type="page"/>
      </w:r>
    </w:p>
    <w:p w14:paraId="303BCA4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eastAsia="方正小标宋_GBK" w:cs="方正小标宋_GBK"/>
          <w:sz w:val="44"/>
          <w:szCs w:val="44"/>
        </w:rPr>
      </w:pPr>
      <w:r>
        <w:rPr>
          <w:rFonts w:hint="eastAsia" w:ascii="方正小标宋_GBK" w:eastAsia="方正小标宋_GBK" w:cs="方正小标宋_GBK"/>
          <w:sz w:val="44"/>
          <w:szCs w:val="44"/>
        </w:rPr>
        <w:t>202</w:t>
      </w:r>
      <w:r>
        <w:rPr>
          <w:rFonts w:hint="eastAsia" w:ascii="方正小标宋_GBK" w:eastAsia="方正小标宋_GBK" w:cs="方正小标宋_GBK"/>
          <w:sz w:val="44"/>
          <w:szCs w:val="44"/>
          <w:lang w:val="en-US" w:eastAsia="zh-CN"/>
        </w:rPr>
        <w:t>4</w:t>
      </w:r>
      <w:r>
        <w:rPr>
          <w:rFonts w:hint="eastAsia" w:ascii="方正小标宋_GBK" w:eastAsia="方正小标宋_GBK" w:cs="方正小标宋_GBK"/>
          <w:sz w:val="44"/>
          <w:szCs w:val="44"/>
        </w:rPr>
        <w:t>年县级部门整体支出</w:t>
      </w:r>
    </w:p>
    <w:p w14:paraId="0831F567">
      <w:pPr>
        <w:keepNext w:val="0"/>
        <w:keepLines w:val="0"/>
        <w:widowControl/>
        <w:suppressLineNumbers w:val="0"/>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绩效评价报告</w:t>
      </w:r>
    </w:p>
    <w:p w14:paraId="77CA3FD6">
      <w:pPr>
        <w:pStyle w:val="16"/>
        <w:keepNext w:val="0"/>
        <w:keepLines w:val="0"/>
        <w:widowControl/>
        <w:suppressLineNumbers w:val="0"/>
      </w:pPr>
      <w:r>
        <w:rPr>
          <w:rFonts w:hint="eastAsia" w:ascii="黑体" w:eastAsia="黑体" w:cs="黑体"/>
          <w:color w:val="000000"/>
          <w:sz w:val="31"/>
          <w:szCs w:val="31"/>
        </w:rPr>
        <w:t>一、部门（单位）概况</w:t>
      </w:r>
    </w:p>
    <w:p w14:paraId="59C60533">
      <w:pPr>
        <w:widowControl/>
        <w:adjustRightInd w:val="0"/>
        <w:snapToGrid w:val="0"/>
        <w:spacing w:line="480" w:lineRule="exact"/>
        <w:ind w:left="0"/>
        <w:jc w:val="left"/>
        <w:rPr>
          <w:rFonts w:hint="eastAsia"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（一）机构组成。</w:t>
      </w:r>
    </w:p>
    <w:p w14:paraId="0F64D6DD">
      <w:pPr>
        <w:widowControl/>
        <w:adjustRightInd w:val="0"/>
        <w:snapToGrid w:val="0"/>
        <w:spacing w:line="480" w:lineRule="exact"/>
        <w:ind w:firstLine="720"/>
        <w:jc w:val="left"/>
        <w:rPr>
          <w:rFonts w:hint="eastAsia" w:ascii="仿宋_GB2312" w:eastAsia="仿宋_GB2312" w:cs="仿宋_GB2312"/>
          <w:color w:val="000000"/>
          <w:kern w:val="0"/>
          <w:sz w:val="31"/>
          <w:szCs w:val="31"/>
        </w:rPr>
      </w:pPr>
      <w:r>
        <w:rPr>
          <w:rFonts w:hint="eastAsia" w:ascii="仿宋_GB2312" w:eastAsia="仿宋_GB2312" w:cs="仿宋_GB2312"/>
          <w:color w:val="000000"/>
          <w:kern w:val="0"/>
          <w:sz w:val="31"/>
          <w:szCs w:val="31"/>
          <w:lang w:val="zh-CN"/>
        </w:rPr>
        <w:t>教育局机关属独立设置的</w:t>
      </w:r>
      <w:r>
        <w:rPr>
          <w:rFonts w:hint="eastAsia" w:ascii="仿宋_GB2312" w:eastAsia="仿宋_GB2312" w:cs="仿宋_GB2312"/>
          <w:color w:val="000000"/>
          <w:kern w:val="0"/>
          <w:sz w:val="31"/>
          <w:szCs w:val="31"/>
        </w:rPr>
        <w:t>1</w:t>
      </w:r>
      <w:r>
        <w:rPr>
          <w:rFonts w:hint="eastAsia" w:ascii="仿宋_GB2312" w:eastAsia="仿宋_GB2312" w:cs="仿宋_GB2312"/>
          <w:color w:val="000000"/>
          <w:kern w:val="0"/>
          <w:sz w:val="31"/>
          <w:szCs w:val="31"/>
          <w:lang w:val="zh-CN"/>
        </w:rPr>
        <w:t>个行政单位，属一级预算单位</w:t>
      </w:r>
      <w:r>
        <w:rPr>
          <w:rFonts w:ascii="仿宋_GB2312" w:eastAsia="仿宋_GB2312" w:cs="仿宋_GB2312"/>
          <w:color w:val="000000"/>
          <w:kern w:val="0"/>
          <w:sz w:val="31"/>
          <w:szCs w:val="31"/>
          <w:lang w:val="zh-CN"/>
        </w:rPr>
        <w:t>。</w:t>
      </w:r>
      <w:r>
        <w:rPr>
          <w:rFonts w:hint="eastAsia" w:ascii="仿宋_GB2312" w:eastAsia="仿宋_GB2312" w:cs="仿宋_GB2312"/>
          <w:color w:val="000000"/>
          <w:kern w:val="0"/>
          <w:sz w:val="31"/>
          <w:szCs w:val="31"/>
          <w:lang w:val="zh-CN"/>
        </w:rPr>
        <w:t>有独立设置的</w:t>
      </w:r>
      <w:r>
        <w:rPr>
          <w:rFonts w:hint="eastAsia" w:ascii="仿宋_GB2312" w:eastAsia="仿宋_GB2312" w:cs="仿宋_GB2312"/>
          <w:color w:val="000000"/>
          <w:kern w:val="0"/>
          <w:sz w:val="31"/>
          <w:szCs w:val="31"/>
        </w:rPr>
        <w:t>2</w:t>
      </w:r>
      <w:r>
        <w:rPr>
          <w:rFonts w:ascii="仿宋_GB2312" w:eastAsia="仿宋_GB2312" w:cs="仿宋_GB2312"/>
          <w:color w:val="000000"/>
          <w:kern w:val="0"/>
          <w:sz w:val="31"/>
          <w:szCs w:val="31"/>
        </w:rPr>
        <w:t>2</w:t>
      </w:r>
      <w:r>
        <w:rPr>
          <w:rFonts w:hint="eastAsia" w:ascii="仿宋_GB2312" w:eastAsia="仿宋_GB2312" w:cs="仿宋_GB2312"/>
          <w:color w:val="000000"/>
          <w:kern w:val="0"/>
          <w:sz w:val="31"/>
          <w:szCs w:val="31"/>
        </w:rPr>
        <w:t>所中小学校，属财政全额拨款二级预算事业单位。</w:t>
      </w:r>
    </w:p>
    <w:p w14:paraId="7F928948">
      <w:pPr>
        <w:widowControl/>
        <w:adjustRightInd w:val="0"/>
        <w:snapToGrid w:val="0"/>
        <w:spacing w:line="480" w:lineRule="exact"/>
        <w:ind w:left="0"/>
        <w:jc w:val="left"/>
        <w:rPr>
          <w:rFonts w:hint="eastAsia"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（二）机构职能。</w:t>
      </w:r>
    </w:p>
    <w:p w14:paraId="566E7EE1">
      <w:pPr>
        <w:widowControl/>
        <w:adjustRightInd w:val="0"/>
        <w:snapToGrid w:val="0"/>
        <w:spacing w:line="480" w:lineRule="exact"/>
        <w:ind w:firstLine="720"/>
        <w:jc w:val="left"/>
        <w:rPr>
          <w:rFonts w:hint="eastAsia"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金川县教育局是在县委、县政府领导下贯彻党的教育方针，为全县中小学搞好经费保障。指导学校教育教学工作，学校布局调整和教育长远规划。组织实施学校校舍建设和教学仪器设备购置。中小学经费的分配和监督管理。</w:t>
      </w:r>
    </w:p>
    <w:p w14:paraId="2B6B44B0">
      <w:pPr>
        <w:snapToGrid w:val="0"/>
        <w:spacing w:line="360" w:lineRule="auto"/>
        <w:ind w:left="0"/>
        <w:rPr>
          <w:rFonts w:hint="eastAsia"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（三）人员概况。</w:t>
      </w:r>
    </w:p>
    <w:p w14:paraId="4E7F17D7">
      <w:pPr>
        <w:snapToGrid w:val="0"/>
        <w:spacing w:line="360" w:lineRule="auto"/>
        <w:ind w:firstLine="620" w:firstLineChars="200"/>
        <w:rPr>
          <w:rFonts w:hint="eastAsia" w:ascii="仿宋_GB2312" w:hAnsi="仿宋_GB2312" w:cs="宋体"/>
          <w:color w:val="000000"/>
          <w:kern w:val="0"/>
          <w:lang w:val="zh-CN"/>
        </w:rPr>
      </w:pPr>
      <w:r>
        <w:rPr>
          <w:rFonts w:hint="eastAsia" w:ascii="仿宋_GB2312" w:eastAsia="仿宋_GB2312" w:cs="仿宋_GB2312"/>
          <w:color w:val="000000"/>
          <w:kern w:val="0"/>
          <w:sz w:val="31"/>
          <w:szCs w:val="31"/>
          <w:lang w:val="zh-CN"/>
        </w:rPr>
        <w:t>20</w:t>
      </w:r>
      <w:r>
        <w:rPr>
          <w:rFonts w:ascii="仿宋_GB2312" w:eastAsia="仿宋_GB2312" w:cs="仿宋_GB2312"/>
          <w:color w:val="000000"/>
          <w:kern w:val="0"/>
          <w:sz w:val="31"/>
          <w:szCs w:val="31"/>
          <w:lang w:val="zh-CN"/>
        </w:rPr>
        <w:t>2</w:t>
      </w:r>
      <w:r>
        <w:rPr>
          <w:rFonts w:hint="eastAsia" w:ascii="仿宋_GB2312" w:eastAsia="仿宋_GB2312" w:cs="仿宋_GB2312"/>
          <w:color w:val="000000"/>
          <w:kern w:val="0"/>
          <w:sz w:val="31"/>
          <w:szCs w:val="31"/>
          <w:lang w:val="en-US" w:eastAsia="zh-CN"/>
        </w:rPr>
        <w:t>4</w:t>
      </w:r>
      <w:r>
        <w:rPr>
          <w:rFonts w:hint="eastAsia" w:ascii="仿宋_GB2312" w:eastAsia="仿宋_GB2312" w:cs="仿宋_GB2312"/>
          <w:color w:val="000000"/>
          <w:kern w:val="0"/>
          <w:sz w:val="31"/>
          <w:szCs w:val="31"/>
          <w:lang w:val="zh-CN"/>
        </w:rPr>
        <w:t>年编制</w:t>
      </w:r>
      <w:r>
        <w:rPr>
          <w:rFonts w:hint="eastAsia" w:ascii="仿宋_GB2312" w:eastAsia="仿宋_GB2312" w:cs="仿宋_GB2312"/>
          <w:color w:val="000000"/>
          <w:kern w:val="0"/>
          <w:sz w:val="31"/>
          <w:szCs w:val="31"/>
        </w:rPr>
        <w:t>10</w:t>
      </w:r>
      <w:r>
        <w:rPr>
          <w:rFonts w:hint="eastAsia" w:ascii="仿宋_GB2312" w:eastAsia="仿宋_GB2312" w:cs="仿宋_GB2312"/>
          <w:color w:val="000000"/>
          <w:kern w:val="0"/>
          <w:sz w:val="31"/>
          <w:szCs w:val="31"/>
          <w:lang w:val="en-US" w:eastAsia="zh-CN"/>
        </w:rPr>
        <w:t>76</w:t>
      </w:r>
      <w:r>
        <w:rPr>
          <w:rFonts w:hint="eastAsia" w:ascii="仿宋_GB2312" w:eastAsia="仿宋_GB2312" w:cs="仿宋_GB2312"/>
          <w:color w:val="000000"/>
          <w:kern w:val="0"/>
          <w:sz w:val="31"/>
          <w:szCs w:val="31"/>
          <w:lang w:val="zh-CN"/>
        </w:rPr>
        <w:t>人，行政编制</w:t>
      </w:r>
      <w:r>
        <w:rPr>
          <w:rFonts w:hint="eastAsia" w:ascii="仿宋_GB2312" w:eastAsia="仿宋_GB2312" w:cs="仿宋_GB2312"/>
          <w:color w:val="000000"/>
          <w:kern w:val="0"/>
          <w:sz w:val="31"/>
          <w:szCs w:val="31"/>
        </w:rPr>
        <w:t>10人，</w:t>
      </w:r>
      <w:r>
        <w:rPr>
          <w:rFonts w:hint="eastAsia" w:ascii="仿宋_GB2312" w:eastAsia="仿宋_GB2312" w:cs="仿宋_GB2312"/>
          <w:color w:val="000000"/>
          <w:kern w:val="0"/>
          <w:sz w:val="31"/>
          <w:szCs w:val="31"/>
          <w:lang w:val="zh-CN"/>
        </w:rPr>
        <w:t>事业编制</w:t>
      </w:r>
      <w:r>
        <w:rPr>
          <w:rFonts w:hint="eastAsia" w:ascii="仿宋_GB2312" w:eastAsia="仿宋_GB2312" w:cs="仿宋_GB2312"/>
          <w:color w:val="000000"/>
          <w:kern w:val="0"/>
          <w:sz w:val="31"/>
          <w:szCs w:val="31"/>
        </w:rPr>
        <w:t>10</w:t>
      </w:r>
      <w:r>
        <w:rPr>
          <w:rFonts w:hint="eastAsia" w:ascii="仿宋_GB2312" w:eastAsia="仿宋_GB2312" w:cs="仿宋_GB2312"/>
          <w:color w:val="000000"/>
          <w:kern w:val="0"/>
          <w:sz w:val="31"/>
          <w:szCs w:val="31"/>
          <w:lang w:val="en-US" w:eastAsia="zh-CN"/>
        </w:rPr>
        <w:t>65</w:t>
      </w:r>
      <w:r>
        <w:rPr>
          <w:rFonts w:hint="eastAsia" w:ascii="仿宋_GB2312" w:eastAsia="仿宋_GB2312" w:cs="仿宋_GB2312"/>
          <w:color w:val="000000"/>
          <w:kern w:val="0"/>
          <w:sz w:val="31"/>
          <w:szCs w:val="31"/>
          <w:lang w:val="zh-CN"/>
        </w:rPr>
        <w:t>人。20</w:t>
      </w:r>
      <w:r>
        <w:rPr>
          <w:rFonts w:ascii="仿宋_GB2312" w:eastAsia="仿宋_GB2312" w:cs="仿宋_GB2312"/>
          <w:color w:val="000000"/>
          <w:kern w:val="0"/>
          <w:sz w:val="31"/>
          <w:szCs w:val="31"/>
          <w:lang w:val="zh-CN"/>
        </w:rPr>
        <w:t>2</w:t>
      </w:r>
      <w:r>
        <w:rPr>
          <w:rFonts w:hint="eastAsia" w:ascii="仿宋_GB2312" w:eastAsia="仿宋_GB2312" w:cs="仿宋_GB2312"/>
          <w:color w:val="000000"/>
          <w:kern w:val="0"/>
          <w:sz w:val="31"/>
          <w:szCs w:val="31"/>
          <w:lang w:val="en-US" w:eastAsia="zh-CN"/>
        </w:rPr>
        <w:t>4</w:t>
      </w:r>
      <w:r>
        <w:rPr>
          <w:rFonts w:hint="eastAsia" w:ascii="仿宋_GB2312" w:eastAsia="仿宋_GB2312" w:cs="仿宋_GB2312"/>
          <w:color w:val="000000"/>
          <w:kern w:val="0"/>
          <w:sz w:val="31"/>
          <w:szCs w:val="31"/>
          <w:lang w:val="zh-CN"/>
        </w:rPr>
        <w:t>年在岗在职</w:t>
      </w:r>
      <w:r>
        <w:rPr>
          <w:rFonts w:hint="eastAsia" w:ascii="仿宋_GB2312" w:eastAsia="仿宋_GB2312" w:cs="仿宋_GB2312"/>
          <w:color w:val="000000"/>
          <w:kern w:val="0"/>
          <w:sz w:val="31"/>
          <w:szCs w:val="31"/>
          <w:lang w:val="en-US" w:eastAsia="zh-CN"/>
        </w:rPr>
        <w:t>975</w:t>
      </w:r>
      <w:r>
        <w:rPr>
          <w:rFonts w:hint="eastAsia" w:ascii="仿宋_GB2312" w:eastAsia="仿宋_GB2312" w:cs="仿宋_GB2312"/>
          <w:color w:val="000000"/>
          <w:kern w:val="0"/>
          <w:sz w:val="31"/>
          <w:szCs w:val="31"/>
          <w:lang w:val="zh-CN"/>
        </w:rPr>
        <w:t>人。</w:t>
      </w:r>
    </w:p>
    <w:p w14:paraId="65D0181C">
      <w:pPr>
        <w:pStyle w:val="16"/>
        <w:keepNext w:val="0"/>
        <w:keepLines w:val="0"/>
        <w:widowControl/>
        <w:suppressLineNumbers w:val="0"/>
      </w:pPr>
      <w:r>
        <w:rPr>
          <w:rFonts w:hint="eastAsia" w:ascii="黑体" w:eastAsia="黑体" w:cs="黑体"/>
          <w:color w:val="000000"/>
          <w:sz w:val="31"/>
          <w:szCs w:val="31"/>
        </w:rPr>
        <w:t>二、部门财政资金收支情况</w:t>
      </w:r>
    </w:p>
    <w:p w14:paraId="60C88AE0">
      <w:pPr>
        <w:widowControl/>
        <w:adjustRightInd w:val="0"/>
        <w:snapToGrid w:val="0"/>
        <w:spacing w:line="480" w:lineRule="exact"/>
        <w:ind w:left="0"/>
        <w:jc w:val="left"/>
        <w:rPr>
          <w:rFonts w:hint="eastAsia" w:ascii="仿宋_GB2312" w:eastAsia="仿宋_GB2312" w:cs="仿宋_GB2312"/>
          <w:color w:val="000000"/>
          <w:kern w:val="0"/>
          <w:sz w:val="31"/>
          <w:szCs w:val="31"/>
        </w:rPr>
      </w:pPr>
      <w:r>
        <w:rPr>
          <w:rFonts w:hint="eastAsia" w:ascii="仿宋_GB2312" w:eastAsia="仿宋_GB2312" w:cs="仿宋_GB2312"/>
          <w:color w:val="000000"/>
          <w:kern w:val="0"/>
          <w:sz w:val="31"/>
          <w:szCs w:val="31"/>
        </w:rPr>
        <w:t>（一）部门财政资金收入情况。</w:t>
      </w:r>
    </w:p>
    <w:p w14:paraId="21895FED">
      <w:pPr>
        <w:ind w:firstLine="620" w:firstLineChars="200"/>
        <w:rPr>
          <w:rFonts w:hint="eastAsia" w:ascii="仿宋_GB2312" w:eastAsia="仿宋_GB2312" w:cs="仿宋_GB2312"/>
          <w:color w:val="000000"/>
          <w:kern w:val="0"/>
          <w:sz w:val="31"/>
          <w:szCs w:val="31"/>
        </w:rPr>
      </w:pPr>
      <w:r>
        <w:rPr>
          <w:rFonts w:hint="eastAsia" w:ascii="仿宋_GB2312" w:eastAsia="仿宋_GB2312" w:cs="仿宋_GB2312"/>
          <w:color w:val="000000"/>
          <w:kern w:val="0"/>
          <w:sz w:val="31"/>
          <w:szCs w:val="31"/>
        </w:rPr>
        <w:t>20</w:t>
      </w:r>
      <w:r>
        <w:rPr>
          <w:rFonts w:ascii="仿宋_GB2312" w:eastAsia="仿宋_GB2312" w:cs="仿宋_GB2312"/>
          <w:color w:val="000000"/>
          <w:kern w:val="0"/>
          <w:sz w:val="31"/>
          <w:szCs w:val="31"/>
        </w:rPr>
        <w:t>2</w:t>
      </w:r>
      <w:r>
        <w:rPr>
          <w:rFonts w:hint="eastAsia" w:ascii="仿宋_GB2312" w:eastAsia="仿宋_GB2312" w:cs="仿宋_GB2312"/>
          <w:color w:val="000000"/>
          <w:kern w:val="0"/>
          <w:sz w:val="31"/>
          <w:szCs w:val="31"/>
          <w:lang w:val="en-US" w:eastAsia="zh-CN"/>
        </w:rPr>
        <w:t>4</w:t>
      </w:r>
      <w:r>
        <w:rPr>
          <w:rFonts w:hint="eastAsia" w:ascii="仿宋_GB2312" w:eastAsia="仿宋_GB2312" w:cs="仿宋_GB2312"/>
          <w:color w:val="000000"/>
          <w:kern w:val="0"/>
          <w:sz w:val="31"/>
          <w:szCs w:val="31"/>
        </w:rPr>
        <w:t>年收入</w:t>
      </w:r>
      <w:r>
        <w:rPr>
          <w:rFonts w:hint="eastAsia" w:ascii="仿宋_GB2312" w:hAnsi="仿宋_GB2312" w:eastAsia="仿宋_GB2312" w:cs="仿宋_GB2312"/>
          <w:sz w:val="32"/>
          <w:szCs w:val="32"/>
        </w:rPr>
        <w:t>38245.21</w:t>
      </w:r>
      <w:r>
        <w:rPr>
          <w:rFonts w:hint="eastAsia" w:ascii="仿宋_GB2312" w:hAnsi="仿宋_GB2312" w:eastAsia="仿宋_GB2312" w:cs="仿宋_GB2312"/>
          <w:sz w:val="32"/>
          <w:szCs w:val="32"/>
          <w:lang w:val="en-US" w:eastAsia="zh-CN"/>
        </w:rPr>
        <w:t>万</w:t>
      </w:r>
      <w:r>
        <w:rPr>
          <w:rFonts w:hint="eastAsia" w:ascii="仿宋_GB2312" w:eastAsia="仿宋_GB2312" w:cs="仿宋_GB2312"/>
          <w:color w:val="000000"/>
          <w:kern w:val="0"/>
          <w:sz w:val="31"/>
          <w:szCs w:val="31"/>
        </w:rPr>
        <w:t>元。</w:t>
      </w:r>
    </w:p>
    <w:p w14:paraId="4AD4535C">
      <w:pPr>
        <w:widowControl/>
        <w:adjustRightInd w:val="0"/>
        <w:snapToGrid w:val="0"/>
        <w:spacing w:line="480" w:lineRule="exact"/>
        <w:ind w:left="0"/>
        <w:jc w:val="left"/>
        <w:rPr>
          <w:rFonts w:hint="eastAsia" w:ascii="仿宋_GB2312" w:eastAsia="仿宋_GB2312" w:cs="仿宋_GB2312"/>
          <w:color w:val="000000"/>
          <w:kern w:val="0"/>
          <w:sz w:val="31"/>
          <w:szCs w:val="31"/>
        </w:rPr>
      </w:pPr>
      <w:r>
        <w:rPr>
          <w:rFonts w:hint="eastAsia" w:ascii="仿宋_GB2312" w:eastAsia="仿宋_GB2312" w:cs="仿宋_GB2312"/>
          <w:color w:val="000000"/>
          <w:kern w:val="0"/>
          <w:sz w:val="31"/>
          <w:szCs w:val="31"/>
        </w:rPr>
        <w:t>（二）部门财政资金支出情况。</w:t>
      </w:r>
    </w:p>
    <w:p w14:paraId="397A5302">
      <w:pPr>
        <w:pStyle w:val="16"/>
        <w:keepNext w:val="0"/>
        <w:keepLines w:val="0"/>
        <w:widowControl/>
        <w:suppressLineNumbers w:val="0"/>
        <w:ind w:left="0" w:firstLine="640"/>
      </w:pPr>
      <w:r>
        <w:rPr>
          <w:rFonts w:ascii="仿宋_GB2312" w:eastAsia="仿宋_GB2312" w:cs="仿宋_GB2312"/>
          <w:color w:val="000000"/>
          <w:sz w:val="31"/>
          <w:szCs w:val="31"/>
        </w:rPr>
        <w:t>202</w:t>
      </w:r>
      <w:r>
        <w:rPr>
          <w:rFonts w:hint="eastAsia" w:ascii="仿宋_GB2312" w:eastAsia="仿宋_GB2312" w:cs="仿宋_GB2312"/>
          <w:color w:val="000000"/>
          <w:sz w:val="31"/>
          <w:szCs w:val="31"/>
          <w:lang w:val="en-US" w:eastAsia="zh-CN"/>
        </w:rPr>
        <w:t>4</w:t>
      </w:r>
      <w:r>
        <w:rPr>
          <w:rFonts w:ascii="仿宋_GB2312" w:eastAsia="仿宋_GB2312" w:cs="仿宋_GB2312"/>
          <w:color w:val="000000"/>
          <w:sz w:val="31"/>
          <w:szCs w:val="31"/>
        </w:rPr>
        <w:t>年支出</w:t>
      </w:r>
      <w:r>
        <w:rPr>
          <w:rFonts w:hint="eastAsia" w:ascii="仿宋_GB2312" w:hAnsi="仿宋_GB2312" w:eastAsia="仿宋_GB2312" w:cs="仿宋_GB2312"/>
          <w:sz w:val="32"/>
          <w:szCs w:val="32"/>
        </w:rPr>
        <w:t>38245.21</w:t>
      </w:r>
      <w:r>
        <w:rPr>
          <w:rFonts w:hint="eastAsia" w:ascii="仿宋_GB2312" w:hAnsi="仿宋_GB2312" w:eastAsia="仿宋_GB2312" w:cs="仿宋_GB2312"/>
          <w:sz w:val="32"/>
          <w:szCs w:val="32"/>
          <w:lang w:val="en-US" w:eastAsia="zh-CN"/>
        </w:rPr>
        <w:t>万</w:t>
      </w:r>
      <w:r>
        <w:rPr>
          <w:rFonts w:ascii="仿宋_GB2312" w:eastAsia="仿宋_GB2312" w:cs="仿宋_GB2312"/>
          <w:color w:val="000000"/>
          <w:sz w:val="31"/>
          <w:szCs w:val="31"/>
        </w:rPr>
        <w:t>元，其中：工资福利支出</w:t>
      </w:r>
      <w:r>
        <w:rPr>
          <w:rFonts w:hint="eastAsia" w:ascii="仿宋_GB2312" w:eastAsia="仿宋_GB2312" w:cs="仿宋_GB2312"/>
          <w:color w:val="000000"/>
          <w:sz w:val="31"/>
          <w:szCs w:val="31"/>
        </w:rPr>
        <w:t>25,137.33</w:t>
      </w:r>
      <w:r>
        <w:rPr>
          <w:rFonts w:hint="eastAsia" w:ascii="仿宋_GB2312" w:eastAsia="仿宋_GB2312" w:cs="仿宋_GB2312"/>
          <w:color w:val="000000"/>
          <w:sz w:val="31"/>
          <w:szCs w:val="31"/>
          <w:lang w:val="en-US" w:eastAsia="zh-CN"/>
        </w:rPr>
        <w:t>万</w:t>
      </w:r>
      <w:r>
        <w:rPr>
          <w:rFonts w:ascii="仿宋_GB2312" w:eastAsia="仿宋_GB2312" w:cs="仿宋_GB2312"/>
          <w:color w:val="000000"/>
          <w:sz w:val="31"/>
          <w:szCs w:val="31"/>
        </w:rPr>
        <w:t>元，商品与服务支出</w:t>
      </w:r>
      <w:r>
        <w:rPr>
          <w:rFonts w:hint="eastAsia" w:ascii="仿宋_GB2312" w:eastAsia="仿宋_GB2312" w:cs="仿宋_GB2312"/>
          <w:color w:val="000000"/>
          <w:sz w:val="31"/>
          <w:szCs w:val="31"/>
        </w:rPr>
        <w:t>2,480.06</w:t>
      </w:r>
      <w:r>
        <w:rPr>
          <w:rFonts w:hint="eastAsia" w:ascii="仿宋_GB2312" w:eastAsia="仿宋_GB2312" w:cs="仿宋_GB2312"/>
          <w:color w:val="000000"/>
          <w:sz w:val="31"/>
          <w:szCs w:val="31"/>
          <w:lang w:val="en-US" w:eastAsia="zh-CN"/>
        </w:rPr>
        <w:t>万</w:t>
      </w:r>
      <w:r>
        <w:rPr>
          <w:rFonts w:ascii="仿宋_GB2312" w:eastAsia="仿宋_GB2312" w:cs="仿宋_GB2312"/>
          <w:color w:val="000000"/>
          <w:sz w:val="31"/>
          <w:szCs w:val="31"/>
        </w:rPr>
        <w:t>元，对个人和家庭的补助支出</w:t>
      </w:r>
      <w:r>
        <w:rPr>
          <w:rFonts w:hint="eastAsia" w:ascii="仿宋_GB2312" w:eastAsia="仿宋_GB2312" w:cs="仿宋_GB2312"/>
          <w:color w:val="000000"/>
          <w:sz w:val="31"/>
          <w:szCs w:val="31"/>
        </w:rPr>
        <w:t>2,557.94</w:t>
      </w:r>
      <w:r>
        <w:rPr>
          <w:rFonts w:hint="eastAsia" w:ascii="仿宋_GB2312" w:eastAsia="仿宋_GB2312" w:cs="仿宋_GB2312"/>
          <w:color w:val="000000"/>
          <w:sz w:val="31"/>
          <w:szCs w:val="31"/>
          <w:lang w:val="en-US" w:eastAsia="zh-CN"/>
        </w:rPr>
        <w:t>万</w:t>
      </w:r>
      <w:r>
        <w:rPr>
          <w:rFonts w:ascii="仿宋_GB2312" w:eastAsia="仿宋_GB2312" w:cs="仿宋_GB2312"/>
          <w:color w:val="000000"/>
          <w:sz w:val="31"/>
          <w:szCs w:val="31"/>
        </w:rPr>
        <w:t>元，基本建设支出</w:t>
      </w:r>
      <w:r>
        <w:rPr>
          <w:rFonts w:hint="eastAsia" w:ascii="仿宋_GB2312" w:eastAsia="仿宋_GB2312" w:cs="仿宋_GB2312"/>
          <w:color w:val="000000"/>
          <w:sz w:val="31"/>
          <w:szCs w:val="31"/>
        </w:rPr>
        <w:t>4,232.83</w:t>
      </w:r>
      <w:r>
        <w:rPr>
          <w:rFonts w:hint="eastAsia" w:ascii="仿宋_GB2312" w:eastAsia="仿宋_GB2312" w:cs="仿宋_GB2312"/>
          <w:color w:val="000000"/>
          <w:sz w:val="31"/>
          <w:szCs w:val="31"/>
          <w:lang w:val="en-US" w:eastAsia="zh-CN"/>
        </w:rPr>
        <w:t>万</w:t>
      </w:r>
      <w:r>
        <w:rPr>
          <w:rFonts w:ascii="仿宋_GB2312" w:eastAsia="仿宋_GB2312" w:cs="仿宋_GB2312"/>
          <w:color w:val="000000"/>
          <w:sz w:val="31"/>
          <w:szCs w:val="31"/>
        </w:rPr>
        <w:t>元，其他资本性支出</w:t>
      </w:r>
      <w:r>
        <w:rPr>
          <w:rFonts w:hint="eastAsia" w:ascii="仿宋_GB2312" w:eastAsia="仿宋_GB2312" w:cs="仿宋_GB2312"/>
          <w:color w:val="000000"/>
          <w:sz w:val="31"/>
          <w:szCs w:val="31"/>
        </w:rPr>
        <w:t>3,837.06</w:t>
      </w:r>
      <w:r>
        <w:rPr>
          <w:rFonts w:hint="eastAsia" w:ascii="仿宋_GB2312" w:eastAsia="仿宋_GB2312" w:cs="仿宋_GB2312"/>
          <w:color w:val="000000"/>
          <w:sz w:val="31"/>
          <w:szCs w:val="31"/>
          <w:lang w:val="en-US" w:eastAsia="zh-CN"/>
        </w:rPr>
        <w:t>万</w:t>
      </w:r>
      <w:r>
        <w:rPr>
          <w:rFonts w:ascii="仿宋_GB2312" w:eastAsia="仿宋_GB2312" w:cs="仿宋_GB2312"/>
          <w:color w:val="000000"/>
          <w:sz w:val="31"/>
          <w:szCs w:val="31"/>
        </w:rPr>
        <w:t>元。</w:t>
      </w:r>
    </w:p>
    <w:p w14:paraId="7C7B4247">
      <w:pPr>
        <w:pStyle w:val="16"/>
        <w:keepNext w:val="0"/>
        <w:keepLines w:val="0"/>
        <w:widowControl/>
        <w:suppressLineNumbers w:val="0"/>
        <w:rPr>
          <w:rFonts w:ascii="黑体" w:eastAsia="黑体" w:cs="黑体"/>
          <w:color w:val="000000"/>
          <w:sz w:val="31"/>
          <w:szCs w:val="31"/>
        </w:rPr>
      </w:pPr>
      <w:r>
        <w:rPr>
          <w:rFonts w:hint="eastAsia" w:ascii="黑体" w:eastAsia="黑体" w:cs="黑体"/>
          <w:color w:val="000000"/>
          <w:sz w:val="31"/>
          <w:szCs w:val="31"/>
        </w:rPr>
        <w:t>三、部门整体预算绩效管理情况</w:t>
      </w:r>
    </w:p>
    <w:p w14:paraId="727C4625">
      <w:pPr>
        <w:pStyle w:val="16"/>
        <w:keepNext w:val="0"/>
        <w:keepLines w:val="0"/>
        <w:widowControl/>
        <w:suppressLineNumbers w:val="0"/>
      </w:pPr>
      <w:r>
        <w:rPr>
          <w:rFonts w:hint="eastAsia" w:ascii="仿宋_GB2312" w:eastAsia="仿宋_GB2312" w:cs="仿宋_GB2312"/>
          <w:color w:val="000000"/>
          <w:sz w:val="31"/>
          <w:szCs w:val="31"/>
        </w:rPr>
        <w:t>（一）部门预算管理。</w:t>
      </w:r>
    </w:p>
    <w:p w14:paraId="32F21AB3">
      <w:pPr>
        <w:widowControl/>
        <w:adjustRightInd w:val="0"/>
        <w:snapToGrid w:val="0"/>
        <w:spacing w:line="480" w:lineRule="exact"/>
        <w:ind w:left="0"/>
        <w:jc w:val="left"/>
        <w:rPr>
          <w:rFonts w:ascii="仿宋_GB2312" w:eastAsia="仿宋_GB2312" w:cs="仿宋_GB2312"/>
          <w:color w:val="000000"/>
          <w:kern w:val="0"/>
          <w:sz w:val="31"/>
          <w:szCs w:val="31"/>
          <w:lang w:val="zh-CN"/>
        </w:rPr>
      </w:pPr>
      <w:r>
        <w:rPr>
          <w:rFonts w:ascii="仿宋_GB2312" w:eastAsia="仿宋_GB2312" w:cs="仿宋_GB2312"/>
          <w:color w:val="000000"/>
          <w:kern w:val="0"/>
          <w:sz w:val="31"/>
          <w:szCs w:val="31"/>
          <w:lang w:val="zh-CN"/>
        </w:rPr>
        <w:t>1.</w:t>
      </w:r>
      <w:r>
        <w:rPr>
          <w:rFonts w:hint="eastAsia" w:ascii="仿宋_GB2312" w:eastAsia="仿宋_GB2312" w:cs="仿宋_GB2312"/>
          <w:color w:val="000000"/>
          <w:kern w:val="0"/>
          <w:sz w:val="31"/>
          <w:szCs w:val="31"/>
          <w:lang w:val="zh-CN"/>
        </w:rPr>
        <w:t>预算编制情况。</w:t>
      </w:r>
    </w:p>
    <w:p w14:paraId="38F024A1">
      <w:pPr>
        <w:widowControl/>
        <w:adjustRightInd w:val="0"/>
        <w:snapToGrid w:val="0"/>
        <w:spacing w:line="480" w:lineRule="exact"/>
        <w:ind w:firstLine="720"/>
        <w:jc w:val="left"/>
        <w:rPr>
          <w:rFonts w:hint="eastAsia"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预算编制一是人员经费，根据教育系统实有人数进行预算编制。二是公用经费，根据在职教职工人数进行预算编制。</w:t>
      </w:r>
    </w:p>
    <w:p w14:paraId="53B08322">
      <w:pPr>
        <w:widowControl/>
        <w:adjustRightInd w:val="0"/>
        <w:snapToGrid w:val="0"/>
        <w:spacing w:line="480" w:lineRule="exact"/>
        <w:jc w:val="left"/>
        <w:rPr>
          <w:rFonts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三是县级配套资金，根据各级文件需要纳入年初预算的经费按文件规定进行预算编制。并对纳入年初预算的经费进行了目标绩效填报。</w:t>
      </w:r>
    </w:p>
    <w:p w14:paraId="4357EFB2">
      <w:pPr>
        <w:widowControl/>
        <w:adjustRightInd w:val="0"/>
        <w:snapToGrid w:val="0"/>
        <w:spacing w:line="480" w:lineRule="exact"/>
        <w:ind w:left="0"/>
        <w:jc w:val="left"/>
        <w:rPr>
          <w:rFonts w:ascii="仿宋_GB2312" w:eastAsia="仿宋_GB2312" w:cs="仿宋_GB2312"/>
          <w:color w:val="000000"/>
          <w:kern w:val="0"/>
          <w:sz w:val="31"/>
          <w:szCs w:val="31"/>
          <w:lang w:val="zh-CN"/>
        </w:rPr>
      </w:pPr>
      <w:r>
        <w:rPr>
          <w:rFonts w:ascii="仿宋_GB2312" w:eastAsia="仿宋_GB2312" w:cs="仿宋_GB2312"/>
          <w:color w:val="000000"/>
          <w:kern w:val="0"/>
          <w:sz w:val="31"/>
          <w:szCs w:val="31"/>
          <w:lang w:val="zh-CN"/>
        </w:rPr>
        <w:t>2.</w:t>
      </w:r>
      <w:r>
        <w:rPr>
          <w:rFonts w:hint="eastAsia" w:ascii="仿宋_GB2312" w:eastAsia="仿宋_GB2312" w:cs="仿宋_GB2312"/>
          <w:color w:val="000000"/>
          <w:kern w:val="0"/>
          <w:sz w:val="31"/>
          <w:szCs w:val="31"/>
          <w:lang w:val="zh-CN"/>
        </w:rPr>
        <w:t>执行管理情况。</w:t>
      </w:r>
      <w:r>
        <w:rPr>
          <w:rFonts w:ascii="仿宋_GB2312" w:eastAsia="仿宋_GB2312" w:cs="仿宋_GB2312"/>
          <w:color w:val="000000"/>
          <w:kern w:val="0"/>
          <w:sz w:val="31"/>
          <w:szCs w:val="31"/>
          <w:lang w:val="zh-CN"/>
        </w:rPr>
        <w:tab/>
      </w:r>
    </w:p>
    <w:p w14:paraId="462FE05C">
      <w:pPr>
        <w:widowControl/>
        <w:adjustRightInd w:val="0"/>
        <w:snapToGrid w:val="0"/>
        <w:spacing w:line="480" w:lineRule="exact"/>
        <w:ind w:firstLine="720"/>
        <w:jc w:val="left"/>
        <w:rPr>
          <w:rFonts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州级财力专项预算分配当年完成、中央专款分配合规率</w:t>
      </w:r>
      <w:r>
        <w:rPr>
          <w:rFonts w:hint="eastAsia" w:ascii="仿宋_GB2312" w:eastAsia="仿宋_GB2312" w:cs="仿宋_GB2312"/>
          <w:color w:val="000000"/>
          <w:kern w:val="0"/>
          <w:sz w:val="31"/>
          <w:szCs w:val="31"/>
        </w:rPr>
        <w:t>100%</w:t>
      </w:r>
      <w:r>
        <w:rPr>
          <w:rFonts w:hint="eastAsia" w:ascii="仿宋_GB2312" w:eastAsia="仿宋_GB2312" w:cs="仿宋_GB2312"/>
          <w:color w:val="000000"/>
          <w:kern w:val="0"/>
          <w:sz w:val="31"/>
          <w:szCs w:val="31"/>
          <w:lang w:val="zh-CN"/>
        </w:rPr>
        <w:t>、部门预算执行进度按期完成当年年初预算任务、中期对预算执行情况进行了评估、节能降耗积极推行无纸化办公、开展校内垃圾分类、节约用水、用电等。“三公”经费严格按照年初预算执行，未出现超预算情况。</w:t>
      </w:r>
    </w:p>
    <w:p w14:paraId="60B475E4">
      <w:pPr>
        <w:widowControl/>
        <w:adjustRightInd w:val="0"/>
        <w:snapToGrid w:val="0"/>
        <w:spacing w:line="480" w:lineRule="exact"/>
        <w:ind w:left="0"/>
        <w:jc w:val="left"/>
        <w:rPr>
          <w:rFonts w:ascii="仿宋_GB2312" w:eastAsia="仿宋_GB2312" w:cs="仿宋_GB2312"/>
          <w:color w:val="000000"/>
          <w:kern w:val="0"/>
          <w:sz w:val="31"/>
          <w:szCs w:val="31"/>
          <w:lang w:val="zh-CN"/>
        </w:rPr>
      </w:pPr>
      <w:r>
        <w:rPr>
          <w:rFonts w:ascii="仿宋_GB2312" w:eastAsia="仿宋_GB2312" w:cs="仿宋_GB2312"/>
          <w:color w:val="000000"/>
          <w:kern w:val="0"/>
          <w:sz w:val="31"/>
          <w:szCs w:val="31"/>
          <w:lang w:val="zh-CN"/>
        </w:rPr>
        <w:t>3.</w:t>
      </w:r>
      <w:r>
        <w:rPr>
          <w:rFonts w:hint="eastAsia" w:ascii="仿宋_GB2312" w:eastAsia="仿宋_GB2312" w:cs="仿宋_GB2312"/>
          <w:color w:val="000000"/>
          <w:kern w:val="0"/>
          <w:sz w:val="31"/>
          <w:szCs w:val="31"/>
          <w:lang w:val="zh-CN"/>
        </w:rPr>
        <w:t>综合管理情况。</w:t>
      </w:r>
    </w:p>
    <w:p w14:paraId="1DFD2DBA">
      <w:pPr>
        <w:widowControl/>
        <w:adjustRightInd w:val="0"/>
        <w:snapToGrid w:val="0"/>
        <w:spacing w:line="480" w:lineRule="exact"/>
        <w:ind w:firstLine="720"/>
        <w:jc w:val="left"/>
        <w:rPr>
          <w:rFonts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没有新增政府性债务，现我单位无政府性债务、严格按照政府采购目录实施采购计划、和流程，对各中小学校和机关资产进行了清理和入账，建立了内控制度管理，建立收支管理制度、会计档案管理制度、资产管理制度、合同管理制度、决策管理制度及相关制度流程，并实现了资产月报管理、对教育扶贫资金享受对象进行了公示、第三方审计公示对我单位扶贫、基建、设备采购等资金进行了绩效考评。</w:t>
      </w:r>
    </w:p>
    <w:p w14:paraId="00FAEA2D">
      <w:pPr>
        <w:widowControl/>
        <w:adjustRightInd w:val="0"/>
        <w:snapToGrid w:val="0"/>
        <w:spacing w:line="480" w:lineRule="exact"/>
        <w:ind w:left="0"/>
        <w:jc w:val="left"/>
        <w:rPr>
          <w:rFonts w:ascii="仿宋_GB2312" w:eastAsia="仿宋_GB2312" w:cs="仿宋_GB2312"/>
          <w:color w:val="000000"/>
          <w:kern w:val="0"/>
          <w:sz w:val="31"/>
          <w:szCs w:val="31"/>
          <w:lang w:val="zh-CN"/>
        </w:rPr>
      </w:pPr>
      <w:r>
        <w:rPr>
          <w:rFonts w:ascii="仿宋_GB2312" w:eastAsia="仿宋_GB2312" w:cs="仿宋_GB2312"/>
          <w:color w:val="000000"/>
          <w:kern w:val="0"/>
          <w:sz w:val="31"/>
          <w:szCs w:val="31"/>
          <w:lang w:val="zh-CN"/>
        </w:rPr>
        <w:t>4.</w:t>
      </w:r>
      <w:r>
        <w:rPr>
          <w:rFonts w:hint="eastAsia" w:ascii="仿宋_GB2312" w:eastAsia="仿宋_GB2312" w:cs="仿宋_GB2312"/>
          <w:color w:val="000000"/>
          <w:kern w:val="0"/>
          <w:sz w:val="31"/>
          <w:szCs w:val="31"/>
          <w:lang w:val="zh-CN"/>
        </w:rPr>
        <w:t>整体绩效。</w:t>
      </w:r>
    </w:p>
    <w:p w14:paraId="182C014A">
      <w:pPr>
        <w:snapToGrid w:val="0"/>
        <w:spacing w:line="360" w:lineRule="auto"/>
        <w:rPr>
          <w:rFonts w:hint="eastAsia" w:ascii="仿宋_GB2312" w:eastAsia="仿宋_GB2312" w:cs="仿宋_GB2312"/>
          <w:color w:val="000000"/>
          <w:kern w:val="0"/>
          <w:sz w:val="31"/>
          <w:szCs w:val="31"/>
        </w:rPr>
      </w:pPr>
      <w:r>
        <w:rPr>
          <w:rFonts w:ascii="仿宋_GB2312" w:eastAsia="仿宋_GB2312" w:cs="仿宋_GB2312"/>
          <w:color w:val="000000"/>
          <w:kern w:val="0"/>
          <w:sz w:val="31"/>
          <w:szCs w:val="31"/>
        </w:rPr>
        <w:t>（1）</w:t>
      </w:r>
      <w:r>
        <w:rPr>
          <w:rFonts w:hint="eastAsia" w:ascii="仿宋_GB2312" w:eastAsia="仿宋_GB2312" w:cs="仿宋_GB2312"/>
          <w:color w:val="000000"/>
          <w:kern w:val="0"/>
          <w:sz w:val="31"/>
          <w:szCs w:val="31"/>
        </w:rPr>
        <w:t>齐心合力,努力做好教书育人方面的工作；</w:t>
      </w:r>
    </w:p>
    <w:p w14:paraId="0F5FFFF7">
      <w:pPr>
        <w:snapToGrid w:val="0"/>
        <w:spacing w:line="360" w:lineRule="auto"/>
        <w:rPr>
          <w:rFonts w:hint="eastAsia" w:ascii="仿宋_GB2312" w:eastAsia="仿宋_GB2312" w:cs="仿宋_GB2312"/>
          <w:color w:val="000000"/>
          <w:kern w:val="0"/>
          <w:sz w:val="31"/>
          <w:szCs w:val="31"/>
        </w:rPr>
      </w:pPr>
      <w:r>
        <w:rPr>
          <w:rFonts w:ascii="仿宋_GB2312" w:eastAsia="仿宋_GB2312" w:cs="仿宋_GB2312"/>
          <w:color w:val="000000"/>
          <w:kern w:val="0"/>
          <w:sz w:val="31"/>
          <w:szCs w:val="31"/>
        </w:rPr>
        <w:t>（2）</w:t>
      </w:r>
      <w:r>
        <w:rPr>
          <w:rFonts w:hint="eastAsia" w:ascii="仿宋_GB2312" w:eastAsia="仿宋_GB2312" w:cs="仿宋_GB2312"/>
          <w:color w:val="000000"/>
          <w:kern w:val="0"/>
          <w:sz w:val="31"/>
          <w:szCs w:val="31"/>
        </w:rPr>
        <w:t>竭尽全力, 认真做学校和学生工作；</w:t>
      </w:r>
    </w:p>
    <w:p w14:paraId="121FAAB3">
      <w:pPr>
        <w:snapToGrid w:val="0"/>
        <w:spacing w:line="360" w:lineRule="auto"/>
        <w:rPr>
          <w:rFonts w:hint="eastAsia" w:ascii="仿宋_GB2312" w:eastAsia="仿宋_GB2312" w:cs="仿宋_GB2312"/>
          <w:color w:val="000000"/>
          <w:kern w:val="0"/>
          <w:sz w:val="31"/>
          <w:szCs w:val="31"/>
        </w:rPr>
      </w:pPr>
      <w:r>
        <w:rPr>
          <w:rFonts w:ascii="仿宋_GB2312" w:eastAsia="仿宋_GB2312" w:cs="仿宋_GB2312"/>
          <w:color w:val="000000"/>
          <w:kern w:val="0"/>
          <w:sz w:val="31"/>
          <w:szCs w:val="31"/>
        </w:rPr>
        <w:t>（3）</w:t>
      </w:r>
      <w:r>
        <w:rPr>
          <w:rFonts w:hint="eastAsia" w:ascii="仿宋_GB2312" w:eastAsia="仿宋_GB2312" w:cs="仿宋_GB2312"/>
          <w:color w:val="000000"/>
          <w:kern w:val="0"/>
          <w:sz w:val="31"/>
          <w:szCs w:val="31"/>
        </w:rPr>
        <w:t>凝心聚力，用科学发展观统领教育各项工作；</w:t>
      </w:r>
    </w:p>
    <w:p w14:paraId="4013A747">
      <w:pPr>
        <w:pStyle w:val="16"/>
        <w:keepNext w:val="0"/>
        <w:keepLines w:val="0"/>
        <w:widowControl/>
        <w:suppressLineNumbers w:val="0"/>
        <w:rPr>
          <w:rFonts w:ascii="仿宋_GB2312" w:eastAsia="仿宋_GB2312" w:cs="仿宋_GB2312"/>
          <w:color w:val="000000"/>
          <w:sz w:val="31"/>
          <w:szCs w:val="31"/>
        </w:rPr>
      </w:pPr>
      <w:r>
        <w:rPr>
          <w:rFonts w:ascii="仿宋_GB2312" w:eastAsia="仿宋_GB2312" w:cs="仿宋_GB2312"/>
          <w:color w:val="000000"/>
          <w:kern w:val="0"/>
          <w:sz w:val="31"/>
          <w:szCs w:val="31"/>
        </w:rPr>
        <w:t>（4）</w:t>
      </w:r>
      <w:r>
        <w:rPr>
          <w:rFonts w:hint="eastAsia" w:ascii="仿宋_GB2312" w:eastAsia="仿宋_GB2312" w:cs="仿宋_GB2312"/>
          <w:color w:val="000000"/>
          <w:sz w:val="31"/>
          <w:szCs w:val="31"/>
        </w:rPr>
        <w:t>群策群力,有效地促进教育事业健康发展。</w:t>
      </w:r>
    </w:p>
    <w:p w14:paraId="4845AF1C">
      <w:pPr>
        <w:widowControl/>
        <w:adjustRightInd w:val="0"/>
        <w:snapToGrid w:val="0"/>
        <w:spacing w:line="480" w:lineRule="exact"/>
        <w:jc w:val="left"/>
        <w:rPr>
          <w:rFonts w:hint="eastAsia" w:ascii="仿宋_GB2312" w:eastAsia="仿宋_GB2312" w:cs="仿宋_GB2312"/>
          <w:color w:val="000000"/>
          <w:kern w:val="0"/>
          <w:sz w:val="31"/>
          <w:szCs w:val="31"/>
          <w:lang w:val="zh-CN"/>
        </w:rPr>
      </w:pPr>
      <w:r>
        <w:rPr>
          <w:rFonts w:ascii="仿宋_GB2312" w:hAnsi="仿宋_GB2312" w:cs="仿宋_GB2312"/>
          <w:color w:val="000000"/>
          <w:sz w:val="30"/>
          <w:szCs w:val="30"/>
          <w:shd w:val="clear" w:color="auto" w:fill="FFFFFF"/>
        </w:rPr>
        <w:t>（</w:t>
      </w:r>
      <w:r>
        <w:rPr>
          <w:rFonts w:hint="eastAsia" w:ascii="仿宋_GB2312" w:eastAsia="仿宋_GB2312" w:cs="仿宋_GB2312"/>
          <w:color w:val="000000"/>
          <w:kern w:val="0"/>
          <w:sz w:val="31"/>
          <w:szCs w:val="31"/>
          <w:lang w:val="zh-CN"/>
        </w:rPr>
        <w:t>5）严格审批报账制度和程序，保障资金安全。</w:t>
      </w:r>
    </w:p>
    <w:p w14:paraId="02D7FF1B">
      <w:pPr>
        <w:widowControl/>
        <w:adjustRightInd w:val="0"/>
        <w:snapToGrid w:val="0"/>
        <w:spacing w:line="480" w:lineRule="exact"/>
        <w:jc w:val="left"/>
        <w:rPr>
          <w:rFonts w:hint="eastAsia"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（6）第三方成都致远永道联合会计师事务所对我县202</w:t>
      </w:r>
      <w:r>
        <w:rPr>
          <w:rFonts w:hint="eastAsia" w:ascii="仿宋_GB2312" w:eastAsia="仿宋_GB2312" w:cs="仿宋_GB2312"/>
          <w:color w:val="000000"/>
          <w:kern w:val="0"/>
          <w:sz w:val="31"/>
          <w:szCs w:val="31"/>
          <w:lang w:val="en-US" w:eastAsia="zh-CN"/>
        </w:rPr>
        <w:t>4</w:t>
      </w:r>
      <w:r>
        <w:rPr>
          <w:rFonts w:hint="eastAsia" w:ascii="仿宋_GB2312" w:eastAsia="仿宋_GB2312" w:cs="仿宋_GB2312"/>
          <w:color w:val="000000"/>
          <w:kern w:val="0"/>
          <w:sz w:val="31"/>
          <w:szCs w:val="31"/>
          <w:lang w:val="zh-CN"/>
        </w:rPr>
        <w:t>年十五年教育经费保障机制资金等22项目进行了绩效评价，评价结果较满意。</w:t>
      </w:r>
    </w:p>
    <w:p w14:paraId="5F7B0294">
      <w:pPr>
        <w:pStyle w:val="16"/>
        <w:keepNext w:val="0"/>
        <w:keepLines w:val="0"/>
        <w:widowControl/>
        <w:suppressLineNumbers w:val="0"/>
        <w:rPr>
          <w:rFonts w:ascii="仿宋_GB2312" w:eastAsia="仿宋_GB2312" w:cs="仿宋_GB2312"/>
          <w:color w:val="000000"/>
          <w:sz w:val="31"/>
          <w:szCs w:val="31"/>
        </w:rPr>
      </w:pPr>
      <w:r>
        <w:rPr>
          <w:rFonts w:hint="eastAsia" w:ascii="仿宋_GB2312" w:eastAsia="仿宋_GB2312" w:cs="仿宋_GB2312"/>
          <w:color w:val="000000"/>
          <w:sz w:val="31"/>
          <w:szCs w:val="31"/>
        </w:rPr>
        <w:t>（二）结果应用情况。</w:t>
      </w:r>
    </w:p>
    <w:p w14:paraId="0F7FE350">
      <w:pPr>
        <w:pStyle w:val="16"/>
        <w:keepNext w:val="0"/>
        <w:keepLines w:val="0"/>
        <w:widowControl/>
        <w:suppressLineNumbers w:val="0"/>
        <w:ind w:left="0" w:firstLine="640"/>
      </w:pPr>
      <w:r>
        <w:rPr>
          <w:rFonts w:hint="eastAsia" w:ascii="仿宋_GB2312" w:eastAsia="仿宋_GB2312" w:cs="仿宋_GB2312"/>
          <w:color w:val="000000"/>
          <w:sz w:val="31"/>
          <w:szCs w:val="31"/>
        </w:rPr>
        <w:t>绩效自评</w:t>
      </w:r>
      <w:r>
        <w:rPr>
          <w:rFonts w:ascii="仿宋_GB2312" w:eastAsia="仿宋_GB2312" w:cs="仿宋_GB2312"/>
          <w:color w:val="000000"/>
          <w:sz w:val="31"/>
          <w:szCs w:val="31"/>
        </w:rPr>
        <w:t>在政府门户网站进行了</w:t>
      </w:r>
      <w:r>
        <w:rPr>
          <w:rFonts w:hint="eastAsia" w:ascii="仿宋_GB2312" w:eastAsia="仿宋_GB2312" w:cs="仿宋_GB2312"/>
          <w:color w:val="000000"/>
          <w:sz w:val="31"/>
          <w:szCs w:val="31"/>
        </w:rPr>
        <w:t>公开</w:t>
      </w:r>
      <w:r>
        <w:rPr>
          <w:rFonts w:ascii="仿宋_GB2312" w:eastAsia="仿宋_GB2312" w:cs="仿宋_GB2312"/>
          <w:color w:val="000000"/>
          <w:sz w:val="31"/>
          <w:szCs w:val="31"/>
        </w:rPr>
        <w:t>，对我局202</w:t>
      </w:r>
      <w:r>
        <w:rPr>
          <w:rFonts w:hint="eastAsia" w:ascii="仿宋_GB2312" w:eastAsia="仿宋_GB2312" w:cs="仿宋_GB2312"/>
          <w:color w:val="000000"/>
          <w:sz w:val="31"/>
          <w:szCs w:val="31"/>
          <w:lang w:val="en-US" w:eastAsia="zh-CN"/>
        </w:rPr>
        <w:t>3</w:t>
      </w:r>
      <w:r>
        <w:rPr>
          <w:rFonts w:ascii="仿宋_GB2312" w:eastAsia="仿宋_GB2312" w:cs="仿宋_GB2312"/>
          <w:color w:val="000000"/>
          <w:sz w:val="31"/>
          <w:szCs w:val="31"/>
        </w:rPr>
        <w:t>年城乡义务教育补助经费等12项绩效评价进行了整改。教育经费的投入改善了我县中小学办学条件，减轻了中小学生家庭经济负担，学生在校学得好、吃得好、住得好</w:t>
      </w:r>
      <w:r>
        <w:rPr>
          <w:rFonts w:hint="eastAsia" w:ascii="仿宋_GB2312" w:eastAsia="仿宋_GB2312" w:cs="仿宋_GB2312"/>
          <w:color w:val="000000"/>
          <w:sz w:val="31"/>
          <w:szCs w:val="31"/>
        </w:rPr>
        <w:t>。</w:t>
      </w:r>
      <w:r>
        <w:rPr>
          <w:rFonts w:ascii="仿宋_GB2312" w:eastAsia="仿宋_GB2312" w:cs="仿宋_GB2312"/>
          <w:color w:val="000000"/>
          <w:sz w:val="31"/>
          <w:szCs w:val="31"/>
        </w:rPr>
        <w:t>中小学教师工资福利待遇逐年上升。</w:t>
      </w:r>
    </w:p>
    <w:p w14:paraId="56FC0EE2">
      <w:pPr>
        <w:pStyle w:val="16"/>
        <w:keepNext w:val="0"/>
        <w:keepLines w:val="0"/>
        <w:widowControl/>
        <w:suppressLineNumbers w:val="0"/>
      </w:pPr>
      <w:r>
        <w:rPr>
          <w:rFonts w:hint="eastAsia" w:ascii="黑体" w:eastAsia="黑体" w:cs="黑体"/>
          <w:color w:val="000000"/>
          <w:sz w:val="31"/>
          <w:szCs w:val="31"/>
        </w:rPr>
        <w:t>四、评价结论及建议</w:t>
      </w:r>
    </w:p>
    <w:p w14:paraId="3441D4F7">
      <w:pPr>
        <w:widowControl/>
        <w:adjustRightInd w:val="0"/>
        <w:snapToGrid w:val="0"/>
        <w:spacing w:line="480" w:lineRule="exact"/>
        <w:ind w:left="0"/>
        <w:jc w:val="left"/>
        <w:rPr>
          <w:rFonts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（一）评价结论，项目按规操作，符合项目操作规范。</w:t>
      </w:r>
    </w:p>
    <w:p w14:paraId="31DEA584">
      <w:pPr>
        <w:widowControl/>
        <w:adjustRightInd w:val="0"/>
        <w:snapToGrid w:val="0"/>
        <w:spacing w:line="480" w:lineRule="exact"/>
        <w:ind w:left="0"/>
        <w:jc w:val="left"/>
        <w:rPr>
          <w:rFonts w:ascii="仿宋_GB2312" w:eastAsia="仿宋_GB2312" w:cs="仿宋_GB2312"/>
          <w:color w:val="000000"/>
          <w:kern w:val="0"/>
          <w:sz w:val="31"/>
          <w:szCs w:val="31"/>
          <w:lang w:val="zh-CN"/>
        </w:rPr>
      </w:pPr>
      <w:r>
        <w:rPr>
          <w:rFonts w:hint="eastAsia" w:ascii="仿宋_GB2312" w:eastAsia="仿宋_GB2312" w:cs="仿宋_GB2312"/>
          <w:color w:val="000000"/>
          <w:kern w:val="0"/>
          <w:sz w:val="31"/>
          <w:szCs w:val="31"/>
          <w:lang w:val="zh-CN"/>
        </w:rPr>
        <w:t>（二）存在问题，项目进度迟缓，资金支付进度不够。</w:t>
      </w:r>
    </w:p>
    <w:p w14:paraId="45A538E3">
      <w:pPr>
        <w:widowControl/>
        <w:adjustRightInd w:val="0"/>
        <w:snapToGrid w:val="0"/>
        <w:spacing w:line="480" w:lineRule="exact"/>
        <w:ind w:left="0"/>
        <w:jc w:val="left"/>
        <w:rPr>
          <w:rFonts w:ascii="仿宋_GB2312" w:hAnsi="仿宋_GB2312"/>
        </w:rPr>
      </w:pPr>
      <w:r>
        <w:rPr>
          <w:rFonts w:hint="eastAsia" w:ascii="仿宋_GB2312" w:eastAsia="仿宋_GB2312" w:cs="仿宋_GB2312"/>
          <w:color w:val="000000"/>
          <w:kern w:val="0"/>
          <w:sz w:val="31"/>
          <w:szCs w:val="31"/>
          <w:lang w:val="zh-CN"/>
        </w:rPr>
        <w:t>（三）改进建议，加快项目施工进度，进一步完善项目资料。</w:t>
      </w:r>
    </w:p>
    <w:p w14:paraId="560D82CD">
      <w:pPr>
        <w:pStyle w:val="6"/>
        <w:rPr>
          <w:rFonts w:hint="default" w:ascii="仿宋_GB2312" w:hAnsi="Times New Roman" w:eastAsia="仿宋_GB2312" w:cs="仿宋"/>
          <w:color w:val="000000"/>
          <w:kern w:val="0"/>
          <w:sz w:val="32"/>
          <w:szCs w:val="32"/>
          <w:lang w:val="en-US" w:eastAsia="zh-CN" w:bidi="ar-SA"/>
        </w:rPr>
      </w:pPr>
    </w:p>
    <w:p w14:paraId="33768981">
      <w:pPr>
        <w:pStyle w:val="6"/>
        <w:rPr>
          <w:rFonts w:hint="default" w:ascii="仿宋_GB2312" w:hAnsi="Times New Roman" w:eastAsia="仿宋_GB2312" w:cs="仿宋"/>
          <w:color w:val="000000"/>
          <w:kern w:val="0"/>
          <w:sz w:val="32"/>
          <w:szCs w:val="32"/>
          <w:lang w:val="en-US" w:eastAsia="zh-CN" w:bidi="ar-SA"/>
        </w:rPr>
      </w:pPr>
    </w:p>
    <w:p w14:paraId="567BC316">
      <w:pPr>
        <w:pStyle w:val="6"/>
        <w:rPr>
          <w:rFonts w:hint="default" w:ascii="仿宋_GB2312" w:hAnsi="Times New Roman" w:eastAsia="仿宋_GB2312" w:cs="仿宋"/>
          <w:color w:val="000000"/>
          <w:kern w:val="0"/>
          <w:sz w:val="32"/>
          <w:szCs w:val="32"/>
          <w:lang w:val="en-US" w:eastAsia="zh-CN" w:bidi="ar-SA"/>
        </w:rPr>
      </w:pPr>
    </w:p>
    <w:p w14:paraId="7E0B5160">
      <w:pPr>
        <w:pStyle w:val="6"/>
        <w:rPr>
          <w:rFonts w:hint="default" w:ascii="仿宋_GB2312" w:hAnsi="Times New Roman" w:eastAsia="仿宋_GB2312" w:cs="仿宋"/>
          <w:color w:val="000000"/>
          <w:kern w:val="0"/>
          <w:sz w:val="32"/>
          <w:szCs w:val="32"/>
          <w:lang w:val="en-US" w:eastAsia="zh-CN" w:bidi="ar-SA"/>
        </w:rPr>
      </w:pPr>
    </w:p>
    <w:p w14:paraId="61A259BF">
      <w:pPr>
        <w:pStyle w:val="6"/>
        <w:rPr>
          <w:rFonts w:hint="default" w:ascii="仿宋_GB2312" w:hAnsi="Times New Roman" w:eastAsia="仿宋_GB2312" w:cs="仿宋"/>
          <w:color w:val="000000"/>
          <w:kern w:val="0"/>
          <w:sz w:val="32"/>
          <w:szCs w:val="32"/>
          <w:lang w:val="en-US" w:eastAsia="zh-CN" w:bidi="ar-SA"/>
        </w:rPr>
      </w:pPr>
    </w:p>
    <w:p w14:paraId="466AF47D">
      <w:pPr>
        <w:pStyle w:val="6"/>
        <w:rPr>
          <w:rFonts w:hint="default" w:ascii="仿宋_GB2312" w:hAnsi="Times New Roman" w:eastAsia="仿宋_GB2312" w:cs="仿宋"/>
          <w:color w:val="000000"/>
          <w:kern w:val="0"/>
          <w:sz w:val="32"/>
          <w:szCs w:val="32"/>
          <w:lang w:val="en-US" w:eastAsia="zh-CN" w:bidi="ar-SA"/>
        </w:rPr>
      </w:pPr>
    </w:p>
    <w:p w14:paraId="3C6805B4">
      <w:pPr>
        <w:pStyle w:val="6"/>
        <w:rPr>
          <w:rFonts w:hint="default" w:ascii="仿宋_GB2312" w:hAnsi="Times New Roman" w:eastAsia="仿宋_GB2312" w:cs="仿宋"/>
          <w:color w:val="000000"/>
          <w:kern w:val="0"/>
          <w:sz w:val="32"/>
          <w:szCs w:val="32"/>
          <w:lang w:val="en-US" w:eastAsia="zh-CN" w:bidi="ar-SA"/>
        </w:rPr>
      </w:pPr>
    </w:p>
    <w:p w14:paraId="38EDCE9B">
      <w:pPr>
        <w:pStyle w:val="6"/>
        <w:rPr>
          <w:rFonts w:hint="default" w:ascii="仿宋_GB2312" w:hAnsi="Times New Roman" w:eastAsia="仿宋_GB2312" w:cs="仿宋"/>
          <w:color w:val="000000"/>
          <w:kern w:val="0"/>
          <w:sz w:val="32"/>
          <w:szCs w:val="32"/>
          <w:lang w:val="en-US" w:eastAsia="zh-CN" w:bidi="ar-SA"/>
        </w:rPr>
      </w:pPr>
    </w:p>
    <w:p w14:paraId="169F1863">
      <w:pPr>
        <w:pStyle w:val="6"/>
        <w:rPr>
          <w:rFonts w:hint="default" w:ascii="仿宋_GB2312" w:hAnsi="Times New Roman" w:eastAsia="仿宋_GB2312" w:cs="仿宋"/>
          <w:color w:val="000000"/>
          <w:kern w:val="0"/>
          <w:sz w:val="32"/>
          <w:szCs w:val="32"/>
          <w:lang w:val="en-US" w:eastAsia="zh-CN" w:bidi="ar-SA"/>
        </w:rPr>
      </w:pPr>
    </w:p>
    <w:p w14:paraId="34181D84">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6038A812">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tbl>
      <w:tblPr>
        <w:tblStyle w:val="17"/>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96"/>
        <w:gridCol w:w="1489"/>
        <w:gridCol w:w="1287"/>
        <w:gridCol w:w="1642"/>
        <w:gridCol w:w="378"/>
        <w:gridCol w:w="1217"/>
        <w:gridCol w:w="379"/>
        <w:gridCol w:w="791"/>
        <w:gridCol w:w="366"/>
        <w:gridCol w:w="331"/>
        <w:gridCol w:w="1857"/>
      </w:tblGrid>
      <w:tr w14:paraId="5F65F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11"/>
            <w:noWrap w:val="0"/>
            <w:vAlign w:val="center"/>
          </w:tcPr>
          <w:p w14:paraId="7EE96B76">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黑体" w:hAnsi="宋体" w:eastAsia="黑体" w:cs="黑体"/>
                <w:b/>
                <w:bCs/>
                <w:i w:val="0"/>
                <w:iCs w:val="0"/>
                <w:color w:val="000000"/>
                <w:kern w:val="0"/>
                <w:sz w:val="30"/>
                <w:szCs w:val="30"/>
                <w:u w:val="none"/>
                <w:lang w:val="en-US" w:eastAsia="zh-CN" w:bidi="ar"/>
              </w:rPr>
              <w:t>项目支出绩效自评表（2024年度）</w:t>
            </w:r>
          </w:p>
        </w:tc>
      </w:tr>
      <w:tr w14:paraId="59DDF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985" w:type="dxa"/>
            <w:gridSpan w:val="2"/>
            <w:tcBorders>
              <w:top w:val="single" w:color="000000" w:sz="4" w:space="0"/>
              <w:left w:val="single" w:color="000000" w:sz="4" w:space="0"/>
              <w:bottom w:val="single" w:color="000000" w:sz="4" w:space="0"/>
              <w:right w:val="single" w:color="000000" w:sz="4" w:space="0"/>
            </w:tcBorders>
            <w:noWrap w:val="0"/>
            <w:vAlign w:val="center"/>
          </w:tcPr>
          <w:p w14:paraId="7FBEF921">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项目名称</w:t>
            </w:r>
          </w:p>
        </w:tc>
        <w:tc>
          <w:tcPr>
            <w:tcW w:w="8248" w:type="dxa"/>
            <w:gridSpan w:val="9"/>
            <w:tcBorders>
              <w:top w:val="single" w:color="000000" w:sz="4" w:space="0"/>
              <w:left w:val="single" w:color="000000" w:sz="4" w:space="0"/>
              <w:bottom w:val="single" w:color="000000" w:sz="4" w:space="0"/>
              <w:right w:val="single" w:color="000000" w:sz="4" w:space="0"/>
            </w:tcBorders>
            <w:noWrap w:val="0"/>
            <w:vAlign w:val="center"/>
          </w:tcPr>
          <w:p w14:paraId="3B813BD4">
            <w:pPr>
              <w:keepNext w:val="0"/>
              <w:keepLines w:val="0"/>
              <w:widowControl/>
              <w:suppressLineNumbers w:val="0"/>
              <w:jc w:val="left"/>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雨露计划</w:t>
            </w:r>
          </w:p>
        </w:tc>
      </w:tr>
      <w:tr w14:paraId="616B1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985" w:type="dxa"/>
            <w:gridSpan w:val="2"/>
            <w:tcBorders>
              <w:top w:val="single" w:color="000000" w:sz="4" w:space="0"/>
              <w:left w:val="single" w:color="000000" w:sz="4" w:space="0"/>
              <w:bottom w:val="single" w:color="000000" w:sz="4" w:space="0"/>
              <w:right w:val="single" w:color="000000" w:sz="4" w:space="0"/>
            </w:tcBorders>
            <w:noWrap w:val="0"/>
            <w:vAlign w:val="center"/>
          </w:tcPr>
          <w:p w14:paraId="479DAE9E">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主管部门</w:t>
            </w:r>
          </w:p>
        </w:tc>
        <w:tc>
          <w:tcPr>
            <w:tcW w:w="4903" w:type="dxa"/>
            <w:gridSpan w:val="5"/>
            <w:tcBorders>
              <w:top w:val="single" w:color="000000" w:sz="4" w:space="0"/>
              <w:left w:val="single" w:color="000000" w:sz="4" w:space="0"/>
              <w:bottom w:val="single" w:color="000000" w:sz="4" w:space="0"/>
              <w:right w:val="single" w:color="000000" w:sz="4" w:space="0"/>
            </w:tcBorders>
            <w:noWrap w:val="0"/>
            <w:vAlign w:val="center"/>
          </w:tcPr>
          <w:p w14:paraId="188D1ADC">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金川县教育局本级</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569AE82">
            <w:pPr>
              <w:keepNext w:val="0"/>
              <w:keepLines w:val="0"/>
              <w:widowControl/>
              <w:suppressLineNumbers w:val="0"/>
              <w:jc w:val="left"/>
              <w:textAlignment w:val="center"/>
              <w:rPr>
                <w:rFonts w:hint="default" w:ascii="Times New Roman" w:hAnsi="Times New Roman" w:eastAsia="仿宋_GB2312" w:cs="Times New Roman"/>
                <w:color w:val="auto"/>
                <w:kern w:val="2"/>
                <w:position w:val="0"/>
                <w:sz w:val="32"/>
                <w:szCs w:val="32"/>
                <w:lang w:val="en-US" w:eastAsia="zh-CN" w:bidi="ar-SA"/>
              </w:rPr>
            </w:pPr>
            <w:r>
              <w:rPr>
                <w:rFonts w:hint="eastAsia" w:ascii="黑体" w:hAnsi="黑体" w:eastAsia="黑体" w:cs="黑体"/>
                <w:i w:val="0"/>
                <w:iCs w:val="0"/>
                <w:color w:val="000000"/>
                <w:kern w:val="0"/>
                <w:sz w:val="18"/>
                <w:szCs w:val="18"/>
                <w:u w:val="none"/>
                <w:lang w:val="en-US" w:eastAsia="zh-CN" w:bidi="ar"/>
              </w:rPr>
              <w:t>实施单位 （盖章）</w:t>
            </w:r>
          </w:p>
        </w:tc>
        <w:tc>
          <w:tcPr>
            <w:tcW w:w="2554" w:type="dxa"/>
            <w:gridSpan w:val="3"/>
            <w:tcBorders>
              <w:top w:val="single" w:color="000000" w:sz="4" w:space="0"/>
              <w:left w:val="single" w:color="000000" w:sz="4" w:space="0"/>
              <w:bottom w:val="single" w:color="000000" w:sz="4" w:space="0"/>
              <w:right w:val="single" w:color="000000" w:sz="4" w:space="0"/>
            </w:tcBorders>
            <w:noWrap w:val="0"/>
            <w:vAlign w:val="center"/>
          </w:tcPr>
          <w:p w14:paraId="1D1E1CC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金川县教育局</w:t>
            </w:r>
          </w:p>
        </w:tc>
      </w:tr>
      <w:tr w14:paraId="79BFE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592E803">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项目基本情况</w:t>
            </w:r>
          </w:p>
        </w:tc>
        <w:tc>
          <w:tcPr>
            <w:tcW w:w="1489" w:type="dxa"/>
            <w:vMerge w:val="restart"/>
            <w:tcBorders>
              <w:top w:val="single" w:color="000000" w:sz="4" w:space="0"/>
              <w:left w:val="single" w:color="000000" w:sz="4" w:space="0"/>
              <w:bottom w:val="single" w:color="000000" w:sz="4" w:space="0"/>
              <w:right w:val="single" w:color="000000" w:sz="4" w:space="0"/>
            </w:tcBorders>
            <w:noWrap w:val="0"/>
            <w:vAlign w:val="center"/>
          </w:tcPr>
          <w:p w14:paraId="2DE948C9">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4903" w:type="dxa"/>
            <w:gridSpan w:val="5"/>
            <w:tcBorders>
              <w:top w:val="single" w:color="000000" w:sz="4" w:space="0"/>
              <w:left w:val="single" w:color="000000" w:sz="4" w:space="0"/>
              <w:bottom w:val="single" w:color="000000" w:sz="4" w:space="0"/>
              <w:right w:val="single" w:color="000000" w:sz="4" w:space="0"/>
            </w:tcBorders>
            <w:noWrap w:val="0"/>
            <w:vAlign w:val="center"/>
          </w:tcPr>
          <w:p w14:paraId="1EF135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3345" w:type="dxa"/>
            <w:gridSpan w:val="4"/>
            <w:tcBorders>
              <w:top w:val="single" w:color="000000" w:sz="4" w:space="0"/>
              <w:left w:val="single" w:color="000000" w:sz="4" w:space="0"/>
              <w:bottom w:val="single" w:color="000000" w:sz="4" w:space="0"/>
              <w:right w:val="single" w:color="000000" w:sz="4" w:space="0"/>
            </w:tcBorders>
            <w:noWrap w:val="0"/>
            <w:vAlign w:val="center"/>
          </w:tcPr>
          <w:p w14:paraId="4CDF2E07">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黑体" w:hAnsi="黑体" w:eastAsia="黑体" w:cs="黑体"/>
                <w:i w:val="0"/>
                <w:iCs w:val="0"/>
                <w:color w:val="000000"/>
                <w:kern w:val="0"/>
                <w:sz w:val="18"/>
                <w:szCs w:val="18"/>
                <w:u w:val="none"/>
                <w:lang w:val="en-US" w:eastAsia="zh-CN" w:bidi="ar"/>
              </w:rPr>
              <w:t>年度目标完成情况</w:t>
            </w:r>
          </w:p>
        </w:tc>
      </w:tr>
      <w:tr w14:paraId="762DB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E51C2D">
            <w:pPr>
              <w:rPr>
                <w:rFonts w:hint="eastAsia" w:ascii="Times New Roman" w:hAnsi="Times New Roman" w:eastAsia="仿宋_GB2312" w:cs="Times New Roman"/>
                <w:color w:val="auto"/>
                <w:kern w:val="2"/>
                <w:position w:val="0"/>
                <w:sz w:val="32"/>
                <w:szCs w:val="32"/>
                <w:lang w:val="en-US" w:eastAsia="zh-CN" w:bidi="ar-SA"/>
              </w:rPr>
            </w:pPr>
          </w:p>
        </w:tc>
        <w:tc>
          <w:tcPr>
            <w:tcW w:w="14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86E9B0">
            <w:pPr>
              <w:rPr>
                <w:rFonts w:hint="eastAsia" w:ascii="Times New Roman" w:hAnsi="Times New Roman" w:eastAsia="仿宋_GB2312" w:cs="Times New Roman"/>
                <w:color w:val="auto"/>
                <w:kern w:val="2"/>
                <w:position w:val="0"/>
                <w:sz w:val="32"/>
                <w:szCs w:val="32"/>
                <w:lang w:val="en-US" w:eastAsia="zh-CN" w:bidi="ar-SA"/>
              </w:rPr>
            </w:pPr>
          </w:p>
        </w:tc>
        <w:tc>
          <w:tcPr>
            <w:tcW w:w="4903" w:type="dxa"/>
            <w:gridSpan w:val="5"/>
            <w:tcBorders>
              <w:top w:val="single" w:color="000000" w:sz="4" w:space="0"/>
              <w:left w:val="single" w:color="000000" w:sz="4" w:space="0"/>
              <w:bottom w:val="single" w:color="000000" w:sz="4" w:space="0"/>
              <w:right w:val="single" w:color="000000" w:sz="4" w:space="0"/>
            </w:tcBorders>
            <w:noWrap w:val="0"/>
            <w:vAlign w:val="center"/>
          </w:tcPr>
          <w:p w14:paraId="225A4D69">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对脱贫户（原建档立卡贫困户）、监测户子女接受中等职业教育（全日制普通中专、成人中专、职业高中、技工院校）和高等职业教育（全日制普通大专、高职院校、技师学院等）的学生进行资助。</w:t>
            </w:r>
          </w:p>
        </w:tc>
        <w:tc>
          <w:tcPr>
            <w:tcW w:w="3345" w:type="dxa"/>
            <w:gridSpan w:val="4"/>
            <w:tcBorders>
              <w:top w:val="single" w:color="000000" w:sz="4" w:space="0"/>
              <w:left w:val="single" w:color="000000" w:sz="4" w:space="0"/>
              <w:bottom w:val="single" w:color="000000" w:sz="4" w:space="0"/>
              <w:right w:val="single" w:color="000000" w:sz="4" w:space="0"/>
            </w:tcBorders>
            <w:noWrap w:val="0"/>
            <w:vAlign w:val="center"/>
          </w:tcPr>
          <w:p w14:paraId="2985BD52">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黑体" w:hAnsi="黑体" w:eastAsia="黑体" w:cs="黑体"/>
                <w:i w:val="0"/>
                <w:iCs w:val="0"/>
                <w:color w:val="000000"/>
                <w:kern w:val="0"/>
                <w:sz w:val="18"/>
                <w:szCs w:val="18"/>
                <w:u w:val="none"/>
                <w:lang w:val="en-US" w:eastAsia="zh-CN" w:bidi="ar"/>
              </w:rPr>
              <w:t>完成2024年目标任务</w:t>
            </w:r>
          </w:p>
        </w:tc>
      </w:tr>
      <w:tr w14:paraId="001B5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2427C0">
            <w:pP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45B4F440">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2.项目实施内容及过程概述</w:t>
            </w:r>
          </w:p>
        </w:tc>
        <w:tc>
          <w:tcPr>
            <w:tcW w:w="8248" w:type="dxa"/>
            <w:gridSpan w:val="9"/>
            <w:tcBorders>
              <w:top w:val="single" w:color="000000" w:sz="4" w:space="0"/>
              <w:left w:val="single" w:color="000000" w:sz="4" w:space="0"/>
              <w:bottom w:val="single" w:color="000000" w:sz="4" w:space="0"/>
              <w:right w:val="single" w:color="000000" w:sz="4" w:space="0"/>
            </w:tcBorders>
            <w:noWrap w:val="0"/>
            <w:vAlign w:val="center"/>
          </w:tcPr>
          <w:p w14:paraId="12E13C76">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按月发放</w:t>
            </w:r>
          </w:p>
        </w:tc>
      </w:tr>
      <w:tr w14:paraId="04429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26D736C">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预算执行情况（10分）</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7F4350F5">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年度预算数（万元）</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36749C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FC8DECF">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调整后预算数</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44A45F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E19F69B">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预算执行率</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2E32DA50">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权重</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3CE9EFE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1857" w:type="dxa"/>
            <w:tcBorders>
              <w:top w:val="single" w:color="000000" w:sz="4" w:space="0"/>
              <w:left w:val="single" w:color="000000" w:sz="4" w:space="0"/>
              <w:bottom w:val="single" w:color="000000" w:sz="4" w:space="0"/>
              <w:right w:val="single" w:color="000000" w:sz="4" w:space="0"/>
            </w:tcBorders>
            <w:noWrap w:val="0"/>
            <w:vAlign w:val="center"/>
          </w:tcPr>
          <w:p w14:paraId="3C7D97C9">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原因</w:t>
            </w:r>
          </w:p>
        </w:tc>
      </w:tr>
      <w:tr w14:paraId="778FA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25E403">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1D224DDC">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总额</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06C2606">
            <w:pPr>
              <w:jc w:val="center"/>
            </w:pP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6B3A532">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100.00</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5AEA7B7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6495E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7E76D8A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3451EA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1857" w:type="dxa"/>
            <w:vMerge w:val="restart"/>
            <w:tcBorders>
              <w:top w:val="single" w:color="000000" w:sz="4" w:space="0"/>
              <w:left w:val="single" w:color="000000" w:sz="4" w:space="0"/>
              <w:bottom w:val="single" w:color="000000" w:sz="4" w:space="0"/>
              <w:right w:val="single" w:color="000000" w:sz="4" w:space="0"/>
            </w:tcBorders>
            <w:noWrap w:val="0"/>
            <w:vAlign w:val="center"/>
          </w:tcPr>
          <w:p w14:paraId="2B5532A0">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65A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08AAC7">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74376AF9">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其中：财政资金</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A68D002">
            <w:pPr>
              <w:jc w:val="center"/>
            </w:pP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21C2422">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100.00</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39E39F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55B01B8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5C5FC0C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5D9F6C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9BF326"/>
        </w:tc>
      </w:tr>
      <w:tr w14:paraId="30165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0A56C">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6F221D16">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财政专户管理资金</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6C580A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BF46B52">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2719C11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DAEDC0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0B86B78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283D69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BFEFBF"/>
        </w:tc>
      </w:tr>
      <w:tr w14:paraId="08650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5C450B">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570D2573">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单位资金</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911E77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7FFEDC8">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12A6B74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E35D72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17D5176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77F88C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7BA270"/>
        </w:tc>
      </w:tr>
      <w:tr w14:paraId="592D3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8E99D0">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51946B93">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其他资金</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76195E6">
            <w:pPr>
              <w:jc w:val="center"/>
            </w:pP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09521C4">
            <w:pPr>
              <w:jc w:val="center"/>
              <w:rPr>
                <w:rFonts w:hint="default" w:ascii="Times New Roman" w:hAnsi="Times New Roman" w:eastAsia="仿宋_GB2312" w:cs="Times New Roman"/>
                <w:color w:val="auto"/>
                <w:kern w:val="2"/>
                <w:position w:val="0"/>
                <w:sz w:val="32"/>
                <w:szCs w:val="32"/>
                <w:lang w:val="en-US" w:eastAsia="zh-CN" w:bidi="ar-SA"/>
              </w:rPr>
            </w:pP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568C7699">
            <w:pPr>
              <w:jc w:val="cente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7072854">
            <w:pPr>
              <w:jc w:val="center"/>
            </w:pP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572923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1CCBC5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7156F5"/>
        </w:tc>
      </w:tr>
      <w:tr w14:paraId="3977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BB01953">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绩效指标（90分）</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2BFDA5FE">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一级指标</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05D7DF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F9C67ED">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三级指标</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14:paraId="1C32675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14:paraId="07FC97A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379" w:type="dxa"/>
            <w:tcBorders>
              <w:top w:val="single" w:color="000000" w:sz="4" w:space="0"/>
              <w:left w:val="single" w:color="000000" w:sz="4" w:space="0"/>
              <w:bottom w:val="single" w:color="000000" w:sz="4" w:space="0"/>
              <w:right w:val="single" w:color="000000" w:sz="4" w:space="0"/>
            </w:tcBorders>
            <w:noWrap w:val="0"/>
            <w:vAlign w:val="center"/>
          </w:tcPr>
          <w:p w14:paraId="1308C79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19BAC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4D5C97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51F0D83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1857" w:type="dxa"/>
            <w:tcBorders>
              <w:top w:val="single" w:color="000000" w:sz="4" w:space="0"/>
              <w:left w:val="single" w:color="000000" w:sz="4" w:space="0"/>
              <w:bottom w:val="single" w:color="000000" w:sz="4" w:space="0"/>
              <w:right w:val="single" w:color="000000" w:sz="4" w:space="0"/>
            </w:tcBorders>
            <w:noWrap w:val="0"/>
            <w:vAlign w:val="center"/>
          </w:tcPr>
          <w:p w14:paraId="3D4C957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70F47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A893E2">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528D058A">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产出指标</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5C6BDF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数量指标</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5ACEEF8">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发放（缴纳）覆盖率</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14:paraId="4C26B77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14:paraId="78A4A03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379" w:type="dxa"/>
            <w:tcBorders>
              <w:top w:val="single" w:color="000000" w:sz="4" w:space="0"/>
              <w:left w:val="single" w:color="000000" w:sz="4" w:space="0"/>
              <w:bottom w:val="single" w:color="000000" w:sz="4" w:space="0"/>
              <w:right w:val="single" w:color="000000" w:sz="4" w:space="0"/>
            </w:tcBorders>
            <w:noWrap w:val="0"/>
            <w:vAlign w:val="center"/>
          </w:tcPr>
          <w:p w14:paraId="36E8FD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4E66AACB">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3CB4A1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60</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44A85F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60</w:t>
            </w:r>
          </w:p>
        </w:tc>
        <w:tc>
          <w:tcPr>
            <w:tcW w:w="1857" w:type="dxa"/>
            <w:tcBorders>
              <w:top w:val="single" w:color="000000" w:sz="4" w:space="0"/>
              <w:left w:val="single" w:color="000000" w:sz="4" w:space="0"/>
              <w:bottom w:val="single" w:color="000000" w:sz="4" w:space="0"/>
              <w:right w:val="single" w:color="000000" w:sz="4" w:space="0"/>
            </w:tcBorders>
            <w:noWrap w:val="0"/>
            <w:vAlign w:val="center"/>
          </w:tcPr>
          <w:p w14:paraId="7072DC2B">
            <w:pPr>
              <w:jc w:val="center"/>
            </w:pPr>
          </w:p>
        </w:tc>
      </w:tr>
      <w:tr w14:paraId="71DA4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B96902">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399CC19A">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效益指标</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0F080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社会效益指标</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42952C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足额保障率（参保率）</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14:paraId="6C2B68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14:paraId="63F9E03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379" w:type="dxa"/>
            <w:tcBorders>
              <w:top w:val="single" w:color="000000" w:sz="4" w:space="0"/>
              <w:left w:val="single" w:color="000000" w:sz="4" w:space="0"/>
              <w:bottom w:val="single" w:color="000000" w:sz="4" w:space="0"/>
              <w:right w:val="single" w:color="000000" w:sz="4" w:space="0"/>
            </w:tcBorders>
            <w:noWrap w:val="0"/>
            <w:vAlign w:val="center"/>
          </w:tcPr>
          <w:p w14:paraId="4B45EB7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5716CFC">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32A01A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30</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24C28D4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30</w:t>
            </w:r>
          </w:p>
        </w:tc>
        <w:tc>
          <w:tcPr>
            <w:tcW w:w="1857" w:type="dxa"/>
            <w:tcBorders>
              <w:top w:val="single" w:color="000000" w:sz="4" w:space="0"/>
              <w:left w:val="single" w:color="000000" w:sz="4" w:space="0"/>
              <w:bottom w:val="single" w:color="000000" w:sz="4" w:space="0"/>
              <w:right w:val="single" w:color="000000" w:sz="4" w:space="0"/>
            </w:tcBorders>
            <w:noWrap w:val="0"/>
            <w:vAlign w:val="center"/>
          </w:tcPr>
          <w:p w14:paraId="6389AFB7">
            <w:pPr>
              <w:jc w:val="center"/>
            </w:pPr>
          </w:p>
        </w:tc>
      </w:tr>
      <w:tr w14:paraId="6CA7F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7679" w:type="dxa"/>
            <w:gridSpan w:val="8"/>
            <w:tcBorders>
              <w:top w:val="single" w:color="000000" w:sz="4" w:space="0"/>
              <w:left w:val="single" w:color="000000" w:sz="4" w:space="0"/>
              <w:bottom w:val="single" w:color="000000" w:sz="4" w:space="0"/>
              <w:right w:val="single" w:color="000000" w:sz="4" w:space="0"/>
            </w:tcBorders>
            <w:noWrap w:val="0"/>
            <w:vAlign w:val="center"/>
          </w:tcPr>
          <w:p w14:paraId="2FD635A0">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合计</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0F76CC5E">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100</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58BF7155">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100</w:t>
            </w:r>
          </w:p>
        </w:tc>
        <w:tc>
          <w:tcPr>
            <w:tcW w:w="1857" w:type="dxa"/>
            <w:tcBorders>
              <w:top w:val="single" w:color="000000" w:sz="4" w:space="0"/>
              <w:left w:val="single" w:color="000000" w:sz="4" w:space="0"/>
              <w:bottom w:val="single" w:color="000000" w:sz="4" w:space="0"/>
              <w:right w:val="single" w:color="000000" w:sz="4" w:space="0"/>
            </w:tcBorders>
            <w:noWrap w:val="0"/>
            <w:vAlign w:val="center"/>
          </w:tcPr>
          <w:p w14:paraId="099A9744"/>
        </w:tc>
      </w:tr>
      <w:tr w14:paraId="4B3E2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tcBorders>
              <w:top w:val="single" w:color="000000" w:sz="4" w:space="0"/>
              <w:left w:val="single" w:color="000000" w:sz="4" w:space="0"/>
              <w:bottom w:val="single" w:color="000000" w:sz="4" w:space="0"/>
            </w:tcBorders>
            <w:noWrap w:val="0"/>
            <w:vAlign w:val="center"/>
          </w:tcPr>
          <w:p w14:paraId="4BF66A1D">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评价结论</w:t>
            </w:r>
          </w:p>
        </w:tc>
        <w:tc>
          <w:tcPr>
            <w:tcW w:w="9737" w:type="dxa"/>
            <w:gridSpan w:val="10"/>
            <w:tcBorders>
              <w:top w:val="single" w:color="000000" w:sz="4" w:space="0"/>
              <w:left w:val="single" w:color="000000" w:sz="4" w:space="0"/>
              <w:bottom w:val="single" w:color="000000" w:sz="4" w:space="0"/>
              <w:right w:val="single" w:color="000000" w:sz="4" w:space="0"/>
            </w:tcBorders>
            <w:noWrap w:val="0"/>
            <w:vAlign w:val="center"/>
          </w:tcPr>
          <w:p w14:paraId="412162BE">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宋体" w:hAnsi="宋体" w:eastAsia="宋体" w:cs="宋体"/>
                <w:i/>
                <w:iCs/>
                <w:color w:val="000000"/>
                <w:kern w:val="0"/>
                <w:sz w:val="16"/>
                <w:szCs w:val="16"/>
                <w:u w:val="none"/>
                <w:lang w:val="en-US" w:eastAsia="zh-CN" w:bidi="ar"/>
              </w:rPr>
              <w:t>应补尽补，金准救助。</w:t>
            </w:r>
          </w:p>
        </w:tc>
      </w:tr>
      <w:tr w14:paraId="4A078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tcBorders>
              <w:top w:val="single" w:color="000000" w:sz="4" w:space="0"/>
              <w:left w:val="single" w:color="000000" w:sz="4" w:space="0"/>
              <w:bottom w:val="single" w:color="000000" w:sz="4" w:space="0"/>
            </w:tcBorders>
            <w:noWrap w:val="0"/>
            <w:vAlign w:val="center"/>
          </w:tcPr>
          <w:p w14:paraId="35E5AA2C">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存在问题</w:t>
            </w:r>
          </w:p>
        </w:tc>
        <w:tc>
          <w:tcPr>
            <w:tcW w:w="9737" w:type="dxa"/>
            <w:gridSpan w:val="10"/>
            <w:tcBorders>
              <w:top w:val="single" w:color="000000" w:sz="4" w:space="0"/>
              <w:left w:val="single" w:color="000000" w:sz="4" w:space="0"/>
              <w:bottom w:val="single" w:color="000000" w:sz="4" w:space="0"/>
              <w:right w:val="single" w:color="000000" w:sz="4" w:space="0"/>
            </w:tcBorders>
            <w:noWrap w:val="0"/>
            <w:vAlign w:val="center"/>
          </w:tcPr>
          <w:p w14:paraId="23C2BEE2">
            <w:pPr>
              <w:keepNext w:val="0"/>
              <w:keepLines w:val="0"/>
              <w:widowControl/>
              <w:suppressLineNumbers w:val="0"/>
              <w:jc w:val="left"/>
              <w:textAlignment w:val="center"/>
              <w:rPr>
                <w:rFonts w:hint="default" w:ascii="Times New Roman" w:hAnsi="Times New Roman" w:eastAsia="仿宋_GB2312" w:cs="Times New Roman"/>
                <w:color w:val="auto"/>
                <w:kern w:val="2"/>
                <w:position w:val="0"/>
                <w:sz w:val="32"/>
                <w:szCs w:val="32"/>
                <w:lang w:val="en-US" w:eastAsia="zh-CN" w:bidi="ar-SA"/>
              </w:rPr>
            </w:pPr>
            <w:r>
              <w:rPr>
                <w:rFonts w:hint="eastAsia" w:ascii="微软雅黑" w:hAnsi="微软雅黑" w:eastAsia="微软雅黑" w:cs="微软雅黑"/>
                <w:i/>
                <w:iCs/>
                <w:color w:val="000000"/>
                <w:kern w:val="0"/>
                <w:sz w:val="16"/>
                <w:szCs w:val="16"/>
                <w:u w:val="none"/>
                <w:lang w:val="en-US" w:eastAsia="zh-CN" w:bidi="ar"/>
              </w:rPr>
              <w:t>受资助对象提供的银行卡号，开户行不正确，退回较多。</w:t>
            </w:r>
          </w:p>
        </w:tc>
      </w:tr>
      <w:tr w14:paraId="1143E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tcBorders>
              <w:top w:val="single" w:color="000000" w:sz="4" w:space="0"/>
              <w:left w:val="single" w:color="000000" w:sz="4" w:space="0"/>
              <w:bottom w:val="single" w:color="000000" w:sz="4" w:space="0"/>
            </w:tcBorders>
            <w:noWrap w:val="0"/>
            <w:vAlign w:val="center"/>
          </w:tcPr>
          <w:p w14:paraId="004F21CA">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改进措施</w:t>
            </w:r>
          </w:p>
        </w:tc>
        <w:tc>
          <w:tcPr>
            <w:tcW w:w="9737" w:type="dxa"/>
            <w:gridSpan w:val="10"/>
            <w:tcBorders>
              <w:top w:val="single" w:color="000000" w:sz="4" w:space="0"/>
              <w:left w:val="single" w:color="000000" w:sz="4" w:space="0"/>
              <w:bottom w:val="single" w:color="000000" w:sz="4" w:space="0"/>
              <w:right w:val="single" w:color="000000" w:sz="4" w:space="0"/>
            </w:tcBorders>
            <w:noWrap w:val="0"/>
            <w:vAlign w:val="center"/>
          </w:tcPr>
          <w:p w14:paraId="0FDE4475">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宋体" w:hAnsi="宋体" w:eastAsia="宋体" w:cs="宋体"/>
                <w:i/>
                <w:iCs/>
                <w:color w:val="000000"/>
                <w:kern w:val="0"/>
                <w:sz w:val="16"/>
                <w:szCs w:val="16"/>
                <w:u w:val="none"/>
                <w:lang w:val="en-US" w:eastAsia="zh-CN" w:bidi="ar"/>
              </w:rPr>
              <w:t>进一步提高受资助对象银行卡号相关信息的准确率。</w:t>
            </w:r>
          </w:p>
        </w:tc>
      </w:tr>
      <w:tr w14:paraId="72D7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292" w:type="dxa"/>
            <w:gridSpan w:val="5"/>
            <w:tcBorders>
              <w:top w:val="single" w:color="000000" w:sz="4" w:space="0"/>
              <w:left w:val="single" w:color="000000" w:sz="4" w:space="0"/>
              <w:bottom w:val="single" w:color="000000" w:sz="4" w:space="0"/>
            </w:tcBorders>
            <w:noWrap w:val="0"/>
            <w:vAlign w:val="center"/>
          </w:tcPr>
          <w:p w14:paraId="7E4084C6">
            <w:pPr>
              <w:keepNext w:val="0"/>
              <w:keepLines w:val="0"/>
              <w:widowControl/>
              <w:suppressLineNumbers w:val="0"/>
              <w:jc w:val="left"/>
              <w:textAlignment w:val="center"/>
              <w:rPr>
                <w:rFonts w:hint="default" w:ascii="Times New Roman" w:hAnsi="Times New Roman" w:eastAsia="仿宋_GB2312" w:cs="Times New Roman"/>
                <w:color w:val="auto"/>
                <w:kern w:val="2"/>
                <w:position w:val="0"/>
                <w:sz w:val="32"/>
                <w:szCs w:val="32"/>
                <w:lang w:val="en-US" w:eastAsia="zh-CN" w:bidi="ar-SA"/>
              </w:rPr>
            </w:pPr>
            <w:r>
              <w:rPr>
                <w:rFonts w:hint="eastAsia" w:ascii="黑体" w:hAnsi="黑体" w:eastAsia="黑体" w:cs="黑体"/>
                <w:i w:val="0"/>
                <w:iCs w:val="0"/>
                <w:color w:val="000000"/>
                <w:kern w:val="0"/>
                <w:sz w:val="18"/>
                <w:szCs w:val="18"/>
                <w:u w:val="none"/>
                <w:lang w:val="en-US" w:eastAsia="zh-CN" w:bidi="ar"/>
              </w:rPr>
              <w:t>项目负责人：罗小琴</w:t>
            </w:r>
          </w:p>
        </w:tc>
        <w:tc>
          <w:tcPr>
            <w:tcW w:w="4941" w:type="dxa"/>
            <w:gridSpan w:val="6"/>
            <w:tcBorders>
              <w:top w:val="single" w:color="000000" w:sz="4" w:space="0"/>
              <w:left w:val="single" w:color="000000" w:sz="4" w:space="0"/>
              <w:bottom w:val="single" w:color="000000" w:sz="4" w:space="0"/>
              <w:right w:val="single" w:color="000000" w:sz="4" w:space="0"/>
            </w:tcBorders>
            <w:noWrap w:val="0"/>
            <w:vAlign w:val="center"/>
          </w:tcPr>
          <w:p w14:paraId="7DB1C919">
            <w:pPr>
              <w:keepNext w:val="0"/>
              <w:keepLines w:val="0"/>
              <w:widowControl/>
              <w:suppressLineNumbers w:val="0"/>
              <w:jc w:val="left"/>
              <w:textAlignment w:val="center"/>
              <w:rPr>
                <w:rFonts w:hint="default" w:ascii="Times New Roman" w:hAnsi="Times New Roman" w:eastAsia="仿宋_GB2312" w:cs="Times New Roman"/>
                <w:color w:val="auto"/>
                <w:kern w:val="2"/>
                <w:position w:val="0"/>
                <w:sz w:val="32"/>
                <w:szCs w:val="32"/>
                <w:lang w:val="en-US" w:eastAsia="zh-CN" w:bidi="ar-SA"/>
              </w:rPr>
            </w:pPr>
            <w:r>
              <w:rPr>
                <w:rFonts w:hint="eastAsia" w:ascii="黑体" w:hAnsi="黑体" w:eastAsia="黑体" w:cs="黑体"/>
                <w:i w:val="0"/>
                <w:iCs w:val="0"/>
                <w:color w:val="000000"/>
                <w:kern w:val="0"/>
                <w:sz w:val="18"/>
                <w:szCs w:val="18"/>
                <w:u w:val="none"/>
                <w:lang w:val="en-US" w:eastAsia="zh-CN" w:bidi="ar"/>
              </w:rPr>
              <w:t>财务负责人：马敏</w:t>
            </w:r>
          </w:p>
        </w:tc>
      </w:tr>
      <w:tr w14:paraId="74215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tcBorders>
              <w:top w:val="single" w:color="000000" w:sz="4" w:space="0"/>
              <w:left w:val="single" w:color="000000" w:sz="4" w:space="0"/>
              <w:bottom w:val="single" w:color="000000" w:sz="4" w:space="0"/>
            </w:tcBorders>
            <w:noWrap w:val="0"/>
            <w:vAlign w:val="center"/>
          </w:tcPr>
          <w:p w14:paraId="40230D2D">
            <w:pP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78F32FE3">
            <w:pPr>
              <w:rPr>
                <w:rFonts w:hint="eastAsia" w:ascii="Times New Roman" w:hAnsi="Times New Roman" w:eastAsia="仿宋_GB2312" w:cs="Times New Roman"/>
                <w:color w:val="auto"/>
                <w:kern w:val="2"/>
                <w:position w:val="0"/>
                <w:sz w:val="32"/>
                <w:szCs w:val="32"/>
                <w:lang w:val="en-US" w:eastAsia="zh-CN" w:bidi="ar-SA"/>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B1C34D7">
            <w:pPr>
              <w:rPr>
                <w:rFonts w:hint="eastAsia" w:ascii="Times New Roman" w:hAnsi="Times New Roman" w:eastAsia="仿宋_GB2312" w:cs="Times New Roman"/>
                <w:color w:val="auto"/>
                <w:kern w:val="2"/>
                <w:position w:val="0"/>
                <w:sz w:val="32"/>
                <w:szCs w:val="32"/>
                <w:lang w:val="en-US" w:eastAsia="zh-CN" w:bidi="ar-SA"/>
              </w:rPr>
            </w:pP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F53BD24">
            <w:pPr>
              <w:rPr>
                <w:rFonts w:hint="eastAsia" w:ascii="Times New Roman" w:hAnsi="Times New Roman" w:eastAsia="仿宋_GB2312" w:cs="Times New Roman"/>
                <w:color w:val="auto"/>
                <w:kern w:val="2"/>
                <w:position w:val="0"/>
                <w:sz w:val="32"/>
                <w:szCs w:val="32"/>
                <w:lang w:val="en-US" w:eastAsia="zh-CN" w:bidi="ar-SA"/>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14:paraId="6CB081F8">
            <w:pPr>
              <w:rPr>
                <w:rFonts w:hint="eastAsia" w:ascii="Times New Roman" w:hAnsi="Times New Roman" w:eastAsia="仿宋_GB2312" w:cs="Times New Roman"/>
                <w:color w:val="auto"/>
                <w:kern w:val="2"/>
                <w:position w:val="0"/>
                <w:sz w:val="32"/>
                <w:szCs w:val="32"/>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14:paraId="2C8529E2">
            <w:pPr>
              <w:rPr>
                <w:rFonts w:hint="eastAsia" w:ascii="Times New Roman" w:hAnsi="Times New Roman" w:eastAsia="仿宋_GB2312" w:cs="Times New Roman"/>
                <w:color w:val="auto"/>
                <w:kern w:val="2"/>
                <w:position w:val="0"/>
                <w:sz w:val="32"/>
                <w:szCs w:val="32"/>
                <w:lang w:val="en-US" w:eastAsia="zh-CN" w:bidi="ar-SA"/>
              </w:rPr>
            </w:pPr>
          </w:p>
        </w:tc>
        <w:tc>
          <w:tcPr>
            <w:tcW w:w="379" w:type="dxa"/>
            <w:tcBorders>
              <w:top w:val="single" w:color="000000" w:sz="4" w:space="0"/>
              <w:left w:val="single" w:color="000000" w:sz="4" w:space="0"/>
              <w:bottom w:val="single" w:color="000000" w:sz="4" w:space="0"/>
              <w:right w:val="single" w:color="000000" w:sz="4" w:space="0"/>
            </w:tcBorders>
            <w:noWrap w:val="0"/>
            <w:vAlign w:val="center"/>
          </w:tcPr>
          <w:p w14:paraId="5811B806">
            <w:pPr>
              <w:rPr>
                <w:rFonts w:hint="eastAsia" w:ascii="Times New Roman" w:hAnsi="Times New Roman" w:eastAsia="仿宋_GB2312" w:cs="Times New Roman"/>
                <w:color w:val="auto"/>
                <w:kern w:val="2"/>
                <w:position w:val="0"/>
                <w:sz w:val="32"/>
                <w:szCs w:val="32"/>
                <w:lang w:val="en-US" w:eastAsia="zh-CN" w:bidi="ar-SA"/>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AF7142D">
            <w:pPr>
              <w:rPr>
                <w:rFonts w:hint="eastAsia" w:ascii="Times New Roman" w:hAnsi="Times New Roman" w:eastAsia="仿宋_GB2312" w:cs="Times New Roman"/>
                <w:color w:val="auto"/>
                <w:kern w:val="2"/>
                <w:position w:val="0"/>
                <w:sz w:val="32"/>
                <w:szCs w:val="32"/>
                <w:lang w:val="en-US" w:eastAsia="zh-CN" w:bidi="ar-SA"/>
              </w:rPr>
            </w:pP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7238877E"/>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32483C77"/>
        </w:tc>
        <w:tc>
          <w:tcPr>
            <w:tcW w:w="1857" w:type="dxa"/>
            <w:tcBorders>
              <w:top w:val="single" w:color="000000" w:sz="4" w:space="0"/>
              <w:left w:val="single" w:color="000000" w:sz="4" w:space="0"/>
              <w:bottom w:val="single" w:color="000000" w:sz="4" w:space="0"/>
              <w:right w:val="single" w:color="000000" w:sz="4" w:space="0"/>
            </w:tcBorders>
            <w:noWrap w:val="0"/>
            <w:vAlign w:val="center"/>
          </w:tcPr>
          <w:p w14:paraId="1974A81C">
            <w:pPr>
              <w:rPr>
                <w:rFonts w:hint="eastAsia" w:ascii="Times New Roman" w:hAnsi="Times New Roman" w:eastAsia="仿宋_GB2312" w:cs="Times New Roman"/>
                <w:color w:val="auto"/>
                <w:kern w:val="2"/>
                <w:position w:val="0"/>
                <w:sz w:val="32"/>
                <w:szCs w:val="32"/>
                <w:lang w:val="en-US" w:eastAsia="zh-CN" w:bidi="ar-SA"/>
              </w:rPr>
            </w:pPr>
          </w:p>
        </w:tc>
      </w:tr>
      <w:tr w14:paraId="12FE3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233" w:type="dxa"/>
            <w:gridSpan w:val="11"/>
            <w:tcBorders>
              <w:top w:val="single" w:color="000000" w:sz="4" w:space="0"/>
              <w:left w:val="single" w:color="000000" w:sz="4" w:space="0"/>
              <w:bottom w:val="single" w:color="000000" w:sz="4" w:space="0"/>
            </w:tcBorders>
            <w:noWrap w:val="0"/>
            <w:vAlign w:val="center"/>
          </w:tcPr>
          <w:p w14:paraId="7C5751D8">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黑体" w:hAnsi="宋体" w:eastAsia="黑体" w:cs="黑体"/>
                <w:b/>
                <w:bCs/>
                <w:i w:val="0"/>
                <w:iCs w:val="0"/>
                <w:color w:val="000000"/>
                <w:kern w:val="0"/>
                <w:sz w:val="30"/>
                <w:szCs w:val="30"/>
                <w:u w:val="none"/>
                <w:lang w:val="en-US" w:eastAsia="zh-CN" w:bidi="ar"/>
              </w:rPr>
              <w:t>项目支出绩效自评表（2024年度）</w:t>
            </w:r>
          </w:p>
        </w:tc>
      </w:tr>
      <w:tr w14:paraId="2604F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985" w:type="dxa"/>
            <w:gridSpan w:val="2"/>
            <w:tcBorders>
              <w:top w:val="single" w:color="000000" w:sz="4" w:space="0"/>
              <w:left w:val="single" w:color="000000" w:sz="4" w:space="0"/>
              <w:bottom w:val="single" w:color="000000" w:sz="4" w:space="0"/>
            </w:tcBorders>
            <w:noWrap w:val="0"/>
            <w:vAlign w:val="center"/>
          </w:tcPr>
          <w:p w14:paraId="68A412BE">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项目名称</w:t>
            </w:r>
          </w:p>
        </w:tc>
        <w:tc>
          <w:tcPr>
            <w:tcW w:w="8248" w:type="dxa"/>
            <w:gridSpan w:val="9"/>
            <w:tcBorders>
              <w:top w:val="single" w:color="000000" w:sz="4" w:space="0"/>
              <w:left w:val="single" w:color="000000" w:sz="4" w:space="0"/>
              <w:bottom w:val="single" w:color="000000" w:sz="4" w:space="0"/>
              <w:right w:val="single" w:color="000000" w:sz="4" w:space="0"/>
            </w:tcBorders>
            <w:noWrap w:val="0"/>
            <w:vAlign w:val="center"/>
          </w:tcPr>
          <w:p w14:paraId="087AE8AF">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雨露计划</w:t>
            </w:r>
          </w:p>
        </w:tc>
      </w:tr>
      <w:tr w14:paraId="4430F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985" w:type="dxa"/>
            <w:gridSpan w:val="2"/>
            <w:tcBorders>
              <w:top w:val="single" w:color="000000" w:sz="4" w:space="0"/>
              <w:left w:val="single" w:color="000000" w:sz="4" w:space="0"/>
              <w:bottom w:val="single" w:color="000000" w:sz="4" w:space="0"/>
            </w:tcBorders>
            <w:noWrap w:val="0"/>
            <w:vAlign w:val="center"/>
          </w:tcPr>
          <w:p w14:paraId="396A5744">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主管部门</w:t>
            </w:r>
          </w:p>
        </w:tc>
        <w:tc>
          <w:tcPr>
            <w:tcW w:w="4903" w:type="dxa"/>
            <w:gridSpan w:val="5"/>
            <w:tcBorders>
              <w:top w:val="single" w:color="000000" w:sz="4" w:space="0"/>
              <w:left w:val="single" w:color="000000" w:sz="4" w:space="0"/>
              <w:bottom w:val="single" w:color="000000" w:sz="4" w:space="0"/>
              <w:right w:val="single" w:color="000000" w:sz="4" w:space="0"/>
            </w:tcBorders>
            <w:noWrap w:val="0"/>
            <w:vAlign w:val="center"/>
          </w:tcPr>
          <w:p w14:paraId="436EFF92">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金川县教育局本级</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0B6FE7E">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黑体" w:hAnsi="黑体" w:eastAsia="黑体" w:cs="黑体"/>
                <w:i w:val="0"/>
                <w:iCs w:val="0"/>
                <w:color w:val="000000"/>
                <w:kern w:val="0"/>
                <w:sz w:val="18"/>
                <w:szCs w:val="18"/>
                <w:u w:val="none"/>
                <w:lang w:val="en-US" w:eastAsia="zh-CN" w:bidi="ar"/>
              </w:rPr>
              <w:t>实施单位 （盖章）</w:t>
            </w:r>
          </w:p>
        </w:tc>
        <w:tc>
          <w:tcPr>
            <w:tcW w:w="2554" w:type="dxa"/>
            <w:gridSpan w:val="3"/>
            <w:tcBorders>
              <w:top w:val="single" w:color="000000" w:sz="4" w:space="0"/>
              <w:left w:val="single" w:color="000000" w:sz="4" w:space="0"/>
              <w:bottom w:val="single" w:color="000000" w:sz="4" w:space="0"/>
              <w:right w:val="single" w:color="000000" w:sz="4" w:space="0"/>
            </w:tcBorders>
            <w:noWrap w:val="0"/>
            <w:vAlign w:val="center"/>
          </w:tcPr>
          <w:p w14:paraId="66EF65CB">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金川县教育局</w:t>
            </w:r>
          </w:p>
        </w:tc>
      </w:tr>
      <w:tr w14:paraId="57244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restart"/>
            <w:tcBorders>
              <w:top w:val="single" w:color="000000" w:sz="4" w:space="0"/>
              <w:left w:val="single" w:color="000000" w:sz="4" w:space="0"/>
              <w:bottom w:val="single" w:color="000000" w:sz="4" w:space="0"/>
            </w:tcBorders>
            <w:noWrap w:val="0"/>
            <w:vAlign w:val="center"/>
          </w:tcPr>
          <w:p w14:paraId="24134EE2">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项目基本情况</w:t>
            </w:r>
          </w:p>
        </w:tc>
        <w:tc>
          <w:tcPr>
            <w:tcW w:w="1489" w:type="dxa"/>
            <w:vMerge w:val="restart"/>
            <w:tcBorders>
              <w:top w:val="single" w:color="000000" w:sz="4" w:space="0"/>
              <w:left w:val="single" w:color="000000" w:sz="4" w:space="0"/>
              <w:bottom w:val="single" w:color="000000" w:sz="4" w:space="0"/>
              <w:right w:val="single" w:color="000000" w:sz="4" w:space="0"/>
            </w:tcBorders>
            <w:noWrap w:val="0"/>
            <w:vAlign w:val="center"/>
          </w:tcPr>
          <w:p w14:paraId="691D425F">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1.项目年度目标完成情况</w:t>
            </w:r>
          </w:p>
        </w:tc>
        <w:tc>
          <w:tcPr>
            <w:tcW w:w="4903" w:type="dxa"/>
            <w:gridSpan w:val="5"/>
            <w:tcBorders>
              <w:top w:val="single" w:color="000000" w:sz="4" w:space="0"/>
              <w:left w:val="single" w:color="000000" w:sz="4" w:space="0"/>
              <w:bottom w:val="single" w:color="000000" w:sz="4" w:space="0"/>
              <w:right w:val="single" w:color="000000" w:sz="4" w:space="0"/>
            </w:tcBorders>
            <w:noWrap w:val="0"/>
            <w:vAlign w:val="center"/>
          </w:tcPr>
          <w:p w14:paraId="187F6221">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项目年度目标</w:t>
            </w:r>
          </w:p>
        </w:tc>
        <w:tc>
          <w:tcPr>
            <w:tcW w:w="3345" w:type="dxa"/>
            <w:gridSpan w:val="4"/>
            <w:tcBorders>
              <w:top w:val="single" w:color="000000" w:sz="4" w:space="0"/>
              <w:left w:val="single" w:color="000000" w:sz="4" w:space="0"/>
              <w:bottom w:val="single" w:color="000000" w:sz="4" w:space="0"/>
              <w:right w:val="single" w:color="000000" w:sz="4" w:space="0"/>
            </w:tcBorders>
            <w:noWrap w:val="0"/>
            <w:vAlign w:val="center"/>
          </w:tcPr>
          <w:p w14:paraId="5EE1B568">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黑体" w:hAnsi="黑体" w:eastAsia="黑体" w:cs="黑体"/>
                <w:i w:val="0"/>
                <w:iCs w:val="0"/>
                <w:color w:val="000000"/>
                <w:kern w:val="0"/>
                <w:sz w:val="18"/>
                <w:szCs w:val="18"/>
                <w:u w:val="none"/>
                <w:lang w:val="en-US" w:eastAsia="zh-CN" w:bidi="ar"/>
              </w:rPr>
              <w:t>年度目标完成情况</w:t>
            </w:r>
          </w:p>
        </w:tc>
      </w:tr>
      <w:tr w14:paraId="1245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tcBorders>
            <w:noWrap w:val="0"/>
            <w:vAlign w:val="center"/>
          </w:tcPr>
          <w:p w14:paraId="7520057F">
            <w:pPr>
              <w:rPr>
                <w:rFonts w:hint="eastAsia" w:ascii="Times New Roman" w:hAnsi="Times New Roman" w:eastAsia="仿宋_GB2312" w:cs="Times New Roman"/>
                <w:color w:val="auto"/>
                <w:kern w:val="2"/>
                <w:position w:val="0"/>
                <w:sz w:val="32"/>
                <w:szCs w:val="32"/>
                <w:lang w:val="en-US" w:eastAsia="zh-CN" w:bidi="ar-SA"/>
              </w:rPr>
            </w:pPr>
          </w:p>
        </w:tc>
        <w:tc>
          <w:tcPr>
            <w:tcW w:w="14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997381">
            <w:pPr>
              <w:rPr>
                <w:rFonts w:hint="eastAsia" w:ascii="Times New Roman" w:hAnsi="Times New Roman" w:eastAsia="仿宋_GB2312" w:cs="Times New Roman"/>
                <w:color w:val="auto"/>
                <w:kern w:val="2"/>
                <w:position w:val="0"/>
                <w:sz w:val="32"/>
                <w:szCs w:val="32"/>
                <w:lang w:val="en-US" w:eastAsia="zh-CN" w:bidi="ar-SA"/>
              </w:rPr>
            </w:pPr>
          </w:p>
        </w:tc>
        <w:tc>
          <w:tcPr>
            <w:tcW w:w="4903" w:type="dxa"/>
            <w:gridSpan w:val="5"/>
            <w:tcBorders>
              <w:top w:val="single" w:color="000000" w:sz="4" w:space="0"/>
              <w:left w:val="single" w:color="000000" w:sz="4" w:space="0"/>
              <w:bottom w:val="single" w:color="000000" w:sz="4" w:space="0"/>
              <w:right w:val="single" w:color="000000" w:sz="4" w:space="0"/>
            </w:tcBorders>
            <w:noWrap w:val="0"/>
            <w:vAlign w:val="center"/>
          </w:tcPr>
          <w:p w14:paraId="72C89303">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对脱贫户（原建档立卡贫困户）、监测户子女接受中等职业教育（全日制普通中专、成人中专、职业高中、技工院校）和高等职业教育（全日制普通大专、高职院校、技师学院等）的学生进行资助。</w:t>
            </w:r>
          </w:p>
        </w:tc>
        <w:tc>
          <w:tcPr>
            <w:tcW w:w="3345" w:type="dxa"/>
            <w:gridSpan w:val="4"/>
            <w:tcBorders>
              <w:top w:val="single" w:color="000000" w:sz="4" w:space="0"/>
              <w:left w:val="single" w:color="000000" w:sz="4" w:space="0"/>
              <w:bottom w:val="single" w:color="000000" w:sz="4" w:space="0"/>
              <w:right w:val="single" w:color="000000" w:sz="4" w:space="0"/>
            </w:tcBorders>
            <w:noWrap w:val="0"/>
            <w:vAlign w:val="center"/>
          </w:tcPr>
          <w:p w14:paraId="78F9ABA4">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黑体" w:hAnsi="黑体" w:eastAsia="黑体" w:cs="黑体"/>
                <w:i w:val="0"/>
                <w:iCs w:val="0"/>
                <w:color w:val="000000"/>
                <w:kern w:val="0"/>
                <w:sz w:val="18"/>
                <w:szCs w:val="18"/>
                <w:u w:val="none"/>
                <w:lang w:val="en-US" w:eastAsia="zh-CN" w:bidi="ar"/>
              </w:rPr>
              <w:t>完成2024年目标任务</w:t>
            </w:r>
          </w:p>
        </w:tc>
      </w:tr>
      <w:tr w14:paraId="26F5D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tcBorders>
            <w:noWrap w:val="0"/>
            <w:vAlign w:val="center"/>
          </w:tcPr>
          <w:p w14:paraId="334DF861">
            <w:pP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63AC4068">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2.项目实施内容及过程概述</w:t>
            </w:r>
          </w:p>
        </w:tc>
        <w:tc>
          <w:tcPr>
            <w:tcW w:w="8248" w:type="dxa"/>
            <w:gridSpan w:val="9"/>
            <w:tcBorders>
              <w:top w:val="single" w:color="000000" w:sz="4" w:space="0"/>
              <w:left w:val="single" w:color="000000" w:sz="4" w:space="0"/>
              <w:right w:val="single" w:color="000000" w:sz="4" w:space="0"/>
            </w:tcBorders>
            <w:noWrap w:val="0"/>
            <w:vAlign w:val="center"/>
          </w:tcPr>
          <w:p w14:paraId="2A5FAD37">
            <w:pPr>
              <w:keepNext w:val="0"/>
              <w:keepLines w:val="0"/>
              <w:widowControl/>
              <w:suppressLineNumbers w:val="0"/>
              <w:jc w:val="left"/>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按月发放</w:t>
            </w:r>
          </w:p>
        </w:tc>
      </w:tr>
      <w:tr w14:paraId="617A1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restart"/>
            <w:tcBorders>
              <w:top w:val="single" w:color="000000" w:sz="4" w:space="0"/>
              <w:left w:val="single" w:color="000000" w:sz="4" w:space="0"/>
              <w:bottom w:val="single" w:color="000000" w:sz="4" w:space="0"/>
            </w:tcBorders>
            <w:noWrap w:val="0"/>
            <w:vAlign w:val="center"/>
          </w:tcPr>
          <w:p w14:paraId="49E9B929">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预算执行情况（10分）</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1EAC6EF4">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年度预算数（万元）</w:t>
            </w:r>
          </w:p>
        </w:tc>
        <w:tc>
          <w:tcPr>
            <w:tcW w:w="1287" w:type="dxa"/>
            <w:tcBorders>
              <w:top w:val="single" w:color="000000" w:sz="4" w:space="0"/>
              <w:left w:val="single" w:color="000000" w:sz="4" w:space="0"/>
              <w:right w:val="single" w:color="000000" w:sz="4" w:space="0"/>
            </w:tcBorders>
            <w:noWrap w:val="0"/>
            <w:vAlign w:val="center"/>
          </w:tcPr>
          <w:p w14:paraId="2A15791C">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年初预算</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E23038F">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调整后预算数</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75934584">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预算执行数</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566ADF65">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预算执行率</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592C269C">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权重</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64AF7D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1857" w:type="dxa"/>
            <w:tcBorders>
              <w:top w:val="single" w:color="000000" w:sz="4" w:space="0"/>
              <w:left w:val="single" w:color="000000" w:sz="4" w:space="0"/>
              <w:bottom w:val="single" w:color="000000" w:sz="4" w:space="0"/>
              <w:right w:val="single" w:color="000000" w:sz="4" w:space="0"/>
            </w:tcBorders>
            <w:noWrap w:val="0"/>
            <w:vAlign w:val="center"/>
          </w:tcPr>
          <w:p w14:paraId="221C3508">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原因</w:t>
            </w:r>
          </w:p>
        </w:tc>
      </w:tr>
      <w:tr w14:paraId="7F424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tcBorders>
            <w:noWrap w:val="0"/>
            <w:vAlign w:val="center"/>
          </w:tcPr>
          <w:p w14:paraId="41FFC87A">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1CE6F7F6">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总额</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0FB7B10">
            <w:pPr>
              <w:jc w:val="center"/>
              <w:rPr>
                <w:rFonts w:hint="eastAsia" w:ascii="Times New Roman" w:hAnsi="Times New Roman" w:eastAsia="仿宋_GB2312" w:cs="Times New Roman"/>
                <w:color w:val="auto"/>
                <w:kern w:val="2"/>
                <w:position w:val="0"/>
                <w:sz w:val="32"/>
                <w:szCs w:val="32"/>
                <w:lang w:val="en-US" w:eastAsia="zh-CN" w:bidi="ar-SA"/>
              </w:rPr>
            </w:pP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2B9BB79">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100.00</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59ACE062">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100.00</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F919CF8">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100.00%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1C227064">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0783945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1857" w:type="dxa"/>
            <w:vMerge w:val="restart"/>
            <w:tcBorders>
              <w:top w:val="single" w:color="000000" w:sz="4" w:space="0"/>
              <w:left w:val="single" w:color="000000" w:sz="4" w:space="0"/>
              <w:bottom w:val="single" w:color="000000" w:sz="4" w:space="0"/>
              <w:right w:val="single" w:color="000000" w:sz="4" w:space="0"/>
            </w:tcBorders>
            <w:noWrap w:val="0"/>
            <w:vAlign w:val="center"/>
          </w:tcPr>
          <w:p w14:paraId="3EE11227">
            <w:pPr>
              <w:keepNext w:val="0"/>
              <w:keepLines w:val="0"/>
              <w:widowControl/>
              <w:suppressLineNumbers w:val="0"/>
              <w:jc w:val="left"/>
              <w:textAlignment w:val="center"/>
              <w:rPr>
                <w:rFonts w:hint="eastAsia" w:ascii="Times New Roman" w:hAnsi="Times New Roman" w:eastAsia="仿宋_GB2312" w:cs="Times New Roman"/>
                <w:color w:val="auto"/>
                <w:kern w:val="2"/>
                <w:position w:val="0"/>
                <w:sz w:val="32"/>
                <w:szCs w:val="32"/>
                <w:lang w:val="en-US" w:eastAsia="zh-CN" w:bidi="ar-SA"/>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3072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tcBorders>
            <w:noWrap w:val="0"/>
            <w:vAlign w:val="center"/>
          </w:tcPr>
          <w:p w14:paraId="056E4173">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right w:val="single" w:color="000000" w:sz="4" w:space="0"/>
            </w:tcBorders>
            <w:noWrap w:val="0"/>
            <w:vAlign w:val="center"/>
          </w:tcPr>
          <w:p w14:paraId="11E26279">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其中：财政资金</w:t>
            </w:r>
          </w:p>
        </w:tc>
        <w:tc>
          <w:tcPr>
            <w:tcW w:w="1287" w:type="dxa"/>
            <w:tcBorders>
              <w:top w:val="single" w:color="000000" w:sz="4" w:space="0"/>
              <w:left w:val="single" w:color="000000" w:sz="4" w:space="0"/>
              <w:right w:val="single" w:color="000000" w:sz="4" w:space="0"/>
            </w:tcBorders>
            <w:noWrap w:val="0"/>
            <w:vAlign w:val="center"/>
          </w:tcPr>
          <w:p w14:paraId="7B889F8C">
            <w:pPr>
              <w:jc w:val="center"/>
              <w:rPr>
                <w:rFonts w:hint="eastAsia" w:ascii="Times New Roman" w:hAnsi="Times New Roman" w:eastAsia="仿宋_GB2312" w:cs="Times New Roman"/>
                <w:color w:val="auto"/>
                <w:kern w:val="2"/>
                <w:position w:val="0"/>
                <w:sz w:val="32"/>
                <w:szCs w:val="32"/>
                <w:lang w:val="en-US" w:eastAsia="zh-CN" w:bidi="ar-SA"/>
              </w:rPr>
            </w:pP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8705975">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100.00</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1F5C5635">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100.00</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7B8E164">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100.00%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556C9E90">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384E1C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3B3DD6">
            <w:pPr>
              <w:rPr>
                <w:rFonts w:hint="default" w:ascii="Times New Roman" w:hAnsi="Times New Roman" w:eastAsia="仿宋_GB2312" w:cs="Times New Roman"/>
                <w:color w:val="auto"/>
                <w:kern w:val="2"/>
                <w:position w:val="0"/>
                <w:sz w:val="32"/>
                <w:szCs w:val="32"/>
                <w:lang w:val="en-US" w:eastAsia="zh-CN" w:bidi="ar-SA"/>
              </w:rPr>
            </w:pPr>
          </w:p>
        </w:tc>
      </w:tr>
      <w:tr w14:paraId="334EA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tcBorders>
            <w:noWrap w:val="0"/>
            <w:vAlign w:val="center"/>
          </w:tcPr>
          <w:p w14:paraId="4F777949">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15ABEF32">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财政专户管理资金</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56D1A48">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1642" w:type="dxa"/>
            <w:tcBorders>
              <w:top w:val="single" w:color="000000" w:sz="4" w:space="0"/>
              <w:bottom w:val="single" w:color="000000" w:sz="4" w:space="0"/>
              <w:right w:val="single" w:color="000000" w:sz="4" w:space="0"/>
            </w:tcBorders>
            <w:noWrap w:val="0"/>
            <w:vAlign w:val="center"/>
          </w:tcPr>
          <w:p w14:paraId="3E9D3D09">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2332A88B">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4F4449DB">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0551546B">
            <w:pPr>
              <w:keepNext w:val="0"/>
              <w:keepLines w:val="0"/>
              <w:widowControl/>
              <w:suppressLineNumbers w:val="0"/>
              <w:jc w:val="center"/>
              <w:textAlignment w:val="center"/>
              <w:rPr>
                <w:rFonts w:hint="default"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29EA50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89DA27">
            <w:pPr>
              <w:rPr>
                <w:rFonts w:hint="default" w:ascii="Times New Roman" w:hAnsi="Times New Roman" w:eastAsia="仿宋_GB2312" w:cs="Times New Roman"/>
                <w:color w:val="auto"/>
                <w:kern w:val="2"/>
                <w:position w:val="0"/>
                <w:sz w:val="32"/>
                <w:szCs w:val="32"/>
                <w:lang w:val="en-US" w:eastAsia="zh-CN" w:bidi="ar-SA"/>
              </w:rPr>
            </w:pPr>
          </w:p>
        </w:tc>
      </w:tr>
      <w:tr w14:paraId="17094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96" w:type="dxa"/>
            <w:vMerge w:val="continue"/>
            <w:tcBorders>
              <w:top w:val="single" w:color="000000" w:sz="4" w:space="0"/>
              <w:left w:val="single" w:color="000000" w:sz="4" w:space="0"/>
              <w:bottom w:val="single" w:color="000000" w:sz="4" w:space="0"/>
            </w:tcBorders>
            <w:noWrap w:val="0"/>
            <w:vAlign w:val="center"/>
          </w:tcPr>
          <w:p w14:paraId="26884995">
            <w:pPr>
              <w:jc w:val="center"/>
              <w:rPr>
                <w:rFonts w:hint="eastAsia" w:ascii="Times New Roman" w:hAnsi="Times New Roman" w:eastAsia="仿宋_GB2312" w:cs="Times New Roman"/>
                <w:color w:val="auto"/>
                <w:kern w:val="2"/>
                <w:position w:val="0"/>
                <w:sz w:val="32"/>
                <w:szCs w:val="32"/>
                <w:lang w:val="en-US" w:eastAsia="zh-CN" w:bidi="ar-SA"/>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2CAEDD66">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单位资金</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DC701D8">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1642" w:type="dxa"/>
            <w:tcBorders>
              <w:top w:val="single" w:color="000000" w:sz="4" w:space="0"/>
              <w:bottom w:val="single" w:color="000000" w:sz="4" w:space="0"/>
              <w:right w:val="single" w:color="000000" w:sz="4" w:space="0"/>
            </w:tcBorders>
            <w:noWrap w:val="0"/>
            <w:vAlign w:val="center"/>
          </w:tcPr>
          <w:p w14:paraId="30F14958">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1974" w:type="dxa"/>
            <w:gridSpan w:val="3"/>
            <w:tcBorders>
              <w:top w:val="single" w:color="000000" w:sz="4" w:space="0"/>
              <w:left w:val="single" w:color="000000" w:sz="4" w:space="0"/>
              <w:bottom w:val="single" w:color="000000" w:sz="4" w:space="0"/>
              <w:right w:val="single" w:color="000000" w:sz="4" w:space="0"/>
            </w:tcBorders>
            <w:noWrap w:val="0"/>
            <w:vAlign w:val="center"/>
          </w:tcPr>
          <w:p w14:paraId="0D9B1DB9">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6CC88A01">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0.00%</w:t>
            </w:r>
          </w:p>
        </w:tc>
        <w:tc>
          <w:tcPr>
            <w:tcW w:w="366" w:type="dxa"/>
            <w:tcBorders>
              <w:top w:val="single" w:color="000000" w:sz="4" w:space="0"/>
              <w:left w:val="single" w:color="000000" w:sz="4" w:space="0"/>
              <w:bottom w:val="single" w:color="000000" w:sz="4" w:space="0"/>
              <w:right w:val="single" w:color="000000" w:sz="4" w:space="0"/>
            </w:tcBorders>
            <w:noWrap w:val="0"/>
            <w:vAlign w:val="center"/>
          </w:tcPr>
          <w:p w14:paraId="07B90D6F">
            <w:pPr>
              <w:keepNext w:val="0"/>
              <w:keepLines w:val="0"/>
              <w:widowControl/>
              <w:suppressLineNumbers w:val="0"/>
              <w:jc w:val="center"/>
              <w:textAlignment w:val="center"/>
              <w:rPr>
                <w:rFonts w:hint="eastAsia" w:ascii="Times New Roman" w:hAnsi="Times New Roman" w:eastAsia="仿宋_GB2312" w:cs="Times New Roman"/>
                <w:color w:val="auto"/>
                <w:kern w:val="2"/>
                <w:position w:val="0"/>
                <w:sz w:val="32"/>
                <w:szCs w:val="32"/>
                <w:lang w:val="en-US" w:eastAsia="zh-CN" w:bidi="ar-SA"/>
              </w:rPr>
            </w:pPr>
            <w:r>
              <w:rPr>
                <w:rFonts w:ascii="宋体" w:hAnsi="宋体" w:eastAsia="宋体" w:cs="宋体"/>
                <w:i w:val="0"/>
                <w:iCs w:val="0"/>
                <w:color w:val="000000"/>
                <w:kern w:val="0"/>
                <w:sz w:val="18"/>
                <w:szCs w:val="18"/>
                <w:u w:val="none"/>
                <w:lang w:val="en-US" w:eastAsia="zh-CN" w:bidi="ar"/>
              </w:rPr>
              <w:t>/</w:t>
            </w:r>
          </w:p>
        </w:tc>
        <w:tc>
          <w:tcPr>
            <w:tcW w:w="331" w:type="dxa"/>
            <w:tcBorders>
              <w:top w:val="single" w:color="000000" w:sz="4" w:space="0"/>
              <w:left w:val="single" w:color="000000" w:sz="4" w:space="0"/>
              <w:bottom w:val="single" w:color="000000" w:sz="4" w:space="0"/>
              <w:right w:val="single" w:color="000000" w:sz="4" w:space="0"/>
            </w:tcBorders>
            <w:noWrap w:val="0"/>
            <w:vAlign w:val="center"/>
          </w:tcPr>
          <w:p w14:paraId="467D6A5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42B4E">
            <w:pPr>
              <w:rPr>
                <w:rFonts w:hint="eastAsia" w:ascii="Times New Roman" w:hAnsi="Times New Roman" w:eastAsia="仿宋_GB2312" w:cs="Times New Roman"/>
                <w:color w:val="auto"/>
                <w:kern w:val="2"/>
                <w:position w:val="0"/>
                <w:sz w:val="32"/>
                <w:szCs w:val="32"/>
                <w:lang w:val="en-US" w:eastAsia="zh-CN" w:bidi="ar-SA"/>
              </w:rPr>
            </w:pPr>
          </w:p>
        </w:tc>
      </w:tr>
    </w:tbl>
    <w:p w14:paraId="73EAE08A">
      <w:pPr>
        <w:pStyle w:val="14"/>
        <w:keepNext w:val="0"/>
        <w:keepLines w:val="0"/>
        <w:pageBreakBefore w:val="0"/>
        <w:kinsoku/>
        <w:wordWrap/>
        <w:overflowPunct/>
        <w:topLinePunct w:val="0"/>
        <w:autoSpaceDE/>
        <w:autoSpaceDN/>
        <w:bidi w:val="0"/>
        <w:spacing w:after="0" w:line="578" w:lineRule="exact"/>
        <w:ind w:left="0" w:leftChars="0"/>
        <w:rPr>
          <w:rFonts w:hint="default" w:ascii="Times New Roman" w:hAnsi="Times New Roman" w:eastAsia="仿宋_GB2312" w:cs="Times New Roman"/>
          <w:color w:val="auto"/>
          <w:kern w:val="2"/>
          <w:position w:val="0"/>
          <w:sz w:val="32"/>
          <w:szCs w:val="32"/>
          <w:lang w:val="en-US" w:eastAsia="zh-CN" w:bidi="ar-SA"/>
        </w:rPr>
      </w:pPr>
    </w:p>
    <w:p w14:paraId="771B0CB6">
      <w:pPr>
        <w:keepNext w:val="0"/>
        <w:keepLines w:val="0"/>
        <w:pageBreakBefore w:val="0"/>
        <w:widowControl w:val="0"/>
        <w:kinsoku/>
        <w:wordWrap/>
        <w:overflowPunct/>
        <w:topLinePunct w:val="0"/>
        <w:autoSpaceDE/>
        <w:autoSpaceDN/>
        <w:bidi w:val="0"/>
        <w:spacing w:line="578" w:lineRule="exact"/>
        <w:ind w:left="0" w:leftChars="0"/>
        <w:textAlignment w:val="auto"/>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en-US" w:eastAsia="zh-CN" w:bidi="ar-SA"/>
        </w:rPr>
        <w:t>附件5</w:t>
      </w:r>
    </w:p>
    <w:p w14:paraId="4E35E96B">
      <w:pPr>
        <w:pStyle w:val="36"/>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78C608A1">
      <w:pPr>
        <w:keepNext w:val="0"/>
        <w:keepLines w:val="0"/>
        <w:pageBreakBefore w:val="0"/>
        <w:widowControl w:val="0"/>
        <w:kinsoku/>
        <w:wordWrap/>
        <w:overflowPunct/>
        <w:topLinePunct w:val="0"/>
        <w:autoSpaceDE/>
        <w:autoSpaceDN/>
        <w:bidi w:val="0"/>
        <w:adjustRightInd w:val="0"/>
        <w:snapToGrid w:val="0"/>
        <w:spacing w:line="578" w:lineRule="exact"/>
        <w:ind w:left="2775" w:leftChars="274" w:hanging="2200" w:hangingChars="500"/>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雨露计划专项预算项目绩效评价报告</w:t>
      </w:r>
    </w:p>
    <w:p w14:paraId="7A5461F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一、</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项目概况</w:t>
      </w:r>
    </w:p>
    <w:p w14:paraId="7DF71887">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（一）设立背景及基本情况。</w:t>
      </w:r>
    </w:p>
    <w:p w14:paraId="7FA6BC1A">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 xml:space="preserve">项目设立原因及背景：党的十九大报告指出:“建设教育强国是中华民族伟大复兴的基础工程，必须把教育事业放在优先位置，加快教育现代化，办好人民满意的教育。”这是以 习近平同志为核心的党中央向全国人民做出的庄严承诺，为我国教育事业发展指 明了方向。建设教育强国，加快教育现代化，是我国推进社会主义现代化、建成社会主义现代化强国的应有之义，也是实现中华民族伟大复兴的中国梦和实现人民对美好生活的向往的必然要求。 </w:t>
      </w:r>
    </w:p>
    <w:p w14:paraId="731F35F7">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中共中央办公厅、国务院办公厅印发了《加快推进教育现代化实施方案（2018 －2022 年）》、《中华人民共和国国民经济和社会发展第十四个五年规划和 2035 年远景目标纲要》、《2022 年政府工作报告》等政策文件提出“科学推进城乡义务教育公办学校标准化建设，改善薄弱学校和寄宿制学校办学条件，推进业务教育均衡发展”。这些年，金川县义务学校办学条件逐渐完善，教学质量和教学环境已经发生 了显著的变化，但由于地理因素制约，目前的教学条件与同级别学校办学条件相比较还是有所不足。</w:t>
      </w:r>
    </w:p>
    <w:p w14:paraId="6E271A56">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项目立项、资金申报的依据：根据</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教育事业统计学生人数上级教育财政部门按标准下达各项补助资金</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w:t>
      </w:r>
    </w:p>
    <w:p w14:paraId="30CEA407">
      <w:pPr>
        <w:spacing w:line="560" w:lineRule="exact"/>
        <w:ind w:firstLine="640" w:firstLineChars="200"/>
        <w:rPr>
          <w:rFonts w:hint="default"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项目主要内容</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。金财农整合（202</w:t>
      </w:r>
      <w:r>
        <w:rPr>
          <w:rFonts w:hint="eastAsia" w:eastAsia="仿宋_GB2312" w:cs="Times New Roman"/>
          <w:color w:val="000000"/>
          <w:kern w:val="0"/>
          <w:position w:val="0"/>
          <w:sz w:val="32"/>
          <w:szCs w:val="32"/>
          <w:highlight w:val="none"/>
          <w:shd w:val="clear" w:color="auto" w:fill="FFFFFF"/>
          <w:lang w:val="en-US" w:eastAsia="zh-CN" w:bidi="ar-SA"/>
        </w:rPr>
        <w:t>4</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）2号，202</w:t>
      </w:r>
      <w:r>
        <w:rPr>
          <w:rFonts w:hint="eastAsia" w:eastAsia="仿宋_GB2312" w:cs="Times New Roman"/>
          <w:color w:val="000000"/>
          <w:kern w:val="0"/>
          <w:position w:val="0"/>
          <w:sz w:val="32"/>
          <w:szCs w:val="32"/>
          <w:highlight w:val="none"/>
          <w:shd w:val="clear" w:color="auto" w:fill="FFFFFF"/>
          <w:lang w:val="en-US" w:eastAsia="zh-CN" w:bidi="ar-SA"/>
        </w:rPr>
        <w:t>4</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年第一批财政涉农整合资金，下达资金</w:t>
      </w:r>
      <w:r>
        <w:rPr>
          <w:rFonts w:hint="eastAsia" w:eastAsia="仿宋_GB2312" w:cs="Times New Roman"/>
          <w:color w:val="000000"/>
          <w:kern w:val="0"/>
          <w:position w:val="0"/>
          <w:sz w:val="32"/>
          <w:szCs w:val="32"/>
          <w:highlight w:val="none"/>
          <w:shd w:val="clear" w:color="auto" w:fill="FFFFFF"/>
          <w:lang w:val="en-US" w:eastAsia="zh-CN" w:bidi="ar-SA"/>
        </w:rPr>
        <w:t>100</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.00 万元。补助325人次，发放资金</w:t>
      </w:r>
      <w:r>
        <w:rPr>
          <w:rFonts w:hint="eastAsia" w:eastAsia="仿宋_GB2312" w:cs="Times New Roman"/>
          <w:color w:val="000000"/>
          <w:kern w:val="0"/>
          <w:position w:val="0"/>
          <w:sz w:val="32"/>
          <w:szCs w:val="32"/>
          <w:highlight w:val="none"/>
          <w:shd w:val="clear" w:color="auto" w:fill="FFFFFF"/>
          <w:lang w:val="en-US" w:eastAsia="zh-CN" w:bidi="ar-SA"/>
        </w:rPr>
        <w:t>100.00</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万元。</w:t>
      </w:r>
    </w:p>
    <w:p w14:paraId="212CB201">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rPr>
          <w:rFonts w:hint="default"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主管部门职能：</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一是负责各中小学校教育教学管理和指导工作。二是负责各中小学校经费管理和监督指导工作</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三是负责组织实施基建、设备等项目管理监督工作。</w:t>
      </w:r>
    </w:p>
    <w:p w14:paraId="1F99503A">
      <w:pPr>
        <w:snapToGrid w:val="0"/>
        <w:spacing w:line="600" w:lineRule="exact"/>
        <w:ind w:firstLine="640" w:firstLineChars="200"/>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（二）</w:t>
      </w:r>
      <w:r>
        <w:rPr>
          <w:rFonts w:hint="default" w:ascii="Times New Roman" w:hAnsi="Times New Roman" w:eastAsia="仿宋_GB2312" w:cs="Times New Roman"/>
          <w:color w:val="000000"/>
          <w:kern w:val="0"/>
          <w:position w:val="0"/>
          <w:sz w:val="32"/>
          <w:szCs w:val="32"/>
          <w:highlight w:val="none"/>
          <w:shd w:val="clear" w:color="auto" w:fill="FFFFFF"/>
          <w:lang w:val="en-US" w:eastAsia="zh-CN" w:bidi="ar-SA"/>
        </w:rPr>
        <w:t>实施目的及支持方向</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。项目实施目的：让在校学生享受减免补补助资金，让学生在校住得下、学得好、吃得好、留得住。有完善的</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管理办法。主要工作任务：</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用好城乡义务教育补助资金</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发挥资金最大效益。提高财政资源配置效率和财政资金使用效益。</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项目支持方向：</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在校普通高中学生</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w:t>
      </w:r>
    </w:p>
    <w:p w14:paraId="499ED67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（三）</w:t>
      </w:r>
      <w:r>
        <w:rPr>
          <w:rFonts w:hint="default" w:ascii="Times New Roman" w:hAnsi="Times New Roman" w:eastAsia="仿宋_GB2312" w:cs="Times New Roman"/>
          <w:color w:val="000000"/>
          <w:kern w:val="0"/>
          <w:position w:val="0"/>
          <w:sz w:val="32"/>
          <w:szCs w:val="32"/>
          <w:highlight w:val="none"/>
          <w:shd w:val="clear" w:color="auto" w:fill="FFFFFF"/>
          <w:lang w:val="en-US" w:eastAsia="zh-CN" w:bidi="ar-SA"/>
        </w:rPr>
        <w:t>预算安排及分配管理</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。项目预算安排：</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根据上级下达的资金文件，按标准安排到各中小学校。</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项目资金分配原则：</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按标准足额分配。</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项目资金分配情况：</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学生补助按标准按人头分配到校，其他资金按各校实际需求分配</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w:t>
      </w:r>
    </w:p>
    <w:p w14:paraId="0FE63620">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（四）项目绩效目标设置。</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数量指标、质量指标、时效指标、经济效益指标、社会效益指标、服务对象满意度指标、经济成本指标</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根据绩效目标设置情况全方位进行自评工作。</w:t>
      </w:r>
    </w:p>
    <w:p w14:paraId="6AAFB54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二、评价实施</w:t>
      </w:r>
    </w:p>
    <w:p w14:paraId="7F99881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（一）评价目的。</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应用规范的绩效指标体系和科学的评价方法，全面客观评价财政支出项目完成情况和实施效果。及时总结经验，分析存在的问题。采取有效措施，进一步加强项目管理。为政府决策提供参考依据。</w:t>
      </w:r>
    </w:p>
    <w:p w14:paraId="33AA8EE9">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（二）预设问题及评价重点。</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按照绩效评价指标体系，对资金支出使用全过程及其实施效果进行综合评价和判断。</w:t>
      </w:r>
    </w:p>
    <w:p w14:paraId="4C7272B6">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（三）评价选点。</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金川县</w:t>
      </w:r>
    </w:p>
    <w:p w14:paraId="35D2AB96">
      <w:pPr>
        <w:keepNext w:val="0"/>
        <w:keepLines w:val="0"/>
        <w:pageBreakBefore w:val="0"/>
        <w:widowControl w:val="0"/>
        <w:numPr>
          <w:ilvl w:val="0"/>
          <w:numId w:val="0"/>
        </w:numPr>
        <w:kinsoku/>
        <w:wordWrap/>
        <w:overflowPunct/>
        <w:topLinePunct w:val="0"/>
        <w:autoSpaceDE/>
        <w:autoSpaceDN/>
        <w:bidi w:val="0"/>
        <w:spacing w:line="578" w:lineRule="exact"/>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（四）评价方法。</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项目单位自评，业务股室监督，绩效股审核通过。</w:t>
      </w:r>
    </w:p>
    <w:p w14:paraId="2A8C4A2F">
      <w:pPr>
        <w:pStyle w:val="21"/>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（五）评价组织。</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组长：邓云勇</w:t>
      </w:r>
    </w:p>
    <w:p w14:paraId="5443A654">
      <w:pP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副组长：王富成</w:t>
      </w:r>
    </w:p>
    <w:p w14:paraId="758D71E4">
      <w:pPr>
        <w:pStyle w:val="21"/>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成员：吉刚     张昌勋    李江陵</w:t>
      </w:r>
    </w:p>
    <w:p w14:paraId="6D7BCCA0">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三、绩效分析</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ab/>
      </w:r>
    </w:p>
    <w:p w14:paraId="727317E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default" w:ascii="Times New Roman" w:hAnsi="Times New Roman" w:eastAsia="仿宋_GB2312" w:cs="Times New Roman"/>
          <w:color w:val="000000"/>
          <w:kern w:val="0"/>
          <w:position w:val="0"/>
          <w:sz w:val="32"/>
          <w:szCs w:val="32"/>
          <w:highlight w:val="none"/>
          <w:shd w:val="clear" w:color="auto" w:fill="FFFFFF"/>
          <w:lang w:val="zh-CN" w:eastAsia="zh-CN" w:bidi="ar-SA"/>
        </w:rPr>
        <w:t>根据</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项目</w:t>
      </w:r>
      <w:r>
        <w:rPr>
          <w:rFonts w:hint="default" w:ascii="Times New Roman" w:hAnsi="Times New Roman" w:eastAsia="仿宋_GB2312" w:cs="Times New Roman"/>
          <w:color w:val="000000"/>
          <w:kern w:val="0"/>
          <w:position w:val="0"/>
          <w:sz w:val="32"/>
          <w:szCs w:val="32"/>
          <w:highlight w:val="none"/>
          <w:shd w:val="clear" w:color="auto" w:fill="FFFFFF"/>
          <w:lang w:val="zh-CN" w:eastAsia="zh-CN" w:bidi="ar-SA"/>
        </w:rPr>
        <w:t>预算绩效评价指标体系“</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通用指标</w:t>
      </w:r>
      <w:r>
        <w:rPr>
          <w:rFonts w:hint="default" w:ascii="Times New Roman" w:hAnsi="Times New Roman" w:eastAsia="仿宋_GB2312" w:cs="Times New Roman"/>
          <w:color w:val="000000"/>
          <w:kern w:val="0"/>
          <w:position w:val="0"/>
          <w:sz w:val="32"/>
          <w:szCs w:val="32"/>
          <w:highlight w:val="none"/>
          <w:shd w:val="clear" w:color="auto" w:fill="FFFFFF"/>
          <w:lang w:val="zh-CN" w:eastAsia="zh-CN" w:bidi="ar-SA"/>
        </w:rPr>
        <w:t>”</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“专用指标”“个性指标”</w:t>
      </w:r>
      <w:r>
        <w:rPr>
          <w:rFonts w:hint="default" w:ascii="Times New Roman" w:hAnsi="Times New Roman" w:eastAsia="仿宋_GB2312" w:cs="Times New Roman"/>
          <w:color w:val="000000"/>
          <w:kern w:val="0"/>
          <w:position w:val="0"/>
          <w:sz w:val="32"/>
          <w:szCs w:val="32"/>
          <w:highlight w:val="none"/>
          <w:shd w:val="clear" w:color="auto" w:fill="FFFFFF"/>
          <w:lang w:val="zh-CN" w:eastAsia="zh-CN" w:bidi="ar-SA"/>
        </w:rPr>
        <w:t>涉及</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二、三级</w:t>
      </w:r>
      <w:r>
        <w:rPr>
          <w:rFonts w:hint="default" w:ascii="Times New Roman" w:hAnsi="Times New Roman" w:eastAsia="仿宋_GB2312" w:cs="Times New Roman"/>
          <w:color w:val="000000"/>
          <w:kern w:val="0"/>
          <w:position w:val="0"/>
          <w:sz w:val="32"/>
          <w:szCs w:val="32"/>
          <w:highlight w:val="none"/>
          <w:shd w:val="clear" w:color="auto" w:fill="FFFFFF"/>
          <w:lang w:val="zh-CN" w:eastAsia="zh-CN" w:bidi="ar-SA"/>
        </w:rPr>
        <w:t>指标进行</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逐项</w:t>
      </w:r>
      <w:r>
        <w:rPr>
          <w:rFonts w:hint="default" w:ascii="Times New Roman" w:hAnsi="Times New Roman" w:eastAsia="仿宋_GB2312" w:cs="Times New Roman"/>
          <w:color w:val="000000"/>
          <w:kern w:val="0"/>
          <w:position w:val="0"/>
          <w:sz w:val="32"/>
          <w:szCs w:val="32"/>
          <w:highlight w:val="none"/>
          <w:shd w:val="clear" w:color="auto" w:fill="FFFFFF"/>
          <w:lang w:val="zh-CN" w:eastAsia="zh-CN" w:bidi="ar-SA"/>
        </w:rPr>
        <w:t>绩效分析</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并评分</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w:t>
      </w:r>
    </w:p>
    <w:p w14:paraId="19479AA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（一）</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通用指标</w:t>
      </w:r>
      <w:r>
        <w:rPr>
          <w:rFonts w:hint="default" w:ascii="Times New Roman" w:hAnsi="Times New Roman" w:eastAsia="仿宋_GB2312" w:cs="Times New Roman"/>
          <w:color w:val="000000"/>
          <w:kern w:val="0"/>
          <w:position w:val="0"/>
          <w:sz w:val="32"/>
          <w:szCs w:val="32"/>
          <w:highlight w:val="none"/>
          <w:shd w:val="clear" w:color="auto" w:fill="FFFFFF"/>
          <w:lang w:val="zh-CN" w:eastAsia="zh-CN" w:bidi="ar-SA"/>
        </w:rPr>
        <w:t>绩效分析。</w:t>
      </w:r>
    </w:p>
    <w:p w14:paraId="0944E4D8">
      <w:pPr>
        <w:keepNext w:val="0"/>
        <w:keepLines w:val="0"/>
        <w:pageBreakBefore w:val="0"/>
        <w:widowControl w:val="0"/>
        <w:kinsoku/>
        <w:wordWrap/>
        <w:overflowPunct/>
        <w:topLinePunct w:val="0"/>
        <w:autoSpaceDE/>
        <w:autoSpaceDN/>
        <w:spacing w:line="578" w:lineRule="exact"/>
        <w:ind w:firstLine="640" w:firstLineChars="200"/>
        <w:rPr>
          <w:rFonts w:hint="default"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1.项目决策。根据我县中小学实际需求安排项目资金，通过局党组会研究决定项目学校。</w:t>
      </w:r>
    </w:p>
    <w:p w14:paraId="474753F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2.项目管理。严格按照项目管理办法开展工作，部门自评，业务股室监控，财务绩效股重点监控。</w:t>
      </w:r>
    </w:p>
    <w:p w14:paraId="578DF21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3.项目实施。项目实施完成100%，资金拨付98.14%。</w:t>
      </w:r>
    </w:p>
    <w:p w14:paraId="197FE100">
      <w:pPr>
        <w:keepNext w:val="0"/>
        <w:keepLines w:val="0"/>
        <w:pageBreakBefore w:val="0"/>
        <w:widowControl w:val="0"/>
        <w:kinsoku/>
        <w:wordWrap/>
        <w:overflowPunct/>
        <w:topLinePunct w:val="0"/>
        <w:autoSpaceDE/>
        <w:autoSpaceDN/>
        <w:bidi w:val="0"/>
        <w:adjustRightInd/>
        <w:snapToGrid/>
        <w:spacing w:line="578" w:lineRule="exact"/>
        <w:ind w:left="420" w:leftChars="200" w:firstLine="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4.项目结果。补助资金的发放，减轻了学生家庭经济负担，让学生在学校学得好，留得住。</w:t>
      </w:r>
    </w:p>
    <w:p w14:paraId="7211E42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（二）</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专用指标</w:t>
      </w:r>
      <w:r>
        <w:rPr>
          <w:rFonts w:hint="default" w:ascii="Times New Roman" w:hAnsi="Times New Roman" w:eastAsia="仿宋_GB2312" w:cs="Times New Roman"/>
          <w:color w:val="000000"/>
          <w:kern w:val="0"/>
          <w:position w:val="0"/>
          <w:sz w:val="32"/>
          <w:szCs w:val="32"/>
          <w:highlight w:val="none"/>
          <w:shd w:val="clear" w:color="auto" w:fill="FFFFFF"/>
          <w:lang w:val="zh-CN" w:eastAsia="zh-CN" w:bidi="ar-SA"/>
        </w:rPr>
        <w:t>绩效分析。</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根据</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专项预算项目资金支持对象选择所属指标进行绩效分析。支持对象</w:t>
      </w: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包括产业发展、民生保障、基础设施、行政运转等方面。</w:t>
      </w:r>
    </w:p>
    <w:p w14:paraId="28C18263">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民生保障。</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资金到位127.00万元，实际支付124.65万元，结余资金2.35万元。</w:t>
      </w:r>
    </w:p>
    <w:p w14:paraId="7397DB04">
      <w:pPr>
        <w:keepNext w:val="0"/>
        <w:keepLines w:val="0"/>
        <w:pageBreakBefore w:val="0"/>
        <w:widowControl w:val="0"/>
        <w:kinsoku/>
        <w:wordWrap/>
        <w:overflowPunct/>
        <w:topLinePunct w:val="0"/>
        <w:autoSpaceDE/>
        <w:autoSpaceDN/>
        <w:bidi w:val="0"/>
        <w:adjustRightInd/>
        <w:snapToGrid/>
        <w:spacing w:line="578" w:lineRule="exact"/>
        <w:ind w:firstLine="320" w:firstLineChars="10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（三）</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个性指标</w:t>
      </w:r>
      <w:r>
        <w:rPr>
          <w:rFonts w:hint="default" w:ascii="Times New Roman" w:hAnsi="Times New Roman" w:eastAsia="仿宋_GB2312" w:cs="Times New Roman"/>
          <w:color w:val="000000"/>
          <w:kern w:val="0"/>
          <w:position w:val="0"/>
          <w:sz w:val="32"/>
          <w:szCs w:val="32"/>
          <w:highlight w:val="none"/>
          <w:shd w:val="clear" w:color="auto" w:fill="FFFFFF"/>
          <w:lang w:val="zh-CN" w:eastAsia="zh-CN" w:bidi="ar-SA"/>
        </w:rPr>
        <w:t>绩效分析。</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社会效益：得到了社会各界的好评100%。满意度：家长、师生满意度100%。</w:t>
      </w:r>
    </w:p>
    <w:p w14:paraId="3ABFB44D">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四、评价结论</w:t>
      </w:r>
    </w:p>
    <w:p w14:paraId="05E218FB">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该项目评估总得分98、评估等级优、严格按照绩效目标实施项目，符合高中助学金管理程序，验收合格率100%。项目实施完成后得到师生的好评，进一步减轻了在校学生家庭经济负担。</w:t>
      </w:r>
    </w:p>
    <w:p w14:paraId="05DFB56A">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五、存在主要问题</w:t>
      </w:r>
    </w:p>
    <w:p w14:paraId="5107FE99">
      <w:pPr>
        <w:pStyle w:val="6"/>
        <w:pageBreakBefore w:val="0"/>
        <w:widowControl/>
        <w:tabs>
          <w:tab w:val="left" w:pos="2160"/>
        </w:tabs>
        <w:kinsoku/>
        <w:wordWrap/>
        <w:overflowPunct/>
        <w:topLinePunct w:val="0"/>
        <w:autoSpaceDE/>
        <w:autoSpaceDN/>
        <w:bidi w:val="0"/>
        <w:adjustRightInd/>
        <w:spacing w:line="600" w:lineRule="exact"/>
        <w:ind w:left="0" w:firstLine="640" w:firstLineChars="200"/>
        <w:textAlignment w:val="auto"/>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在校高中学生不能全部享受高中助学金，我州只覆盖在校学生的50%。。</w:t>
      </w:r>
    </w:p>
    <w:p w14:paraId="0C81DB85">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六、改进建议</w:t>
      </w:r>
    </w:p>
    <w:p w14:paraId="7662880F">
      <w:pPr>
        <w:pStyle w:val="6"/>
        <w:tabs>
          <w:tab w:val="left" w:pos="2160"/>
        </w:tabs>
        <w:spacing w:after="0" w:line="560" w:lineRule="exact"/>
        <w:ind w:firstLine="640" w:firstLineChars="200"/>
        <w:rPr>
          <w:rFonts w:hint="default"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zh-CN" w:eastAsia="zh-CN" w:bidi="ar-SA"/>
        </w:rPr>
        <w:t xml:space="preserve"> </w:t>
      </w: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 xml:space="preserve"> 建议将在校学生全部纳入高中助学及补助范围。</w:t>
      </w:r>
    </w:p>
    <w:p w14:paraId="6EA1B5A7">
      <w:pPr>
        <w:keepNext w:val="0"/>
        <w:keepLines w:val="0"/>
        <w:pageBreakBefore w:val="0"/>
        <w:kinsoku/>
        <w:wordWrap/>
        <w:overflowPunct/>
        <w:topLinePunct w:val="0"/>
        <w:autoSpaceDE/>
        <w:autoSpaceDN/>
        <w:bidi w:val="0"/>
        <w:adjustRightInd/>
        <w:snapToGrid w:val="0"/>
        <w:spacing w:line="578" w:lineRule="exact"/>
        <w:ind w:firstLine="640" w:firstLineChars="200"/>
        <w:textAlignment w:val="auto"/>
        <w:outlineLvl w:val="9"/>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附表：1.项目资金分配涉及所有点位自评得分情况表</w:t>
      </w:r>
    </w:p>
    <w:p w14:paraId="4DB563E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Times New Roman"/>
          <w:color w:val="000000"/>
          <w:kern w:val="0"/>
          <w:position w:val="0"/>
          <w:sz w:val="32"/>
          <w:szCs w:val="32"/>
          <w:highlight w:val="none"/>
          <w:shd w:val="clear" w:color="auto" w:fill="FFFFFF"/>
          <w:lang w:val="en-US" w:eastAsia="zh-CN" w:bidi="ar-SA"/>
        </w:rPr>
        <w:t>2.专项预算项目绩效目标完成情况自评表</w:t>
      </w:r>
    </w:p>
    <w:p w14:paraId="166BA45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6F21A1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4"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2BCF2517">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51"/>
      <w:bookmarkEnd w:id="54"/>
      <w:bookmarkStart w:id="55" w:name="_Toc15396619"/>
    </w:p>
    <w:p w14:paraId="09B10DF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74EE900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5"/>
    </w:p>
    <w:p w14:paraId="7B2E5F2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0"/>
      <w:r>
        <w:rPr>
          <w:rFonts w:hint="eastAsia" w:ascii="Times New Roman" w:hAnsi="Times New Roman" w:eastAsia="仿宋_GB2312" w:cs="仿宋_GB2312"/>
          <w:color w:val="auto"/>
          <w:sz w:val="32"/>
          <w:szCs w:val="32"/>
          <w:highlight w:val="none"/>
        </w:rPr>
        <w:t>二、收入决算表</w:t>
      </w:r>
      <w:bookmarkEnd w:id="56"/>
    </w:p>
    <w:p w14:paraId="7C66095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1"/>
      <w:r>
        <w:rPr>
          <w:rFonts w:hint="eastAsia" w:ascii="Times New Roman" w:hAnsi="Times New Roman" w:eastAsia="仿宋_GB2312" w:cs="仿宋_GB2312"/>
          <w:color w:val="auto"/>
          <w:sz w:val="32"/>
          <w:szCs w:val="32"/>
          <w:highlight w:val="none"/>
        </w:rPr>
        <w:t>三、支出决算表</w:t>
      </w:r>
      <w:bookmarkEnd w:id="57"/>
    </w:p>
    <w:p w14:paraId="4F20424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2"/>
      <w:r>
        <w:rPr>
          <w:rFonts w:hint="eastAsia" w:ascii="Times New Roman" w:hAnsi="Times New Roman" w:eastAsia="仿宋_GB2312" w:cs="仿宋_GB2312"/>
          <w:color w:val="auto"/>
          <w:sz w:val="32"/>
          <w:szCs w:val="32"/>
          <w:highlight w:val="none"/>
        </w:rPr>
        <w:t>四、财政拨款收入支出决算总表</w:t>
      </w:r>
      <w:bookmarkEnd w:id="58"/>
    </w:p>
    <w:p w14:paraId="607FA02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3"/>
      <w:r>
        <w:rPr>
          <w:rFonts w:hint="eastAsia" w:ascii="Times New Roman" w:hAnsi="Times New Roman" w:eastAsia="仿宋_GB2312" w:cs="仿宋_GB2312"/>
          <w:color w:val="auto"/>
          <w:sz w:val="32"/>
          <w:szCs w:val="32"/>
          <w:highlight w:val="none"/>
        </w:rPr>
        <w:t>五、财政拨款支出决算明细表</w:t>
      </w:r>
      <w:bookmarkEnd w:id="59"/>
      <w:bookmarkStart w:id="60" w:name="_Toc15396624"/>
    </w:p>
    <w:p w14:paraId="18352A3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0"/>
    </w:p>
    <w:p w14:paraId="28FBE43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5"/>
      <w:r>
        <w:rPr>
          <w:rFonts w:hint="eastAsia" w:ascii="Times New Roman" w:hAnsi="Times New Roman" w:eastAsia="仿宋_GB2312" w:cs="仿宋_GB2312"/>
          <w:color w:val="auto"/>
          <w:sz w:val="32"/>
          <w:szCs w:val="32"/>
          <w:highlight w:val="none"/>
        </w:rPr>
        <w:t>七、一般公共预算财政拨款支出决算明细表</w:t>
      </w:r>
      <w:bookmarkEnd w:id="61"/>
    </w:p>
    <w:p w14:paraId="25B9B21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6"/>
      <w:r>
        <w:rPr>
          <w:rFonts w:hint="eastAsia" w:ascii="Times New Roman" w:hAnsi="Times New Roman" w:eastAsia="仿宋_GB2312" w:cs="仿宋_GB2312"/>
          <w:color w:val="auto"/>
          <w:sz w:val="32"/>
          <w:szCs w:val="32"/>
          <w:highlight w:val="none"/>
        </w:rPr>
        <w:t>八、一般公共预算财政拨款基本支出决算表</w:t>
      </w:r>
      <w:bookmarkEnd w:id="62"/>
    </w:p>
    <w:p w14:paraId="5D6790A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7"/>
      <w:r>
        <w:rPr>
          <w:rFonts w:hint="eastAsia" w:ascii="Times New Roman" w:hAnsi="Times New Roman" w:eastAsia="仿宋_GB2312" w:cs="仿宋_GB2312"/>
          <w:color w:val="auto"/>
          <w:sz w:val="32"/>
          <w:szCs w:val="32"/>
          <w:highlight w:val="none"/>
        </w:rPr>
        <w:t>九、一般公共预算财政拨款项目支出决算表</w:t>
      </w:r>
      <w:bookmarkEnd w:id="63"/>
    </w:p>
    <w:p w14:paraId="5D6F6BE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8"/>
      <w:r>
        <w:rPr>
          <w:rFonts w:hint="eastAsia" w:ascii="Times New Roman" w:hAnsi="Times New Roman" w:eastAsia="仿宋_GB2312" w:cs="仿宋_GB2312"/>
          <w:color w:val="auto"/>
          <w:sz w:val="32"/>
          <w:szCs w:val="32"/>
          <w:highlight w:val="none"/>
        </w:rPr>
        <w:t>十、</w:t>
      </w:r>
      <w:bookmarkEnd w:id="64"/>
      <w:r>
        <w:rPr>
          <w:rFonts w:hint="eastAsia" w:ascii="Times New Roman" w:hAnsi="Times New Roman" w:eastAsia="仿宋_GB2312" w:cs="仿宋_GB2312"/>
          <w:color w:val="auto"/>
          <w:sz w:val="32"/>
          <w:szCs w:val="32"/>
          <w:highlight w:val="none"/>
        </w:rPr>
        <w:t>政府性基金预算财政拨款收入支出决算表</w:t>
      </w:r>
    </w:p>
    <w:p w14:paraId="7ADAFDE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9"/>
      <w:r>
        <w:rPr>
          <w:rFonts w:hint="eastAsia" w:ascii="Times New Roman" w:hAnsi="Times New Roman" w:eastAsia="仿宋_GB2312" w:cs="仿宋_GB2312"/>
          <w:color w:val="auto"/>
          <w:sz w:val="32"/>
          <w:szCs w:val="32"/>
          <w:highlight w:val="none"/>
        </w:rPr>
        <w:t>十一、</w:t>
      </w:r>
      <w:bookmarkEnd w:id="6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5A0EC3A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30"/>
      <w:r>
        <w:rPr>
          <w:rFonts w:hint="eastAsia" w:ascii="Times New Roman" w:hAnsi="Times New Roman" w:eastAsia="仿宋_GB2312" w:cs="仿宋_GB2312"/>
          <w:color w:val="auto"/>
          <w:sz w:val="32"/>
          <w:szCs w:val="32"/>
          <w:highlight w:val="none"/>
        </w:rPr>
        <w:t>十二、</w:t>
      </w:r>
      <w:bookmarkEnd w:id="66"/>
      <w:r>
        <w:rPr>
          <w:rFonts w:hint="eastAsia" w:ascii="Times New Roman" w:hAnsi="Times New Roman" w:eastAsia="仿宋_GB2312" w:cs="仿宋_GB2312"/>
          <w:color w:val="auto"/>
          <w:sz w:val="32"/>
          <w:szCs w:val="32"/>
          <w:highlight w:val="none"/>
          <w:lang w:eastAsia="zh-CN"/>
        </w:rPr>
        <w:t>国有资本经营预算财政拨款支出决算表</w:t>
      </w:r>
    </w:p>
    <w:p w14:paraId="33768DD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7" w:name="_Toc15396631"/>
      <w:r>
        <w:rPr>
          <w:rFonts w:hint="eastAsia" w:ascii="Times New Roman" w:hAnsi="Times New Roman" w:eastAsia="仿宋_GB2312" w:cs="仿宋_GB2312"/>
          <w:color w:val="auto"/>
          <w:sz w:val="32"/>
          <w:szCs w:val="32"/>
          <w:highlight w:val="none"/>
        </w:rPr>
        <w:t>十三、</w:t>
      </w:r>
      <w:bookmarkEnd w:id="67"/>
      <w:r>
        <w:rPr>
          <w:rFonts w:hint="eastAsia" w:ascii="Times New Roman" w:hAnsi="Times New Roman" w:eastAsia="仿宋_GB2312" w:cs="仿宋_GB2312"/>
          <w:color w:val="auto"/>
          <w:sz w:val="32"/>
          <w:szCs w:val="32"/>
          <w:highlight w:val="none"/>
          <w:lang w:eastAsia="zh-CN"/>
        </w:rPr>
        <w:t>财政拨款“三公”经费支出决算表</w:t>
      </w:r>
    </w:p>
    <w:p w14:paraId="08F755B3">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24DE0C-DEA7-4615-91EA-78270AAB1AB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2" w:fontKey="{8788DFCD-C811-4C7E-837C-BB58C312D45A}"/>
  </w:font>
  <w:font w:name="仿宋_GB2312">
    <w:panose1 w:val="02010609030101010101"/>
    <w:charset w:val="86"/>
    <w:family w:val="modern"/>
    <w:pitch w:val="default"/>
    <w:sig w:usb0="00000001" w:usb1="080E0000" w:usb2="00000000" w:usb3="00000000" w:csb0="00040000" w:csb1="00000000"/>
    <w:embedRegular r:id="rId3" w:fontKey="{829249AE-B197-4E64-A771-42A1162E938E}"/>
  </w:font>
  <w:font w:name="仿宋">
    <w:panose1 w:val="02010609060101010101"/>
    <w:charset w:val="86"/>
    <w:family w:val="modern"/>
    <w:pitch w:val="default"/>
    <w:sig w:usb0="800002BF" w:usb1="38CF7CFA" w:usb2="00000016" w:usb3="00000000" w:csb0="00040001" w:csb1="00000000"/>
    <w:embedRegular r:id="rId4" w:fontKey="{6827A579-9117-4926-B81B-8C57EFAF5F8C}"/>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embedRegular r:id="rId5" w:fontKey="{3483E901-FD5D-45F2-9EAF-1663F4D378B1}"/>
  </w:font>
  <w:font w:name="楷体_GB2312">
    <w:panose1 w:val="02010609030101010101"/>
    <w:charset w:val="86"/>
    <w:family w:val="auto"/>
    <w:pitch w:val="default"/>
    <w:sig w:usb0="00000001" w:usb1="080E0000" w:usb2="00000000" w:usb3="00000000" w:csb0="00040000" w:csb1="00000000"/>
    <w:embedRegular r:id="rId6" w:fontKey="{C4BE7D73-0820-447A-99C3-DE469B56CEE7}"/>
  </w:font>
  <w:font w:name="微软雅黑">
    <w:panose1 w:val="020B0503020204020204"/>
    <w:charset w:val="86"/>
    <w:family w:val="auto"/>
    <w:pitch w:val="default"/>
    <w:sig w:usb0="80000287" w:usb1="280F3C52" w:usb2="00000016" w:usb3="00000000" w:csb0="0004001F" w:csb1="00000000"/>
    <w:embedRegular r:id="rId7" w:fontKey="{F8941D0F-A0B5-4DE6-B71F-2B164A08AC93}"/>
  </w:font>
  <w:font w:name="方正小标宋_GBK">
    <w:panose1 w:val="02000000000000000000"/>
    <w:charset w:val="86"/>
    <w:family w:val="auto"/>
    <w:pitch w:val="default"/>
    <w:sig w:usb0="A00002BF" w:usb1="38CF7CFA" w:usb2="00082016" w:usb3="00000000" w:csb0="00040001" w:csb1="00000000"/>
    <w:embedRegular r:id="rId8" w:fontKey="{C5AE36EE-7926-474F-8ECF-589427E0A0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FBDAE">
    <w:pPr>
      <w:pStyle w:val="10"/>
      <w:jc w:val="center"/>
    </w:pPr>
  </w:p>
  <w:p w14:paraId="10042D0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B3DF4">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8DFCE2">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4C8DFCE2">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4D00FC7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DDCC">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1B457C6">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71B457C6">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F3554">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C99A6"/>
    <w:multiLevelType w:val="singleLevel"/>
    <w:tmpl w:val="920C99A6"/>
    <w:lvl w:ilvl="0" w:tentative="0">
      <w:start w:val="3"/>
      <w:numFmt w:val="chineseCounting"/>
      <w:suff w:val="nothing"/>
      <w:lvlText w:val="（%1）"/>
      <w:lvlJc w:val="left"/>
      <w:rPr>
        <w:rFonts w:hint="eastAsia"/>
      </w:rPr>
    </w:lvl>
  </w:abstractNum>
  <w:abstractNum w:abstractNumId="1">
    <w:nsid w:val="A6748AE8"/>
    <w:multiLevelType w:val="singleLevel"/>
    <w:tmpl w:val="A6748AE8"/>
    <w:lvl w:ilvl="0" w:tentative="0">
      <w:start w:val="1"/>
      <w:numFmt w:val="decimal"/>
      <w:lvlText w:val="%1."/>
      <w:lvlJc w:val="left"/>
      <w:pPr>
        <w:tabs>
          <w:tab w:val="left" w:pos="312"/>
        </w:tabs>
      </w:pPr>
    </w:lvl>
  </w:abstractNum>
  <w:abstractNum w:abstractNumId="2">
    <w:nsid w:val="D415158B"/>
    <w:multiLevelType w:val="singleLevel"/>
    <w:tmpl w:val="D415158B"/>
    <w:lvl w:ilvl="0" w:tentative="0">
      <w:start w:val="2"/>
      <w:numFmt w:val="decimal"/>
      <w:lvlText w:val="%1."/>
      <w:lvlJc w:val="left"/>
      <w:pPr>
        <w:tabs>
          <w:tab w:val="left" w:pos="312"/>
        </w:tabs>
      </w:pPr>
    </w:lvl>
  </w:abstractNum>
  <w:abstractNum w:abstractNumId="3">
    <w:nsid w:val="424498CB"/>
    <w:multiLevelType w:val="singleLevel"/>
    <w:tmpl w:val="424498CB"/>
    <w:lvl w:ilvl="0" w:tentative="0">
      <w:start w:val="3"/>
      <w:numFmt w:val="decimal"/>
      <w:lvlText w:val="%1."/>
      <w:lvlJc w:val="left"/>
      <w:pPr>
        <w:tabs>
          <w:tab w:val="left" w:pos="312"/>
        </w:tabs>
      </w:pPr>
    </w:lvl>
  </w:abstractNum>
  <w:abstractNum w:abstractNumId="4">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0A119C"/>
    <w:rsid w:val="04916F1E"/>
    <w:rsid w:val="061E35DE"/>
    <w:rsid w:val="066E0107"/>
    <w:rsid w:val="06F63900"/>
    <w:rsid w:val="07283BBC"/>
    <w:rsid w:val="07996F6E"/>
    <w:rsid w:val="07DFD8BA"/>
    <w:rsid w:val="08AC4EAE"/>
    <w:rsid w:val="09867E8F"/>
    <w:rsid w:val="0A2032A3"/>
    <w:rsid w:val="0CA8290A"/>
    <w:rsid w:val="0D35B1ED"/>
    <w:rsid w:val="0E254B6B"/>
    <w:rsid w:val="0F98263C"/>
    <w:rsid w:val="101860EC"/>
    <w:rsid w:val="101F47CC"/>
    <w:rsid w:val="10282537"/>
    <w:rsid w:val="107439CE"/>
    <w:rsid w:val="10C055FF"/>
    <w:rsid w:val="11694EBD"/>
    <w:rsid w:val="11772AA4"/>
    <w:rsid w:val="118107EC"/>
    <w:rsid w:val="11AA3420"/>
    <w:rsid w:val="12AF036B"/>
    <w:rsid w:val="12BA0DA6"/>
    <w:rsid w:val="12E24EE2"/>
    <w:rsid w:val="132711CC"/>
    <w:rsid w:val="13347445"/>
    <w:rsid w:val="13D50BC4"/>
    <w:rsid w:val="14B17F78"/>
    <w:rsid w:val="165E0673"/>
    <w:rsid w:val="16B831D5"/>
    <w:rsid w:val="16BB723D"/>
    <w:rsid w:val="17935082"/>
    <w:rsid w:val="17A96653"/>
    <w:rsid w:val="17E50567"/>
    <w:rsid w:val="186504BB"/>
    <w:rsid w:val="19A445FC"/>
    <w:rsid w:val="1B536DF6"/>
    <w:rsid w:val="1BE8440E"/>
    <w:rsid w:val="1D155CEE"/>
    <w:rsid w:val="1D1638FE"/>
    <w:rsid w:val="1E312DEB"/>
    <w:rsid w:val="1E740ACF"/>
    <w:rsid w:val="1FF35744"/>
    <w:rsid w:val="1FF6BC77"/>
    <w:rsid w:val="20230F6D"/>
    <w:rsid w:val="21170874"/>
    <w:rsid w:val="213F5933"/>
    <w:rsid w:val="2186353C"/>
    <w:rsid w:val="21E309B4"/>
    <w:rsid w:val="226F0499"/>
    <w:rsid w:val="23860B96"/>
    <w:rsid w:val="240371BF"/>
    <w:rsid w:val="244F3473"/>
    <w:rsid w:val="24C97D99"/>
    <w:rsid w:val="25A718F0"/>
    <w:rsid w:val="25AE6883"/>
    <w:rsid w:val="25BB59F6"/>
    <w:rsid w:val="260F557C"/>
    <w:rsid w:val="263E265D"/>
    <w:rsid w:val="26970054"/>
    <w:rsid w:val="281408E2"/>
    <w:rsid w:val="293B66EF"/>
    <w:rsid w:val="29FD04D3"/>
    <w:rsid w:val="2A47759E"/>
    <w:rsid w:val="2BFF7BC6"/>
    <w:rsid w:val="2C8A61B5"/>
    <w:rsid w:val="2DF04E50"/>
    <w:rsid w:val="2E586DFA"/>
    <w:rsid w:val="2F040D46"/>
    <w:rsid w:val="2F6B035B"/>
    <w:rsid w:val="2FAE5751"/>
    <w:rsid w:val="2FB1A395"/>
    <w:rsid w:val="2FC5794B"/>
    <w:rsid w:val="2FD9A7D8"/>
    <w:rsid w:val="2FDBF714"/>
    <w:rsid w:val="30AB6865"/>
    <w:rsid w:val="319F7F4E"/>
    <w:rsid w:val="323B0093"/>
    <w:rsid w:val="329D3380"/>
    <w:rsid w:val="32BD1EF1"/>
    <w:rsid w:val="3304709D"/>
    <w:rsid w:val="33A773CB"/>
    <w:rsid w:val="348E4F16"/>
    <w:rsid w:val="349D6851"/>
    <w:rsid w:val="36AA5135"/>
    <w:rsid w:val="36BE0DA7"/>
    <w:rsid w:val="37125EBA"/>
    <w:rsid w:val="376B6AA6"/>
    <w:rsid w:val="376D39B2"/>
    <w:rsid w:val="37E16F03"/>
    <w:rsid w:val="37F53A3B"/>
    <w:rsid w:val="389B6C89"/>
    <w:rsid w:val="38D469F0"/>
    <w:rsid w:val="39627CCD"/>
    <w:rsid w:val="397BAF1F"/>
    <w:rsid w:val="3A5B582B"/>
    <w:rsid w:val="3AB79AF3"/>
    <w:rsid w:val="3AE834C0"/>
    <w:rsid w:val="3B7EF35A"/>
    <w:rsid w:val="3B9FDB6C"/>
    <w:rsid w:val="3BF5BC2F"/>
    <w:rsid w:val="3CEBA265"/>
    <w:rsid w:val="3D36097B"/>
    <w:rsid w:val="3D8B21D4"/>
    <w:rsid w:val="3D98207C"/>
    <w:rsid w:val="3DEE7CF3"/>
    <w:rsid w:val="3E740A63"/>
    <w:rsid w:val="3E78745D"/>
    <w:rsid w:val="3EE17838"/>
    <w:rsid w:val="3F55381A"/>
    <w:rsid w:val="3F7F7599"/>
    <w:rsid w:val="3FC419CD"/>
    <w:rsid w:val="3FF4CAE0"/>
    <w:rsid w:val="3FF7B227"/>
    <w:rsid w:val="417C34B1"/>
    <w:rsid w:val="44004F9E"/>
    <w:rsid w:val="44E268DA"/>
    <w:rsid w:val="450D13D7"/>
    <w:rsid w:val="45506656"/>
    <w:rsid w:val="4685178A"/>
    <w:rsid w:val="47F72214"/>
    <w:rsid w:val="486A6C7A"/>
    <w:rsid w:val="4A627F82"/>
    <w:rsid w:val="4AC07235"/>
    <w:rsid w:val="4B0E749A"/>
    <w:rsid w:val="4B2477C4"/>
    <w:rsid w:val="4B4F25DA"/>
    <w:rsid w:val="4BE068DB"/>
    <w:rsid w:val="4C141F88"/>
    <w:rsid w:val="4D577224"/>
    <w:rsid w:val="4DBF1CEB"/>
    <w:rsid w:val="4DF0007C"/>
    <w:rsid w:val="4EAB630A"/>
    <w:rsid w:val="4ECE2238"/>
    <w:rsid w:val="4F833267"/>
    <w:rsid w:val="4FE9BD67"/>
    <w:rsid w:val="4FFB052F"/>
    <w:rsid w:val="50C80BF1"/>
    <w:rsid w:val="52903990"/>
    <w:rsid w:val="537E6D0A"/>
    <w:rsid w:val="53F74C96"/>
    <w:rsid w:val="54901A26"/>
    <w:rsid w:val="55170BA8"/>
    <w:rsid w:val="553218C9"/>
    <w:rsid w:val="567E1AA5"/>
    <w:rsid w:val="56E47B74"/>
    <w:rsid w:val="57175D52"/>
    <w:rsid w:val="57BD3DD4"/>
    <w:rsid w:val="57C25824"/>
    <w:rsid w:val="58D04AE7"/>
    <w:rsid w:val="58ED38EB"/>
    <w:rsid w:val="59927C36"/>
    <w:rsid w:val="5AF92295"/>
    <w:rsid w:val="5B250254"/>
    <w:rsid w:val="5B3C6463"/>
    <w:rsid w:val="5B5D1A07"/>
    <w:rsid w:val="5B6156E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6E80016"/>
    <w:rsid w:val="67277B67"/>
    <w:rsid w:val="679A7B74"/>
    <w:rsid w:val="67AA3209"/>
    <w:rsid w:val="68D777CC"/>
    <w:rsid w:val="698D0931"/>
    <w:rsid w:val="6A7FE5F3"/>
    <w:rsid w:val="6B053271"/>
    <w:rsid w:val="6BDD78B3"/>
    <w:rsid w:val="6C4A05C8"/>
    <w:rsid w:val="6C8742B8"/>
    <w:rsid w:val="6DBF5E93"/>
    <w:rsid w:val="6DC9627D"/>
    <w:rsid w:val="6DFF077E"/>
    <w:rsid w:val="6E714EF0"/>
    <w:rsid w:val="6E7E3605"/>
    <w:rsid w:val="6E7FDCC7"/>
    <w:rsid w:val="6ED6A62E"/>
    <w:rsid w:val="6EE00B15"/>
    <w:rsid w:val="6F6FB3EB"/>
    <w:rsid w:val="6F8731EA"/>
    <w:rsid w:val="6F912DCA"/>
    <w:rsid w:val="6FCE6052"/>
    <w:rsid w:val="6FD57C00"/>
    <w:rsid w:val="6FEFFFD8"/>
    <w:rsid w:val="6FF5CC65"/>
    <w:rsid w:val="6FFB47EC"/>
    <w:rsid w:val="6FFF034A"/>
    <w:rsid w:val="70484440"/>
    <w:rsid w:val="70A64653"/>
    <w:rsid w:val="70B256C9"/>
    <w:rsid w:val="712A28F1"/>
    <w:rsid w:val="715C0E4B"/>
    <w:rsid w:val="71992E7C"/>
    <w:rsid w:val="72233669"/>
    <w:rsid w:val="72734D90"/>
    <w:rsid w:val="729606F7"/>
    <w:rsid w:val="72CC236B"/>
    <w:rsid w:val="73160E6D"/>
    <w:rsid w:val="7332FE48"/>
    <w:rsid w:val="73AB61DA"/>
    <w:rsid w:val="73AD73D5"/>
    <w:rsid w:val="73B6EB34"/>
    <w:rsid w:val="73FA497D"/>
    <w:rsid w:val="744731E5"/>
    <w:rsid w:val="749B39C2"/>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3E5675"/>
    <w:rsid w:val="7B6C7DFB"/>
    <w:rsid w:val="7BBFBED0"/>
    <w:rsid w:val="7BC3E394"/>
    <w:rsid w:val="7BE52F66"/>
    <w:rsid w:val="7C1F3737"/>
    <w:rsid w:val="7CBFC87B"/>
    <w:rsid w:val="7CFE0F48"/>
    <w:rsid w:val="7D272ABC"/>
    <w:rsid w:val="7D7EC23E"/>
    <w:rsid w:val="7DAC0DCF"/>
    <w:rsid w:val="7E8ADEBF"/>
    <w:rsid w:val="7ED93E46"/>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7"/>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1"/>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0"/>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9"/>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年初预算收支分析图</a:t>
            </a:r>
          </a:p>
        </c:rich>
      </c:tx>
      <c:layout/>
      <c:overlay val="0"/>
      <c:spPr>
        <a:noFill/>
        <a:ln>
          <a:noFill/>
        </a:ln>
        <a:effectLst/>
      </c:spPr>
    </c:title>
    <c:autoTitleDeleted val="0"/>
    <c:plotArea>
      <c:layout/>
      <c:barChart>
        <c:barDir val="col"/>
        <c:grouping val="clustered"/>
        <c:varyColors val="0"/>
        <c:ser>
          <c:idx val="0"/>
          <c:order val="0"/>
          <c:tx>
            <c:strRef>
              <c:f>2023年</c:f>
              <c:strCache>
                <c:ptCount val="1"/>
                <c:pt idx="0">
                  <c:v>2023年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{25488.29,25488.29}</c:f>
              <c:numCache>
                <c:formatCode>General</c:formatCode>
                <c:ptCount val="2"/>
                <c:pt idx="0">
                  <c:v>25488.29</c:v>
                </c:pt>
                <c:pt idx="1">
                  <c:v>25488.29</c:v>
                </c:pt>
              </c:numCache>
            </c:numRef>
          </c:val>
        </c:ser>
        <c:ser>
          <c:idx val="1"/>
          <c:order val="1"/>
          <c:tx>
            <c:strRef>
              <c:f>2024年</c:f>
              <c:strCache>
                <c:ptCount val="1"/>
                <c:pt idx="0">
                  <c:v>2024年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{33953.49,33953.49}</c:f>
              <c:numCache>
                <c:formatCode>General</c:formatCode>
                <c:ptCount val="2"/>
                <c:pt idx="0">
                  <c:v>33953.49</c:v>
                </c:pt>
                <c:pt idx="1">
                  <c:v>33953.49</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e952690-9e92-48f0-ba06-50c32114d45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全年预算收支分析表</a:t>
            </a:r>
          </a:p>
        </c:rich>
      </c:tx>
      <c:layout/>
      <c:overlay val="0"/>
      <c:spPr>
        <a:noFill/>
        <a:ln>
          <a:noFill/>
        </a:ln>
        <a:effectLst/>
      </c:spPr>
    </c:title>
    <c:autoTitleDeleted val="0"/>
    <c:plotArea>
      <c:layout/>
      <c:barChart>
        <c:barDir val="col"/>
        <c:grouping val="clustered"/>
        <c:varyColors val="0"/>
        <c:ser>
          <c:idx val="0"/>
          <c:order val="0"/>
          <c:tx>
            <c:strRef>
              <c:f>2023年</c:f>
              <c:strCache>
                <c:ptCount val="1"/>
                <c:pt idx="0">
                  <c:v>2023年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{42137.27,42137.27}</c:f>
              <c:numCache>
                <c:formatCode>General</c:formatCode>
                <c:ptCount val="2"/>
                <c:pt idx="0">
                  <c:v>42137.27</c:v>
                </c:pt>
                <c:pt idx="1">
                  <c:v>42137.27</c:v>
                </c:pt>
              </c:numCache>
            </c:numRef>
          </c:val>
        </c:ser>
        <c:ser>
          <c:idx val="1"/>
          <c:order val="1"/>
          <c:tx>
            <c:strRef>
              <c:f>2024年</c:f>
              <c:strCache>
                <c:ptCount val="1"/>
                <c:pt idx="0">
                  <c:v>2024年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{38300.83,38300.83}</c:f>
              <c:numCache>
                <c:formatCode>General</c:formatCode>
                <c:ptCount val="2"/>
                <c:pt idx="0">
                  <c:v>38300.83</c:v>
                </c:pt>
                <c:pt idx="1">
                  <c:v>38300.83</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26ae6af-7b00-4536-a5c3-0a6fecee26a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支出结构分析图</a:t>
            </a:r>
          </a:p>
        </c:rich>
      </c:tx>
      <c:layout/>
      <c:overlay val="0"/>
      <c:spPr>
        <a:noFill/>
        <a:ln>
          <a:noFill/>
        </a:ln>
        <a:effectLst/>
      </c:spPr>
    </c:title>
    <c:autoTitleDeleted val="0"/>
    <c:plotArea>
      <c:layout/>
      <c:pieChart>
        <c:varyColors val="1"/>
        <c:ser>
          <c:idx val="0"/>
          <c:order val="0"/>
          <c:tx>
            <c:strRef>
              <c:f>支出结构分析图</c:f>
              <c:strCache>
                <c:ptCount val="1"/>
                <c:pt idx="0">
                  <c:v>支出结构分析图</c:v>
                </c:pt>
              </c:strCache>
            </c:strRef>
          </c:tx>
          <c:spPr>
            <a:ln w="19050">
              <a:solidFill>
                <a:schemeClr val="lt1"/>
              </a:solidFill>
            </a:ln>
          </c:spPr>
          <c:explosion val="0"/>
          <c:dPt>
            <c:idx val="0"/>
            <c:bubble3D val="0"/>
            <c:spPr>
              <a:ln w="19050">
                <a:solidFill>
                  <a:schemeClr val="lt1"/>
                </a:solidFill>
              </a:ln>
            </c:spPr>
          </c:dPt>
          <c:dPt>
            <c:idx val="1"/>
            <c:bubble3D val="0"/>
            <c:spPr>
              <a:ln w="19050">
                <a:solidFill>
                  <a:schemeClr val="lt1"/>
                </a:solidFill>
              </a:ln>
            </c:spPr>
          </c:dPt>
          <c:dPt>
            <c:idx val="2"/>
            <c:bubble3D val="0"/>
            <c:spPr>
              <a:ln w="19050">
                <a:solidFill>
                  <a:schemeClr val="lt1"/>
                </a:solidFill>
              </a:ln>
            </c:spPr>
          </c:dPt>
          <c:dLbls>
            <c:dLbl>
              <c:idx val="0"/>
              <c:layout/>
              <c:dLblPos val="bestFit"/>
              <c:showLegendKey val="0"/>
              <c:showVal val="1"/>
              <c:showCatName val="0"/>
              <c:showSerName val="0"/>
              <c:showPercent val="0"/>
              <c:showBubbleSize val="1"/>
              <c:extLst>
                <c:ext xmlns:c15="http://schemas.microsoft.com/office/drawing/2012/chart" uri="{CE6537A1-D6FC-4f65-9D91-7224C49458BB}"/>
              </c:extLst>
            </c:dLbl>
            <c:dLbl>
              <c:idx val="1"/>
              <c:layout/>
              <c:dLblPos val="bestFit"/>
              <c:showLegendKey val="0"/>
              <c:showVal val="1"/>
              <c:showCatName val="0"/>
              <c:showSerName val="0"/>
              <c:showPercent val="0"/>
              <c:showBubbleSize val="1"/>
              <c:extLst>
                <c:ext xmlns:c15="http://schemas.microsoft.com/office/drawing/2012/chart" uri="{CE6537A1-D6FC-4f65-9D91-7224C49458BB}"/>
              </c:extLst>
            </c:dLbl>
            <c:dLbl>
              <c:idx val="2"/>
              <c:layout/>
              <c:dLblPos val="bestFit"/>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{"基本支出","项目支出","基本建设类项目"}</c:f>
              <c:strCache>
                <c:ptCount val="3"/>
                <c:pt idx="0">
                  <c:v>基本支出</c:v>
                </c:pt>
                <c:pt idx="1">
                  <c:v>项目支出</c:v>
                </c:pt>
                <c:pt idx="2">
                  <c:v>基本建设类项目</c:v>
                </c:pt>
              </c:strCache>
            </c:strRef>
          </c:cat>
          <c:val>
            <c:numRef>
              <c:f>{26125.48,12119.73,4232.83}</c:f>
              <c:numCache>
                <c:formatCode>General</c:formatCode>
                <c:ptCount val="3"/>
                <c:pt idx="0">
                  <c:v>26125.48</c:v>
                </c:pt>
                <c:pt idx="1">
                  <c:v>12119.73</c:v>
                </c:pt>
                <c:pt idx="2">
                  <c:v>4232.83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c5cfc6-9c8d-4621-9d40-56b4288b121b}"/>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三公经费支出分析图</a:t>
            </a:r>
          </a:p>
        </c:rich>
      </c:tx>
      <c:layout/>
      <c:overlay val="0"/>
      <c:spPr>
        <a:noFill/>
        <a:ln>
          <a:noFill/>
        </a:ln>
        <a:effectLst/>
      </c:spPr>
    </c:title>
    <c:autoTitleDeleted val="0"/>
    <c:plotArea>
      <c:layout/>
      <c:pieChart>
        <c:varyColors val="1"/>
        <c:ser>
          <c:idx val="0"/>
          <c:order val="0"/>
          <c:tx>
            <c:strRef>
              <c:f>三公经费支出分析图</c:f>
              <c:strCache>
                <c:ptCount val="1"/>
                <c:pt idx="0">
                  <c:v>三公经费支出分析图</c:v>
                </c:pt>
              </c:strCache>
            </c:strRef>
          </c:tx>
          <c:spPr>
            <a:ln w="19050">
              <a:solidFill>
                <a:schemeClr val="lt1"/>
              </a:solidFill>
            </a:ln>
          </c:spPr>
          <c:explosion val="0"/>
          <c:dPt>
            <c:idx val="0"/>
            <c:bubble3D val="0"/>
            <c:spPr>
              <a:ln w="19050">
                <a:solidFill>
                  <a:schemeClr val="lt1"/>
                </a:solidFill>
              </a:ln>
            </c:spPr>
          </c:dPt>
          <c:dPt>
            <c:idx val="1"/>
            <c:bubble3D val="0"/>
            <c:spPr>
              <a:ln w="19050">
                <a:solidFill>
                  <a:schemeClr val="lt1"/>
                </a:solidFill>
              </a:ln>
            </c:spPr>
          </c:dPt>
          <c:dLbls>
            <c:dLbl>
              <c:idx val="0"/>
              <c:layout/>
              <c:dLblPos val="bestFit"/>
              <c:showLegendKey val="0"/>
              <c:showVal val="1"/>
              <c:showCatName val="0"/>
              <c:showSerName val="0"/>
              <c:showPercent val="0"/>
              <c:showBubbleSize val="1"/>
              <c:extLst>
                <c:ext xmlns:c15="http://schemas.microsoft.com/office/drawing/2012/chart" uri="{CE6537A1-D6FC-4f65-9D91-7224C49458BB}"/>
              </c:extLst>
            </c:dLbl>
            <c:dLbl>
              <c:idx val="1"/>
              <c:layout/>
              <c:dLblPos val="bestFit"/>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{"公务用车购置及运行维护费","公务接待费"}</c:f>
              <c:strCache>
                <c:ptCount val="2"/>
                <c:pt idx="0">
                  <c:v>公务用车购置及运行维护费</c:v>
                </c:pt>
                <c:pt idx="1">
                  <c:v>公务接待费</c:v>
                </c:pt>
              </c:strCache>
            </c:strRef>
          </c:cat>
          <c:val>
            <c:numRef>
              <c:f>{6,1.06}</c:f>
              <c:numCache>
                <c:formatCode>General</c:formatCode>
                <c:ptCount val="2"/>
                <c:pt idx="0">
                  <c:v>6</c:v>
                </c:pt>
                <c:pt idx="1">
                  <c:v>1.06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afbfd75-57e7-4949-8f0d-e1506eea0ad7}"/>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36</Pages>
  <Words>2157</Words>
  <Characters>2520</Characters>
  <Lines>61</Lines>
  <Paragraphs>17</Paragraphs>
  <TotalTime>13</TotalTime>
  <ScaleCrop>false</ScaleCrop>
  <LinksUpToDate>false</LinksUpToDate>
  <CharactersWithSpaces>2534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2025-09-03T08:50:43Z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eyJoZGlkIjoiNDRiNDk3YzNiYzRmNTZjMzFkM2U5ODU2NThiNzEwZDIifQ==</vt:lpwstr>
  </property>
</Properties>
</file>