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eastAsia="方正小标宋简体"/>
          <w:color w:val="000000"/>
          <w:sz w:val="72"/>
          <w:szCs w:val="72"/>
        </w:rPr>
      </w:pPr>
      <w:bookmarkStart w:id="0" w:name="_Toc15306267"/>
    </w:p>
    <w:p>
      <w:pPr>
        <w:spacing w:line="600" w:lineRule="exact"/>
        <w:jc w:val="center"/>
        <w:outlineLvl w:val="0"/>
        <w:rPr>
          <w:rFonts w:ascii="方正小标宋简体" w:eastAsia="方正小标宋简体"/>
          <w:color w:val="000000"/>
          <w:sz w:val="72"/>
          <w:szCs w:val="72"/>
        </w:rPr>
      </w:pPr>
    </w:p>
    <w:p>
      <w:pPr>
        <w:spacing w:line="600" w:lineRule="exact"/>
        <w:jc w:val="center"/>
        <w:outlineLvl w:val="0"/>
        <w:rPr>
          <w:rFonts w:ascii="方正小标宋简体" w:eastAsia="方正小标宋简体"/>
          <w:color w:val="000000"/>
          <w:sz w:val="72"/>
          <w:szCs w:val="72"/>
        </w:rPr>
      </w:pPr>
    </w:p>
    <w:p>
      <w:pPr>
        <w:spacing w:line="600" w:lineRule="exact"/>
        <w:jc w:val="center"/>
        <w:outlineLvl w:val="0"/>
        <w:rPr>
          <w:rFonts w:ascii="方正小标宋简体" w:eastAsia="方正小标宋简体"/>
          <w:color w:val="000000"/>
          <w:sz w:val="72"/>
          <w:szCs w:val="72"/>
        </w:rPr>
      </w:pPr>
    </w:p>
    <w:p>
      <w:pPr>
        <w:adjustRightInd w:val="0"/>
        <w:snapToGrid w:val="0"/>
        <w:spacing w:line="360" w:lineRule="auto"/>
        <w:jc w:val="center"/>
        <w:outlineLvl w:val="0"/>
        <w:rPr>
          <w:rFonts w:ascii="方正小标宋简体" w:eastAsia="方正小标宋简体"/>
          <w:color w:val="000000"/>
          <w:sz w:val="72"/>
          <w:szCs w:val="72"/>
        </w:rPr>
      </w:pPr>
      <w:bookmarkStart w:id="1" w:name="_Toc15377425"/>
      <w:bookmarkStart w:id="2" w:name="_Toc15396475"/>
      <w:bookmarkStart w:id="3" w:name="_Toc15378441"/>
      <w:bookmarkStart w:id="4" w:name="_Toc15396597"/>
      <w:bookmarkStart w:id="5" w:name="_Toc15377193"/>
      <w:r>
        <w:rPr>
          <w:rFonts w:ascii="黑体" w:eastAsia="黑体"/>
          <w:color w:val="000000"/>
          <w:sz w:val="72"/>
          <w:szCs w:val="72"/>
        </w:rPr>
        <w:t>20</w:t>
      </w:r>
      <w:r>
        <w:rPr>
          <w:rFonts w:hint="eastAsia" w:ascii="黑体" w:eastAsia="黑体"/>
          <w:color w:val="000000"/>
          <w:sz w:val="72"/>
          <w:szCs w:val="72"/>
        </w:rPr>
        <w:t>20</w:t>
      </w:r>
      <w:r>
        <w:rPr>
          <w:rFonts w:hint="eastAsia" w:ascii="方正小标宋简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eastAsia="方正小标宋简体"/>
          <w:color w:val="000000"/>
          <w:sz w:val="72"/>
          <w:szCs w:val="72"/>
        </w:rPr>
      </w:pPr>
      <w:bookmarkStart w:id="6" w:name="_Toc15378442"/>
      <w:bookmarkStart w:id="7" w:name="_Toc15377194"/>
      <w:bookmarkStart w:id="8" w:name="_Toc15396476"/>
      <w:bookmarkStart w:id="9" w:name="_Toc15377426"/>
      <w:bookmarkStart w:id="10" w:name="_Toc15396598"/>
      <w:r>
        <w:rPr>
          <w:rFonts w:hint="eastAsia" w:ascii="方正小标宋简体" w:eastAsia="方正小标宋简体"/>
          <w:color w:val="000000"/>
          <w:sz w:val="72"/>
          <w:szCs w:val="72"/>
        </w:rPr>
        <w:t>四川省阿坝州</w:t>
      </w:r>
      <w:bookmarkEnd w:id="0"/>
      <w:bookmarkStart w:id="11" w:name="_Toc15306268"/>
      <w:r>
        <w:rPr>
          <w:rFonts w:hint="eastAsia" w:ascii="方正小标宋简体" w:eastAsia="方正小标宋简体"/>
          <w:color w:val="000000"/>
          <w:sz w:val="72"/>
          <w:szCs w:val="72"/>
        </w:rPr>
        <w:t>金川县教育局部门决算</w:t>
      </w:r>
      <w:bookmarkEnd w:id="6"/>
      <w:bookmarkEnd w:id="7"/>
      <w:bookmarkEnd w:id="8"/>
      <w:bookmarkEnd w:id="9"/>
      <w:bookmarkEnd w:id="10"/>
      <w:bookmarkEnd w:id="11"/>
    </w:p>
    <w:p>
      <w:pPr>
        <w:widowControl/>
        <w:jc w:val="center"/>
        <w:rPr>
          <w:rFonts w:ascii="方正小标宋简体" w:eastAsia="方正小标宋简体"/>
          <w:color w:val="000000"/>
          <w:sz w:val="36"/>
          <w:szCs w:val="36"/>
        </w:rPr>
      </w:pPr>
    </w:p>
    <w:p>
      <w:pPr>
        <w:widowControl/>
        <w:jc w:val="center"/>
        <w:rPr>
          <w:rFonts w:ascii="方正小标宋简体" w:eastAsia="方正小标宋简体"/>
          <w:color w:val="000000"/>
          <w:sz w:val="36"/>
          <w:szCs w:val="36"/>
        </w:rPr>
      </w:pPr>
    </w:p>
    <w:p>
      <w:pPr>
        <w:widowControl/>
        <w:jc w:val="center"/>
        <w:rPr>
          <w:rFonts w:ascii="方正小标宋简体" w:eastAsia="方正小标宋简体"/>
          <w:color w:val="000000"/>
          <w:sz w:val="36"/>
          <w:szCs w:val="36"/>
        </w:rPr>
      </w:pPr>
    </w:p>
    <w:p>
      <w:pPr>
        <w:widowControl/>
        <w:jc w:val="center"/>
        <w:rPr>
          <w:rFonts w:ascii="黑体" w:eastAsia="黑体"/>
          <w:color w:val="000000"/>
          <w:sz w:val="48"/>
          <w:szCs w:val="48"/>
        </w:rPr>
      </w:pPr>
      <w:r>
        <w:rPr>
          <w:rFonts w:ascii="方正小标宋简体" w:eastAsia="方正小标宋简体"/>
          <w:color w:val="000000"/>
          <w:sz w:val="36"/>
          <w:szCs w:val="36"/>
        </w:rPr>
        <w:br w:type="page"/>
      </w:r>
      <w:r>
        <w:rPr>
          <w:rFonts w:hint="eastAsia" w:ascii="黑体" w:eastAsia="黑体"/>
          <w:color w:val="000000"/>
          <w:sz w:val="48"/>
          <w:szCs w:val="48"/>
        </w:rPr>
        <w:t>目录</w:t>
      </w:r>
    </w:p>
    <w:p>
      <w:pPr>
        <w:widowControl/>
        <w:jc w:val="center"/>
        <w:rPr>
          <w:rFonts w:ascii="黑体" w:eastAsia="黑体" w:cs="Arial"/>
          <w:sz w:val="28"/>
          <w:szCs w:val="28"/>
        </w:rPr>
      </w:pPr>
      <w:r>
        <w:rPr>
          <w:rFonts w:ascii="黑体" w:eastAsia="黑体"/>
          <w:color w:val="000000"/>
          <w:sz w:val="48"/>
          <w:szCs w:val="48"/>
        </w:rPr>
        <w:fldChar w:fldCharType="begin"/>
      </w:r>
      <w:r>
        <w:rPr>
          <w:rFonts w:ascii="黑体" w:eastAsia="黑体"/>
          <w:color w:val="000000"/>
          <w:sz w:val="48"/>
          <w:szCs w:val="48"/>
        </w:rPr>
        <w:instrText xml:space="preserve"> TOC \o "1-2" \h \z \u </w:instrText>
      </w:r>
      <w:r>
        <w:rPr>
          <w:rFonts w:ascii="黑体" w:eastAsia="黑体"/>
          <w:color w:val="000000"/>
          <w:sz w:val="48"/>
          <w:szCs w:val="48"/>
        </w:rPr>
        <w:fldChar w:fldCharType="separate"/>
      </w:r>
    </w:p>
    <w:p>
      <w:pPr>
        <w:pStyle w:val="10"/>
      </w:pPr>
      <w:r>
        <w:rPr>
          <w:rFonts w:hint="eastAsia"/>
        </w:rPr>
        <w:t>公开时间：2021年8月3日</w:t>
      </w:r>
    </w:p>
    <w:p/>
    <w:p/>
    <w:p/>
    <w:p/>
    <w:p>
      <w:pPr>
        <w:pStyle w:val="10"/>
        <w:rPr>
          <w:rFonts w:cs="Arial"/>
        </w:rPr>
      </w:pPr>
      <w:r>
        <w:fldChar w:fldCharType="begin"/>
      </w:r>
      <w:r>
        <w:instrText xml:space="preserve"> HYPERLINK \l "_Toc15396599" </w:instrText>
      </w:r>
      <w:r>
        <w:fldChar w:fldCharType="separate"/>
      </w:r>
      <w:r>
        <w:rPr>
          <w:rFonts w:hint="eastAsia"/>
        </w:rPr>
        <w:t>第一部分部门概况</w:t>
      </w:r>
      <w:r>
        <w:tab/>
      </w:r>
      <w:r>
        <w:rPr>
          <w:rFonts w:hint="eastAsia"/>
        </w:rPr>
        <w:t>4</w:t>
      </w:r>
      <w:r>
        <w:rPr>
          <w:rFonts w:hint="eastAsia"/>
        </w:rPr>
        <w:fldChar w:fldCharType="end"/>
      </w:r>
    </w:p>
    <w:p>
      <w:pPr>
        <w:pStyle w:val="11"/>
        <w:ind w:left="420"/>
        <w:rPr>
          <w:rFonts w:ascii="仿宋" w:eastAsia="仿宋" w:cs="Arial"/>
          <w:sz w:val="28"/>
          <w:szCs w:val="28"/>
        </w:rPr>
      </w:pPr>
      <w:r>
        <w:fldChar w:fldCharType="begin"/>
      </w:r>
      <w:r>
        <w:instrText xml:space="preserve"> HYPERLINK \l "_Toc15396600" </w:instrText>
      </w:r>
      <w:r>
        <w:fldChar w:fldCharType="separate"/>
      </w:r>
      <w:r>
        <w:rPr>
          <w:rFonts w:hint="eastAsia" w:ascii="仿宋" w:eastAsia="仿宋"/>
          <w:sz w:val="28"/>
          <w:szCs w:val="28"/>
        </w:rPr>
        <w:t>一、基本职能及主要工作</w:t>
      </w:r>
      <w:r>
        <w:rPr>
          <w:rFonts w:ascii="仿宋" w:eastAsia="仿宋"/>
          <w:sz w:val="28"/>
          <w:szCs w:val="28"/>
        </w:rPr>
        <w:tab/>
      </w:r>
      <w:r>
        <w:rPr>
          <w:rFonts w:hint="eastAsia" w:ascii="仿宋" w:eastAsia="仿宋"/>
          <w:sz w:val="28"/>
          <w:szCs w:val="28"/>
        </w:rPr>
        <w:t>4</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"_Toc15396601" </w:instrText>
      </w:r>
      <w:r>
        <w:fldChar w:fldCharType="separate"/>
      </w:r>
      <w:r>
        <w:rPr>
          <w:rFonts w:hint="eastAsia" w:ascii="仿宋" w:eastAsia="仿宋"/>
          <w:sz w:val="28"/>
          <w:szCs w:val="28"/>
        </w:rPr>
        <w:t>二、机构设置</w:t>
      </w:r>
      <w:r>
        <w:rPr>
          <w:rFonts w:ascii="仿宋" w:eastAsia="仿宋"/>
          <w:sz w:val="28"/>
          <w:szCs w:val="28"/>
        </w:rPr>
        <w:tab/>
      </w:r>
      <w:r>
        <w:rPr>
          <w:rFonts w:hint="eastAsia" w:ascii="仿宋" w:eastAsia="仿宋"/>
          <w:sz w:val="28"/>
          <w:szCs w:val="28"/>
        </w:rPr>
        <w:t>5</w:t>
      </w:r>
      <w:r>
        <w:rPr>
          <w:rFonts w:hint="eastAsia" w:ascii="仿宋" w:eastAsia="仿宋"/>
          <w:sz w:val="28"/>
          <w:szCs w:val="28"/>
        </w:rPr>
        <w:fldChar w:fldCharType="end"/>
      </w:r>
    </w:p>
    <w:p>
      <w:pPr>
        <w:pStyle w:val="10"/>
      </w:pPr>
      <w:r>
        <w:fldChar w:fldCharType="begin"/>
      </w:r>
      <w:r>
        <w:instrText xml:space="preserve"> HYPERLINK \l "_Toc15396602" </w:instrText>
      </w:r>
      <w:r>
        <w:fldChar w:fldCharType="separate"/>
      </w:r>
      <w:r>
        <w:rPr>
          <w:rFonts w:hint="eastAsia"/>
        </w:rPr>
        <w:t>第二部分部门决算情况说明</w:t>
      </w:r>
      <w:r>
        <w:tab/>
      </w:r>
      <w:r>
        <w:rPr>
          <w:rFonts w:hint="eastAsia"/>
        </w:rPr>
        <w:t>7</w:t>
      </w:r>
      <w:r>
        <w:rPr>
          <w:rFonts w:hint="eastAsia"/>
        </w:rPr>
        <w:fldChar w:fldCharType="end"/>
      </w:r>
    </w:p>
    <w:p>
      <w:pPr>
        <w:pStyle w:val="11"/>
        <w:ind w:left="420"/>
        <w:rPr>
          <w:rFonts w:ascii="仿宋" w:eastAsia="仿宋" w:cs="Arial"/>
          <w:sz w:val="28"/>
          <w:szCs w:val="28"/>
        </w:rPr>
      </w:pPr>
      <w:r>
        <w:fldChar w:fldCharType="begin"/>
      </w:r>
      <w:r>
        <w:instrText xml:space="preserve"> HYPERLINK \l "_Toc15396603" </w:instrText>
      </w:r>
      <w:r>
        <w:fldChar w:fldCharType="separate"/>
      </w:r>
      <w:r>
        <w:rPr>
          <w:rFonts w:hint="eastAsia" w:ascii="仿宋" w:eastAsia="仿宋"/>
          <w:bCs/>
          <w:sz w:val="28"/>
          <w:szCs w:val="28"/>
        </w:rPr>
        <w:t>一、</w:t>
      </w:r>
      <w:r>
        <w:rPr>
          <w:rFonts w:hint="eastAsia" w:ascii="仿宋" w:eastAsia="仿宋"/>
          <w:sz w:val="28"/>
          <w:szCs w:val="28"/>
        </w:rPr>
        <w:t>收</w:t>
      </w:r>
      <w:r>
        <w:rPr>
          <w:rFonts w:hint="eastAsia" w:ascii="仿宋" w:eastAsia="仿宋"/>
          <w:bCs/>
          <w:sz w:val="28"/>
          <w:szCs w:val="28"/>
        </w:rPr>
        <w:t>入支出决算总体情况说明</w:t>
      </w:r>
      <w:r>
        <w:rPr>
          <w:rFonts w:ascii="仿宋" w:eastAsia="仿宋"/>
          <w:sz w:val="28"/>
          <w:szCs w:val="28"/>
        </w:rPr>
        <w:tab/>
      </w:r>
      <w:r>
        <w:rPr>
          <w:rFonts w:hint="eastAsia" w:ascii="仿宋" w:eastAsia="仿宋"/>
          <w:sz w:val="28"/>
          <w:szCs w:val="28"/>
        </w:rPr>
        <w:t>7</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"_Toc15396604" </w:instrText>
      </w:r>
      <w:r>
        <w:fldChar w:fldCharType="separate"/>
      </w:r>
      <w:r>
        <w:rPr>
          <w:rFonts w:hint="eastAsia" w:ascii="仿宋" w:eastAsia="仿宋"/>
          <w:bCs/>
          <w:sz w:val="28"/>
          <w:szCs w:val="28"/>
        </w:rPr>
        <w:t>二、</w:t>
      </w:r>
      <w:r>
        <w:rPr>
          <w:rFonts w:hint="eastAsia" w:ascii="仿宋" w:eastAsia="仿宋"/>
          <w:sz w:val="28"/>
          <w:szCs w:val="28"/>
        </w:rPr>
        <w:t>收</w:t>
      </w:r>
      <w:r>
        <w:rPr>
          <w:rFonts w:hint="eastAsia" w:ascii="仿宋" w:eastAsia="仿宋"/>
          <w:bCs/>
          <w:sz w:val="28"/>
          <w:szCs w:val="28"/>
        </w:rPr>
        <w:t>入决算情况说明</w:t>
      </w:r>
      <w:r>
        <w:rPr>
          <w:rFonts w:ascii="仿宋" w:eastAsia="仿宋"/>
          <w:sz w:val="28"/>
          <w:szCs w:val="28"/>
        </w:rPr>
        <w:tab/>
      </w:r>
      <w:r>
        <w:rPr>
          <w:rFonts w:hint="eastAsia" w:ascii="仿宋" w:eastAsia="仿宋"/>
          <w:sz w:val="28"/>
          <w:szCs w:val="28"/>
        </w:rPr>
        <w:t>7</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"_Toc15396605" </w:instrText>
      </w:r>
      <w:r>
        <w:fldChar w:fldCharType="separate"/>
      </w:r>
      <w:r>
        <w:rPr>
          <w:rFonts w:hint="eastAsia" w:ascii="仿宋" w:eastAsia="仿宋"/>
          <w:bCs/>
          <w:sz w:val="28"/>
          <w:szCs w:val="28"/>
        </w:rPr>
        <w:t>三、</w:t>
      </w:r>
      <w:r>
        <w:rPr>
          <w:rFonts w:hint="eastAsia" w:ascii="仿宋" w:eastAsia="仿宋"/>
          <w:sz w:val="28"/>
          <w:szCs w:val="28"/>
        </w:rPr>
        <w:t>支</w:t>
      </w:r>
      <w:r>
        <w:rPr>
          <w:rFonts w:hint="eastAsia" w:ascii="仿宋" w:eastAsia="仿宋"/>
          <w:bCs/>
          <w:sz w:val="28"/>
          <w:szCs w:val="28"/>
        </w:rPr>
        <w:t>出决算情况说明</w:t>
      </w:r>
      <w:r>
        <w:rPr>
          <w:rFonts w:ascii="仿宋" w:eastAsia="仿宋"/>
          <w:sz w:val="28"/>
          <w:szCs w:val="28"/>
        </w:rPr>
        <w:tab/>
      </w:r>
      <w:r>
        <w:rPr>
          <w:rFonts w:hint="eastAsia" w:ascii="仿宋" w:eastAsia="仿宋"/>
          <w:sz w:val="28"/>
          <w:szCs w:val="28"/>
        </w:rPr>
        <w:t>8</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"_Toc15396606" </w:instrText>
      </w:r>
      <w:r>
        <w:fldChar w:fldCharType="separate"/>
      </w:r>
      <w:r>
        <w:rPr>
          <w:rFonts w:hint="eastAsia" w:ascii="仿宋" w:eastAsia="仿宋"/>
          <w:sz w:val="28"/>
          <w:szCs w:val="28"/>
        </w:rPr>
        <w:t>四、财</w:t>
      </w:r>
      <w:r>
        <w:rPr>
          <w:rFonts w:hint="eastAsia" w:ascii="仿宋" w:eastAsia="仿宋"/>
          <w:bCs/>
          <w:sz w:val="28"/>
          <w:szCs w:val="28"/>
        </w:rPr>
        <w:t>政拨款收入支出决算总体情况说明</w:t>
      </w:r>
      <w:r>
        <w:rPr>
          <w:rFonts w:ascii="仿宋" w:eastAsia="仿宋"/>
          <w:sz w:val="28"/>
          <w:szCs w:val="28"/>
        </w:rPr>
        <w:tab/>
      </w:r>
      <w:r>
        <w:rPr>
          <w:rFonts w:hint="eastAsia" w:ascii="仿宋" w:eastAsia="仿宋"/>
          <w:sz w:val="28"/>
          <w:szCs w:val="28"/>
        </w:rPr>
        <w:t>9</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"_Toc15396607" </w:instrText>
      </w:r>
      <w:r>
        <w:fldChar w:fldCharType="separate"/>
      </w:r>
      <w:r>
        <w:rPr>
          <w:rFonts w:hint="eastAsia" w:ascii="仿宋" w:eastAsia="仿宋"/>
          <w:sz w:val="28"/>
          <w:szCs w:val="28"/>
        </w:rPr>
        <w:t>五、一</w:t>
      </w:r>
      <w:r>
        <w:rPr>
          <w:rFonts w:hint="eastAsia" w:ascii="仿宋" w:eastAsia="仿宋"/>
          <w:bCs/>
          <w:sz w:val="28"/>
          <w:szCs w:val="28"/>
        </w:rPr>
        <w:t>般公共预算财政拨款支出决算情况说明</w:t>
      </w:r>
      <w:r>
        <w:rPr>
          <w:rFonts w:ascii="仿宋" w:eastAsia="仿宋"/>
          <w:sz w:val="28"/>
          <w:szCs w:val="28"/>
        </w:rPr>
        <w:tab/>
      </w:r>
      <w:r>
        <w:rPr>
          <w:rFonts w:hint="eastAsia" w:ascii="仿宋" w:eastAsia="仿宋"/>
          <w:sz w:val="28"/>
          <w:szCs w:val="28"/>
        </w:rPr>
        <w:t>9</w:t>
      </w:r>
      <w:r>
        <w:rPr>
          <w:rFonts w:hint="eastAsia" w:ascii="仿宋" w:eastAsia="仿宋"/>
          <w:sz w:val="28"/>
          <w:szCs w:val="28"/>
        </w:rPr>
        <w:fldChar w:fldCharType="end"/>
      </w:r>
    </w:p>
    <w:p>
      <w:pPr>
        <w:pStyle w:val="11"/>
        <w:ind w:left="420"/>
        <w:rPr>
          <w:rFonts w:ascii="仿宋" w:eastAsia="仿宋" w:cs="Arial"/>
          <w:sz w:val="28"/>
          <w:szCs w:val="28"/>
        </w:rPr>
      </w:pPr>
      <w:r>
        <w:fldChar w:fldCharType="begin"/>
      </w:r>
      <w:r>
        <w:instrText xml:space="preserve"> HYPERLINK \l "_Toc15396608" </w:instrText>
      </w:r>
      <w:r>
        <w:fldChar w:fldCharType="separate"/>
      </w:r>
      <w:r>
        <w:rPr>
          <w:rFonts w:hint="eastAsia" w:ascii="仿宋" w:eastAsia="仿宋"/>
          <w:sz w:val="28"/>
          <w:szCs w:val="28"/>
        </w:rPr>
        <w:t>六、一</w:t>
      </w:r>
      <w:r>
        <w:rPr>
          <w:rFonts w:hint="eastAsia" w:ascii="仿宋" w:eastAsia="仿宋"/>
          <w:bCs/>
          <w:sz w:val="28"/>
          <w:szCs w:val="28"/>
        </w:rPr>
        <w:t>般公共预算财政拨款基本支出决算情况说明</w:t>
      </w:r>
      <w:r>
        <w:rPr>
          <w:rFonts w:ascii="仿宋" w:eastAsia="仿宋"/>
          <w:sz w:val="28"/>
          <w:szCs w:val="28"/>
        </w:rPr>
        <w:tab/>
      </w:r>
      <w:r>
        <w:rPr>
          <w:rFonts w:hint="eastAsia" w:ascii="仿宋" w:eastAsia="仿宋"/>
          <w:sz w:val="28"/>
          <w:szCs w:val="28"/>
        </w:rPr>
        <w:t>1</w:t>
      </w:r>
      <w:r>
        <w:rPr>
          <w:rFonts w:hint="eastAsia" w:ascii="仿宋" w:eastAsia="仿宋"/>
          <w:sz w:val="28"/>
          <w:szCs w:val="28"/>
        </w:rPr>
        <w:fldChar w:fldCharType="end"/>
      </w:r>
      <w:r>
        <w:rPr>
          <w:rFonts w:hint="eastAsia" w:ascii="仿宋" w:eastAsia="仿宋"/>
          <w:sz w:val="28"/>
          <w:szCs w:val="28"/>
        </w:rPr>
        <w:t>2</w:t>
      </w:r>
    </w:p>
    <w:p>
      <w:pPr>
        <w:pStyle w:val="11"/>
        <w:ind w:left="420"/>
        <w:rPr>
          <w:rFonts w:ascii="仿宋" w:eastAsia="仿宋" w:cs="Arial"/>
          <w:sz w:val="28"/>
          <w:szCs w:val="28"/>
        </w:rPr>
      </w:pPr>
      <w:r>
        <w:fldChar w:fldCharType="begin"/>
      </w:r>
      <w:r>
        <w:instrText xml:space="preserve"> HYPERLINK \l "_Toc15396609" </w:instrText>
      </w:r>
      <w:r>
        <w:fldChar w:fldCharType="separate"/>
      </w:r>
      <w:r>
        <w:rPr>
          <w:rFonts w:hint="eastAsia" w:ascii="仿宋" w:eastAsia="仿宋"/>
          <w:sz w:val="28"/>
          <w:szCs w:val="28"/>
        </w:rPr>
        <w:t>七、</w:t>
      </w:r>
      <w:r>
        <w:rPr>
          <w:rFonts w:ascii="仿宋" w:eastAsia="仿宋"/>
          <w:sz w:val="28"/>
          <w:szCs w:val="28"/>
        </w:rPr>
        <w:t>“</w:t>
      </w:r>
      <w:r>
        <w:rPr>
          <w:rFonts w:hint="eastAsia" w:ascii="仿宋" w:eastAsia="仿宋"/>
          <w:bCs/>
          <w:sz w:val="28"/>
          <w:szCs w:val="28"/>
        </w:rPr>
        <w:t>三公”经费财政拨款支出决算情况说明</w:t>
      </w:r>
      <w:r>
        <w:rPr>
          <w:rFonts w:ascii="仿宋" w:eastAsia="仿宋"/>
          <w:sz w:val="28"/>
          <w:szCs w:val="28"/>
        </w:rPr>
        <w:tab/>
      </w:r>
      <w:r>
        <w:rPr>
          <w:rFonts w:hint="eastAsia" w:ascii="仿宋" w:eastAsia="仿宋"/>
          <w:sz w:val="28"/>
          <w:szCs w:val="28"/>
        </w:rPr>
        <w:t>1</w:t>
      </w:r>
      <w:r>
        <w:rPr>
          <w:rFonts w:hint="eastAsia" w:ascii="仿宋" w:eastAsia="仿宋"/>
          <w:sz w:val="28"/>
          <w:szCs w:val="28"/>
        </w:rPr>
        <w:fldChar w:fldCharType="end"/>
      </w:r>
      <w:r>
        <w:rPr>
          <w:rFonts w:hint="eastAsia" w:ascii="仿宋" w:eastAsia="仿宋"/>
          <w:sz w:val="28"/>
          <w:szCs w:val="28"/>
        </w:rPr>
        <w:t>3</w:t>
      </w:r>
    </w:p>
    <w:p>
      <w:pPr>
        <w:pStyle w:val="11"/>
        <w:ind w:left="420"/>
        <w:rPr>
          <w:rFonts w:ascii="仿宋" w:eastAsia="仿宋" w:cs="Arial"/>
          <w:sz w:val="28"/>
          <w:szCs w:val="28"/>
        </w:rPr>
      </w:pPr>
      <w:r>
        <w:fldChar w:fldCharType="begin"/>
      </w:r>
      <w:r>
        <w:instrText xml:space="preserve"> HYPERLINK \l "_Toc15396610" </w:instrText>
      </w:r>
      <w:r>
        <w:fldChar w:fldCharType="separate"/>
      </w:r>
      <w:r>
        <w:rPr>
          <w:rFonts w:hint="eastAsia" w:ascii="仿宋" w:eastAsia="仿宋"/>
          <w:sz w:val="28"/>
          <w:szCs w:val="28"/>
        </w:rPr>
        <w:t>八、</w:t>
      </w:r>
      <w:r>
        <w:rPr>
          <w:rFonts w:hint="eastAsia" w:ascii="仿宋" w:eastAsia="仿宋"/>
          <w:bCs/>
          <w:sz w:val="28"/>
          <w:szCs w:val="28"/>
        </w:rPr>
        <w:t>政府性基金预算支出决算情况说明</w:t>
      </w:r>
      <w:r>
        <w:rPr>
          <w:rFonts w:ascii="仿宋" w:eastAsia="仿宋"/>
          <w:sz w:val="28"/>
          <w:szCs w:val="28"/>
        </w:rPr>
        <w:tab/>
      </w:r>
      <w:r>
        <w:rPr>
          <w:rFonts w:hint="eastAsia" w:ascii="仿宋" w:eastAsia="仿宋"/>
          <w:sz w:val="28"/>
          <w:szCs w:val="28"/>
        </w:rPr>
        <w:t>1</w:t>
      </w:r>
      <w:r>
        <w:rPr>
          <w:rFonts w:hint="eastAsia" w:ascii="仿宋" w:eastAsia="仿宋"/>
          <w:sz w:val="28"/>
          <w:szCs w:val="28"/>
        </w:rPr>
        <w:fldChar w:fldCharType="end"/>
      </w:r>
      <w:r>
        <w:rPr>
          <w:rFonts w:hint="eastAsia" w:ascii="仿宋" w:eastAsia="仿宋"/>
          <w:sz w:val="28"/>
          <w:szCs w:val="28"/>
        </w:rPr>
        <w:t>5</w:t>
      </w:r>
    </w:p>
    <w:p>
      <w:pPr>
        <w:pStyle w:val="11"/>
        <w:ind w:left="420"/>
        <w:rPr>
          <w:rFonts w:ascii="仿宋" w:eastAsia="仿宋"/>
          <w:sz w:val="28"/>
          <w:szCs w:val="28"/>
        </w:rPr>
      </w:pPr>
      <w:r>
        <w:fldChar w:fldCharType="begin"/>
      </w:r>
      <w:r>
        <w:instrText xml:space="preserve"> HYPERLINK \l "_Toc15396611" </w:instrText>
      </w:r>
      <w:r>
        <w:fldChar w:fldCharType="separate"/>
      </w:r>
      <w:r>
        <w:rPr>
          <w:rFonts w:hint="eastAsia" w:ascii="仿宋" w:eastAsia="仿宋"/>
          <w:bCs/>
          <w:sz w:val="28"/>
          <w:szCs w:val="28"/>
        </w:rPr>
        <w:t>九、</w:t>
      </w:r>
      <w:r>
        <w:rPr>
          <w:rFonts w:hint="eastAsia" w:ascii="仿宋" w:eastAsia="仿宋"/>
          <w:sz w:val="28"/>
          <w:szCs w:val="28"/>
        </w:rPr>
        <w:t xml:space="preserve"> 国</w:t>
      </w:r>
      <w:r>
        <w:rPr>
          <w:rFonts w:hint="eastAsia" w:ascii="仿宋" w:eastAsia="仿宋"/>
          <w:bCs/>
          <w:sz w:val="28"/>
          <w:szCs w:val="28"/>
        </w:rPr>
        <w:t>有资本经营预算支出决算情况说明</w:t>
      </w:r>
      <w:r>
        <w:rPr>
          <w:rFonts w:ascii="仿宋" w:eastAsia="仿宋"/>
          <w:sz w:val="28"/>
          <w:szCs w:val="28"/>
        </w:rPr>
        <w:tab/>
      </w:r>
      <w:r>
        <w:rPr>
          <w:rFonts w:hint="eastAsia" w:ascii="仿宋" w:eastAsia="仿宋"/>
          <w:sz w:val="28"/>
          <w:szCs w:val="28"/>
        </w:rPr>
        <w:t>1</w:t>
      </w:r>
      <w:r>
        <w:rPr>
          <w:rFonts w:hint="eastAsia" w:ascii="仿宋" w:eastAsia="仿宋"/>
          <w:sz w:val="28"/>
          <w:szCs w:val="28"/>
        </w:rPr>
        <w:fldChar w:fldCharType="end"/>
      </w:r>
      <w:r>
        <w:rPr>
          <w:rFonts w:hint="eastAsia" w:ascii="仿宋" w:eastAsia="仿宋"/>
          <w:sz w:val="28"/>
          <w:szCs w:val="28"/>
        </w:rPr>
        <w:t>5</w:t>
      </w:r>
    </w:p>
    <w:p>
      <w:pPr>
        <w:pStyle w:val="11"/>
        <w:ind w:left="420"/>
        <w:rPr>
          <w:rFonts w:ascii="仿宋" w:eastAsia="仿宋"/>
          <w:sz w:val="28"/>
          <w:szCs w:val="28"/>
        </w:rPr>
      </w:pPr>
      <w:r>
        <w:rPr>
          <w:rStyle w:val="15"/>
          <w:rFonts w:hint="eastAsia" w:ascii="仿宋" w:eastAsia="仿宋"/>
          <w:bCs/>
          <w:sz w:val="28"/>
          <w:szCs w:val="28"/>
        </w:rPr>
        <w:t xml:space="preserve"> 十、预算绩效情况说明..................................15</w:t>
      </w:r>
    </w:p>
    <w:p/>
    <w:p>
      <w:pPr>
        <w:pStyle w:val="11"/>
        <w:ind w:left="420"/>
        <w:rPr>
          <w:rFonts w:ascii="仿宋" w:eastAsia="仿宋" w:cs="Arial"/>
          <w:sz w:val="28"/>
          <w:szCs w:val="28"/>
        </w:rPr>
      </w:pPr>
      <w:r>
        <w:fldChar w:fldCharType="begin"/>
      </w:r>
      <w:r>
        <w:instrText xml:space="preserve"> HYPERLINK \l "_Toc15396612" </w:instrText>
      </w:r>
      <w:r>
        <w:fldChar w:fldCharType="separate"/>
      </w:r>
      <w:r>
        <w:rPr>
          <w:rFonts w:hint="eastAsia" w:ascii="仿宋" w:eastAsia="仿宋"/>
          <w:sz w:val="28"/>
          <w:szCs w:val="28"/>
        </w:rPr>
        <w:t>十</w:t>
      </w:r>
      <w:r>
        <w:rPr>
          <w:rFonts w:hint="eastAsia" w:ascii="仿宋" w:eastAsia="仿宋"/>
          <w:bCs/>
          <w:sz w:val="28"/>
          <w:szCs w:val="28"/>
        </w:rPr>
        <w:t>一、其他重要事项的情况说明</w:t>
      </w:r>
      <w:r>
        <w:rPr>
          <w:rFonts w:ascii="仿宋" w:eastAsia="仿宋"/>
          <w:sz w:val="28"/>
          <w:szCs w:val="28"/>
        </w:rPr>
        <w:tab/>
      </w:r>
      <w:r>
        <w:rPr>
          <w:rFonts w:hint="eastAsia" w:ascii="仿宋" w:eastAsia="仿宋"/>
          <w:sz w:val="28"/>
          <w:szCs w:val="28"/>
        </w:rPr>
        <w:t>2</w:t>
      </w:r>
      <w:r>
        <w:rPr>
          <w:rFonts w:hint="eastAsia" w:ascii="仿宋" w:eastAsia="仿宋"/>
          <w:sz w:val="28"/>
          <w:szCs w:val="28"/>
        </w:rPr>
        <w:fldChar w:fldCharType="end"/>
      </w:r>
      <w:r>
        <w:rPr>
          <w:rFonts w:hint="eastAsia" w:ascii="仿宋" w:eastAsia="仿宋"/>
          <w:sz w:val="28"/>
          <w:szCs w:val="28"/>
        </w:rPr>
        <w:t>0</w:t>
      </w:r>
    </w:p>
    <w:p>
      <w:pPr>
        <w:pStyle w:val="10"/>
        <w:rPr>
          <w:rFonts w:cs="Arial"/>
        </w:rPr>
      </w:pPr>
      <w:r>
        <w:fldChar w:fldCharType="begin"/>
      </w:r>
      <w:r>
        <w:instrText xml:space="preserve"> HYPERLINK \l "_Toc15396613" </w:instrText>
      </w:r>
      <w:r>
        <w:fldChar w:fldCharType="separate"/>
      </w:r>
      <w:r>
        <w:rPr>
          <w:rFonts w:hint="eastAsia"/>
          <w:bCs/>
          <w:kern w:val="44"/>
        </w:rPr>
        <w:t>第三部分</w:t>
      </w:r>
      <w:r>
        <w:rPr>
          <w:rFonts w:hint="eastAsia"/>
        </w:rPr>
        <w:t xml:space="preserve"> 名</w:t>
      </w:r>
      <w:r>
        <w:rPr>
          <w:rFonts w:hint="eastAsia"/>
          <w:bCs/>
          <w:kern w:val="44"/>
        </w:rPr>
        <w:t>词解释</w:t>
      </w:r>
      <w:r>
        <w:tab/>
      </w:r>
      <w:r>
        <w:rPr>
          <w:rFonts w:hint="eastAsia"/>
        </w:rPr>
        <w:t>2</w:t>
      </w:r>
      <w:r>
        <w:rPr>
          <w:rFonts w:hint="eastAsia"/>
        </w:rPr>
        <w:fldChar w:fldCharType="end"/>
      </w:r>
      <w:r>
        <w:rPr>
          <w:rFonts w:hint="eastAsia"/>
        </w:rPr>
        <w:t>1</w:t>
      </w:r>
    </w:p>
    <w:p>
      <w:pPr>
        <w:pStyle w:val="10"/>
        <w:rPr>
          <w:rFonts w:cs="Arial"/>
        </w:rPr>
      </w:pPr>
      <w:r>
        <w:fldChar w:fldCharType="begin"/>
      </w:r>
      <w:r>
        <w:instrText xml:space="preserve"> HYPERLINK \l "_Toc15396614" </w:instrText>
      </w:r>
      <w:r>
        <w:fldChar w:fldCharType="separate"/>
      </w:r>
      <w:r>
        <w:rPr>
          <w:rFonts w:hint="eastAsia"/>
        </w:rPr>
        <w:t>第</w:t>
      </w:r>
      <w:r>
        <w:rPr>
          <w:rFonts w:hint="eastAsia"/>
          <w:bCs/>
          <w:kern w:val="44"/>
        </w:rPr>
        <w:t>四部分附件</w:t>
      </w:r>
      <w:r>
        <w:tab/>
      </w:r>
      <w:r>
        <w:rPr>
          <w:rFonts w:hint="eastAsia"/>
        </w:rPr>
        <w:t>2</w:t>
      </w:r>
      <w:r>
        <w:rPr>
          <w:rFonts w:hint="eastAsia"/>
        </w:rPr>
        <w:fldChar w:fldCharType="end"/>
      </w:r>
      <w:r>
        <w:rPr>
          <w:rFonts w:hint="eastAsia"/>
        </w:rPr>
        <w:t>4</w:t>
      </w:r>
    </w:p>
    <w:p>
      <w:pPr>
        <w:pStyle w:val="11"/>
        <w:ind w:left="420"/>
        <w:rPr>
          <w:rFonts w:ascii="仿宋" w:eastAsia="仿宋" w:cs="Arial"/>
          <w:sz w:val="28"/>
          <w:szCs w:val="28"/>
        </w:rPr>
      </w:pPr>
      <w:r>
        <w:fldChar w:fldCharType="begin"/>
      </w:r>
      <w:r>
        <w:instrText xml:space="preserve"> HYPERLINK \l "_Toc15396615" </w:instrText>
      </w:r>
      <w:r>
        <w:fldChar w:fldCharType="separate"/>
      </w:r>
      <w:r>
        <w:rPr>
          <w:rFonts w:hint="eastAsia" w:ascii="仿宋" w:eastAsia="仿宋"/>
          <w:kern w:val="44"/>
          <w:sz w:val="28"/>
          <w:szCs w:val="28"/>
        </w:rPr>
        <w:t>附件</w:t>
      </w:r>
      <w:r>
        <w:rPr>
          <w:rFonts w:ascii="仿宋" w:eastAsia="仿宋"/>
          <w:kern w:val="44"/>
          <w:sz w:val="28"/>
          <w:szCs w:val="28"/>
        </w:rPr>
        <w:t>1</w:t>
      </w:r>
      <w:r>
        <w:rPr>
          <w:rFonts w:ascii="仿宋" w:eastAsia="仿宋"/>
          <w:sz w:val="28"/>
          <w:szCs w:val="28"/>
        </w:rPr>
        <w:tab/>
      </w:r>
      <w:r>
        <w:rPr>
          <w:rFonts w:hint="eastAsia" w:ascii="仿宋" w:eastAsia="仿宋"/>
          <w:sz w:val="28"/>
          <w:szCs w:val="28"/>
        </w:rPr>
        <w:t>2</w:t>
      </w:r>
      <w:r>
        <w:rPr>
          <w:rFonts w:hint="eastAsia" w:ascii="仿宋" w:eastAsia="仿宋"/>
          <w:sz w:val="28"/>
          <w:szCs w:val="28"/>
        </w:rPr>
        <w:fldChar w:fldCharType="end"/>
      </w:r>
      <w:r>
        <w:rPr>
          <w:rFonts w:hint="eastAsia" w:ascii="仿宋" w:eastAsia="仿宋"/>
          <w:sz w:val="28"/>
          <w:szCs w:val="28"/>
        </w:rPr>
        <w:t>5</w:t>
      </w:r>
    </w:p>
    <w:p>
      <w:pPr>
        <w:pStyle w:val="10"/>
        <w:rPr>
          <w:rFonts w:cs="Arial"/>
        </w:rPr>
      </w:pPr>
      <w:r>
        <w:fldChar w:fldCharType="begin"/>
      </w:r>
      <w:r>
        <w:instrText xml:space="preserve"> HYPERLINK \l "_Toc15396618" </w:instrText>
      </w:r>
      <w:r>
        <w:fldChar w:fldCharType="separate"/>
      </w:r>
      <w:r>
        <w:rPr>
          <w:rFonts w:hint="eastAsia"/>
        </w:rPr>
        <w:t>第</w:t>
      </w:r>
      <w:r>
        <w:rPr>
          <w:rFonts w:hint="eastAsia"/>
          <w:bCs/>
          <w:kern w:val="44"/>
        </w:rPr>
        <w:t>五部分附表</w:t>
      </w:r>
      <w:r>
        <w:tab/>
      </w:r>
      <w:r>
        <w:rPr>
          <w:rFonts w:hint="eastAsia"/>
        </w:rPr>
        <w:t>2</w:t>
      </w:r>
      <w:r>
        <w:rPr>
          <w:rFonts w:hint="eastAsia"/>
        </w:rPr>
        <w:fldChar w:fldCharType="end"/>
      </w:r>
      <w:r>
        <w:rPr>
          <w:rFonts w:hint="eastAsia"/>
        </w:rPr>
        <w:t>6</w:t>
      </w:r>
    </w:p>
    <w:p>
      <w:pPr>
        <w:pStyle w:val="11"/>
        <w:ind w:left="420"/>
        <w:rPr>
          <w:rFonts w:ascii="仿宋" w:eastAsia="仿宋" w:cs="Arial"/>
          <w:sz w:val="28"/>
          <w:szCs w:val="28"/>
        </w:rPr>
      </w:pPr>
      <w:r>
        <w:rPr>
          <w:rFonts w:hint="eastAsia" w:ascii="仿宋" w:eastAsia="仿宋"/>
          <w:sz w:val="28"/>
          <w:szCs w:val="28"/>
        </w:rPr>
        <w:t>一、</w:t>
      </w:r>
      <w:r>
        <w:rPr>
          <w:rFonts w:hint="eastAsia"/>
        </w:rPr>
        <w:fldChar w:fldCharType="begin"/>
      </w:r>
      <w:r>
        <w:instrText xml:space="preserve"> HYPERLINK \l "_Toc15396619" </w:instrText>
      </w:r>
      <w:r>
        <w:rPr>
          <w:rFonts w:hint="eastAsia"/>
        </w:rPr>
        <w:fldChar w:fldCharType="separate"/>
      </w:r>
      <w:r>
        <w:rPr>
          <w:rFonts w:hint="eastAsia" w:ascii="仿宋" w:eastAsia="仿宋"/>
          <w:sz w:val="28"/>
          <w:szCs w:val="28"/>
        </w:rPr>
        <w:t>收入支出决算总表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二、</w:t>
      </w:r>
      <w:r>
        <w:rPr>
          <w:rFonts w:hint="eastAsia"/>
        </w:rPr>
        <w:fldChar w:fldCharType="begin"/>
      </w:r>
      <w:r>
        <w:instrText xml:space="preserve"> HYPERLINK \l "_Toc15396620" </w:instrText>
      </w:r>
      <w:r>
        <w:rPr>
          <w:rFonts w:hint="eastAsia"/>
        </w:rPr>
        <w:fldChar w:fldCharType="separate"/>
      </w:r>
      <w:r>
        <w:rPr>
          <w:rFonts w:hint="eastAsia" w:ascii="仿宋" w:eastAsia="仿宋"/>
          <w:sz w:val="28"/>
          <w:szCs w:val="28"/>
        </w:rPr>
        <w:t>收入总表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三、</w:t>
      </w:r>
      <w:r>
        <w:rPr>
          <w:rFonts w:hint="eastAsia"/>
        </w:rPr>
        <w:fldChar w:fldCharType="begin"/>
      </w:r>
      <w:r>
        <w:instrText xml:space="preserve"> HYPERLINK \l "_Toc15396621" </w:instrText>
      </w:r>
      <w:r>
        <w:rPr>
          <w:rFonts w:hint="eastAsia"/>
        </w:rPr>
        <w:fldChar w:fldCharType="separate"/>
      </w:r>
      <w:r>
        <w:rPr>
          <w:rFonts w:hint="eastAsia" w:ascii="仿宋" w:eastAsia="仿宋"/>
          <w:sz w:val="28"/>
          <w:szCs w:val="28"/>
        </w:rPr>
        <w:t>支出总表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四、</w:t>
      </w:r>
      <w:r>
        <w:rPr>
          <w:rFonts w:hint="eastAsia"/>
        </w:rPr>
        <w:fldChar w:fldCharType="begin"/>
      </w:r>
      <w:r>
        <w:instrText xml:space="preserve"> HYPERLINK \l "_Toc15396622" </w:instrText>
      </w:r>
      <w:r>
        <w:rPr>
          <w:rFonts w:hint="eastAsia"/>
        </w:rPr>
        <w:fldChar w:fldCharType="separate"/>
      </w:r>
      <w:r>
        <w:rPr>
          <w:rFonts w:hint="eastAsia" w:ascii="仿宋" w:eastAsia="仿宋"/>
          <w:sz w:val="28"/>
          <w:szCs w:val="28"/>
        </w:rPr>
        <w:t>财政拨款收入支出决算总表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sz w:val="28"/>
          <w:szCs w:val="28"/>
        </w:rPr>
      </w:pPr>
      <w:r>
        <w:rPr>
          <w:rFonts w:hint="eastAsia" w:ascii="仿宋" w:eastAsia="仿宋"/>
          <w:sz w:val="28"/>
          <w:szCs w:val="28"/>
        </w:rPr>
        <w:t>五、</w:t>
      </w:r>
      <w:r>
        <w:rPr>
          <w:rFonts w:hint="eastAsia"/>
        </w:rPr>
        <w:fldChar w:fldCharType="begin"/>
      </w:r>
      <w:r>
        <w:instrText xml:space="preserve"> HYPERLINK \l "_Toc15396623" </w:instrText>
      </w:r>
      <w:r>
        <w:rPr>
          <w:rFonts w:hint="eastAsia"/>
        </w:rPr>
        <w:fldChar w:fldCharType="separate"/>
      </w:r>
      <w:r>
        <w:rPr>
          <w:rFonts w:hint="eastAsia" w:ascii="仿宋" w:eastAsia="仿宋"/>
          <w:sz w:val="28"/>
          <w:szCs w:val="28"/>
        </w:rPr>
        <w:t>财政拨款支出决算明细表（政府经济分类科目）</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六、</w:t>
      </w:r>
      <w:r>
        <w:rPr>
          <w:rFonts w:hint="eastAsia"/>
        </w:rPr>
        <w:fldChar w:fldCharType="begin"/>
      </w:r>
      <w:r>
        <w:instrText xml:space="preserve"> HYPERLINK \l "_Toc15396624" </w:instrText>
      </w:r>
      <w:r>
        <w:rPr>
          <w:rFonts w:hint="eastAsia"/>
        </w:rPr>
        <w:fldChar w:fldCharType="separate"/>
      </w:r>
      <w:r>
        <w:rPr>
          <w:rFonts w:hint="eastAsia" w:ascii="仿宋" w:eastAsia="仿宋"/>
          <w:sz w:val="28"/>
          <w:szCs w:val="28"/>
        </w:rPr>
        <w:t>一般公共预算财政拨款支出决算表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七、</w:t>
      </w:r>
      <w:r>
        <w:rPr>
          <w:rFonts w:hint="eastAsia"/>
        </w:rPr>
        <w:fldChar w:fldCharType="begin"/>
      </w:r>
      <w:r>
        <w:instrText xml:space="preserve"> HYPERLINK \l "_Toc15396625" </w:instrText>
      </w:r>
      <w:r>
        <w:rPr>
          <w:rFonts w:hint="eastAsia"/>
        </w:rPr>
        <w:fldChar w:fldCharType="separate"/>
      </w:r>
      <w:r>
        <w:rPr>
          <w:rFonts w:hint="eastAsia" w:ascii="仿宋" w:eastAsia="仿宋"/>
          <w:sz w:val="28"/>
          <w:szCs w:val="28"/>
        </w:rPr>
        <w:t>一般公共预算财政拨款支出决算明细表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八、</w:t>
      </w:r>
      <w:r>
        <w:rPr>
          <w:rFonts w:hint="eastAsia"/>
        </w:rPr>
        <w:fldChar w:fldCharType="begin"/>
      </w:r>
      <w:r>
        <w:instrText xml:space="preserve"> HYPERLINK \l "_Toc15396626" </w:instrText>
      </w:r>
      <w:r>
        <w:rPr>
          <w:rFonts w:hint="eastAsia"/>
        </w:rPr>
        <w:fldChar w:fldCharType="separate"/>
      </w:r>
      <w:r>
        <w:rPr>
          <w:rFonts w:hint="eastAsia" w:ascii="仿宋" w:eastAsia="仿宋"/>
          <w:sz w:val="28"/>
          <w:szCs w:val="28"/>
        </w:rPr>
        <w:t>一般公共预算财政拨款基本支出决算表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九、</w:t>
      </w:r>
      <w:r>
        <w:rPr>
          <w:rFonts w:hint="eastAsia"/>
        </w:rPr>
        <w:fldChar w:fldCharType="begin"/>
      </w:r>
      <w:r>
        <w:instrText xml:space="preserve"> HYPERLINK \l "_Toc15396627" </w:instrText>
      </w:r>
      <w:r>
        <w:rPr>
          <w:rFonts w:hint="eastAsia"/>
        </w:rPr>
        <w:fldChar w:fldCharType="separate"/>
      </w:r>
      <w:r>
        <w:rPr>
          <w:rFonts w:hint="eastAsia" w:ascii="仿宋" w:eastAsia="仿宋"/>
          <w:sz w:val="28"/>
          <w:szCs w:val="28"/>
        </w:rPr>
        <w:t>一般公共预算财政拨款项目支出决算表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十、</w:t>
      </w:r>
      <w:r>
        <w:rPr>
          <w:rFonts w:hint="eastAsia"/>
        </w:rPr>
        <w:fldChar w:fldCharType="begin"/>
      </w:r>
      <w:r>
        <w:instrText xml:space="preserve"> HYPERLINK \l "_Toc15396628" </w:instrText>
      </w:r>
      <w:r>
        <w:rPr>
          <w:rFonts w:hint="eastAsia"/>
        </w:rPr>
        <w:fldChar w:fldCharType="separate"/>
      </w:r>
      <w:r>
        <w:rPr>
          <w:rFonts w:hint="eastAsia" w:ascii="仿宋" w:eastAsia="仿宋"/>
          <w:sz w:val="28"/>
          <w:szCs w:val="28"/>
        </w:rPr>
        <w:t>一般公共预算财政拨款“三公”经费支出决算表</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pStyle w:val="11"/>
        <w:ind w:left="420"/>
        <w:rPr>
          <w:rFonts w:ascii="仿宋" w:eastAsia="仿宋" w:cs="Arial"/>
          <w:sz w:val="28"/>
          <w:szCs w:val="28"/>
        </w:rPr>
      </w:pPr>
      <w:r>
        <w:rPr>
          <w:rFonts w:hint="eastAsia" w:ascii="仿宋" w:eastAsia="仿宋"/>
          <w:sz w:val="28"/>
          <w:szCs w:val="28"/>
        </w:rPr>
        <w:t>十一、</w:t>
      </w:r>
      <w:r>
        <w:rPr>
          <w:rFonts w:hint="eastAsia"/>
        </w:rPr>
        <w:fldChar w:fldCharType="begin"/>
      </w:r>
      <w:r>
        <w:instrText xml:space="preserve"> HYPERLINK \l "_Toc15396629" </w:instrText>
      </w:r>
      <w:r>
        <w:rPr>
          <w:rFonts w:hint="eastAsia"/>
        </w:rPr>
        <w:fldChar w:fldCharType="separate"/>
      </w:r>
      <w:r>
        <w:rPr>
          <w:rFonts w:hint="eastAsia" w:ascii="仿宋" w:eastAsia="仿宋"/>
          <w:sz w:val="28"/>
          <w:szCs w:val="28"/>
        </w:rPr>
        <w:t>封面代码</w:t>
      </w:r>
      <w:r>
        <w:rPr>
          <w:rFonts w:ascii="仿宋" w:eastAsia="仿宋"/>
          <w:sz w:val="28"/>
          <w:szCs w:val="28"/>
        </w:rPr>
        <w:tab/>
      </w:r>
      <w:r>
        <w:rPr>
          <w:rFonts w:hint="eastAsia" w:ascii="仿宋" w:eastAsia="仿宋"/>
          <w:sz w:val="28"/>
          <w:szCs w:val="28"/>
        </w:rPr>
        <w:fldChar w:fldCharType="end"/>
      </w:r>
      <w:r>
        <w:rPr>
          <w:rFonts w:hint="eastAsia" w:ascii="仿宋" w:eastAsia="仿宋"/>
          <w:sz w:val="28"/>
          <w:szCs w:val="28"/>
        </w:rPr>
        <w:t>26</w:t>
      </w:r>
    </w:p>
    <w:p>
      <w:pPr>
        <w:widowControl/>
        <w:jc w:val="left"/>
        <w:rPr>
          <w:rFonts w:ascii="仿宋" w:eastAsia="仿宋"/>
          <w:color w:val="000000"/>
          <w:sz w:val="24"/>
        </w:rPr>
      </w:pPr>
      <w:r>
        <w:rPr>
          <w:rFonts w:ascii="仿宋" w:eastAsia="仿宋"/>
          <w:color w:val="000000"/>
          <w:sz w:val="24"/>
        </w:rPr>
        <w:fldChar w:fldCharType="end"/>
      </w:r>
    </w:p>
    <w:p>
      <w:pPr>
        <w:widowControl/>
        <w:jc w:val="left"/>
        <w:rPr>
          <w:rFonts w:ascii="黑体" w:eastAsia="黑体"/>
          <w:bCs/>
          <w:kern w:val="44"/>
          <w:sz w:val="44"/>
          <w:szCs w:val="44"/>
        </w:rPr>
      </w:pPr>
      <w:bookmarkStart w:id="12" w:name="_Toc15377196"/>
      <w:bookmarkStart w:id="13" w:name="_Toc15396599"/>
      <w:r>
        <w:rPr>
          <w:rFonts w:ascii="黑体" w:eastAsia="黑体"/>
          <w:b/>
        </w:rPr>
        <w:br w:type="page"/>
      </w:r>
    </w:p>
    <w:p>
      <w:pPr>
        <w:pStyle w:val="2"/>
        <w:jc w:val="center"/>
        <w:rPr>
          <w:rFonts w:ascii="黑体" w:eastAsia="黑体"/>
          <w:color w:val="000000"/>
          <w:sz w:val="32"/>
          <w:szCs w:val="32"/>
        </w:rPr>
      </w:pPr>
      <w:r>
        <w:rPr>
          <w:rFonts w:hint="eastAsia" w:ascii="黑体" w:eastAsia="黑体"/>
          <w:b w:val="0"/>
        </w:rPr>
        <w:t xml:space="preserve">第一部分 </w:t>
      </w:r>
      <w:r>
        <w:rPr>
          <w:rStyle w:val="16"/>
          <w:rFonts w:hint="eastAsia" w:ascii="黑体" w:eastAsia="黑体"/>
          <w:b w:val="0"/>
          <w:bCs w:val="0"/>
        </w:rPr>
        <w:t>部门概况</w:t>
      </w:r>
      <w:bookmarkEnd w:id="12"/>
      <w:bookmarkEnd w:id="13"/>
    </w:p>
    <w:p>
      <w:pPr>
        <w:pStyle w:val="3"/>
        <w:spacing w:before="0" w:after="0" w:line="240" w:lineRule="auto"/>
        <w:ind w:left="640" w:hanging="640" w:hangingChars="200"/>
        <w:rPr>
          <w:rStyle w:val="17"/>
          <w:rFonts w:ascii="黑体" w:eastAsia="黑体"/>
          <w:b w:val="0"/>
          <w:bCs w:val="0"/>
        </w:rPr>
      </w:pPr>
      <w:bookmarkStart w:id="14" w:name="_Toc15396600"/>
      <w:bookmarkStart w:id="15" w:name="_Toc15377197"/>
      <w:r>
        <w:rPr>
          <w:rFonts w:hint="eastAsia" w:ascii="黑体" w:eastAsia="黑体"/>
          <w:b w:val="0"/>
          <w:color w:val="000000"/>
        </w:rPr>
        <w:t>一、基</w:t>
      </w:r>
      <w:r>
        <w:rPr>
          <w:rStyle w:val="17"/>
          <w:rFonts w:hint="eastAsia" w:ascii="黑体" w:eastAsia="黑体"/>
          <w:b w:val="0"/>
          <w:bCs w:val="0"/>
        </w:rPr>
        <w:t>本职能及主要工作</w:t>
      </w:r>
      <w:bookmarkEnd w:id="14"/>
      <w:bookmarkEnd w:id="15"/>
      <w:bookmarkStart w:id="16" w:name="_Toc15378445"/>
      <w:bookmarkStart w:id="17" w:name="_Toc15377198"/>
    </w:p>
    <w:p>
      <w:pPr>
        <w:pStyle w:val="3"/>
        <w:spacing w:before="0" w:after="0" w:line="240" w:lineRule="auto"/>
        <w:ind w:left="642" w:leftChars="153" w:hanging="321" w:hangingChars="100"/>
        <w:rPr>
          <w:rFonts w:ascii="楷体" w:eastAsia="楷体" w:cs="楷体"/>
          <w:color w:val="000000"/>
        </w:rPr>
      </w:pPr>
      <w:r>
        <w:rPr>
          <w:rFonts w:hint="eastAsia" w:ascii="楷体" w:eastAsia="楷体" w:cs="楷体"/>
          <w:color w:val="000000"/>
        </w:rPr>
        <w:t>（一）主要职能</w:t>
      </w:r>
      <w:bookmarkEnd w:id="16"/>
      <w:bookmarkEnd w:id="17"/>
      <w:bookmarkStart w:id="18" w:name="_Toc15378446"/>
      <w:bookmarkStart w:id="19" w:name="_Toc15377199"/>
    </w:p>
    <w:p>
      <w:pPr>
        <w:pStyle w:val="5"/>
        <w:adjustRightInd w:val="0"/>
        <w:snapToGrid w:val="0"/>
        <w:spacing w:before="93" w:line="600" w:lineRule="exact"/>
        <w:ind w:firstLine="640" w:firstLineChars="200"/>
        <w:rPr>
          <w:kern w:val="2"/>
          <w:sz w:val="32"/>
          <w:szCs w:val="32"/>
        </w:rPr>
      </w:pPr>
      <w:r>
        <w:rPr>
          <w:rFonts w:hint="eastAsia"/>
          <w:kern w:val="2"/>
          <w:sz w:val="32"/>
          <w:szCs w:val="32"/>
        </w:rPr>
        <w:t>在县委、县政府领导下贯彻党的教育方针，为全县中小学搞好经费保障。指导学校教育教学工作，学校布局调整和教育长远规划。组织实施学校校舍建设和教学仪器设备购置。中小学经费的分配和监督管理。</w:t>
      </w:r>
    </w:p>
    <w:p>
      <w:pPr>
        <w:pStyle w:val="3"/>
        <w:spacing w:before="0" w:after="0" w:line="240" w:lineRule="auto"/>
        <w:ind w:firstLine="321" w:firstLineChars="100"/>
        <w:rPr>
          <w:rFonts w:ascii="楷体" w:eastAsia="楷体" w:cs="楷体"/>
          <w:color w:val="000000"/>
        </w:rPr>
      </w:pPr>
      <w:r>
        <w:rPr>
          <w:rFonts w:hint="eastAsia" w:ascii="楷体" w:eastAsia="楷体" w:cs="楷体"/>
          <w:color w:val="000000"/>
        </w:rPr>
        <w:t>（二）2020年重点工作完成情况</w:t>
      </w:r>
      <w:bookmarkEnd w:id="18"/>
      <w:bookmarkEnd w:id="19"/>
    </w:p>
    <w:p>
      <w:pPr>
        <w:spacing w:line="560" w:lineRule="exact"/>
        <w:ind w:firstLine="640" w:firstLineChars="200"/>
        <w:rPr>
          <w:rFonts w:ascii="仿宋_GB2312" w:eastAsia="仿宋_GB2312"/>
          <w:sz w:val="32"/>
          <w:szCs w:val="32"/>
        </w:rPr>
      </w:pPr>
      <w:bookmarkStart w:id="20" w:name="_Toc15377200"/>
      <w:bookmarkStart w:id="21" w:name="_Toc15396601"/>
      <w:r>
        <w:rPr>
          <w:rFonts w:hint="eastAsia" w:ascii="仿宋_GB2312" w:eastAsia="仿宋_GB2312"/>
          <w:sz w:val="32"/>
          <w:szCs w:val="32"/>
        </w:rPr>
        <w:t xml:space="preserve">1、教育扶贫工作主要目标任务全面达标。围绕决战决胜整县摘帽目标任务，科学统筹教育民生项目，突出抓好了学有保障工作。2020年，完成教育基金第二轮资助申报审核1606人，资助金额为277.8万元。申报特别资助的建档立卡贫困家庭中职阶段学生 93人、专本科阶段学生264人。办理生源地信用助学贷款申贷手续16份，共申贷资金11万元；完成高校毕业生艰边地区就业学费奖补初审17人。 </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2、民生工作稳平有序，学生获得感切实增强。对标对表落实2020年阿坝州25件民生实事，涉及资金1442.03万元，所有民生项目拨付比率在本月底前均达到100%。（民族自治地方十五年免费教育计划全面实施，义务教育阶段学生“三免一补”政策执行到位，做到应免尽免、应补尽补；免除855名公办普通高中在校学生3年学费并免费提供教科书，享受家庭经济困难普通高中学生补助覆盖面达50%。4795名义务教育阶段学生享受营养餐；839人享受高海拔民族地区义务教育阶段学生取暖，已拨付资金18万元。已建成幼儿园点65个，已拨付2020年省级学前教育发展专项资金523.32万元，兑现207名临聘村幼辅导员劳务报酬，为符合条件的213名幼教辅导员购置保险。免除1692名学前3年公办幼儿园在园幼儿保教费，按月兑现在园幼儿午餐补助。）</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3、项目推进有序。年内，实施项目20个，完成投资14722万元。一是全面完成金川中学新校区项目建设任务，并全部投入使用。该项目完成投资1840万元，总建设面积达126219平方米。二是全面完成2个新建项目任务，完成总投资1840万元。其中的双柏树幼儿园新建项目，总投资875万元，已完成主体建设；二楷小学辅助用房，总投资200万元，已完成主体建设。卡撒中心校教师周转房建设，总投资210万元，完成投资100%；二中布局调整后的教师周转房建设项目（即现金中“青年楼”周转房改扩建项目），总投资760万元，完成投资500万元，主体已完工。四是完成9所学校维修工程，总投资240万元，完成率100%，全部投入使用。实施村小宽带网络接入工程，实现中小学校宽带通比率100%。</w:t>
      </w:r>
    </w:p>
    <w:p>
      <w:pPr>
        <w:spacing w:line="578" w:lineRule="exact"/>
        <w:ind w:firstLine="640" w:firstLineChars="200"/>
        <w:rPr>
          <w:rStyle w:val="17"/>
          <w:b w:val="0"/>
          <w:bCs w:val="0"/>
        </w:rPr>
      </w:pPr>
      <w:r>
        <w:rPr>
          <w:rStyle w:val="17"/>
          <w:rFonts w:hint="eastAsia" w:ascii="黑体" w:eastAsia="黑体"/>
          <w:b w:val="0"/>
          <w:bCs w:val="0"/>
        </w:rPr>
        <w:t>二、机构设置</w:t>
      </w:r>
      <w:bookmarkEnd w:id="20"/>
      <w:bookmarkEnd w:id="21"/>
    </w:p>
    <w:p>
      <w:pPr>
        <w:ind w:firstLine="627" w:firstLineChars="196"/>
        <w:rPr>
          <w:rFonts w:ascii="仿宋_GB2312" w:eastAsia="仿宋_GB2312"/>
          <w:sz w:val="32"/>
          <w:szCs w:val="32"/>
        </w:rPr>
      </w:pPr>
      <w:r>
        <w:rPr>
          <w:rFonts w:hint="eastAsia" w:ascii="仿宋_GB2312" w:eastAsia="仿宋_GB2312"/>
          <w:sz w:val="32"/>
          <w:szCs w:val="32"/>
        </w:rPr>
        <w:t>2020年我单位行政机构编制为10人（工勤人员1人），事业编制1072人。2020年在岗在职1072人， 2019年财政供养人员为1484人,2020年财政供养人员为1509人,其中在职1072人，退休445人，总体增加10人，原因是人员调动和新录用。</w:t>
      </w:r>
    </w:p>
    <w:p>
      <w:pPr>
        <w:widowControl/>
        <w:ind w:firstLine="640" w:firstLineChars="200"/>
        <w:jc w:val="left"/>
        <w:rPr>
          <w:rFonts w:ascii="仿宋" w:hAnsi="仿宋" w:eastAsia="仿宋_GB2312"/>
          <w:color w:val="000000"/>
          <w:kern w:val="0"/>
          <w:sz w:val="32"/>
          <w:szCs w:val="32"/>
        </w:rPr>
      </w:pPr>
    </w:p>
    <w:p>
      <w:pPr>
        <w:pStyle w:val="2"/>
        <w:ind w:right="440"/>
      </w:pPr>
      <w:bookmarkStart w:id="22" w:name="_Toc15377204"/>
      <w:bookmarkStart w:id="23" w:name="_Toc15396602"/>
      <w:r>
        <w:rPr>
          <w:rFonts w:hint="eastAsia" w:ascii="黑体" w:eastAsia="黑体"/>
          <w:b w:val="0"/>
          <w:color w:val="000000"/>
        </w:rPr>
        <w:t>第二部分</w:t>
      </w:r>
      <w:r>
        <w:rPr>
          <w:rStyle w:val="16"/>
          <w:rFonts w:hint="eastAsia" w:ascii="黑体" w:eastAsia="黑体"/>
          <w:b w:val="0"/>
          <w:bCs w:val="0"/>
        </w:rPr>
        <w:t>2019年度部门决算情况说明</w:t>
      </w:r>
      <w:bookmarkEnd w:id="22"/>
      <w:bookmarkEnd w:id="23"/>
    </w:p>
    <w:p>
      <w:pPr>
        <w:pStyle w:val="22"/>
        <w:numPr>
          <w:ilvl w:val="0"/>
          <w:numId w:val="1"/>
        </w:numPr>
        <w:ind w:left="0" w:firstLine="0" w:firstLineChars="0"/>
        <w:outlineLvl w:val="1"/>
        <w:rPr>
          <w:rStyle w:val="17"/>
          <w:rFonts w:ascii="黑体" w:eastAsia="黑体"/>
          <w:b w:val="0"/>
        </w:rPr>
      </w:pPr>
      <w:bookmarkStart w:id="24" w:name="_Toc15377205"/>
      <w:bookmarkStart w:id="25" w:name="_Toc15396603"/>
      <w:r>
        <w:rPr>
          <w:rFonts w:hint="eastAsia" w:ascii="黑体" w:eastAsia="黑体"/>
          <w:color w:val="000000"/>
          <w:sz w:val="32"/>
          <w:szCs w:val="32"/>
        </w:rPr>
        <w:t>收</w:t>
      </w:r>
      <w:r>
        <w:rPr>
          <w:rStyle w:val="17"/>
          <w:rFonts w:hint="eastAsia" w:ascii="黑体" w:eastAsia="黑体"/>
          <w:b w:val="0"/>
        </w:rPr>
        <w:t>入支出决算总体情况说明</w:t>
      </w:r>
      <w:bookmarkEnd w:id="24"/>
      <w:bookmarkEnd w:id="25"/>
    </w:p>
    <w:p>
      <w:pPr>
        <w:snapToGrid w:val="0"/>
        <w:spacing w:line="520" w:lineRule="exact"/>
        <w:ind w:firstLine="632" w:firstLineChars="200"/>
        <w:rPr>
          <w:rFonts w:ascii="仿宋_GB2312" w:eastAsia="仿宋_GB2312"/>
          <w:color w:val="000000"/>
          <w:spacing w:val="-2"/>
          <w:sz w:val="32"/>
          <w:szCs w:val="32"/>
        </w:rPr>
      </w:pPr>
      <w:r>
        <w:rPr>
          <w:rFonts w:hint="eastAsia" w:ascii="仿宋_GB2312" w:eastAsia="仿宋_GB2312"/>
          <w:color w:val="000000"/>
          <w:spacing w:val="-2"/>
          <w:sz w:val="32"/>
          <w:szCs w:val="32"/>
        </w:rPr>
        <w:t>2020年度总收入</w:t>
      </w:r>
      <w:r>
        <w:rPr>
          <w:rFonts w:ascii="仿宋_GB2312" w:eastAsia="仿宋_GB2312"/>
          <w:color w:val="000000"/>
          <w:spacing w:val="-2"/>
          <w:sz w:val="32"/>
          <w:szCs w:val="32"/>
        </w:rPr>
        <w:t>27</w:t>
      </w:r>
      <w:r>
        <w:rPr>
          <w:rFonts w:hint="eastAsia" w:ascii="仿宋_GB2312" w:eastAsia="仿宋_GB2312"/>
          <w:color w:val="000000"/>
          <w:spacing w:val="-2"/>
          <w:sz w:val="32"/>
          <w:szCs w:val="32"/>
        </w:rPr>
        <w:t>384.</w:t>
      </w:r>
      <w:r>
        <w:rPr>
          <w:rFonts w:ascii="仿宋_GB2312" w:eastAsia="仿宋_GB2312"/>
          <w:color w:val="000000"/>
          <w:spacing w:val="-2"/>
          <w:sz w:val="32"/>
          <w:szCs w:val="32"/>
        </w:rPr>
        <w:t>19</w:t>
      </w:r>
      <w:r>
        <w:rPr>
          <w:rFonts w:hint="eastAsia" w:ascii="仿宋_GB2312" w:eastAsia="仿宋_GB2312"/>
          <w:color w:val="000000"/>
          <w:spacing w:val="-2"/>
          <w:sz w:val="32"/>
          <w:szCs w:val="32"/>
        </w:rPr>
        <w:t>万元，较上年收入增加3547.06万元，增加14.90%。增加的主要原因是2020年扶贫资金的增加。</w:t>
      </w:r>
    </w:p>
    <w:p>
      <w:pPr>
        <w:snapToGrid w:val="0"/>
        <w:spacing w:line="520" w:lineRule="exact"/>
        <w:ind w:firstLine="632" w:firstLineChars="200"/>
        <w:rPr>
          <w:rFonts w:ascii="仿宋" w:eastAsia="仿宋"/>
          <w:sz w:val="32"/>
          <w:szCs w:val="32"/>
        </w:rPr>
      </w:pPr>
      <w:r>
        <w:rPr>
          <w:rFonts w:hint="eastAsia" w:ascii="仿宋_GB2312" w:eastAsia="仿宋_GB2312"/>
          <w:spacing w:val="-2"/>
          <w:sz w:val="32"/>
          <w:szCs w:val="32"/>
        </w:rPr>
        <w:t>2020年总支出</w:t>
      </w:r>
      <w:r>
        <w:rPr>
          <w:rFonts w:ascii="仿宋_GB2312" w:eastAsia="仿宋_GB2312"/>
          <w:spacing w:val="-2"/>
          <w:sz w:val="32"/>
          <w:szCs w:val="32"/>
        </w:rPr>
        <w:t>25932</w:t>
      </w:r>
      <w:r>
        <w:rPr>
          <w:rFonts w:hint="eastAsia" w:ascii="仿宋_GB2312" w:eastAsia="仿宋_GB2312"/>
          <w:spacing w:val="-2"/>
          <w:sz w:val="32"/>
          <w:szCs w:val="32"/>
        </w:rPr>
        <w:t>.</w:t>
      </w:r>
      <w:r>
        <w:rPr>
          <w:rFonts w:ascii="仿宋_GB2312" w:eastAsia="仿宋_GB2312"/>
          <w:spacing w:val="-2"/>
          <w:sz w:val="32"/>
          <w:szCs w:val="32"/>
        </w:rPr>
        <w:t>89</w:t>
      </w:r>
      <w:r>
        <w:rPr>
          <w:rFonts w:hint="eastAsia" w:ascii="仿宋_GB2312" w:eastAsia="仿宋_GB2312"/>
          <w:spacing w:val="-2"/>
          <w:sz w:val="32"/>
          <w:szCs w:val="32"/>
        </w:rPr>
        <w:t>万元，较上年支出减少723.11万元，减少2.71%。主要原因一是当年部门预算安排项目经费较上年有所减少；二是2020年支出包含了上年结转项目。</w:t>
      </w:r>
    </w:p>
    <w:p>
      <w:pPr>
        <w:spacing w:line="600" w:lineRule="exact"/>
        <w:ind w:firstLine="640" w:firstLineChars="200"/>
        <w:rPr>
          <w:rFonts w:ascii="黑体" w:eastAsia="黑体"/>
          <w:color w:val="000000"/>
          <w:sz w:val="32"/>
          <w:szCs w:val="32"/>
        </w:rPr>
      </w:pPr>
      <w:bookmarkStart w:id="26" w:name="_Toc15396604"/>
      <w:bookmarkStart w:id="27" w:name="_Toc15377206"/>
    </w:p>
    <w:p>
      <w:pPr>
        <w:spacing w:line="600" w:lineRule="exact"/>
        <w:ind w:firstLine="420" w:firstLineChars="200"/>
      </w:pPr>
    </w:p>
    <w:p>
      <w:pPr>
        <w:spacing w:line="600" w:lineRule="exact"/>
        <w:ind w:firstLine="420" w:firstLineChars="200"/>
      </w:pPr>
    </w:p>
    <w:p>
      <w:pPr>
        <w:spacing w:line="600" w:lineRule="exact"/>
        <w:ind w:firstLine="420" w:firstLineChars="200"/>
      </w:pPr>
    </w:p>
    <w:p>
      <w:pPr>
        <w:spacing w:line="600" w:lineRule="exact"/>
        <w:ind w:firstLine="420" w:firstLineChars="200"/>
      </w:pPr>
    </w:p>
    <w:p>
      <w:pPr>
        <w:spacing w:line="600" w:lineRule="exact"/>
        <w:ind w:firstLine="420" w:firstLineChars="200"/>
      </w:pPr>
    </w:p>
    <w:p>
      <w:pPr>
        <w:spacing w:line="600" w:lineRule="exact"/>
        <w:ind w:firstLine="420" w:firstLineChars="200"/>
      </w:pPr>
    </w:p>
    <w:p>
      <w:pPr>
        <w:spacing w:line="600" w:lineRule="exact"/>
        <w:ind w:firstLine="420" w:firstLineChars="200"/>
        <w:rPr>
          <w:rFonts w:ascii="黑体" w:eastAsia="黑体"/>
          <w:color w:val="000000"/>
          <w:sz w:val="32"/>
          <w:szCs w:val="32"/>
        </w:rPr>
      </w:pPr>
      <w:r>
        <w:drawing>
          <wp:inline distT="0" distB="0" distL="114300" distR="114300">
            <wp:extent cx="4572000" cy="2743200"/>
            <wp:effectExtent l="4445" t="4445" r="14605" b="14605"/>
            <wp:docPr id="11"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600" w:lineRule="exact"/>
        <w:ind w:firstLine="320" w:firstLineChars="100"/>
        <w:rPr>
          <w:rStyle w:val="17"/>
          <w:rFonts w:ascii="黑体" w:eastAsia="黑体"/>
          <w:b w:val="0"/>
        </w:rPr>
      </w:pPr>
      <w:r>
        <w:rPr>
          <w:rFonts w:hint="eastAsia" w:ascii="黑体" w:eastAsia="黑体"/>
          <w:color w:val="000000"/>
          <w:sz w:val="32"/>
          <w:szCs w:val="32"/>
        </w:rPr>
        <w:t>二、收入决</w:t>
      </w:r>
      <w:r>
        <w:rPr>
          <w:rStyle w:val="17"/>
          <w:rFonts w:hint="eastAsia" w:ascii="黑体" w:eastAsia="黑体"/>
          <w:b w:val="0"/>
        </w:rPr>
        <w:t>算情况说明</w:t>
      </w:r>
      <w:bookmarkEnd w:id="26"/>
      <w:bookmarkEnd w:id="27"/>
    </w:p>
    <w:p>
      <w:pPr>
        <w:spacing w:line="600" w:lineRule="exact"/>
        <w:ind w:firstLine="640" w:firstLineChars="200"/>
        <w:outlineLvl w:val="1"/>
        <w:rPr>
          <w:rFonts w:ascii="仿宋" w:eastAsia="仿宋"/>
          <w:color w:val="000000"/>
          <w:sz w:val="32"/>
          <w:szCs w:val="32"/>
        </w:rPr>
      </w:pPr>
      <w:r>
        <w:rPr>
          <w:rFonts w:ascii="仿宋" w:eastAsia="仿宋"/>
          <w:color w:val="000000"/>
          <w:sz w:val="32"/>
          <w:szCs w:val="32"/>
        </w:rPr>
        <w:t>20</w:t>
      </w:r>
      <w:r>
        <w:rPr>
          <w:rFonts w:hint="eastAsia" w:ascii="仿宋" w:eastAsia="仿宋"/>
          <w:color w:val="000000"/>
          <w:sz w:val="32"/>
          <w:szCs w:val="32"/>
        </w:rPr>
        <w:t>20年总收入</w:t>
      </w:r>
      <w:r>
        <w:rPr>
          <w:rFonts w:ascii="仿宋_GB2312" w:eastAsia="仿宋_GB2312"/>
          <w:color w:val="000000"/>
          <w:spacing w:val="-2"/>
          <w:sz w:val="32"/>
          <w:szCs w:val="32"/>
        </w:rPr>
        <w:t>27</w:t>
      </w:r>
      <w:r>
        <w:rPr>
          <w:rFonts w:hint="eastAsia" w:ascii="仿宋_GB2312" w:eastAsia="仿宋_GB2312"/>
          <w:color w:val="000000"/>
          <w:spacing w:val="-2"/>
          <w:sz w:val="32"/>
          <w:szCs w:val="32"/>
        </w:rPr>
        <w:t>384.</w:t>
      </w:r>
      <w:r>
        <w:rPr>
          <w:rFonts w:ascii="仿宋_GB2312" w:eastAsia="仿宋_GB2312"/>
          <w:color w:val="000000"/>
          <w:spacing w:val="-2"/>
          <w:sz w:val="32"/>
          <w:szCs w:val="32"/>
        </w:rPr>
        <w:t>19</w:t>
      </w:r>
      <w:r>
        <w:rPr>
          <w:rFonts w:hint="eastAsia" w:ascii="仿宋" w:eastAsia="仿宋"/>
          <w:color w:val="000000"/>
          <w:sz w:val="32"/>
          <w:szCs w:val="32"/>
        </w:rPr>
        <w:t>万元，其中：一般公共预算财政拨款收入27320.19万元，占99.89</w:t>
      </w:r>
      <w:r>
        <w:rPr>
          <w:rFonts w:ascii="仿宋" w:eastAsia="仿宋"/>
          <w:color w:val="000000"/>
          <w:sz w:val="32"/>
          <w:szCs w:val="32"/>
        </w:rPr>
        <w:t>%</w:t>
      </w:r>
      <w:r>
        <w:rPr>
          <w:rFonts w:hint="eastAsia" w:ascii="仿宋" w:eastAsia="仿宋"/>
          <w:color w:val="000000"/>
          <w:sz w:val="32"/>
          <w:szCs w:val="32"/>
        </w:rPr>
        <w:t>；政府性基金预算财政拨款收入32.00万元，占0.11</w:t>
      </w:r>
      <w:r>
        <w:rPr>
          <w:rFonts w:ascii="仿宋" w:eastAsia="仿宋"/>
          <w:color w:val="000000"/>
          <w:sz w:val="32"/>
          <w:szCs w:val="32"/>
        </w:rPr>
        <w:t>%</w:t>
      </w:r>
      <w:r>
        <w:rPr>
          <w:rFonts w:hint="eastAsia" w:ascii="仿宋" w:eastAsia="仿宋"/>
          <w:color w:val="000000"/>
          <w:sz w:val="32"/>
          <w:szCs w:val="32"/>
        </w:rPr>
        <w:t>；国有资本经营预算财政拨款收入0万元，占0</w:t>
      </w:r>
      <w:r>
        <w:rPr>
          <w:rFonts w:ascii="仿宋" w:eastAsia="仿宋"/>
          <w:color w:val="000000"/>
          <w:sz w:val="32"/>
          <w:szCs w:val="32"/>
        </w:rPr>
        <w:t>%</w:t>
      </w:r>
      <w:r>
        <w:rPr>
          <w:rFonts w:hint="eastAsia" w:ascii="仿宋" w:eastAsia="仿宋"/>
          <w:color w:val="000000"/>
          <w:sz w:val="32"/>
          <w:szCs w:val="32"/>
        </w:rPr>
        <w:t>；事业收入0万元，占0</w:t>
      </w:r>
      <w:r>
        <w:rPr>
          <w:rFonts w:ascii="仿宋" w:eastAsia="仿宋"/>
          <w:color w:val="000000"/>
          <w:sz w:val="32"/>
          <w:szCs w:val="32"/>
        </w:rPr>
        <w:t>%</w:t>
      </w:r>
      <w:r>
        <w:rPr>
          <w:rFonts w:hint="eastAsia" w:ascii="仿宋" w:eastAsia="仿宋"/>
          <w:color w:val="000000"/>
          <w:sz w:val="32"/>
          <w:szCs w:val="32"/>
        </w:rPr>
        <w:t>；经营收入0万元，占0</w:t>
      </w:r>
      <w:r>
        <w:rPr>
          <w:rFonts w:ascii="仿宋" w:eastAsia="仿宋"/>
          <w:color w:val="000000"/>
          <w:sz w:val="32"/>
          <w:szCs w:val="32"/>
        </w:rPr>
        <w:t>%</w:t>
      </w:r>
      <w:r>
        <w:rPr>
          <w:rFonts w:hint="eastAsia" w:ascii="仿宋" w:eastAsia="仿宋"/>
          <w:color w:val="000000"/>
          <w:sz w:val="32"/>
          <w:szCs w:val="32"/>
        </w:rPr>
        <w:t>；附属单位上缴收入0万元，占0</w:t>
      </w:r>
      <w:r>
        <w:rPr>
          <w:rFonts w:ascii="仿宋" w:eastAsia="仿宋"/>
          <w:color w:val="000000"/>
          <w:sz w:val="32"/>
          <w:szCs w:val="32"/>
        </w:rPr>
        <w:t>%</w:t>
      </w:r>
      <w:r>
        <w:rPr>
          <w:rFonts w:hint="eastAsia" w:ascii="仿宋" w:eastAsia="仿宋"/>
          <w:color w:val="000000"/>
          <w:sz w:val="32"/>
          <w:szCs w:val="32"/>
        </w:rPr>
        <w:t>。</w:t>
      </w:r>
    </w:p>
    <w:p>
      <w:pPr>
        <w:spacing w:line="600" w:lineRule="exact"/>
        <w:ind w:firstLine="640" w:firstLineChars="200"/>
        <w:outlineLvl w:val="1"/>
        <w:rPr>
          <w:rFonts w:ascii="仿宋" w:eastAsia="仿宋"/>
          <w:color w:val="000000"/>
          <w:sz w:val="32"/>
          <w:szCs w:val="32"/>
        </w:rPr>
      </w:pPr>
    </w:p>
    <w:p>
      <w:pPr>
        <w:spacing w:line="600" w:lineRule="exact"/>
        <w:ind w:firstLine="420" w:firstLineChars="200"/>
        <w:outlineLvl w:val="1"/>
      </w:pPr>
    </w:p>
    <w:p>
      <w:pPr>
        <w:spacing w:line="600" w:lineRule="exact"/>
        <w:ind w:firstLine="420" w:firstLineChars="200"/>
        <w:outlineLvl w:val="1"/>
      </w:pPr>
    </w:p>
    <w:p>
      <w:pPr>
        <w:spacing w:line="600" w:lineRule="exact"/>
        <w:ind w:firstLine="420" w:firstLineChars="200"/>
        <w:outlineLvl w:val="1"/>
      </w:pPr>
    </w:p>
    <w:p>
      <w:pPr>
        <w:spacing w:line="600" w:lineRule="exact"/>
        <w:ind w:firstLine="420" w:firstLineChars="200"/>
        <w:outlineLvl w:val="1"/>
      </w:pPr>
    </w:p>
    <w:p>
      <w:pPr>
        <w:spacing w:line="600" w:lineRule="exact"/>
        <w:ind w:firstLine="420" w:firstLineChars="200"/>
        <w:outlineLvl w:val="1"/>
      </w:pPr>
    </w:p>
    <w:p>
      <w:pPr>
        <w:spacing w:line="600" w:lineRule="exact"/>
        <w:ind w:firstLine="420" w:firstLineChars="200"/>
        <w:outlineLvl w:val="1"/>
        <w:rPr>
          <w:rFonts w:ascii="仿宋" w:eastAsia="仿宋"/>
          <w:color w:val="000000"/>
          <w:sz w:val="32"/>
          <w:szCs w:val="32"/>
        </w:rPr>
      </w:pPr>
      <w:r>
        <w:drawing>
          <wp:inline distT="0" distB="0" distL="114300" distR="114300">
            <wp:extent cx="4572000" cy="2743200"/>
            <wp:effectExtent l="4445" t="4445" r="14605" b="14605"/>
            <wp:docPr id="1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600" w:lineRule="exact"/>
        <w:outlineLvl w:val="1"/>
        <w:rPr>
          <w:rStyle w:val="17"/>
          <w:rFonts w:ascii="黑体" w:eastAsia="黑体"/>
          <w:b w:val="0"/>
        </w:rPr>
      </w:pPr>
      <w:bookmarkStart w:id="28" w:name="_Toc15377207"/>
      <w:bookmarkStart w:id="29" w:name="_Toc15396605"/>
      <w:r>
        <w:rPr>
          <w:rFonts w:hint="eastAsia" w:ascii="黑体" w:eastAsia="黑体"/>
          <w:color w:val="000000"/>
          <w:sz w:val="32"/>
          <w:szCs w:val="32"/>
        </w:rPr>
        <w:t>三、支出决</w:t>
      </w:r>
      <w:r>
        <w:rPr>
          <w:rStyle w:val="17"/>
          <w:rFonts w:hint="eastAsia" w:ascii="黑体" w:eastAsia="黑体"/>
          <w:b w:val="0"/>
        </w:rPr>
        <w:t>算情况说明</w:t>
      </w:r>
      <w:bookmarkEnd w:id="28"/>
      <w:bookmarkEnd w:id="29"/>
    </w:p>
    <w:p>
      <w:pPr>
        <w:spacing w:line="600" w:lineRule="exact"/>
        <w:ind w:firstLine="640"/>
        <w:rPr>
          <w:rFonts w:ascii="仿宋" w:eastAsia="仿宋"/>
          <w:color w:val="000000"/>
          <w:sz w:val="32"/>
          <w:szCs w:val="32"/>
        </w:rPr>
      </w:pPr>
      <w:r>
        <w:rPr>
          <w:rFonts w:hint="eastAsia" w:ascii="仿宋" w:eastAsia="仿宋"/>
          <w:color w:val="000000"/>
          <w:sz w:val="32"/>
          <w:szCs w:val="32"/>
        </w:rPr>
        <w:t>2020年本年总支出</w:t>
      </w:r>
      <w:r>
        <w:rPr>
          <w:rFonts w:ascii="仿宋_GB2312" w:eastAsia="仿宋_GB2312"/>
          <w:spacing w:val="-2"/>
          <w:sz w:val="32"/>
          <w:szCs w:val="32"/>
        </w:rPr>
        <w:t>25932</w:t>
      </w:r>
      <w:r>
        <w:rPr>
          <w:rFonts w:hint="eastAsia" w:ascii="仿宋_GB2312" w:eastAsia="仿宋_GB2312"/>
          <w:spacing w:val="-2"/>
          <w:sz w:val="32"/>
          <w:szCs w:val="32"/>
        </w:rPr>
        <w:t>.</w:t>
      </w:r>
      <w:r>
        <w:rPr>
          <w:rFonts w:ascii="仿宋_GB2312" w:eastAsia="仿宋_GB2312"/>
          <w:spacing w:val="-2"/>
          <w:sz w:val="32"/>
          <w:szCs w:val="32"/>
        </w:rPr>
        <w:t>89</w:t>
      </w:r>
      <w:r>
        <w:rPr>
          <w:rFonts w:hint="eastAsia" w:ascii="仿宋" w:eastAsia="仿宋"/>
          <w:color w:val="000000"/>
          <w:sz w:val="32"/>
          <w:szCs w:val="32"/>
        </w:rPr>
        <w:t>万元，其中：基本支出</w:t>
      </w:r>
      <w:r>
        <w:rPr>
          <w:rFonts w:ascii="仿宋" w:eastAsia="仿宋"/>
          <w:color w:val="000000"/>
          <w:sz w:val="32"/>
          <w:szCs w:val="32"/>
        </w:rPr>
        <w:t>22717</w:t>
      </w:r>
      <w:r>
        <w:rPr>
          <w:rFonts w:hint="eastAsia" w:ascii="仿宋" w:eastAsia="仿宋"/>
          <w:color w:val="000000"/>
          <w:sz w:val="32"/>
          <w:szCs w:val="32"/>
        </w:rPr>
        <w:t>.</w:t>
      </w:r>
      <w:r>
        <w:rPr>
          <w:rFonts w:ascii="仿宋" w:eastAsia="仿宋"/>
          <w:color w:val="000000"/>
          <w:sz w:val="32"/>
          <w:szCs w:val="32"/>
        </w:rPr>
        <w:t>83</w:t>
      </w:r>
      <w:r>
        <w:rPr>
          <w:rFonts w:hint="eastAsia" w:ascii="仿宋" w:eastAsia="仿宋"/>
          <w:color w:val="000000"/>
          <w:sz w:val="32"/>
          <w:szCs w:val="32"/>
        </w:rPr>
        <w:t>万元，占92.65%；项目支出</w:t>
      </w:r>
      <w:r>
        <w:rPr>
          <w:rFonts w:ascii="仿宋" w:eastAsia="仿宋"/>
          <w:color w:val="000000"/>
          <w:sz w:val="32"/>
          <w:szCs w:val="32"/>
        </w:rPr>
        <w:t>3215</w:t>
      </w:r>
      <w:r>
        <w:rPr>
          <w:rFonts w:hint="eastAsia" w:ascii="仿宋" w:eastAsia="仿宋"/>
          <w:color w:val="000000"/>
          <w:sz w:val="32"/>
          <w:szCs w:val="32"/>
        </w:rPr>
        <w:t>.</w:t>
      </w:r>
      <w:r>
        <w:rPr>
          <w:rFonts w:ascii="仿宋" w:eastAsia="仿宋"/>
          <w:color w:val="000000"/>
          <w:sz w:val="32"/>
          <w:szCs w:val="32"/>
        </w:rPr>
        <w:t>06</w:t>
      </w:r>
      <w:r>
        <w:rPr>
          <w:rFonts w:hint="eastAsia" w:ascii="仿宋" w:eastAsia="仿宋"/>
          <w:color w:val="000000"/>
          <w:sz w:val="32"/>
          <w:szCs w:val="32"/>
        </w:rPr>
        <w:t>万元，占7.35%；上缴上级支出0万元，占0%；经营支出0万元，占0</w:t>
      </w:r>
      <w:r>
        <w:rPr>
          <w:rFonts w:ascii="仿宋" w:eastAsia="仿宋"/>
          <w:color w:val="000000"/>
          <w:sz w:val="32"/>
          <w:szCs w:val="32"/>
        </w:rPr>
        <w:t>%</w:t>
      </w:r>
      <w:r>
        <w:rPr>
          <w:rFonts w:hint="eastAsia" w:ascii="仿宋" w:eastAsia="仿宋"/>
          <w:color w:val="000000"/>
          <w:sz w:val="32"/>
          <w:szCs w:val="32"/>
        </w:rPr>
        <w:t>；对附属单位补助支出0万元，占0</w:t>
      </w:r>
      <w:r>
        <w:rPr>
          <w:rFonts w:ascii="仿宋" w:eastAsia="仿宋"/>
          <w:color w:val="000000"/>
          <w:sz w:val="32"/>
          <w:szCs w:val="32"/>
        </w:rPr>
        <w:t>%</w:t>
      </w:r>
      <w:r>
        <w:rPr>
          <w:rFonts w:hint="eastAsia" w:ascii="仿宋" w:eastAsia="仿宋"/>
          <w:color w:val="000000"/>
          <w:sz w:val="32"/>
          <w:szCs w:val="32"/>
        </w:rPr>
        <w:t>。</w:t>
      </w:r>
    </w:p>
    <w:p>
      <w:pPr>
        <w:spacing w:line="600" w:lineRule="exact"/>
        <w:ind w:firstLine="640"/>
        <w:rPr>
          <w:rFonts w:ascii="仿宋" w:eastAsia="仿宋"/>
          <w:color w:val="000000"/>
          <w:sz w:val="32"/>
          <w:szCs w:val="32"/>
        </w:rPr>
      </w:pPr>
    </w:p>
    <w:p>
      <w:pPr>
        <w:spacing w:line="600" w:lineRule="exact"/>
        <w:ind w:firstLine="640"/>
      </w:pPr>
    </w:p>
    <w:p>
      <w:pPr>
        <w:spacing w:line="600" w:lineRule="exact"/>
        <w:ind w:firstLine="640"/>
      </w:pPr>
    </w:p>
    <w:p>
      <w:pPr>
        <w:spacing w:line="600" w:lineRule="exact"/>
        <w:ind w:firstLine="640"/>
      </w:pPr>
    </w:p>
    <w:p>
      <w:pPr>
        <w:spacing w:line="600" w:lineRule="exact"/>
        <w:ind w:firstLine="640"/>
      </w:pPr>
    </w:p>
    <w:p>
      <w:pPr>
        <w:spacing w:line="600" w:lineRule="exact"/>
        <w:ind w:firstLine="640"/>
      </w:pPr>
    </w:p>
    <w:p>
      <w:pPr>
        <w:spacing w:line="600" w:lineRule="exact"/>
        <w:ind w:firstLine="640"/>
        <w:rPr>
          <w:rFonts w:ascii="仿宋" w:eastAsia="仿宋"/>
          <w:color w:val="000000"/>
          <w:sz w:val="32"/>
          <w:szCs w:val="32"/>
        </w:rPr>
      </w:pPr>
      <w:r>
        <w:drawing>
          <wp:inline distT="0" distB="0" distL="114300" distR="114300">
            <wp:extent cx="4572000" cy="2743200"/>
            <wp:effectExtent l="4445" t="4445" r="14605" b="14605"/>
            <wp:docPr id="13"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outlineLvl w:val="1"/>
        <w:rPr>
          <w:rStyle w:val="17"/>
          <w:rFonts w:ascii="黑体" w:eastAsia="黑体"/>
          <w:b w:val="0"/>
        </w:rPr>
      </w:pPr>
      <w:bookmarkStart w:id="30" w:name="_Toc15377208"/>
      <w:bookmarkStart w:id="31" w:name="_Toc15396606"/>
      <w:r>
        <w:rPr>
          <w:rFonts w:hint="eastAsia" w:ascii="黑体" w:eastAsia="黑体"/>
          <w:color w:val="000000"/>
          <w:sz w:val="32"/>
          <w:szCs w:val="32"/>
        </w:rPr>
        <w:t>四、财</w:t>
      </w:r>
      <w:r>
        <w:rPr>
          <w:rStyle w:val="17"/>
          <w:rFonts w:hint="eastAsia" w:ascii="黑体" w:eastAsia="黑体"/>
          <w:b w:val="0"/>
        </w:rPr>
        <w:t>政拨款收入支出决算总体情况说明</w:t>
      </w:r>
      <w:bookmarkEnd w:id="30"/>
      <w:bookmarkEnd w:id="31"/>
    </w:p>
    <w:p>
      <w:pPr>
        <w:snapToGrid w:val="0"/>
        <w:spacing w:line="520" w:lineRule="exact"/>
        <w:ind w:firstLine="640" w:firstLineChars="200"/>
        <w:rPr>
          <w:rFonts w:ascii="仿宋_GB2312" w:eastAsia="仿宋_GB2312"/>
          <w:spacing w:val="-2"/>
          <w:sz w:val="32"/>
          <w:szCs w:val="32"/>
        </w:rPr>
      </w:pPr>
      <w:r>
        <w:rPr>
          <w:rFonts w:hint="eastAsia" w:ascii="仿宋" w:eastAsia="仿宋"/>
          <w:color w:val="000000"/>
          <w:sz w:val="32"/>
          <w:szCs w:val="32"/>
        </w:rPr>
        <w:t>2020年财政拨款收入</w:t>
      </w:r>
      <w:r>
        <w:rPr>
          <w:rFonts w:ascii="仿宋_GB2312" w:eastAsia="仿宋_GB2312"/>
          <w:color w:val="000000"/>
          <w:spacing w:val="-2"/>
          <w:sz w:val="32"/>
          <w:szCs w:val="32"/>
        </w:rPr>
        <w:t>273</w:t>
      </w:r>
      <w:r>
        <w:rPr>
          <w:rFonts w:hint="eastAsia" w:ascii="仿宋_GB2312" w:eastAsia="仿宋_GB2312"/>
          <w:color w:val="000000"/>
          <w:spacing w:val="-2"/>
          <w:sz w:val="32"/>
          <w:szCs w:val="32"/>
        </w:rPr>
        <w:t>84.</w:t>
      </w:r>
      <w:r>
        <w:rPr>
          <w:rFonts w:ascii="仿宋_GB2312" w:eastAsia="仿宋_GB2312"/>
          <w:color w:val="000000"/>
          <w:spacing w:val="-2"/>
          <w:sz w:val="32"/>
          <w:szCs w:val="32"/>
        </w:rPr>
        <w:t>19</w:t>
      </w:r>
      <w:r>
        <w:rPr>
          <w:rFonts w:hint="eastAsia" w:ascii="仿宋" w:eastAsia="仿宋"/>
          <w:color w:val="000000"/>
          <w:sz w:val="32"/>
          <w:szCs w:val="32"/>
        </w:rPr>
        <w:t>万元。与2019年相比，一般公共预算财政拨款收入较上年减少3547.06万元，减少14.90%。减少的主要原因是2019年项目资金的减少</w:t>
      </w:r>
      <w:r>
        <w:rPr>
          <w:rFonts w:hint="eastAsia" w:ascii="仿宋_GB2312" w:eastAsia="仿宋_GB2312"/>
          <w:spacing w:val="-2"/>
          <w:sz w:val="32"/>
          <w:szCs w:val="32"/>
        </w:rPr>
        <w:t>。</w:t>
      </w:r>
    </w:p>
    <w:p>
      <w:pPr>
        <w:snapToGrid w:val="0"/>
        <w:spacing w:line="520" w:lineRule="exact"/>
        <w:ind w:firstLine="632" w:firstLineChars="200"/>
        <w:rPr>
          <w:rFonts w:ascii="仿宋_GB2312" w:eastAsia="仿宋_GB2312"/>
          <w:spacing w:val="-2"/>
          <w:sz w:val="32"/>
          <w:szCs w:val="32"/>
        </w:rPr>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rPr>
          <w:rFonts w:ascii="仿宋_GB2312" w:eastAsia="仿宋_GB2312"/>
          <w:spacing w:val="-2"/>
          <w:sz w:val="32"/>
          <w:szCs w:val="32"/>
        </w:rPr>
      </w:pPr>
      <w:r>
        <w:drawing>
          <wp:inline distT="0" distB="0" distL="114300" distR="114300">
            <wp:extent cx="4572000" cy="2743200"/>
            <wp:effectExtent l="4445" t="4445" r="14605" b="14605"/>
            <wp:docPr id="14"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napToGrid w:val="0"/>
        <w:spacing w:line="520" w:lineRule="exact"/>
        <w:ind w:firstLine="632" w:firstLineChars="200"/>
        <w:rPr>
          <w:rFonts w:ascii="仿宋_GB2312" w:eastAsia="仿宋_GB2312"/>
          <w:spacing w:val="-2"/>
          <w:sz w:val="32"/>
          <w:szCs w:val="32"/>
        </w:rPr>
      </w:pPr>
    </w:p>
    <w:p>
      <w:pPr>
        <w:spacing w:line="600" w:lineRule="exact"/>
        <w:rPr>
          <w:rStyle w:val="17"/>
          <w:rFonts w:ascii="黑体" w:eastAsia="黑体"/>
          <w:b w:val="0"/>
        </w:rPr>
      </w:pPr>
      <w:bookmarkStart w:id="32" w:name="_Toc15396607"/>
      <w:bookmarkStart w:id="33" w:name="_Toc15377209"/>
      <w:r>
        <w:rPr>
          <w:rFonts w:hint="eastAsia" w:ascii="黑体" w:eastAsia="黑体"/>
          <w:color w:val="000000"/>
          <w:sz w:val="32"/>
          <w:szCs w:val="32"/>
        </w:rPr>
        <w:t>五、</w:t>
      </w:r>
      <w:r>
        <w:rPr>
          <w:rFonts w:hint="eastAsia" w:ascii="黑体" w:eastAsia="黑体"/>
          <w:b/>
          <w:color w:val="000000"/>
          <w:sz w:val="32"/>
          <w:szCs w:val="32"/>
        </w:rPr>
        <w:t>一</w:t>
      </w:r>
      <w:r>
        <w:rPr>
          <w:rStyle w:val="17"/>
          <w:rFonts w:hint="eastAsia" w:ascii="黑体" w:eastAsia="黑体"/>
          <w:b w:val="0"/>
        </w:rPr>
        <w:t>般公共预算财政拨款支出决算情况说明</w:t>
      </w:r>
      <w:bookmarkEnd w:id="32"/>
      <w:bookmarkEnd w:id="33"/>
    </w:p>
    <w:p>
      <w:pPr>
        <w:spacing w:line="600" w:lineRule="exact"/>
        <w:ind w:firstLine="643" w:firstLineChars="200"/>
        <w:outlineLvl w:val="2"/>
        <w:rPr>
          <w:rFonts w:ascii="仿宋" w:eastAsia="仿宋"/>
          <w:b/>
          <w:color w:val="000000"/>
          <w:sz w:val="32"/>
          <w:szCs w:val="32"/>
        </w:rPr>
      </w:pPr>
      <w:bookmarkStart w:id="34" w:name="_Toc15377210"/>
      <w:r>
        <w:rPr>
          <w:rFonts w:hint="eastAsia" w:ascii="仿宋" w:eastAsia="仿宋"/>
          <w:b/>
          <w:color w:val="000000"/>
          <w:sz w:val="32"/>
          <w:szCs w:val="32"/>
        </w:rPr>
        <w:t>（一）一般公共预算财政拨款支出决算总体情况</w:t>
      </w:r>
      <w:bookmarkEnd w:id="34"/>
    </w:p>
    <w:p>
      <w:pPr>
        <w:snapToGrid w:val="0"/>
        <w:spacing w:line="520" w:lineRule="exact"/>
        <w:ind w:firstLine="640" w:firstLineChars="200"/>
        <w:rPr>
          <w:rFonts w:ascii="仿宋_GB2312" w:eastAsia="仿宋_GB2312"/>
          <w:color w:val="FF0000"/>
          <w:spacing w:val="-2"/>
          <w:sz w:val="32"/>
          <w:szCs w:val="32"/>
        </w:rPr>
      </w:pPr>
      <w:r>
        <w:rPr>
          <w:rFonts w:ascii="仿宋" w:eastAsia="仿宋"/>
          <w:color w:val="000000"/>
          <w:sz w:val="32"/>
          <w:szCs w:val="32"/>
        </w:rPr>
        <w:t>20</w:t>
      </w:r>
      <w:r>
        <w:rPr>
          <w:rFonts w:hint="eastAsia" w:ascii="仿宋" w:eastAsia="仿宋"/>
          <w:color w:val="000000"/>
          <w:sz w:val="32"/>
          <w:szCs w:val="32"/>
        </w:rPr>
        <w:t>20年</w:t>
      </w:r>
      <w:r>
        <w:rPr>
          <w:rFonts w:hint="eastAsia" w:ascii="仿宋_GB2312" w:eastAsia="仿宋_GB2312"/>
          <w:spacing w:val="-2"/>
          <w:sz w:val="32"/>
          <w:szCs w:val="32"/>
        </w:rPr>
        <w:t>一般公共预算财政拨款支出</w:t>
      </w:r>
      <w:r>
        <w:rPr>
          <w:rFonts w:ascii="仿宋_GB2312" w:eastAsia="仿宋_GB2312"/>
          <w:spacing w:val="-2"/>
          <w:sz w:val="32"/>
          <w:szCs w:val="32"/>
        </w:rPr>
        <w:t>25932</w:t>
      </w:r>
      <w:r>
        <w:rPr>
          <w:rFonts w:hint="eastAsia" w:ascii="仿宋_GB2312" w:eastAsia="仿宋_GB2312"/>
          <w:spacing w:val="-2"/>
          <w:sz w:val="32"/>
          <w:szCs w:val="32"/>
        </w:rPr>
        <w:t>.</w:t>
      </w:r>
      <w:r>
        <w:rPr>
          <w:rFonts w:ascii="仿宋_GB2312" w:eastAsia="仿宋_GB2312"/>
          <w:spacing w:val="-2"/>
          <w:sz w:val="32"/>
          <w:szCs w:val="32"/>
        </w:rPr>
        <w:t>89</w:t>
      </w:r>
      <w:r>
        <w:rPr>
          <w:rFonts w:hint="eastAsia" w:ascii="仿宋_GB2312" w:eastAsia="仿宋_GB2312"/>
          <w:spacing w:val="-2"/>
          <w:sz w:val="32"/>
          <w:szCs w:val="32"/>
        </w:rPr>
        <w:t>万元，</w:t>
      </w:r>
      <w:r>
        <w:rPr>
          <w:rFonts w:hint="eastAsia" w:ascii="仿宋" w:eastAsia="仿宋"/>
          <w:color w:val="000000"/>
          <w:sz w:val="32"/>
          <w:szCs w:val="32"/>
        </w:rPr>
        <w:t>占本年总支出的100</w:t>
      </w:r>
      <w:r>
        <w:rPr>
          <w:rFonts w:ascii="仿宋" w:eastAsia="仿宋"/>
          <w:color w:val="000000"/>
          <w:sz w:val="32"/>
          <w:szCs w:val="32"/>
        </w:rPr>
        <w:t>%</w:t>
      </w:r>
      <w:r>
        <w:rPr>
          <w:rFonts w:hint="eastAsia" w:ascii="仿宋" w:eastAsia="仿宋"/>
          <w:color w:val="000000"/>
          <w:sz w:val="32"/>
          <w:szCs w:val="32"/>
        </w:rPr>
        <w:t>。与</w:t>
      </w:r>
      <w:r>
        <w:rPr>
          <w:rFonts w:ascii="仿宋" w:eastAsia="仿宋"/>
          <w:color w:val="000000"/>
          <w:sz w:val="32"/>
          <w:szCs w:val="32"/>
        </w:rPr>
        <w:t>201</w:t>
      </w:r>
      <w:r>
        <w:rPr>
          <w:rFonts w:hint="eastAsia" w:ascii="仿宋" w:eastAsia="仿宋"/>
          <w:color w:val="000000"/>
          <w:sz w:val="32"/>
          <w:szCs w:val="32"/>
        </w:rPr>
        <w:t>9年相比，一般公共预算财政拨款</w:t>
      </w:r>
      <w:r>
        <w:rPr>
          <w:rFonts w:hint="eastAsia" w:ascii="仿宋_GB2312" w:eastAsia="仿宋_GB2312"/>
          <w:spacing w:val="-2"/>
          <w:sz w:val="32"/>
          <w:szCs w:val="32"/>
        </w:rPr>
        <w:t>支出减少3547.06万元，减少14.90%。主要原因一是当年安排部门预算项目经费较上年有所减少；二是2020年财政拨款支出包含了上年结转项目。</w:t>
      </w: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pPr>
    </w:p>
    <w:p>
      <w:pPr>
        <w:snapToGrid w:val="0"/>
        <w:spacing w:line="520" w:lineRule="exact"/>
        <w:ind w:firstLine="420" w:firstLineChars="200"/>
        <w:rPr>
          <w:rFonts w:ascii="仿宋_GB2312" w:eastAsia="仿宋_GB2312"/>
          <w:spacing w:val="-2"/>
          <w:sz w:val="32"/>
          <w:szCs w:val="32"/>
        </w:rPr>
      </w:pPr>
      <w:r>
        <w:drawing>
          <wp:inline distT="0" distB="0" distL="114300" distR="114300">
            <wp:extent cx="4572000" cy="2743200"/>
            <wp:effectExtent l="4445" t="4445" r="14605" b="14605"/>
            <wp:docPr id="8"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napToGrid w:val="0"/>
        <w:spacing w:line="520" w:lineRule="exact"/>
        <w:ind w:firstLine="643" w:firstLineChars="200"/>
        <w:rPr>
          <w:rFonts w:ascii="仿宋" w:eastAsia="仿宋"/>
          <w:b/>
          <w:color w:val="000000"/>
          <w:sz w:val="32"/>
          <w:szCs w:val="32"/>
        </w:rPr>
      </w:pPr>
      <w:bookmarkStart w:id="35" w:name="_Toc15377211"/>
      <w:r>
        <w:rPr>
          <w:rFonts w:hint="eastAsia" w:ascii="仿宋" w:eastAsia="仿宋"/>
          <w:b/>
          <w:color w:val="000000"/>
          <w:sz w:val="32"/>
          <w:szCs w:val="32"/>
        </w:rPr>
        <w:t>（二）一般公共预算财政拨款支出决算结构情况</w:t>
      </w:r>
      <w:bookmarkEnd w:id="35"/>
    </w:p>
    <w:p>
      <w:pPr>
        <w:spacing w:line="600" w:lineRule="exact"/>
        <w:ind w:firstLine="640"/>
        <w:rPr>
          <w:rFonts w:ascii="仿宋" w:eastAsia="仿宋"/>
          <w:color w:val="000000"/>
          <w:sz w:val="32"/>
          <w:szCs w:val="32"/>
        </w:rPr>
      </w:pPr>
      <w:r>
        <w:rPr>
          <w:rFonts w:ascii="仿宋" w:eastAsia="仿宋"/>
          <w:color w:val="000000"/>
          <w:sz w:val="32"/>
          <w:szCs w:val="32"/>
        </w:rPr>
        <w:t>20</w:t>
      </w:r>
      <w:r>
        <w:rPr>
          <w:rFonts w:hint="eastAsia" w:ascii="仿宋" w:eastAsia="仿宋"/>
          <w:color w:val="000000"/>
          <w:sz w:val="32"/>
          <w:szCs w:val="32"/>
        </w:rPr>
        <w:t>20年一般公共预算财政拨款支出</w:t>
      </w:r>
      <w:r>
        <w:rPr>
          <w:rFonts w:ascii="仿宋_GB2312" w:eastAsia="仿宋_GB2312"/>
          <w:spacing w:val="-2"/>
          <w:sz w:val="32"/>
          <w:szCs w:val="32"/>
        </w:rPr>
        <w:t>25932</w:t>
      </w:r>
      <w:r>
        <w:rPr>
          <w:rFonts w:hint="eastAsia" w:ascii="仿宋_GB2312" w:eastAsia="仿宋_GB2312"/>
          <w:spacing w:val="-2"/>
          <w:sz w:val="32"/>
          <w:szCs w:val="32"/>
        </w:rPr>
        <w:t>.</w:t>
      </w:r>
      <w:r>
        <w:rPr>
          <w:rFonts w:ascii="仿宋_GB2312" w:eastAsia="仿宋_GB2312"/>
          <w:spacing w:val="-2"/>
          <w:sz w:val="32"/>
          <w:szCs w:val="32"/>
        </w:rPr>
        <w:t>89</w:t>
      </w:r>
      <w:r>
        <w:rPr>
          <w:rFonts w:hint="eastAsia" w:ascii="仿宋" w:eastAsia="仿宋"/>
          <w:color w:val="000000"/>
          <w:sz w:val="32"/>
          <w:szCs w:val="32"/>
        </w:rPr>
        <w:t>万元，主要用于以下方面</w:t>
      </w:r>
      <w:r>
        <w:rPr>
          <w:rFonts w:ascii="仿宋" w:eastAsia="仿宋"/>
          <w:color w:val="000000"/>
          <w:sz w:val="32"/>
          <w:szCs w:val="32"/>
        </w:rPr>
        <w:t>:</w:t>
      </w:r>
      <w:r>
        <w:rPr>
          <w:rFonts w:hint="eastAsia" w:ascii="仿宋" w:eastAsia="仿宋"/>
          <w:b/>
          <w:color w:val="000000"/>
          <w:sz w:val="32"/>
          <w:szCs w:val="32"/>
        </w:rPr>
        <w:t>一般公共服务（类）</w:t>
      </w:r>
      <w:r>
        <w:rPr>
          <w:rFonts w:hint="eastAsia" w:ascii="仿宋" w:eastAsia="仿宋"/>
          <w:color w:val="000000"/>
          <w:sz w:val="32"/>
          <w:szCs w:val="32"/>
        </w:rPr>
        <w:t>支出20346.14万元，占78.48</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color w:val="000000"/>
          <w:sz w:val="32"/>
          <w:szCs w:val="32"/>
        </w:rPr>
        <w:t>社会保障和就业（类）</w:t>
      </w:r>
      <w:r>
        <w:rPr>
          <w:rFonts w:hint="eastAsia" w:ascii="仿宋" w:eastAsia="仿宋"/>
          <w:color w:val="000000"/>
          <w:sz w:val="32"/>
          <w:szCs w:val="32"/>
        </w:rPr>
        <w:t>支出</w:t>
      </w:r>
      <w:r>
        <w:rPr>
          <w:rFonts w:ascii="仿宋" w:eastAsia="仿宋"/>
          <w:color w:val="000000"/>
          <w:sz w:val="32"/>
          <w:szCs w:val="32"/>
        </w:rPr>
        <w:t>2778</w:t>
      </w:r>
      <w:r>
        <w:rPr>
          <w:rFonts w:hint="eastAsia" w:ascii="仿宋" w:eastAsia="仿宋"/>
          <w:color w:val="000000"/>
          <w:sz w:val="32"/>
          <w:szCs w:val="32"/>
        </w:rPr>
        <w:t>.</w:t>
      </w:r>
      <w:r>
        <w:rPr>
          <w:rFonts w:ascii="仿宋" w:eastAsia="仿宋"/>
          <w:color w:val="000000"/>
          <w:sz w:val="32"/>
          <w:szCs w:val="32"/>
        </w:rPr>
        <w:t>75</w:t>
      </w:r>
      <w:r>
        <w:rPr>
          <w:rFonts w:hint="eastAsia" w:ascii="仿宋" w:eastAsia="仿宋"/>
          <w:color w:val="000000"/>
          <w:sz w:val="32"/>
          <w:szCs w:val="32"/>
        </w:rPr>
        <w:t>万元，占10.71</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bCs/>
          <w:color w:val="000000"/>
          <w:sz w:val="32"/>
          <w:szCs w:val="32"/>
        </w:rPr>
        <w:t>卫生健康支出</w:t>
      </w:r>
      <w:r>
        <w:rPr>
          <w:rFonts w:hint="eastAsia" w:ascii="仿宋" w:eastAsia="仿宋"/>
          <w:color w:val="000000"/>
          <w:sz w:val="32"/>
          <w:szCs w:val="32"/>
        </w:rPr>
        <w:t>1145.17万元，占4.41</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bCs/>
          <w:color w:val="000000"/>
          <w:sz w:val="32"/>
          <w:szCs w:val="32"/>
        </w:rPr>
        <w:t>住房保障支出</w:t>
      </w:r>
      <w:r>
        <w:rPr>
          <w:rFonts w:hint="eastAsia" w:ascii="仿宋" w:eastAsia="仿宋"/>
          <w:color w:val="000000"/>
          <w:sz w:val="32"/>
          <w:szCs w:val="32"/>
        </w:rPr>
        <w:t>1662.83万元，占6.40</w:t>
      </w:r>
      <w:r>
        <w:rPr>
          <w:rFonts w:ascii="仿宋" w:eastAsia="仿宋"/>
          <w:color w:val="000000"/>
          <w:sz w:val="32"/>
          <w:szCs w:val="32"/>
        </w:rPr>
        <w:t>%</w:t>
      </w:r>
      <w:r>
        <w:rPr>
          <w:rFonts w:hint="eastAsia" w:ascii="仿宋" w:eastAsia="仿宋"/>
          <w:color w:val="000000"/>
          <w:sz w:val="32"/>
          <w:szCs w:val="32"/>
        </w:rPr>
        <w:t>。</w:t>
      </w:r>
    </w:p>
    <w:p>
      <w:pPr>
        <w:spacing w:line="600" w:lineRule="exact"/>
        <w:ind w:firstLine="640"/>
        <w:rPr>
          <w:rFonts w:ascii="仿宋" w:eastAsia="仿宋"/>
          <w:color w:val="000000"/>
          <w:sz w:val="32"/>
          <w:szCs w:val="32"/>
        </w:rPr>
      </w:pPr>
    </w:p>
    <w:p>
      <w:pPr>
        <w:spacing w:line="600" w:lineRule="exact"/>
        <w:ind w:firstLine="640"/>
      </w:pPr>
    </w:p>
    <w:p>
      <w:pPr>
        <w:spacing w:line="600" w:lineRule="exact"/>
        <w:ind w:firstLine="640"/>
      </w:pPr>
    </w:p>
    <w:p>
      <w:pPr>
        <w:spacing w:line="600" w:lineRule="exact"/>
        <w:ind w:firstLine="640"/>
      </w:pPr>
    </w:p>
    <w:p>
      <w:pPr>
        <w:spacing w:line="600" w:lineRule="exact"/>
        <w:ind w:firstLine="640"/>
      </w:pPr>
    </w:p>
    <w:p>
      <w:pPr>
        <w:spacing w:line="600" w:lineRule="exact"/>
        <w:ind w:firstLine="640"/>
      </w:pPr>
    </w:p>
    <w:p>
      <w:pPr>
        <w:spacing w:line="600" w:lineRule="exact"/>
        <w:ind w:firstLine="640"/>
        <w:rPr>
          <w:rFonts w:ascii="仿宋" w:eastAsia="仿宋"/>
          <w:color w:val="000000"/>
          <w:sz w:val="32"/>
          <w:szCs w:val="32"/>
        </w:rPr>
      </w:pPr>
      <w:r>
        <w:drawing>
          <wp:inline distT="0" distB="0" distL="114300" distR="114300">
            <wp:extent cx="4572000" cy="2743200"/>
            <wp:effectExtent l="4445" t="4445" r="14605" b="1460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outlineLvl w:val="2"/>
        <w:rPr>
          <w:rFonts w:ascii="仿宋" w:eastAsia="仿宋"/>
          <w:b/>
          <w:color w:val="000000"/>
          <w:sz w:val="32"/>
          <w:szCs w:val="32"/>
        </w:rPr>
      </w:pPr>
      <w:bookmarkStart w:id="36" w:name="_Toc15377212"/>
      <w:bookmarkStart w:id="37" w:name="_Toc15378460"/>
      <w:bookmarkStart w:id="38" w:name="_Toc15377444"/>
      <w:bookmarkStart w:id="39" w:name="_Toc15377213"/>
      <w:r>
        <w:rPr>
          <w:rFonts w:hint="eastAsia" w:ascii="仿宋" w:eastAsia="仿宋"/>
          <w:b/>
          <w:color w:val="000000"/>
          <w:sz w:val="32"/>
          <w:szCs w:val="32"/>
        </w:rPr>
        <w:t>（三）一般公共预算财政拨款支出决算具体情况</w:t>
      </w:r>
      <w:bookmarkEnd w:id="36"/>
    </w:p>
    <w:p>
      <w:pPr>
        <w:spacing w:line="600" w:lineRule="exact"/>
        <w:outlineLvl w:val="2"/>
        <w:rPr>
          <w:rFonts w:ascii="仿宋" w:eastAsia="仿宋"/>
          <w:bCs/>
          <w:color w:val="FF0000"/>
          <w:sz w:val="32"/>
          <w:szCs w:val="32"/>
        </w:rPr>
      </w:pPr>
      <w:r>
        <w:rPr>
          <w:rFonts w:hint="eastAsia" w:ascii="仿宋" w:eastAsia="仿宋"/>
          <w:bCs/>
          <w:color w:val="000000"/>
          <w:sz w:val="32"/>
          <w:szCs w:val="32"/>
        </w:rPr>
        <w:t>2020年一般公共预算数为</w:t>
      </w:r>
      <w:r>
        <w:rPr>
          <w:rFonts w:ascii="仿宋_GB2312" w:eastAsia="仿宋_GB2312"/>
          <w:color w:val="000000"/>
          <w:spacing w:val="-2"/>
          <w:sz w:val="32"/>
          <w:szCs w:val="32"/>
        </w:rPr>
        <w:t>273</w:t>
      </w:r>
      <w:r>
        <w:rPr>
          <w:rFonts w:hint="eastAsia" w:ascii="仿宋_GB2312" w:eastAsia="仿宋_GB2312"/>
          <w:color w:val="000000"/>
          <w:spacing w:val="-2"/>
          <w:sz w:val="32"/>
          <w:szCs w:val="32"/>
        </w:rPr>
        <w:t>84.</w:t>
      </w:r>
      <w:r>
        <w:rPr>
          <w:rFonts w:ascii="仿宋_GB2312" w:eastAsia="仿宋_GB2312"/>
          <w:color w:val="000000"/>
          <w:spacing w:val="-2"/>
          <w:sz w:val="32"/>
          <w:szCs w:val="32"/>
        </w:rPr>
        <w:t>19</w:t>
      </w:r>
      <w:r>
        <w:rPr>
          <w:rFonts w:hint="eastAsia" w:ascii="仿宋" w:eastAsia="仿宋"/>
          <w:bCs/>
          <w:color w:val="000000"/>
          <w:sz w:val="32"/>
          <w:szCs w:val="32"/>
        </w:rPr>
        <w:t>万元，支出决算数为</w:t>
      </w:r>
      <w:r>
        <w:rPr>
          <w:rFonts w:ascii="仿宋_GB2312" w:eastAsia="仿宋_GB2312"/>
          <w:spacing w:val="-2"/>
          <w:sz w:val="32"/>
          <w:szCs w:val="32"/>
        </w:rPr>
        <w:t>25932</w:t>
      </w:r>
      <w:r>
        <w:rPr>
          <w:rFonts w:hint="eastAsia" w:ascii="仿宋_GB2312" w:eastAsia="仿宋_GB2312"/>
          <w:spacing w:val="-2"/>
          <w:sz w:val="32"/>
          <w:szCs w:val="32"/>
        </w:rPr>
        <w:t>.</w:t>
      </w:r>
      <w:r>
        <w:rPr>
          <w:rFonts w:ascii="仿宋_GB2312" w:eastAsia="仿宋_GB2312"/>
          <w:spacing w:val="-2"/>
          <w:sz w:val="32"/>
          <w:szCs w:val="32"/>
        </w:rPr>
        <w:t>89</w:t>
      </w:r>
      <w:r>
        <w:rPr>
          <w:rFonts w:hint="eastAsia" w:ascii="仿宋" w:eastAsia="仿宋"/>
          <w:bCs/>
          <w:color w:val="000000"/>
          <w:sz w:val="32"/>
          <w:szCs w:val="32"/>
        </w:rPr>
        <w:t>万元，完</w:t>
      </w:r>
      <w:r>
        <w:rPr>
          <w:rStyle w:val="14"/>
          <w:rFonts w:hint="eastAsia" w:ascii="仿宋" w:eastAsia="仿宋"/>
          <w:b w:val="0"/>
          <w:bCs/>
          <w:color w:val="000000"/>
          <w:sz w:val="32"/>
          <w:szCs w:val="32"/>
        </w:rPr>
        <w:t>成预算94.80</w:t>
      </w:r>
      <w:r>
        <w:rPr>
          <w:rStyle w:val="14"/>
          <w:rFonts w:ascii="仿宋" w:eastAsia="仿宋"/>
          <w:b w:val="0"/>
          <w:bCs/>
          <w:color w:val="000000"/>
          <w:sz w:val="32"/>
          <w:szCs w:val="32"/>
        </w:rPr>
        <w:t>%</w:t>
      </w:r>
      <w:r>
        <w:rPr>
          <w:rStyle w:val="14"/>
          <w:rFonts w:hint="eastAsia" w:ascii="仿宋" w:eastAsia="仿宋"/>
          <w:b w:val="0"/>
          <w:bCs/>
          <w:color w:val="000000"/>
          <w:sz w:val="32"/>
          <w:szCs w:val="32"/>
        </w:rPr>
        <w:t>。结转下年1451.29万元。其中：</w:t>
      </w:r>
      <w:bookmarkEnd w:id="37"/>
      <w:bookmarkEnd w:id="38"/>
      <w:bookmarkEnd w:id="39"/>
    </w:p>
    <w:p>
      <w:pPr>
        <w:spacing w:line="600" w:lineRule="exact"/>
        <w:ind w:firstLine="643" w:firstLineChars="200"/>
        <w:rPr>
          <w:rStyle w:val="14"/>
          <w:rFonts w:ascii="仿宋" w:eastAsia="仿宋"/>
          <w:b w:val="0"/>
          <w:bCs/>
          <w:color w:val="000000"/>
          <w:sz w:val="32"/>
          <w:szCs w:val="32"/>
        </w:rPr>
      </w:pPr>
      <w:r>
        <w:rPr>
          <w:rStyle w:val="14"/>
          <w:rFonts w:hint="eastAsia" w:ascii="仿宋" w:eastAsia="仿宋"/>
          <w:bCs/>
          <w:color w:val="000000"/>
          <w:sz w:val="32"/>
          <w:szCs w:val="32"/>
        </w:rPr>
        <w:t>1.一般公共服务（类）政府办公厅（室）及相关机构事务（款）行政运行（项）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支出决算为2,975.22万元，完成预算100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p>
    <w:p>
      <w:pPr>
        <w:spacing w:line="600" w:lineRule="exact"/>
        <w:ind w:firstLine="643" w:firstLineChars="200"/>
        <w:rPr>
          <w:rStyle w:val="14"/>
          <w:rFonts w:ascii="仿宋" w:eastAsia="仿宋"/>
          <w:b w:val="0"/>
          <w:bCs/>
          <w:color w:val="000000"/>
          <w:sz w:val="32"/>
          <w:szCs w:val="32"/>
        </w:rPr>
      </w:pPr>
      <w:r>
        <w:rPr>
          <w:rStyle w:val="14"/>
          <w:rFonts w:ascii="仿宋" w:eastAsia="仿宋"/>
          <w:bCs/>
          <w:color w:val="000000"/>
          <w:sz w:val="32"/>
          <w:szCs w:val="32"/>
        </w:rPr>
        <w:t>2.</w:t>
      </w:r>
      <w:r>
        <w:rPr>
          <w:rStyle w:val="14"/>
          <w:rFonts w:hint="eastAsia" w:ascii="仿宋" w:eastAsia="仿宋"/>
          <w:bCs/>
          <w:color w:val="000000"/>
          <w:sz w:val="32"/>
          <w:szCs w:val="32"/>
        </w:rPr>
        <w:t>一般公共服务（类）政府办公厅（室）及相关机构事务（款）一般行政管理事务（项）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支出决算为262.14万元，完成预算100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p>
    <w:p>
      <w:pPr>
        <w:spacing w:line="600" w:lineRule="exact"/>
        <w:ind w:firstLine="643" w:firstLineChars="200"/>
        <w:rPr>
          <w:rFonts w:ascii="仿宋" w:eastAsia="仿宋"/>
          <w:b/>
          <w:color w:val="000000"/>
          <w:sz w:val="32"/>
          <w:szCs w:val="32"/>
        </w:rPr>
      </w:pPr>
      <w:r>
        <w:rPr>
          <w:rStyle w:val="14"/>
          <w:rFonts w:hint="eastAsia" w:ascii="仿宋" w:eastAsia="仿宋"/>
          <w:bCs/>
          <w:color w:val="000000"/>
          <w:sz w:val="32"/>
          <w:szCs w:val="32"/>
        </w:rPr>
        <w:t>3</w:t>
      </w:r>
      <w:r>
        <w:rPr>
          <w:rStyle w:val="14"/>
          <w:rFonts w:ascii="仿宋" w:eastAsia="仿宋"/>
          <w:bCs/>
          <w:color w:val="000000"/>
          <w:sz w:val="32"/>
          <w:szCs w:val="32"/>
        </w:rPr>
        <w:t>.</w:t>
      </w:r>
      <w:r>
        <w:rPr>
          <w:rStyle w:val="14"/>
          <w:rFonts w:hint="eastAsia" w:ascii="仿宋" w:eastAsia="仿宋"/>
          <w:bCs/>
          <w:color w:val="000000"/>
          <w:sz w:val="32"/>
          <w:szCs w:val="32"/>
        </w:rPr>
        <w:t>社会保障和就业（类）行政事业单位离退休（款）机关事业单位基本养老保险缴费支出（项）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w:t>
      </w:r>
      <w:r>
        <w:rPr>
          <w:rFonts w:hint="eastAsia" w:ascii="仿宋" w:eastAsia="仿宋"/>
          <w:color w:val="000000"/>
          <w:sz w:val="32"/>
          <w:szCs w:val="32"/>
        </w:rPr>
        <w:t>1874.87</w:t>
      </w:r>
      <w:r>
        <w:rPr>
          <w:rStyle w:val="14"/>
          <w:rFonts w:hint="eastAsia" w:ascii="仿宋" w:eastAsia="仿宋"/>
          <w:b w:val="0"/>
          <w:bCs/>
          <w:color w:val="000000"/>
          <w:sz w:val="32"/>
          <w:szCs w:val="32"/>
        </w:rPr>
        <w:t>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，决算数等于预算数。</w:t>
      </w:r>
    </w:p>
    <w:p>
      <w:pPr>
        <w:spacing w:line="600" w:lineRule="exact"/>
        <w:ind w:firstLine="643" w:firstLineChars="200"/>
        <w:rPr>
          <w:rFonts w:ascii="仿宋" w:eastAsia="仿宋"/>
          <w:b/>
          <w:color w:val="000000"/>
          <w:sz w:val="32"/>
          <w:szCs w:val="32"/>
        </w:rPr>
      </w:pPr>
      <w:r>
        <w:rPr>
          <w:rStyle w:val="14"/>
          <w:rFonts w:hint="eastAsia" w:ascii="仿宋" w:eastAsia="仿宋"/>
          <w:bCs/>
          <w:color w:val="000000"/>
          <w:sz w:val="32"/>
          <w:szCs w:val="32"/>
        </w:rPr>
        <w:t>4</w:t>
      </w:r>
      <w:r>
        <w:rPr>
          <w:rStyle w:val="14"/>
          <w:rFonts w:ascii="仿宋" w:eastAsia="仿宋"/>
          <w:bCs/>
          <w:color w:val="000000"/>
          <w:sz w:val="32"/>
          <w:szCs w:val="32"/>
        </w:rPr>
        <w:t>.</w:t>
      </w:r>
      <w:r>
        <w:rPr>
          <w:rStyle w:val="14"/>
          <w:rFonts w:hint="eastAsia" w:ascii="仿宋" w:eastAsia="仿宋"/>
          <w:bCs/>
          <w:color w:val="000000"/>
          <w:sz w:val="32"/>
          <w:szCs w:val="32"/>
        </w:rPr>
        <w:t>社会保障和就业（类）行政事业单位离退休（款）机关事业单位基本职业年金缴费支出（项）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支出决算为903.87万元，完成预算100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，决算数等于预算数。</w:t>
      </w:r>
    </w:p>
    <w:p>
      <w:pPr>
        <w:spacing w:line="600" w:lineRule="exact"/>
        <w:ind w:firstLine="643" w:firstLineChars="200"/>
        <w:rPr>
          <w:rFonts w:ascii="仿宋" w:eastAsia="仿宋"/>
          <w:color w:val="000000"/>
          <w:sz w:val="32"/>
          <w:szCs w:val="32"/>
        </w:rPr>
      </w:pPr>
      <w:r>
        <w:rPr>
          <w:rStyle w:val="14"/>
          <w:rFonts w:hint="eastAsia" w:ascii="仿宋" w:eastAsia="仿宋"/>
          <w:bCs/>
          <w:color w:val="000000"/>
          <w:sz w:val="32"/>
          <w:szCs w:val="32"/>
        </w:rPr>
        <w:t>5.卫生健康支出（类）行政事业单位医疗（款）行政单位医疗（项）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支出决算为879.89万元，完成预算100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，决算数等于预算数。</w:t>
      </w:r>
    </w:p>
    <w:p>
      <w:pPr>
        <w:spacing w:line="600" w:lineRule="exact"/>
        <w:ind w:firstLine="643" w:firstLineChars="200"/>
        <w:rPr>
          <w:rFonts w:ascii="仿宋" w:eastAsia="仿宋"/>
          <w:color w:val="000000"/>
          <w:sz w:val="32"/>
          <w:szCs w:val="32"/>
        </w:rPr>
      </w:pPr>
      <w:r>
        <w:rPr>
          <w:rStyle w:val="14"/>
          <w:rFonts w:hint="eastAsia" w:ascii="仿宋" w:eastAsia="仿宋"/>
          <w:bCs/>
          <w:color w:val="000000"/>
          <w:sz w:val="32"/>
          <w:szCs w:val="32"/>
        </w:rPr>
        <w:t>6.卫生健康支出（类）行政事业单位医疗（款）公务员医疗补助（项）</w:t>
      </w:r>
      <w:r>
        <w:rPr>
          <w:rStyle w:val="14"/>
          <w:rFonts w:ascii="仿宋" w:eastAsia="仿宋"/>
          <w:bCs/>
          <w:color w:val="000000"/>
          <w:sz w:val="32"/>
          <w:szCs w:val="32"/>
        </w:rPr>
        <w:t>:</w:t>
      </w:r>
      <w:r>
        <w:rPr>
          <w:rStyle w:val="14"/>
          <w:rFonts w:hint="eastAsia" w:ascii="仿宋" w:eastAsia="仿宋"/>
          <w:b w:val="0"/>
          <w:bCs/>
          <w:color w:val="000000"/>
          <w:sz w:val="32"/>
          <w:szCs w:val="32"/>
        </w:rPr>
        <w:t>支出决算为89.15万元，完成预算100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，决算数等于预算数。</w:t>
      </w:r>
    </w:p>
    <w:p>
      <w:pPr>
        <w:spacing w:line="600" w:lineRule="exact"/>
        <w:ind w:firstLine="643" w:firstLineChars="200"/>
        <w:rPr>
          <w:rStyle w:val="14"/>
          <w:rFonts w:ascii="仿宋" w:eastAsia="仿宋"/>
          <w:bCs/>
          <w:color w:val="000000"/>
          <w:sz w:val="32"/>
          <w:szCs w:val="32"/>
        </w:rPr>
      </w:pPr>
      <w:bookmarkStart w:id="40" w:name="_Toc15377214"/>
      <w:bookmarkStart w:id="41" w:name="_Toc15396608"/>
      <w:r>
        <w:rPr>
          <w:rStyle w:val="14"/>
          <w:rFonts w:hint="eastAsia" w:ascii="仿宋" w:eastAsia="仿宋"/>
          <w:bCs/>
          <w:color w:val="000000"/>
          <w:sz w:val="32"/>
          <w:szCs w:val="32"/>
        </w:rPr>
        <w:t>7.住房保障（类）住房改革支出（款）住房公积金（项）：</w:t>
      </w:r>
      <w:r>
        <w:rPr>
          <w:rStyle w:val="14"/>
          <w:rFonts w:hint="eastAsia" w:ascii="仿宋" w:eastAsia="仿宋"/>
          <w:b w:val="0"/>
          <w:bCs/>
          <w:color w:val="000000"/>
          <w:sz w:val="32"/>
          <w:szCs w:val="32"/>
        </w:rPr>
        <w:t>支出决算为</w:t>
      </w:r>
      <w:r>
        <w:rPr>
          <w:rFonts w:hint="eastAsia" w:ascii="仿宋" w:eastAsia="仿宋"/>
          <w:color w:val="000000"/>
          <w:sz w:val="32"/>
          <w:szCs w:val="32"/>
        </w:rPr>
        <w:t>1662.83</w:t>
      </w:r>
      <w:r>
        <w:rPr>
          <w:rStyle w:val="14"/>
          <w:rFonts w:hint="eastAsia" w:ascii="仿宋" w:eastAsia="仿宋"/>
          <w:b w:val="0"/>
          <w:bCs/>
          <w:color w:val="000000"/>
          <w:sz w:val="32"/>
          <w:szCs w:val="32"/>
        </w:rPr>
        <w:t>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，决算数等于预算数。</w:t>
      </w:r>
    </w:p>
    <w:p>
      <w:pPr>
        <w:spacing w:line="600" w:lineRule="exact"/>
        <w:ind w:firstLine="640"/>
        <w:rPr>
          <w:rStyle w:val="17"/>
        </w:rPr>
      </w:pPr>
      <w:r>
        <w:rPr>
          <w:rFonts w:hint="eastAsia" w:ascii="黑体" w:eastAsia="黑体"/>
          <w:color w:val="000000"/>
          <w:sz w:val="32"/>
          <w:szCs w:val="32"/>
        </w:rPr>
        <w:t>六</w:t>
      </w:r>
      <w:r>
        <w:rPr>
          <w:rFonts w:hint="eastAsia" w:ascii="黑体" w:eastAsia="黑体"/>
          <w:b/>
          <w:color w:val="000000"/>
          <w:sz w:val="32"/>
          <w:szCs w:val="32"/>
        </w:rPr>
        <w:t>、一</w:t>
      </w:r>
      <w:r>
        <w:rPr>
          <w:rStyle w:val="17"/>
          <w:rFonts w:hint="eastAsia" w:ascii="黑体" w:eastAsia="黑体"/>
          <w:b w:val="0"/>
        </w:rPr>
        <w:t>般公共预算财政拨款基本支出决算情况说明</w:t>
      </w:r>
      <w:bookmarkEnd w:id="40"/>
      <w:bookmarkEnd w:id="41"/>
      <w:r>
        <w:rPr>
          <w:rStyle w:val="17"/>
          <w:rFonts w:ascii="黑体" w:eastAsia="黑体"/>
          <w:b w:val="0"/>
        </w:rPr>
        <w:tab/>
      </w:r>
    </w:p>
    <w:p>
      <w:pPr>
        <w:spacing w:line="600" w:lineRule="exact"/>
        <w:ind w:firstLine="645"/>
        <w:rPr>
          <w:rFonts w:ascii="仿宋" w:eastAsia="仿宋"/>
          <w:color w:val="000000"/>
          <w:sz w:val="32"/>
          <w:szCs w:val="32"/>
        </w:rPr>
      </w:pPr>
      <w:r>
        <w:rPr>
          <w:rFonts w:ascii="仿宋" w:eastAsia="仿宋"/>
          <w:color w:val="000000"/>
          <w:sz w:val="32"/>
          <w:szCs w:val="32"/>
        </w:rPr>
        <w:t>20</w:t>
      </w:r>
      <w:r>
        <w:rPr>
          <w:rFonts w:hint="eastAsia" w:ascii="仿宋" w:eastAsia="仿宋"/>
          <w:color w:val="000000"/>
          <w:sz w:val="32"/>
          <w:szCs w:val="32"/>
        </w:rPr>
        <w:t>20年一般公共预算财政拨款基本支出22717.83万元，其中：</w:t>
      </w:r>
    </w:p>
    <w:p>
      <w:pPr>
        <w:spacing w:line="600" w:lineRule="exact"/>
        <w:ind w:firstLine="645"/>
        <w:rPr>
          <w:rFonts w:hint="eastAsia" w:ascii="仿宋" w:eastAsia="仿宋"/>
          <w:color w:val="000000"/>
          <w:sz w:val="32"/>
          <w:szCs w:val="32"/>
          <w:lang w:eastAsia="zh-CN"/>
        </w:rPr>
      </w:pPr>
      <w:r>
        <w:rPr>
          <w:rFonts w:hint="eastAsia" w:ascii="仿宋" w:eastAsia="仿宋"/>
          <w:color w:val="000000"/>
          <w:sz w:val="32"/>
          <w:szCs w:val="32"/>
        </w:rPr>
        <w:t>人员经费21605.34万元，主要包括：基本工资4899.52万元、津贴补贴2751.47万元、奖金402.37万元、伙食补助费0万元、机关事业单位基本养老保险缴费1874.87万元、职业年金缴费75.27万元、职工基本医疗保险缴费</w:t>
      </w:r>
      <w:r>
        <w:rPr>
          <w:rStyle w:val="14"/>
          <w:rFonts w:hint="eastAsia" w:ascii="仿宋" w:eastAsia="仿宋"/>
          <w:b w:val="0"/>
          <w:bCs/>
          <w:color w:val="000000"/>
          <w:sz w:val="32"/>
          <w:szCs w:val="32"/>
        </w:rPr>
        <w:t>903.87</w:t>
      </w:r>
      <w:r>
        <w:rPr>
          <w:rFonts w:hint="eastAsia" w:ascii="仿宋" w:eastAsia="仿宋"/>
          <w:color w:val="000000"/>
          <w:sz w:val="32"/>
          <w:szCs w:val="32"/>
        </w:rPr>
        <w:t>万元、公务员医疗补助缴费89.15万元、其他社会保障缴费324.50万元、其他工资福利支出0万元、生活补助1101.57万元、抚恤金60.75万元、住房公积金1662.83万元、其他对个人和家庭的补助支出0万元等。</w:t>
      </w:r>
    </w:p>
    <w:p>
      <w:pPr>
        <w:spacing w:line="600" w:lineRule="exact"/>
        <w:ind w:firstLine="645"/>
        <w:rPr>
          <w:rFonts w:ascii="仿宋" w:eastAsia="仿宋"/>
          <w:color w:val="000000"/>
          <w:sz w:val="32"/>
          <w:szCs w:val="32"/>
        </w:rPr>
      </w:pPr>
      <w:r>
        <w:rPr>
          <w:rFonts w:hint="eastAsia" w:ascii="仿宋" w:eastAsia="仿宋"/>
          <w:color w:val="000000"/>
          <w:sz w:val="32"/>
          <w:szCs w:val="32"/>
        </w:rPr>
        <w:t>　　公用经费2149.19万元，主要包括：办公费718.54万元、手续费0万元、水费10.93万元、电费58.97万元、邮电费29.88万元、物业管理费28.15万元、差旅费27.46万元、因公出国（境）费用0万元、维修（护）费422.81万元、租赁费5.52万元、会议费0万元、培训费24.59万元、公务接待费2万元、福利费3万元、公务用车运行维护费10万元、其他商品和服务支出0万元、办公设备购置445.65万元、无形资产购置0万元等。</w:t>
      </w:r>
    </w:p>
    <w:p>
      <w:pPr>
        <w:spacing w:line="600" w:lineRule="exact"/>
        <w:ind w:firstLine="640" w:firstLineChars="200"/>
        <w:outlineLvl w:val="1"/>
        <w:rPr>
          <w:rStyle w:val="17"/>
          <w:rFonts w:ascii="黑体" w:eastAsia="黑体"/>
          <w:b w:val="0"/>
        </w:rPr>
      </w:pPr>
      <w:bookmarkStart w:id="42" w:name="_Toc15377215"/>
      <w:bookmarkStart w:id="43" w:name="_Toc15396609"/>
      <w:r>
        <w:rPr>
          <w:rFonts w:hint="eastAsia" w:ascii="黑体" w:eastAsia="黑体"/>
          <w:color w:val="000000"/>
          <w:sz w:val="32"/>
          <w:szCs w:val="32"/>
        </w:rPr>
        <w:t>七、</w:t>
      </w:r>
      <w:r>
        <w:rPr>
          <w:rStyle w:val="17"/>
          <w:rFonts w:hint="eastAsia" w:ascii="黑体" w:eastAsia="黑体"/>
        </w:rPr>
        <w:t>“</w:t>
      </w:r>
      <w:r>
        <w:rPr>
          <w:rStyle w:val="17"/>
          <w:rFonts w:hint="eastAsia" w:ascii="黑体" w:eastAsia="黑体"/>
          <w:b w:val="0"/>
        </w:rPr>
        <w:t>三公”经费财政拨款支出决算情况说明</w:t>
      </w:r>
      <w:bookmarkEnd w:id="42"/>
      <w:bookmarkEnd w:id="43"/>
    </w:p>
    <w:p>
      <w:pPr>
        <w:spacing w:line="600" w:lineRule="exact"/>
        <w:ind w:firstLine="640"/>
        <w:outlineLvl w:val="2"/>
        <w:rPr>
          <w:rFonts w:ascii="仿宋" w:eastAsia="仿宋"/>
          <w:b/>
          <w:color w:val="000000"/>
          <w:sz w:val="32"/>
          <w:szCs w:val="32"/>
        </w:rPr>
      </w:pPr>
      <w:bookmarkStart w:id="44" w:name="_Toc15377216"/>
      <w:r>
        <w:rPr>
          <w:rFonts w:hint="eastAsia" w:ascii="仿宋" w:eastAsia="仿宋"/>
          <w:b/>
          <w:color w:val="000000"/>
          <w:sz w:val="32"/>
          <w:szCs w:val="32"/>
        </w:rPr>
        <w:t>（一）“三公”经费财政拨款支出决算总体情况说明</w:t>
      </w:r>
      <w:bookmarkEnd w:id="44"/>
    </w:p>
    <w:p>
      <w:pPr>
        <w:spacing w:line="600" w:lineRule="exact"/>
        <w:ind w:firstLine="640"/>
        <w:rPr>
          <w:rFonts w:ascii="仿宋" w:eastAsia="仿宋"/>
          <w:color w:val="000000"/>
          <w:sz w:val="32"/>
          <w:szCs w:val="32"/>
        </w:rPr>
      </w:pPr>
      <w:r>
        <w:rPr>
          <w:rFonts w:ascii="仿宋" w:eastAsia="仿宋"/>
          <w:color w:val="000000"/>
          <w:sz w:val="32"/>
          <w:szCs w:val="32"/>
        </w:rPr>
        <w:t>20</w:t>
      </w:r>
      <w:r>
        <w:rPr>
          <w:rFonts w:hint="eastAsia" w:ascii="仿宋" w:eastAsia="仿宋"/>
          <w:color w:val="000000"/>
          <w:sz w:val="32"/>
          <w:szCs w:val="32"/>
        </w:rPr>
        <w:t>20年“三公”经费财政拨款支出决算为12万元，完成预算100</w:t>
      </w:r>
      <w:r>
        <w:rPr>
          <w:rFonts w:ascii="仿宋" w:eastAsia="仿宋"/>
          <w:color w:val="000000"/>
          <w:sz w:val="32"/>
          <w:szCs w:val="32"/>
        </w:rPr>
        <w:t>%</w:t>
      </w:r>
      <w:r>
        <w:rPr>
          <w:rFonts w:hint="eastAsia" w:ascii="仿宋" w:eastAsia="仿宋"/>
          <w:color w:val="000000"/>
          <w:sz w:val="32"/>
          <w:szCs w:val="32"/>
        </w:rPr>
        <w:t>，决算数与预算数持平。</w:t>
      </w:r>
    </w:p>
    <w:p>
      <w:pPr>
        <w:spacing w:line="600" w:lineRule="exact"/>
        <w:ind w:firstLine="640"/>
        <w:outlineLvl w:val="2"/>
        <w:rPr>
          <w:rFonts w:ascii="仿宋" w:eastAsia="仿宋"/>
          <w:b/>
          <w:color w:val="000000"/>
          <w:sz w:val="32"/>
          <w:szCs w:val="32"/>
        </w:rPr>
      </w:pPr>
      <w:bookmarkStart w:id="45" w:name="_Toc15377217"/>
      <w:r>
        <w:rPr>
          <w:rFonts w:hint="eastAsia" w:ascii="仿宋" w:eastAsia="仿宋"/>
          <w:b/>
          <w:color w:val="000000"/>
          <w:sz w:val="32"/>
          <w:szCs w:val="32"/>
        </w:rPr>
        <w:t>（二）“三公”经费财政拨款支出决算具体情况说明</w:t>
      </w:r>
      <w:bookmarkEnd w:id="45"/>
    </w:p>
    <w:p>
      <w:pPr>
        <w:spacing w:line="600" w:lineRule="exact"/>
        <w:ind w:firstLine="640"/>
        <w:rPr>
          <w:rFonts w:ascii="仿宋" w:eastAsia="仿宋"/>
          <w:color w:val="000000"/>
          <w:sz w:val="32"/>
          <w:szCs w:val="32"/>
        </w:rPr>
      </w:pPr>
      <w:r>
        <w:rPr>
          <w:rFonts w:ascii="仿宋" w:eastAsia="仿宋"/>
          <w:color w:val="000000"/>
          <w:sz w:val="32"/>
          <w:szCs w:val="32"/>
        </w:rPr>
        <w:t>20</w:t>
      </w:r>
      <w:r>
        <w:rPr>
          <w:rFonts w:hint="eastAsia" w:ascii="仿宋" w:eastAsia="仿宋"/>
          <w:color w:val="000000"/>
          <w:sz w:val="32"/>
          <w:szCs w:val="32"/>
        </w:rPr>
        <w:t>20年“三公”经费财政拨款支出</w:t>
      </w:r>
      <w:r>
        <w:rPr>
          <w:rFonts w:hint="eastAsia" w:ascii="仿宋" w:eastAsia="仿宋"/>
          <w:sz w:val="32"/>
          <w:szCs w:val="32"/>
        </w:rPr>
        <w:t>决算12万元</w:t>
      </w:r>
      <w:r>
        <w:rPr>
          <w:rFonts w:hint="eastAsia" w:ascii="仿宋" w:eastAsia="仿宋"/>
          <w:color w:val="000000"/>
          <w:sz w:val="32"/>
          <w:szCs w:val="32"/>
        </w:rPr>
        <w:t>，其中：因公出国（境）费支出决算0万元，占0</w:t>
      </w:r>
      <w:r>
        <w:rPr>
          <w:rFonts w:ascii="仿宋" w:eastAsia="仿宋"/>
          <w:color w:val="000000"/>
          <w:sz w:val="32"/>
          <w:szCs w:val="32"/>
        </w:rPr>
        <w:t>%</w:t>
      </w:r>
      <w:r>
        <w:rPr>
          <w:rFonts w:hint="eastAsia" w:ascii="仿宋" w:eastAsia="仿宋"/>
          <w:color w:val="000000"/>
          <w:sz w:val="32"/>
          <w:szCs w:val="32"/>
        </w:rPr>
        <w:t>；公务用车购置及运行维护费支出决算10万元，占83</w:t>
      </w:r>
      <w:r>
        <w:rPr>
          <w:rFonts w:ascii="仿宋" w:eastAsia="仿宋"/>
          <w:color w:val="000000"/>
          <w:sz w:val="32"/>
          <w:szCs w:val="32"/>
        </w:rPr>
        <w:t>%</w:t>
      </w:r>
      <w:r>
        <w:rPr>
          <w:rFonts w:hint="eastAsia" w:ascii="仿宋" w:eastAsia="仿宋"/>
          <w:color w:val="000000"/>
          <w:sz w:val="32"/>
          <w:szCs w:val="32"/>
        </w:rPr>
        <w:t>；公务接待费支出决算2万元，占17</w:t>
      </w:r>
      <w:r>
        <w:rPr>
          <w:rFonts w:ascii="仿宋" w:eastAsia="仿宋"/>
          <w:color w:val="000000"/>
          <w:sz w:val="32"/>
          <w:szCs w:val="32"/>
        </w:rPr>
        <w:t>%</w:t>
      </w:r>
      <w:r>
        <w:rPr>
          <w:rFonts w:hint="eastAsia" w:ascii="仿宋" w:eastAsia="仿宋"/>
          <w:color w:val="000000"/>
          <w:sz w:val="32"/>
          <w:szCs w:val="32"/>
        </w:rPr>
        <w:t>。具体情况如下：</w:t>
      </w: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pPr>
    </w:p>
    <w:p>
      <w:pPr>
        <w:spacing w:line="600" w:lineRule="exact"/>
        <w:ind w:firstLine="640"/>
      </w:pPr>
    </w:p>
    <w:p>
      <w:pPr>
        <w:spacing w:line="600" w:lineRule="exact"/>
        <w:ind w:firstLine="640"/>
      </w:pPr>
    </w:p>
    <w:p>
      <w:pPr>
        <w:spacing w:line="600" w:lineRule="exact"/>
        <w:ind w:firstLine="640"/>
        <w:rPr>
          <w:rFonts w:ascii="仿宋" w:eastAsia="仿宋"/>
          <w:color w:val="000000"/>
          <w:sz w:val="32"/>
          <w:szCs w:val="32"/>
        </w:rPr>
      </w:pPr>
      <w:r>
        <w:drawing>
          <wp:inline distT="0" distB="0" distL="114300" distR="114300">
            <wp:extent cx="4572000" cy="2743200"/>
            <wp:effectExtent l="4445" t="4445" r="14605" b="14605"/>
            <wp:docPr id="15"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rPr>
          <w:rFonts w:ascii="仿宋_GB2312" w:eastAsia="仿宋_GB2312"/>
          <w:color w:val="000000"/>
          <w:sz w:val="32"/>
          <w:szCs w:val="32"/>
        </w:rPr>
      </w:pPr>
      <w:r>
        <w:rPr>
          <w:rFonts w:hint="eastAsia" w:ascii="仿宋_GB2312" w:eastAsia="仿宋_GB2312"/>
          <w:b/>
          <w:color w:val="000000"/>
          <w:sz w:val="32"/>
          <w:szCs w:val="32"/>
        </w:rPr>
        <w:t>1.因公出国（境）经费支出</w:t>
      </w:r>
      <w:r>
        <w:rPr>
          <w:rFonts w:hint="eastAsia" w:ascii="仿宋_GB2312" w:eastAsia="仿宋_GB2312"/>
          <w:color w:val="000000"/>
          <w:sz w:val="32"/>
          <w:szCs w:val="32"/>
        </w:rPr>
        <w:t>0万元，</w:t>
      </w:r>
      <w:r>
        <w:rPr>
          <w:rStyle w:val="14"/>
          <w:rFonts w:hint="eastAsia" w:ascii="仿宋" w:eastAsia="仿宋"/>
          <w:b w:val="0"/>
          <w:bCs/>
          <w:color w:val="000000"/>
          <w:sz w:val="32"/>
          <w:szCs w:val="32"/>
        </w:rPr>
        <w:t>完成预算0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r>
        <w:rPr>
          <w:rFonts w:hint="eastAsia" w:ascii="仿宋_GB2312" w:eastAsia="仿宋_GB2312"/>
          <w:sz w:val="32"/>
          <w:szCs w:val="32"/>
        </w:rPr>
        <w:t>全年安排因公出国（境）团组0次，出国（境0人。因</w:t>
      </w:r>
      <w:r>
        <w:rPr>
          <w:rFonts w:hint="eastAsia" w:ascii="仿宋_GB2312" w:eastAsia="仿宋_GB2312"/>
          <w:color w:val="000000"/>
          <w:sz w:val="32"/>
          <w:szCs w:val="32"/>
        </w:rPr>
        <w:t>公出国（境）支出决算比</w:t>
      </w:r>
      <w:r>
        <w:rPr>
          <w:rFonts w:ascii="仿宋_GB2312" w:eastAsia="仿宋_GB2312"/>
          <w:color w:val="000000"/>
          <w:sz w:val="32"/>
          <w:szCs w:val="32"/>
        </w:rPr>
        <w:t>201</w:t>
      </w:r>
      <w:r>
        <w:rPr>
          <w:rFonts w:hint="eastAsia" w:ascii="仿宋_GB2312" w:eastAsia="仿宋_GB2312"/>
          <w:color w:val="000000"/>
          <w:sz w:val="32"/>
          <w:szCs w:val="32"/>
        </w:rPr>
        <w:t>9年</w:t>
      </w:r>
      <w:r>
        <w:rPr>
          <w:rFonts w:hint="eastAsia" w:ascii="仿宋_GB2312" w:eastAsia="仿宋_GB2312" w:cs="仿宋"/>
          <w:color w:val="000000"/>
          <w:sz w:val="32"/>
          <w:szCs w:val="32"/>
        </w:rPr>
        <w:t>增加0万元。</w:t>
      </w:r>
    </w:p>
    <w:p>
      <w:pPr>
        <w:spacing w:line="600" w:lineRule="exact"/>
        <w:ind w:firstLine="640"/>
        <w:rPr>
          <w:rFonts w:ascii="仿宋_GB2312" w:eastAsia="仿宋_GB2312"/>
          <w:b/>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w:t>
      </w:r>
      <w:r>
        <w:rPr>
          <w:rFonts w:hint="eastAsia" w:ascii="仿宋_GB2312" w:eastAsia="仿宋_GB2312"/>
          <w:b/>
          <w:sz w:val="32"/>
          <w:szCs w:val="32"/>
        </w:rPr>
        <w:t>用车</w:t>
      </w:r>
      <w:r>
        <w:rPr>
          <w:rFonts w:hint="eastAsia" w:ascii="仿宋_GB2312" w:eastAsia="仿宋_GB2312"/>
          <w:b/>
          <w:color w:val="000000"/>
          <w:sz w:val="32"/>
          <w:szCs w:val="32"/>
        </w:rPr>
        <w:t>购置及运行维护费支出</w:t>
      </w:r>
      <w:r>
        <w:rPr>
          <w:rFonts w:hint="eastAsia" w:ascii="仿宋_GB2312" w:eastAsia="仿宋_GB2312"/>
          <w:color w:val="000000"/>
          <w:sz w:val="32"/>
          <w:szCs w:val="32"/>
        </w:rPr>
        <w:t>10万元,</w:t>
      </w:r>
      <w:r>
        <w:rPr>
          <w:rStyle w:val="14"/>
          <w:rFonts w:hint="eastAsia" w:ascii="仿宋" w:eastAsia="仿宋"/>
          <w:b w:val="0"/>
          <w:bCs/>
          <w:color w:val="000000"/>
          <w:sz w:val="32"/>
          <w:szCs w:val="32"/>
        </w:rPr>
        <w:t>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9年增加0万元</w:t>
      </w:r>
      <w:r>
        <w:rPr>
          <w:rFonts w:hint="eastAsia" w:ascii="仿宋_GB2312" w:eastAsia="仿宋_GB2312"/>
          <w:sz w:val="32"/>
          <w:szCs w:val="32"/>
        </w:rPr>
        <w:t>。</w:t>
      </w:r>
      <w:r>
        <w:rPr>
          <w:rFonts w:hint="eastAsia" w:ascii="仿宋_GB2312" w:eastAsia="仿宋_GB2312" w:cs="仿宋"/>
          <w:color w:val="000000"/>
          <w:sz w:val="32"/>
          <w:szCs w:val="32"/>
        </w:rPr>
        <w:t>二是高速公路ETC刷卡费用增加，办公室多台车辆原来都以7座计费，ETC刷卡按8座计费，过路费用翻番增长。三是按照藏区提前一年实现基本“脱贫”的工作要求，脱贫攻坚任务繁重，开展脱贫攻坚一线调研和现场指导的次数增多。四是开展“两联一进”群众工作，保障需求持续增加。五是抗击突发自然灾害，处置和查灾救灾的次数增多。六是承担浙江-阿坝东西部扶贫协作和对口支援工作，为浙江来川的挂职干部职工提供了相应的用车保障。</w:t>
      </w:r>
    </w:p>
    <w:p>
      <w:pPr>
        <w:autoSpaceDE w:val="0"/>
        <w:autoSpaceDN w:val="0"/>
        <w:adjustRightInd w:val="0"/>
        <w:spacing w:line="600" w:lineRule="exact"/>
        <w:ind w:firstLine="640" w:firstLineChars="200"/>
        <w:jc w:val="left"/>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rPr>
        <w:t>0万元。全年按规定更新购置公务用车0辆。截至</w:t>
      </w:r>
      <w:r>
        <w:rPr>
          <w:rFonts w:ascii="仿宋_GB2312" w:eastAsia="仿宋_GB2312"/>
          <w:color w:val="000000"/>
          <w:sz w:val="32"/>
          <w:szCs w:val="32"/>
        </w:rPr>
        <w:t>20</w:t>
      </w:r>
      <w:r>
        <w:rPr>
          <w:rFonts w:hint="eastAsia" w:ascii="仿宋_GB2312" w:eastAsia="仿宋_GB2312"/>
          <w:color w:val="000000"/>
          <w:sz w:val="32"/>
          <w:szCs w:val="32"/>
        </w:rPr>
        <w:t>20年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日，共有车辆2辆，其中：部级领导干部用车0辆、主要领导干部用车0辆、机要通信用车0辆、应急保障用车0辆、执法执勤用车0辆、特种专业技术用车0辆、离退休干部用车0辆、其他用车2辆；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sz w:val="32"/>
          <w:szCs w:val="32"/>
        </w:rPr>
        <w:t>10万元。</w:t>
      </w:r>
      <w:r>
        <w:rPr>
          <w:rFonts w:hint="eastAsia" w:ascii="仿宋_GB2312" w:eastAsia="仿宋_GB2312"/>
          <w:color w:val="000000"/>
          <w:sz w:val="32"/>
          <w:szCs w:val="32"/>
        </w:rPr>
        <w:t>主要用我单位所需的公务用车燃料费、维修费、过路过桥费、保险费等支出。</w:t>
      </w:r>
    </w:p>
    <w:p>
      <w:pPr>
        <w:numPr>
          <w:ilvl w:val="0"/>
          <w:numId w:val="2"/>
        </w:numPr>
        <w:spacing w:line="600" w:lineRule="exact"/>
        <w:ind w:firstLine="640"/>
        <w:rPr>
          <w:rFonts w:ascii="仿宋_GB2312" w:eastAsia="仿宋_GB2312" w:cs="仿宋"/>
          <w:color w:val="000000"/>
          <w:sz w:val="32"/>
          <w:szCs w:val="32"/>
        </w:rPr>
      </w:pPr>
      <w:r>
        <w:rPr>
          <w:rFonts w:hint="eastAsia" w:ascii="仿宋_GB2312" w:eastAsia="仿宋_GB2312"/>
          <w:b/>
          <w:color w:val="000000"/>
          <w:sz w:val="32"/>
          <w:szCs w:val="32"/>
        </w:rPr>
        <w:t>公务接待费支出</w:t>
      </w:r>
      <w:r>
        <w:rPr>
          <w:rFonts w:hint="eastAsia" w:ascii="仿宋_GB2312" w:eastAsia="仿宋_GB2312"/>
          <w:color w:val="000000"/>
          <w:sz w:val="32"/>
          <w:szCs w:val="32"/>
        </w:rPr>
        <w:t>2万元，</w:t>
      </w:r>
      <w:r>
        <w:rPr>
          <w:rStyle w:val="14"/>
          <w:rFonts w:hint="eastAsia" w:ascii="仿宋" w:eastAsia="仿宋"/>
          <w:b w:val="0"/>
          <w:bCs/>
          <w:color w:val="000000"/>
          <w:sz w:val="32"/>
          <w:szCs w:val="32"/>
        </w:rPr>
        <w:t>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r>
        <w:rPr>
          <w:rFonts w:hint="eastAsia" w:ascii="仿宋_GB2312" w:eastAsia="仿宋_GB2312" w:cs="仿宋"/>
          <w:color w:val="000000"/>
          <w:sz w:val="32"/>
          <w:szCs w:val="32"/>
        </w:rPr>
        <w:t>公务接待费2万元，较上年减少0.054万元，减少2.62%，减少原因是严格执行有关规定，实行“先审批，后接待”制度，严格控制接待标准和陪餐人数，降低接待费用。</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主要用于执行公务、开展业务活动开支的交通费、住宿费、用餐费等。国内公务接待20批次，160人次，共计支出2万元。</w:t>
      </w:r>
    </w:p>
    <w:p>
      <w:pPr>
        <w:spacing w:line="600" w:lineRule="exact"/>
        <w:ind w:firstLine="640"/>
        <w:outlineLvl w:val="1"/>
        <w:rPr>
          <w:rFonts w:ascii="仿宋_GB2312" w:eastAsia="仿宋_GB2312"/>
          <w:color w:val="000000"/>
          <w:sz w:val="32"/>
          <w:szCs w:val="32"/>
        </w:rPr>
      </w:pPr>
      <w:r>
        <w:rPr>
          <w:rFonts w:hint="eastAsia" w:ascii="仿宋" w:eastAsia="仿宋"/>
          <w:b/>
          <w:color w:val="000000"/>
          <w:sz w:val="32"/>
          <w:szCs w:val="32"/>
        </w:rPr>
        <w:t>外事接待支出</w:t>
      </w:r>
      <w:r>
        <w:rPr>
          <w:rFonts w:hint="eastAsia" w:ascii="仿宋" w:eastAsia="仿宋"/>
          <w:color w:val="000000"/>
          <w:sz w:val="32"/>
          <w:szCs w:val="32"/>
        </w:rPr>
        <w:t>0</w:t>
      </w:r>
      <w:r>
        <w:rPr>
          <w:rFonts w:hint="eastAsia" w:ascii="仿宋_GB2312" w:eastAsia="仿宋_GB2312"/>
          <w:color w:val="000000"/>
          <w:sz w:val="32"/>
          <w:szCs w:val="32"/>
        </w:rPr>
        <w:t>万元，外事接待0批次，0人，共计支出0万元。</w:t>
      </w:r>
      <w:bookmarkStart w:id="46" w:name="_Toc15377218"/>
      <w:bookmarkStart w:id="47" w:name="_Toc15396610"/>
    </w:p>
    <w:p>
      <w:pPr>
        <w:spacing w:line="600" w:lineRule="exact"/>
        <w:ind w:firstLine="640"/>
        <w:outlineLvl w:val="1"/>
        <w:rPr>
          <w:rStyle w:val="17"/>
          <w:rFonts w:ascii="黑体" w:eastAsia="黑体"/>
        </w:rPr>
      </w:pPr>
      <w:r>
        <w:rPr>
          <w:rFonts w:hint="eastAsia" w:ascii="黑体" w:eastAsia="黑体"/>
          <w:color w:val="000000"/>
          <w:sz w:val="32"/>
          <w:szCs w:val="32"/>
        </w:rPr>
        <w:t>八、</w:t>
      </w:r>
      <w:r>
        <w:rPr>
          <w:rStyle w:val="17"/>
          <w:rFonts w:hint="eastAsia" w:ascii="黑体" w:eastAsia="黑体"/>
          <w:b w:val="0"/>
        </w:rPr>
        <w:t>政府性基金预算支出决算情况说明</w:t>
      </w:r>
      <w:bookmarkEnd w:id="46"/>
      <w:bookmarkEnd w:id="47"/>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w:t>
      </w:r>
      <w:r>
        <w:rPr>
          <w:rFonts w:hint="eastAsia" w:ascii="仿宋_GB2312" w:eastAsia="仿宋_GB2312"/>
          <w:color w:val="000000"/>
          <w:sz w:val="32"/>
          <w:szCs w:val="32"/>
        </w:rPr>
        <w:t>20年政府性基金预算拨款支出8.57万元。</w:t>
      </w:r>
    </w:p>
    <w:p>
      <w:pPr>
        <w:numPr>
          <w:ilvl w:val="0"/>
          <w:numId w:val="3"/>
        </w:numPr>
        <w:spacing w:line="600" w:lineRule="exact"/>
        <w:ind w:firstLine="640"/>
        <w:outlineLvl w:val="1"/>
        <w:rPr>
          <w:rStyle w:val="17"/>
          <w:rFonts w:ascii="黑体" w:eastAsia="黑体"/>
          <w:b w:val="0"/>
        </w:rPr>
      </w:pPr>
      <w:bookmarkStart w:id="48" w:name="_Toc15396611"/>
      <w:bookmarkStart w:id="49" w:name="_Toc15377219"/>
      <w:r>
        <w:rPr>
          <w:rStyle w:val="17"/>
          <w:rFonts w:hint="eastAsia" w:ascii="黑体" w:eastAsia="黑体"/>
          <w:b w:val="0"/>
        </w:rPr>
        <w:t>国有资本经营预算支出决算情况说明</w:t>
      </w:r>
      <w:bookmarkEnd w:id="48"/>
      <w:bookmarkEnd w:id="49"/>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w:t>
      </w:r>
      <w:r>
        <w:rPr>
          <w:rFonts w:hint="eastAsia" w:ascii="仿宋_GB2312" w:eastAsia="仿宋_GB2312"/>
          <w:color w:val="000000"/>
          <w:sz w:val="32"/>
          <w:szCs w:val="32"/>
        </w:rPr>
        <w:t>20年国有资本经营预算拨款支出0万元。</w:t>
      </w:r>
    </w:p>
    <w:p>
      <w:pPr>
        <w:pStyle w:val="22"/>
        <w:numPr>
          <w:ilvl w:val="0"/>
          <w:numId w:val="4"/>
        </w:numPr>
        <w:spacing w:line="580" w:lineRule="exact"/>
        <w:ind w:firstLineChars="0"/>
        <w:rPr>
          <w:rStyle w:val="17"/>
          <w:rFonts w:ascii="黑体" w:eastAsia="黑体"/>
          <w:b w:val="0"/>
        </w:rPr>
      </w:pPr>
      <w:r>
        <w:rPr>
          <w:rStyle w:val="17"/>
          <w:rFonts w:hint="eastAsia" w:ascii="黑体" w:eastAsia="黑体"/>
          <w:b w:val="0"/>
        </w:rPr>
        <w:t>预算绩效情况说明</w:t>
      </w:r>
    </w:p>
    <w:p>
      <w:pPr>
        <w:numPr>
          <w:ilvl w:val="0"/>
          <w:numId w:val="5"/>
        </w:numPr>
        <w:spacing w:line="580" w:lineRule="exact"/>
        <w:ind w:firstLine="643" w:firstLineChars="200"/>
        <w:rPr>
          <w:rFonts w:ascii="仿宋" w:eastAsia="仿宋" w:cs="楷体_GB2312"/>
          <w:b/>
          <w:bCs/>
          <w:sz w:val="32"/>
          <w:szCs w:val="32"/>
        </w:rPr>
      </w:pPr>
      <w:r>
        <w:rPr>
          <w:rFonts w:hint="eastAsia" w:ascii="仿宋" w:eastAsia="仿宋" w:cs="楷体_GB2312"/>
          <w:b/>
          <w:bCs/>
          <w:sz w:val="32"/>
          <w:szCs w:val="32"/>
        </w:rPr>
        <w:t>预算绩效管理工作开展情况。</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根据预算绩效管理要求，我单位在年初预算编制阶段，组织对项目开展了预算事前绩效评估，对10个项目编制了绩效目标，预算执行过程中，选取10个项目开展绩效监控，年终执行完毕后，对10个项目开展了绩效目标完成情况梳理填报。</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本部门按要求对2020年部门整体支出开展绩效自评，</w:t>
      </w:r>
      <w:r>
        <w:rPr>
          <w:rFonts w:hint="eastAsia" w:ascii="仿宋_GB2312" w:eastAsia="仿宋_GB2312"/>
          <w:sz w:val="32"/>
          <w:szCs w:val="32"/>
        </w:rPr>
        <w:t>经全面综合评价，我单位预算支出绩效自评得分94.7</w:t>
      </w:r>
      <w:r>
        <w:rPr>
          <w:rFonts w:hint="eastAsia" w:ascii="仿宋_GB2312" w:eastAsia="仿宋_GB2312"/>
          <w:color w:val="000000"/>
          <w:sz w:val="32"/>
          <w:szCs w:val="32"/>
        </w:rPr>
        <w:t>分</w:t>
      </w:r>
      <w:r>
        <w:rPr>
          <w:rFonts w:hint="eastAsia" w:ascii="仿宋_GB2312" w:eastAsia="仿宋_GB2312"/>
          <w:sz w:val="32"/>
          <w:szCs w:val="32"/>
        </w:rPr>
        <w:t>（扣除我单位不存在的评价指标分值,总分为96分）。我单位深入贯彻落实十九大关于“全面实施绩效管理”的要求，努力提升本单位绩效预算管理业务水平。主动公开绩效结果，加大资金使用效率，提升政府管理水平。及时告知各部门（科室）部门预算及项目支出进度</w:t>
      </w:r>
      <w:r>
        <w:rPr>
          <w:rFonts w:hint="eastAsia" w:ascii="仿宋_GB2312" w:eastAsia="仿宋_GB2312" w:cs="仿宋_GB2312"/>
          <w:sz w:val="32"/>
          <w:szCs w:val="32"/>
        </w:rPr>
        <w:t>。本单位还自行组织了11个项目绩效评价，从评价情况来看我单位年初预算项目基本按照绩效目标完成支付，有部分项目结转质保金在下年质保期后进行支付。</w:t>
      </w:r>
    </w:p>
    <w:p>
      <w:pPr>
        <w:numPr>
          <w:ilvl w:val="0"/>
          <w:numId w:val="5"/>
        </w:numPr>
        <w:spacing w:line="580" w:lineRule="exact"/>
        <w:ind w:firstLine="643" w:firstLineChars="200"/>
        <w:jc w:val="left"/>
        <w:rPr>
          <w:rFonts w:ascii="仿宋_GB2312" w:eastAsia="仿宋_GB2312" w:cs="仿宋_GB2312"/>
          <w:sz w:val="32"/>
          <w:szCs w:val="32"/>
        </w:rPr>
      </w:pPr>
      <w:r>
        <w:rPr>
          <w:rFonts w:hint="eastAsia" w:ascii="仿宋" w:eastAsia="仿宋" w:cs="楷体_GB2312"/>
          <w:b/>
          <w:bCs/>
          <w:sz w:val="32"/>
          <w:szCs w:val="32"/>
        </w:rPr>
        <w:t>项目绩效目标完成情况。</w:t>
      </w:r>
    </w:p>
    <w:p>
      <w:pPr>
        <w:numPr>
          <w:ilvl w:val="0"/>
          <w:numId w:val="5"/>
        </w:numPr>
        <w:spacing w:line="580" w:lineRule="exact"/>
        <w:ind w:firstLine="640" w:firstLineChars="200"/>
        <w:jc w:val="left"/>
        <w:rPr>
          <w:rFonts w:ascii="仿宋_GB2312" w:eastAsia="仿宋_GB2312" w:cs="仿宋_GB2312"/>
          <w:sz w:val="32"/>
          <w:szCs w:val="32"/>
        </w:rPr>
      </w:pPr>
      <w:r>
        <w:rPr>
          <w:rFonts w:hint="eastAsia" w:ascii="仿宋_GB2312" w:eastAsia="仿宋_GB2312" w:cs="仿宋_GB2312"/>
          <w:sz w:val="32"/>
          <w:szCs w:val="32"/>
        </w:rPr>
        <w:t xml:space="preserve">    本部门在2020年度部门决算中反映学校减免补等10个项目绩效目标实际完成情况。</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1.“学前、高中免费”项目绩效目标完成情况综述。项目全年预算数267.39万元，执行数为267.39万元，完成预算的100%。</w:t>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94"/>
        <w:gridCol w:w="2392"/>
      </w:tblGrid>
      <w:tr>
        <w:trPr>
          <w:trHeight w:val="1034" w:hRule="atLeast"/>
        </w:trPr>
        <w:tc>
          <w:tcPr>
            <w:tcW w:w="9960" w:type="dxa"/>
            <w:gridSpan w:val="6"/>
            <w:noWrap/>
            <w:tcMar>
              <w:top w:w="15" w:type="dxa"/>
              <w:left w:w="15" w:type="dxa"/>
              <w:right w:w="15" w:type="dxa"/>
            </w:tcMar>
            <w:vAlign w:val="center"/>
          </w:tcPr>
          <w:p>
            <w:pPr>
              <w:pStyle w:val="22"/>
              <w:widowControl/>
              <w:ind w:left="4173" w:leftChars="1310" w:hanging="1422" w:hangingChars="395"/>
              <w:textAlignment w:val="center"/>
              <w:rPr>
                <w:rFonts w:hint="eastAsia" w:ascii="黑体" w:eastAsia="黑体" w:cs="宋体"/>
                <w:bCs/>
                <w:color w:val="000000"/>
                <w:kern w:val="0"/>
                <w:sz w:val="36"/>
                <w:szCs w:val="36"/>
                <w:lang w:eastAsia="zh-CN"/>
              </w:rPr>
            </w:pPr>
            <w:r>
              <w:rPr>
                <w:rFonts w:hint="eastAsia" w:ascii="黑体" w:eastAsia="黑体" w:cs="宋体"/>
                <w:bCs/>
                <w:color w:val="000000"/>
                <w:kern w:val="0"/>
                <w:sz w:val="36"/>
                <w:szCs w:val="36"/>
              </w:rPr>
              <w:t>项目支出绩效目标完成情况表</w:t>
            </w:r>
          </w:p>
          <w:p>
            <w:pPr>
              <w:pStyle w:val="22"/>
              <w:widowControl/>
              <w:ind w:left="4173" w:leftChars="1310" w:hanging="1422" w:hangingChars="395"/>
              <w:textAlignment w:val="center"/>
              <w:rPr>
                <w:rFonts w:ascii="宋体" w:cs="宋体"/>
                <w:color w:val="000000"/>
                <w:sz w:val="36"/>
                <w:szCs w:val="36"/>
              </w:rPr>
            </w:pPr>
            <w:r>
              <w:rPr>
                <w:rFonts w:hint="eastAsia" w:ascii="宋体" w:cs="宋体"/>
                <w:color w:val="000000"/>
                <w:kern w:val="0"/>
                <w:sz w:val="36"/>
                <w:szCs w:val="36"/>
              </w:rPr>
              <w:t>(2020年度)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院坝地面改造</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金川县教育局</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267.39万元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执行数: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267.39万元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267.39万元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267.39万元</w:t>
            </w:r>
          </w:p>
        </w:tc>
      </w:tr>
      <w:tr>
        <w:tblPrEx>
          <w:tblCellMar>
            <w:top w:w="0" w:type="dxa"/>
            <w:left w:w="0" w:type="dxa"/>
            <w:bottom w:w="0" w:type="dxa"/>
            <w:right w:w="0" w:type="dxa"/>
          </w:tblCellMar>
        </w:tblPrEx>
        <w:trPr>
          <w:trHeight w:val="1062"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0</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r>
              <w:rPr>
                <w:rFonts w:hint="eastAsia" w:ascii="宋体" w:cs="宋体"/>
                <w:color w:val="000000"/>
                <w:kern w:val="0"/>
                <w:sz w:val="24"/>
                <w:lang w:eastAsia="zh-CN"/>
              </w:rPr>
              <w:t>：</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实际完成目标</w:t>
            </w:r>
          </w:p>
        </w:tc>
      </w:tr>
      <w:tr>
        <w:tblPrEx>
          <w:tblCellMar>
            <w:top w:w="0" w:type="dxa"/>
            <w:left w:w="0" w:type="dxa"/>
            <w:bottom w:w="0" w:type="dxa"/>
            <w:right w:w="0" w:type="dxa"/>
          </w:tblCellMar>
        </w:tblPrEx>
        <w:trPr>
          <w:trHeight w:val="1174"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完成县级配套资金支付。</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完成各项补助。</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一级指标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二级指标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三级指标</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预期指标值(包含数字及文字描述)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数量指标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2624人</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2624人</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2624人</w:t>
            </w:r>
          </w:p>
        </w:tc>
      </w:tr>
      <w:tr>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时效指标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完成时间</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2020年12月31日前</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r>
      <w:tr>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24"/>
              </w:rPr>
            </w:pPr>
            <w:r>
              <w:rPr>
                <w:rFonts w:hint="eastAsia" w:ascii="宋体" w:cs="宋体"/>
                <w:color w:val="000000"/>
                <w:kern w:val="0"/>
                <w:sz w:val="24"/>
              </w:rPr>
              <w:t>项目完成指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成本指标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r>
      <w:tr>
        <w:tblPrEx>
          <w:tblCellMar>
            <w:top w:w="0" w:type="dxa"/>
            <w:left w:w="0" w:type="dxa"/>
            <w:bottom w:w="0" w:type="dxa"/>
            <w:right w:w="0" w:type="dxa"/>
          </w:tblCellMar>
        </w:tblPrEx>
        <w:trPr>
          <w:trHeight w:val="1050"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满意度指标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r>
    </w:tbl>
    <w:p>
      <w:pPr>
        <w:spacing w:line="580" w:lineRule="exact"/>
        <w:ind w:firstLine="640" w:firstLineChars="200"/>
        <w:rPr>
          <w:rFonts w:ascii="仿宋_GB2312" w:eastAsia="仿宋_GB2312" w:cs="仿宋_GB2312"/>
          <w:sz w:val="32"/>
          <w:szCs w:val="32"/>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2.“十年行动计划”项目绩效目标完成情况综述。项目全年预算数100万元，执行数为100万元，完成预算的100%。</w:t>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56"/>
        <w:gridCol w:w="2430"/>
      </w:tblGrid>
      <w:tr>
        <w:tblPrEx>
          <w:tblCellMar>
            <w:top w:w="0" w:type="dxa"/>
            <w:left w:w="0" w:type="dxa"/>
            <w:bottom w:w="0" w:type="dxa"/>
            <w:right w:w="0" w:type="dxa"/>
          </w:tblCellMar>
        </w:tblPrEx>
        <w:trPr>
          <w:trHeight w:val="1034" w:hRule="atLeast"/>
        </w:trPr>
        <w:tc>
          <w:tcPr>
            <w:tcW w:w="9960" w:type="dxa"/>
            <w:gridSpan w:val="6"/>
            <w:tcBorders>
              <w:top w:val="nil"/>
              <w:left w:val="nil"/>
              <w:bottom w:val="nil"/>
              <w:right w:val="nil"/>
            </w:tcBorders>
            <w:noWrap/>
            <w:tcMar>
              <w:top w:w="15" w:type="dxa"/>
              <w:left w:w="15" w:type="dxa"/>
              <w:right w:w="15" w:type="dxa"/>
            </w:tcMar>
            <w:vAlign w:val="center"/>
          </w:tcPr>
          <w:p>
            <w:pPr>
              <w:pStyle w:val="22"/>
              <w:widowControl/>
              <w:ind w:left="4173" w:leftChars="1310" w:hanging="1422" w:hangingChars="395"/>
              <w:textAlignment w:val="center"/>
              <w:rPr>
                <w:rFonts w:hint="eastAsia" w:ascii="黑体" w:eastAsia="黑体" w:cs="宋体"/>
                <w:bCs/>
                <w:color w:val="000000"/>
                <w:kern w:val="0"/>
                <w:sz w:val="36"/>
                <w:szCs w:val="36"/>
                <w:lang w:eastAsia="zh-CN"/>
              </w:rPr>
            </w:pPr>
            <w:r>
              <w:rPr>
                <w:rFonts w:hint="eastAsia" w:ascii="黑体" w:eastAsia="黑体" w:cs="宋体"/>
                <w:bCs/>
                <w:color w:val="000000"/>
                <w:kern w:val="0"/>
                <w:sz w:val="36"/>
                <w:szCs w:val="36"/>
              </w:rPr>
              <w:t>项目支出绩效目标完成情况表</w:t>
            </w:r>
          </w:p>
          <w:p>
            <w:pPr>
              <w:pStyle w:val="22"/>
              <w:widowControl/>
              <w:ind w:left="4173" w:leftChars="1310" w:hanging="1422" w:hangingChars="395"/>
              <w:textAlignment w:val="center"/>
              <w:rPr>
                <w:rFonts w:ascii="宋体" w:cs="宋体"/>
                <w:color w:val="000000"/>
                <w:sz w:val="36"/>
                <w:szCs w:val="36"/>
              </w:rPr>
            </w:pPr>
            <w:r>
              <w:rPr>
                <w:rFonts w:hint="eastAsia" w:ascii="宋体" w:cs="宋体"/>
                <w:color w:val="000000"/>
                <w:kern w:val="0"/>
                <w:sz w:val="36"/>
                <w:szCs w:val="36"/>
              </w:rPr>
              <w:t>(2020年度)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车辆大修</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阿坝州人民政府办公室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100万元</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执行数:</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100万元</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0</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cs="宋体"/>
                <w:color w:val="000000"/>
                <w:sz w:val="24"/>
              </w:rPr>
            </w:pPr>
            <w:r>
              <w:rPr>
                <w:rFonts w:hint="eastAsia" w:ascii="宋体" w:cs="宋体"/>
                <w:color w:val="000000"/>
                <w:sz w:val="24"/>
              </w:rPr>
              <w:t>0</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24"/>
              </w:rPr>
            </w:pPr>
            <w:r>
              <w:rPr>
                <w:rFonts w:hint="eastAsia" w:ascii="宋体" w:cs="宋体"/>
                <w:color w:val="000000"/>
                <w:sz w:val="24"/>
              </w:rPr>
              <w:t>保质保量完成教学设备采购。</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按计划保质保量完成了采购。</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一级指标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二级指标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三级指标</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预期指标值(包含数字及文字描述)</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数量指标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件、套</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 xml:space="preserve">230 </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完成</w:t>
            </w:r>
          </w:p>
        </w:tc>
      </w:tr>
      <w:tr>
        <w:tblPrEx>
          <w:tblCellMar>
            <w:top w:w="0" w:type="dxa"/>
            <w:left w:w="0" w:type="dxa"/>
            <w:bottom w:w="0" w:type="dxa"/>
            <w:right w:w="0" w:type="dxa"/>
          </w:tblCellMar>
        </w:tblPrEx>
        <w:trPr>
          <w:trHeight w:val="1297"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质量指标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保质保量</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保质保量完成采购工作</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b/>
                <w:bCs/>
                <w:color w:val="000000"/>
                <w:sz w:val="24"/>
              </w:rPr>
            </w:pPr>
            <w:r>
              <w:rPr>
                <w:rFonts w:hint="eastAsia" w:ascii="宋体" w:cs="宋体"/>
                <w:color w:val="000000"/>
                <w:sz w:val="24"/>
              </w:rPr>
              <w:t>完成</w:t>
            </w:r>
          </w:p>
        </w:tc>
      </w:tr>
      <w:tr>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效益指标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社会效益指标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社会效益</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得到了社会好评</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得到了社会好评</w:t>
            </w:r>
          </w:p>
        </w:tc>
      </w:tr>
      <w:tr>
        <w:tblPrEx>
          <w:tblCellMar>
            <w:top w:w="0" w:type="dxa"/>
            <w:left w:w="0" w:type="dxa"/>
            <w:bottom w:w="0" w:type="dxa"/>
            <w:right w:w="0" w:type="dxa"/>
          </w:tblCellMar>
        </w:tblPrEx>
        <w:trPr>
          <w:trHeight w:val="1050"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满意度指标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c>
          <w:tcPr>
            <w:tcW w:w="23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c>
          <w:tcPr>
            <w:tcW w:w="24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r>
    </w:tbl>
    <w:p>
      <w:pPr>
        <w:ind w:firstLine="640" w:firstLineChars="200"/>
        <w:jc w:val="left"/>
        <w:rPr>
          <w:rFonts w:ascii="仿宋_GB2312" w:eastAsia="仿宋_GB2312" w:cs="仿宋_GB2312"/>
          <w:sz w:val="32"/>
          <w:szCs w:val="32"/>
        </w:rPr>
      </w:pPr>
    </w:p>
    <w:p>
      <w:pPr>
        <w:numPr>
          <w:ilvl w:val="0"/>
          <w:numId w:val="6"/>
        </w:num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“学生营养餐”项目绩效目标完成情况综述。项目全年预算数132.00万元，执行数为132.00万元，完成预算的100%。</w:t>
      </w:r>
    </w:p>
    <w:p>
      <w:pPr>
        <w:spacing w:line="580" w:lineRule="exact"/>
        <w:rPr>
          <w:rFonts w:ascii="仿宋_GB2312" w:eastAsia="仿宋_GB2312" w:cs="仿宋_GB2312"/>
          <w:sz w:val="32"/>
          <w:szCs w:val="32"/>
        </w:rPr>
      </w:pPr>
    </w:p>
    <w:p>
      <w:pPr>
        <w:spacing w:line="580" w:lineRule="exact"/>
        <w:rPr>
          <w:rFonts w:ascii="仿宋_GB2312" w:eastAsia="仿宋_GB2312" w:cs="仿宋_GB2312"/>
          <w:sz w:val="32"/>
          <w:szCs w:val="32"/>
        </w:rPr>
      </w:pP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94"/>
        <w:gridCol w:w="2392"/>
      </w:tblGrid>
      <w:tr>
        <w:tblPrEx>
          <w:tblCellMar>
            <w:top w:w="0" w:type="dxa"/>
            <w:left w:w="0" w:type="dxa"/>
            <w:bottom w:w="0" w:type="dxa"/>
            <w:right w:w="0" w:type="dxa"/>
          </w:tblCellMar>
        </w:tblPrEx>
        <w:trPr>
          <w:trHeight w:val="1034" w:hRule="atLeast"/>
        </w:trPr>
        <w:tc>
          <w:tcPr>
            <w:tcW w:w="9960" w:type="dxa"/>
            <w:gridSpan w:val="6"/>
            <w:tcBorders>
              <w:top w:val="nil"/>
              <w:left w:val="nil"/>
              <w:bottom w:val="nil"/>
              <w:right w:val="nil"/>
            </w:tcBorders>
            <w:noWrap/>
            <w:tcMar>
              <w:top w:w="15" w:type="dxa"/>
              <w:left w:w="15" w:type="dxa"/>
              <w:right w:w="15" w:type="dxa"/>
            </w:tcMar>
            <w:vAlign w:val="center"/>
          </w:tcPr>
          <w:p>
            <w:pPr>
              <w:widowControl/>
              <w:jc w:val="center"/>
              <w:textAlignment w:val="center"/>
              <w:rPr>
                <w:rFonts w:hint="eastAsia" w:ascii="宋体" w:eastAsia="宋体" w:cs="宋体"/>
                <w:b/>
                <w:bCs/>
                <w:color w:val="000000"/>
                <w:kern w:val="0"/>
                <w:sz w:val="36"/>
                <w:szCs w:val="36"/>
                <w:lang w:eastAsia="zh-CN"/>
              </w:rPr>
            </w:pPr>
            <w:r>
              <w:rPr>
                <w:rFonts w:hint="eastAsia" w:ascii="宋体" w:cs="宋体"/>
                <w:b/>
                <w:bCs/>
                <w:color w:val="000000"/>
                <w:kern w:val="0"/>
                <w:sz w:val="36"/>
                <w:szCs w:val="36"/>
              </w:rPr>
              <w:t>项目绩效目标完成情况表</w:t>
            </w:r>
          </w:p>
          <w:p>
            <w:pPr>
              <w:widowControl/>
              <w:jc w:val="center"/>
              <w:textAlignment w:val="center"/>
              <w:rPr>
                <w:rFonts w:ascii="宋体" w:cs="宋体"/>
                <w:color w:val="000000"/>
                <w:sz w:val="36"/>
                <w:szCs w:val="36"/>
              </w:rPr>
            </w:pPr>
            <w:r>
              <w:rPr>
                <w:rFonts w:hint="eastAsia" w:ascii="宋体" w:cs="宋体"/>
                <w:color w:val="000000"/>
                <w:kern w:val="0"/>
                <w:sz w:val="36"/>
                <w:szCs w:val="36"/>
              </w:rPr>
              <w:t>(2020 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青藏川滇交界地藏区州（市）长联席会议制度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阿坝州人民政府办公室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132.00万元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执行数: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132.00万元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132.00万元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132.00万元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无</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cs="宋体"/>
                <w:color w:val="000000"/>
                <w:sz w:val="24"/>
              </w:rPr>
            </w:pPr>
            <w:r>
              <w:rPr>
                <w:rFonts w:hint="eastAsia" w:ascii="宋体" w:cs="宋体"/>
                <w:color w:val="000000"/>
                <w:sz w:val="24"/>
              </w:rPr>
              <w:t>无</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完成132.00万元的学生营养餐补助发放。</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完满完成补助发放。</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一级指标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二级指标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三级指标</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预期指标值(包含数字及文字描述)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left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r>
              <w:rPr>
                <w:rFonts w:hint="eastAsia"/>
              </w:rPr>
              <w:t>时效指标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pPr>
              <w:ind w:firstLine="480" w:firstLineChars="200"/>
              <w:jc w:val="center"/>
            </w:pPr>
            <w:r>
              <w:rPr>
                <w:rFonts w:hint="eastAsia" w:ascii="宋体" w:cs="宋体"/>
                <w:color w:val="000000"/>
                <w:sz w:val="24"/>
              </w:rPr>
              <w:t>2020年1-12月</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2020年1-12月</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2020年1-12月</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效益指标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社会效益指标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满意度指标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r>
    </w:tbl>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4 .“省级学前发展资金”绩效目标完成情况综述。项目全年预算数492.80万元，执行数为492.80万元，完成预算的100%。</w:t>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94"/>
        <w:gridCol w:w="2392"/>
      </w:tblGrid>
      <w:tr>
        <w:tblPrEx>
          <w:tblCellMar>
            <w:top w:w="0" w:type="dxa"/>
            <w:left w:w="0" w:type="dxa"/>
            <w:bottom w:w="0" w:type="dxa"/>
            <w:right w:w="0" w:type="dxa"/>
          </w:tblCellMar>
        </w:tblPrEx>
        <w:trPr>
          <w:trHeight w:val="1034" w:hRule="atLeast"/>
        </w:trPr>
        <w:tc>
          <w:tcPr>
            <w:tcW w:w="9960" w:type="dxa"/>
            <w:gridSpan w:val="6"/>
            <w:tcBorders>
              <w:top w:val="nil"/>
              <w:left w:val="nil"/>
              <w:bottom w:val="nil"/>
              <w:right w:val="nil"/>
            </w:tcBorders>
            <w:noWrap/>
            <w:tcMar>
              <w:top w:w="15" w:type="dxa"/>
              <w:left w:w="15" w:type="dxa"/>
              <w:right w:w="15" w:type="dxa"/>
            </w:tcMar>
            <w:vAlign w:val="center"/>
          </w:tcPr>
          <w:p>
            <w:pPr>
              <w:widowControl/>
              <w:jc w:val="center"/>
              <w:textAlignment w:val="center"/>
              <w:rPr>
                <w:rFonts w:hint="eastAsia" w:ascii="宋体" w:eastAsia="宋体" w:cs="宋体"/>
                <w:b/>
                <w:bCs/>
                <w:color w:val="000000"/>
                <w:kern w:val="0"/>
                <w:sz w:val="36"/>
                <w:szCs w:val="36"/>
                <w:lang w:eastAsia="zh-CN"/>
              </w:rPr>
            </w:pPr>
            <w:r>
              <w:rPr>
                <w:rFonts w:hint="eastAsia" w:ascii="宋体" w:cs="宋体"/>
                <w:b/>
                <w:bCs/>
                <w:color w:val="000000"/>
                <w:kern w:val="0"/>
                <w:sz w:val="36"/>
                <w:szCs w:val="36"/>
              </w:rPr>
              <w:t>项目绩效目标完成情况表</w:t>
            </w:r>
          </w:p>
          <w:p>
            <w:pPr>
              <w:widowControl/>
              <w:jc w:val="center"/>
              <w:textAlignment w:val="center"/>
              <w:rPr>
                <w:rFonts w:ascii="宋体" w:cs="宋体"/>
                <w:color w:val="000000"/>
                <w:sz w:val="36"/>
                <w:szCs w:val="36"/>
              </w:rPr>
            </w:pPr>
            <w:r>
              <w:rPr>
                <w:rFonts w:hint="eastAsia" w:ascii="宋体" w:cs="宋体"/>
                <w:color w:val="000000"/>
                <w:kern w:val="0"/>
                <w:sz w:val="36"/>
                <w:szCs w:val="36"/>
              </w:rPr>
              <w:t>(2020 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口岸物流办培训</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州政府口岸与物流办公室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492.80万元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执行数: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492.80万元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492.80万元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492.80万元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无</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cs="宋体"/>
                <w:color w:val="000000"/>
                <w:sz w:val="24"/>
              </w:rPr>
            </w:pPr>
            <w:r>
              <w:rPr>
                <w:rFonts w:hint="eastAsia" w:ascii="宋体" w:cs="宋体"/>
                <w:color w:val="000000"/>
                <w:sz w:val="24"/>
              </w:rPr>
              <w:t>无</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24"/>
              </w:rPr>
            </w:pPr>
            <w:r>
              <w:rPr>
                <w:rFonts w:hint="eastAsia" w:ascii="宋体" w:cs="宋体"/>
                <w:color w:val="000000"/>
                <w:sz w:val="24"/>
              </w:rPr>
              <w:t>完成村级学前辅导员劳务费。</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24"/>
              </w:rPr>
            </w:pPr>
            <w:r>
              <w:rPr>
                <w:rFonts w:hint="eastAsia" w:ascii="宋体" w:cs="宋体"/>
                <w:color w:val="000000"/>
                <w:sz w:val="24"/>
              </w:rPr>
              <w:t>实际完成村级学前辅导员劳务费发放492.80元。</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一级指标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二级指标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三级指标</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预期指标值(包含数字及文字描述)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left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数量指标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187人</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p>
            <w:pPr>
              <w:rPr>
                <w:rFonts w:ascii="宋体" w:cs="宋体"/>
                <w:sz w:val="24"/>
              </w:rPr>
            </w:pPr>
            <w:r>
              <w:rPr>
                <w:rFonts w:hint="eastAsia" w:ascii="宋体" w:cs="宋体"/>
                <w:sz w:val="24"/>
              </w:rPr>
              <w:t>187人。</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p>
            <w:pPr>
              <w:rPr>
                <w:rFonts w:ascii="宋体" w:cs="宋体"/>
                <w:sz w:val="24"/>
              </w:rPr>
            </w:pPr>
            <w:r>
              <w:rPr>
                <w:rFonts w:hint="eastAsia" w:ascii="宋体" w:cs="宋体"/>
                <w:sz w:val="24"/>
              </w:rPr>
              <w:t>完成187人。</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时效指标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2020年1-12月</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2020年12月31日</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2019年12月31日</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效益指标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可持续影响指标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满意度指标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村级学前辅导员的满意度</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w:t>
            </w:r>
          </w:p>
        </w:tc>
      </w:tr>
    </w:tbl>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5.城乡义务教育补助资金项目绩效目标完成情况综述。项目全年预算数116万元，执行数为116万元，完成预算的100%。</w:t>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94"/>
        <w:gridCol w:w="2392"/>
      </w:tblGrid>
      <w:tr>
        <w:tblPrEx>
          <w:tblCellMar>
            <w:top w:w="0" w:type="dxa"/>
            <w:left w:w="0" w:type="dxa"/>
            <w:bottom w:w="0" w:type="dxa"/>
            <w:right w:w="0" w:type="dxa"/>
          </w:tblCellMar>
        </w:tblPrEx>
        <w:trPr>
          <w:trHeight w:val="1034" w:hRule="atLeast"/>
        </w:trPr>
        <w:tc>
          <w:tcPr>
            <w:tcW w:w="9960" w:type="dxa"/>
            <w:gridSpan w:val="6"/>
            <w:noWrap/>
            <w:tcMar>
              <w:top w:w="15" w:type="dxa"/>
              <w:left w:w="15" w:type="dxa"/>
              <w:right w:w="15" w:type="dxa"/>
            </w:tcMar>
            <w:vAlign w:val="center"/>
          </w:tcPr>
          <w:p>
            <w:pPr>
              <w:pStyle w:val="22"/>
              <w:widowControl/>
              <w:ind w:left="4173" w:leftChars="1310" w:hanging="1422" w:hangingChars="395"/>
              <w:textAlignment w:val="center"/>
              <w:rPr>
                <w:rFonts w:hint="eastAsia" w:ascii="黑体" w:eastAsia="黑体" w:cs="宋体"/>
                <w:bCs/>
                <w:color w:val="000000"/>
                <w:kern w:val="0"/>
                <w:sz w:val="36"/>
                <w:szCs w:val="36"/>
                <w:lang w:eastAsia="zh-CN"/>
              </w:rPr>
            </w:pPr>
            <w:r>
              <w:rPr>
                <w:rFonts w:hint="eastAsia" w:ascii="黑体" w:eastAsia="黑体" w:cs="宋体"/>
                <w:bCs/>
                <w:color w:val="000000"/>
                <w:kern w:val="0"/>
                <w:sz w:val="36"/>
                <w:szCs w:val="36"/>
              </w:rPr>
              <w:t>项目支出绩效目标完成情况表</w:t>
            </w:r>
          </w:p>
          <w:p>
            <w:pPr>
              <w:pStyle w:val="22"/>
              <w:widowControl/>
              <w:ind w:left="4173" w:leftChars="1310" w:hanging="1422" w:hangingChars="395"/>
              <w:textAlignment w:val="center"/>
              <w:rPr>
                <w:rFonts w:ascii="宋体" w:cs="宋体"/>
                <w:color w:val="000000"/>
                <w:sz w:val="36"/>
                <w:szCs w:val="36"/>
              </w:rPr>
            </w:pPr>
            <w:r>
              <w:rPr>
                <w:rFonts w:hint="eastAsia" w:ascii="宋体" w:cs="宋体"/>
                <w:color w:val="000000"/>
                <w:kern w:val="0"/>
                <w:sz w:val="36"/>
                <w:szCs w:val="36"/>
              </w:rPr>
              <w:t>(2020年度)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减免</w:t>
            </w:r>
            <w:r>
              <w:rPr>
                <w:rFonts w:hint="eastAsia" w:ascii="宋体" w:cs="宋体"/>
                <w:color w:val="000000"/>
                <w:kern w:val="0"/>
                <w:sz w:val="24"/>
                <w:lang w:eastAsia="zh-CN"/>
              </w:rPr>
              <w:t>补助</w:t>
            </w:r>
            <w:r>
              <w:rPr>
                <w:rFonts w:hint="eastAsia" w:ascii="宋体" w:cs="宋体"/>
                <w:color w:val="000000"/>
                <w:kern w:val="0"/>
                <w:sz w:val="24"/>
              </w:rPr>
              <w:t>资金</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阿坝州人民政府办公室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预算数: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116万元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执行数: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116万元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116万元</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其中-财政拨款:</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116万元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239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0</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lang w:eastAsia="zh-CN"/>
              </w:rPr>
              <w:t>其他</w:t>
            </w:r>
            <w:r>
              <w:rPr>
                <w:rFonts w:hint="eastAsia" w:ascii="宋体" w:cs="宋体"/>
                <w:color w:val="000000"/>
                <w:kern w:val="0"/>
                <w:sz w:val="24"/>
              </w:rPr>
              <w:t>资金:</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78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应补尽补。</w:t>
            </w:r>
          </w:p>
        </w:tc>
        <w:tc>
          <w:tcPr>
            <w:tcW w:w="478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24"/>
              </w:rPr>
            </w:pPr>
            <w:r>
              <w:rPr>
                <w:rFonts w:hint="eastAsia" w:ascii="宋体" w:cs="宋体"/>
                <w:sz w:val="24"/>
              </w:rPr>
              <w:t>义务教育阶段学生。</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一级指标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二级指标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三级指标</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预期指标值(包含数字及文字描述)</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数量指标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4739人</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4739人</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4739人</w:t>
            </w:r>
          </w:p>
        </w:tc>
      </w:tr>
      <w:tr>
        <w:tblPrEx>
          <w:tblCellMar>
            <w:top w:w="0" w:type="dxa"/>
            <w:left w:w="0" w:type="dxa"/>
            <w:bottom w:w="0" w:type="dxa"/>
            <w:right w:w="0" w:type="dxa"/>
          </w:tblCellMar>
        </w:tblPrEx>
        <w:trPr>
          <w:trHeight w:val="1297"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项目完成指标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质量指标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p>
        </w:tc>
      </w:tr>
      <w:tr>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24"/>
              </w:rPr>
            </w:pPr>
            <w:r>
              <w:rPr>
                <w:rFonts w:hint="eastAsia" w:ascii="宋体" w:cs="宋体"/>
                <w:color w:val="000000"/>
                <w:kern w:val="0"/>
                <w:sz w:val="24"/>
              </w:rPr>
              <w:t>效益指标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社会效益指标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好评</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好评</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好评</w:t>
            </w:r>
          </w:p>
        </w:tc>
      </w:tr>
      <w:tr>
        <w:tblPrEx>
          <w:tblCellMar>
            <w:top w:w="0" w:type="dxa"/>
            <w:left w:w="0" w:type="dxa"/>
            <w:bottom w:w="0" w:type="dxa"/>
            <w:right w:w="0" w:type="dxa"/>
          </w:tblCellMar>
        </w:tblPrEx>
        <w:trPr>
          <w:trHeight w:val="1050" w:hRule="atLeast"/>
        </w:trPr>
        <w:tc>
          <w:tcPr>
            <w:tcW w:w="39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3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kern w:val="0"/>
                <w:sz w:val="24"/>
              </w:rPr>
              <w:t>满意度指标</w:t>
            </w:r>
          </w:p>
        </w:tc>
        <w:tc>
          <w:tcPr>
            <w:tcW w:w="10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满意度指标</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w:t>
            </w:r>
          </w:p>
        </w:tc>
        <w:tc>
          <w:tcPr>
            <w:tcW w:w="23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w:t>
            </w:r>
          </w:p>
        </w:tc>
        <w:tc>
          <w:tcPr>
            <w:tcW w:w="23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24"/>
              </w:rPr>
            </w:pPr>
            <w:r>
              <w:rPr>
                <w:rFonts w:hint="eastAsia" w:ascii="宋体" w:cs="宋体"/>
                <w:color w:val="000000"/>
                <w:sz w:val="24"/>
              </w:rPr>
              <w:t>100%</w:t>
            </w:r>
          </w:p>
        </w:tc>
      </w:tr>
    </w:tbl>
    <w:p>
      <w:pPr>
        <w:rPr>
          <w:rFonts w:ascii="Calibri" w:hAnsi="Calibri"/>
        </w:rPr>
      </w:pPr>
    </w:p>
    <w:p>
      <w:pPr>
        <w:numPr>
          <w:ilvl w:val="0"/>
          <w:numId w:val="5"/>
        </w:numPr>
        <w:spacing w:line="580" w:lineRule="exact"/>
        <w:ind w:firstLine="643" w:firstLineChars="200"/>
        <w:rPr>
          <w:rFonts w:ascii="仿宋" w:eastAsia="仿宋" w:cs="仿宋_GB2312"/>
          <w:sz w:val="32"/>
          <w:szCs w:val="32"/>
        </w:rPr>
      </w:pPr>
      <w:r>
        <w:rPr>
          <w:rFonts w:hint="eastAsia" w:ascii="仿宋" w:eastAsia="仿宋" w:cs="楷体_GB2312"/>
          <w:b/>
          <w:bCs/>
          <w:sz w:val="32"/>
          <w:szCs w:val="32"/>
        </w:rPr>
        <w:t>部门开展绩效评价结果。</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本部门按要求对2020年部门整体支出绩效评价情况开展自评，</w:t>
      </w:r>
      <w:r>
        <w:rPr>
          <w:rFonts w:hint="eastAsia" w:ascii="仿宋_GB2312" w:eastAsia="仿宋_GB2312"/>
          <w:sz w:val="32"/>
          <w:szCs w:val="32"/>
        </w:rPr>
        <w:t>《阿坝州人民政府办公室2020年部门预算整体支出绩效评价报告》</w:t>
      </w:r>
      <w:r>
        <w:rPr>
          <w:rFonts w:hint="eastAsia" w:ascii="仿宋_GB2312" w:eastAsia="仿宋_GB2312" w:cs="仿宋_GB2312"/>
          <w:sz w:val="32"/>
          <w:szCs w:val="32"/>
        </w:rPr>
        <w:t>见附件。</w:t>
      </w:r>
    </w:p>
    <w:p>
      <w:pPr>
        <w:spacing w:line="600" w:lineRule="exact"/>
        <w:ind w:firstLine="640" w:firstLineChars="200"/>
        <w:outlineLvl w:val="1"/>
        <w:rPr>
          <w:rStyle w:val="17"/>
          <w:rFonts w:ascii="黑体" w:eastAsia="黑体"/>
        </w:rPr>
      </w:pPr>
      <w:bookmarkStart w:id="50" w:name="_Toc15377221"/>
      <w:bookmarkStart w:id="51" w:name="_Toc15396612"/>
      <w:r>
        <w:rPr>
          <w:rFonts w:hint="eastAsia" w:ascii="黑体" w:eastAsia="黑体"/>
          <w:color w:val="000000"/>
          <w:sz w:val="32"/>
          <w:szCs w:val="32"/>
        </w:rPr>
        <w:t>十</w:t>
      </w:r>
      <w:r>
        <w:rPr>
          <w:rStyle w:val="17"/>
          <w:rFonts w:hint="eastAsia" w:ascii="黑体" w:eastAsia="黑体"/>
        </w:rPr>
        <w:t>一、</w:t>
      </w:r>
      <w:r>
        <w:rPr>
          <w:rStyle w:val="17"/>
          <w:rFonts w:hint="eastAsia" w:ascii="黑体" w:eastAsia="黑体"/>
          <w:b w:val="0"/>
        </w:rPr>
        <w:t>其他重要事项的情况说明</w:t>
      </w:r>
      <w:bookmarkEnd w:id="50"/>
      <w:bookmarkEnd w:id="51"/>
    </w:p>
    <w:p>
      <w:pPr>
        <w:spacing w:line="600" w:lineRule="exact"/>
        <w:ind w:firstLine="643" w:firstLineChars="200"/>
        <w:outlineLvl w:val="2"/>
        <w:rPr>
          <w:rFonts w:ascii="仿宋" w:eastAsia="仿宋"/>
          <w:color w:val="000000"/>
          <w:sz w:val="32"/>
          <w:szCs w:val="32"/>
        </w:rPr>
      </w:pPr>
      <w:bookmarkStart w:id="52" w:name="_Toc15377222"/>
      <w:r>
        <w:rPr>
          <w:rFonts w:hint="eastAsia" w:ascii="仿宋" w:eastAsia="仿宋"/>
          <w:b/>
          <w:color w:val="000000"/>
          <w:sz w:val="32"/>
          <w:szCs w:val="32"/>
        </w:rPr>
        <w:t>（一）机关运行经费支出情况</w:t>
      </w:r>
      <w:bookmarkEnd w:id="52"/>
    </w:p>
    <w:p>
      <w:pPr>
        <w:spacing w:line="600" w:lineRule="exact"/>
        <w:ind w:firstLine="640" w:firstLineChars="200"/>
        <w:rPr>
          <w:rFonts w:ascii="仿宋_GB2312" w:eastAsia="仿宋_GB2312"/>
          <w:sz w:val="32"/>
          <w:szCs w:val="32"/>
        </w:rPr>
      </w:pPr>
      <w:r>
        <w:rPr>
          <w:rFonts w:ascii="仿宋_GB2312" w:eastAsia="仿宋_GB2312"/>
          <w:color w:val="000000"/>
          <w:sz w:val="32"/>
          <w:szCs w:val="32"/>
        </w:rPr>
        <w:t>20</w:t>
      </w:r>
      <w:r>
        <w:rPr>
          <w:rFonts w:hint="eastAsia" w:ascii="仿宋_GB2312" w:eastAsia="仿宋_GB2312"/>
          <w:color w:val="000000"/>
          <w:sz w:val="32"/>
          <w:szCs w:val="32"/>
        </w:rPr>
        <w:t>20年，教育局办公室运行经费支出13.67万元，比</w:t>
      </w:r>
      <w:r>
        <w:rPr>
          <w:rFonts w:ascii="仿宋_GB2312" w:eastAsia="仿宋_GB2312"/>
          <w:color w:val="000000"/>
          <w:sz w:val="32"/>
          <w:szCs w:val="32"/>
        </w:rPr>
        <w:t>201</w:t>
      </w:r>
      <w:r>
        <w:rPr>
          <w:rFonts w:hint="eastAsia" w:ascii="仿宋_GB2312" w:eastAsia="仿宋_GB2312"/>
          <w:color w:val="000000"/>
          <w:sz w:val="32"/>
          <w:szCs w:val="32"/>
        </w:rPr>
        <w:t>9年增加6.43万元，上升88.56</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主要原因为差旅费、公务用车运行费、维修维护费、办公设备购置费经费等有所增长。</w:t>
      </w:r>
    </w:p>
    <w:p>
      <w:pPr>
        <w:autoSpaceDE w:val="0"/>
        <w:autoSpaceDN w:val="0"/>
        <w:adjustRightInd w:val="0"/>
        <w:spacing w:line="600" w:lineRule="exact"/>
        <w:ind w:firstLine="643" w:firstLineChars="200"/>
        <w:jc w:val="left"/>
        <w:outlineLvl w:val="2"/>
        <w:rPr>
          <w:rFonts w:ascii="仿宋" w:eastAsia="仿宋"/>
          <w:b/>
          <w:color w:val="000000"/>
          <w:sz w:val="32"/>
          <w:szCs w:val="32"/>
        </w:rPr>
      </w:pPr>
      <w:bookmarkStart w:id="53" w:name="_Toc15377223"/>
      <w:r>
        <w:rPr>
          <w:rFonts w:hint="eastAsia" w:ascii="仿宋" w:eastAsia="仿宋"/>
          <w:b/>
          <w:color w:val="000000"/>
          <w:sz w:val="32"/>
          <w:szCs w:val="32"/>
        </w:rPr>
        <w:t>（二）政府采购支出情况</w:t>
      </w:r>
      <w:bookmarkEnd w:id="53"/>
    </w:p>
    <w:p>
      <w:pPr>
        <w:spacing w:line="600" w:lineRule="exact"/>
        <w:ind w:firstLine="640" w:firstLineChars="200"/>
        <w:rPr>
          <w:rFonts w:ascii="仿宋" w:eastAsia="仿宋"/>
          <w:b/>
          <w:sz w:val="32"/>
          <w:szCs w:val="32"/>
        </w:rPr>
      </w:pPr>
      <w:r>
        <w:rPr>
          <w:rFonts w:ascii="仿宋_GB2312" w:eastAsia="仿宋_GB2312"/>
          <w:color w:val="000000"/>
          <w:sz w:val="32"/>
          <w:szCs w:val="32"/>
        </w:rPr>
        <w:t>20</w:t>
      </w:r>
      <w:r>
        <w:rPr>
          <w:rFonts w:hint="eastAsia" w:ascii="仿宋_GB2312" w:eastAsia="仿宋_GB2312"/>
          <w:color w:val="000000"/>
          <w:sz w:val="32"/>
          <w:szCs w:val="32"/>
        </w:rPr>
        <w:t>20年，政府采购支出总额3044.04万元，其中：政府采购货物支出</w:t>
      </w:r>
      <w:r>
        <w:rPr>
          <w:rFonts w:ascii="仿宋_GB2312" w:eastAsia="仿宋_GB2312"/>
          <w:color w:val="000000"/>
          <w:sz w:val="32"/>
          <w:szCs w:val="32"/>
        </w:rPr>
        <w:t>1,200.07</w:t>
      </w:r>
      <w:r>
        <w:rPr>
          <w:rFonts w:hint="eastAsia" w:ascii="仿宋_GB2312" w:eastAsia="仿宋_GB2312"/>
          <w:color w:val="000000"/>
          <w:sz w:val="32"/>
          <w:szCs w:val="32"/>
        </w:rPr>
        <w:t>万元、 政府采购工程支出</w:t>
      </w:r>
      <w:r>
        <w:rPr>
          <w:rFonts w:ascii="仿宋_GB2312" w:eastAsia="仿宋_GB2312"/>
          <w:color w:val="000000"/>
          <w:sz w:val="32"/>
          <w:szCs w:val="32"/>
        </w:rPr>
        <w:t>1,843.97</w:t>
      </w:r>
      <w:r>
        <w:rPr>
          <w:rFonts w:hint="eastAsia" w:ascii="仿宋_GB2312" w:eastAsia="仿宋_GB2312"/>
          <w:color w:val="000000"/>
          <w:sz w:val="32"/>
          <w:szCs w:val="32"/>
        </w:rPr>
        <w:t>万元，政府采购服务支出0万元。</w:t>
      </w:r>
      <w:r>
        <w:rPr>
          <w:rFonts w:hint="eastAsia" w:ascii="仿宋_GB2312" w:eastAsia="仿宋_GB2312"/>
          <w:sz w:val="32"/>
          <w:szCs w:val="32"/>
        </w:rPr>
        <w:t>主要用于办公设备购置、口岸物流办可研报告编制服务费。</w:t>
      </w:r>
    </w:p>
    <w:p>
      <w:pPr>
        <w:autoSpaceDE w:val="0"/>
        <w:autoSpaceDN w:val="0"/>
        <w:adjustRightInd w:val="0"/>
        <w:spacing w:line="600" w:lineRule="exact"/>
        <w:ind w:firstLine="643" w:firstLineChars="200"/>
        <w:jc w:val="left"/>
        <w:outlineLvl w:val="2"/>
        <w:rPr>
          <w:rFonts w:ascii="仿宋" w:eastAsia="仿宋"/>
          <w:b/>
          <w:color w:val="000000"/>
          <w:sz w:val="32"/>
          <w:szCs w:val="32"/>
        </w:rPr>
      </w:pPr>
      <w:bookmarkStart w:id="54" w:name="_Toc15377224"/>
      <w:r>
        <w:rPr>
          <w:rFonts w:hint="eastAsia" w:ascii="仿宋" w:eastAsia="仿宋"/>
          <w:b/>
          <w:color w:val="000000"/>
          <w:sz w:val="32"/>
          <w:szCs w:val="32"/>
        </w:rPr>
        <w:t>（三）国有资产占有使用情况</w:t>
      </w:r>
      <w:bookmarkEnd w:id="54"/>
    </w:p>
    <w:p>
      <w:pPr>
        <w:widowControl/>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w:t>
      </w:r>
      <w:r>
        <w:rPr>
          <w:rFonts w:hint="eastAsia" w:ascii="仿宋_GB2312" w:eastAsia="仿宋_GB2312"/>
          <w:color w:val="000000"/>
          <w:sz w:val="32"/>
          <w:szCs w:val="32"/>
        </w:rPr>
        <w:t>20年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日，共有车辆2辆，为日常工作及应急保障用车。</w:t>
      </w:r>
    </w:p>
    <w:p>
      <w:pPr>
        <w:widowControl/>
        <w:ind w:firstLine="640" w:firstLineChars="200"/>
        <w:jc w:val="left"/>
        <w:rPr>
          <w:rFonts w:ascii="仿宋_GB2312" w:eastAsia="仿宋_GB2312"/>
          <w:color w:val="000000"/>
          <w:sz w:val="32"/>
          <w:szCs w:val="32"/>
        </w:rPr>
      </w:pPr>
    </w:p>
    <w:p>
      <w:pPr>
        <w:widowControl/>
        <w:ind w:firstLine="640" w:firstLineChars="200"/>
        <w:jc w:val="left"/>
        <w:rPr>
          <w:rFonts w:ascii="仿宋_GB2312" w:eastAsia="仿宋_GB2312"/>
          <w:color w:val="000000"/>
          <w:sz w:val="32"/>
          <w:szCs w:val="32"/>
        </w:rPr>
      </w:pPr>
    </w:p>
    <w:p>
      <w:pPr>
        <w:widowControl/>
        <w:ind w:firstLine="640" w:firstLineChars="200"/>
        <w:jc w:val="left"/>
        <w:rPr>
          <w:rFonts w:ascii="仿宋_GB2312" w:eastAsia="仿宋_GB2312"/>
          <w:color w:val="000000"/>
          <w:sz w:val="32"/>
          <w:szCs w:val="32"/>
        </w:rPr>
      </w:pPr>
    </w:p>
    <w:p>
      <w:pPr>
        <w:numPr>
          <w:ilvl w:val="0"/>
          <w:numId w:val="7"/>
        </w:numPr>
        <w:spacing w:line="600" w:lineRule="exact"/>
        <w:ind w:firstLine="663" w:firstLineChars="150"/>
        <w:jc w:val="center"/>
        <w:outlineLvl w:val="0"/>
        <w:rPr>
          <w:rStyle w:val="16"/>
          <w:rFonts w:ascii="黑体" w:eastAsia="黑体"/>
          <w:b w:val="0"/>
        </w:rPr>
      </w:pPr>
      <w:bookmarkStart w:id="55" w:name="_Toc15377225"/>
      <w:bookmarkStart w:id="56" w:name="_Toc15396613"/>
      <w:r>
        <w:rPr>
          <w:rFonts w:hint="eastAsia" w:ascii="黑体" w:eastAsia="黑体"/>
          <w:b/>
          <w:color w:val="000000"/>
          <w:sz w:val="44"/>
          <w:szCs w:val="44"/>
        </w:rPr>
        <w:t>名</w:t>
      </w:r>
      <w:r>
        <w:rPr>
          <w:rStyle w:val="16"/>
          <w:rFonts w:hint="eastAsia" w:ascii="黑体" w:eastAsia="黑体"/>
          <w:b w:val="0"/>
        </w:rPr>
        <w:t>词解释</w:t>
      </w:r>
      <w:bookmarkEnd w:id="55"/>
      <w:bookmarkEnd w:id="56"/>
    </w:p>
    <w:p>
      <w:pPr>
        <w:pStyle w:val="21"/>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其他收入：指单位取得的除上述收入以外的各项收入。主要是银行存款利息和伙食团缴费等。</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 xml:space="preserve">5. </w:t>
      </w:r>
      <w:r>
        <w:rPr>
          <w:rFonts w:hint="eastAsia" w:ascii="仿宋_GB2312" w:eastAsia="仿宋_GB2312"/>
          <w:sz w:val="32"/>
          <w:szCs w:val="32"/>
        </w:rPr>
        <w:t>年初结转和结余：指以前年度尚未完成、结转到本年按有关规定继续使用的资金。</w:t>
      </w:r>
    </w:p>
    <w:p>
      <w:pPr>
        <w:pStyle w:val="21"/>
        <w:spacing w:line="560" w:lineRule="exact"/>
        <w:ind w:firstLine="640" w:firstLineChars="200"/>
        <w:rPr>
          <w:rFonts w:ascii="仿宋_GB2312" w:eastAsia="仿宋_GB2312"/>
          <w:sz w:val="32"/>
          <w:szCs w:val="32"/>
        </w:rPr>
      </w:pPr>
      <w:r>
        <w:rPr>
          <w:rFonts w:hint="eastAsia" w:ascii="仿宋_GB2312" w:eastAsia="仿宋_GB2312"/>
          <w:sz w:val="32"/>
          <w:szCs w:val="32"/>
        </w:rPr>
        <w:t>6</w:t>
      </w:r>
      <w:r>
        <w:rPr>
          <w:rFonts w:ascii="仿宋_GB2312" w:eastAsia="仿宋_GB2312"/>
          <w:sz w:val="32"/>
          <w:szCs w:val="32"/>
        </w:rPr>
        <w:t>.</w:t>
      </w:r>
      <w:r>
        <w:rPr>
          <w:rFonts w:hint="eastAsia" w:ascii="仿宋_GB2312" w:eastAsia="仿宋_GB2312"/>
          <w:sz w:val="32"/>
          <w:szCs w:val="32"/>
        </w:rPr>
        <w:t>结余分配：指事业单位按照事业单位会计制度的规定从非财政补助结余中分配的事业基金和职工福利基金等。</w:t>
      </w:r>
    </w:p>
    <w:p>
      <w:pPr>
        <w:pStyle w:val="21"/>
        <w:spacing w:line="560" w:lineRule="exact"/>
        <w:ind w:firstLine="640" w:firstLineChars="200"/>
        <w:rPr>
          <w:rFonts w:ascii="仿宋_GB2312" w:eastAsia="仿宋_GB2312"/>
          <w:sz w:val="32"/>
          <w:szCs w:val="32"/>
        </w:rPr>
      </w:pPr>
      <w:r>
        <w:rPr>
          <w:rFonts w:hint="eastAsia" w:ascii="仿宋_GB2312" w:eastAsia="仿宋_GB2312"/>
          <w:sz w:val="32"/>
          <w:szCs w:val="32"/>
        </w:rPr>
        <w:t>7、年末结转和结余：指单位按有关规定结转到下年或以后年度继续使用的资金。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8</w:t>
      </w:r>
      <w:r>
        <w:rPr>
          <w:rFonts w:ascii="仿宋_GB2312" w:eastAsia="仿宋_GB2312"/>
          <w:color w:val="000000"/>
          <w:sz w:val="32"/>
          <w:szCs w:val="32"/>
        </w:rPr>
        <w:t>.</w:t>
      </w:r>
      <w:r>
        <w:rPr>
          <w:rFonts w:hint="eastAsia" w:ascii="仿宋_GB2312" w:eastAsia="仿宋_GB2312" w:cs="仿宋"/>
          <w:color w:val="000000"/>
          <w:kern w:val="0"/>
          <w:sz w:val="32"/>
          <w:szCs w:val="32"/>
        </w:rPr>
        <w:t>一般公共服务（类）政府办公厅（室）及相关机构事务（款）行政运行（项）：指行政单位的基本支出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9</w:t>
      </w:r>
      <w:r>
        <w:rPr>
          <w:rFonts w:ascii="仿宋_GB2312" w:eastAsia="仿宋_GB2312"/>
          <w:color w:val="000000"/>
          <w:sz w:val="32"/>
          <w:szCs w:val="32"/>
        </w:rPr>
        <w:t>.</w:t>
      </w:r>
      <w:r>
        <w:rPr>
          <w:rFonts w:hint="eastAsia" w:ascii="仿宋_GB2312" w:eastAsia="仿宋_GB2312" w:cs="仿宋"/>
          <w:color w:val="000000"/>
          <w:kern w:val="0"/>
          <w:sz w:val="32"/>
          <w:szCs w:val="32"/>
        </w:rPr>
        <w:t>一般公共服务（类）政府办公厅（室）及相关机构事务（款）一般行政管理事务（项）：</w:t>
      </w:r>
      <w:r>
        <w:rPr>
          <w:rFonts w:hint="eastAsia" w:ascii="仿宋_GB2312" w:eastAsia="仿宋_GB2312"/>
          <w:color w:val="000000"/>
          <w:sz w:val="32"/>
          <w:szCs w:val="32"/>
        </w:rPr>
        <w:t>指反映行政单位未单独设置顶级科目的其他项目支出。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s="仿宋"/>
          <w:color w:val="000000"/>
          <w:kern w:val="0"/>
          <w:sz w:val="32"/>
          <w:szCs w:val="32"/>
        </w:rPr>
        <w:t>教育（类）其他教育支出（款）其他教育支出（项）：</w:t>
      </w:r>
      <w:r>
        <w:rPr>
          <w:rFonts w:hint="eastAsia" w:ascii="仿宋_GB2312" w:eastAsia="仿宋_GB2312"/>
          <w:color w:val="000000"/>
          <w:sz w:val="32"/>
          <w:szCs w:val="32"/>
        </w:rPr>
        <w:t>除</w:t>
      </w:r>
      <w:r>
        <w:rPr>
          <w:rFonts w:hint="eastAsia" w:ascii="仿宋_GB2312" w:eastAsia="仿宋_GB2312"/>
          <w:color w:val="000000"/>
          <w:sz w:val="32"/>
          <w:szCs w:val="32"/>
          <w:lang w:eastAsia="zh-CN"/>
        </w:rPr>
        <w:t>上述</w:t>
      </w:r>
      <w:bookmarkStart w:id="74" w:name="_GoBack"/>
      <w:bookmarkEnd w:id="74"/>
      <w:r>
        <w:rPr>
          <w:rFonts w:hint="eastAsia" w:ascii="仿宋_GB2312" w:eastAsia="仿宋_GB2312"/>
          <w:color w:val="000000"/>
          <w:sz w:val="32"/>
          <w:szCs w:val="32"/>
        </w:rPr>
        <w:t>项目以外用于教育管理事务方面的支出。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s="仿宋"/>
          <w:color w:val="000000"/>
          <w:kern w:val="0"/>
          <w:sz w:val="32"/>
          <w:szCs w:val="32"/>
        </w:rPr>
        <w:t>社会保障和就业（类）行政事业单位离退休（款）机关事业单位基本养老保险缴费支出（项）：</w:t>
      </w:r>
      <w:r>
        <w:rPr>
          <w:rFonts w:hint="eastAsia" w:ascii="仿宋_GB2312" w:eastAsia="仿宋_GB2312"/>
          <w:color w:val="000000"/>
          <w:sz w:val="32"/>
          <w:szCs w:val="32"/>
        </w:rPr>
        <w:t>指单位为职工缴纳的基本养老保险费。</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s="仿宋"/>
          <w:color w:val="000000"/>
          <w:kern w:val="0"/>
          <w:sz w:val="32"/>
          <w:szCs w:val="32"/>
        </w:rPr>
        <w:t>社会保障和就业（类）行政事业单位离退休（款）机关事业单位基本职业年金缴费支出（项）：</w:t>
      </w:r>
      <w:r>
        <w:rPr>
          <w:rFonts w:hint="eastAsia" w:ascii="仿宋_GB2312" w:eastAsia="仿宋_GB2312"/>
          <w:color w:val="000000"/>
          <w:sz w:val="32"/>
          <w:szCs w:val="32"/>
        </w:rPr>
        <w:t>指单位为职工实际缴纳的职业年金。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13</w:t>
      </w:r>
      <w:r>
        <w:rPr>
          <w:rFonts w:ascii="仿宋_GB2312" w:eastAsia="仿宋_GB2312"/>
          <w:color w:val="000000"/>
          <w:sz w:val="32"/>
          <w:szCs w:val="32"/>
        </w:rPr>
        <w:t>.</w:t>
      </w:r>
      <w:r>
        <w:rPr>
          <w:rFonts w:hint="eastAsia" w:ascii="仿宋_GB2312" w:eastAsia="仿宋_GB2312"/>
          <w:color w:val="000000"/>
          <w:sz w:val="32"/>
          <w:szCs w:val="32"/>
        </w:rPr>
        <w:t>医疗卫生与计划生育（类）行政事业单位医疗（款）行政单位医疗（项）：指反映职工缴纳的基本医疗保险费。</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14</w:t>
      </w:r>
      <w:r>
        <w:rPr>
          <w:rFonts w:ascii="仿宋_GB2312" w:eastAsia="仿宋_GB2312"/>
          <w:color w:val="000000"/>
          <w:sz w:val="32"/>
          <w:szCs w:val="32"/>
        </w:rPr>
        <w:t>.</w:t>
      </w:r>
      <w:r>
        <w:rPr>
          <w:rFonts w:hint="eastAsia" w:ascii="仿宋_GB2312" w:eastAsia="仿宋_GB2312"/>
          <w:color w:val="000000"/>
          <w:sz w:val="32"/>
          <w:szCs w:val="32"/>
        </w:rPr>
        <w:t>医疗卫生与计划生育（类）行政事业单位医疗（款）公务员医疗补助（项）：指按规定可享受公务员医疗补助单位为职工缴纳的公务员医疗补助费。</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15</w:t>
      </w:r>
      <w:r>
        <w:rPr>
          <w:rFonts w:ascii="仿宋_GB2312" w:eastAsia="仿宋_GB2312"/>
          <w:color w:val="000000"/>
          <w:sz w:val="32"/>
          <w:szCs w:val="32"/>
        </w:rPr>
        <w:t>.</w:t>
      </w:r>
      <w:r>
        <w:rPr>
          <w:rFonts w:hint="eastAsia" w:ascii="仿宋_GB2312" w:eastAsia="仿宋_GB2312"/>
          <w:color w:val="000000"/>
          <w:sz w:val="32"/>
          <w:szCs w:val="32"/>
        </w:rPr>
        <w:t>住房保障（类）住房改革支出（款）住房公积金（项）：指单位按规定为职工缴纳的住房公积金。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16</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17</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p>
    <w:p>
      <w:pPr>
        <w:pStyle w:val="21"/>
        <w:spacing w:line="560" w:lineRule="exact"/>
        <w:ind w:firstLine="640" w:firstLineChars="200"/>
        <w:rPr>
          <w:rFonts w:ascii="仿宋_GB2312" w:eastAsia="仿宋_GB2312"/>
          <w:sz w:val="32"/>
          <w:szCs w:val="32"/>
        </w:rPr>
      </w:pPr>
      <w:r>
        <w:rPr>
          <w:rFonts w:hint="eastAsia" w:ascii="仿宋_GB2312" w:eastAsia="仿宋_GB2312"/>
          <w:sz w:val="32"/>
          <w:szCs w:val="32"/>
        </w:rPr>
        <w:t>18</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1"/>
        <w:spacing w:line="560" w:lineRule="exact"/>
        <w:ind w:firstLine="640" w:firstLineChars="200"/>
        <w:rPr>
          <w:rFonts w:ascii="仿宋_GB2312" w:eastAsia="仿宋_GB2312"/>
          <w:sz w:val="32"/>
          <w:szCs w:val="32"/>
        </w:rPr>
      </w:pPr>
      <w:r>
        <w:rPr>
          <w:rFonts w:hint="eastAsia" w:ascii="仿宋_GB2312" w:eastAsia="仿宋_GB2312"/>
          <w:sz w:val="32"/>
          <w:szCs w:val="32"/>
        </w:rPr>
        <w:t>19</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21"/>
        <w:spacing w:line="560" w:lineRule="exact"/>
        <w:ind w:firstLine="640" w:firstLineChars="200"/>
        <w:rPr>
          <w:rFonts w:ascii="仿宋_GB2312" w:eastAsia="仿宋_GB2312"/>
          <w:sz w:val="32"/>
          <w:szCs w:val="32"/>
        </w:rPr>
      </w:pPr>
    </w:p>
    <w:p>
      <w:pPr>
        <w:pStyle w:val="3"/>
        <w:rPr>
          <w:rStyle w:val="16"/>
          <w:rFonts w:ascii="仿宋" w:eastAsia="仿宋"/>
          <w:b w:val="0"/>
          <w:bCs w:val="0"/>
          <w:sz w:val="32"/>
          <w:szCs w:val="32"/>
        </w:rPr>
      </w:pPr>
      <w:bookmarkStart w:id="57" w:name="_Toc15396615"/>
      <w:bookmarkStart w:id="58" w:name="_Toc15396614"/>
      <w:bookmarkStart w:id="59" w:name="_Toc15377226"/>
      <w:r>
        <w:rPr>
          <w:rStyle w:val="16"/>
          <w:rFonts w:hint="eastAsia" w:ascii="仿宋" w:eastAsia="仿宋"/>
          <w:b w:val="0"/>
          <w:bCs w:val="0"/>
          <w:sz w:val="32"/>
          <w:szCs w:val="32"/>
        </w:rPr>
        <w:t>附件1</w:t>
      </w:r>
      <w:bookmarkEnd w:id="57"/>
    </w:p>
    <w:p>
      <w:pPr>
        <w:numPr>
          <w:ilvl w:val="0"/>
          <w:numId w:val="7"/>
        </w:numPr>
        <w:spacing w:line="600" w:lineRule="exact"/>
        <w:ind w:firstLine="660" w:firstLineChars="150"/>
        <w:jc w:val="center"/>
        <w:outlineLvl w:val="0"/>
        <w:rPr>
          <w:rStyle w:val="16"/>
          <w:rFonts w:ascii="黑体" w:eastAsia="黑体"/>
          <w:b w:val="0"/>
        </w:rPr>
      </w:pPr>
      <w:r>
        <w:rPr>
          <w:rStyle w:val="16"/>
          <w:rFonts w:hint="eastAsia" w:ascii="黑体" w:eastAsia="黑体"/>
          <w:b w:val="0"/>
        </w:rPr>
        <w:t>附件</w:t>
      </w:r>
      <w:bookmarkEnd w:id="58"/>
    </w:p>
    <w:p>
      <w:pPr>
        <w:outlineLvl w:val="0"/>
        <w:rPr>
          <w:rStyle w:val="16"/>
          <w:rFonts w:ascii="黑体" w:eastAsia="黑体"/>
          <w:b w:val="0"/>
        </w:rPr>
      </w:pPr>
    </w:p>
    <w:bookmarkEnd w:id="59"/>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金川县教育局</w:t>
      </w: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2020年部门整体支出绩效评价报告</w:t>
      </w:r>
    </w:p>
    <w:p>
      <w:pPr>
        <w:ind w:firstLine="640" w:firstLineChars="200"/>
        <w:rPr>
          <w:rFonts w:ascii="仿宋_GB2312" w:eastAsia="仿宋_GB2312"/>
          <w:sz w:val="32"/>
          <w:szCs w:val="32"/>
        </w:rPr>
      </w:pPr>
    </w:p>
    <w:p>
      <w:pPr>
        <w:widowControl/>
        <w:snapToGrid w:val="0"/>
        <w:spacing w:line="480" w:lineRule="exact"/>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一、部门（单位）概况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（一）机构组成。</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教育局机关属独立设置的1个行政单位，属一级预算单位，有独立设置的28所中小学校，属财政全额拨款二级预算事业单位。</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（二）机构职能。</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金川县教育局是在县委、县政府领导下贯彻党的教育方针，为全县中小学搞好经费保障。指导学校教育教学工作，学校布局调整和教育长远规划。组织实施学校校舍建设和教学仪器设备购置。中小学经费的分配和监督管理。</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（三）人员概况。</w:t>
      </w:r>
    </w:p>
    <w:p>
      <w:pPr>
        <w:widowControl/>
        <w:snapToGrid w:val="0"/>
        <w:spacing w:line="480" w:lineRule="exact"/>
        <w:ind w:firstLine="720"/>
        <w:jc w:val="left"/>
        <w:rPr>
          <w:rFonts w:ascii="仿宋_GB2312" w:hAnsi="仿宋_GB2312" w:cs="宋体"/>
          <w:color w:val="000000"/>
          <w:kern w:val="0"/>
          <w:lang w:val="zh-CN"/>
        </w:rPr>
      </w:pPr>
      <w:r>
        <w:rPr>
          <w:rFonts w:hint="eastAsia" w:ascii="仿宋_GB2312" w:eastAsia="仿宋_GB2312" w:cs="仿宋"/>
          <w:color w:val="000000"/>
          <w:kern w:val="0"/>
          <w:sz w:val="32"/>
          <w:szCs w:val="32"/>
          <w:lang w:val="zh-CN"/>
        </w:rPr>
        <w:t>2020年编制10</w:t>
      </w:r>
      <w:r>
        <w:rPr>
          <w:rFonts w:hint="eastAsia" w:ascii="仿宋_GB2312" w:eastAsia="仿宋_GB2312" w:cs="仿宋"/>
          <w:color w:val="000000"/>
          <w:kern w:val="0"/>
          <w:sz w:val="32"/>
          <w:szCs w:val="32"/>
        </w:rPr>
        <w:t>6</w:t>
      </w:r>
      <w:r>
        <w:rPr>
          <w:rFonts w:hint="eastAsia" w:ascii="仿宋_GB2312" w:eastAsia="仿宋_GB2312" w:cs="仿宋"/>
          <w:color w:val="000000"/>
          <w:kern w:val="0"/>
          <w:sz w:val="32"/>
          <w:szCs w:val="32"/>
          <w:lang w:val="zh-CN"/>
        </w:rPr>
        <w:t>5人，行政编制10人，事业编制10</w:t>
      </w:r>
      <w:r>
        <w:rPr>
          <w:rFonts w:hint="eastAsia" w:ascii="仿宋_GB2312" w:eastAsia="仿宋_GB2312" w:cs="仿宋"/>
          <w:color w:val="000000"/>
          <w:kern w:val="0"/>
          <w:sz w:val="32"/>
          <w:szCs w:val="32"/>
        </w:rPr>
        <w:t>5</w:t>
      </w:r>
      <w:r>
        <w:rPr>
          <w:rFonts w:hint="eastAsia" w:ascii="仿宋_GB2312" w:eastAsia="仿宋_GB2312" w:cs="仿宋"/>
          <w:color w:val="000000"/>
          <w:kern w:val="0"/>
          <w:sz w:val="32"/>
          <w:szCs w:val="32"/>
          <w:lang w:val="zh-CN"/>
        </w:rPr>
        <w:t>5人。2020年在岗在职10</w:t>
      </w:r>
      <w:r>
        <w:rPr>
          <w:rFonts w:hint="eastAsia" w:ascii="仿宋_GB2312" w:eastAsia="仿宋_GB2312" w:cs="仿宋"/>
          <w:color w:val="000000"/>
          <w:kern w:val="0"/>
          <w:sz w:val="32"/>
          <w:szCs w:val="32"/>
        </w:rPr>
        <w:t>6</w:t>
      </w:r>
      <w:r>
        <w:rPr>
          <w:rFonts w:hint="eastAsia" w:ascii="仿宋_GB2312" w:eastAsia="仿宋_GB2312" w:cs="仿宋"/>
          <w:color w:val="000000"/>
          <w:kern w:val="0"/>
          <w:sz w:val="32"/>
          <w:szCs w:val="32"/>
          <w:lang w:val="zh-CN"/>
        </w:rPr>
        <w:t>5人。</w:t>
      </w:r>
    </w:p>
    <w:p>
      <w:pPr>
        <w:widowControl/>
        <w:snapToGrid w:val="0"/>
        <w:spacing w:line="480" w:lineRule="exact"/>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二、部门财政资金收支情况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（一）部门财政资金收入情况。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20</w:t>
      </w:r>
      <w:r>
        <w:rPr>
          <w:rFonts w:hint="eastAsia" w:ascii="仿宋_GB2312" w:eastAsia="仿宋_GB2312" w:cs="仿宋"/>
          <w:color w:val="000000"/>
          <w:kern w:val="0"/>
          <w:sz w:val="32"/>
          <w:szCs w:val="32"/>
        </w:rPr>
        <w:t>20</w:t>
      </w:r>
      <w:r>
        <w:rPr>
          <w:rFonts w:hint="eastAsia" w:ascii="仿宋_GB2312" w:eastAsia="仿宋_GB2312" w:cs="仿宋"/>
          <w:color w:val="000000"/>
          <w:kern w:val="0"/>
          <w:sz w:val="32"/>
          <w:szCs w:val="32"/>
          <w:lang w:val="zh-CN"/>
        </w:rPr>
        <w:t>年收入273,841,938.56元。</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（二）部门财政资金支出情况。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20</w:t>
      </w:r>
      <w:r>
        <w:rPr>
          <w:rFonts w:hint="eastAsia" w:ascii="仿宋_GB2312" w:eastAsia="仿宋_GB2312" w:cs="仿宋"/>
          <w:color w:val="000000"/>
          <w:kern w:val="0"/>
          <w:sz w:val="32"/>
          <w:szCs w:val="32"/>
        </w:rPr>
        <w:t>20</w:t>
      </w:r>
      <w:r>
        <w:rPr>
          <w:rFonts w:hint="eastAsia" w:ascii="仿宋_GB2312" w:eastAsia="仿宋_GB2312" w:cs="仿宋"/>
          <w:color w:val="000000"/>
          <w:kern w:val="0"/>
          <w:sz w:val="32"/>
          <w:szCs w:val="32"/>
          <w:lang w:val="zh-CN"/>
        </w:rPr>
        <w:t>年支出</w:t>
      </w:r>
      <w:r>
        <w:rPr>
          <w:rFonts w:hint="eastAsia" w:ascii="仿宋_GB2312" w:eastAsia="仿宋_GB2312" w:cs="仿宋"/>
          <w:color w:val="000000"/>
          <w:kern w:val="0"/>
          <w:sz w:val="32"/>
          <w:szCs w:val="32"/>
        </w:rPr>
        <w:t>259,328,998.20</w:t>
      </w:r>
      <w:r>
        <w:rPr>
          <w:rFonts w:hint="eastAsia" w:ascii="仿宋_GB2312" w:eastAsia="仿宋_GB2312" w:cs="仿宋"/>
          <w:color w:val="000000"/>
          <w:kern w:val="0"/>
          <w:sz w:val="32"/>
          <w:szCs w:val="32"/>
          <w:lang w:val="zh-CN"/>
        </w:rPr>
        <w:t>元，其中：工资福利支出177,082,260.52元，商品与服务支出21,491,947.41元，对个人和家庭的补助支出38,971,252.14元，其他资本性支出21,783,538.13元。</w:t>
      </w:r>
    </w:p>
    <w:p>
      <w:pPr>
        <w:widowControl/>
        <w:snapToGrid w:val="0"/>
        <w:spacing w:line="480" w:lineRule="exact"/>
        <w:ind w:firstLine="640" w:firstLineChars="20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（三）结余分配</w:t>
      </w:r>
      <w:r>
        <w:rPr>
          <w:rFonts w:hint="eastAsia" w:ascii="仿宋_GB2312" w:eastAsia="仿宋_GB2312" w:cs="仿宋"/>
          <w:color w:val="000000"/>
          <w:kern w:val="0"/>
          <w:sz w:val="32"/>
          <w:szCs w:val="32"/>
        </w:rPr>
        <w:t>14,512,940.36元。</w:t>
      </w:r>
    </w:p>
    <w:p>
      <w:pPr>
        <w:widowControl/>
        <w:snapToGrid w:val="0"/>
        <w:spacing w:line="480" w:lineRule="exact"/>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三、部门财政支出管理情况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（一）预算编制情况。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预算编制一是人员经费，根据教育系统实有人数进行预算编制。二是公用经费，根据在职教职工人数进行预算编制。</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三是县级配套资金，根据各级文件需要纳入年初预算的经费按文件规定进行预算编制。并对纳入年初预算的经费进行了目标绩效填报。</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（二）执行管理情况。</w:t>
      </w:r>
      <w:r>
        <w:rPr>
          <w:rFonts w:hint="eastAsia" w:ascii="仿宋_GB2312" w:eastAsia="仿宋_GB2312" w:cs="仿宋"/>
          <w:color w:val="000000"/>
          <w:kern w:val="0"/>
          <w:sz w:val="32"/>
          <w:szCs w:val="32"/>
          <w:lang w:val="zh-CN"/>
        </w:rPr>
        <w:tab/>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州级财力专项预算分配当年完成、中央专款分配合规率100%、部门预算执行进度按期完成当年年初预算任务、中期对预算执行情况进行了评估、节能降耗积极推行无纸化办公、开展校内垃圾分类、节约用水、用电等。“三公”经费严格按照年初预算执行，未出现超预算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（三）综合管理情况。</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没有新增政府性债务，现我单位无政府性债务、严格按照政府采购目录实施采购计划、和流程，对各中小学校和机关资产进行了清理和入账，建立了内控制度管理，建立收支管理制度、会计档案管理制度、资产管理制度、合同管理制度、决策管理制度及相关制度流程，并实现了资产月报管理、对教育扶贫资金享受对象进行了公示、第三方审计公示对我单位扶贫、基建、设备采购等资金进行了绩效考评。</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（四）整体绩效。</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1、齐心合力,努力做好教书育人方面的工作；</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2、竭尽全力, 认真做学校和学生工作；</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3、凝心聚力，用科学发展观统领教育各项工作；</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4、群策群力,有效地促进教育事业健康发展。</w:t>
      </w:r>
    </w:p>
    <w:p>
      <w:pPr>
        <w:widowControl/>
        <w:snapToGrid w:val="0"/>
        <w:spacing w:line="480" w:lineRule="exact"/>
        <w:ind w:firstLine="640" w:firstLineChars="20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5、严格审批报账制度和程序，保障资金安全。</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四、评价结论及建议</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（一）评价结论，项目按规操作，符合项目操作规范。</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（二）存在问题，项目进度迟缓，资金支付进度不够。</w:t>
      </w:r>
    </w:p>
    <w:p>
      <w:pPr>
        <w:widowControl/>
        <w:snapToGrid w:val="0"/>
        <w:spacing w:line="480" w:lineRule="exact"/>
        <w:ind w:firstLine="720"/>
        <w:jc w:val="left"/>
        <w:rPr>
          <w:rFonts w:ascii="仿宋_GB2312" w:eastAsia="仿宋_GB2312" w:cs="仿宋"/>
          <w:color w:val="000000"/>
          <w:kern w:val="0"/>
          <w:sz w:val="32"/>
          <w:szCs w:val="32"/>
          <w:lang w:val="zh-CN"/>
        </w:rPr>
      </w:pPr>
      <w:r>
        <w:rPr>
          <w:rFonts w:hint="eastAsia" w:ascii="仿宋_GB2312" w:eastAsia="仿宋_GB2312" w:cs="仿宋"/>
          <w:color w:val="000000"/>
          <w:kern w:val="0"/>
          <w:sz w:val="32"/>
          <w:szCs w:val="32"/>
          <w:lang w:val="zh-CN"/>
        </w:rPr>
        <w:t>（三）改进建议，加快项目施工进度，进一步完善项目资料。</w:t>
      </w:r>
    </w:p>
    <w:p>
      <w:pPr>
        <w:spacing w:line="600" w:lineRule="exact"/>
        <w:outlineLvl w:val="0"/>
        <w:rPr>
          <w:rStyle w:val="16"/>
          <w:rFonts w:ascii="黑体" w:eastAsia="黑体"/>
          <w:b w:val="0"/>
        </w:rPr>
      </w:pPr>
      <w:bookmarkStart w:id="60" w:name="_Toc15396618"/>
      <w:bookmarkStart w:id="61" w:name="_Toc15396619"/>
      <w:r>
        <w:rPr>
          <w:rFonts w:hint="eastAsia" w:ascii="黑体" w:eastAsia="黑体"/>
          <w:color w:val="000000"/>
          <w:sz w:val="44"/>
          <w:szCs w:val="44"/>
        </w:rPr>
        <w:t>第</w:t>
      </w:r>
      <w:r>
        <w:rPr>
          <w:rStyle w:val="16"/>
          <w:rFonts w:hint="eastAsia" w:ascii="黑体" w:eastAsia="黑体"/>
          <w:b w:val="0"/>
        </w:rPr>
        <w:t>五部分 附表</w:t>
      </w:r>
      <w:bookmarkEnd w:id="60"/>
    </w:p>
    <w:p>
      <w:pPr>
        <w:pStyle w:val="3"/>
        <w:rPr>
          <w:rFonts w:ascii="仿宋" w:eastAsia="仿宋"/>
          <w:color w:val="000000"/>
        </w:rPr>
      </w:pPr>
      <w:r>
        <w:rPr>
          <w:rFonts w:hint="eastAsia" w:ascii="仿宋" w:eastAsia="仿宋"/>
          <w:b w:val="0"/>
          <w:color w:val="000000"/>
        </w:rPr>
        <w:t>一、收</w:t>
      </w:r>
      <w:r>
        <w:rPr>
          <w:rStyle w:val="17"/>
          <w:rFonts w:hint="eastAsia" w:ascii="仿宋" w:eastAsia="仿宋"/>
          <w:b w:val="0"/>
          <w:bCs w:val="0"/>
        </w:rPr>
        <w:t>入支出决算总表</w:t>
      </w:r>
      <w:bookmarkEnd w:id="61"/>
    </w:p>
    <w:p>
      <w:pPr>
        <w:pStyle w:val="3"/>
        <w:rPr>
          <w:rFonts w:ascii="仿宋" w:eastAsia="仿宋"/>
          <w:color w:val="000000"/>
        </w:rPr>
      </w:pPr>
      <w:bookmarkStart w:id="62" w:name="_Toc15396620"/>
      <w:r>
        <w:rPr>
          <w:rFonts w:hint="eastAsia" w:ascii="仿宋" w:eastAsia="仿宋"/>
          <w:b w:val="0"/>
          <w:color w:val="000000"/>
        </w:rPr>
        <w:t>二、收</w:t>
      </w:r>
      <w:r>
        <w:rPr>
          <w:rStyle w:val="17"/>
          <w:rFonts w:hint="eastAsia" w:ascii="仿宋" w:eastAsia="仿宋"/>
          <w:b w:val="0"/>
          <w:bCs w:val="0"/>
        </w:rPr>
        <w:t>入总表</w:t>
      </w:r>
      <w:bookmarkEnd w:id="62"/>
    </w:p>
    <w:p>
      <w:pPr>
        <w:pStyle w:val="3"/>
        <w:rPr>
          <w:rFonts w:ascii="仿宋" w:eastAsia="仿宋"/>
          <w:color w:val="000000"/>
        </w:rPr>
      </w:pPr>
      <w:bookmarkStart w:id="63" w:name="_Toc15396621"/>
      <w:r>
        <w:rPr>
          <w:rStyle w:val="17"/>
          <w:rFonts w:hint="eastAsia" w:ascii="仿宋" w:eastAsia="仿宋"/>
          <w:b w:val="0"/>
          <w:bCs w:val="0"/>
        </w:rPr>
        <w:t>三、</w:t>
      </w:r>
      <w:r>
        <w:rPr>
          <w:rFonts w:hint="eastAsia" w:ascii="仿宋" w:eastAsia="仿宋"/>
          <w:b w:val="0"/>
          <w:color w:val="000000"/>
        </w:rPr>
        <w:t>支</w:t>
      </w:r>
      <w:r>
        <w:rPr>
          <w:rStyle w:val="17"/>
          <w:rFonts w:hint="eastAsia" w:ascii="仿宋" w:eastAsia="仿宋"/>
          <w:b w:val="0"/>
          <w:bCs w:val="0"/>
        </w:rPr>
        <w:t>出总表</w:t>
      </w:r>
      <w:bookmarkEnd w:id="63"/>
    </w:p>
    <w:p>
      <w:pPr>
        <w:pStyle w:val="3"/>
        <w:rPr>
          <w:rFonts w:ascii="仿宋" w:eastAsia="仿宋"/>
          <w:b w:val="0"/>
          <w:color w:val="000000"/>
        </w:rPr>
      </w:pPr>
      <w:bookmarkStart w:id="64" w:name="_Toc15396622"/>
      <w:r>
        <w:rPr>
          <w:rStyle w:val="17"/>
          <w:rFonts w:hint="eastAsia" w:ascii="仿宋" w:eastAsia="仿宋"/>
          <w:b w:val="0"/>
          <w:bCs w:val="0"/>
        </w:rPr>
        <w:t>四、</w:t>
      </w:r>
      <w:r>
        <w:rPr>
          <w:rFonts w:hint="eastAsia" w:ascii="仿宋" w:eastAsia="仿宋"/>
          <w:b w:val="0"/>
          <w:color w:val="000000"/>
        </w:rPr>
        <w:t>财</w:t>
      </w:r>
      <w:r>
        <w:rPr>
          <w:rStyle w:val="17"/>
          <w:rFonts w:hint="eastAsia" w:ascii="仿宋" w:eastAsia="仿宋"/>
          <w:b w:val="0"/>
          <w:bCs w:val="0"/>
        </w:rPr>
        <w:t>政拨款收入支出决算总表</w:t>
      </w:r>
      <w:bookmarkEnd w:id="64"/>
    </w:p>
    <w:p>
      <w:pPr>
        <w:pStyle w:val="3"/>
        <w:rPr>
          <w:rFonts w:ascii="仿宋" w:eastAsia="仿宋"/>
          <w:color w:val="000000"/>
        </w:rPr>
      </w:pPr>
      <w:bookmarkStart w:id="65" w:name="_Toc15396623"/>
      <w:r>
        <w:rPr>
          <w:rStyle w:val="17"/>
          <w:rFonts w:hint="eastAsia" w:ascii="仿宋" w:eastAsia="仿宋"/>
          <w:b w:val="0"/>
          <w:bCs w:val="0"/>
        </w:rPr>
        <w:t>五、</w:t>
      </w:r>
      <w:r>
        <w:rPr>
          <w:rFonts w:hint="eastAsia" w:ascii="仿宋" w:eastAsia="仿宋"/>
          <w:b w:val="0"/>
          <w:color w:val="000000"/>
        </w:rPr>
        <w:t>财</w:t>
      </w:r>
      <w:r>
        <w:rPr>
          <w:rStyle w:val="17"/>
          <w:rFonts w:hint="eastAsia" w:ascii="仿宋" w:eastAsia="仿宋"/>
          <w:b w:val="0"/>
          <w:bCs w:val="0"/>
        </w:rPr>
        <w:t>政拨款支出决算明细表（政府经济分类科目）</w:t>
      </w:r>
      <w:bookmarkEnd w:id="65"/>
    </w:p>
    <w:p>
      <w:pPr>
        <w:pStyle w:val="3"/>
        <w:rPr>
          <w:rFonts w:ascii="仿宋" w:eastAsia="仿宋"/>
          <w:color w:val="000000"/>
        </w:rPr>
      </w:pPr>
      <w:bookmarkStart w:id="66" w:name="_Toc15396624"/>
      <w:r>
        <w:rPr>
          <w:rStyle w:val="17"/>
          <w:rFonts w:hint="eastAsia" w:ascii="仿宋" w:eastAsia="仿宋"/>
          <w:b w:val="0"/>
          <w:bCs w:val="0"/>
        </w:rPr>
        <w:t>六、</w:t>
      </w:r>
      <w:r>
        <w:rPr>
          <w:rFonts w:hint="eastAsia" w:ascii="仿宋" w:eastAsia="仿宋"/>
          <w:b w:val="0"/>
          <w:color w:val="000000"/>
        </w:rPr>
        <w:t>一</w:t>
      </w:r>
      <w:r>
        <w:rPr>
          <w:rStyle w:val="17"/>
          <w:rFonts w:hint="eastAsia" w:ascii="仿宋" w:eastAsia="仿宋"/>
          <w:b w:val="0"/>
          <w:bCs w:val="0"/>
        </w:rPr>
        <w:t>般公共预算财政拨款支出决算表</w:t>
      </w:r>
      <w:bookmarkEnd w:id="66"/>
    </w:p>
    <w:p>
      <w:pPr>
        <w:pStyle w:val="3"/>
        <w:rPr>
          <w:rFonts w:ascii="仿宋" w:eastAsia="仿宋"/>
          <w:color w:val="000000"/>
        </w:rPr>
      </w:pPr>
      <w:bookmarkStart w:id="67" w:name="_Toc15396625"/>
      <w:r>
        <w:rPr>
          <w:rStyle w:val="17"/>
          <w:rFonts w:hint="eastAsia" w:ascii="仿宋" w:eastAsia="仿宋"/>
          <w:b w:val="0"/>
          <w:bCs w:val="0"/>
        </w:rPr>
        <w:t>七、</w:t>
      </w:r>
      <w:r>
        <w:rPr>
          <w:rFonts w:hint="eastAsia" w:ascii="仿宋" w:eastAsia="仿宋"/>
          <w:b w:val="0"/>
          <w:color w:val="000000"/>
        </w:rPr>
        <w:t>一</w:t>
      </w:r>
      <w:r>
        <w:rPr>
          <w:rStyle w:val="17"/>
          <w:rFonts w:hint="eastAsia" w:ascii="仿宋" w:eastAsia="仿宋"/>
          <w:b w:val="0"/>
          <w:bCs w:val="0"/>
        </w:rPr>
        <w:t>般公共预算财政拨款支出决算明细表</w:t>
      </w:r>
      <w:bookmarkEnd w:id="67"/>
    </w:p>
    <w:p>
      <w:pPr>
        <w:pStyle w:val="3"/>
        <w:rPr>
          <w:rFonts w:ascii="仿宋" w:eastAsia="仿宋"/>
          <w:color w:val="000000"/>
        </w:rPr>
      </w:pPr>
      <w:bookmarkStart w:id="68" w:name="_Toc15396626"/>
      <w:r>
        <w:rPr>
          <w:rStyle w:val="17"/>
          <w:rFonts w:hint="eastAsia" w:ascii="仿宋" w:eastAsia="仿宋"/>
          <w:b w:val="0"/>
          <w:bCs w:val="0"/>
        </w:rPr>
        <w:t>八、</w:t>
      </w:r>
      <w:r>
        <w:rPr>
          <w:rFonts w:hint="eastAsia" w:ascii="仿宋" w:eastAsia="仿宋"/>
          <w:b w:val="0"/>
          <w:color w:val="000000"/>
        </w:rPr>
        <w:t>一</w:t>
      </w:r>
      <w:r>
        <w:rPr>
          <w:rStyle w:val="17"/>
          <w:rFonts w:hint="eastAsia" w:ascii="仿宋" w:eastAsia="仿宋"/>
          <w:b w:val="0"/>
          <w:bCs w:val="0"/>
        </w:rPr>
        <w:t>般公共预算财政拨款基本支出决算表</w:t>
      </w:r>
      <w:bookmarkEnd w:id="68"/>
    </w:p>
    <w:p>
      <w:pPr>
        <w:pStyle w:val="3"/>
        <w:rPr>
          <w:rFonts w:ascii="仿宋" w:eastAsia="仿宋"/>
          <w:color w:val="000000"/>
        </w:rPr>
      </w:pPr>
      <w:bookmarkStart w:id="69" w:name="_Toc15396627"/>
      <w:r>
        <w:rPr>
          <w:rStyle w:val="17"/>
          <w:rFonts w:hint="eastAsia" w:ascii="仿宋" w:eastAsia="仿宋"/>
          <w:b w:val="0"/>
          <w:bCs w:val="0"/>
        </w:rPr>
        <w:t>九、</w:t>
      </w:r>
      <w:r>
        <w:rPr>
          <w:rFonts w:hint="eastAsia" w:ascii="仿宋" w:eastAsia="仿宋"/>
          <w:b w:val="0"/>
          <w:color w:val="000000"/>
        </w:rPr>
        <w:t>一</w:t>
      </w:r>
      <w:r>
        <w:rPr>
          <w:rStyle w:val="17"/>
          <w:rFonts w:hint="eastAsia" w:ascii="仿宋" w:eastAsia="仿宋"/>
          <w:b w:val="0"/>
          <w:bCs w:val="0"/>
        </w:rPr>
        <w:t>般公共预算财政拨款项目支出决算表</w:t>
      </w:r>
      <w:bookmarkEnd w:id="69"/>
    </w:p>
    <w:p>
      <w:pPr>
        <w:pStyle w:val="3"/>
        <w:rPr>
          <w:rFonts w:ascii="仿宋" w:eastAsia="仿宋"/>
          <w:color w:val="000000"/>
        </w:rPr>
      </w:pPr>
      <w:bookmarkStart w:id="70" w:name="_Toc15396628"/>
      <w:r>
        <w:rPr>
          <w:rStyle w:val="17"/>
          <w:rFonts w:hint="eastAsia" w:ascii="仿宋" w:eastAsia="仿宋"/>
          <w:b w:val="0"/>
          <w:bCs w:val="0"/>
        </w:rPr>
        <w:t>十、</w:t>
      </w:r>
      <w:r>
        <w:rPr>
          <w:rFonts w:hint="eastAsia" w:ascii="仿宋" w:eastAsia="仿宋"/>
          <w:b w:val="0"/>
          <w:color w:val="000000"/>
        </w:rPr>
        <w:t>一</w:t>
      </w:r>
      <w:r>
        <w:rPr>
          <w:rStyle w:val="17"/>
          <w:rFonts w:hint="eastAsia" w:ascii="仿宋" w:eastAsia="仿宋"/>
          <w:b w:val="0"/>
          <w:bCs w:val="0"/>
        </w:rPr>
        <w:t>般公共预算财政拨款“三公”经费支出决算表</w:t>
      </w:r>
      <w:bookmarkEnd w:id="70"/>
    </w:p>
    <w:p>
      <w:pPr>
        <w:pStyle w:val="3"/>
        <w:rPr>
          <w:rFonts w:ascii="仿宋" w:eastAsia="仿宋"/>
          <w:color w:val="000000"/>
        </w:rPr>
      </w:pPr>
      <w:bookmarkStart w:id="71" w:name="_Toc15396629"/>
      <w:r>
        <w:rPr>
          <w:rStyle w:val="17"/>
          <w:rFonts w:hint="eastAsia" w:ascii="仿宋" w:eastAsia="仿宋"/>
          <w:b w:val="0"/>
          <w:bCs w:val="0"/>
        </w:rPr>
        <w:t>十一、</w:t>
      </w:r>
      <w:r>
        <w:rPr>
          <w:rFonts w:hint="eastAsia" w:ascii="仿宋" w:eastAsia="仿宋"/>
          <w:b w:val="0"/>
          <w:color w:val="000000"/>
        </w:rPr>
        <w:t>政</w:t>
      </w:r>
      <w:r>
        <w:rPr>
          <w:rStyle w:val="17"/>
          <w:rFonts w:hint="eastAsia" w:ascii="仿宋" w:eastAsia="仿宋"/>
          <w:b w:val="0"/>
          <w:bCs w:val="0"/>
        </w:rPr>
        <w:t>府性基金预算财政拨款收入支出决算表</w:t>
      </w:r>
      <w:bookmarkEnd w:id="71"/>
    </w:p>
    <w:p>
      <w:pPr>
        <w:pStyle w:val="3"/>
        <w:rPr>
          <w:rFonts w:ascii="仿宋" w:eastAsia="仿宋"/>
          <w:color w:val="000000"/>
        </w:rPr>
      </w:pPr>
      <w:bookmarkStart w:id="72" w:name="_Toc15396630"/>
      <w:r>
        <w:rPr>
          <w:rStyle w:val="17"/>
          <w:rFonts w:hint="eastAsia" w:ascii="仿宋" w:eastAsia="仿宋"/>
          <w:b w:val="0"/>
          <w:bCs w:val="0"/>
        </w:rPr>
        <w:t>十二、</w:t>
      </w:r>
      <w:r>
        <w:rPr>
          <w:rFonts w:hint="eastAsia" w:ascii="仿宋" w:eastAsia="仿宋"/>
          <w:b w:val="0"/>
          <w:color w:val="000000"/>
        </w:rPr>
        <w:t>政</w:t>
      </w:r>
      <w:r>
        <w:rPr>
          <w:rStyle w:val="17"/>
          <w:rFonts w:hint="eastAsia" w:ascii="仿宋" w:eastAsia="仿宋"/>
          <w:b w:val="0"/>
          <w:bCs w:val="0"/>
        </w:rPr>
        <w:t>府性基金预算财政拨款“三公”经费支出决算表</w:t>
      </w:r>
      <w:bookmarkEnd w:id="72"/>
    </w:p>
    <w:p>
      <w:pPr>
        <w:pStyle w:val="3"/>
        <w:rPr>
          <w:rFonts w:ascii="仿宋" w:eastAsia="仿宋"/>
          <w:color w:val="000000"/>
        </w:rPr>
      </w:pPr>
      <w:bookmarkStart w:id="73" w:name="_Toc15396631"/>
      <w:r>
        <w:rPr>
          <w:rStyle w:val="17"/>
          <w:rFonts w:hint="eastAsia" w:ascii="仿宋" w:eastAsia="仿宋"/>
          <w:b w:val="0"/>
          <w:bCs w:val="0"/>
        </w:rPr>
        <w:t>十三、</w:t>
      </w:r>
      <w:r>
        <w:rPr>
          <w:rFonts w:hint="eastAsia" w:ascii="仿宋" w:eastAsia="仿宋"/>
          <w:b w:val="0"/>
          <w:color w:val="000000"/>
        </w:rPr>
        <w:t>国</w:t>
      </w:r>
      <w:r>
        <w:rPr>
          <w:rStyle w:val="17"/>
          <w:rFonts w:hint="eastAsia" w:ascii="仿宋" w:eastAsia="仿宋"/>
          <w:b w:val="0"/>
          <w:bCs w:val="0"/>
        </w:rPr>
        <w:t>有资本经营预算支出决算表</w:t>
      </w:r>
      <w:bookmarkEnd w:id="73"/>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script"/>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4439983"/>
      <w:docPartList>
        <w:docPartGallery w:val="Quick Parts"/>
      </w:docPartList>
    </w:sdtPr>
    <w:sdtContent>
      <w:p>
        <w:pPr>
          <w:pStyle w:val="8"/>
          <w:jc w:val="center"/>
        </w:pPr>
        <w:r>
          <w:fldChar w:fldCharType="begin"/>
        </w:r>
        <w:r>
          <w:instrText xml:space="preserve">PAGE   \* MERGEFORMAT</w:instrText>
        </w:r>
        <w:r>
          <w:fldChar w:fldCharType="separate"/>
        </w:r>
        <w:r>
          <w:rPr>
            <w:lang w:val="zh-CN"/>
          </w:rPr>
          <w:t>25</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pPr>
        <w:tabs>
          <w:tab w:val="left" w:pos="0"/>
        </w:tabs>
        <w:ind w:left="0" w:firstLine="0"/>
      </w:pPr>
      <w:rPr>
        <w:rFonts w:hint="eastAsia"/>
      </w:rPr>
    </w:lvl>
  </w:abstractNum>
  <w:abstractNum w:abstractNumId="1">
    <w:nsid w:val="E2FA047D"/>
    <w:multiLevelType w:val="singleLevel"/>
    <w:tmpl w:val="E2FA047D"/>
    <w:lvl w:ilvl="0" w:tentative="0">
      <w:start w:val="3"/>
      <w:numFmt w:val="chineseCounting"/>
      <w:suff w:val="space"/>
      <w:lvlText w:val="第%1部分"/>
      <w:lvlJc w:val="left"/>
      <w:pPr>
        <w:tabs>
          <w:tab w:val="left" w:pos="0"/>
        </w:tabs>
        <w:ind w:left="0" w:firstLine="0"/>
      </w:pPr>
      <w:rPr>
        <w:rFonts w:hint="eastAsia"/>
      </w:rPr>
    </w:lvl>
  </w:abstractNum>
  <w:abstractNum w:abstractNumId="2">
    <w:nsid w:val="EC0BEF30"/>
    <w:multiLevelType w:val="singleLevel"/>
    <w:tmpl w:val="EC0BEF30"/>
    <w:lvl w:ilvl="0" w:tentative="0">
      <w:start w:val="1"/>
      <w:numFmt w:val="chineseCounting"/>
      <w:suff w:val="nothing"/>
      <w:lvlText w:val="（%1）"/>
      <w:lvlJc w:val="left"/>
      <w:pPr>
        <w:tabs>
          <w:tab w:val="left" w:pos="0"/>
        </w:tabs>
        <w:ind w:left="0" w:firstLine="0"/>
      </w:pPr>
      <w:rPr>
        <w:rFonts w:hint="eastAsia" w:ascii="楷体_GB2312" w:hAnsi="楷体_GB2312" w:eastAsia="楷体_GB2312" w:cs="楷体_GB2312"/>
        <w:b/>
        <w:bCs/>
        <w:sz w:val="32"/>
        <w:szCs w:val="32"/>
      </w:rPr>
    </w:lvl>
  </w:abstractNum>
  <w:abstractNum w:abstractNumId="3">
    <w:nsid w:val="1272550B"/>
    <w:multiLevelType w:val="multilevel"/>
    <w:tmpl w:val="1272550B"/>
    <w:lvl w:ilvl="0" w:tentative="0">
      <w:start w:val="1"/>
      <w:numFmt w:val="japaneseCounting"/>
      <w:lvlText w:val="%1、"/>
      <w:lvlJc w:val="left"/>
      <w:pPr>
        <w:tabs>
          <w:tab w:val="left" w:pos="0"/>
        </w:tabs>
        <w:ind w:left="1360" w:hanging="720"/>
      </w:pPr>
      <w:rPr>
        <w:rFonts w:hint="default"/>
        <w:b w:val="0"/>
      </w:rPr>
    </w:lvl>
    <w:lvl w:ilvl="1" w:tentative="0">
      <w:start w:val="1"/>
      <w:numFmt w:val="lowerLetter"/>
      <w:lvlText w:val="%2)"/>
      <w:lvlJc w:val="left"/>
      <w:pPr>
        <w:tabs>
          <w:tab w:val="left" w:pos="0"/>
        </w:tabs>
        <w:ind w:left="1480" w:hanging="420"/>
      </w:pPr>
    </w:lvl>
    <w:lvl w:ilvl="2" w:tentative="0">
      <w:start w:val="1"/>
      <w:numFmt w:val="lowerRoman"/>
      <w:lvlText w:val="%3."/>
      <w:lvlJc w:val="right"/>
      <w:pPr>
        <w:tabs>
          <w:tab w:val="left" w:pos="0"/>
        </w:tabs>
        <w:ind w:left="1900" w:hanging="420"/>
      </w:pPr>
    </w:lvl>
    <w:lvl w:ilvl="3" w:tentative="0">
      <w:start w:val="1"/>
      <w:numFmt w:val="decimal"/>
      <w:lvlText w:val="%4."/>
      <w:lvlJc w:val="left"/>
      <w:pPr>
        <w:tabs>
          <w:tab w:val="left" w:pos="0"/>
        </w:tabs>
        <w:ind w:left="2320" w:hanging="420"/>
      </w:pPr>
    </w:lvl>
    <w:lvl w:ilvl="4" w:tentative="0">
      <w:start w:val="1"/>
      <w:numFmt w:val="lowerLetter"/>
      <w:lvlText w:val="%5)"/>
      <w:lvlJc w:val="left"/>
      <w:pPr>
        <w:tabs>
          <w:tab w:val="left" w:pos="0"/>
        </w:tabs>
        <w:ind w:left="2740" w:hanging="420"/>
      </w:pPr>
    </w:lvl>
    <w:lvl w:ilvl="5" w:tentative="0">
      <w:start w:val="1"/>
      <w:numFmt w:val="lowerRoman"/>
      <w:lvlText w:val="%6."/>
      <w:lvlJc w:val="right"/>
      <w:pPr>
        <w:tabs>
          <w:tab w:val="left" w:pos="0"/>
        </w:tabs>
        <w:ind w:left="3160" w:hanging="420"/>
      </w:pPr>
    </w:lvl>
    <w:lvl w:ilvl="6" w:tentative="0">
      <w:start w:val="1"/>
      <w:numFmt w:val="decimal"/>
      <w:lvlText w:val="%7."/>
      <w:lvlJc w:val="left"/>
      <w:pPr>
        <w:tabs>
          <w:tab w:val="left" w:pos="0"/>
        </w:tabs>
        <w:ind w:left="3580" w:hanging="420"/>
      </w:pPr>
    </w:lvl>
    <w:lvl w:ilvl="7" w:tentative="0">
      <w:start w:val="1"/>
      <w:numFmt w:val="lowerLetter"/>
      <w:lvlText w:val="%8)"/>
      <w:lvlJc w:val="left"/>
      <w:pPr>
        <w:tabs>
          <w:tab w:val="left" w:pos="0"/>
        </w:tabs>
        <w:ind w:left="4000" w:hanging="420"/>
      </w:pPr>
    </w:lvl>
    <w:lvl w:ilvl="8" w:tentative="0">
      <w:start w:val="1"/>
      <w:numFmt w:val="lowerRoman"/>
      <w:lvlText w:val="%9."/>
      <w:lvlJc w:val="right"/>
      <w:pPr>
        <w:tabs>
          <w:tab w:val="left" w:pos="0"/>
        </w:tabs>
        <w:ind w:left="4420" w:hanging="420"/>
      </w:pPr>
    </w:lvl>
  </w:abstractNum>
  <w:abstractNum w:abstractNumId="4">
    <w:nsid w:val="17F426B7"/>
    <w:multiLevelType w:val="multilevel"/>
    <w:tmpl w:val="17F426B7"/>
    <w:lvl w:ilvl="0" w:tentative="0">
      <w:start w:val="10"/>
      <w:numFmt w:val="japaneseCounting"/>
      <w:lvlText w:val="%1、"/>
      <w:lvlJc w:val="left"/>
      <w:pPr>
        <w:tabs>
          <w:tab w:val="left" w:pos="0"/>
        </w:tabs>
        <w:ind w:left="1429" w:hanging="720"/>
      </w:pPr>
      <w:rPr>
        <w:rFonts w:hint="default"/>
      </w:rPr>
    </w:lvl>
    <w:lvl w:ilvl="1" w:tentative="0">
      <w:start w:val="1"/>
      <w:numFmt w:val="lowerLetter"/>
      <w:lvlText w:val="%2)"/>
      <w:lvlJc w:val="left"/>
      <w:pPr>
        <w:tabs>
          <w:tab w:val="left" w:pos="0"/>
        </w:tabs>
        <w:ind w:left="1549" w:hanging="420"/>
      </w:pPr>
    </w:lvl>
    <w:lvl w:ilvl="2" w:tentative="0">
      <w:start w:val="1"/>
      <w:numFmt w:val="lowerRoman"/>
      <w:lvlText w:val="%3."/>
      <w:lvlJc w:val="right"/>
      <w:pPr>
        <w:tabs>
          <w:tab w:val="left" w:pos="0"/>
        </w:tabs>
        <w:ind w:left="1969" w:hanging="420"/>
      </w:pPr>
    </w:lvl>
    <w:lvl w:ilvl="3" w:tentative="0">
      <w:start w:val="1"/>
      <w:numFmt w:val="decimal"/>
      <w:lvlText w:val="%4."/>
      <w:lvlJc w:val="left"/>
      <w:pPr>
        <w:tabs>
          <w:tab w:val="left" w:pos="0"/>
        </w:tabs>
        <w:ind w:left="2389" w:hanging="420"/>
      </w:pPr>
    </w:lvl>
    <w:lvl w:ilvl="4" w:tentative="0">
      <w:start w:val="1"/>
      <w:numFmt w:val="lowerLetter"/>
      <w:lvlText w:val="%5)"/>
      <w:lvlJc w:val="left"/>
      <w:pPr>
        <w:tabs>
          <w:tab w:val="left" w:pos="0"/>
        </w:tabs>
        <w:ind w:left="2809" w:hanging="420"/>
      </w:pPr>
    </w:lvl>
    <w:lvl w:ilvl="5" w:tentative="0">
      <w:start w:val="1"/>
      <w:numFmt w:val="lowerRoman"/>
      <w:lvlText w:val="%6."/>
      <w:lvlJc w:val="right"/>
      <w:pPr>
        <w:tabs>
          <w:tab w:val="left" w:pos="0"/>
        </w:tabs>
        <w:ind w:left="3229" w:hanging="420"/>
      </w:pPr>
    </w:lvl>
    <w:lvl w:ilvl="6" w:tentative="0">
      <w:start w:val="1"/>
      <w:numFmt w:val="decimal"/>
      <w:lvlText w:val="%7."/>
      <w:lvlJc w:val="left"/>
      <w:pPr>
        <w:tabs>
          <w:tab w:val="left" w:pos="0"/>
        </w:tabs>
        <w:ind w:left="3649" w:hanging="420"/>
      </w:pPr>
    </w:lvl>
    <w:lvl w:ilvl="7" w:tentative="0">
      <w:start w:val="1"/>
      <w:numFmt w:val="lowerLetter"/>
      <w:lvlText w:val="%8)"/>
      <w:lvlJc w:val="left"/>
      <w:pPr>
        <w:tabs>
          <w:tab w:val="left" w:pos="0"/>
        </w:tabs>
        <w:ind w:left="4069" w:hanging="420"/>
      </w:pPr>
    </w:lvl>
    <w:lvl w:ilvl="8" w:tentative="0">
      <w:start w:val="1"/>
      <w:numFmt w:val="lowerRoman"/>
      <w:lvlText w:val="%9."/>
      <w:lvlJc w:val="right"/>
      <w:pPr>
        <w:tabs>
          <w:tab w:val="left" w:pos="0"/>
        </w:tabs>
        <w:ind w:left="4489" w:hanging="420"/>
      </w:pPr>
    </w:lvl>
  </w:abstractNum>
  <w:abstractNum w:abstractNumId="5">
    <w:nsid w:val="386D6DF3"/>
    <w:multiLevelType w:val="singleLevel"/>
    <w:tmpl w:val="386D6DF3"/>
    <w:lvl w:ilvl="0" w:tentative="0">
      <w:start w:val="3"/>
      <w:numFmt w:val="decimal"/>
      <w:lvlText w:val="%1."/>
      <w:lvlJc w:val="left"/>
      <w:pPr>
        <w:tabs>
          <w:tab w:val="left" w:pos="0"/>
        </w:tabs>
        <w:ind w:left="0" w:firstLine="0"/>
      </w:pPr>
    </w:lvl>
  </w:abstractNum>
  <w:abstractNum w:abstractNumId="6">
    <w:nsid w:val="78D72DD4"/>
    <w:multiLevelType w:val="singleLevel"/>
    <w:tmpl w:val="78D72DD4"/>
    <w:lvl w:ilvl="0" w:tentative="0">
      <w:start w:val="3"/>
      <w:numFmt w:val="decimal"/>
      <w:lvlText w:val="%1."/>
      <w:lvlJc w:val="left"/>
      <w:pPr>
        <w:tabs>
          <w:tab w:val="left" w:pos="0"/>
        </w:tabs>
        <w:ind w:left="0" w:firstLine="0"/>
      </w:pPr>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rsids>
    <w:rsidRoot w:val="00555BD5"/>
    <w:rsid w:val="00034A2C"/>
    <w:rsid w:val="00062498"/>
    <w:rsid w:val="00072651"/>
    <w:rsid w:val="001E23D8"/>
    <w:rsid w:val="00223123"/>
    <w:rsid w:val="004F4236"/>
    <w:rsid w:val="00517065"/>
    <w:rsid w:val="00555BD5"/>
    <w:rsid w:val="005E5BDA"/>
    <w:rsid w:val="006B64B1"/>
    <w:rsid w:val="00727D5B"/>
    <w:rsid w:val="0091650F"/>
    <w:rsid w:val="009A1D17"/>
    <w:rsid w:val="009A22B8"/>
    <w:rsid w:val="00BA06BA"/>
    <w:rsid w:val="00C51315"/>
    <w:rsid w:val="00C92362"/>
    <w:rsid w:val="00D2427A"/>
    <w:rsid w:val="00DD53E1"/>
    <w:rsid w:val="00E26C99"/>
    <w:rsid w:val="00E528E2"/>
    <w:rsid w:val="00E91F2C"/>
    <w:rsid w:val="00ED44FD"/>
    <w:rsid w:val="00EF2290"/>
    <w:rsid w:val="00FB07A9"/>
    <w:rsid w:val="00FE4847"/>
    <w:rsid w:val="0AE131C8"/>
    <w:rsid w:val="0C2463B6"/>
    <w:rsid w:val="0E7A657E"/>
    <w:rsid w:val="0E925BDA"/>
    <w:rsid w:val="0F2A4041"/>
    <w:rsid w:val="104C0A9A"/>
    <w:rsid w:val="10F758A4"/>
    <w:rsid w:val="11442754"/>
    <w:rsid w:val="148F607A"/>
    <w:rsid w:val="17604594"/>
    <w:rsid w:val="1856097F"/>
    <w:rsid w:val="1AB12003"/>
    <w:rsid w:val="1AD54066"/>
    <w:rsid w:val="1C763D6F"/>
    <w:rsid w:val="1CE57571"/>
    <w:rsid w:val="1EF36D65"/>
    <w:rsid w:val="221567C2"/>
    <w:rsid w:val="26AC7DDB"/>
    <w:rsid w:val="27870F0A"/>
    <w:rsid w:val="28173CA9"/>
    <w:rsid w:val="2A1A6146"/>
    <w:rsid w:val="2BBB57C3"/>
    <w:rsid w:val="2E4C107A"/>
    <w:rsid w:val="2EC16B24"/>
    <w:rsid w:val="2EEE32CB"/>
    <w:rsid w:val="2EF04167"/>
    <w:rsid w:val="30492DF7"/>
    <w:rsid w:val="30F426E0"/>
    <w:rsid w:val="313D5B0A"/>
    <w:rsid w:val="34B426D5"/>
    <w:rsid w:val="34BA1FC5"/>
    <w:rsid w:val="37104217"/>
    <w:rsid w:val="38471946"/>
    <w:rsid w:val="40DE1AD5"/>
    <w:rsid w:val="41513240"/>
    <w:rsid w:val="424B2B4A"/>
    <w:rsid w:val="45E718A8"/>
    <w:rsid w:val="49A435FF"/>
    <w:rsid w:val="4A8A6A30"/>
    <w:rsid w:val="4BBA3C75"/>
    <w:rsid w:val="4C994DD2"/>
    <w:rsid w:val="4CEF5C7B"/>
    <w:rsid w:val="4DEA4C0E"/>
    <w:rsid w:val="4F9D1775"/>
    <w:rsid w:val="50C96568"/>
    <w:rsid w:val="53D626DC"/>
    <w:rsid w:val="54FB198E"/>
    <w:rsid w:val="58C70A9B"/>
    <w:rsid w:val="59116727"/>
    <w:rsid w:val="59CA3C07"/>
    <w:rsid w:val="5D1B5B19"/>
    <w:rsid w:val="5DB40777"/>
    <w:rsid w:val="621C7335"/>
    <w:rsid w:val="691A4818"/>
    <w:rsid w:val="6B451BBB"/>
    <w:rsid w:val="6B4A20BD"/>
    <w:rsid w:val="6FBF4A92"/>
    <w:rsid w:val="70A65D83"/>
    <w:rsid w:val="70AC59C3"/>
    <w:rsid w:val="70B70E24"/>
    <w:rsid w:val="71AB2CFE"/>
    <w:rsid w:val="72135D18"/>
    <w:rsid w:val="73BB15FB"/>
    <w:rsid w:val="77C85DAB"/>
    <w:rsid w:val="79E138E0"/>
    <w:rsid w:val="7A901DE6"/>
    <w:rsid w:val="7A9B05E4"/>
    <w:rsid w:val="7BEA366C"/>
    <w:rsid w:val="7E0207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7"/>
    <w:qFormat/>
    <w:uiPriority w:val="0"/>
    <w:pPr>
      <w:keepNext/>
      <w:keepLines/>
      <w:spacing w:before="260" w:after="260" w:line="415" w:lineRule="auto"/>
      <w:outlineLvl w:val="1"/>
    </w:pPr>
    <w:rPr>
      <w:rFonts w:ascii="Cambria" w:hAnsi="Cambria"/>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beforeLines="30"/>
    </w:pPr>
    <w:rPr>
      <w:rFonts w:ascii="仿宋_GB2312" w:eastAsia="仿宋_GB2312"/>
      <w:kern w:val="0"/>
      <w:sz w:val="30"/>
    </w:rPr>
  </w:style>
  <w:style w:type="paragraph" w:styleId="6">
    <w:name w:val="toc 3"/>
    <w:basedOn w:val="1"/>
    <w:next w:val="1"/>
    <w:qFormat/>
    <w:uiPriority w:val="0"/>
    <w:pPr>
      <w:tabs>
        <w:tab w:val="right" w:leader="dot" w:pos="8296"/>
      </w:tabs>
      <w:ind w:left="400" w:leftChars="400"/>
    </w:p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qFormat/>
    <w:uiPriority w:val="0"/>
    <w:pPr>
      <w:tabs>
        <w:tab w:val="right" w:leader="dot" w:pos="8296"/>
      </w:tabs>
      <w:spacing w:before="93"/>
      <w:jc w:val="center"/>
    </w:pPr>
    <w:rPr>
      <w:rFonts w:ascii="仿宋" w:eastAsia="仿宋"/>
      <w:sz w:val="28"/>
      <w:szCs w:val="28"/>
    </w:rPr>
  </w:style>
  <w:style w:type="paragraph" w:styleId="11">
    <w:name w:val="toc 2"/>
    <w:basedOn w:val="1"/>
    <w:next w:val="1"/>
    <w:qFormat/>
    <w:uiPriority w:val="0"/>
    <w:pPr>
      <w:tabs>
        <w:tab w:val="right" w:leader="dot" w:pos="8296"/>
      </w:tabs>
      <w:ind w:left="200" w:leftChars="200"/>
    </w:p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customStyle="1" w:styleId="16">
    <w:name w:val="标题 1 Char"/>
    <w:basedOn w:val="13"/>
    <w:link w:val="2"/>
    <w:qFormat/>
    <w:uiPriority w:val="0"/>
    <w:rPr>
      <w:rFonts w:ascii="Times New Roman" w:hAnsi="Times New Roman" w:eastAsia="宋体" w:cs="Times New Roman"/>
      <w:b/>
      <w:bCs/>
      <w:kern w:val="44"/>
      <w:sz w:val="44"/>
      <w:szCs w:val="44"/>
      <w:lang w:val="en-US" w:eastAsia="zh-CN" w:bidi="ar-SA"/>
    </w:rPr>
  </w:style>
  <w:style w:type="character" w:customStyle="1" w:styleId="17">
    <w:name w:val="标题 2 Char"/>
    <w:basedOn w:val="13"/>
    <w:link w:val="3"/>
    <w:qFormat/>
    <w:uiPriority w:val="0"/>
    <w:rPr>
      <w:rFonts w:ascii="Cambria" w:hAnsi="Cambria" w:eastAsia="宋体" w:cs="Times New Roman"/>
      <w:b/>
      <w:bCs/>
      <w:kern w:val="2"/>
      <w:sz w:val="32"/>
      <w:szCs w:val="32"/>
      <w:lang w:val="en-US" w:eastAsia="zh-CN" w:bidi="ar-SA"/>
    </w:rPr>
  </w:style>
  <w:style w:type="character" w:customStyle="1" w:styleId="18">
    <w:name w:val="Header Char"/>
    <w:basedOn w:val="13"/>
    <w:qFormat/>
    <w:uiPriority w:val="0"/>
    <w:rPr>
      <w:rFonts w:ascii="Times New Roman" w:hAnsi="Times New Roman"/>
      <w:sz w:val="18"/>
      <w:szCs w:val="18"/>
    </w:rPr>
  </w:style>
  <w:style w:type="character" w:customStyle="1" w:styleId="19">
    <w:name w:val="Footer Char"/>
    <w:basedOn w:val="13"/>
    <w:qFormat/>
    <w:uiPriority w:val="0"/>
    <w:rPr>
      <w:rFonts w:ascii="Times New Roman" w:hAnsi="Times New Roman"/>
      <w:sz w:val="18"/>
      <w:szCs w:val="18"/>
    </w:rPr>
  </w:style>
  <w:style w:type="character" w:customStyle="1" w:styleId="20">
    <w:name w:val="Body Text Char"/>
    <w:basedOn w:val="13"/>
    <w:qFormat/>
    <w:uiPriority w:val="0"/>
    <w:rPr>
      <w:rFonts w:ascii="Times New Roman" w:hAnsi="Times New Roman"/>
      <w:szCs w:val="24"/>
    </w:rPr>
  </w:style>
  <w:style w:type="paragraph" w:customStyle="1" w:styleId="21">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2">
    <w:name w:val="List Paragraph"/>
    <w:basedOn w:val="1"/>
    <w:qFormat/>
    <w:uiPriority w:val="0"/>
    <w:pPr>
      <w:ind w:firstLine="200" w:firstLineChars="200"/>
    </w:pPr>
  </w:style>
  <w:style w:type="paragraph" w:customStyle="1" w:styleId="23">
    <w:name w:val="TOC 标题1"/>
    <w:basedOn w:val="2"/>
    <w:next w:val="1"/>
    <w:qFormat/>
    <w:uiPriority w:val="0"/>
    <w:pPr>
      <w:widowControl/>
      <w:spacing w:before="480" w:after="0" w:line="276" w:lineRule="auto"/>
      <w:jc w:val="left"/>
      <w:outlineLvl w:val="9"/>
    </w:pPr>
    <w:rPr>
      <w:rFonts w:ascii="Cambria" w:hAnsi="Cambria"/>
      <w:color w:val="376092"/>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36130;&#21153;\&#24180;&#32456;&#20915;&#31639;\2020&#24180;&#20915;&#31639;\&#20915;&#31639;&#22270;&#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36130;&#21153;\&#24180;&#32456;&#20915;&#31639;\2020&#24180;&#20915;&#31639;\&#20915;&#31639;&#22270;&#34920;.xls"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36130;&#21153;\&#24180;&#32456;&#20915;&#31639;\2020&#24180;&#20915;&#31639;\&#20915;&#31639;&#22270;&#34920;.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36130;&#21153;\&#24180;&#32456;&#20915;&#31639;\2020&#24180;&#20915;&#31639;\&#20915;&#31639;&#22270;&#34920;.xls"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D:\&#36130;&#21153;\&#24180;&#32456;&#20915;&#31639;\2020&#24180;&#20915;&#31639;\&#20915;&#31639;&#22270;&#34920;.xls"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D:\&#36130;&#21153;\&#24180;&#32456;&#20915;&#31639;\2020&#24180;&#20915;&#31639;\&#20915;&#31639;&#22270;&#34920;.xls"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D:\&#36130;&#21153;\&#24180;&#32456;&#20915;&#31639;\2020&#24180;&#20915;&#31639;\&#20915;&#31639;&#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[决算图表.xls]Sheet1!$A$92</c:f>
              <c:strCache>
                <c:ptCount val="1"/>
                <c:pt idx="0">
                  <c:v>2019年</c:v>
                </c:pt>
              </c:strCache>
            </c:strRef>
          </c:tx>
          <c:spPr>
            <a:solidFill>
              <a:schemeClr val="accent1"/>
            </a:solidFill>
            <a:ln>
              <a:noFill/>
            </a:ln>
            <a:effectLst/>
          </c:spPr>
          <c:invertIfNegative val="0"/>
          <c:dLbls>
            <c:delete val="1"/>
          </c:dLbls>
          <c:cat>
            <c:strRef>
              <c:f>[决算图表.xls]Sheet1!$B$91:$C$91</c:f>
              <c:strCache>
                <c:ptCount val="2"/>
                <c:pt idx="0">
                  <c:v>总收入</c:v>
                </c:pt>
                <c:pt idx="1">
                  <c:v>总支出</c:v>
                </c:pt>
              </c:strCache>
            </c:strRef>
          </c:cat>
          <c:val>
            <c:numRef>
              <c:f>[决算图表.xls]Sheet1!$B$92:$C$92</c:f>
              <c:numCache>
                <c:formatCode>#,##0.00</c:formatCode>
                <c:ptCount val="2"/>
                <c:pt idx="0">
                  <c:v>23805.13</c:v>
                </c:pt>
                <c:pt idx="1" c:formatCode="General">
                  <c:v>26656</c:v>
                </c:pt>
              </c:numCache>
            </c:numRef>
          </c:val>
        </c:ser>
        <c:ser>
          <c:idx val="1"/>
          <c:order val="1"/>
          <c:tx>
            <c:strRef>
              <c:f>[决算图表.xls]Sheet1!$A$93</c:f>
              <c:strCache>
                <c:ptCount val="1"/>
                <c:pt idx="0">
                  <c:v>2020年</c:v>
                </c:pt>
              </c:strCache>
            </c:strRef>
          </c:tx>
          <c:spPr>
            <a:solidFill>
              <a:schemeClr val="accent2"/>
            </a:solidFill>
            <a:ln>
              <a:noFill/>
            </a:ln>
            <a:effectLst/>
          </c:spPr>
          <c:invertIfNegative val="0"/>
          <c:dLbls>
            <c:delete val="1"/>
          </c:dLbls>
          <c:cat>
            <c:strRef>
              <c:f>[决算图表.xls]Sheet1!$B$91:$C$91</c:f>
              <c:strCache>
                <c:ptCount val="2"/>
                <c:pt idx="0">
                  <c:v>总收入</c:v>
                </c:pt>
                <c:pt idx="1">
                  <c:v>总支出</c:v>
                </c:pt>
              </c:strCache>
            </c:strRef>
          </c:cat>
          <c:val>
            <c:numRef>
              <c:f>[决算图表.xls]Sheet1!$B$93:$C$93</c:f>
              <c:numCache>
                <c:formatCode>#,##0.00</c:formatCode>
                <c:ptCount val="2"/>
                <c:pt idx="0">
                  <c:v>27352.19</c:v>
                </c:pt>
                <c:pt idx="1" c:formatCode="General">
                  <c:v>25932.89</c:v>
                </c:pt>
              </c:numCache>
            </c:numRef>
          </c:val>
        </c:ser>
        <c:dLbls>
          <c:showLegendKey val="0"/>
          <c:showVal val="0"/>
          <c:showCatName val="0"/>
          <c:showSerName val="0"/>
          <c:showPercent val="0"/>
          <c:showBubbleSize val="0"/>
        </c:dLbls>
        <c:gapWidth val="219"/>
        <c:overlap val="-27"/>
        <c:axId val="124033664"/>
        <c:axId val="124055936"/>
      </c:barChart>
      <c:catAx>
        <c:axId val="12403366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4055936"/>
        <c:crosses val="autoZero"/>
        <c:auto val="1"/>
        <c:lblAlgn val="ctr"/>
        <c:lblOffset val="100"/>
        <c:noMultiLvlLbl val="0"/>
      </c:catAx>
      <c:valAx>
        <c:axId val="124055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403366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[决算图表.xls]Sheet1!$A$96</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[决算图表.xls]Sheet1!$B$95:$C$95</c:f>
              <c:strCache>
                <c:ptCount val="2"/>
                <c:pt idx="0">
                  <c:v>一般公共财政拨款收入</c:v>
                </c:pt>
                <c:pt idx="1">
                  <c:v>其他收入</c:v>
                </c:pt>
              </c:strCache>
            </c:strRef>
          </c:cat>
          <c:val>
            <c:numRef>
              <c:f>[决算图表.xls]Sheet1!$B$96:$C$96</c:f>
              <c:numCache>
                <c:formatCode>General</c:formatCode>
                <c:ptCount val="2"/>
                <c:pt idx="0">
                  <c:v>27352.19</c:v>
                </c:pt>
                <c:pt idx="1">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[决算图表.xls]Sheet1!$A$96</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[决算图表.xls]Sheet1!$B$95:$C$95</c:f>
              <c:strCache>
                <c:ptCount val="2"/>
                <c:pt idx="0">
                  <c:v>基本支出</c:v>
                </c:pt>
                <c:pt idx="1">
                  <c:v>项目支出</c:v>
                </c:pt>
              </c:strCache>
            </c:strRef>
          </c:cat>
          <c:val>
            <c:numRef>
              <c:f>[决算图表.xls]Sheet1!$B$96:$C$96</c:f>
              <c:numCache>
                <c:formatCode>General</c:formatCode>
                <c:ptCount val="2"/>
                <c:pt idx="0">
                  <c:v>22717.83</c:v>
                </c:pt>
                <c:pt idx="1">
                  <c:v>3215.06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财政拨款收、支总计变动情况</a:t>
            </a:r>
          </a:p>
        </c:rich>
      </c:tx>
      <c:layout/>
      <c:overlay val="0"/>
      <c:spPr>
        <a:noFill/>
        <a:ln>
          <a:noFill/>
        </a:ln>
        <a:effectLst/>
      </c:spPr>
    </c:title>
    <c:autoTitleDeleted val="0"/>
    <c:plotArea>
      <c:layout/>
      <c:barChart>
        <c:barDir val="col"/>
        <c:grouping val="clustered"/>
        <c:varyColors val="0"/>
        <c:ser>
          <c:idx val="0"/>
          <c:order val="0"/>
          <c:tx>
            <c:strRef>
              <c:f>[决算图表.xls]Sheet1!$A$92</c:f>
              <c:strCache>
                <c:ptCount val="1"/>
                <c:pt idx="0">
                  <c:v>2019年</c:v>
                </c:pt>
              </c:strCache>
            </c:strRef>
          </c:tx>
          <c:spPr>
            <a:solidFill>
              <a:schemeClr val="accent1"/>
            </a:solidFill>
            <a:ln>
              <a:noFill/>
            </a:ln>
            <a:effectLst/>
          </c:spPr>
          <c:invertIfNegative val="0"/>
          <c:dLbls>
            <c:delete val="1"/>
          </c:dLbls>
          <c:cat>
            <c:strRef>
              <c:f>[决算图表.xls]Sheet1!$B$91:$C$91</c:f>
              <c:strCache>
                <c:ptCount val="2"/>
                <c:pt idx="0">
                  <c:v>一般公共预算财政拨款收入</c:v>
                </c:pt>
                <c:pt idx="1">
                  <c:v>一般公共预算财政拨款支出</c:v>
                </c:pt>
              </c:strCache>
            </c:strRef>
          </c:cat>
          <c:val>
            <c:numRef>
              <c:f>[决算图表.xls]Sheet1!$B$92:$C$92</c:f>
              <c:numCache>
                <c:formatCode>#,##0.00</c:formatCode>
                <c:ptCount val="2"/>
                <c:pt idx="0">
                  <c:v>23805.13</c:v>
                </c:pt>
                <c:pt idx="1" c:formatCode="General">
                  <c:v>26656</c:v>
                </c:pt>
              </c:numCache>
            </c:numRef>
          </c:val>
        </c:ser>
        <c:ser>
          <c:idx val="1"/>
          <c:order val="1"/>
          <c:tx>
            <c:strRef>
              <c:f>[决算图表.xls]Sheet1!$A$93</c:f>
              <c:strCache>
                <c:ptCount val="1"/>
                <c:pt idx="0">
                  <c:v>2020年</c:v>
                </c:pt>
              </c:strCache>
            </c:strRef>
          </c:tx>
          <c:spPr>
            <a:solidFill>
              <a:schemeClr val="accent2"/>
            </a:solidFill>
            <a:ln>
              <a:noFill/>
            </a:ln>
            <a:effectLst/>
          </c:spPr>
          <c:invertIfNegative val="0"/>
          <c:dLbls>
            <c:delete val="1"/>
          </c:dLbls>
          <c:cat>
            <c:strRef>
              <c:f>[决算图表.xls]Sheet1!$B$91:$C$91</c:f>
              <c:strCache>
                <c:ptCount val="2"/>
                <c:pt idx="0">
                  <c:v>一般公共预算财政拨款收入</c:v>
                </c:pt>
                <c:pt idx="1">
                  <c:v>一般公共预算财政拨款支出</c:v>
                </c:pt>
              </c:strCache>
            </c:strRef>
          </c:cat>
          <c:val>
            <c:numRef>
              <c:f>[决算图表.xls]Sheet1!$B$93:$C$93</c:f>
              <c:numCache>
                <c:formatCode>#,##0.00</c:formatCode>
                <c:ptCount val="2"/>
                <c:pt idx="0">
                  <c:v>27352.19</c:v>
                </c:pt>
                <c:pt idx="1" c:formatCode="General">
                  <c:v>25932.89</c:v>
                </c:pt>
              </c:numCache>
            </c:numRef>
          </c:val>
        </c:ser>
        <c:dLbls>
          <c:showLegendKey val="0"/>
          <c:showVal val="0"/>
          <c:showCatName val="0"/>
          <c:showSerName val="0"/>
          <c:showPercent val="0"/>
          <c:showBubbleSize val="0"/>
        </c:dLbls>
        <c:gapWidth val="219"/>
        <c:overlap val="-27"/>
        <c:axId val="109096320"/>
        <c:axId val="109102208"/>
      </c:barChart>
      <c:catAx>
        <c:axId val="10909632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9102208"/>
        <c:crosses val="autoZero"/>
        <c:auto val="1"/>
        <c:lblAlgn val="ctr"/>
        <c:lblOffset val="100"/>
        <c:noMultiLvlLbl val="0"/>
      </c:catAx>
      <c:valAx>
        <c:axId val="109102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909632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2222222222222"/>
          <c:y val="0.03125"/>
        </c:manualLayout>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[决算图表.xls]Sheet1!$B$91</c:f>
              <c:strCache>
                <c:ptCount val="1"/>
                <c:pt idx="0">
                  <c:v>一般公共预算财政拨款支出决算变动情况</c:v>
                </c:pt>
              </c:strCache>
            </c:strRef>
          </c:tx>
          <c:spPr>
            <a:solidFill>
              <a:schemeClr val="accent1"/>
            </a:solidFill>
            <a:ln>
              <a:noFill/>
            </a:ln>
            <a:effectLst/>
          </c:spPr>
          <c:invertIfNegative val="0"/>
          <c:dLbls>
            <c:delete val="1"/>
          </c:dLbls>
          <c:cat>
            <c:strRef>
              <c:f>[决算图表.xls]Sheet1!$A$92:$A$93</c:f>
              <c:strCache>
                <c:ptCount val="2"/>
                <c:pt idx="0">
                  <c:v>2019年</c:v>
                </c:pt>
                <c:pt idx="1">
                  <c:v>2020年</c:v>
                </c:pt>
              </c:strCache>
            </c:strRef>
          </c:cat>
          <c:val>
            <c:numRef>
              <c:f>[决算图表.xls]Sheet1!$B$92:$B$93</c:f>
              <c:numCache>
                <c:formatCode>General</c:formatCode>
                <c:ptCount val="2"/>
                <c:pt idx="0">
                  <c:v>26656</c:v>
                </c:pt>
                <c:pt idx="1">
                  <c:v>25932.89</c:v>
                </c:pt>
              </c:numCache>
            </c:numRef>
          </c:val>
        </c:ser>
        <c:dLbls>
          <c:showLegendKey val="0"/>
          <c:showVal val="0"/>
          <c:showCatName val="0"/>
          <c:showSerName val="0"/>
          <c:showPercent val="0"/>
          <c:showBubbleSize val="0"/>
        </c:dLbls>
        <c:gapWidth val="219"/>
        <c:overlap val="-27"/>
        <c:axId val="133969024"/>
        <c:axId val="133970560"/>
      </c:barChart>
      <c:catAx>
        <c:axId val="1339690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3970560"/>
        <c:crosses val="autoZero"/>
        <c:auto val="1"/>
        <c:lblAlgn val="ctr"/>
        <c:lblOffset val="100"/>
        <c:noMultiLvlLbl val="0"/>
      </c:catAx>
      <c:valAx>
        <c:axId val="133970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3969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[决算图表.xls]Sheet1!$B$91</c:f>
              <c:strCache>
                <c:ptCount val="1"/>
                <c:pt idx="0">
                  <c:v>一般公共预算财政拨款支出决算结构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[决算图表.xls]Sheet1!$A$92:$A$95</c:f>
              <c:strCache>
                <c:ptCount val="4"/>
                <c:pt idx="0">
                  <c:v>一般公共服务</c:v>
                </c:pt>
                <c:pt idx="1">
                  <c:v>社会保障就业</c:v>
                </c:pt>
                <c:pt idx="2">
                  <c:v>医疗卫生支出</c:v>
                </c:pt>
                <c:pt idx="3">
                  <c:v>住房保障支出</c:v>
                </c:pt>
              </c:strCache>
            </c:strRef>
          </c:cat>
          <c:val>
            <c:numRef>
              <c:f>[决算图表.xls]Sheet1!$B$92:$B$95</c:f>
              <c:numCache>
                <c:formatCode>General</c:formatCode>
                <c:ptCount val="4"/>
                <c:pt idx="0">
                  <c:v>20346.14</c:v>
                </c:pt>
                <c:pt idx="1">
                  <c:v>2778.75</c:v>
                </c:pt>
                <c:pt idx="2" c:formatCode="#,##0.00">
                  <c:v>1145.17</c:v>
                </c:pt>
                <c:pt idx="3">
                  <c:v>1662.83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[决算图表.xls]Sheet1!$B$91</c:f>
              <c:strCache>
                <c:ptCount val="1"/>
                <c:pt idx="0">
                  <c:v>一般公共预算财政拨款支出决算结构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[决算图表.xls]Sheet1!$A$92:$A$95</c:f>
              <c:strCache>
                <c:ptCount val="4"/>
                <c:pt idx="0">
                  <c:v>因公出国（境）费</c:v>
                </c:pt>
                <c:pt idx="1">
                  <c:v>公务用车运行维护费</c:v>
                </c:pt>
                <c:pt idx="2">
                  <c:v>公务接到费</c:v>
                </c:pt>
              </c:strCache>
            </c:strRef>
          </c:cat>
          <c:val>
            <c:numRef>
              <c:f>[决算图表.xls]Sheet1!$B$92:$B$95</c:f>
              <c:numCache>
                <c:formatCode>General</c:formatCode>
                <c:ptCount val="4"/>
                <c:pt idx="0">
                  <c:v>0</c:v>
                </c:pt>
                <c:pt idx="1">
                  <c:v>10</c:v>
                </c:pt>
                <c:pt idx="2" c:formatCode="#,##0.00">
                  <c:v>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26</Pages>
  <Words>1681</Words>
  <Characters>9583</Characters>
  <Lines>79</Lines>
  <Paragraphs>22</Paragraphs>
  <TotalTime>55</TotalTime>
  <ScaleCrop>false</ScaleCrop>
  <LinksUpToDate>false</LinksUpToDate>
  <CharactersWithSpaces>11242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平淡无奇</cp:lastModifiedBy>
  <cp:lastPrinted>2020-09-29T10:36:00Z</cp:lastPrinted>
  <dcterms:modified xsi:type="dcterms:W3CDTF">2021-09-27T03:32:35Z</dcterms:modified>
  <dc:title>四川省***</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7446358C982B43FBBF5486ACE152A102</vt:lpwstr>
  </property>
</Properties>
</file>