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AF4985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金川县2026年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自然资源局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0CC4D133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33480D7C">
      <w:pPr>
        <w:pStyle w:val="7"/>
        <w:jc w:val="left"/>
      </w:pPr>
    </w:p>
    <w:p w14:paraId="23FE17A1">
      <w:p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2026年，我单位部门预算516.37万元 ，均严格按绩效管理要求实现项目绩效目标管理，其中重点项目预算1个，现将情况说明如下：</w:t>
      </w:r>
    </w:p>
    <w:p w14:paraId="6E0E12EB"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一、单位预算绩效管理工作开展情况。</w:t>
      </w:r>
    </w:p>
    <w:p w14:paraId="1FD174D7">
      <w:pPr>
        <w:spacing w:line="560" w:lineRule="exact"/>
        <w:ind w:left="0"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完成了2026年本级部门预算整体绩效目标申报和1个项目预算绩效目标申报，并编报1个项目预算事前绩效评估报告。</w:t>
      </w:r>
    </w:p>
    <w:p w14:paraId="5709E822">
      <w:p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二、单位整体绩效目标。</w:t>
      </w:r>
    </w:p>
    <w:p w14:paraId="1BE1634C">
      <w:pPr>
        <w:pStyle w:val="7"/>
        <w:spacing w:line="560" w:lineRule="exact"/>
        <w:ind w:left="0" w:firstLine="643" w:firstLineChars="200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（一）持续跟进地灾治理工作</w:t>
      </w:r>
    </w:p>
    <w:p w14:paraId="13A110BB">
      <w:pPr>
        <w:pStyle w:val="7"/>
        <w:spacing w:line="560" w:lineRule="exact"/>
        <w:ind w:left="0"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一是严格落实值班制度，继续加强预警预报，督促各建设单位完善预案，落实防灾责任人，加大县域内地质灾害的预警预报工作。二是加大汛期巡查、核查力度，做到无遗漏、无盲区、无死角，开展隐患排查，确保人民群众的生命财产安全。三是积极向上沟通，申报地质灾害防治项目。</w:t>
      </w:r>
    </w:p>
    <w:p w14:paraId="33F0B787">
      <w:pPr>
        <w:pStyle w:val="7"/>
        <w:spacing w:line="560" w:lineRule="exact"/>
        <w:ind w:left="0" w:firstLine="643" w:firstLineChars="200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（二）依法开展矿产资源工作</w:t>
      </w:r>
    </w:p>
    <w:p w14:paraId="6488CDC5">
      <w:pPr>
        <w:pStyle w:val="7"/>
        <w:spacing w:line="560" w:lineRule="exact"/>
        <w:ind w:left="0"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一是持续推进绿色矿山建设；二是进一步监督已开展的矿产资源勘查工作；三是开展政府统筹联合部门协调未进场探矿权人进场工作；四是联动部门开展矿山监督管理，特别是超层越界、以探代采、以建代采、无证开采、偷采盗采和不按规定开展安全生产和矿山生态修复工作。</w:t>
      </w:r>
    </w:p>
    <w:p w14:paraId="49614533">
      <w:pPr>
        <w:pStyle w:val="7"/>
        <w:spacing w:line="560" w:lineRule="exact"/>
        <w:ind w:left="0" w:firstLine="643" w:firstLineChars="200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（三）持续做好国土空间规划工作</w:t>
      </w:r>
    </w:p>
    <w:p w14:paraId="526F9884">
      <w:pPr>
        <w:pStyle w:val="7"/>
        <w:spacing w:line="560" w:lineRule="exact"/>
        <w:ind w:left="0"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严格落实规划编制工作流程，科学编制“十五五”规划，优化完善国土空间总体规划和乡镇级片区规划，加快推进金川县中心城区控制性详细规划修编工作，继续深耕村级片区规划编制，及时启动城镇开发边界线局部优化，提升规划编制科学性。同时，严格落实规划审批制度，在用地预审与选址意见书、用地规划许可、工程规划许可、生态保护红线有限人为活动认定、农村宅基地审批等多方面做好要件审批，确保规划执行到位、管控有力。</w:t>
      </w:r>
    </w:p>
    <w:p w14:paraId="5BA99C1F">
      <w:pPr>
        <w:pStyle w:val="7"/>
        <w:spacing w:line="560" w:lineRule="exact"/>
        <w:ind w:left="0" w:firstLine="643" w:firstLineChars="200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四）扎实开展土地供应工作</w:t>
      </w:r>
    </w:p>
    <w:p w14:paraId="4585B782">
      <w:pPr>
        <w:pStyle w:val="7"/>
        <w:spacing w:line="560" w:lineRule="exact"/>
        <w:ind w:left="0"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全面推进供地工作，加强批复用地供地，对双柏树中心城区A-1-1地块、杨家湾水电站枢纽区土地等及时落实划拨手续，形成手续闭环管理。做好重点项目临时用地手续，加强对临时用地的全程管理。</w:t>
      </w:r>
    </w:p>
    <w:p w14:paraId="1A6E7C02">
      <w:pPr>
        <w:pStyle w:val="7"/>
        <w:spacing w:line="560" w:lineRule="exact"/>
        <w:ind w:left="0" w:firstLine="643" w:firstLineChars="200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（五）加大力度推进执法工作</w:t>
      </w:r>
    </w:p>
    <w:p w14:paraId="0E3B2D94">
      <w:pPr>
        <w:pStyle w:val="7"/>
        <w:spacing w:line="560" w:lineRule="exact"/>
        <w:ind w:left="0"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一是加强动态巡查力度和巡查方法，继续对毁田采砂和非法采矿采取高压打击态势；二是采取有效措施推进季度和年度卫片执法检查工作，提高结案率，做到及时发现、及时处理、立即取缔；三是会同相关部门对农村违法占用耕地建房行为，坚定执法零容忍，确保零增长。</w:t>
      </w:r>
    </w:p>
    <w:p w14:paraId="02885F8F">
      <w:pPr>
        <w:pStyle w:val="7"/>
        <w:spacing w:line="560" w:lineRule="exact"/>
        <w:ind w:left="0" w:firstLine="643" w:firstLineChars="200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（六）全力推动不动产登记工作</w:t>
      </w:r>
    </w:p>
    <w:p w14:paraId="4310D5E0">
      <w:pPr>
        <w:spacing w:line="560" w:lineRule="exact"/>
        <w:ind w:left="0" w:firstLine="640" w:firstLineChars="200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积极争取政策支持，优化不动产中心互联网+登记平台建设，全面提升信息处理、事项处置、信息交汇能力。持续开展“办证难”专项整治工作，对存量未办证楼盘开展联合服务，积极与县税务局对接，对开发商未缴纳税费的情况进行跟踪督办，对未开展规划核实的楼栋及时核实后办证，加快推进房地一体证办证工作，用心用情未人民群众办好急难愁盼事情，提升自然资源服务效能。</w:t>
      </w:r>
    </w:p>
    <w:p w14:paraId="7F82C987">
      <w:p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三、重点项目绩效目标。</w:t>
      </w:r>
    </w:p>
    <w:p w14:paraId="6DD2D1D0">
      <w:p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重点项目：不动产登记平台运行维护技术服务</w:t>
      </w:r>
    </w:p>
    <w:p w14:paraId="59F3DF25">
      <w:p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项目年度绩效目标：准确把握自然资源确权和不动产登记平台管理目标，以问题为导向，切实解决当前登记平台功能不全，系统运维能力不高、部门间信息共享不畅和业务协同不够等实际问题。</w:t>
      </w:r>
    </w:p>
    <w:p w14:paraId="2AF8E30A">
      <w:p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绩效指标设置情况：细化指标7个，包括产出指标、成本指标、效益指标和满意度指标。</w:t>
      </w:r>
    </w:p>
    <w:p w14:paraId="1012EA34">
      <w:pPr>
        <w:pStyle w:val="12"/>
        <w:spacing w:line="560" w:lineRule="exact"/>
        <w:ind w:left="0" w:firstLine="640" w:firstLineChars="200"/>
        <w:jc w:val="center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不动产登记平台运行维护相关服务</w:t>
      </w:r>
    </w:p>
    <w:p w14:paraId="4BFBE65B">
      <w:pPr>
        <w:pStyle w:val="12"/>
        <w:spacing w:line="560" w:lineRule="exact"/>
        <w:ind w:left="0" w:firstLine="640" w:firstLineChars="200"/>
        <w:jc w:val="center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 xml:space="preserve"> 项目绩效目标表</w:t>
      </w:r>
    </w:p>
    <w:tbl>
      <w:tblPr>
        <w:tblStyle w:val="10"/>
        <w:tblpPr w:leftFromText="180" w:rightFromText="180" w:vertAnchor="text" w:horzAnchor="page" w:tblpX="1905" w:tblpY="112"/>
        <w:tblW w:w="8280" w:type="dxa"/>
        <w:tblInd w:w="-4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1498"/>
        <w:gridCol w:w="3467"/>
        <w:gridCol w:w="1963"/>
      </w:tblGrid>
      <w:tr w14:paraId="2DB74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352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 w14:paraId="2766A20D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一级指标</w:t>
            </w:r>
          </w:p>
        </w:tc>
        <w:tc>
          <w:tcPr>
            <w:tcW w:w="149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7E4FFC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二级指标</w:t>
            </w:r>
          </w:p>
        </w:tc>
        <w:tc>
          <w:tcPr>
            <w:tcW w:w="346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F2B714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三级指标</w:t>
            </w:r>
          </w:p>
        </w:tc>
        <w:tc>
          <w:tcPr>
            <w:tcW w:w="1963" w:type="dxa"/>
            <w:tcBorders>
              <w:left w:val="single" w:color="auto" w:sz="4" w:space="0"/>
              <w:bottom w:val="single" w:color="auto" w:sz="4" w:space="0"/>
            </w:tcBorders>
            <w:vAlign w:val="top"/>
          </w:tcPr>
          <w:p w14:paraId="73A1E0AB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指标值</w:t>
            </w:r>
          </w:p>
        </w:tc>
      </w:tr>
      <w:tr w14:paraId="4FA79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3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48D513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产出指标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5ACCF4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时效指标</w:t>
            </w:r>
          </w:p>
        </w:tc>
        <w:tc>
          <w:tcPr>
            <w:tcW w:w="3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943892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统一业务流程完成时限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510681A0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≤12月</w:t>
            </w:r>
          </w:p>
        </w:tc>
      </w:tr>
      <w:tr w14:paraId="74901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3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9E6DE6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产出指标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29A793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时效指标</w:t>
            </w:r>
          </w:p>
        </w:tc>
        <w:tc>
          <w:tcPr>
            <w:tcW w:w="3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8ABFB5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统一登记平台完成时限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3185BED9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≤12月</w:t>
            </w:r>
          </w:p>
        </w:tc>
      </w:tr>
      <w:tr w14:paraId="6C03B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3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A34895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产出指标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0F6EFA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质量指标</w:t>
            </w:r>
          </w:p>
        </w:tc>
        <w:tc>
          <w:tcPr>
            <w:tcW w:w="3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4B5000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不动产数据质量通过率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7AF93613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default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≥98%</w:t>
            </w:r>
          </w:p>
        </w:tc>
      </w:tr>
      <w:tr w14:paraId="6F59A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3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702B09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效益指标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700BAC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default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社会效益指标</w:t>
            </w:r>
          </w:p>
        </w:tc>
        <w:tc>
          <w:tcPr>
            <w:tcW w:w="3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8C94CD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不动产登记数据对于群众的受益度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6BBDA8E5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≥98%</w:t>
            </w:r>
          </w:p>
        </w:tc>
      </w:tr>
      <w:tr w14:paraId="36521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3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77ED21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满意度指标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AC80FC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服务对象满意度指标</w:t>
            </w:r>
          </w:p>
        </w:tc>
        <w:tc>
          <w:tcPr>
            <w:tcW w:w="3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62BE0A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群众满意度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5312042A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≥100%</w:t>
            </w:r>
          </w:p>
        </w:tc>
      </w:tr>
      <w:tr w14:paraId="42A91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3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9FE8DE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成本指标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31AD39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经济成本指标</w:t>
            </w:r>
          </w:p>
        </w:tc>
        <w:tc>
          <w:tcPr>
            <w:tcW w:w="3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E2E2E2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投入成本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36768090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≤6万元</w:t>
            </w:r>
          </w:p>
        </w:tc>
      </w:tr>
      <w:tr w14:paraId="2DF02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352" w:type="dxa"/>
            <w:tcBorders>
              <w:top w:val="single" w:color="auto" w:sz="4" w:space="0"/>
              <w:right w:val="single" w:color="auto" w:sz="4" w:space="0"/>
            </w:tcBorders>
            <w:vAlign w:val="top"/>
          </w:tcPr>
          <w:p w14:paraId="76D3144E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产出指标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44EB2324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数量指标</w:t>
            </w:r>
          </w:p>
        </w:tc>
        <w:tc>
          <w:tcPr>
            <w:tcW w:w="34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6B5DBEE6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规划覆盖村数量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</w:tcBorders>
            <w:vAlign w:val="top"/>
          </w:tcPr>
          <w:p w14:paraId="64C062AC">
            <w:pPr>
              <w:pStyle w:val="1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≤85个</w:t>
            </w:r>
          </w:p>
        </w:tc>
      </w:tr>
    </w:tbl>
    <w:p w14:paraId="3D09512B">
      <w:pPr>
        <w:pStyle w:val="6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金川县自然资源局</w:t>
      </w:r>
    </w:p>
    <w:p w14:paraId="1FA7DCA7">
      <w:pPr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2026年3月12日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0DD912A0-5AF4-42BC-AFC9-197B83E4836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C2FC0583-FE66-4C92-813C-6BE92FC7AAAD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D9F903AC-428F-4840-B6F7-EA5684D1FB87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41159788-2B10-485A-AE53-06E1E0E4CF3A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128E57E1-6C63-4DAA-8AC7-9FD0800D379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1D1E72C4"/>
    <w:rsid w:val="2CF75DBC"/>
    <w:rsid w:val="2D261B41"/>
    <w:rsid w:val="34334245"/>
    <w:rsid w:val="3987193F"/>
    <w:rsid w:val="3F305DB3"/>
    <w:rsid w:val="46CF4F01"/>
    <w:rsid w:val="47255715"/>
    <w:rsid w:val="536E7619"/>
    <w:rsid w:val="5F5A16BC"/>
    <w:rsid w:val="60136952"/>
    <w:rsid w:val="60273CA8"/>
    <w:rsid w:val="71E53FB2"/>
    <w:rsid w:val="72380F87"/>
    <w:rsid w:val="79520D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spacing w:after="120" w:afterAutospacing="0"/>
      <w:jc w:val="both"/>
    </w:pPr>
    <w:rPr>
      <w:rFonts w:ascii="Times New Roman" w:hAnsi="Times New Roman" w:eastAsia="仿宋_GB2312" w:cs="Times New Roman"/>
      <w:kern w:val="2"/>
      <w:sz w:val="32"/>
      <w:szCs w:val="30"/>
      <w:lang w:val="en-US" w:eastAsia="zh-CN" w:bidi="ar-SA"/>
    </w:rPr>
  </w:style>
  <w:style w:type="paragraph" w:styleId="6">
    <w:name w:val="index 8"/>
    <w:basedOn w:val="1"/>
    <w:next w:val="1"/>
    <w:unhideWhenUsed/>
    <w:qFormat/>
    <w:uiPriority w:val="99"/>
    <w:pPr>
      <w:ind w:left="2940"/>
      <w:jc w:val="center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customStyle="1" w:styleId="12">
    <w:name w:val="NormalIndent"/>
    <w:next w:val="8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1404</Words>
  <Characters>1436</Characters>
  <Lines>23</Lines>
  <Paragraphs>15</Paragraphs>
  <TotalTime>5</TotalTime>
  <ScaleCrop>false</ScaleCrop>
  <LinksUpToDate>false</LinksUpToDate>
  <CharactersWithSpaces>1466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俯仰的大宝A</cp:lastModifiedBy>
  <dcterms:modified xsi:type="dcterms:W3CDTF">2026-03-12T07:54:23Z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eyJoZGlkIjoiNWU0ODU5NWNjMTUyZDUzMWViZmI4NDQ3ZDQ2OGQ0ZmMiLCJ1c2VySWQiOiIyMDgxODYwNzIifQ==</vt:lpwstr>
  </property>
  <property fmtid="{D5CDD505-2E9C-101B-9397-08002B2CF9AE}" pid="4" name="ICV">
    <vt:lpwstr>C6474123AECF490DAE3DCB243FCA20ED_12</vt:lpwstr>
  </property>
</Properties>
</file>