
<file path=[Content_Types].xml><?xml version="1.0" encoding="utf-8"?>
<Types xmlns="http://schemas.openxmlformats.org/package/2006/content-types">
  <Default Extension="xlsx" ContentType="application/vnd.openxmlformats-officedocument.spreadsheetml.shee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617907">
      <w:pPr>
        <w:spacing w:line="600" w:lineRule="exact"/>
        <w:jc w:val="center"/>
        <w:outlineLvl w:val="0"/>
        <w:rPr>
          <w:rFonts w:ascii="微软雅黑" w:hAnsi="宋体" w:eastAsia="微软雅黑"/>
          <w:sz w:val="72"/>
          <w:szCs w:val="72"/>
        </w:rPr>
      </w:pPr>
      <w:bookmarkStart w:id="0" w:name="_Toc15377425"/>
      <w:bookmarkStart w:id="1" w:name="_Toc15396475"/>
      <w:bookmarkStart w:id="2" w:name="_Toc15396597"/>
      <w:bookmarkStart w:id="3" w:name="_Toc15378441"/>
      <w:bookmarkStart w:id="4" w:name="_Toc15377193"/>
      <w:bookmarkStart w:id="5" w:name="_Toc15306267"/>
    </w:p>
    <w:p w14:paraId="5F181542">
      <w:pPr>
        <w:pStyle w:val="6"/>
        <w:spacing w:before="93"/>
      </w:pPr>
    </w:p>
    <w:p w14:paraId="33EDD9C4">
      <w:pPr>
        <w:spacing w:line="600" w:lineRule="exact"/>
        <w:jc w:val="center"/>
        <w:outlineLvl w:val="0"/>
        <w:rPr>
          <w:rFonts w:ascii="微软雅黑" w:hAnsi="宋体" w:eastAsia="微软雅黑"/>
          <w:sz w:val="72"/>
          <w:szCs w:val="72"/>
        </w:rPr>
      </w:pPr>
    </w:p>
    <w:p w14:paraId="79E73EEA">
      <w:pPr>
        <w:spacing w:line="600" w:lineRule="exact"/>
        <w:jc w:val="center"/>
        <w:outlineLvl w:val="0"/>
        <w:rPr>
          <w:rFonts w:ascii="微软雅黑" w:hAnsi="宋体" w:eastAsia="微软雅黑"/>
          <w:sz w:val="72"/>
          <w:szCs w:val="72"/>
        </w:rPr>
      </w:pPr>
    </w:p>
    <w:p w14:paraId="2EEDD56E">
      <w:pPr>
        <w:adjustRightInd w:val="0"/>
        <w:snapToGrid w:val="0"/>
        <w:spacing w:line="360" w:lineRule="auto"/>
        <w:jc w:val="center"/>
        <w:outlineLvl w:val="0"/>
        <w:rPr>
          <w:rFonts w:ascii="微软雅黑" w:hAnsi="微软雅黑" w:eastAsia="微软雅黑" w:cs="微软雅黑"/>
          <w:sz w:val="72"/>
          <w:szCs w:val="72"/>
        </w:rPr>
      </w:pPr>
      <w:r>
        <w:rPr>
          <w:rFonts w:hint="eastAsia" w:ascii="微软雅黑" w:hAnsi="微软雅黑" w:eastAsia="微软雅黑" w:cs="微软雅黑"/>
          <w:sz w:val="72"/>
          <w:szCs w:val="72"/>
        </w:rPr>
        <w:t>202</w:t>
      </w:r>
      <w:r>
        <w:rPr>
          <w:rFonts w:hint="eastAsia" w:ascii="微软雅黑" w:hAnsi="微软雅黑" w:eastAsia="微软雅黑" w:cs="微软雅黑"/>
          <w:sz w:val="72"/>
          <w:szCs w:val="72"/>
          <w:lang w:val="en-US" w:eastAsia="zh-CN"/>
        </w:rPr>
        <w:t>4</w:t>
      </w:r>
      <w:r>
        <w:rPr>
          <w:rFonts w:hint="eastAsia" w:ascii="微软雅黑" w:hAnsi="微软雅黑" w:eastAsia="微软雅黑" w:cs="微软雅黑"/>
          <w:sz w:val="72"/>
          <w:szCs w:val="72"/>
        </w:rPr>
        <w:t>年度</w:t>
      </w:r>
      <w:bookmarkEnd w:id="0"/>
      <w:bookmarkEnd w:id="1"/>
      <w:bookmarkEnd w:id="2"/>
      <w:bookmarkEnd w:id="3"/>
      <w:bookmarkEnd w:id="4"/>
    </w:p>
    <w:bookmarkEnd w:id="5"/>
    <w:p w14:paraId="2A8D41A7">
      <w:pPr>
        <w:adjustRightInd w:val="0"/>
        <w:snapToGrid w:val="0"/>
        <w:spacing w:line="360" w:lineRule="auto"/>
        <w:jc w:val="center"/>
        <w:outlineLvl w:val="0"/>
        <w:rPr>
          <w:rFonts w:hint="eastAsia" w:ascii="微软雅黑" w:hAnsi="微软雅黑" w:eastAsia="微软雅黑" w:cs="微软雅黑"/>
          <w:sz w:val="72"/>
          <w:szCs w:val="72"/>
          <w:lang w:eastAsia="zh-CN"/>
        </w:rPr>
      </w:pPr>
      <w:bookmarkStart w:id="6" w:name="_Toc15377194"/>
      <w:bookmarkStart w:id="7" w:name="_Toc15396476"/>
      <w:bookmarkStart w:id="8" w:name="_Toc15396598"/>
      <w:bookmarkStart w:id="9" w:name="_Toc15378442"/>
      <w:bookmarkStart w:id="10" w:name="_Toc15306268"/>
      <w:bookmarkStart w:id="11" w:name="_Toc15377426"/>
      <w:r>
        <w:rPr>
          <w:rFonts w:hint="eastAsia" w:ascii="微软雅黑" w:hAnsi="微软雅黑" w:eastAsia="微软雅黑" w:cs="微软雅黑"/>
          <w:sz w:val="72"/>
          <w:szCs w:val="72"/>
          <w:lang w:val="en-US" w:eastAsia="zh-CN"/>
        </w:rPr>
        <w:t>金川县自然资源局</w:t>
      </w:r>
      <w:r>
        <w:rPr>
          <w:rFonts w:hint="eastAsia" w:ascii="微软雅黑" w:hAnsi="微软雅黑" w:eastAsia="微软雅黑" w:cs="微软雅黑"/>
          <w:sz w:val="72"/>
          <w:szCs w:val="72"/>
        </w:rPr>
        <w:t>部门决算</w:t>
      </w:r>
      <w:bookmarkEnd w:id="6"/>
      <w:bookmarkEnd w:id="7"/>
      <w:bookmarkEnd w:id="8"/>
      <w:bookmarkEnd w:id="9"/>
      <w:bookmarkEnd w:id="10"/>
      <w:bookmarkEnd w:id="11"/>
      <w:r>
        <w:rPr>
          <w:rFonts w:hint="eastAsia" w:ascii="微软雅黑" w:hAnsi="微软雅黑" w:eastAsia="微软雅黑" w:cs="微软雅黑"/>
          <w:sz w:val="72"/>
          <w:szCs w:val="72"/>
          <w:lang w:eastAsia="zh-CN"/>
        </w:rPr>
        <w:t>（部门公开）</w:t>
      </w:r>
    </w:p>
    <w:p w14:paraId="0727C6C8">
      <w:pPr>
        <w:widowControl/>
        <w:jc w:val="center"/>
        <w:rPr>
          <w:rFonts w:ascii="黑体" w:hAnsi="黑体" w:eastAsia="黑体"/>
          <w:sz w:val="48"/>
          <w:szCs w:val="48"/>
        </w:rPr>
      </w:pPr>
      <w:r>
        <w:rPr>
          <w:rFonts w:ascii="微软雅黑" w:hAnsi="宋体" w:eastAsia="微软雅黑"/>
          <w:sz w:val="36"/>
          <w:szCs w:val="36"/>
        </w:rPr>
        <w:br w:type="page"/>
      </w:r>
      <w:r>
        <w:rPr>
          <w:rFonts w:hint="eastAsia" w:ascii="黑体" w:hAnsi="黑体" w:eastAsia="黑体"/>
          <w:sz w:val="48"/>
          <w:szCs w:val="48"/>
        </w:rPr>
        <w:t>目录</w:t>
      </w:r>
    </w:p>
    <w:p w14:paraId="519241B5">
      <w:pPr>
        <w:widowControl/>
        <w:jc w:val="center"/>
        <w:rPr>
          <w:rFonts w:ascii="黑体" w:hAnsi="黑体" w:eastAsia="黑体" w:cstheme="minorBidi"/>
          <w:sz w:val="28"/>
          <w:szCs w:val="28"/>
        </w:rPr>
      </w:pPr>
    </w:p>
    <w:p w14:paraId="290FA2D0">
      <w:pPr>
        <w:pStyle w:val="13"/>
      </w:pPr>
      <w:r>
        <w:rPr>
          <w:rFonts w:hint="eastAsia"/>
        </w:rPr>
        <w:t>公开时间：</w:t>
      </w:r>
      <w:r>
        <w:rPr>
          <w:rFonts w:hint="eastAsia"/>
          <w:lang w:eastAsia="zh-CN"/>
        </w:rPr>
        <w:t>202</w:t>
      </w:r>
      <w:r>
        <w:rPr>
          <w:rFonts w:hint="eastAsia"/>
          <w:lang w:val="en-US" w:eastAsia="zh-CN"/>
        </w:rPr>
        <w:t>5</w:t>
      </w:r>
      <w:r>
        <w:rPr>
          <w:rFonts w:hint="eastAsia"/>
          <w:lang w:eastAsia="zh-CN"/>
        </w:rPr>
        <w:t>年</w:t>
      </w:r>
      <w:r>
        <w:rPr>
          <w:rFonts w:hint="eastAsia"/>
        </w:rPr>
        <w:t>8月</w:t>
      </w:r>
      <w:r>
        <w:rPr>
          <w:rFonts w:hint="eastAsia"/>
          <w:lang w:val="en-US" w:eastAsia="zh-CN"/>
        </w:rPr>
        <w:t>19</w:t>
      </w:r>
      <w:r>
        <w:rPr>
          <w:rFonts w:hint="eastAsia"/>
        </w:rPr>
        <w:t>日</w:t>
      </w:r>
    </w:p>
    <w:p w14:paraId="5182E0D9"/>
    <w:sdt>
      <w:sdtPr>
        <w:rPr>
          <w:rFonts w:ascii="宋体" w:hAnsi="宋体" w:eastAsia="宋体" w:cs="Times New Roman"/>
          <w:kern w:val="2"/>
          <w:sz w:val="21"/>
          <w:szCs w:val="24"/>
          <w:lang w:val="en-US" w:eastAsia="zh-CN" w:bidi="ar-SA"/>
        </w:rPr>
        <w:id w:val="147460395"/>
        <w15:color w:val="DBDBDB"/>
        <w:docPartObj>
          <w:docPartGallery w:val="Table of Contents"/>
          <w:docPartUnique/>
        </w:docPartObj>
      </w:sdtPr>
      <w:sdtEndPr>
        <w:rPr>
          <w:rFonts w:ascii="宋体" w:hAnsi="宋体" w:eastAsia="宋体" w:cs="Times New Roman"/>
          <w:kern w:val="2"/>
          <w:sz w:val="20"/>
          <w:szCs w:val="20"/>
          <w:lang w:val="en-US" w:eastAsia="zh-CN" w:bidi="ar-SA"/>
        </w:rPr>
      </w:sdtEndPr>
      <w:sdtContent>
        <w:p w14:paraId="1B1F9813">
          <w:pPr>
            <w:spacing w:before="0" w:beforeLines="0" w:after="0" w:afterLines="0" w:line="240" w:lineRule="auto"/>
            <w:ind w:left="0" w:leftChars="0" w:right="0" w:rightChars="0" w:firstLine="0" w:firstLineChars="0"/>
            <w:jc w:val="center"/>
          </w:pPr>
          <w:bookmarkStart w:id="12" w:name="_Toc30269_WPSOffice_Type2"/>
        </w:p>
        <w:p w14:paraId="223F4A23">
          <w:pPr>
            <w:pStyle w:val="38"/>
            <w:tabs>
              <w:tab w:val="right" w:leader="dot" w:pos="8306"/>
            </w:tabs>
            <w:rPr>
              <w:rFonts w:hint="eastAsia" w:eastAsia="宋体"/>
              <w:lang w:val="en-US" w:eastAsia="zh-CN"/>
            </w:rPr>
          </w:pPr>
          <w:r>
            <w:rPr>
              <w:b/>
              <w:bCs/>
            </w:rPr>
            <w:fldChar w:fldCharType="begin"/>
          </w:r>
          <w:r>
            <w:instrText xml:space="preserve"> HYPERLINK \l _Toc18747_WPSOffice_Level1 </w:instrText>
          </w:r>
          <w:r>
            <w:rPr>
              <w:b/>
              <w:bCs/>
            </w:rPr>
            <w:fldChar w:fldCharType="separate"/>
          </w:r>
          <w:sdt>
            <w:sdtPr>
              <w:rPr>
                <w:rFonts w:ascii="Times New Roman" w:hAnsi="Times New Roman" w:eastAsia="宋体" w:cs="Times New Roman"/>
                <w:b/>
                <w:bCs/>
                <w:kern w:val="2"/>
                <w:sz w:val="21"/>
                <w:szCs w:val="24"/>
                <w:lang w:val="en-US" w:eastAsia="zh-CN" w:bidi="ar-SA"/>
              </w:rPr>
              <w:id w:val="147461862"/>
              <w:placeholder>
                <w:docPart w:val="{212d6326-61f8-4684-b722-23d92b90c7dc}"/>
              </w:placeholder>
              <w15:color w:val="509DF3"/>
            </w:sdtPr>
            <w:sdtEndPr>
              <w:rPr>
                <w:rFonts w:ascii="Times New Roman" w:hAnsi="Times New Roman" w:eastAsia="宋体" w:cs="Times New Roman"/>
                <w:b/>
                <w:bCs/>
                <w:kern w:val="2"/>
                <w:sz w:val="21"/>
                <w:szCs w:val="24"/>
                <w:lang w:val="en-US" w:eastAsia="zh-CN" w:bidi="ar-SA"/>
              </w:rPr>
            </w:sdtEndPr>
            <w:sdtContent>
              <w:r>
                <w:rPr>
                  <w:rFonts w:hint="eastAsia" w:ascii="黑体" w:hAnsi="黑体" w:eastAsia="黑体" w:cs="Times New Roman"/>
                  <w:b/>
                  <w:bCs/>
                </w:rPr>
                <w:t>第一部分 部门概况</w:t>
              </w:r>
            </w:sdtContent>
          </w:sdt>
          <w:r>
            <w:rPr>
              <w:b/>
              <w:bCs/>
            </w:rPr>
            <w:tab/>
          </w:r>
          <w:r>
            <w:rPr>
              <w:b/>
              <w:bCs/>
            </w:rPr>
            <w:fldChar w:fldCharType="end"/>
          </w:r>
          <w:r>
            <w:rPr>
              <w:rFonts w:hint="eastAsia"/>
              <w:b/>
              <w:bCs/>
              <w:lang w:val="en-US" w:eastAsia="zh-CN"/>
            </w:rPr>
            <w:t>3</w:t>
          </w:r>
        </w:p>
        <w:p w14:paraId="384549BF">
          <w:pPr>
            <w:pStyle w:val="39"/>
            <w:tabs>
              <w:tab w:val="right" w:leader="dot" w:pos="8306"/>
            </w:tabs>
            <w:rPr>
              <w:rFonts w:hint="eastAsia" w:eastAsia="宋体"/>
              <w:lang w:val="en-US" w:eastAsia="zh-CN"/>
            </w:rPr>
          </w:pPr>
          <w:r>
            <w:fldChar w:fldCharType="begin"/>
          </w:r>
          <w:r>
            <w:instrText xml:space="preserve"> HYPERLINK \l _Toc19521_WPSOffice_Level2 </w:instrText>
          </w:r>
          <w:r>
            <w:fldChar w:fldCharType="separate"/>
          </w:r>
          <w:sdt>
            <w:sdtPr>
              <w:rPr>
                <w:rFonts w:ascii="Times New Roman" w:hAnsi="Times New Roman" w:eastAsia="宋体" w:cs="Times New Roman"/>
                <w:kern w:val="2"/>
                <w:sz w:val="21"/>
                <w:szCs w:val="24"/>
                <w:lang w:val="en-US" w:eastAsia="zh-CN" w:bidi="ar-SA"/>
              </w:rPr>
              <w:id w:val="147472244"/>
              <w:placeholder>
                <w:docPart w:val="{978bb783-76da-4bf3-8534-ea0d51127530}"/>
              </w:placeholder>
              <w15:color w:val="509DF3"/>
            </w:sdtPr>
            <w:sdtEndPr>
              <w:rPr>
                <w:rFonts w:ascii="Times New Roman" w:hAnsi="Times New Roman" w:eastAsia="宋体" w:cs="Times New Roman"/>
                <w:kern w:val="2"/>
                <w:sz w:val="21"/>
                <w:szCs w:val="24"/>
                <w:lang w:val="en-US" w:eastAsia="zh-CN" w:bidi="ar-SA"/>
              </w:rPr>
            </w:sdtEndPr>
            <w:sdtContent>
              <w:r>
                <w:rPr>
                  <w:rFonts w:hint="eastAsia" w:ascii="黑体" w:hAnsi="黑体" w:eastAsia="黑体" w:cstheme="majorBidi"/>
                </w:rPr>
                <w:t>一、 部门职责</w:t>
              </w:r>
            </w:sdtContent>
          </w:sdt>
          <w:r>
            <w:tab/>
          </w:r>
          <w:r>
            <w:fldChar w:fldCharType="end"/>
          </w:r>
          <w:r>
            <w:rPr>
              <w:rFonts w:hint="eastAsia"/>
              <w:lang w:val="en-US" w:eastAsia="zh-CN"/>
            </w:rPr>
            <w:t>3</w:t>
          </w:r>
        </w:p>
        <w:p w14:paraId="637C2FFB">
          <w:pPr>
            <w:pStyle w:val="39"/>
            <w:tabs>
              <w:tab w:val="right" w:leader="dot" w:pos="8306"/>
            </w:tabs>
            <w:rPr>
              <w:rFonts w:hint="eastAsia" w:eastAsia="宋体"/>
              <w:lang w:val="en-US" w:eastAsia="zh-CN"/>
            </w:rPr>
          </w:pPr>
          <w:r>
            <w:fldChar w:fldCharType="begin"/>
          </w:r>
          <w:r>
            <w:instrText xml:space="preserve"> HYPERLINK \l _Toc10559_WPSOffice_Level2 </w:instrText>
          </w:r>
          <w:r>
            <w:fldChar w:fldCharType="separate"/>
          </w:r>
          <w:sdt>
            <w:sdtPr>
              <w:rPr>
                <w:rFonts w:ascii="Times New Roman" w:hAnsi="Times New Roman" w:eastAsia="宋体" w:cs="Times New Roman"/>
                <w:kern w:val="2"/>
                <w:sz w:val="21"/>
                <w:szCs w:val="24"/>
                <w:lang w:val="en-US" w:eastAsia="zh-CN" w:bidi="ar-SA"/>
              </w:rPr>
              <w:id w:val="147464538"/>
              <w:placeholder>
                <w:docPart w:val="{3add2ee3-7776-4b6f-90c7-337eec2ae5c1}"/>
              </w:placeholder>
              <w15:color w:val="509DF3"/>
            </w:sdtPr>
            <w:sdtEndPr>
              <w:rPr>
                <w:rFonts w:ascii="Times New Roman" w:hAnsi="Times New Roman" w:eastAsia="宋体" w:cs="Times New Roman"/>
                <w:kern w:val="2"/>
                <w:sz w:val="21"/>
                <w:szCs w:val="24"/>
                <w:lang w:val="en-US" w:eastAsia="zh-CN" w:bidi="ar-SA"/>
              </w:rPr>
            </w:sdtEndPr>
            <w:sdtContent>
              <w:r>
                <w:rPr>
                  <w:rFonts w:hint="eastAsia" w:ascii="黑体" w:eastAsia="黑体" w:hAnsiTheme="majorHAnsi" w:cstheme="majorBidi"/>
                </w:rPr>
                <w:t>二、</w:t>
              </w:r>
              <w:r>
                <w:rPr>
                  <w:rFonts w:hint="eastAsia" w:ascii="黑体" w:hAnsi="黑体" w:eastAsia="黑体" w:cstheme="majorBidi"/>
                </w:rPr>
                <w:t>机构设置</w:t>
              </w:r>
            </w:sdtContent>
          </w:sdt>
          <w:r>
            <w:tab/>
          </w:r>
          <w:r>
            <w:fldChar w:fldCharType="end"/>
          </w:r>
          <w:r>
            <w:rPr>
              <w:rFonts w:hint="eastAsia"/>
              <w:lang w:val="en-US" w:eastAsia="zh-CN"/>
            </w:rPr>
            <w:t>6</w:t>
          </w:r>
        </w:p>
        <w:p w14:paraId="11B51770">
          <w:pPr>
            <w:pStyle w:val="38"/>
            <w:tabs>
              <w:tab w:val="right" w:leader="dot" w:pos="8306"/>
            </w:tabs>
            <w:rPr>
              <w:rFonts w:hint="eastAsia" w:eastAsia="宋体"/>
              <w:lang w:val="en-US" w:eastAsia="zh-CN"/>
            </w:rPr>
          </w:pPr>
          <w:r>
            <w:rPr>
              <w:b/>
              <w:bCs/>
            </w:rPr>
            <w:fldChar w:fldCharType="begin"/>
          </w:r>
          <w:r>
            <w:instrText xml:space="preserve"> HYPERLINK \l _Toc19521_WPSOffice_Level1 </w:instrText>
          </w:r>
          <w:r>
            <w:rPr>
              <w:b/>
              <w:bCs/>
            </w:rPr>
            <w:fldChar w:fldCharType="separate"/>
          </w:r>
          <w:sdt>
            <w:sdtPr>
              <w:rPr>
                <w:rFonts w:ascii="Times New Roman" w:hAnsi="Times New Roman" w:eastAsia="宋体" w:cs="Times New Roman"/>
                <w:b/>
                <w:bCs/>
                <w:kern w:val="2"/>
                <w:sz w:val="21"/>
                <w:szCs w:val="24"/>
                <w:lang w:val="en-US" w:eastAsia="zh-CN" w:bidi="ar-SA"/>
              </w:rPr>
              <w:id w:val="147480942"/>
              <w:placeholder>
                <w:docPart w:val="{76b71ce0-2d55-4c97-80ae-e79bbcde89bd}"/>
              </w:placeholder>
              <w15:color w:val="509DF3"/>
            </w:sdtPr>
            <w:sdtEndPr>
              <w:rPr>
                <w:rFonts w:ascii="Times New Roman" w:hAnsi="Times New Roman" w:eastAsia="宋体" w:cs="Times New Roman"/>
                <w:b/>
                <w:bCs/>
                <w:kern w:val="2"/>
                <w:sz w:val="21"/>
                <w:szCs w:val="24"/>
                <w:lang w:val="en-US" w:eastAsia="zh-CN" w:bidi="ar-SA"/>
              </w:rPr>
            </w:sdtEndPr>
            <w:sdtContent>
              <w:r>
                <w:rPr>
                  <w:rFonts w:hint="eastAsia" w:ascii="黑体" w:hAnsi="黑体" w:eastAsia="黑体" w:cs="Times New Roman"/>
                  <w:b/>
                  <w:bCs/>
                </w:rPr>
                <w:t xml:space="preserve">第二部分 </w:t>
              </w:r>
              <w:r>
                <w:rPr>
                  <w:rFonts w:hint="eastAsia" w:ascii="黑体" w:hAnsi="黑体" w:eastAsia="黑体" w:cs="Times New Roman"/>
                  <w:b/>
                  <w:bCs/>
                  <w:lang w:eastAsia="zh-CN"/>
                </w:rPr>
                <w:t>2024年</w:t>
              </w:r>
              <w:r>
                <w:rPr>
                  <w:rFonts w:hint="eastAsia" w:ascii="黑体" w:hAnsi="黑体" w:eastAsia="黑体" w:cs="Times New Roman"/>
                  <w:b/>
                  <w:bCs/>
                </w:rPr>
                <w:t>度部门决算情况说明</w:t>
              </w:r>
            </w:sdtContent>
          </w:sdt>
          <w:r>
            <w:rPr>
              <w:b/>
              <w:bCs/>
            </w:rPr>
            <w:tab/>
          </w:r>
          <w:r>
            <w:rPr>
              <w:b/>
              <w:bCs/>
            </w:rPr>
            <w:fldChar w:fldCharType="end"/>
          </w:r>
          <w:r>
            <w:rPr>
              <w:rFonts w:hint="eastAsia"/>
              <w:b/>
              <w:bCs/>
              <w:lang w:val="en-US" w:eastAsia="zh-CN"/>
            </w:rPr>
            <w:t>7</w:t>
          </w:r>
        </w:p>
        <w:p w14:paraId="39DE4611">
          <w:pPr>
            <w:pStyle w:val="39"/>
            <w:tabs>
              <w:tab w:val="right" w:leader="dot" w:pos="8306"/>
            </w:tabs>
            <w:rPr>
              <w:rFonts w:hint="eastAsia" w:eastAsia="宋体"/>
              <w:lang w:val="en-US" w:eastAsia="zh-CN"/>
            </w:rPr>
          </w:pPr>
          <w:r>
            <w:fldChar w:fldCharType="begin"/>
          </w:r>
          <w:r>
            <w:instrText xml:space="preserve"> HYPERLINK \l _Toc28311_WPSOffice_Level2 </w:instrText>
          </w:r>
          <w:r>
            <w:fldChar w:fldCharType="separate"/>
          </w:r>
          <w:sdt>
            <w:sdtPr>
              <w:rPr>
                <w:rFonts w:ascii="Times New Roman" w:hAnsi="Times New Roman" w:eastAsia="宋体" w:cs="Times New Roman"/>
                <w:kern w:val="2"/>
                <w:sz w:val="21"/>
                <w:szCs w:val="24"/>
                <w:lang w:val="en-US" w:eastAsia="zh-CN" w:bidi="ar-SA"/>
              </w:rPr>
              <w:id w:val="147470062"/>
              <w:placeholder>
                <w:docPart w:val="{922dd4a5-fd7a-4793-bdf7-74f255e9e0fa}"/>
              </w:placeholder>
              <w15:color w:val="509DF3"/>
            </w:sdtPr>
            <w:sdtEndPr>
              <w:rPr>
                <w:rFonts w:ascii="Times New Roman" w:hAnsi="Times New Roman" w:eastAsia="宋体" w:cs="Times New Roman"/>
                <w:kern w:val="2"/>
                <w:sz w:val="21"/>
                <w:szCs w:val="24"/>
                <w:lang w:val="en-US" w:eastAsia="zh-CN" w:bidi="ar-SA"/>
              </w:rPr>
            </w:sdtEndPr>
            <w:sdtContent>
              <w:r>
                <w:rPr>
                  <w:rFonts w:hint="default" w:ascii="黑体" w:hAnsi="黑体" w:eastAsia="黑体" w:cstheme="majorBidi"/>
                </w:rPr>
                <w:t xml:space="preserve">一、 </w:t>
              </w:r>
              <w:r>
                <w:rPr>
                  <w:rFonts w:hint="eastAsia" w:ascii="黑体" w:hAnsi="黑体" w:eastAsia="黑体" w:cs="Times New Roman"/>
                </w:rPr>
                <w:t>收</w:t>
              </w:r>
              <w:r>
                <w:rPr>
                  <w:rFonts w:hint="eastAsia" w:ascii="黑体" w:hAnsi="黑体" w:eastAsia="黑体" w:cstheme="majorBidi"/>
                </w:rPr>
                <w:t>入支出决算总体情况说明</w:t>
              </w:r>
            </w:sdtContent>
          </w:sdt>
          <w:r>
            <w:tab/>
          </w:r>
          <w:r>
            <w:fldChar w:fldCharType="end"/>
          </w:r>
          <w:r>
            <w:rPr>
              <w:rFonts w:hint="eastAsia"/>
              <w:lang w:val="en-US" w:eastAsia="zh-CN"/>
            </w:rPr>
            <w:t>7</w:t>
          </w:r>
        </w:p>
        <w:p w14:paraId="5D6C2A1E">
          <w:pPr>
            <w:pStyle w:val="39"/>
            <w:tabs>
              <w:tab w:val="right" w:leader="dot" w:pos="8306"/>
            </w:tabs>
            <w:rPr>
              <w:rFonts w:hint="eastAsia" w:eastAsia="宋体"/>
              <w:lang w:val="en-US" w:eastAsia="zh-CN"/>
            </w:rPr>
          </w:pPr>
          <w:r>
            <w:fldChar w:fldCharType="begin"/>
          </w:r>
          <w:r>
            <w:instrText xml:space="preserve"> HYPERLINK \l _Toc24205_WPSOffice_Level2 </w:instrText>
          </w:r>
          <w:r>
            <w:fldChar w:fldCharType="separate"/>
          </w:r>
          <w:sdt>
            <w:sdtPr>
              <w:rPr>
                <w:rFonts w:ascii="Times New Roman" w:hAnsi="Times New Roman" w:eastAsia="宋体" w:cs="Times New Roman"/>
                <w:kern w:val="2"/>
                <w:sz w:val="21"/>
                <w:szCs w:val="24"/>
                <w:lang w:val="en-US" w:eastAsia="zh-CN" w:bidi="ar-SA"/>
              </w:rPr>
              <w:id w:val="147480585"/>
              <w:placeholder>
                <w:docPart w:val="{4190efa9-37a6-45f6-80db-9d9268ff0242}"/>
              </w:placeholder>
              <w15:color w:val="509DF3"/>
            </w:sdtPr>
            <w:sdtEndPr>
              <w:rPr>
                <w:rFonts w:ascii="Times New Roman" w:hAnsi="Times New Roman" w:eastAsia="宋体" w:cs="Times New Roman"/>
                <w:kern w:val="2"/>
                <w:sz w:val="21"/>
                <w:szCs w:val="24"/>
                <w:lang w:val="en-US" w:eastAsia="zh-CN" w:bidi="ar-SA"/>
              </w:rPr>
            </w:sdtEndPr>
            <w:sdtContent>
              <w:r>
                <w:rPr>
                  <w:rFonts w:hint="default" w:ascii="黑体" w:hAnsi="黑体" w:eastAsia="黑体" w:cstheme="majorBidi"/>
                </w:rPr>
                <w:t xml:space="preserve">二、 </w:t>
              </w:r>
              <w:r>
                <w:rPr>
                  <w:rFonts w:hint="eastAsia" w:ascii="黑体" w:hAnsi="黑体" w:eastAsia="黑体" w:cs="Times New Roman"/>
                </w:rPr>
                <w:t>收</w:t>
              </w:r>
              <w:r>
                <w:rPr>
                  <w:rFonts w:hint="eastAsia" w:ascii="黑体" w:hAnsi="黑体" w:eastAsia="黑体" w:cstheme="majorBidi"/>
                </w:rPr>
                <w:t>入决算情况说明</w:t>
              </w:r>
            </w:sdtContent>
          </w:sdt>
          <w:r>
            <w:tab/>
          </w:r>
          <w:r>
            <w:fldChar w:fldCharType="end"/>
          </w:r>
          <w:r>
            <w:rPr>
              <w:rFonts w:hint="eastAsia"/>
              <w:lang w:val="en-US" w:eastAsia="zh-CN"/>
            </w:rPr>
            <w:t>7</w:t>
          </w:r>
        </w:p>
        <w:p w14:paraId="7974F807">
          <w:pPr>
            <w:pStyle w:val="39"/>
            <w:tabs>
              <w:tab w:val="right" w:leader="dot" w:pos="8306"/>
            </w:tabs>
            <w:rPr>
              <w:rFonts w:hint="eastAsia" w:eastAsia="宋体"/>
              <w:lang w:val="en-US" w:eastAsia="zh-CN"/>
            </w:rPr>
          </w:pPr>
          <w:r>
            <w:fldChar w:fldCharType="begin"/>
          </w:r>
          <w:r>
            <w:instrText xml:space="preserve"> HYPERLINK \l _Toc4062_WPSOffice_Level2 </w:instrText>
          </w:r>
          <w:r>
            <w:fldChar w:fldCharType="separate"/>
          </w:r>
          <w:sdt>
            <w:sdtPr>
              <w:rPr>
                <w:rFonts w:ascii="Times New Roman" w:hAnsi="Times New Roman" w:eastAsia="宋体" w:cs="Times New Roman"/>
                <w:kern w:val="2"/>
                <w:sz w:val="21"/>
                <w:szCs w:val="24"/>
                <w:lang w:val="en-US" w:eastAsia="zh-CN" w:bidi="ar-SA"/>
              </w:rPr>
              <w:id w:val="147482487"/>
              <w:placeholder>
                <w:docPart w:val="{8af3b4ff-a045-4ffe-be98-523b9396d676}"/>
              </w:placeholder>
              <w15:color w:val="509DF3"/>
            </w:sdtPr>
            <w:sdtEndPr>
              <w:rPr>
                <w:rFonts w:ascii="Times New Roman" w:hAnsi="Times New Roman" w:eastAsia="宋体" w:cs="Times New Roman"/>
                <w:kern w:val="2"/>
                <w:sz w:val="21"/>
                <w:szCs w:val="24"/>
                <w:lang w:val="en-US" w:eastAsia="zh-CN" w:bidi="ar-SA"/>
              </w:rPr>
            </w:sdtEndPr>
            <w:sdtContent>
              <w:r>
                <w:rPr>
                  <w:rFonts w:hint="default" w:ascii="黑体" w:hAnsi="黑体" w:eastAsia="黑体" w:cstheme="majorBidi"/>
                </w:rPr>
                <w:t xml:space="preserve">三、 </w:t>
              </w:r>
              <w:r>
                <w:rPr>
                  <w:rFonts w:hint="eastAsia" w:ascii="黑体" w:hAnsi="黑体" w:eastAsia="黑体" w:cs="Times New Roman"/>
                </w:rPr>
                <w:t>支</w:t>
              </w:r>
              <w:r>
                <w:rPr>
                  <w:rFonts w:hint="eastAsia" w:ascii="黑体" w:hAnsi="黑体" w:eastAsia="黑体" w:cstheme="majorBidi"/>
                </w:rPr>
                <w:t>出决算情况说明</w:t>
              </w:r>
            </w:sdtContent>
          </w:sdt>
          <w:r>
            <w:tab/>
          </w:r>
          <w:r>
            <w:fldChar w:fldCharType="end"/>
          </w:r>
          <w:r>
            <w:rPr>
              <w:rFonts w:hint="eastAsia"/>
              <w:lang w:val="en-US" w:eastAsia="zh-CN"/>
            </w:rPr>
            <w:t>8</w:t>
          </w:r>
        </w:p>
        <w:p w14:paraId="4F845975">
          <w:pPr>
            <w:pStyle w:val="39"/>
            <w:tabs>
              <w:tab w:val="right" w:leader="dot" w:pos="8306"/>
            </w:tabs>
            <w:rPr>
              <w:rFonts w:hint="eastAsia" w:eastAsia="宋体"/>
              <w:lang w:val="en-US" w:eastAsia="zh-CN"/>
            </w:rPr>
          </w:pPr>
          <w:r>
            <w:fldChar w:fldCharType="begin"/>
          </w:r>
          <w:r>
            <w:instrText xml:space="preserve"> HYPERLINK \l _Toc29887_WPSOffice_Level2 </w:instrText>
          </w:r>
          <w:r>
            <w:fldChar w:fldCharType="separate"/>
          </w:r>
          <w:sdt>
            <w:sdtPr>
              <w:rPr>
                <w:rFonts w:ascii="Times New Roman" w:hAnsi="Times New Roman" w:eastAsia="宋体" w:cs="Times New Roman"/>
                <w:kern w:val="2"/>
                <w:sz w:val="21"/>
                <w:szCs w:val="24"/>
                <w:lang w:val="en-US" w:eastAsia="zh-CN" w:bidi="ar-SA"/>
              </w:rPr>
              <w:id w:val="147458621"/>
              <w:placeholder>
                <w:docPart w:val="{e0bfe996-4b05-4d3c-a2a1-36759673036f}"/>
              </w:placeholder>
              <w15:color w:val="509DF3"/>
            </w:sdtPr>
            <w:sdtEndPr>
              <w:rPr>
                <w:rFonts w:ascii="Times New Roman" w:hAnsi="Times New Roman" w:eastAsia="宋体" w:cs="Times New Roman"/>
                <w:kern w:val="2"/>
                <w:sz w:val="21"/>
                <w:szCs w:val="24"/>
                <w:lang w:val="en-US" w:eastAsia="zh-CN" w:bidi="ar-SA"/>
              </w:rPr>
            </w:sdtEndPr>
            <w:sdtContent>
              <w:r>
                <w:rPr>
                  <w:rFonts w:hint="eastAsia" w:ascii="黑体" w:hAnsi="黑体" w:eastAsia="黑体" w:cs="Times New Roman"/>
                </w:rPr>
                <w:t>四、财</w:t>
              </w:r>
              <w:r>
                <w:rPr>
                  <w:rFonts w:hint="eastAsia" w:ascii="黑体" w:hAnsi="黑体" w:eastAsia="黑体" w:cstheme="majorBidi"/>
                </w:rPr>
                <w:t>政拨款收入支出决算总体情况说明</w:t>
              </w:r>
            </w:sdtContent>
          </w:sdt>
          <w:r>
            <w:tab/>
          </w:r>
          <w:r>
            <w:fldChar w:fldCharType="end"/>
          </w:r>
          <w:r>
            <w:rPr>
              <w:rFonts w:hint="eastAsia"/>
              <w:lang w:val="en-US" w:eastAsia="zh-CN"/>
            </w:rPr>
            <w:t>9</w:t>
          </w:r>
        </w:p>
        <w:p w14:paraId="3C2D9E47">
          <w:pPr>
            <w:pStyle w:val="39"/>
            <w:tabs>
              <w:tab w:val="right" w:leader="dot" w:pos="8306"/>
            </w:tabs>
            <w:rPr>
              <w:rFonts w:hint="eastAsia" w:eastAsia="宋体"/>
              <w:lang w:val="en-US" w:eastAsia="zh-CN"/>
            </w:rPr>
          </w:pPr>
          <w:r>
            <w:fldChar w:fldCharType="begin"/>
          </w:r>
          <w:r>
            <w:instrText xml:space="preserve"> HYPERLINK \l _Toc9809_WPSOffice_Level2 </w:instrText>
          </w:r>
          <w:r>
            <w:fldChar w:fldCharType="separate"/>
          </w:r>
          <w:sdt>
            <w:sdtPr>
              <w:rPr>
                <w:rFonts w:ascii="Times New Roman" w:hAnsi="Times New Roman" w:eastAsia="宋体" w:cs="Times New Roman"/>
                <w:kern w:val="2"/>
                <w:sz w:val="21"/>
                <w:szCs w:val="24"/>
                <w:lang w:val="en-US" w:eastAsia="zh-CN" w:bidi="ar-SA"/>
              </w:rPr>
              <w:id w:val="147452619"/>
              <w:placeholder>
                <w:docPart w:val="{1511e3f9-40ca-40f2-bab5-13a2a8706bb2}"/>
              </w:placeholder>
              <w15:color w:val="509DF3"/>
            </w:sdtPr>
            <w:sdtEndPr>
              <w:rPr>
                <w:rFonts w:ascii="Times New Roman" w:hAnsi="Times New Roman" w:eastAsia="宋体" w:cs="Times New Roman"/>
                <w:kern w:val="2"/>
                <w:sz w:val="21"/>
                <w:szCs w:val="24"/>
                <w:lang w:val="en-US" w:eastAsia="zh-CN" w:bidi="ar-SA"/>
              </w:rPr>
            </w:sdtEndPr>
            <w:sdtContent>
              <w:r>
                <w:rPr>
                  <w:rFonts w:hint="eastAsia" w:ascii="黑体" w:hAnsi="黑体" w:eastAsia="黑体" w:cs="Times New Roman"/>
                </w:rPr>
                <w:t>五、一</w:t>
              </w:r>
              <w:r>
                <w:rPr>
                  <w:rFonts w:hint="eastAsia" w:ascii="黑体" w:hAnsi="黑体" w:eastAsia="黑体" w:cstheme="majorBidi"/>
                </w:rPr>
                <w:t>般公共预算财政拨款支出决算情况说明</w:t>
              </w:r>
            </w:sdtContent>
          </w:sdt>
          <w:r>
            <w:tab/>
          </w:r>
          <w:r>
            <w:fldChar w:fldCharType="end"/>
          </w:r>
          <w:r>
            <w:rPr>
              <w:rFonts w:hint="eastAsia"/>
              <w:lang w:val="en-US" w:eastAsia="zh-CN"/>
            </w:rPr>
            <w:t>9</w:t>
          </w:r>
        </w:p>
        <w:p w14:paraId="77AB747D">
          <w:pPr>
            <w:pStyle w:val="39"/>
            <w:tabs>
              <w:tab w:val="right" w:leader="dot" w:pos="8306"/>
            </w:tabs>
            <w:rPr>
              <w:rFonts w:hint="default" w:eastAsia="宋体"/>
              <w:lang w:val="en-US" w:eastAsia="zh-CN"/>
            </w:rPr>
          </w:pPr>
          <w:r>
            <w:fldChar w:fldCharType="begin"/>
          </w:r>
          <w:r>
            <w:instrText xml:space="preserve"> HYPERLINK \l _Toc20710_WPSOffice_Level2 </w:instrText>
          </w:r>
          <w:r>
            <w:fldChar w:fldCharType="separate"/>
          </w:r>
          <w:sdt>
            <w:sdtPr>
              <w:rPr>
                <w:rFonts w:ascii="Times New Roman" w:hAnsi="Times New Roman" w:eastAsia="宋体" w:cs="Times New Roman"/>
                <w:kern w:val="2"/>
                <w:sz w:val="21"/>
                <w:szCs w:val="24"/>
                <w:lang w:val="en-US" w:eastAsia="zh-CN" w:bidi="ar-SA"/>
              </w:rPr>
              <w:id w:val="147460687"/>
              <w:placeholder>
                <w:docPart w:val="{16754835-1264-4e3d-89dc-e051cfe96b9a}"/>
              </w:placeholder>
              <w15:color w:val="509DF3"/>
            </w:sdtPr>
            <w:sdtEndPr>
              <w:rPr>
                <w:rFonts w:ascii="Times New Roman" w:hAnsi="Times New Roman" w:eastAsia="宋体" w:cs="Times New Roman"/>
                <w:kern w:val="2"/>
                <w:sz w:val="21"/>
                <w:szCs w:val="24"/>
                <w:lang w:val="en-US" w:eastAsia="zh-CN" w:bidi="ar-SA"/>
              </w:rPr>
            </w:sdtEndPr>
            <w:sdtContent>
              <w:r>
                <w:rPr>
                  <w:rFonts w:hint="eastAsia" w:ascii="黑体" w:hAnsi="Times New Roman" w:eastAsia="黑体" w:cs="Times New Roman"/>
                </w:rPr>
                <w:t>六、</w:t>
              </w:r>
              <w:r>
                <w:rPr>
                  <w:rFonts w:hint="eastAsia" w:ascii="黑体" w:hAnsi="黑体" w:eastAsia="黑体" w:cs="Times New Roman"/>
                </w:rPr>
                <w:t>一</w:t>
              </w:r>
              <w:r>
                <w:rPr>
                  <w:rFonts w:hint="eastAsia" w:ascii="黑体" w:hAnsi="黑体" w:eastAsia="黑体" w:cstheme="majorBidi"/>
                </w:rPr>
                <w:t>般公共预算财政拨款基本支出决算情况说明</w:t>
              </w:r>
            </w:sdtContent>
          </w:sdt>
          <w:r>
            <w:tab/>
          </w:r>
          <w:r>
            <w:fldChar w:fldCharType="end"/>
          </w:r>
          <w:r>
            <w:rPr>
              <w:rFonts w:hint="eastAsia"/>
              <w:lang w:val="en-US" w:eastAsia="zh-CN"/>
            </w:rPr>
            <w:t>13</w:t>
          </w:r>
        </w:p>
        <w:p w14:paraId="03CFD52F">
          <w:pPr>
            <w:pStyle w:val="39"/>
            <w:tabs>
              <w:tab w:val="right" w:leader="dot" w:pos="8306"/>
            </w:tabs>
            <w:rPr>
              <w:rFonts w:hint="default" w:eastAsia="宋体"/>
              <w:lang w:val="en-US" w:eastAsia="zh-CN"/>
            </w:rPr>
          </w:pPr>
          <w:r>
            <w:fldChar w:fldCharType="begin"/>
          </w:r>
          <w:r>
            <w:instrText xml:space="preserve"> HYPERLINK \l _Toc13177_WPSOffice_Level2 </w:instrText>
          </w:r>
          <w:r>
            <w:fldChar w:fldCharType="separate"/>
          </w:r>
          <w:sdt>
            <w:sdtPr>
              <w:rPr>
                <w:rFonts w:ascii="Times New Roman" w:hAnsi="Times New Roman" w:eastAsia="宋体" w:cs="Times New Roman"/>
                <w:kern w:val="2"/>
                <w:sz w:val="21"/>
                <w:szCs w:val="24"/>
                <w:lang w:val="en-US" w:eastAsia="zh-CN" w:bidi="ar-SA"/>
              </w:rPr>
              <w:id w:val="147457226"/>
              <w:placeholder>
                <w:docPart w:val="{853a3ee3-bd28-4877-99b9-43f80775e27d}"/>
              </w:placeholder>
              <w15:color w:val="509DF3"/>
            </w:sdtPr>
            <w:sdtEndPr>
              <w:rPr>
                <w:rFonts w:ascii="Times New Roman" w:hAnsi="Times New Roman" w:eastAsia="宋体" w:cs="Times New Roman"/>
                <w:kern w:val="2"/>
                <w:sz w:val="21"/>
                <w:szCs w:val="24"/>
                <w:lang w:val="en-US" w:eastAsia="zh-CN" w:bidi="ar-SA"/>
              </w:rPr>
            </w:sdtEndPr>
            <w:sdtContent>
              <w:r>
                <w:rPr>
                  <w:rFonts w:hint="eastAsia" w:ascii="黑体" w:hAnsi="Times New Roman" w:eastAsia="黑体" w:cs="Times New Roman"/>
                </w:rPr>
                <w:t>七、</w:t>
              </w:r>
              <w:r>
                <w:rPr>
                  <w:rFonts w:hint="eastAsia" w:ascii="黑体" w:hAnsi="黑体" w:eastAsia="黑体" w:cstheme="majorBidi"/>
                </w:rPr>
                <w:t>财政拨款“三公”经费支出决算情况说明</w:t>
              </w:r>
            </w:sdtContent>
          </w:sdt>
          <w:r>
            <w:tab/>
          </w:r>
          <w:r>
            <w:fldChar w:fldCharType="end"/>
          </w:r>
          <w:r>
            <w:rPr>
              <w:rFonts w:hint="eastAsia"/>
              <w:lang w:val="en-US" w:eastAsia="zh-CN"/>
            </w:rPr>
            <w:t>14</w:t>
          </w:r>
        </w:p>
        <w:p w14:paraId="1A0AA1BD">
          <w:pPr>
            <w:pStyle w:val="39"/>
            <w:tabs>
              <w:tab w:val="right" w:leader="dot" w:pos="8306"/>
            </w:tabs>
            <w:rPr>
              <w:rFonts w:hint="eastAsia" w:eastAsia="宋体"/>
              <w:lang w:val="en-US" w:eastAsia="zh-CN"/>
            </w:rPr>
          </w:pPr>
          <w:r>
            <w:fldChar w:fldCharType="begin"/>
          </w:r>
          <w:r>
            <w:instrText xml:space="preserve"> HYPERLINK \l _Toc17469_WPSOffice_Level2 </w:instrText>
          </w:r>
          <w:r>
            <w:fldChar w:fldCharType="separate"/>
          </w:r>
          <w:sdt>
            <w:sdtPr>
              <w:rPr>
                <w:rFonts w:ascii="Times New Roman" w:hAnsi="Times New Roman" w:eastAsia="宋体" w:cs="Times New Roman"/>
                <w:kern w:val="2"/>
                <w:sz w:val="21"/>
                <w:szCs w:val="24"/>
                <w:lang w:val="en-US" w:eastAsia="zh-CN" w:bidi="ar-SA"/>
              </w:rPr>
              <w:id w:val="147481750"/>
              <w:placeholder>
                <w:docPart w:val="{83131f29-8fac-4c95-a935-4d00d189b07d}"/>
              </w:placeholder>
              <w15:color w:val="509DF3"/>
            </w:sdtPr>
            <w:sdtEndPr>
              <w:rPr>
                <w:rFonts w:ascii="Times New Roman" w:hAnsi="Times New Roman" w:eastAsia="宋体" w:cs="Times New Roman"/>
                <w:kern w:val="2"/>
                <w:sz w:val="21"/>
                <w:szCs w:val="24"/>
                <w:lang w:val="en-US" w:eastAsia="zh-CN" w:bidi="ar-SA"/>
              </w:rPr>
            </w:sdtEndPr>
            <w:sdtContent>
              <w:r>
                <w:rPr>
                  <w:rFonts w:hint="eastAsia" w:ascii="黑体" w:hAnsi="Times New Roman" w:eastAsia="黑体" w:cs="Times New Roman"/>
                </w:rPr>
                <w:t>八、</w:t>
              </w:r>
              <w:r>
                <w:rPr>
                  <w:rFonts w:hint="eastAsia" w:ascii="黑体" w:hAnsi="黑体" w:eastAsia="黑体" w:cstheme="majorBidi"/>
                </w:rPr>
                <w:t>政府性基金预算支出决算情况说明</w:t>
              </w:r>
            </w:sdtContent>
          </w:sdt>
          <w:r>
            <w:tab/>
          </w:r>
          <w:bookmarkStart w:id="13" w:name="_Toc17469_WPSOffice_Level2Page"/>
          <w:r>
            <w:t>1</w:t>
          </w:r>
          <w:bookmarkEnd w:id="13"/>
          <w:r>
            <w:fldChar w:fldCharType="end"/>
          </w:r>
          <w:r>
            <w:rPr>
              <w:rFonts w:hint="eastAsia"/>
              <w:lang w:val="en-US" w:eastAsia="zh-CN"/>
            </w:rPr>
            <w:t>6</w:t>
          </w:r>
        </w:p>
        <w:p w14:paraId="53777039">
          <w:pPr>
            <w:pStyle w:val="39"/>
            <w:tabs>
              <w:tab w:val="right" w:leader="dot" w:pos="8306"/>
            </w:tabs>
            <w:rPr>
              <w:rFonts w:hint="eastAsia" w:eastAsia="宋体"/>
              <w:lang w:val="en-US" w:eastAsia="zh-CN"/>
            </w:rPr>
          </w:pPr>
          <w:r>
            <w:fldChar w:fldCharType="begin"/>
          </w:r>
          <w:r>
            <w:instrText xml:space="preserve"> HYPERLINK \l _Toc2602_WPSOffice_Level2 </w:instrText>
          </w:r>
          <w:r>
            <w:fldChar w:fldCharType="separate"/>
          </w:r>
          <w:sdt>
            <w:sdtPr>
              <w:rPr>
                <w:rFonts w:ascii="Times New Roman" w:hAnsi="Times New Roman" w:eastAsia="宋体" w:cs="Times New Roman"/>
                <w:kern w:val="2"/>
                <w:sz w:val="21"/>
                <w:szCs w:val="24"/>
                <w:lang w:val="en-US" w:eastAsia="zh-CN" w:bidi="ar-SA"/>
              </w:rPr>
              <w:id w:val="147480715"/>
              <w:placeholder>
                <w:docPart w:val="{df0c68da-1dea-47e4-a1ff-ea6ced8e230e}"/>
              </w:placeholder>
              <w15:color w:val="509DF3"/>
            </w:sdtPr>
            <w:sdtEndPr>
              <w:rPr>
                <w:rFonts w:ascii="Times New Roman" w:hAnsi="Times New Roman" w:eastAsia="宋体" w:cs="Times New Roman"/>
                <w:kern w:val="2"/>
                <w:sz w:val="21"/>
                <w:szCs w:val="24"/>
                <w:lang w:val="en-US" w:eastAsia="zh-CN" w:bidi="ar-SA"/>
              </w:rPr>
            </w:sdtEndPr>
            <w:sdtContent>
              <w:r>
                <w:rPr>
                  <w:rFonts w:hint="eastAsia" w:ascii="黑体" w:hAnsi="黑体" w:eastAsia="黑体" w:cstheme="majorBidi"/>
                </w:rPr>
                <w:t>九、 国有资本经营预算支出决算情况说明</w:t>
              </w:r>
            </w:sdtContent>
          </w:sdt>
          <w:r>
            <w:tab/>
          </w:r>
          <w:bookmarkStart w:id="14" w:name="_Toc2602_WPSOffice_Level2Page"/>
          <w:r>
            <w:t>1</w:t>
          </w:r>
          <w:bookmarkEnd w:id="14"/>
          <w:r>
            <w:fldChar w:fldCharType="end"/>
          </w:r>
          <w:r>
            <w:rPr>
              <w:rFonts w:hint="eastAsia"/>
              <w:lang w:val="en-US" w:eastAsia="zh-CN"/>
            </w:rPr>
            <w:t>6</w:t>
          </w:r>
        </w:p>
        <w:p w14:paraId="1827DE53">
          <w:pPr>
            <w:pStyle w:val="39"/>
            <w:tabs>
              <w:tab w:val="right" w:leader="dot" w:pos="8306"/>
            </w:tabs>
            <w:rPr>
              <w:rFonts w:hint="eastAsia" w:eastAsia="宋体"/>
              <w:lang w:val="en-US" w:eastAsia="zh-CN"/>
            </w:rPr>
          </w:pPr>
          <w:r>
            <w:fldChar w:fldCharType="begin"/>
          </w:r>
          <w:r>
            <w:instrText xml:space="preserve"> HYPERLINK \l _Toc10918_WPSOffice_Level2 </w:instrText>
          </w:r>
          <w:r>
            <w:fldChar w:fldCharType="separate"/>
          </w:r>
          <w:sdt>
            <w:sdtPr>
              <w:rPr>
                <w:rFonts w:ascii="Times New Roman" w:hAnsi="Times New Roman" w:eastAsia="宋体" w:cs="Times New Roman"/>
                <w:kern w:val="2"/>
                <w:sz w:val="21"/>
                <w:szCs w:val="24"/>
                <w:lang w:val="en-US" w:eastAsia="zh-CN" w:bidi="ar-SA"/>
              </w:rPr>
              <w:id w:val="147462001"/>
              <w:placeholder>
                <w:docPart w:val="{8c94ce60-84a4-428f-811e-4cbe687724f2}"/>
              </w:placeholder>
              <w15:color w:val="509DF3"/>
            </w:sdtPr>
            <w:sdtEndPr>
              <w:rPr>
                <w:rFonts w:ascii="Times New Roman" w:hAnsi="Times New Roman" w:eastAsia="宋体" w:cs="Times New Roman"/>
                <w:kern w:val="2"/>
                <w:sz w:val="21"/>
                <w:szCs w:val="24"/>
                <w:lang w:val="en-US" w:eastAsia="zh-CN" w:bidi="ar-SA"/>
              </w:rPr>
            </w:sdtEndPr>
            <w:sdtContent>
              <w:r>
                <w:rPr>
                  <w:rFonts w:hint="eastAsia" w:ascii="黑体" w:hAnsi="黑体" w:eastAsia="黑体" w:cstheme="majorBidi"/>
                </w:rPr>
                <w:t>十、 其他重要事项的情况说明</w:t>
              </w:r>
            </w:sdtContent>
          </w:sdt>
          <w:r>
            <w:tab/>
          </w:r>
          <w:bookmarkStart w:id="15" w:name="_Toc10918_WPSOffice_Level2Page"/>
          <w:r>
            <w:t>1</w:t>
          </w:r>
          <w:bookmarkEnd w:id="15"/>
          <w:r>
            <w:fldChar w:fldCharType="end"/>
          </w:r>
          <w:r>
            <w:rPr>
              <w:rFonts w:hint="eastAsia"/>
              <w:lang w:val="en-US" w:eastAsia="zh-CN"/>
            </w:rPr>
            <w:t>6</w:t>
          </w:r>
        </w:p>
        <w:p w14:paraId="318976E3">
          <w:pPr>
            <w:pStyle w:val="38"/>
            <w:tabs>
              <w:tab w:val="right" w:leader="dot" w:pos="8306"/>
            </w:tabs>
            <w:rPr>
              <w:rFonts w:hint="default" w:eastAsia="宋体"/>
              <w:lang w:val="en-US" w:eastAsia="zh-CN"/>
            </w:rPr>
          </w:pPr>
          <w:r>
            <w:rPr>
              <w:b/>
              <w:bCs/>
            </w:rPr>
            <w:fldChar w:fldCharType="begin"/>
          </w:r>
          <w:r>
            <w:instrText xml:space="preserve"> HYPERLINK \l _Toc10559_WPSOffice_Level1 </w:instrText>
          </w:r>
          <w:r>
            <w:rPr>
              <w:b/>
              <w:bCs/>
            </w:rPr>
            <w:fldChar w:fldCharType="separate"/>
          </w:r>
          <w:sdt>
            <w:sdtPr>
              <w:rPr>
                <w:rFonts w:ascii="Times New Roman" w:hAnsi="Times New Roman" w:eastAsia="宋体" w:cs="Times New Roman"/>
                <w:b/>
                <w:bCs/>
                <w:kern w:val="2"/>
                <w:sz w:val="21"/>
                <w:szCs w:val="24"/>
                <w:lang w:val="en-US" w:eastAsia="zh-CN" w:bidi="ar-SA"/>
              </w:rPr>
              <w:id w:val="147471359"/>
              <w:placeholder>
                <w:docPart w:val="{087b45b4-279d-471c-b6e6-1aca82128cc0}"/>
              </w:placeholder>
              <w15:color w:val="509DF3"/>
            </w:sdtPr>
            <w:sdtEndPr>
              <w:rPr>
                <w:rFonts w:ascii="Times New Roman" w:hAnsi="Times New Roman" w:eastAsia="宋体" w:cs="Times New Roman"/>
                <w:b/>
                <w:bCs/>
                <w:kern w:val="2"/>
                <w:sz w:val="21"/>
                <w:szCs w:val="24"/>
                <w:lang w:val="en-US" w:eastAsia="zh-CN" w:bidi="ar-SA"/>
              </w:rPr>
            </w:sdtEndPr>
            <w:sdtContent>
              <w:r>
                <w:rPr>
                  <w:rFonts w:hint="eastAsia" w:ascii="Times New Roman" w:hAnsi="Times New Roman" w:eastAsia="宋体" w:cs="Times New Roman"/>
                  <w:b/>
                  <w:bCs/>
                </w:rPr>
                <w:t>第三部分 名词解释</w:t>
              </w:r>
            </w:sdtContent>
          </w:sdt>
          <w:r>
            <w:rPr>
              <w:b/>
              <w:bCs/>
            </w:rPr>
            <w:tab/>
          </w:r>
          <w:r>
            <w:rPr>
              <w:b/>
              <w:bCs/>
            </w:rPr>
            <w:fldChar w:fldCharType="end"/>
          </w:r>
          <w:r>
            <w:rPr>
              <w:rFonts w:hint="eastAsia"/>
              <w:b/>
              <w:bCs/>
              <w:lang w:val="en-US" w:eastAsia="zh-CN"/>
            </w:rPr>
            <w:t>19</w:t>
          </w:r>
        </w:p>
        <w:p w14:paraId="709F20D4">
          <w:pPr>
            <w:pStyle w:val="38"/>
            <w:tabs>
              <w:tab w:val="right" w:leader="dot" w:pos="8306"/>
            </w:tabs>
          </w:pPr>
          <w:r>
            <w:rPr>
              <w:b/>
              <w:bCs/>
            </w:rPr>
            <w:fldChar w:fldCharType="begin"/>
          </w:r>
          <w:r>
            <w:instrText xml:space="preserve"> HYPERLINK \l _Toc28311_WPSOffice_Level1 </w:instrText>
          </w:r>
          <w:r>
            <w:rPr>
              <w:b/>
              <w:bCs/>
            </w:rPr>
            <w:fldChar w:fldCharType="separate"/>
          </w:r>
          <w:sdt>
            <w:sdtPr>
              <w:rPr>
                <w:rFonts w:ascii="Times New Roman" w:hAnsi="Times New Roman" w:eastAsia="宋体" w:cs="Times New Roman"/>
                <w:b/>
                <w:bCs/>
                <w:kern w:val="2"/>
                <w:sz w:val="21"/>
                <w:szCs w:val="24"/>
                <w:lang w:val="en-US" w:eastAsia="zh-CN" w:bidi="ar-SA"/>
              </w:rPr>
              <w:id w:val="147477987"/>
              <w:placeholder>
                <w:docPart w:val="{14e6872c-dfa9-4760-8dab-e2dedf9de8ac}"/>
              </w:placeholder>
              <w15:color w:val="509DF3"/>
            </w:sdtPr>
            <w:sdtEndPr>
              <w:rPr>
                <w:rFonts w:ascii="Times New Roman" w:hAnsi="Times New Roman" w:eastAsia="宋体" w:cs="Times New Roman"/>
                <w:b/>
                <w:bCs/>
                <w:kern w:val="2"/>
                <w:sz w:val="21"/>
                <w:szCs w:val="24"/>
                <w:lang w:val="en-US" w:eastAsia="zh-CN" w:bidi="ar-SA"/>
              </w:rPr>
            </w:sdtEndPr>
            <w:sdtContent>
              <w:r>
                <w:rPr>
                  <w:rFonts w:hint="eastAsia" w:ascii="黑体" w:hAnsi="黑体" w:eastAsia="黑体" w:cs="Times New Roman"/>
                  <w:b/>
                  <w:bCs/>
                </w:rPr>
                <w:t>第四部分 附件</w:t>
              </w:r>
            </w:sdtContent>
          </w:sdt>
          <w:r>
            <w:rPr>
              <w:b/>
              <w:bCs/>
            </w:rPr>
            <w:tab/>
          </w:r>
          <w:bookmarkStart w:id="16" w:name="_Toc28311_WPSOffice_Level1Page"/>
          <w:r>
            <w:rPr>
              <w:b/>
              <w:bCs/>
            </w:rPr>
            <w:t>2</w:t>
          </w:r>
          <w:bookmarkEnd w:id="16"/>
          <w:r>
            <w:rPr>
              <w:rFonts w:hint="eastAsia"/>
              <w:b/>
              <w:bCs/>
              <w:lang w:val="en-US" w:eastAsia="zh-CN"/>
            </w:rPr>
            <w:t>3</w:t>
          </w:r>
          <w:r>
            <w:rPr>
              <w:b/>
              <w:bCs/>
            </w:rPr>
            <w:fldChar w:fldCharType="end"/>
          </w:r>
        </w:p>
        <w:p w14:paraId="7499296F">
          <w:pPr>
            <w:pStyle w:val="39"/>
            <w:tabs>
              <w:tab w:val="right" w:leader="dot" w:pos="8306"/>
            </w:tabs>
          </w:pPr>
          <w:r>
            <w:fldChar w:fldCharType="begin"/>
          </w:r>
          <w:r>
            <w:instrText xml:space="preserve"> HYPERLINK \l _Toc17939_WPSOffice_Level2 </w:instrText>
          </w:r>
          <w:r>
            <w:fldChar w:fldCharType="separate"/>
          </w:r>
          <w:sdt>
            <w:sdtPr>
              <w:rPr>
                <w:rFonts w:ascii="Times New Roman" w:hAnsi="Times New Roman" w:eastAsia="宋体" w:cs="Times New Roman"/>
                <w:kern w:val="2"/>
                <w:sz w:val="21"/>
                <w:szCs w:val="24"/>
                <w:lang w:val="en-US" w:eastAsia="zh-CN" w:bidi="ar-SA"/>
              </w:rPr>
              <w:id w:val="147454581"/>
              <w:placeholder>
                <w:docPart w:val="{7a1105fe-c2a5-4d2f-a57d-5d60f33d1552}"/>
              </w:placeholder>
              <w15:color w:val="509DF3"/>
            </w:sdtPr>
            <w:sdtEndPr>
              <w:rPr>
                <w:rFonts w:ascii="Times New Roman" w:hAnsi="Times New Roman" w:eastAsia="宋体" w:cs="Times New Roman"/>
                <w:kern w:val="2"/>
                <w:sz w:val="21"/>
                <w:szCs w:val="24"/>
                <w:lang w:val="en-US" w:eastAsia="zh-CN" w:bidi="ar-SA"/>
              </w:rPr>
            </w:sdtEndPr>
            <w:sdtContent>
              <w:r>
                <w:rPr>
                  <w:rFonts w:hint="default" w:ascii="Times New Roman" w:hAnsi="Times New Roman" w:eastAsia="方正黑体_GBK" w:cs="Times New Roman"/>
                </w:rPr>
                <w:t>一、部门（单位）基本情况</w:t>
              </w:r>
            </w:sdtContent>
          </w:sdt>
          <w:r>
            <w:tab/>
          </w:r>
          <w:bookmarkStart w:id="17" w:name="_Toc17939_WPSOffice_Level2Page"/>
          <w:r>
            <w:t>2</w:t>
          </w:r>
          <w:bookmarkEnd w:id="17"/>
          <w:r>
            <w:rPr>
              <w:rFonts w:hint="eastAsia"/>
              <w:lang w:val="en-US" w:eastAsia="zh-CN"/>
            </w:rPr>
            <w:t>3</w:t>
          </w:r>
          <w:r>
            <w:fldChar w:fldCharType="end"/>
          </w:r>
        </w:p>
        <w:p w14:paraId="19D0867E">
          <w:pPr>
            <w:pStyle w:val="39"/>
            <w:tabs>
              <w:tab w:val="right" w:leader="dot" w:pos="8306"/>
            </w:tabs>
            <w:rPr>
              <w:rFonts w:hint="eastAsia" w:eastAsia="宋体"/>
              <w:lang w:val="en-US" w:eastAsia="zh-CN"/>
            </w:rPr>
          </w:pPr>
          <w:r>
            <w:fldChar w:fldCharType="begin"/>
          </w:r>
          <w:r>
            <w:instrText xml:space="preserve"> HYPERLINK \l _Toc25668_WPSOffice_Level2 </w:instrText>
          </w:r>
          <w:r>
            <w:fldChar w:fldCharType="separate"/>
          </w:r>
          <w:sdt>
            <w:sdtPr>
              <w:rPr>
                <w:rFonts w:ascii="Times New Roman" w:hAnsi="Times New Roman" w:eastAsia="宋体" w:cs="Times New Roman"/>
                <w:kern w:val="2"/>
                <w:sz w:val="21"/>
                <w:szCs w:val="24"/>
                <w:lang w:val="en-US" w:eastAsia="zh-CN" w:bidi="ar-SA"/>
              </w:rPr>
              <w:id w:val="147453563"/>
              <w:placeholder>
                <w:docPart w:val="{8f56b225-8e7a-4baf-aab6-422176be3380}"/>
              </w:placeholder>
              <w15:color w:val="509DF3"/>
            </w:sdtPr>
            <w:sdtEndPr>
              <w:rPr>
                <w:rFonts w:ascii="Times New Roman" w:hAnsi="Times New Roman" w:eastAsia="宋体" w:cs="Times New Roman"/>
                <w:kern w:val="2"/>
                <w:sz w:val="21"/>
                <w:szCs w:val="24"/>
                <w:lang w:val="en-US" w:eastAsia="zh-CN" w:bidi="ar-SA"/>
              </w:rPr>
            </w:sdtEndPr>
            <w:sdtContent>
              <w:r>
                <w:rPr>
                  <w:rFonts w:hint="default" w:ascii="Times New Roman" w:hAnsi="Times New Roman" w:eastAsia="方正黑体_GBK" w:cs="Times New Roman"/>
                </w:rPr>
                <w:t>二、部门资金收支情况</w:t>
              </w:r>
            </w:sdtContent>
          </w:sdt>
          <w:r>
            <w:tab/>
          </w:r>
          <w:r>
            <w:rPr>
              <w:rFonts w:hint="eastAsia"/>
              <w:lang w:val="en-US" w:eastAsia="zh-CN"/>
            </w:rPr>
            <w:t>2</w:t>
          </w:r>
          <w:r>
            <w:fldChar w:fldCharType="end"/>
          </w:r>
          <w:r>
            <w:rPr>
              <w:rFonts w:hint="eastAsia"/>
              <w:lang w:val="en-US" w:eastAsia="zh-CN"/>
            </w:rPr>
            <w:t>7</w:t>
          </w:r>
        </w:p>
        <w:p w14:paraId="272954F4">
          <w:pPr>
            <w:pStyle w:val="39"/>
            <w:tabs>
              <w:tab w:val="right" w:leader="dot" w:pos="8306"/>
            </w:tabs>
            <w:rPr>
              <w:rFonts w:hint="eastAsia" w:eastAsia="宋体"/>
              <w:lang w:val="en-US" w:eastAsia="zh-CN"/>
            </w:rPr>
          </w:pPr>
          <w:r>
            <w:fldChar w:fldCharType="begin"/>
          </w:r>
          <w:r>
            <w:instrText xml:space="preserve"> HYPERLINK \l _Toc15344_WPSOffice_Level2 </w:instrText>
          </w:r>
          <w:r>
            <w:fldChar w:fldCharType="separate"/>
          </w:r>
          <w:sdt>
            <w:sdtPr>
              <w:rPr>
                <w:rFonts w:ascii="Times New Roman" w:hAnsi="Times New Roman" w:eastAsia="宋体" w:cs="Times New Roman"/>
                <w:kern w:val="2"/>
                <w:sz w:val="21"/>
                <w:szCs w:val="24"/>
                <w:lang w:val="en-US" w:eastAsia="zh-CN" w:bidi="ar-SA"/>
              </w:rPr>
              <w:id w:val="147471790"/>
              <w:placeholder>
                <w:docPart w:val="{f69ac00e-be89-49ea-8595-9820787cd833}"/>
              </w:placeholder>
              <w15:color w:val="509DF3"/>
            </w:sdtPr>
            <w:sdtEndPr>
              <w:rPr>
                <w:rFonts w:ascii="Times New Roman" w:hAnsi="Times New Roman" w:eastAsia="宋体" w:cs="Times New Roman"/>
                <w:kern w:val="2"/>
                <w:sz w:val="21"/>
                <w:szCs w:val="24"/>
                <w:lang w:val="en-US" w:eastAsia="zh-CN" w:bidi="ar-SA"/>
              </w:rPr>
            </w:sdtEndPr>
            <w:sdtContent>
              <w:r>
                <w:rPr>
                  <w:rFonts w:hint="default" w:ascii="Times New Roman" w:hAnsi="Times New Roman" w:eastAsia="方正黑体_GBK" w:cs="Times New Roman"/>
                </w:rPr>
                <w:t>三、部门预算绩效分析</w:t>
              </w:r>
            </w:sdtContent>
          </w:sdt>
          <w:r>
            <w:tab/>
          </w:r>
          <w:r>
            <w:rPr>
              <w:rFonts w:hint="eastAsia"/>
              <w:lang w:val="en-US" w:eastAsia="zh-CN"/>
            </w:rPr>
            <w:t>2</w:t>
          </w:r>
          <w:r>
            <w:fldChar w:fldCharType="end"/>
          </w:r>
          <w:r>
            <w:rPr>
              <w:rFonts w:hint="eastAsia"/>
              <w:lang w:val="en-US" w:eastAsia="zh-CN"/>
            </w:rPr>
            <w:t>7</w:t>
          </w:r>
        </w:p>
        <w:p w14:paraId="2A5A1094">
          <w:pPr>
            <w:pStyle w:val="39"/>
            <w:tabs>
              <w:tab w:val="right" w:leader="dot" w:pos="8306"/>
            </w:tabs>
            <w:rPr>
              <w:rFonts w:hint="eastAsia" w:eastAsia="宋体"/>
              <w:lang w:val="en-US" w:eastAsia="zh-CN"/>
            </w:rPr>
          </w:pPr>
          <w:r>
            <w:fldChar w:fldCharType="begin"/>
          </w:r>
          <w:r>
            <w:instrText xml:space="preserve"> HYPERLINK \l _Toc5025_WPSOffice_Level2 </w:instrText>
          </w:r>
          <w:r>
            <w:fldChar w:fldCharType="separate"/>
          </w:r>
          <w:sdt>
            <w:sdtPr>
              <w:rPr>
                <w:rFonts w:ascii="Times New Roman" w:hAnsi="Times New Roman" w:eastAsia="宋体" w:cs="Times New Roman"/>
                <w:kern w:val="2"/>
                <w:sz w:val="21"/>
                <w:szCs w:val="24"/>
                <w:lang w:val="en-US" w:eastAsia="zh-CN" w:bidi="ar-SA"/>
              </w:rPr>
              <w:id w:val="147457300"/>
              <w:placeholder>
                <w:docPart w:val="{ef8322b0-bb82-49ed-9909-fab2c6a70652}"/>
              </w:placeholder>
              <w15:color w:val="509DF3"/>
            </w:sdtPr>
            <w:sdtEndPr>
              <w:rPr>
                <w:rFonts w:ascii="Times New Roman" w:hAnsi="Times New Roman" w:eastAsia="宋体" w:cs="Times New Roman"/>
                <w:kern w:val="2"/>
                <w:sz w:val="21"/>
                <w:szCs w:val="24"/>
                <w:lang w:val="en-US" w:eastAsia="zh-CN" w:bidi="ar-SA"/>
              </w:rPr>
            </w:sdtEndPr>
            <w:sdtContent>
              <w:r>
                <w:rPr>
                  <w:rFonts w:hint="default" w:ascii="Times New Roman" w:hAnsi="Times New Roman" w:eastAsia="方正黑体_GBK" w:cs="Times New Roman"/>
                </w:rPr>
                <w:t>四、评价结论及建议</w:t>
              </w:r>
            </w:sdtContent>
          </w:sdt>
          <w:r>
            <w:tab/>
          </w:r>
          <w:r>
            <w:rPr>
              <w:rFonts w:hint="eastAsia"/>
              <w:lang w:val="en-US" w:eastAsia="zh-CN"/>
            </w:rPr>
            <w:t>3</w:t>
          </w:r>
          <w:r>
            <w:fldChar w:fldCharType="end"/>
          </w:r>
          <w:r>
            <w:rPr>
              <w:rFonts w:hint="eastAsia"/>
              <w:lang w:val="en-US" w:eastAsia="zh-CN"/>
            </w:rPr>
            <w:t>1</w:t>
          </w:r>
        </w:p>
        <w:p w14:paraId="2E36D59E">
          <w:pPr>
            <w:pStyle w:val="38"/>
            <w:tabs>
              <w:tab w:val="right" w:leader="dot" w:pos="8306"/>
            </w:tabs>
            <w:rPr>
              <w:rFonts w:hint="default" w:eastAsia="宋体"/>
              <w:lang w:val="en-US" w:eastAsia="zh-CN"/>
            </w:rPr>
          </w:pPr>
          <w:r>
            <w:rPr>
              <w:b/>
              <w:bCs/>
            </w:rPr>
            <w:fldChar w:fldCharType="begin"/>
          </w:r>
          <w:r>
            <w:instrText xml:space="preserve"> HYPERLINK \l _Toc30269_WPSOffice_Level1 </w:instrText>
          </w:r>
          <w:r>
            <w:rPr>
              <w:b/>
              <w:bCs/>
            </w:rPr>
            <w:fldChar w:fldCharType="separate"/>
          </w:r>
          <w:sdt>
            <w:sdtPr>
              <w:rPr>
                <w:rFonts w:ascii="Times New Roman" w:hAnsi="Times New Roman" w:eastAsia="宋体" w:cs="Times New Roman"/>
                <w:b/>
                <w:bCs/>
                <w:kern w:val="2"/>
                <w:sz w:val="21"/>
                <w:szCs w:val="24"/>
                <w:lang w:val="en-US" w:eastAsia="zh-CN" w:bidi="ar-SA"/>
              </w:rPr>
              <w:id w:val="147463706"/>
              <w:placeholder>
                <w:docPart w:val="{9ffbb2e9-e991-4f3d-a271-99a6b906c367}"/>
              </w:placeholder>
              <w15:color w:val="509DF3"/>
            </w:sdtPr>
            <w:sdtEndPr>
              <w:rPr>
                <w:rFonts w:ascii="Times New Roman" w:hAnsi="Times New Roman" w:eastAsia="宋体" w:cs="Times New Roman"/>
                <w:b/>
                <w:bCs/>
                <w:kern w:val="2"/>
                <w:sz w:val="21"/>
                <w:szCs w:val="24"/>
                <w:lang w:val="en-US" w:eastAsia="zh-CN" w:bidi="ar-SA"/>
              </w:rPr>
            </w:sdtEndPr>
            <w:sdtContent>
              <w:r>
                <w:rPr>
                  <w:rFonts w:hint="eastAsia" w:ascii="黑体" w:hAnsi="黑体" w:eastAsia="黑体" w:cs="Times New Roman"/>
                  <w:b/>
                  <w:bCs/>
                </w:rPr>
                <w:t>第五部分 附表</w:t>
              </w:r>
            </w:sdtContent>
          </w:sdt>
          <w:r>
            <w:rPr>
              <w:b/>
              <w:bCs/>
            </w:rPr>
            <w:tab/>
          </w:r>
          <w:r>
            <w:rPr>
              <w:b/>
              <w:bCs/>
            </w:rPr>
            <w:fldChar w:fldCharType="end"/>
          </w:r>
          <w:r>
            <w:rPr>
              <w:rFonts w:hint="eastAsia"/>
              <w:b/>
              <w:bCs/>
              <w:lang w:val="en-US" w:eastAsia="zh-CN"/>
            </w:rPr>
            <w:t>35</w:t>
          </w:r>
        </w:p>
        <w:p w14:paraId="67D9C1AA">
          <w:pPr>
            <w:pStyle w:val="39"/>
            <w:tabs>
              <w:tab w:val="right" w:leader="dot" w:pos="8306"/>
            </w:tabs>
            <w:rPr>
              <w:rFonts w:hint="default" w:eastAsia="宋体"/>
              <w:lang w:val="en-US" w:eastAsia="zh-CN"/>
            </w:rPr>
          </w:pPr>
          <w:r>
            <w:fldChar w:fldCharType="begin"/>
          </w:r>
          <w:r>
            <w:instrText xml:space="preserve"> HYPERLINK \l _Toc6914_WPSOffice_Level2 </w:instrText>
          </w:r>
          <w:r>
            <w:fldChar w:fldCharType="separate"/>
          </w:r>
          <w:sdt>
            <w:sdtPr>
              <w:rPr>
                <w:rFonts w:ascii="Times New Roman" w:hAnsi="Times New Roman" w:eastAsia="宋体" w:cs="Times New Roman"/>
                <w:kern w:val="2"/>
                <w:sz w:val="21"/>
                <w:szCs w:val="24"/>
                <w:lang w:val="en-US" w:eastAsia="zh-CN" w:bidi="ar-SA"/>
              </w:rPr>
              <w:id w:val="147469664"/>
              <w:placeholder>
                <w:docPart w:val="{26430d99-8c44-4447-a125-9677054e4a04}"/>
              </w:placeholder>
              <w15:color w:val="509DF3"/>
            </w:sdtPr>
            <w:sdtEndPr>
              <w:rPr>
                <w:rFonts w:ascii="Times New Roman" w:hAnsi="Times New Roman" w:eastAsia="宋体" w:cs="Times New Roman"/>
                <w:kern w:val="2"/>
                <w:sz w:val="21"/>
                <w:szCs w:val="24"/>
                <w:lang w:val="en-US" w:eastAsia="zh-CN" w:bidi="ar-SA"/>
              </w:rPr>
            </w:sdtEndPr>
            <w:sdtContent>
              <w:r>
                <w:rPr>
                  <w:rFonts w:hint="eastAsia" w:ascii="仿宋" w:hAnsi="仿宋" w:eastAsia="仿宋" w:cs="Times New Roman"/>
                </w:rPr>
                <w:t>一、收入支出决算总表</w:t>
              </w:r>
            </w:sdtContent>
          </w:sdt>
          <w:r>
            <w:tab/>
          </w:r>
          <w:r>
            <w:fldChar w:fldCharType="end"/>
          </w:r>
          <w:r>
            <w:rPr>
              <w:rFonts w:hint="eastAsia"/>
              <w:lang w:val="en-US" w:eastAsia="zh-CN"/>
            </w:rPr>
            <w:t>35</w:t>
          </w:r>
        </w:p>
        <w:p w14:paraId="1685733A">
          <w:pPr>
            <w:pStyle w:val="39"/>
            <w:tabs>
              <w:tab w:val="right" w:leader="dot" w:pos="8306"/>
            </w:tabs>
            <w:rPr>
              <w:rFonts w:hint="default" w:eastAsia="宋体"/>
              <w:lang w:val="en-US" w:eastAsia="zh-CN"/>
            </w:rPr>
          </w:pPr>
          <w:r>
            <w:fldChar w:fldCharType="begin"/>
          </w:r>
          <w:r>
            <w:instrText xml:space="preserve"> HYPERLINK \l _Toc3357_WPSOffice_Level2 </w:instrText>
          </w:r>
          <w:r>
            <w:fldChar w:fldCharType="separate"/>
          </w:r>
          <w:sdt>
            <w:sdtPr>
              <w:rPr>
                <w:rFonts w:ascii="Times New Roman" w:hAnsi="Times New Roman" w:eastAsia="宋体" w:cs="Times New Roman"/>
                <w:kern w:val="2"/>
                <w:sz w:val="21"/>
                <w:szCs w:val="24"/>
                <w:lang w:val="en-US" w:eastAsia="zh-CN" w:bidi="ar-SA"/>
              </w:rPr>
              <w:id w:val="147482777"/>
              <w:placeholder>
                <w:docPart w:val="{0ed9bf6b-7618-4b09-ae61-120c75638ec2}"/>
              </w:placeholder>
              <w15:color w:val="509DF3"/>
            </w:sdtPr>
            <w:sdtEndPr>
              <w:rPr>
                <w:rFonts w:ascii="Times New Roman" w:hAnsi="Times New Roman" w:eastAsia="宋体" w:cs="Times New Roman"/>
                <w:kern w:val="2"/>
                <w:sz w:val="21"/>
                <w:szCs w:val="24"/>
                <w:lang w:val="en-US" w:eastAsia="zh-CN" w:bidi="ar-SA"/>
              </w:rPr>
            </w:sdtEndPr>
            <w:sdtContent>
              <w:r>
                <w:rPr>
                  <w:rFonts w:hint="eastAsia" w:ascii="仿宋" w:hAnsi="仿宋" w:eastAsia="仿宋" w:cs="Times New Roman"/>
                </w:rPr>
                <w:t>二、收入决算表</w:t>
              </w:r>
            </w:sdtContent>
          </w:sdt>
          <w:r>
            <w:tab/>
          </w:r>
          <w:r>
            <w:fldChar w:fldCharType="end"/>
          </w:r>
          <w:r>
            <w:rPr>
              <w:rFonts w:hint="eastAsia"/>
              <w:lang w:val="en-US" w:eastAsia="zh-CN"/>
            </w:rPr>
            <w:t>35</w:t>
          </w:r>
        </w:p>
        <w:p w14:paraId="07F327A5">
          <w:pPr>
            <w:pStyle w:val="39"/>
            <w:tabs>
              <w:tab w:val="right" w:leader="dot" w:pos="8306"/>
            </w:tabs>
            <w:rPr>
              <w:rFonts w:hint="default" w:eastAsia="宋体"/>
              <w:lang w:val="en-US" w:eastAsia="zh-CN"/>
            </w:rPr>
          </w:pPr>
          <w:r>
            <w:fldChar w:fldCharType="begin"/>
          </w:r>
          <w:r>
            <w:instrText xml:space="preserve"> HYPERLINK \l _Toc29849_WPSOffice_Level2 </w:instrText>
          </w:r>
          <w:r>
            <w:fldChar w:fldCharType="separate"/>
          </w:r>
          <w:sdt>
            <w:sdtPr>
              <w:rPr>
                <w:rFonts w:ascii="Times New Roman" w:hAnsi="Times New Roman" w:eastAsia="宋体" w:cs="Times New Roman"/>
                <w:kern w:val="2"/>
                <w:sz w:val="21"/>
                <w:szCs w:val="24"/>
                <w:lang w:val="en-US" w:eastAsia="zh-CN" w:bidi="ar-SA"/>
              </w:rPr>
              <w:id w:val="147463713"/>
              <w:placeholder>
                <w:docPart w:val="{e03d4ba9-ca02-4d84-81a0-aef7fe147b45}"/>
              </w:placeholder>
              <w15:color w:val="509DF3"/>
            </w:sdtPr>
            <w:sdtEndPr>
              <w:rPr>
                <w:rFonts w:ascii="Times New Roman" w:hAnsi="Times New Roman" w:eastAsia="宋体" w:cs="Times New Roman"/>
                <w:kern w:val="2"/>
                <w:sz w:val="21"/>
                <w:szCs w:val="24"/>
                <w:lang w:val="en-US" w:eastAsia="zh-CN" w:bidi="ar-SA"/>
              </w:rPr>
            </w:sdtEndPr>
            <w:sdtContent>
              <w:r>
                <w:rPr>
                  <w:rFonts w:hint="eastAsia" w:ascii="仿宋" w:hAnsi="仿宋" w:eastAsia="仿宋" w:cs="Times New Roman"/>
                </w:rPr>
                <w:t>三、支出决算表</w:t>
              </w:r>
            </w:sdtContent>
          </w:sdt>
          <w:r>
            <w:tab/>
          </w:r>
          <w:r>
            <w:fldChar w:fldCharType="end"/>
          </w:r>
          <w:r>
            <w:rPr>
              <w:rFonts w:hint="eastAsia"/>
              <w:lang w:val="en-US" w:eastAsia="zh-CN"/>
            </w:rPr>
            <w:t>35</w:t>
          </w:r>
        </w:p>
        <w:p w14:paraId="49AB2695">
          <w:pPr>
            <w:pStyle w:val="39"/>
            <w:tabs>
              <w:tab w:val="right" w:leader="dot" w:pos="8306"/>
            </w:tabs>
            <w:rPr>
              <w:rFonts w:hint="default" w:eastAsia="宋体"/>
              <w:lang w:val="en-US" w:eastAsia="zh-CN"/>
            </w:rPr>
          </w:pPr>
          <w:r>
            <w:fldChar w:fldCharType="begin"/>
          </w:r>
          <w:r>
            <w:instrText xml:space="preserve"> HYPERLINK \l _Toc20908_WPSOffice_Level2 </w:instrText>
          </w:r>
          <w:r>
            <w:fldChar w:fldCharType="separate"/>
          </w:r>
          <w:sdt>
            <w:sdtPr>
              <w:rPr>
                <w:rFonts w:ascii="Times New Roman" w:hAnsi="Times New Roman" w:eastAsia="宋体" w:cs="Times New Roman"/>
                <w:kern w:val="2"/>
                <w:sz w:val="21"/>
                <w:szCs w:val="24"/>
                <w:lang w:val="en-US" w:eastAsia="zh-CN" w:bidi="ar-SA"/>
              </w:rPr>
              <w:id w:val="147464454"/>
              <w:placeholder>
                <w:docPart w:val="{8362c71c-3ae9-4199-bdc3-20a85a4d5e29}"/>
              </w:placeholder>
              <w15:color w:val="509DF3"/>
            </w:sdtPr>
            <w:sdtEndPr>
              <w:rPr>
                <w:rFonts w:ascii="Times New Roman" w:hAnsi="Times New Roman" w:eastAsia="宋体" w:cs="Times New Roman"/>
                <w:kern w:val="2"/>
                <w:sz w:val="21"/>
                <w:szCs w:val="24"/>
                <w:lang w:val="en-US" w:eastAsia="zh-CN" w:bidi="ar-SA"/>
              </w:rPr>
            </w:sdtEndPr>
            <w:sdtContent>
              <w:r>
                <w:rPr>
                  <w:rFonts w:hint="eastAsia" w:ascii="仿宋" w:hAnsi="仿宋" w:eastAsia="仿宋" w:cs="Times New Roman"/>
                </w:rPr>
                <w:t>四、财政拨款收入支出决算总表</w:t>
              </w:r>
            </w:sdtContent>
          </w:sdt>
          <w:r>
            <w:tab/>
          </w:r>
          <w:r>
            <w:fldChar w:fldCharType="end"/>
          </w:r>
          <w:r>
            <w:rPr>
              <w:rFonts w:hint="eastAsia"/>
              <w:lang w:val="en-US" w:eastAsia="zh-CN"/>
            </w:rPr>
            <w:t>35</w:t>
          </w:r>
        </w:p>
        <w:p w14:paraId="0F3E8767">
          <w:pPr>
            <w:pStyle w:val="39"/>
            <w:tabs>
              <w:tab w:val="right" w:leader="dot" w:pos="8306"/>
            </w:tabs>
            <w:rPr>
              <w:rFonts w:hint="default" w:eastAsia="宋体"/>
              <w:lang w:val="en-US" w:eastAsia="zh-CN"/>
            </w:rPr>
          </w:pPr>
          <w:r>
            <w:fldChar w:fldCharType="begin"/>
          </w:r>
          <w:r>
            <w:instrText xml:space="preserve"> HYPERLINK \l _Toc22805_WPSOffice_Level2 </w:instrText>
          </w:r>
          <w:r>
            <w:fldChar w:fldCharType="separate"/>
          </w:r>
          <w:sdt>
            <w:sdtPr>
              <w:rPr>
                <w:rFonts w:ascii="Times New Roman" w:hAnsi="Times New Roman" w:eastAsia="宋体" w:cs="Times New Roman"/>
                <w:kern w:val="2"/>
                <w:sz w:val="21"/>
                <w:szCs w:val="24"/>
                <w:lang w:val="en-US" w:eastAsia="zh-CN" w:bidi="ar-SA"/>
              </w:rPr>
              <w:id w:val="147471022"/>
              <w:placeholder>
                <w:docPart w:val="{2880b0e1-f19e-40e5-9b3f-0e64f633c8ae}"/>
              </w:placeholder>
              <w15:color w:val="509DF3"/>
            </w:sdtPr>
            <w:sdtEndPr>
              <w:rPr>
                <w:rFonts w:ascii="Times New Roman" w:hAnsi="Times New Roman" w:eastAsia="宋体" w:cs="Times New Roman"/>
                <w:kern w:val="2"/>
                <w:sz w:val="21"/>
                <w:szCs w:val="24"/>
                <w:lang w:val="en-US" w:eastAsia="zh-CN" w:bidi="ar-SA"/>
              </w:rPr>
            </w:sdtEndPr>
            <w:sdtContent>
              <w:r>
                <w:rPr>
                  <w:rFonts w:hint="eastAsia" w:ascii="仿宋" w:hAnsi="仿宋" w:eastAsia="仿宋" w:cs="Times New Roman"/>
                </w:rPr>
                <w:t>五、财政拨款支出决算明细表</w:t>
              </w:r>
            </w:sdtContent>
          </w:sdt>
          <w:r>
            <w:tab/>
          </w:r>
          <w:r>
            <w:fldChar w:fldCharType="end"/>
          </w:r>
          <w:r>
            <w:rPr>
              <w:rFonts w:hint="eastAsia"/>
              <w:lang w:val="en-US" w:eastAsia="zh-CN"/>
            </w:rPr>
            <w:t>35</w:t>
          </w:r>
        </w:p>
        <w:p w14:paraId="742962DA">
          <w:pPr>
            <w:pStyle w:val="39"/>
            <w:tabs>
              <w:tab w:val="right" w:leader="dot" w:pos="8306"/>
            </w:tabs>
            <w:rPr>
              <w:rFonts w:hint="default" w:eastAsia="宋体"/>
              <w:lang w:val="en-US" w:eastAsia="zh-CN"/>
            </w:rPr>
          </w:pPr>
          <w:r>
            <w:fldChar w:fldCharType="begin"/>
          </w:r>
          <w:r>
            <w:instrText xml:space="preserve"> HYPERLINK \l _Toc7011_WPSOffice_Level2 </w:instrText>
          </w:r>
          <w:r>
            <w:fldChar w:fldCharType="separate"/>
          </w:r>
          <w:sdt>
            <w:sdtPr>
              <w:rPr>
                <w:rFonts w:ascii="Times New Roman" w:hAnsi="Times New Roman" w:eastAsia="宋体" w:cs="Times New Roman"/>
                <w:kern w:val="2"/>
                <w:sz w:val="21"/>
                <w:szCs w:val="24"/>
                <w:lang w:val="en-US" w:eastAsia="zh-CN" w:bidi="ar-SA"/>
              </w:rPr>
              <w:id w:val="147464252"/>
              <w:placeholder>
                <w:docPart w:val="{b253bc6c-9e86-4361-a4fd-3f1100c6eab3}"/>
              </w:placeholder>
              <w15:color w:val="509DF3"/>
            </w:sdtPr>
            <w:sdtEndPr>
              <w:rPr>
                <w:rFonts w:ascii="Times New Roman" w:hAnsi="Times New Roman" w:eastAsia="宋体" w:cs="Times New Roman"/>
                <w:kern w:val="2"/>
                <w:sz w:val="21"/>
                <w:szCs w:val="24"/>
                <w:lang w:val="en-US" w:eastAsia="zh-CN" w:bidi="ar-SA"/>
              </w:rPr>
            </w:sdtEndPr>
            <w:sdtContent>
              <w:r>
                <w:rPr>
                  <w:rFonts w:hint="eastAsia" w:ascii="仿宋" w:hAnsi="仿宋" w:eastAsia="仿宋" w:cs="Times New Roman"/>
                </w:rPr>
                <w:t>六、一般公共预算财政拨款支出决算表</w:t>
              </w:r>
            </w:sdtContent>
          </w:sdt>
          <w:r>
            <w:tab/>
          </w:r>
          <w:r>
            <w:fldChar w:fldCharType="end"/>
          </w:r>
          <w:r>
            <w:rPr>
              <w:rFonts w:hint="eastAsia"/>
              <w:lang w:val="en-US" w:eastAsia="zh-CN"/>
            </w:rPr>
            <w:t>35</w:t>
          </w:r>
        </w:p>
        <w:p w14:paraId="21421CDE">
          <w:pPr>
            <w:pStyle w:val="39"/>
            <w:tabs>
              <w:tab w:val="right" w:leader="dot" w:pos="8306"/>
            </w:tabs>
            <w:rPr>
              <w:rFonts w:hint="default" w:eastAsia="宋体"/>
              <w:lang w:val="en-US" w:eastAsia="zh-CN"/>
            </w:rPr>
          </w:pPr>
          <w:r>
            <w:fldChar w:fldCharType="begin"/>
          </w:r>
          <w:r>
            <w:instrText xml:space="preserve"> HYPERLINK \l _Toc28045_WPSOffice_Level2 </w:instrText>
          </w:r>
          <w:r>
            <w:fldChar w:fldCharType="separate"/>
          </w:r>
          <w:sdt>
            <w:sdtPr>
              <w:rPr>
                <w:rFonts w:ascii="Times New Roman" w:hAnsi="Times New Roman" w:eastAsia="宋体" w:cs="Times New Roman"/>
                <w:kern w:val="2"/>
                <w:sz w:val="21"/>
                <w:szCs w:val="24"/>
                <w:lang w:val="en-US" w:eastAsia="zh-CN" w:bidi="ar-SA"/>
              </w:rPr>
              <w:id w:val="147475284"/>
              <w:placeholder>
                <w:docPart w:val="{71a63554-e119-4412-ac24-de618943e762}"/>
              </w:placeholder>
              <w15:color w:val="509DF3"/>
            </w:sdtPr>
            <w:sdtEndPr>
              <w:rPr>
                <w:rFonts w:ascii="Times New Roman" w:hAnsi="Times New Roman" w:eastAsia="宋体" w:cs="Times New Roman"/>
                <w:kern w:val="2"/>
                <w:sz w:val="21"/>
                <w:szCs w:val="24"/>
                <w:lang w:val="en-US" w:eastAsia="zh-CN" w:bidi="ar-SA"/>
              </w:rPr>
            </w:sdtEndPr>
            <w:sdtContent>
              <w:r>
                <w:rPr>
                  <w:rFonts w:hint="eastAsia" w:ascii="仿宋" w:hAnsi="仿宋" w:eastAsia="仿宋" w:cs="Times New Roman"/>
                </w:rPr>
                <w:t>七、一般公共预算财政拨款支出决算明细表</w:t>
              </w:r>
            </w:sdtContent>
          </w:sdt>
          <w:r>
            <w:tab/>
          </w:r>
          <w:r>
            <w:fldChar w:fldCharType="end"/>
          </w:r>
          <w:r>
            <w:rPr>
              <w:rFonts w:hint="eastAsia"/>
              <w:lang w:val="en-US" w:eastAsia="zh-CN"/>
            </w:rPr>
            <w:t>35</w:t>
          </w:r>
        </w:p>
        <w:p w14:paraId="3E90D6B0">
          <w:pPr>
            <w:pStyle w:val="39"/>
            <w:tabs>
              <w:tab w:val="right" w:leader="dot" w:pos="8306"/>
            </w:tabs>
            <w:rPr>
              <w:rFonts w:hint="default" w:eastAsia="宋体"/>
              <w:lang w:val="en-US" w:eastAsia="zh-CN"/>
            </w:rPr>
          </w:pPr>
          <w:r>
            <w:fldChar w:fldCharType="begin"/>
          </w:r>
          <w:r>
            <w:instrText xml:space="preserve"> HYPERLINK \l _Toc959_WPSOffice_Level2 </w:instrText>
          </w:r>
          <w:r>
            <w:fldChar w:fldCharType="separate"/>
          </w:r>
          <w:sdt>
            <w:sdtPr>
              <w:rPr>
                <w:rFonts w:ascii="Times New Roman" w:hAnsi="Times New Roman" w:eastAsia="宋体" w:cs="Times New Roman"/>
                <w:kern w:val="2"/>
                <w:sz w:val="21"/>
                <w:szCs w:val="24"/>
                <w:lang w:val="en-US" w:eastAsia="zh-CN" w:bidi="ar-SA"/>
              </w:rPr>
              <w:id w:val="147463380"/>
              <w:placeholder>
                <w:docPart w:val="{dd71b175-274e-432f-8a72-05b2f939023a}"/>
              </w:placeholder>
              <w15:color w:val="509DF3"/>
            </w:sdtPr>
            <w:sdtEndPr>
              <w:rPr>
                <w:rFonts w:ascii="Times New Roman" w:hAnsi="Times New Roman" w:eastAsia="宋体" w:cs="Times New Roman"/>
                <w:kern w:val="2"/>
                <w:sz w:val="21"/>
                <w:szCs w:val="24"/>
                <w:lang w:val="en-US" w:eastAsia="zh-CN" w:bidi="ar-SA"/>
              </w:rPr>
            </w:sdtEndPr>
            <w:sdtContent>
              <w:r>
                <w:rPr>
                  <w:rFonts w:hint="eastAsia" w:ascii="仿宋" w:hAnsi="仿宋" w:eastAsia="仿宋" w:cs="Times New Roman"/>
                </w:rPr>
                <w:t>八、一般公共预算财政拨款基本支出决算表</w:t>
              </w:r>
            </w:sdtContent>
          </w:sdt>
          <w:r>
            <w:tab/>
          </w:r>
          <w:r>
            <w:fldChar w:fldCharType="end"/>
          </w:r>
          <w:r>
            <w:rPr>
              <w:rFonts w:hint="eastAsia"/>
              <w:lang w:val="en-US" w:eastAsia="zh-CN"/>
            </w:rPr>
            <w:t>35</w:t>
          </w:r>
        </w:p>
        <w:p w14:paraId="7FCF0C43">
          <w:pPr>
            <w:pStyle w:val="39"/>
            <w:tabs>
              <w:tab w:val="right" w:leader="dot" w:pos="8306"/>
            </w:tabs>
            <w:rPr>
              <w:rFonts w:hint="default" w:eastAsia="宋体"/>
              <w:lang w:val="en-US" w:eastAsia="zh-CN"/>
            </w:rPr>
          </w:pPr>
          <w:r>
            <w:fldChar w:fldCharType="begin"/>
          </w:r>
          <w:r>
            <w:instrText xml:space="preserve"> HYPERLINK \l _Toc21319_WPSOffice_Level2 </w:instrText>
          </w:r>
          <w:r>
            <w:fldChar w:fldCharType="separate"/>
          </w:r>
          <w:sdt>
            <w:sdtPr>
              <w:rPr>
                <w:rFonts w:ascii="Times New Roman" w:hAnsi="Times New Roman" w:eastAsia="宋体" w:cs="Times New Roman"/>
                <w:kern w:val="2"/>
                <w:sz w:val="21"/>
                <w:szCs w:val="24"/>
                <w:lang w:val="en-US" w:eastAsia="zh-CN" w:bidi="ar-SA"/>
              </w:rPr>
              <w:id w:val="147471818"/>
              <w:placeholder>
                <w:docPart w:val="{b4470713-681f-460e-bc5d-4002950debe8}"/>
              </w:placeholder>
              <w15:color w:val="509DF3"/>
            </w:sdtPr>
            <w:sdtEndPr>
              <w:rPr>
                <w:rFonts w:ascii="Times New Roman" w:hAnsi="Times New Roman" w:eastAsia="宋体" w:cs="Times New Roman"/>
                <w:kern w:val="2"/>
                <w:sz w:val="21"/>
                <w:szCs w:val="24"/>
                <w:lang w:val="en-US" w:eastAsia="zh-CN" w:bidi="ar-SA"/>
              </w:rPr>
            </w:sdtEndPr>
            <w:sdtContent>
              <w:r>
                <w:rPr>
                  <w:rFonts w:hint="eastAsia" w:ascii="仿宋" w:hAnsi="仿宋" w:eastAsia="仿宋" w:cs="Times New Roman"/>
                </w:rPr>
                <w:t>九、一般公共预算财政拨款项目支出决算表</w:t>
              </w:r>
            </w:sdtContent>
          </w:sdt>
          <w:r>
            <w:tab/>
          </w:r>
          <w:r>
            <w:fldChar w:fldCharType="end"/>
          </w:r>
          <w:r>
            <w:rPr>
              <w:rFonts w:hint="eastAsia"/>
              <w:lang w:val="en-US" w:eastAsia="zh-CN"/>
            </w:rPr>
            <w:t>35</w:t>
          </w:r>
        </w:p>
        <w:p w14:paraId="50981470">
          <w:pPr>
            <w:pStyle w:val="39"/>
            <w:tabs>
              <w:tab w:val="right" w:leader="dot" w:pos="8306"/>
            </w:tabs>
            <w:rPr>
              <w:rFonts w:hint="default" w:eastAsia="宋体"/>
              <w:lang w:val="en-US" w:eastAsia="zh-CN"/>
            </w:rPr>
          </w:pPr>
          <w:r>
            <w:fldChar w:fldCharType="begin"/>
          </w:r>
          <w:r>
            <w:instrText xml:space="preserve"> HYPERLINK \l _Toc17858_WPSOffice_Level2 </w:instrText>
          </w:r>
          <w:r>
            <w:fldChar w:fldCharType="separate"/>
          </w:r>
          <w:sdt>
            <w:sdtPr>
              <w:rPr>
                <w:rFonts w:ascii="Times New Roman" w:hAnsi="Times New Roman" w:eastAsia="宋体" w:cs="Times New Roman"/>
                <w:kern w:val="2"/>
                <w:sz w:val="21"/>
                <w:szCs w:val="24"/>
                <w:lang w:val="en-US" w:eastAsia="zh-CN" w:bidi="ar-SA"/>
              </w:rPr>
              <w:id w:val="147468570"/>
              <w:placeholder>
                <w:docPart w:val="{7fba4d30-7c31-4aa6-8d28-b1d54be0b9ad}"/>
              </w:placeholder>
              <w15:color w:val="509DF3"/>
            </w:sdtPr>
            <w:sdtEndPr>
              <w:rPr>
                <w:rFonts w:ascii="Times New Roman" w:hAnsi="Times New Roman" w:eastAsia="宋体" w:cs="Times New Roman"/>
                <w:kern w:val="2"/>
                <w:sz w:val="21"/>
                <w:szCs w:val="24"/>
                <w:lang w:val="en-US" w:eastAsia="zh-CN" w:bidi="ar-SA"/>
              </w:rPr>
            </w:sdtEndPr>
            <w:sdtContent>
              <w:r>
                <w:rPr>
                  <w:rFonts w:hint="eastAsia" w:ascii="仿宋" w:hAnsi="仿宋" w:eastAsia="仿宋" w:cs="Times New Roman"/>
                </w:rPr>
                <w:t>十、政府性基金预算财政拨款收入支出决算表</w:t>
              </w:r>
            </w:sdtContent>
          </w:sdt>
          <w:r>
            <w:tab/>
          </w:r>
          <w:r>
            <w:fldChar w:fldCharType="end"/>
          </w:r>
          <w:r>
            <w:rPr>
              <w:rFonts w:hint="eastAsia"/>
              <w:lang w:val="en-US" w:eastAsia="zh-CN"/>
            </w:rPr>
            <w:t>35</w:t>
          </w:r>
        </w:p>
        <w:p w14:paraId="23F8C5AD">
          <w:pPr>
            <w:pStyle w:val="39"/>
            <w:tabs>
              <w:tab w:val="right" w:leader="dot" w:pos="8306"/>
            </w:tabs>
            <w:rPr>
              <w:rFonts w:hint="default" w:eastAsia="宋体"/>
              <w:lang w:val="en-US" w:eastAsia="zh-CN"/>
            </w:rPr>
          </w:pPr>
          <w:r>
            <w:fldChar w:fldCharType="begin"/>
          </w:r>
          <w:r>
            <w:instrText xml:space="preserve"> HYPERLINK \l _Toc17609_WPSOffice_Level2 </w:instrText>
          </w:r>
          <w:r>
            <w:fldChar w:fldCharType="separate"/>
          </w:r>
          <w:sdt>
            <w:sdtPr>
              <w:rPr>
                <w:rFonts w:ascii="Times New Roman" w:hAnsi="Times New Roman" w:eastAsia="宋体" w:cs="Times New Roman"/>
                <w:kern w:val="2"/>
                <w:sz w:val="21"/>
                <w:szCs w:val="24"/>
                <w:lang w:val="en-US" w:eastAsia="zh-CN" w:bidi="ar-SA"/>
              </w:rPr>
              <w:id w:val="147476705"/>
              <w:placeholder>
                <w:docPart w:val="{9c7b975b-09c6-473b-a5f0-9e883cd409f2}"/>
              </w:placeholder>
              <w15:color w:val="509DF3"/>
            </w:sdtPr>
            <w:sdtEndPr>
              <w:rPr>
                <w:rFonts w:ascii="Times New Roman" w:hAnsi="Times New Roman" w:eastAsia="宋体" w:cs="Times New Roman"/>
                <w:kern w:val="2"/>
                <w:sz w:val="21"/>
                <w:szCs w:val="24"/>
                <w:lang w:val="en-US" w:eastAsia="zh-CN" w:bidi="ar-SA"/>
              </w:rPr>
            </w:sdtEndPr>
            <w:sdtContent>
              <w:r>
                <w:rPr>
                  <w:rFonts w:hint="eastAsia" w:ascii="仿宋" w:hAnsi="仿宋" w:eastAsia="仿宋" w:cs="Times New Roman"/>
                </w:rPr>
                <w:t>十一、国有资本经营预算财政拨款收入支出决算表</w:t>
              </w:r>
            </w:sdtContent>
          </w:sdt>
          <w:r>
            <w:tab/>
          </w:r>
          <w:r>
            <w:fldChar w:fldCharType="end"/>
          </w:r>
          <w:r>
            <w:rPr>
              <w:rFonts w:hint="eastAsia"/>
              <w:lang w:val="en-US" w:eastAsia="zh-CN"/>
            </w:rPr>
            <w:t>35</w:t>
          </w:r>
        </w:p>
        <w:p w14:paraId="3C9F7D05">
          <w:pPr>
            <w:pStyle w:val="39"/>
            <w:tabs>
              <w:tab w:val="right" w:leader="dot" w:pos="8306"/>
            </w:tabs>
            <w:rPr>
              <w:rFonts w:hint="default" w:eastAsia="宋体"/>
              <w:lang w:val="en-US" w:eastAsia="zh-CN"/>
            </w:rPr>
          </w:pPr>
          <w:r>
            <w:fldChar w:fldCharType="begin"/>
          </w:r>
          <w:r>
            <w:instrText xml:space="preserve"> HYPERLINK \l _Toc5948_WPSOffice_Level2 </w:instrText>
          </w:r>
          <w:r>
            <w:fldChar w:fldCharType="separate"/>
          </w:r>
          <w:sdt>
            <w:sdtPr>
              <w:rPr>
                <w:rFonts w:ascii="Times New Roman" w:hAnsi="Times New Roman" w:eastAsia="宋体" w:cs="Times New Roman"/>
                <w:kern w:val="2"/>
                <w:sz w:val="21"/>
                <w:szCs w:val="24"/>
                <w:lang w:val="en-US" w:eastAsia="zh-CN" w:bidi="ar-SA"/>
              </w:rPr>
              <w:id w:val="147476343"/>
              <w:placeholder>
                <w:docPart w:val="{75000ade-d3f1-414d-bed4-a47ae76c6c2a}"/>
              </w:placeholder>
              <w15:color w:val="509DF3"/>
            </w:sdtPr>
            <w:sdtEndPr>
              <w:rPr>
                <w:rFonts w:ascii="Times New Roman" w:hAnsi="Times New Roman" w:eastAsia="宋体" w:cs="Times New Roman"/>
                <w:kern w:val="2"/>
                <w:sz w:val="21"/>
                <w:szCs w:val="24"/>
                <w:lang w:val="en-US" w:eastAsia="zh-CN" w:bidi="ar-SA"/>
              </w:rPr>
            </w:sdtEndPr>
            <w:sdtContent>
              <w:r>
                <w:rPr>
                  <w:rFonts w:hint="eastAsia" w:ascii="仿宋" w:hAnsi="仿宋" w:eastAsia="仿宋" w:cs="Times New Roman"/>
                </w:rPr>
                <w:t>十二、国有资本经营预算财政拨款支出决算表</w:t>
              </w:r>
            </w:sdtContent>
          </w:sdt>
          <w:r>
            <w:tab/>
          </w:r>
          <w:r>
            <w:fldChar w:fldCharType="end"/>
          </w:r>
          <w:r>
            <w:rPr>
              <w:rFonts w:hint="eastAsia"/>
              <w:lang w:val="en-US" w:eastAsia="zh-CN"/>
            </w:rPr>
            <w:t>35</w:t>
          </w:r>
        </w:p>
        <w:p w14:paraId="298B1958">
          <w:pPr>
            <w:pStyle w:val="39"/>
            <w:tabs>
              <w:tab w:val="right" w:leader="dot" w:pos="8306"/>
            </w:tabs>
          </w:pPr>
          <w:r>
            <w:fldChar w:fldCharType="begin"/>
          </w:r>
          <w:r>
            <w:instrText xml:space="preserve"> HYPERLINK \l _Toc30845_WPSOffice_Level2 </w:instrText>
          </w:r>
          <w:r>
            <w:fldChar w:fldCharType="separate"/>
          </w:r>
          <w:sdt>
            <w:sdtPr>
              <w:rPr>
                <w:rFonts w:ascii="Times New Roman" w:hAnsi="Times New Roman" w:eastAsia="宋体" w:cs="Times New Roman"/>
                <w:kern w:val="2"/>
                <w:sz w:val="21"/>
                <w:szCs w:val="24"/>
                <w:lang w:val="en-US" w:eastAsia="zh-CN" w:bidi="ar-SA"/>
              </w:rPr>
              <w:id w:val="147462344"/>
              <w:placeholder>
                <w:docPart w:val="{4e74be7e-2543-4081-a598-0a6106e01513}"/>
              </w:placeholder>
              <w15:color w:val="509DF3"/>
            </w:sdtPr>
            <w:sdtEndPr>
              <w:rPr>
                <w:rFonts w:ascii="Times New Roman" w:hAnsi="Times New Roman" w:eastAsia="宋体" w:cs="Times New Roman"/>
                <w:kern w:val="2"/>
                <w:sz w:val="21"/>
                <w:szCs w:val="24"/>
                <w:lang w:val="en-US" w:eastAsia="zh-CN" w:bidi="ar-SA"/>
              </w:rPr>
            </w:sdtEndPr>
            <w:sdtContent>
              <w:r>
                <w:rPr>
                  <w:rFonts w:hint="eastAsia" w:ascii="仿宋" w:hAnsi="仿宋" w:eastAsia="仿宋" w:cs="Times New Roman"/>
                </w:rPr>
                <w:t>十三、财政拨款“三公”经费支出决算表</w:t>
              </w:r>
            </w:sdtContent>
          </w:sdt>
          <w:r>
            <w:tab/>
          </w:r>
          <w:r>
            <w:fldChar w:fldCharType="end"/>
          </w:r>
          <w:bookmarkEnd w:id="12"/>
          <w:r>
            <w:rPr>
              <w:rFonts w:hint="eastAsia"/>
              <w:lang w:val="en-US" w:eastAsia="zh-CN"/>
            </w:rPr>
            <w:t>35</w:t>
          </w:r>
        </w:p>
      </w:sdtContent>
    </w:sdt>
    <w:p w14:paraId="58D5FFD0">
      <w:pPr>
        <w:widowControl/>
        <w:spacing w:line="440" w:lineRule="exact"/>
        <w:jc w:val="left"/>
        <w:rPr>
          <w:rFonts w:ascii="仿宋" w:hAnsi="仿宋" w:eastAsia="仿宋"/>
          <w:bCs/>
          <w:kern w:val="44"/>
          <w:sz w:val="24"/>
        </w:rPr>
      </w:pPr>
      <w:r>
        <w:rPr>
          <w:rFonts w:ascii="仿宋" w:hAnsi="仿宋" w:eastAsia="仿宋"/>
          <w:b/>
          <w:sz w:val="24"/>
        </w:rPr>
        <w:br w:type="page"/>
      </w:r>
    </w:p>
    <w:p w14:paraId="0E6195CB">
      <w:pPr>
        <w:pStyle w:val="2"/>
        <w:jc w:val="center"/>
        <w:rPr>
          <w:rStyle w:val="30"/>
          <w:rFonts w:ascii="黑体" w:hAnsi="黑体" w:eastAsia="黑体"/>
          <w:b/>
          <w:bCs w:val="0"/>
        </w:rPr>
      </w:pPr>
      <w:bookmarkStart w:id="18" w:name="_Toc18747_WPSOffice_Level1"/>
      <w:r>
        <w:rPr>
          <w:rFonts w:hint="eastAsia" w:ascii="黑体" w:hAnsi="黑体" w:eastAsia="黑体"/>
          <w:b w:val="0"/>
        </w:rPr>
        <w:t xml:space="preserve">第一部分 </w:t>
      </w:r>
      <w:r>
        <w:rPr>
          <w:rStyle w:val="30"/>
          <w:rFonts w:hint="eastAsia" w:ascii="黑体" w:hAnsi="黑体" w:eastAsia="黑体"/>
          <w:b w:val="0"/>
          <w:bCs w:val="0"/>
        </w:rPr>
        <w:t>部门概况</w:t>
      </w:r>
      <w:bookmarkEnd w:id="18"/>
    </w:p>
    <w:p w14:paraId="123DEA16">
      <w:pPr>
        <w:widowControl/>
        <w:jc w:val="left"/>
        <w:rPr>
          <w:rFonts w:ascii="黑体" w:eastAsia="黑体"/>
          <w:sz w:val="32"/>
          <w:szCs w:val="32"/>
        </w:rPr>
      </w:pPr>
    </w:p>
    <w:p w14:paraId="347EFAF5">
      <w:pPr>
        <w:pStyle w:val="3"/>
        <w:numPr>
          <w:ilvl w:val="0"/>
          <w:numId w:val="1"/>
        </w:numPr>
        <w:rPr>
          <w:rFonts w:hint="eastAsia" w:ascii="黑体" w:hAnsi="黑体" w:eastAsia="黑体"/>
          <w:b w:val="0"/>
        </w:rPr>
      </w:pPr>
      <w:bookmarkStart w:id="19" w:name="_Toc19521_WPSOffice_Level2"/>
      <w:r>
        <w:rPr>
          <w:rFonts w:hint="eastAsia" w:ascii="黑体" w:hAnsi="黑体" w:eastAsia="黑体"/>
          <w:b w:val="0"/>
        </w:rPr>
        <w:t>部门职责</w:t>
      </w:r>
      <w:bookmarkEnd w:id="19"/>
    </w:p>
    <w:p w14:paraId="4C0321A0">
      <w:pPr>
        <w:ind w:firstLine="560" w:firstLineChars="200"/>
      </w:pPr>
      <w:r>
        <w:rPr>
          <w:rFonts w:hint="eastAsia" w:ascii="宋体" w:hAnsi="宋体" w:eastAsia="宋体" w:cs="宋体"/>
          <w:color w:val="auto"/>
          <w:sz w:val="28"/>
          <w:szCs w:val="28"/>
          <w:lang w:val="en-US" w:eastAsia="zh-CN"/>
        </w:rPr>
        <w:t>金川县自然资源局主要职能有：(1)贯彻执行国家、省、州有关国土资源的调控政策、措施和法律、法规，承担保护与合理利用土地资源、矿产资源及地质灾害防治的责任。编制全县国土资源发展战略和规划并组织实施，研究提出全县国土资源供需总量平衡的政策建议，编制并组织实施全县国土规划和国土资源领域资源节约集约利用、循环经济的政策措施。
(2)承担规范国土资源管理秩序的责任。拟定并监督实施本县土地、矿产等自然资源管理和地质灾害防治的规章制度，制定地质环境保护的政策、规章制度，组织实施国土资源调查评价技术规程、国土资源开发利用标准。负责本系统、本部门依法行政工作， 监督检查各乡镇人民政府及其国土资源管理所执行和遵守国土资源管理法律、法规及土地、矿产资源规划、计划的执行情况。加强对基层国土资源管理所履行职责的管理监督，直接查处 全县辖区内违反国土资源管理法律、法规的行为。调查处理国土资源违法案件。
(3)承担优化配置国土资源的责任。编制和组织实施全县土地利用总体规划、土地利用年度计划、土地整理复垦开发规划和其他专项规划、计划。参与审核报国务院、省、州政府审批的涉及土地、矿产、地质灾害防治的相关规划及其调整。
(4)负责规范国土资源权属管理。依法保护土地资源、矿产资源等自然资源所有者和使用者的合法权益，组织调处重大权属纠纷，负责土地确权调查，负责各类土地登记资料的收集、整理、共享和汇交管理，提供社会查询服务。
(5)承担全县耕地保护的责任，确保规划确定的耕地保有量和基本农田面积不减少。牵头拟订并组织实施耕地保护措施，组织实施基本农田保护，监督占用耕地补偿制度执行情况。指导未利用土地开发、土地整理、土地复垦和耕地开发的监督工作。组织实施土地用途管制、农用地转用和土地征收征用，承担报国土资源部和省政府审批的各类用地的审核、报批工作。
 (6)承担及时准确提供全县土地利用各种数据的责任。拟定和贯彻实施地籍管理办法，组织土地资源调查、地籍调查、土地统计和动态监测，组织实施重大土地专项调查，组织全县地籍调查、登记和土地分等定级工作。
 (7)承担节约集约利用土地资源的责任。拟订并实施土地开发利用标准，管理和监督城乡建设用地供应、政府土地储备、土地开发和节约集约利用。拟订并组织实施土地使用权出让、租赁、作价出资、转让等管理办法，建立基准地价、标定地价等政府公示地价制度，会同农业部门监督管理农村集体建设用地使用权的流转。组织实施禁止和限制供地目录、划拨用地目录等，承担审核报县政府审批的改制企业的国有土地资产的处置。
(8)承担规范国土资源市场秩序的责任。监测土地市场和建设用地利用情况，监管地价，规范和监管土地市场。规范和监管矿业权市场，组织对矿业权人勘查、开采活动进行监督管理。规范和监管国土资源相关社会中介组织和行为，依法查处违法行为。
(9)负责矿产资源开发的管理，依法管理矿业权的审批登记发证和转让审批登记；负责县规划矿区对国民经济具有重要价值的矿区的管理，承担保护性开采的特定矿种、优势矿产的开采总量控制及相关管理工作，组织编制实施矿业权设置方案。
(10)负责地质勘查行业和矿产资源储量管理。组织实施地质调查评价、矿产资源勘查，管理县级地质勘查项目，组织实施县级重大地质勘查专项，管理地质勘查资质、地质资料、地质勘查成果，统一管理公益性地质调查和战略性矿产勘查工作。管理矿产资源评审、登记、统计，组织实施矿山储量动态监督管理，组织实施矿产资源储量调查，承担压覆矿产资源管理工作。
(11)承担地质环境保护的责任，组织、协调、指导和监督地质灾害防治工作。指导重大地质灾害应急处置，组织拟订、实施全县突发重大地质灾害应急预案。组织实施矿山地质环境、地质遗迹保护，监督管理古生物化石、地质遗迹、矿业遗迹等重要保护区、保护地，依法管理水文地质、工程地质、环境地质勘查和评价工作，监测、监督防止地下水过量开采和污染，承担城市地质、农业地质、旅游地质的勘查与评价工作。
(12)依法征收土地、矿产资源收益，规范、监督资金使用，拟订土地、矿产资源参与经济调控的政策措施。依法组织土地、矿产资源专项收入的征管，配合有关部门拟订收益分配制度，配合有关部门指导、监督全县土地整理复垦开发资金的收取和使用。参与管理土地、矿产等资源性资产，参与管理国家、省、州、县出资形成的矿业权权益，负责有关资金、基金的预算和财务、资产管理与监督。
(13)推进国土资源科技进步，组织开展对外合作与交流。组织制订、实施国土资源科技发展、人才培养规划和计划，组织实施重大科技专项，推进国土资源信息化和信息资料公共服务。协调境外矿产资源勘查，参与矿产资源开发工作，依法审批或审核对外合作区块，监督对外合作勘查开采行为。
以及承担县政府公布的有关行政审批事项。承担县委、县政府交办的其他事项。</w:t>
      </w:r>
    </w:p>
    <w:p w14:paraId="3E26C9E8">
      <w:pPr>
        <w:pStyle w:val="3"/>
        <w:rPr>
          <w:rStyle w:val="31"/>
          <w:b w:val="0"/>
          <w:bCs w:val="0"/>
        </w:rPr>
      </w:pPr>
      <w:bookmarkStart w:id="20" w:name="_Toc15377200"/>
      <w:bookmarkStart w:id="21" w:name="_Toc10559_WPSOffice_Level2"/>
      <w:bookmarkStart w:id="22" w:name="_Toc15396601"/>
      <w:r>
        <w:rPr>
          <w:rFonts w:hint="eastAsia" w:ascii="黑体" w:eastAsia="黑体"/>
          <w:b w:val="0"/>
        </w:rPr>
        <w:t>二、</w:t>
      </w:r>
      <w:r>
        <w:rPr>
          <w:rFonts w:hint="eastAsia" w:ascii="黑体" w:hAnsi="黑体" w:eastAsia="黑体"/>
          <w:b w:val="0"/>
        </w:rPr>
        <w:t>机</w:t>
      </w:r>
      <w:r>
        <w:rPr>
          <w:rStyle w:val="31"/>
          <w:rFonts w:hint="eastAsia" w:ascii="黑体" w:hAnsi="黑体" w:eastAsia="黑体"/>
          <w:b w:val="0"/>
          <w:bCs w:val="0"/>
        </w:rPr>
        <w:t>构设置</w:t>
      </w:r>
      <w:bookmarkEnd w:id="20"/>
      <w:bookmarkEnd w:id="21"/>
      <w:bookmarkEnd w:id="22"/>
    </w:p>
    <w:p w14:paraId="6D12DC26">
      <w:pPr>
        <w:pStyle w:val="6"/>
        <w:adjustRightInd w:val="0"/>
        <w:snapToGrid w:val="0"/>
        <w:spacing w:before="93" w:line="600" w:lineRule="exact"/>
        <w:ind w:firstLine="588" w:firstLineChars="210"/>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金川县自然资源局为财政全额拨款的行政单位，预算层级为县级，国有资产管理层级为县级。内设独立编制机构2个，分别是金川县自然资源局、金川县不动产登记中心。人员情况：截止2024年12月31日，金川县自然资源局实有编制内人员22人，其中行政人员6人，事业人员14人，行政工勤1人，事业工勤1人。</w:t>
      </w:r>
    </w:p>
    <w:p w14:paraId="13BF31C9">
      <w:pPr>
        <w:pStyle w:val="6"/>
        <w:adjustRightInd w:val="0"/>
        <w:snapToGrid w:val="0"/>
        <w:spacing w:before="93" w:line="600" w:lineRule="exact"/>
        <w:ind w:firstLine="588" w:firstLineChars="210"/>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纳入金川县自然资源局2024年度部门决算编制范围的二级预算单位包括：</w:t>
      </w:r>
    </w:p>
    <w:p w14:paraId="6EB6019C">
      <w:pPr>
        <w:pStyle w:val="6"/>
        <w:adjustRightInd w:val="0"/>
        <w:snapToGrid w:val="0"/>
        <w:spacing w:before="93" w:line="600" w:lineRule="exact"/>
        <w:ind w:firstLine="588" w:firstLineChars="210"/>
        <w:rPr>
          <w:rFonts w:hint="eastAsia" w:ascii="宋体" w:hAnsi="宋体" w:eastAsia="宋体" w:cs="宋体"/>
          <w:color w:val="auto"/>
          <w:sz w:val="28"/>
          <w:szCs w:val="28"/>
          <w:lang w:val="en-US" w:eastAsia="zh-CN"/>
        </w:rPr>
      </w:pPr>
      <w:bookmarkStart w:id="23" w:name="_Toc15306276"/>
      <w:bookmarkStart w:id="24" w:name="_Toc15377433"/>
      <w:bookmarkStart w:id="25" w:name="_Toc15378449"/>
      <w:bookmarkStart w:id="26" w:name="_Toc15377202"/>
      <w:r>
        <w:rPr>
          <w:rFonts w:hint="eastAsia" w:ascii="宋体" w:hAnsi="宋体" w:eastAsia="宋体" w:cs="宋体"/>
          <w:color w:val="auto"/>
          <w:sz w:val="28"/>
          <w:szCs w:val="28"/>
          <w:lang w:val="en-US" w:eastAsia="zh-CN"/>
        </w:rPr>
        <w:t>1.金川县自然资源局</w:t>
      </w:r>
      <w:bookmarkEnd w:id="23"/>
      <w:bookmarkEnd w:id="24"/>
      <w:bookmarkEnd w:id="25"/>
      <w:bookmarkEnd w:id="26"/>
    </w:p>
    <w:p w14:paraId="3167EFE6">
      <w:pPr>
        <w:pStyle w:val="6"/>
        <w:adjustRightInd w:val="0"/>
        <w:snapToGrid w:val="0"/>
        <w:spacing w:before="93" w:line="600" w:lineRule="exact"/>
        <w:ind w:firstLine="588" w:firstLineChars="210"/>
        <w:rPr>
          <w:rFonts w:ascii="仿宋" w:hAnsi="仿宋" w:eastAsia="仿宋"/>
          <w:kern w:val="0"/>
          <w:sz w:val="32"/>
          <w:szCs w:val="32"/>
        </w:rPr>
      </w:pPr>
      <w:bookmarkStart w:id="27" w:name="_Toc15377434"/>
      <w:bookmarkStart w:id="28" w:name="_Toc15306277"/>
      <w:bookmarkStart w:id="29" w:name="_Toc15378450"/>
      <w:bookmarkStart w:id="30" w:name="_Toc15377203"/>
      <w:r>
        <w:rPr>
          <w:rFonts w:hint="eastAsia" w:ascii="宋体" w:hAnsi="宋体" w:eastAsia="宋体" w:cs="宋体"/>
          <w:color w:val="auto"/>
          <w:sz w:val="28"/>
          <w:szCs w:val="28"/>
          <w:lang w:val="en-US" w:eastAsia="zh-CN"/>
        </w:rPr>
        <w:t>2.金川县不动产登记中心</w:t>
      </w:r>
      <w:bookmarkEnd w:id="27"/>
      <w:bookmarkEnd w:id="28"/>
      <w:bookmarkEnd w:id="29"/>
      <w:bookmarkEnd w:id="30"/>
      <w:r>
        <w:rPr>
          <w:rFonts w:ascii="仿宋" w:hAnsi="仿宋" w:eastAsia="仿宋"/>
          <w:sz w:val="32"/>
          <w:szCs w:val="32"/>
        </w:rPr>
        <w:br w:type="page"/>
      </w:r>
    </w:p>
    <w:p w14:paraId="55B564AF">
      <w:pPr>
        <w:pStyle w:val="2"/>
        <w:ind w:right="440"/>
        <w:jc w:val="center"/>
        <w:rPr>
          <w:rStyle w:val="30"/>
          <w:rFonts w:ascii="黑体" w:hAnsi="黑体" w:eastAsia="黑体"/>
          <w:b w:val="0"/>
          <w:bCs/>
        </w:rPr>
      </w:pPr>
      <w:bookmarkStart w:id="31" w:name="_Toc19521_WPSOffice_Level1"/>
      <w:bookmarkStart w:id="32" w:name="_Toc15396602"/>
      <w:bookmarkStart w:id="33" w:name="_Toc15377204"/>
      <w:r>
        <w:rPr>
          <w:rFonts w:hint="eastAsia" w:ascii="黑体" w:hAnsi="黑体" w:eastAsia="黑体"/>
          <w:b w:val="0"/>
        </w:rPr>
        <w:t xml:space="preserve">第二部分 </w:t>
      </w:r>
      <w:r>
        <w:rPr>
          <w:rFonts w:hint="eastAsia" w:ascii="黑体" w:hAnsi="黑体" w:eastAsia="黑体"/>
          <w:b w:val="0"/>
          <w:lang w:eastAsia="zh-CN"/>
        </w:rPr>
        <w:t>2024年</w:t>
      </w:r>
      <w:r>
        <w:rPr>
          <w:rFonts w:hint="eastAsia" w:ascii="黑体" w:hAnsi="黑体" w:eastAsia="黑体"/>
          <w:b w:val="0"/>
        </w:rPr>
        <w:t>度</w:t>
      </w:r>
      <w:r>
        <w:rPr>
          <w:rStyle w:val="30"/>
          <w:rFonts w:hint="eastAsia" w:ascii="黑体" w:hAnsi="黑体" w:eastAsia="黑体"/>
          <w:b w:val="0"/>
          <w:bCs/>
        </w:rPr>
        <w:t>部门决算情况说明</w:t>
      </w:r>
      <w:bookmarkEnd w:id="31"/>
      <w:bookmarkEnd w:id="32"/>
      <w:bookmarkEnd w:id="33"/>
    </w:p>
    <w:p w14:paraId="0B5DD019"/>
    <w:p w14:paraId="55AAC351">
      <w:pPr>
        <w:pStyle w:val="29"/>
        <w:numPr>
          <w:ilvl w:val="0"/>
          <w:numId w:val="2"/>
        </w:numPr>
        <w:spacing w:line="600" w:lineRule="exact"/>
        <w:ind w:firstLineChars="0"/>
        <w:outlineLvl w:val="1"/>
        <w:rPr>
          <w:rStyle w:val="31"/>
          <w:rFonts w:ascii="黑体" w:hAnsi="黑体" w:eastAsia="黑体"/>
          <w:b w:val="0"/>
        </w:rPr>
      </w:pPr>
      <w:bookmarkStart w:id="34" w:name="_Toc15396603"/>
      <w:bookmarkStart w:id="35" w:name="_Toc15377205"/>
      <w:bookmarkStart w:id="36" w:name="_Toc28311_WPSOffice_Level2"/>
      <w:r>
        <w:rPr>
          <w:rFonts w:hint="eastAsia" w:ascii="黑体" w:hAnsi="黑体" w:eastAsia="黑体"/>
          <w:sz w:val="32"/>
          <w:szCs w:val="32"/>
        </w:rPr>
        <w:t>收</w:t>
      </w:r>
      <w:r>
        <w:rPr>
          <w:rStyle w:val="31"/>
          <w:rFonts w:hint="eastAsia" w:ascii="黑体" w:hAnsi="黑体" w:eastAsia="黑体"/>
          <w:b w:val="0"/>
        </w:rPr>
        <w:t>入支出决算总体情况说明</w:t>
      </w:r>
      <w:bookmarkEnd w:id="34"/>
      <w:bookmarkEnd w:id="35"/>
      <w:bookmarkEnd w:id="36"/>
    </w:p>
    <w:p w14:paraId="0E8063A5">
      <w:pPr>
        <w:spacing w:line="600" w:lineRule="exact"/>
        <w:ind w:firstLine="640" w:firstLineChars="200"/>
        <w:jc w:val="left"/>
        <w:rPr>
          <w:rFonts w:ascii="仿宋" w:hAnsi="仿宋" w:eastAsia="仿宋"/>
          <w:sz w:val="32"/>
          <w:szCs w:val="32"/>
        </w:rPr>
      </w:pPr>
      <w:r>
        <w:rPr>
          <w:rFonts w:hint="eastAsia" w:ascii="仿宋" w:hAnsi="仿宋" w:eastAsia="仿宋"/>
          <w:sz w:val="32"/>
          <w:szCs w:val="32"/>
          <w:lang w:eastAsia="zh-CN"/>
        </w:rPr>
        <w:t>2024年</w:t>
      </w:r>
      <w:r>
        <w:rPr>
          <w:rFonts w:hint="eastAsia" w:ascii="仿宋" w:hAnsi="仿宋" w:eastAsia="仿宋"/>
          <w:sz w:val="32"/>
          <w:szCs w:val="32"/>
        </w:rPr>
        <w:t>度收、支总计均为</w:t>
      </w:r>
      <w:r>
        <w:rPr>
          <w:rFonts w:hint="eastAsia" w:eastAsia="仿宋"/>
          <w:sz w:val="32"/>
          <w:szCs w:val="32"/>
          <w:lang w:val="en-US" w:eastAsia="zh-CN"/>
        </w:rPr>
        <w:t>16650.06</w:t>
      </w:r>
      <w:r>
        <w:rPr>
          <w:rFonts w:hint="eastAsia" w:ascii="仿宋" w:hAnsi="仿宋" w:eastAsia="仿宋"/>
          <w:sz w:val="32"/>
          <w:szCs w:val="32"/>
        </w:rPr>
        <w:t>万元</w:t>
      </w:r>
      <w:r>
        <w:rPr>
          <w:rFonts w:hint="eastAsia"/>
          <w:sz w:val="32"/>
          <w:szCs w:val="32"/>
        </w:rPr>
        <w:t>。</w:t>
      </w:r>
      <w:r>
        <w:rPr>
          <w:rFonts w:hint="eastAsia" w:ascii="仿宋" w:hAnsi="仿宋" w:eastAsia="仿宋"/>
          <w:sz w:val="32"/>
          <w:szCs w:val="32"/>
        </w:rPr>
        <w:t>与</w:t>
      </w:r>
      <w:r>
        <w:rPr>
          <w:rFonts w:hint="eastAsia" w:ascii="仿宋" w:hAnsi="仿宋" w:eastAsia="仿宋"/>
          <w:sz w:val="32"/>
          <w:szCs w:val="32"/>
          <w:lang w:eastAsia="zh-CN"/>
        </w:rPr>
        <w:t>2023年</w:t>
      </w:r>
      <w:r>
        <w:rPr>
          <w:rFonts w:hint="eastAsia" w:ascii="仿宋" w:hAnsi="仿宋" w:eastAsia="仿宋"/>
          <w:sz w:val="32"/>
          <w:szCs w:val="32"/>
        </w:rPr>
        <w:t>度相比，收、支总计各增加</w:t>
      </w:r>
      <w:r>
        <w:rPr>
          <w:rFonts w:hint="eastAsia" w:ascii="仿宋" w:hAnsi="仿宋" w:eastAsia="仿宋"/>
          <w:sz w:val="32"/>
          <w:szCs w:val="32"/>
          <w:lang w:val="en-US" w:eastAsia="zh-CN"/>
        </w:rPr>
        <w:t>13626.78</w:t>
      </w:r>
      <w:r>
        <w:rPr>
          <w:rFonts w:hint="eastAsia" w:ascii="仿宋" w:hAnsi="仿宋" w:eastAsia="仿宋"/>
          <w:sz w:val="32"/>
          <w:szCs w:val="32"/>
        </w:rPr>
        <w:t>万元，增长</w:t>
      </w:r>
      <w:r>
        <w:rPr>
          <w:rFonts w:hint="eastAsia" w:ascii="仿宋" w:hAnsi="仿宋" w:eastAsia="仿宋"/>
          <w:sz w:val="32"/>
          <w:szCs w:val="32"/>
          <w:lang w:val="en-US" w:eastAsia="zh-CN"/>
        </w:rPr>
        <w:t>450.73</w:t>
      </w:r>
      <w:r>
        <w:rPr>
          <w:rFonts w:ascii="仿宋" w:hAnsi="仿宋" w:eastAsia="仿宋"/>
          <w:sz w:val="32"/>
          <w:szCs w:val="32"/>
        </w:rPr>
        <w:t>%</w:t>
      </w:r>
      <w:r>
        <w:rPr>
          <w:rFonts w:hint="eastAsia" w:ascii="仿宋" w:hAnsi="仿宋" w:eastAsia="仿宋"/>
          <w:sz w:val="32"/>
          <w:szCs w:val="32"/>
        </w:rPr>
        <w:t>。主要变动原因是</w:t>
      </w:r>
      <w:r>
        <w:rPr>
          <w:rFonts w:hint="eastAsia" w:ascii="宋体" w:hAnsi="宋体" w:cs="宋体"/>
          <w:color w:val="000000" w:themeColor="text1"/>
          <w:sz w:val="28"/>
          <w:szCs w:val="28"/>
          <w:lang w:val="en-US" w:eastAsia="zh-CN"/>
          <w14:textFill>
            <w14:solidFill>
              <w14:schemeClr w14:val="tx1"/>
            </w14:solidFill>
          </w14:textFill>
        </w:rPr>
        <w:t>2024年新增国债项目等</w:t>
      </w:r>
      <w:r>
        <w:rPr>
          <w:rFonts w:hint="eastAsia" w:ascii="仿宋" w:hAnsi="仿宋" w:eastAsia="仿宋"/>
          <w:sz w:val="32"/>
          <w:szCs w:val="32"/>
        </w:rPr>
        <w:t>。</w:t>
      </w:r>
    </w:p>
    <w:p w14:paraId="5E64794F">
      <w:pPr>
        <w:spacing w:line="600" w:lineRule="exact"/>
        <w:ind w:firstLine="640" w:firstLineChars="200"/>
        <w:rPr>
          <w:rFonts w:hint="eastAsia" w:ascii="仿宋" w:hAnsi="仿宋" w:eastAsia="仿宋"/>
          <w:sz w:val="32"/>
          <w:szCs w:val="32"/>
        </w:rPr>
      </w:pPr>
      <w:r>
        <w:rPr>
          <w:rFonts w:hint="eastAsia" w:ascii="仿宋" w:hAnsi="仿宋" w:eastAsia="仿宋"/>
          <w:sz w:val="32"/>
          <w:szCs w:val="32"/>
        </w:rPr>
        <w:t>（图</w:t>
      </w:r>
      <w:r>
        <w:rPr>
          <w:rFonts w:ascii="仿宋" w:hAnsi="仿宋" w:eastAsia="仿宋"/>
          <w:sz w:val="32"/>
          <w:szCs w:val="32"/>
        </w:rPr>
        <w:t>1</w:t>
      </w:r>
      <w:r>
        <w:rPr>
          <w:rFonts w:hint="eastAsia" w:ascii="仿宋" w:hAnsi="仿宋" w:eastAsia="仿宋"/>
          <w:sz w:val="32"/>
          <w:szCs w:val="32"/>
        </w:rPr>
        <w:t>：收、支决算总计变动情况图）（柱状图）</w:t>
      </w:r>
    </w:p>
    <w:p w14:paraId="5ECA8984">
      <w:pPr>
        <w:pStyle w:val="14"/>
      </w:pPr>
      <w:r>
        <w:drawing>
          <wp:anchor distT="0" distB="0" distL="114300" distR="114300" simplePos="0" relativeHeight="251660288" behindDoc="0" locked="0" layoutInCell="1" allowOverlap="1">
            <wp:simplePos x="0" y="0"/>
            <wp:positionH relativeFrom="column">
              <wp:posOffset>80645</wp:posOffset>
            </wp:positionH>
            <wp:positionV relativeFrom="paragraph">
              <wp:posOffset>128905</wp:posOffset>
            </wp:positionV>
            <wp:extent cx="4572000" cy="2762250"/>
            <wp:effectExtent l="4445" t="4445" r="14605" b="14605"/>
            <wp:wrapSquare wrapText="bothSides"/>
            <wp:docPr id="4"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p>
    <w:p w14:paraId="2C82BBAE">
      <w:pPr>
        <w:spacing w:line="600" w:lineRule="exact"/>
        <w:ind w:firstLine="640" w:firstLineChars="200"/>
        <w:jc w:val="left"/>
        <w:rPr>
          <w:rFonts w:ascii="仿宋_GB2312" w:eastAsia="仿宋_GB2312"/>
          <w:sz w:val="32"/>
          <w:szCs w:val="32"/>
        </w:rPr>
      </w:pPr>
    </w:p>
    <w:p w14:paraId="4B114DA9">
      <w:pPr>
        <w:pStyle w:val="29"/>
        <w:numPr>
          <w:ilvl w:val="0"/>
          <w:numId w:val="2"/>
        </w:numPr>
        <w:spacing w:line="600" w:lineRule="exact"/>
        <w:ind w:firstLineChars="0"/>
        <w:outlineLvl w:val="1"/>
        <w:rPr>
          <w:rStyle w:val="31"/>
          <w:rFonts w:ascii="黑体" w:hAnsi="黑体" w:eastAsia="黑体"/>
          <w:b w:val="0"/>
        </w:rPr>
      </w:pPr>
      <w:bookmarkStart w:id="37" w:name="_Toc15396604"/>
      <w:bookmarkStart w:id="38" w:name="_Toc15377206"/>
      <w:bookmarkStart w:id="39" w:name="_Toc24205_WPSOffice_Level2"/>
      <w:r>
        <w:rPr>
          <w:rFonts w:hint="eastAsia" w:ascii="黑体" w:hAnsi="黑体" w:eastAsia="黑体"/>
          <w:sz w:val="32"/>
          <w:szCs w:val="32"/>
        </w:rPr>
        <w:t>收</w:t>
      </w:r>
      <w:r>
        <w:rPr>
          <w:rStyle w:val="31"/>
          <w:rFonts w:hint="eastAsia" w:ascii="黑体" w:hAnsi="黑体" w:eastAsia="黑体"/>
          <w:b w:val="0"/>
        </w:rPr>
        <w:t>入决算情况说明</w:t>
      </w:r>
      <w:bookmarkEnd w:id="37"/>
      <w:bookmarkEnd w:id="38"/>
      <w:bookmarkEnd w:id="39"/>
    </w:p>
    <w:p w14:paraId="62674B8E">
      <w:pPr>
        <w:spacing w:line="600" w:lineRule="exact"/>
        <w:ind w:firstLine="640" w:firstLineChars="200"/>
        <w:jc w:val="left"/>
        <w:outlineLvl w:val="1"/>
        <w:rPr>
          <w:rFonts w:ascii="仿宋" w:hAnsi="仿宋" w:eastAsia="仿宋"/>
          <w:sz w:val="32"/>
          <w:szCs w:val="32"/>
        </w:rPr>
      </w:pPr>
      <w:r>
        <w:rPr>
          <w:rFonts w:hint="eastAsia" w:ascii="仿宋" w:hAnsi="仿宋" w:eastAsia="仿宋"/>
          <w:sz w:val="32"/>
          <w:szCs w:val="32"/>
          <w:lang w:eastAsia="zh-CN"/>
        </w:rPr>
        <w:t>2024年</w:t>
      </w:r>
      <w:r>
        <w:rPr>
          <w:rFonts w:hint="eastAsia" w:ascii="仿宋" w:hAnsi="仿宋" w:eastAsia="仿宋"/>
          <w:sz w:val="32"/>
          <w:szCs w:val="32"/>
        </w:rPr>
        <w:t>度本年收入合计</w:t>
      </w:r>
      <w:r>
        <w:rPr>
          <w:rFonts w:hint="eastAsia" w:eastAsia="仿宋"/>
          <w:sz w:val="32"/>
          <w:szCs w:val="32"/>
          <w:lang w:eastAsia="zh-CN"/>
        </w:rPr>
        <w:t>16650.06万元</w:t>
      </w:r>
      <w:r>
        <w:rPr>
          <w:rFonts w:hint="eastAsia" w:ascii="仿宋" w:hAnsi="仿宋" w:eastAsia="仿宋"/>
          <w:sz w:val="32"/>
          <w:szCs w:val="32"/>
        </w:rPr>
        <w:t>，其中：一般公共预算财政拨款收入</w:t>
      </w:r>
      <w:r>
        <w:rPr>
          <w:rFonts w:hint="eastAsia" w:eastAsia="仿宋"/>
          <w:sz w:val="32"/>
          <w:szCs w:val="32"/>
          <w:lang w:val="en-US" w:eastAsia="zh-CN"/>
        </w:rPr>
        <w:t>16516.25</w:t>
      </w:r>
      <w:r>
        <w:rPr>
          <w:rFonts w:hint="eastAsia" w:ascii="仿宋" w:hAnsi="仿宋" w:eastAsia="仿宋"/>
          <w:sz w:val="32"/>
          <w:szCs w:val="32"/>
        </w:rPr>
        <w:t>万元，占</w:t>
      </w:r>
      <w:r>
        <w:rPr>
          <w:rFonts w:hint="eastAsia" w:ascii="仿宋" w:hAnsi="仿宋" w:eastAsia="仿宋"/>
          <w:sz w:val="32"/>
          <w:szCs w:val="32"/>
          <w:lang w:val="en-US" w:eastAsia="zh-CN"/>
        </w:rPr>
        <w:t>99.2</w:t>
      </w:r>
      <w:r>
        <w:rPr>
          <w:rFonts w:ascii="仿宋" w:hAnsi="仿宋" w:eastAsia="仿宋"/>
          <w:sz w:val="32"/>
          <w:szCs w:val="32"/>
        </w:rPr>
        <w:t>%</w:t>
      </w:r>
      <w:r>
        <w:rPr>
          <w:rFonts w:hint="eastAsia" w:ascii="仿宋" w:hAnsi="仿宋" w:eastAsia="仿宋"/>
          <w:sz w:val="32"/>
          <w:szCs w:val="32"/>
        </w:rPr>
        <w:t>；政府性基金预算财政拨款收入</w:t>
      </w:r>
      <w:r>
        <w:rPr>
          <w:rFonts w:hint="eastAsia" w:eastAsia="仿宋"/>
          <w:sz w:val="32"/>
          <w:szCs w:val="32"/>
          <w:lang w:val="en-US" w:eastAsia="zh-CN"/>
        </w:rPr>
        <w:t>133.81</w:t>
      </w:r>
      <w:r>
        <w:rPr>
          <w:rFonts w:hint="eastAsia" w:ascii="仿宋" w:hAnsi="仿宋" w:eastAsia="仿宋"/>
          <w:sz w:val="32"/>
          <w:szCs w:val="32"/>
        </w:rPr>
        <w:t>万元，占</w:t>
      </w:r>
      <w:r>
        <w:rPr>
          <w:rFonts w:hint="eastAsia" w:ascii="仿宋" w:hAnsi="仿宋" w:eastAsia="仿宋"/>
          <w:sz w:val="32"/>
          <w:szCs w:val="32"/>
          <w:lang w:val="en-US" w:eastAsia="zh-CN"/>
        </w:rPr>
        <w:t>0.8</w:t>
      </w:r>
      <w:r>
        <w:rPr>
          <w:rFonts w:ascii="仿宋" w:hAnsi="仿宋" w:eastAsia="仿宋"/>
          <w:sz w:val="32"/>
          <w:szCs w:val="32"/>
        </w:rPr>
        <w:t>%</w:t>
      </w:r>
      <w:r>
        <w:rPr>
          <w:rFonts w:hint="eastAsia" w:ascii="仿宋" w:hAnsi="仿宋" w:eastAsia="仿宋"/>
          <w:sz w:val="32"/>
          <w:szCs w:val="32"/>
        </w:rPr>
        <w:t>；国有资本经营预算财政拨款收入</w:t>
      </w:r>
      <w:r>
        <w:rPr>
          <w:sz w:val="32"/>
          <w:szCs w:val="32"/>
        </w:rPr>
        <w:t>0</w:t>
      </w:r>
      <w:r>
        <w:rPr>
          <w:rFonts w:hint="eastAsia" w:ascii="仿宋" w:hAnsi="仿宋" w:eastAsia="仿宋"/>
          <w:sz w:val="32"/>
          <w:szCs w:val="32"/>
        </w:rPr>
        <w:t>万元，占</w:t>
      </w:r>
      <w:r>
        <w:rPr>
          <w:rFonts w:hint="eastAsia" w:ascii="仿宋" w:hAnsi="仿宋" w:eastAsia="仿宋"/>
          <w:sz w:val="32"/>
          <w:szCs w:val="32"/>
          <w:lang w:val="en-US" w:eastAsia="zh-CN"/>
        </w:rPr>
        <w:t>99.2</w:t>
      </w:r>
      <w:r>
        <w:rPr>
          <w:rFonts w:ascii="仿宋" w:hAnsi="仿宋" w:eastAsia="仿宋"/>
          <w:sz w:val="32"/>
          <w:szCs w:val="32"/>
        </w:rPr>
        <w:t>%</w:t>
      </w:r>
      <w:r>
        <w:rPr>
          <w:rFonts w:hint="eastAsia" w:ascii="仿宋" w:hAnsi="仿宋" w:eastAsia="仿宋"/>
          <w:sz w:val="32"/>
          <w:szCs w:val="32"/>
        </w:rPr>
        <w:t>；上级补助收入</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；事业收入</w:t>
      </w:r>
      <w:r>
        <w:rPr>
          <w:sz w:val="32"/>
          <w:szCs w:val="32"/>
        </w:rPr>
        <w:t>0</w:t>
      </w:r>
      <w:r>
        <w:rPr>
          <w:rFonts w:hint="eastAsia" w:ascii="仿宋" w:hAnsi="仿宋" w:eastAsia="仿宋"/>
          <w:sz w:val="32"/>
          <w:szCs w:val="32"/>
        </w:rPr>
        <w:t>万元，占</w:t>
      </w:r>
      <w:r>
        <w:rPr>
          <w:rFonts w:ascii="仿宋" w:hAnsi="仿宋" w:eastAsia="仿宋"/>
          <w:sz w:val="32"/>
          <w:szCs w:val="32"/>
        </w:rPr>
        <w:t>%</w:t>
      </w:r>
      <w:r>
        <w:rPr>
          <w:rFonts w:hint="eastAsia" w:ascii="仿宋" w:hAnsi="仿宋" w:eastAsia="仿宋"/>
          <w:sz w:val="32"/>
          <w:szCs w:val="32"/>
        </w:rPr>
        <w:t>；经营收入</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；附属单位上缴收入</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；其他收入</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w:t>
      </w:r>
    </w:p>
    <w:p w14:paraId="1F179F36">
      <w:pPr>
        <w:spacing w:line="600" w:lineRule="exact"/>
        <w:ind w:firstLine="420" w:firstLineChars="200"/>
        <w:outlineLvl w:val="1"/>
        <w:rPr>
          <w:rFonts w:ascii="仿宋" w:hAnsi="仿宋" w:eastAsia="仿宋"/>
          <w:b/>
          <w:sz w:val="32"/>
          <w:szCs w:val="32"/>
        </w:rPr>
      </w:pPr>
      <w:r>
        <w:drawing>
          <wp:anchor distT="0" distB="0" distL="114300" distR="114300" simplePos="0" relativeHeight="251661312" behindDoc="0" locked="0" layoutInCell="1" allowOverlap="1">
            <wp:simplePos x="0" y="0"/>
            <wp:positionH relativeFrom="column">
              <wp:posOffset>112395</wp:posOffset>
            </wp:positionH>
            <wp:positionV relativeFrom="paragraph">
              <wp:posOffset>1344295</wp:posOffset>
            </wp:positionV>
            <wp:extent cx="4826000" cy="2743200"/>
            <wp:effectExtent l="4445" t="4445" r="8255" b="14605"/>
            <wp:wrapSquare wrapText="bothSides"/>
            <wp:docPr id="3"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r>
        <w:rPr>
          <w:rFonts w:hint="eastAsia" w:ascii="仿宋" w:hAnsi="仿宋" w:eastAsia="仿宋"/>
          <w:b/>
          <w:sz w:val="32"/>
          <w:szCs w:val="32"/>
        </w:rPr>
        <w:t>（注：数据来源于财决</w:t>
      </w:r>
      <w:r>
        <w:rPr>
          <w:rFonts w:ascii="仿宋" w:hAnsi="仿宋" w:eastAsia="仿宋"/>
          <w:b/>
          <w:sz w:val="32"/>
          <w:szCs w:val="32"/>
        </w:rPr>
        <w:t>01表</w:t>
      </w:r>
      <w:r>
        <w:rPr>
          <w:rFonts w:hint="eastAsia" w:ascii="仿宋" w:hAnsi="仿宋" w:eastAsia="仿宋"/>
          <w:b/>
          <w:sz w:val="32"/>
          <w:szCs w:val="32"/>
        </w:rPr>
        <w:t>，仅罗列本部门涉及的收入。</w:t>
      </w:r>
      <w:r>
        <w:rPr>
          <w:rFonts w:ascii="仿宋" w:hAnsi="仿宋" w:eastAsia="仿宋"/>
          <w:b/>
          <w:sz w:val="32"/>
          <w:szCs w:val="32"/>
        </w:rPr>
        <w:t>）</w:t>
      </w:r>
    </w:p>
    <w:p w14:paraId="22DFC18F">
      <w:pPr>
        <w:spacing w:line="600" w:lineRule="exact"/>
        <w:ind w:firstLine="640" w:firstLineChars="200"/>
        <w:outlineLvl w:val="1"/>
        <w:rPr>
          <w:rFonts w:ascii="仿宋" w:hAnsi="仿宋" w:eastAsia="仿宋"/>
          <w:sz w:val="32"/>
          <w:szCs w:val="32"/>
        </w:rPr>
      </w:pPr>
    </w:p>
    <w:p w14:paraId="211921C8">
      <w:pPr>
        <w:spacing w:line="600" w:lineRule="exact"/>
        <w:ind w:firstLine="640" w:firstLineChars="200"/>
        <w:rPr>
          <w:rFonts w:ascii="仿宋" w:hAnsi="仿宋" w:eastAsia="仿宋"/>
          <w:sz w:val="32"/>
          <w:szCs w:val="32"/>
        </w:rPr>
      </w:pPr>
    </w:p>
    <w:p w14:paraId="3EA2DFB4">
      <w:pPr>
        <w:pStyle w:val="14"/>
      </w:pPr>
    </w:p>
    <w:p w14:paraId="4B55680A">
      <w:pPr>
        <w:pStyle w:val="29"/>
        <w:numPr>
          <w:ilvl w:val="0"/>
          <w:numId w:val="2"/>
        </w:numPr>
        <w:spacing w:line="600" w:lineRule="exact"/>
        <w:ind w:firstLineChars="0"/>
        <w:outlineLvl w:val="1"/>
        <w:rPr>
          <w:rStyle w:val="31"/>
          <w:rFonts w:ascii="黑体" w:hAnsi="黑体" w:eastAsia="黑体"/>
          <w:b w:val="0"/>
        </w:rPr>
      </w:pPr>
      <w:bookmarkStart w:id="40" w:name="_Toc15396605"/>
      <w:bookmarkStart w:id="41" w:name="_Toc4062_WPSOffice_Level2"/>
      <w:bookmarkStart w:id="42" w:name="_Toc15377207"/>
      <w:r>
        <w:rPr>
          <w:rFonts w:hint="eastAsia" w:ascii="黑体" w:hAnsi="黑体" w:eastAsia="黑体"/>
          <w:sz w:val="32"/>
          <w:szCs w:val="32"/>
        </w:rPr>
        <w:t>支</w:t>
      </w:r>
      <w:r>
        <w:rPr>
          <w:rStyle w:val="31"/>
          <w:rFonts w:hint="eastAsia" w:ascii="黑体" w:hAnsi="黑体" w:eastAsia="黑体"/>
          <w:b w:val="0"/>
        </w:rPr>
        <w:t>出决算情况说明</w:t>
      </w:r>
      <w:bookmarkEnd w:id="40"/>
      <w:bookmarkEnd w:id="41"/>
      <w:bookmarkEnd w:id="42"/>
    </w:p>
    <w:p w14:paraId="64C16036">
      <w:pPr>
        <w:spacing w:line="600" w:lineRule="exact"/>
        <w:ind w:firstLine="640" w:firstLineChars="200"/>
        <w:outlineLvl w:val="1"/>
        <w:rPr>
          <w:rFonts w:ascii="仿宋" w:hAnsi="仿宋" w:eastAsia="仿宋"/>
          <w:sz w:val="32"/>
          <w:szCs w:val="32"/>
        </w:rPr>
      </w:pPr>
      <w:r>
        <w:rPr>
          <w:rFonts w:hint="eastAsia" w:ascii="仿宋" w:hAnsi="仿宋" w:eastAsia="仿宋"/>
          <w:sz w:val="32"/>
          <w:szCs w:val="32"/>
          <w:lang w:eastAsia="zh-CN"/>
        </w:rPr>
        <w:t>2024年</w:t>
      </w:r>
      <w:r>
        <w:rPr>
          <w:rFonts w:hint="eastAsia" w:ascii="仿宋" w:hAnsi="仿宋" w:eastAsia="仿宋"/>
          <w:sz w:val="32"/>
          <w:szCs w:val="32"/>
        </w:rPr>
        <w:t>度本年支出合计</w:t>
      </w:r>
      <w:r>
        <w:rPr>
          <w:rFonts w:hint="eastAsia" w:eastAsia="仿宋"/>
          <w:sz w:val="32"/>
          <w:szCs w:val="32"/>
          <w:lang w:eastAsia="zh-CN"/>
        </w:rPr>
        <w:t>16650.06万元</w:t>
      </w:r>
      <w:r>
        <w:rPr>
          <w:rFonts w:hint="eastAsia" w:ascii="仿宋" w:hAnsi="仿宋" w:eastAsia="仿宋"/>
          <w:sz w:val="32"/>
          <w:szCs w:val="32"/>
        </w:rPr>
        <w:t>，其中：基本支出</w:t>
      </w:r>
      <w:r>
        <w:rPr>
          <w:rFonts w:hint="eastAsia" w:eastAsia="仿宋"/>
          <w:sz w:val="32"/>
          <w:szCs w:val="32"/>
          <w:lang w:val="en-US" w:eastAsia="zh-CN"/>
        </w:rPr>
        <w:t>653.67</w:t>
      </w:r>
      <w:r>
        <w:rPr>
          <w:rFonts w:hint="eastAsia" w:ascii="仿宋" w:hAnsi="仿宋" w:eastAsia="仿宋"/>
          <w:sz w:val="32"/>
          <w:szCs w:val="32"/>
        </w:rPr>
        <w:t>万元，占</w:t>
      </w:r>
      <w:r>
        <w:rPr>
          <w:rFonts w:hint="eastAsia" w:ascii="仿宋" w:hAnsi="仿宋" w:eastAsia="仿宋"/>
          <w:sz w:val="32"/>
          <w:szCs w:val="32"/>
          <w:lang w:val="en-US" w:eastAsia="zh-CN"/>
        </w:rPr>
        <w:t>3.93</w:t>
      </w:r>
      <w:r>
        <w:rPr>
          <w:rFonts w:ascii="仿宋" w:hAnsi="仿宋" w:eastAsia="仿宋"/>
          <w:sz w:val="32"/>
          <w:szCs w:val="32"/>
        </w:rPr>
        <w:t>%</w:t>
      </w:r>
      <w:r>
        <w:rPr>
          <w:rFonts w:hint="eastAsia" w:ascii="仿宋" w:hAnsi="仿宋" w:eastAsia="仿宋"/>
          <w:sz w:val="32"/>
          <w:szCs w:val="32"/>
        </w:rPr>
        <w:t>；项目支出</w:t>
      </w:r>
      <w:r>
        <w:rPr>
          <w:rFonts w:hint="eastAsia" w:ascii="仿宋" w:eastAsia="仿宋"/>
          <w:color w:val="auto"/>
          <w:sz w:val="32"/>
          <w:szCs w:val="32"/>
          <w:lang w:val="en-US" w:eastAsia="zh-CN"/>
        </w:rPr>
        <w:t>15996.39</w:t>
      </w:r>
      <w:r>
        <w:rPr>
          <w:rFonts w:hint="eastAsia" w:ascii="仿宋" w:hAnsi="仿宋" w:eastAsia="仿宋"/>
          <w:sz w:val="32"/>
          <w:szCs w:val="32"/>
        </w:rPr>
        <w:t>万元，占</w:t>
      </w:r>
      <w:r>
        <w:rPr>
          <w:rFonts w:hint="eastAsia" w:ascii="仿宋" w:hAnsi="仿宋" w:eastAsia="仿宋"/>
          <w:sz w:val="32"/>
          <w:szCs w:val="32"/>
          <w:lang w:val="en-US" w:eastAsia="zh-CN"/>
        </w:rPr>
        <w:t>96.07</w:t>
      </w:r>
      <w:r>
        <w:rPr>
          <w:rFonts w:ascii="仿宋" w:hAnsi="仿宋" w:eastAsia="仿宋"/>
          <w:sz w:val="32"/>
          <w:szCs w:val="32"/>
        </w:rPr>
        <w:t>%</w:t>
      </w:r>
      <w:r>
        <w:rPr>
          <w:rFonts w:hint="eastAsia" w:ascii="仿宋" w:hAnsi="仿宋" w:eastAsia="仿宋"/>
          <w:sz w:val="32"/>
          <w:szCs w:val="32"/>
        </w:rPr>
        <w:t>；上缴上级支出</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；经营支出</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；对附属单位补助支出</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w:t>
      </w:r>
    </w:p>
    <w:p w14:paraId="1C2B13BE">
      <w:pPr>
        <w:spacing w:line="600" w:lineRule="exact"/>
        <w:ind w:firstLine="640"/>
        <w:rPr>
          <w:rFonts w:ascii="仿宋" w:hAnsi="仿宋" w:eastAsia="仿宋"/>
          <w:sz w:val="32"/>
          <w:szCs w:val="32"/>
          <w:shd w:val="pct10" w:color="auto" w:fill="FFFFFF"/>
        </w:rPr>
      </w:pPr>
      <w:r>
        <w:drawing>
          <wp:anchor distT="0" distB="0" distL="114300" distR="114300" simplePos="0" relativeHeight="251662336" behindDoc="0" locked="0" layoutInCell="1" allowOverlap="1">
            <wp:simplePos x="0" y="0"/>
            <wp:positionH relativeFrom="column">
              <wp:posOffset>176530</wp:posOffset>
            </wp:positionH>
            <wp:positionV relativeFrom="paragraph">
              <wp:posOffset>157480</wp:posOffset>
            </wp:positionV>
            <wp:extent cx="4572000" cy="2743200"/>
            <wp:effectExtent l="4445" t="4445" r="14605" b="14605"/>
            <wp:wrapSquare wrapText="bothSides"/>
            <wp:docPr id="1"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14:paraId="6FA92724">
      <w:pPr>
        <w:spacing w:line="600" w:lineRule="exact"/>
        <w:ind w:firstLine="640" w:firstLineChars="200"/>
        <w:rPr>
          <w:rFonts w:ascii="仿宋" w:hAnsi="仿宋" w:eastAsia="仿宋"/>
          <w:sz w:val="32"/>
          <w:szCs w:val="32"/>
        </w:rPr>
      </w:pPr>
    </w:p>
    <w:p w14:paraId="6B31328E">
      <w:pPr>
        <w:pStyle w:val="14"/>
      </w:pPr>
    </w:p>
    <w:p w14:paraId="3E39E1B6">
      <w:pPr>
        <w:spacing w:line="600" w:lineRule="exact"/>
        <w:ind w:firstLine="640" w:firstLineChars="200"/>
        <w:rPr>
          <w:rFonts w:ascii="仿宋_GB2312" w:eastAsia="仿宋_GB2312"/>
          <w:sz w:val="32"/>
          <w:szCs w:val="32"/>
        </w:rPr>
      </w:pPr>
    </w:p>
    <w:p w14:paraId="46D45244">
      <w:pPr>
        <w:spacing w:line="600" w:lineRule="exact"/>
        <w:ind w:firstLine="640" w:firstLineChars="200"/>
        <w:outlineLvl w:val="1"/>
        <w:rPr>
          <w:rStyle w:val="31"/>
          <w:rFonts w:ascii="黑体" w:hAnsi="黑体" w:eastAsia="黑体"/>
          <w:b w:val="0"/>
        </w:rPr>
      </w:pPr>
      <w:bookmarkStart w:id="43" w:name="_Toc15377208"/>
      <w:bookmarkStart w:id="44" w:name="_Toc29887_WPSOffice_Level2"/>
      <w:bookmarkStart w:id="45" w:name="_Toc15396606"/>
      <w:r>
        <w:rPr>
          <w:rFonts w:hint="eastAsia" w:ascii="黑体" w:hAnsi="黑体" w:eastAsia="黑体"/>
          <w:sz w:val="32"/>
          <w:szCs w:val="32"/>
        </w:rPr>
        <w:t>四、财</w:t>
      </w:r>
      <w:r>
        <w:rPr>
          <w:rStyle w:val="31"/>
          <w:rFonts w:hint="eastAsia" w:ascii="黑体" w:hAnsi="黑体" w:eastAsia="黑体"/>
          <w:b w:val="0"/>
        </w:rPr>
        <w:t>政拨款收入支出决算总体情况说明</w:t>
      </w:r>
      <w:bookmarkEnd w:id="43"/>
      <w:bookmarkEnd w:id="44"/>
      <w:bookmarkEnd w:id="45"/>
    </w:p>
    <w:p w14:paraId="69AC325D">
      <w:pPr>
        <w:spacing w:line="600" w:lineRule="exact"/>
        <w:ind w:firstLine="640"/>
        <w:rPr>
          <w:rFonts w:hint="eastAsia" w:ascii="仿宋" w:hAnsi="仿宋" w:eastAsia="仿宋"/>
          <w:sz w:val="32"/>
          <w:szCs w:val="32"/>
        </w:rPr>
      </w:pPr>
      <w:r>
        <w:rPr>
          <w:rFonts w:hint="eastAsia" w:ascii="仿宋" w:hAnsi="仿宋" w:eastAsia="仿宋"/>
          <w:sz w:val="32"/>
          <w:szCs w:val="32"/>
          <w:lang w:eastAsia="zh-CN"/>
        </w:rPr>
        <w:t>2024年</w:t>
      </w:r>
      <w:r>
        <w:rPr>
          <w:rFonts w:hint="eastAsia" w:ascii="仿宋" w:hAnsi="仿宋" w:eastAsia="仿宋"/>
          <w:sz w:val="32"/>
          <w:szCs w:val="32"/>
        </w:rPr>
        <w:t>度财政拨款收、支总计均为</w:t>
      </w:r>
      <w:r>
        <w:rPr>
          <w:rFonts w:hint="eastAsia" w:eastAsia="仿宋"/>
          <w:sz w:val="32"/>
          <w:szCs w:val="32"/>
          <w:lang w:eastAsia="zh-CN"/>
        </w:rPr>
        <w:t>16650.06万元</w:t>
      </w:r>
      <w:r>
        <w:rPr>
          <w:rFonts w:hint="eastAsia" w:ascii="仿宋" w:hAnsi="仿宋" w:eastAsia="仿宋"/>
          <w:sz w:val="32"/>
          <w:szCs w:val="32"/>
        </w:rPr>
        <w:t>。与</w:t>
      </w:r>
      <w:r>
        <w:rPr>
          <w:rFonts w:hint="eastAsia" w:ascii="仿宋" w:hAnsi="仿宋" w:eastAsia="仿宋"/>
          <w:sz w:val="32"/>
          <w:szCs w:val="32"/>
          <w:lang w:eastAsia="zh-CN"/>
        </w:rPr>
        <w:t>2023年</w:t>
      </w:r>
      <w:r>
        <w:rPr>
          <w:rFonts w:hint="eastAsia" w:ascii="仿宋" w:hAnsi="仿宋" w:eastAsia="仿宋"/>
          <w:sz w:val="32"/>
          <w:szCs w:val="32"/>
        </w:rPr>
        <w:t>度相比，财政拨款收、支总计各增加</w:t>
      </w:r>
      <w:r>
        <w:rPr>
          <w:rFonts w:hint="eastAsia" w:ascii="仿宋" w:hAnsi="仿宋" w:eastAsia="仿宋"/>
          <w:sz w:val="32"/>
          <w:szCs w:val="32"/>
          <w:lang w:val="en-US" w:eastAsia="zh-CN"/>
        </w:rPr>
        <w:t>13626.78</w:t>
      </w:r>
      <w:r>
        <w:rPr>
          <w:rFonts w:hint="eastAsia" w:ascii="仿宋" w:hAnsi="仿宋" w:eastAsia="仿宋"/>
          <w:sz w:val="32"/>
          <w:szCs w:val="32"/>
        </w:rPr>
        <w:t>万元，增长</w:t>
      </w:r>
      <w:r>
        <w:rPr>
          <w:rFonts w:hint="eastAsia" w:ascii="仿宋" w:hAnsi="仿宋" w:eastAsia="仿宋"/>
          <w:sz w:val="32"/>
          <w:szCs w:val="32"/>
          <w:lang w:val="en-US" w:eastAsia="zh-CN"/>
        </w:rPr>
        <w:t>450.73</w:t>
      </w:r>
      <w:r>
        <w:rPr>
          <w:rFonts w:ascii="仿宋" w:hAnsi="仿宋" w:eastAsia="仿宋"/>
          <w:sz w:val="32"/>
          <w:szCs w:val="32"/>
        </w:rPr>
        <w:t>%</w:t>
      </w:r>
      <w:r>
        <w:rPr>
          <w:rFonts w:hint="eastAsia" w:ascii="仿宋" w:hAnsi="仿宋" w:eastAsia="仿宋"/>
          <w:sz w:val="32"/>
          <w:szCs w:val="32"/>
        </w:rPr>
        <w:t>。主要变动原因是</w:t>
      </w:r>
      <w:r>
        <w:rPr>
          <w:rFonts w:hint="eastAsia" w:ascii="仿宋" w:hAnsi="仿宋" w:eastAsia="仿宋"/>
          <w:sz w:val="32"/>
          <w:szCs w:val="32"/>
          <w:lang w:val="en-US" w:eastAsia="zh-CN"/>
        </w:rPr>
        <w:t>2024年新增国债项目等</w:t>
      </w:r>
      <w:r>
        <w:rPr>
          <w:rFonts w:hint="eastAsia" w:ascii="仿宋" w:hAnsi="仿宋" w:eastAsia="仿宋"/>
          <w:sz w:val="32"/>
          <w:szCs w:val="32"/>
        </w:rPr>
        <w:t>。</w:t>
      </w:r>
    </w:p>
    <w:p w14:paraId="63EDE46A">
      <w:pPr>
        <w:spacing w:line="600" w:lineRule="exact"/>
        <w:ind w:firstLine="640"/>
        <w:rPr>
          <w:rFonts w:ascii="仿宋" w:hAnsi="仿宋" w:eastAsia="仿宋"/>
          <w:b/>
          <w:sz w:val="32"/>
          <w:szCs w:val="32"/>
        </w:rPr>
      </w:pPr>
      <w:r>
        <w:rPr>
          <w:rFonts w:hint="eastAsia" w:ascii="仿宋" w:hAnsi="仿宋" w:eastAsia="仿宋"/>
          <w:b/>
          <w:sz w:val="32"/>
          <w:szCs w:val="32"/>
        </w:rPr>
        <w:t>（注：数据来源于财决</w:t>
      </w:r>
      <w:r>
        <w:rPr>
          <w:rFonts w:ascii="仿宋" w:hAnsi="仿宋" w:eastAsia="仿宋"/>
          <w:b/>
          <w:sz w:val="32"/>
          <w:szCs w:val="32"/>
        </w:rPr>
        <w:t>01-1</w:t>
      </w:r>
      <w:r>
        <w:rPr>
          <w:rFonts w:hint="eastAsia" w:ascii="仿宋" w:hAnsi="仿宋" w:eastAsia="仿宋"/>
          <w:b/>
          <w:sz w:val="32"/>
          <w:szCs w:val="32"/>
        </w:rPr>
        <w:t>表</w:t>
      </w:r>
      <w:r>
        <w:rPr>
          <w:rFonts w:ascii="仿宋" w:hAnsi="仿宋" w:eastAsia="仿宋"/>
          <w:b/>
          <w:sz w:val="32"/>
          <w:szCs w:val="32"/>
        </w:rPr>
        <w:t>）</w:t>
      </w:r>
    </w:p>
    <w:p w14:paraId="221CF3EC">
      <w:pPr>
        <w:spacing w:line="600" w:lineRule="exact"/>
        <w:rPr>
          <w:rFonts w:ascii="仿宋" w:hAnsi="仿宋" w:eastAsia="仿宋"/>
          <w:sz w:val="32"/>
          <w:szCs w:val="32"/>
        </w:rPr>
      </w:pPr>
      <w:r>
        <w:drawing>
          <wp:anchor distT="0" distB="0" distL="114300" distR="114300" simplePos="0" relativeHeight="251663360" behindDoc="0" locked="0" layoutInCell="1" allowOverlap="1">
            <wp:simplePos x="0" y="0"/>
            <wp:positionH relativeFrom="column">
              <wp:posOffset>230505</wp:posOffset>
            </wp:positionH>
            <wp:positionV relativeFrom="paragraph">
              <wp:posOffset>361315</wp:posOffset>
            </wp:positionV>
            <wp:extent cx="4572000" cy="2762250"/>
            <wp:effectExtent l="4445" t="4445" r="14605" b="14605"/>
            <wp:wrapSquare wrapText="bothSides"/>
            <wp:docPr id="10"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14:paraId="0F5DC93A">
      <w:pPr>
        <w:spacing w:line="600" w:lineRule="exact"/>
        <w:ind w:firstLine="640" w:firstLineChars="200"/>
        <w:rPr>
          <w:rFonts w:ascii="仿宋" w:hAnsi="仿宋" w:eastAsia="仿宋"/>
          <w:sz w:val="32"/>
          <w:szCs w:val="32"/>
        </w:rPr>
      </w:pPr>
    </w:p>
    <w:p w14:paraId="42E8489D">
      <w:pPr>
        <w:pStyle w:val="14"/>
      </w:pPr>
    </w:p>
    <w:p w14:paraId="6945E2CD">
      <w:pPr>
        <w:spacing w:line="600" w:lineRule="exact"/>
        <w:ind w:firstLine="640"/>
        <w:rPr>
          <w:rFonts w:ascii="仿宋" w:hAnsi="仿宋" w:eastAsia="仿宋"/>
          <w:b/>
          <w:sz w:val="32"/>
          <w:szCs w:val="32"/>
        </w:rPr>
      </w:pPr>
    </w:p>
    <w:p w14:paraId="46F5D1D2">
      <w:pPr>
        <w:spacing w:line="600" w:lineRule="exact"/>
        <w:ind w:firstLine="640" w:firstLineChars="200"/>
        <w:outlineLvl w:val="1"/>
        <w:rPr>
          <w:rStyle w:val="31"/>
          <w:rFonts w:ascii="黑体" w:hAnsi="黑体" w:eastAsia="黑体"/>
          <w:b w:val="0"/>
        </w:rPr>
      </w:pPr>
      <w:bookmarkStart w:id="46" w:name="_Toc15377209"/>
      <w:bookmarkStart w:id="47" w:name="_Toc9809_WPSOffice_Level2"/>
      <w:bookmarkStart w:id="48" w:name="_Toc15396607"/>
      <w:r>
        <w:rPr>
          <w:rFonts w:hint="eastAsia" w:ascii="黑体" w:hAnsi="黑体" w:eastAsia="黑体"/>
          <w:sz w:val="32"/>
          <w:szCs w:val="32"/>
        </w:rPr>
        <w:t>五、</w:t>
      </w:r>
      <w:r>
        <w:rPr>
          <w:rFonts w:hint="eastAsia" w:ascii="黑体" w:hAnsi="黑体" w:eastAsia="黑体"/>
          <w:b/>
          <w:sz w:val="32"/>
          <w:szCs w:val="32"/>
        </w:rPr>
        <w:t>一</w:t>
      </w:r>
      <w:r>
        <w:rPr>
          <w:rStyle w:val="31"/>
          <w:rFonts w:hint="eastAsia" w:ascii="黑体" w:hAnsi="黑体" w:eastAsia="黑体"/>
          <w:b w:val="0"/>
        </w:rPr>
        <w:t>般公共预算财政拨款支出决算情况说明</w:t>
      </w:r>
      <w:bookmarkEnd w:id="46"/>
      <w:bookmarkEnd w:id="47"/>
      <w:bookmarkEnd w:id="48"/>
    </w:p>
    <w:p w14:paraId="7AB00F85">
      <w:pPr>
        <w:spacing w:line="600" w:lineRule="exact"/>
        <w:ind w:firstLine="643" w:firstLineChars="200"/>
        <w:outlineLvl w:val="2"/>
        <w:rPr>
          <w:rFonts w:ascii="仿宋" w:hAnsi="仿宋" w:eastAsia="仿宋"/>
          <w:b/>
          <w:sz w:val="32"/>
          <w:szCs w:val="32"/>
        </w:rPr>
      </w:pPr>
      <w:bookmarkStart w:id="49" w:name="_Toc15377210"/>
      <w:r>
        <w:rPr>
          <w:rFonts w:hint="eastAsia" w:ascii="仿宋" w:hAnsi="仿宋" w:eastAsia="仿宋"/>
          <w:b/>
          <w:sz w:val="32"/>
          <w:szCs w:val="32"/>
        </w:rPr>
        <w:t>（一）一般公共预算财政拨款支出决算总体情况</w:t>
      </w:r>
      <w:bookmarkEnd w:id="49"/>
    </w:p>
    <w:p w14:paraId="7BD44824">
      <w:pPr>
        <w:spacing w:line="600" w:lineRule="exact"/>
        <w:ind w:firstLine="640" w:firstLineChars="200"/>
        <w:rPr>
          <w:rFonts w:hint="default" w:ascii="仿宋" w:hAnsi="仿宋" w:eastAsia="仿宋"/>
          <w:sz w:val="32"/>
          <w:szCs w:val="32"/>
          <w:lang w:val="en-US" w:eastAsia="zh-CN"/>
        </w:rPr>
      </w:pPr>
      <w:r>
        <w:rPr>
          <w:rFonts w:hint="eastAsia" w:ascii="仿宋" w:hAnsi="仿宋" w:eastAsia="仿宋"/>
          <w:sz w:val="32"/>
          <w:szCs w:val="32"/>
          <w:lang w:eastAsia="zh-CN"/>
        </w:rPr>
        <w:t>2024年</w:t>
      </w:r>
      <w:r>
        <w:rPr>
          <w:rFonts w:hint="eastAsia" w:ascii="仿宋" w:hAnsi="仿宋" w:eastAsia="仿宋"/>
          <w:sz w:val="32"/>
          <w:szCs w:val="32"/>
        </w:rPr>
        <w:t>度一般公共预算财政拨款支出</w:t>
      </w:r>
      <w:r>
        <w:rPr>
          <w:rFonts w:hint="eastAsia" w:eastAsia="仿宋"/>
          <w:sz w:val="32"/>
          <w:szCs w:val="32"/>
          <w:lang w:val="en-US" w:eastAsia="zh-CN"/>
        </w:rPr>
        <w:t>16516.25</w:t>
      </w:r>
      <w:r>
        <w:rPr>
          <w:rFonts w:hint="eastAsia" w:ascii="仿宋" w:hAnsi="仿宋" w:eastAsia="仿宋"/>
          <w:sz w:val="32"/>
          <w:szCs w:val="32"/>
        </w:rPr>
        <w:t>万元，占本年支出合计的</w:t>
      </w:r>
      <w:r>
        <w:rPr>
          <w:sz w:val="32"/>
          <w:szCs w:val="32"/>
        </w:rPr>
        <w:t>9</w:t>
      </w:r>
      <w:r>
        <w:rPr>
          <w:rFonts w:hint="eastAsia"/>
          <w:sz w:val="32"/>
          <w:szCs w:val="32"/>
          <w:lang w:val="en-US" w:eastAsia="zh-CN"/>
        </w:rPr>
        <w:t>9.2</w:t>
      </w:r>
      <w:r>
        <w:rPr>
          <w:rFonts w:ascii="仿宋" w:hAnsi="仿宋" w:eastAsia="仿宋"/>
          <w:sz w:val="32"/>
          <w:szCs w:val="32"/>
        </w:rPr>
        <w:t>%</w:t>
      </w:r>
      <w:r>
        <w:rPr>
          <w:rFonts w:hint="eastAsia" w:ascii="仿宋" w:hAnsi="仿宋" w:eastAsia="仿宋"/>
          <w:sz w:val="32"/>
          <w:szCs w:val="32"/>
        </w:rPr>
        <w:t>。与</w:t>
      </w:r>
      <w:r>
        <w:rPr>
          <w:rFonts w:hint="eastAsia" w:ascii="仿宋" w:hAnsi="仿宋" w:eastAsia="仿宋"/>
          <w:sz w:val="32"/>
          <w:szCs w:val="32"/>
          <w:lang w:eastAsia="zh-CN"/>
        </w:rPr>
        <w:t>2023年</w:t>
      </w:r>
      <w:r>
        <w:rPr>
          <w:rFonts w:hint="eastAsia" w:ascii="仿宋" w:hAnsi="仿宋" w:eastAsia="仿宋"/>
          <w:sz w:val="32"/>
          <w:szCs w:val="32"/>
        </w:rPr>
        <w:t>度相比，一般公共预算财政拨款支出增加</w:t>
      </w:r>
      <w:r>
        <w:rPr>
          <w:rFonts w:hint="eastAsia" w:ascii="仿宋" w:hAnsi="仿宋" w:eastAsia="仿宋"/>
          <w:sz w:val="32"/>
          <w:szCs w:val="32"/>
          <w:lang w:val="en-US" w:eastAsia="zh-CN"/>
        </w:rPr>
        <w:t>13724.62</w:t>
      </w:r>
      <w:r>
        <w:rPr>
          <w:rFonts w:hint="eastAsia" w:ascii="仿宋" w:hAnsi="仿宋" w:eastAsia="仿宋"/>
          <w:sz w:val="32"/>
          <w:szCs w:val="32"/>
        </w:rPr>
        <w:t>万元，增长</w:t>
      </w:r>
      <w:r>
        <w:rPr>
          <w:rFonts w:hint="eastAsia" w:ascii="仿宋" w:hAnsi="仿宋" w:eastAsia="仿宋"/>
          <w:sz w:val="32"/>
          <w:szCs w:val="32"/>
          <w:lang w:val="en-US" w:eastAsia="zh-CN"/>
        </w:rPr>
        <w:t>491.64</w:t>
      </w:r>
      <w:r>
        <w:rPr>
          <w:rFonts w:ascii="仿宋" w:hAnsi="仿宋" w:eastAsia="仿宋"/>
          <w:sz w:val="32"/>
          <w:szCs w:val="32"/>
        </w:rPr>
        <w:t>%</w:t>
      </w:r>
      <w:r>
        <w:rPr>
          <w:rFonts w:hint="eastAsia" w:ascii="仿宋" w:hAnsi="仿宋" w:eastAsia="仿宋"/>
          <w:sz w:val="32"/>
          <w:szCs w:val="32"/>
        </w:rPr>
        <w:t>。主要变动原因是</w:t>
      </w:r>
      <w:r>
        <w:rPr>
          <w:rFonts w:hint="eastAsia" w:ascii="仿宋" w:hAnsi="仿宋" w:eastAsia="仿宋"/>
          <w:sz w:val="32"/>
          <w:szCs w:val="32"/>
          <w:lang w:val="en-US" w:eastAsia="zh-CN"/>
        </w:rPr>
        <w:t>项目支出增加。</w:t>
      </w:r>
    </w:p>
    <w:p w14:paraId="06D8455C">
      <w:pPr>
        <w:spacing w:line="600" w:lineRule="exact"/>
        <w:ind w:firstLine="640" w:firstLineChars="200"/>
        <w:rPr>
          <w:rFonts w:ascii="仿宋" w:hAnsi="仿宋" w:eastAsia="仿宋"/>
          <w:sz w:val="32"/>
          <w:szCs w:val="32"/>
        </w:rPr>
      </w:pPr>
    </w:p>
    <w:p w14:paraId="4D0CE3E2">
      <w:pPr>
        <w:spacing w:line="600" w:lineRule="exact"/>
        <w:ind w:firstLine="420" w:firstLineChars="200"/>
        <w:rPr>
          <w:rFonts w:ascii="仿宋" w:hAnsi="仿宋" w:eastAsia="仿宋"/>
          <w:sz w:val="32"/>
          <w:szCs w:val="32"/>
        </w:rPr>
      </w:pPr>
      <w:r>
        <w:drawing>
          <wp:anchor distT="0" distB="0" distL="114300" distR="114300" simplePos="0" relativeHeight="251664384" behindDoc="0" locked="0" layoutInCell="1" allowOverlap="1">
            <wp:simplePos x="0" y="0"/>
            <wp:positionH relativeFrom="column">
              <wp:posOffset>249555</wp:posOffset>
            </wp:positionH>
            <wp:positionV relativeFrom="paragraph">
              <wp:posOffset>-8389620</wp:posOffset>
            </wp:positionV>
            <wp:extent cx="4572000" cy="2752725"/>
            <wp:effectExtent l="4445" t="4445" r="14605" b="5080"/>
            <wp:wrapSquare wrapText="bothSides"/>
            <wp:docPr id="12" name="图表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14:paraId="3A7C3552">
      <w:pPr>
        <w:pStyle w:val="14"/>
      </w:pPr>
    </w:p>
    <w:p w14:paraId="28042F5A">
      <w:pPr>
        <w:spacing w:line="600" w:lineRule="exact"/>
        <w:ind w:firstLine="643" w:firstLineChars="200"/>
        <w:outlineLvl w:val="2"/>
        <w:rPr>
          <w:rFonts w:ascii="仿宋" w:hAnsi="仿宋" w:eastAsia="仿宋"/>
          <w:b/>
          <w:sz w:val="32"/>
          <w:szCs w:val="32"/>
        </w:rPr>
      </w:pPr>
      <w:bookmarkStart w:id="50" w:name="_Toc15377211"/>
      <w:r>
        <w:rPr>
          <w:rFonts w:hint="eastAsia" w:ascii="仿宋" w:hAnsi="仿宋" w:eastAsia="仿宋"/>
          <w:b/>
          <w:sz w:val="32"/>
          <w:szCs w:val="32"/>
        </w:rPr>
        <w:t>（二）一般公共预算财政拨款支出决算结构情况</w:t>
      </w:r>
      <w:bookmarkEnd w:id="50"/>
    </w:p>
    <w:p w14:paraId="5EFAE3F5">
      <w:pPr>
        <w:ind w:firstLine="420" w:firstLineChars="200"/>
        <w:rPr>
          <w:rFonts w:hint="eastAsia" w:ascii="宋体" w:hAnsi="宋体" w:eastAsia="宋体" w:cs="宋体"/>
          <w:sz w:val="28"/>
          <w:szCs w:val="28"/>
          <w:lang w:val="en-US" w:eastAsia="zh-CN"/>
        </w:rPr>
      </w:pPr>
      <w:r>
        <w:drawing>
          <wp:anchor distT="0" distB="0" distL="114300" distR="114300" simplePos="0" relativeHeight="251665408" behindDoc="0" locked="0" layoutInCell="1" allowOverlap="1">
            <wp:simplePos x="0" y="0"/>
            <wp:positionH relativeFrom="column">
              <wp:posOffset>72390</wp:posOffset>
            </wp:positionH>
            <wp:positionV relativeFrom="paragraph">
              <wp:posOffset>2124710</wp:posOffset>
            </wp:positionV>
            <wp:extent cx="4572000" cy="4124325"/>
            <wp:effectExtent l="4445" t="4445" r="14605" b="5080"/>
            <wp:wrapSquare wrapText="bothSides"/>
            <wp:docPr id="13" name="图表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rPr>
          <w:rFonts w:hint="eastAsia" w:ascii="仿宋" w:hAnsi="仿宋" w:eastAsia="仿宋"/>
          <w:sz w:val="32"/>
          <w:szCs w:val="32"/>
          <w:lang w:eastAsia="zh-CN"/>
        </w:rPr>
        <w:t>2024年</w:t>
      </w:r>
      <w:r>
        <w:rPr>
          <w:rFonts w:hint="eastAsia" w:ascii="仿宋" w:hAnsi="仿宋" w:eastAsia="仿宋"/>
          <w:sz w:val="32"/>
          <w:szCs w:val="32"/>
        </w:rPr>
        <w:t>度一般公共预算财政拨款支出</w:t>
      </w:r>
      <w:r>
        <w:rPr>
          <w:rFonts w:hint="eastAsia" w:eastAsia="仿宋"/>
          <w:sz w:val="32"/>
          <w:szCs w:val="32"/>
          <w:lang w:val="en-US" w:eastAsia="zh-CN"/>
        </w:rPr>
        <w:t>16516.25</w:t>
      </w:r>
      <w:r>
        <w:rPr>
          <w:rFonts w:hint="eastAsia" w:ascii="仿宋" w:hAnsi="仿宋" w:eastAsia="仿宋"/>
          <w:sz w:val="32"/>
          <w:szCs w:val="32"/>
        </w:rPr>
        <w:t>万元，</w:t>
      </w:r>
      <w:r>
        <w:rPr>
          <w:rFonts w:hint="eastAsia" w:ascii="仿宋" w:hAnsi="仿宋" w:eastAsia="仿宋"/>
          <w:sz w:val="32"/>
          <w:szCs w:val="32"/>
          <w:lang w:val="en-US" w:eastAsia="zh-CN"/>
        </w:rPr>
        <w:t>其</w:t>
      </w:r>
      <w:r>
        <w:rPr>
          <w:rFonts w:hint="eastAsia" w:ascii="宋体" w:hAnsi="宋体" w:eastAsia="宋体" w:cs="宋体"/>
          <w:sz w:val="28"/>
          <w:szCs w:val="28"/>
          <w:lang w:val="en-US" w:eastAsia="zh-CN"/>
        </w:rPr>
        <w:t>中</w:t>
      </w:r>
      <w:r>
        <w:rPr>
          <w:rFonts w:hint="eastAsia" w:ascii="宋体" w:hAnsi="宋体" w:eastAsia="宋体" w:cs="宋体"/>
          <w:color w:val="000000" w:themeColor="text1"/>
          <w:sz w:val="28"/>
          <w:szCs w:val="28"/>
          <w:lang w:val="en-US" w:eastAsia="zh-CN"/>
          <w14:textFill>
            <w14:solidFill>
              <w14:schemeClr w14:val="tx1"/>
            </w14:solidFill>
          </w14:textFill>
        </w:rPr>
        <w:t>208-社会保障和就业支出为</w:t>
      </w:r>
      <w:r>
        <w:rPr>
          <w:rFonts w:hint="eastAsia" w:ascii="宋体" w:hAnsi="宋体" w:cs="宋体"/>
          <w:color w:val="000000" w:themeColor="text1"/>
          <w:sz w:val="28"/>
          <w:szCs w:val="28"/>
          <w:lang w:val="en-US" w:eastAsia="zh-CN"/>
          <w14:textFill>
            <w14:solidFill>
              <w14:schemeClr w14:val="tx1"/>
            </w14:solidFill>
          </w14:textFill>
        </w:rPr>
        <w:t>89.66</w:t>
      </w:r>
      <w:r>
        <w:rPr>
          <w:rFonts w:hint="eastAsia" w:ascii="宋体" w:hAnsi="宋体" w:eastAsia="宋体" w:cs="宋体"/>
          <w:color w:val="000000" w:themeColor="text1"/>
          <w:sz w:val="28"/>
          <w:szCs w:val="28"/>
          <w:lang w:val="en-US" w:eastAsia="zh-CN"/>
          <w14:textFill>
            <w14:solidFill>
              <w14:schemeClr w14:val="tx1"/>
            </w14:solidFill>
          </w14:textFill>
        </w:rPr>
        <w:t>万元,210-卫生健康支出为</w:t>
      </w:r>
      <w:r>
        <w:rPr>
          <w:rFonts w:hint="eastAsia" w:ascii="宋体" w:hAnsi="宋体" w:cs="宋体"/>
          <w:color w:val="000000" w:themeColor="text1"/>
          <w:sz w:val="28"/>
          <w:szCs w:val="28"/>
          <w:lang w:val="en-US" w:eastAsia="zh-CN"/>
          <w14:textFill>
            <w14:solidFill>
              <w14:schemeClr w14:val="tx1"/>
            </w14:solidFill>
          </w14:textFill>
        </w:rPr>
        <w:t>36.95</w:t>
      </w:r>
      <w:r>
        <w:rPr>
          <w:rFonts w:hint="eastAsia" w:ascii="宋体" w:hAnsi="宋体" w:eastAsia="宋体" w:cs="宋体"/>
          <w:color w:val="000000" w:themeColor="text1"/>
          <w:sz w:val="28"/>
          <w:szCs w:val="28"/>
          <w:lang w:val="en-US" w:eastAsia="zh-CN"/>
          <w14:textFill>
            <w14:solidFill>
              <w14:schemeClr w14:val="tx1"/>
            </w14:solidFill>
          </w14:textFill>
        </w:rPr>
        <w:t>万元,213-农林水支出为</w:t>
      </w:r>
      <w:r>
        <w:rPr>
          <w:rFonts w:hint="eastAsia" w:ascii="宋体" w:hAnsi="宋体" w:cs="宋体"/>
          <w:color w:val="000000" w:themeColor="text1"/>
          <w:sz w:val="28"/>
          <w:szCs w:val="28"/>
          <w:lang w:val="en-US" w:eastAsia="zh-CN"/>
          <w14:textFill>
            <w14:solidFill>
              <w14:schemeClr w14:val="tx1"/>
            </w14:solidFill>
          </w14:textFill>
        </w:rPr>
        <w:t>408.57</w:t>
      </w:r>
      <w:r>
        <w:rPr>
          <w:rFonts w:hint="eastAsia" w:ascii="宋体" w:hAnsi="宋体" w:eastAsia="宋体" w:cs="宋体"/>
          <w:color w:val="000000" w:themeColor="text1"/>
          <w:sz w:val="28"/>
          <w:szCs w:val="28"/>
          <w:lang w:val="en-US" w:eastAsia="zh-CN"/>
          <w14:textFill>
            <w14:solidFill>
              <w14:schemeClr w14:val="tx1"/>
            </w14:solidFill>
          </w14:textFill>
        </w:rPr>
        <w:t>万元,220-自然资源海洋气象等支出为</w:t>
      </w:r>
      <w:r>
        <w:rPr>
          <w:rFonts w:hint="eastAsia" w:ascii="宋体" w:hAnsi="宋体" w:cs="宋体"/>
          <w:color w:val="000000" w:themeColor="text1"/>
          <w:sz w:val="28"/>
          <w:szCs w:val="28"/>
          <w:lang w:val="en-US" w:eastAsia="zh-CN"/>
          <w14:textFill>
            <w14:solidFill>
              <w14:schemeClr w14:val="tx1"/>
            </w14:solidFill>
          </w14:textFill>
        </w:rPr>
        <w:t>3155.4</w:t>
      </w:r>
      <w:r>
        <w:rPr>
          <w:rFonts w:hint="eastAsia" w:ascii="宋体" w:hAnsi="宋体" w:eastAsia="宋体" w:cs="宋体"/>
          <w:color w:val="000000" w:themeColor="text1"/>
          <w:sz w:val="28"/>
          <w:szCs w:val="28"/>
          <w:lang w:val="en-US" w:eastAsia="zh-CN"/>
          <w14:textFill>
            <w14:solidFill>
              <w14:schemeClr w14:val="tx1"/>
            </w14:solidFill>
          </w14:textFill>
        </w:rPr>
        <w:t>万元,221-住房保障支出为</w:t>
      </w:r>
      <w:r>
        <w:rPr>
          <w:rFonts w:hint="eastAsia" w:ascii="宋体" w:hAnsi="宋体" w:cs="宋体"/>
          <w:color w:val="000000" w:themeColor="text1"/>
          <w:sz w:val="28"/>
          <w:szCs w:val="28"/>
          <w:lang w:val="en-US" w:eastAsia="zh-CN"/>
          <w14:textFill>
            <w14:solidFill>
              <w14:schemeClr w14:val="tx1"/>
            </w14:solidFill>
          </w14:textFill>
        </w:rPr>
        <w:t>1440.21</w:t>
      </w:r>
      <w:r>
        <w:rPr>
          <w:rFonts w:hint="eastAsia" w:ascii="宋体" w:hAnsi="宋体" w:eastAsia="宋体" w:cs="宋体"/>
          <w:color w:val="000000" w:themeColor="text1"/>
          <w:sz w:val="28"/>
          <w:szCs w:val="28"/>
          <w:lang w:val="en-US" w:eastAsia="zh-CN"/>
          <w14:textFill>
            <w14:solidFill>
              <w14:schemeClr w14:val="tx1"/>
            </w14:solidFill>
          </w14:textFill>
        </w:rPr>
        <w:t>万元,224-灾害防治及应急管理支出为</w:t>
      </w:r>
      <w:r>
        <w:rPr>
          <w:rFonts w:hint="eastAsia" w:ascii="宋体" w:hAnsi="宋体" w:cs="宋体"/>
          <w:color w:val="000000" w:themeColor="text1"/>
          <w:sz w:val="28"/>
          <w:szCs w:val="28"/>
          <w:lang w:val="en-US" w:eastAsia="zh-CN"/>
          <w14:textFill>
            <w14:solidFill>
              <w14:schemeClr w14:val="tx1"/>
            </w14:solidFill>
          </w14:textFill>
        </w:rPr>
        <w:t>11384.98</w:t>
      </w:r>
      <w:r>
        <w:rPr>
          <w:rFonts w:hint="eastAsia" w:ascii="宋体" w:hAnsi="宋体" w:eastAsia="宋体" w:cs="宋体"/>
          <w:color w:val="000000" w:themeColor="text1"/>
          <w:sz w:val="28"/>
          <w:szCs w:val="28"/>
          <w:lang w:val="en-US" w:eastAsia="zh-CN"/>
          <w14:textFill>
            <w14:solidFill>
              <w14:schemeClr w14:val="tx1"/>
            </w14:solidFill>
          </w14:textFill>
        </w:rPr>
        <w:t>万元</w:t>
      </w:r>
      <w:r>
        <w:rPr>
          <w:rFonts w:hint="eastAsia" w:ascii="宋体" w:hAnsi="宋体" w:eastAsia="宋体" w:cs="宋体"/>
          <w:sz w:val="28"/>
          <w:szCs w:val="28"/>
          <w:lang w:val="en-US" w:eastAsia="zh-CN"/>
        </w:rPr>
        <w:t>。</w:t>
      </w:r>
    </w:p>
    <w:p w14:paraId="79E85A08">
      <w:pPr>
        <w:spacing w:line="600" w:lineRule="exact"/>
        <w:ind w:firstLine="640"/>
        <w:rPr>
          <w:rFonts w:ascii="仿宋" w:hAnsi="仿宋" w:eastAsia="仿宋"/>
          <w:sz w:val="32"/>
          <w:szCs w:val="32"/>
        </w:rPr>
      </w:pPr>
    </w:p>
    <w:p w14:paraId="191B3EA3">
      <w:pPr>
        <w:pStyle w:val="14"/>
      </w:pPr>
    </w:p>
    <w:p w14:paraId="24EAA206">
      <w:pPr>
        <w:spacing w:line="600" w:lineRule="exact"/>
        <w:ind w:firstLine="640" w:firstLineChars="200"/>
        <w:rPr>
          <w:rFonts w:ascii="仿宋" w:hAnsi="仿宋" w:eastAsia="仿宋"/>
          <w:sz w:val="32"/>
          <w:szCs w:val="32"/>
        </w:rPr>
      </w:pPr>
    </w:p>
    <w:p w14:paraId="21277BC4">
      <w:pPr>
        <w:spacing w:line="600" w:lineRule="exact"/>
        <w:ind w:firstLine="643" w:firstLineChars="200"/>
        <w:outlineLvl w:val="2"/>
        <w:rPr>
          <w:rFonts w:ascii="仿宋" w:hAnsi="仿宋" w:eastAsia="仿宋"/>
          <w:b/>
          <w:sz w:val="32"/>
          <w:szCs w:val="32"/>
        </w:rPr>
      </w:pPr>
      <w:bookmarkStart w:id="51" w:name="_Toc15377212"/>
      <w:r>
        <w:rPr>
          <w:rFonts w:hint="eastAsia" w:ascii="仿宋" w:hAnsi="仿宋" w:eastAsia="仿宋"/>
          <w:b/>
          <w:sz w:val="32"/>
          <w:szCs w:val="32"/>
        </w:rPr>
        <w:t>（三）一般公共预算财政拨款支出决算具体情况</w:t>
      </w:r>
      <w:bookmarkEnd w:id="51"/>
    </w:p>
    <w:p w14:paraId="5A5FAA6B">
      <w:pPr>
        <w:pageBreakBefore w:val="0"/>
        <w:widowControl w:val="0"/>
        <w:kinsoku/>
        <w:wordWrap/>
        <w:overflowPunct/>
        <w:topLinePunct w:val="0"/>
        <w:autoSpaceDE/>
        <w:autoSpaceDN/>
        <w:bidi w:val="0"/>
        <w:adjustRightInd/>
        <w:snapToGrid/>
        <w:spacing w:line="600" w:lineRule="exact"/>
        <w:ind w:firstLine="643" w:firstLineChars="200"/>
        <w:textAlignment w:val="auto"/>
        <w:outlineLvl w:val="2"/>
        <w:rPr>
          <w:rStyle w:val="19"/>
          <w:rFonts w:hint="eastAsia" w:ascii="仿宋" w:hAnsi="仿宋" w:eastAsia="仿宋"/>
          <w:bCs/>
          <w:sz w:val="32"/>
          <w:szCs w:val="32"/>
        </w:rPr>
      </w:pPr>
      <w:bookmarkStart w:id="52" w:name="_Toc15377444"/>
      <w:bookmarkStart w:id="53" w:name="_Toc15378460"/>
      <w:bookmarkStart w:id="54" w:name="_Toc15377213"/>
      <w:r>
        <w:rPr>
          <w:rFonts w:hint="eastAsia" w:ascii="仿宋" w:hAnsi="仿宋" w:eastAsia="仿宋"/>
          <w:b/>
          <w:sz w:val="32"/>
          <w:szCs w:val="32"/>
          <w:lang w:eastAsia="zh-CN"/>
        </w:rPr>
        <w:t>2024年</w:t>
      </w:r>
      <w:r>
        <w:rPr>
          <w:rFonts w:hint="eastAsia" w:ascii="仿宋" w:hAnsi="仿宋" w:eastAsia="仿宋"/>
          <w:b/>
          <w:sz w:val="32"/>
          <w:szCs w:val="32"/>
        </w:rPr>
        <w:t>度一般公共预算支出决算数为</w:t>
      </w:r>
      <w:r>
        <w:rPr>
          <w:rFonts w:hint="eastAsia" w:eastAsia="仿宋"/>
          <w:sz w:val="32"/>
          <w:szCs w:val="32"/>
          <w:lang w:val="en-US" w:eastAsia="zh-CN"/>
        </w:rPr>
        <w:t>16516.25</w:t>
      </w:r>
      <w:r>
        <w:rPr>
          <w:rFonts w:hint="eastAsia" w:ascii="仿宋" w:hAnsi="仿宋" w:eastAsia="仿宋"/>
          <w:sz w:val="32"/>
          <w:szCs w:val="32"/>
        </w:rPr>
        <w:t>，</w:t>
      </w:r>
      <w:r>
        <w:rPr>
          <w:rStyle w:val="19"/>
          <w:rFonts w:hint="eastAsia" w:ascii="仿宋" w:hAnsi="仿宋" w:eastAsia="仿宋"/>
          <w:bCs/>
          <w:sz w:val="32"/>
          <w:szCs w:val="32"/>
        </w:rPr>
        <w:t>完成预算</w:t>
      </w:r>
      <w:r>
        <w:rPr>
          <w:rStyle w:val="19"/>
          <w:rFonts w:hint="eastAsia" w:ascii="仿宋" w:hAnsi="仿宋" w:eastAsia="仿宋"/>
          <w:bCs/>
          <w:sz w:val="32"/>
          <w:szCs w:val="32"/>
          <w:lang w:val="en-US" w:eastAsia="zh-CN"/>
        </w:rPr>
        <w:t>100</w:t>
      </w:r>
      <w:r>
        <w:rPr>
          <w:rStyle w:val="19"/>
          <w:rFonts w:ascii="仿宋" w:hAnsi="仿宋" w:eastAsia="仿宋"/>
          <w:bCs/>
          <w:sz w:val="32"/>
          <w:szCs w:val="32"/>
        </w:rPr>
        <w:t>%</w:t>
      </w:r>
      <w:r>
        <w:rPr>
          <w:rStyle w:val="19"/>
          <w:rFonts w:hint="eastAsia" w:ascii="仿宋" w:hAnsi="仿宋" w:eastAsia="仿宋"/>
          <w:bCs/>
          <w:sz w:val="32"/>
          <w:szCs w:val="32"/>
        </w:rPr>
        <w:t>。其中：</w:t>
      </w:r>
      <w:bookmarkEnd w:id="52"/>
      <w:bookmarkEnd w:id="53"/>
      <w:bookmarkEnd w:id="54"/>
    </w:p>
    <w:p w14:paraId="1CA0D577">
      <w:pPr>
        <w:pageBreakBefore w:val="0"/>
        <w:widowControl w:val="0"/>
        <w:kinsoku/>
        <w:wordWrap/>
        <w:overflowPunct/>
        <w:topLinePunct w:val="0"/>
        <w:autoSpaceDE/>
        <w:autoSpaceDN/>
        <w:bidi w:val="0"/>
        <w:adjustRightInd/>
        <w:snapToGrid/>
        <w:spacing w:line="600" w:lineRule="exact"/>
        <w:ind w:firstLine="643" w:firstLineChars="200"/>
        <w:textAlignment w:val="auto"/>
        <w:rPr>
          <w:rStyle w:val="19"/>
          <w:rFonts w:hint="eastAsia" w:ascii="仿宋" w:hAnsi="仿宋" w:eastAsia="仿宋"/>
          <w:b w:val="0"/>
          <w:bCs/>
          <w:sz w:val="32"/>
          <w:szCs w:val="32"/>
        </w:rPr>
      </w:pPr>
      <w:r>
        <w:rPr>
          <w:rStyle w:val="19"/>
          <w:rFonts w:ascii="仿宋" w:hAnsi="仿宋" w:eastAsia="仿宋"/>
          <w:bCs/>
          <w:sz w:val="32"/>
          <w:szCs w:val="32"/>
        </w:rPr>
        <w:t>1.</w:t>
      </w:r>
      <w:r>
        <w:rPr>
          <w:rStyle w:val="19"/>
          <w:rFonts w:hint="eastAsia" w:ascii="仿宋" w:hAnsi="仿宋" w:eastAsia="仿宋"/>
          <w:bCs/>
          <w:sz w:val="32"/>
          <w:szCs w:val="32"/>
          <w:lang w:val="en-US" w:eastAsia="zh-CN"/>
        </w:rPr>
        <w:t>自然资源海洋气象等支出</w:t>
      </w:r>
      <w:r>
        <w:rPr>
          <w:rStyle w:val="19"/>
          <w:rFonts w:hint="eastAsia" w:ascii="仿宋" w:hAnsi="仿宋" w:eastAsia="仿宋"/>
          <w:bCs/>
          <w:sz w:val="32"/>
          <w:szCs w:val="32"/>
        </w:rPr>
        <w:t>（</w:t>
      </w:r>
      <w:r>
        <w:rPr>
          <w:rStyle w:val="19"/>
          <w:rFonts w:hint="eastAsia" w:ascii="仿宋" w:hAnsi="仿宋" w:eastAsia="仿宋"/>
          <w:bCs/>
          <w:sz w:val="32"/>
          <w:szCs w:val="32"/>
          <w:lang w:val="en-US" w:eastAsia="zh-CN"/>
        </w:rPr>
        <w:t>类</w:t>
      </w:r>
      <w:r>
        <w:rPr>
          <w:rStyle w:val="19"/>
          <w:rFonts w:hint="eastAsia" w:ascii="仿宋" w:hAnsi="仿宋" w:eastAsia="仿宋"/>
          <w:bCs/>
          <w:sz w:val="32"/>
          <w:szCs w:val="32"/>
        </w:rPr>
        <w:t>）</w:t>
      </w:r>
      <w:r>
        <w:rPr>
          <w:rStyle w:val="19"/>
          <w:rFonts w:hint="eastAsia" w:ascii="仿宋" w:hAnsi="仿宋" w:eastAsia="仿宋"/>
          <w:bCs/>
          <w:sz w:val="32"/>
          <w:szCs w:val="32"/>
          <w:lang w:val="en-US" w:eastAsia="zh-CN"/>
        </w:rPr>
        <w:t>自然资源事务</w:t>
      </w:r>
      <w:r>
        <w:rPr>
          <w:rStyle w:val="19"/>
          <w:rFonts w:hint="eastAsia" w:ascii="仿宋" w:hAnsi="仿宋" w:eastAsia="仿宋"/>
          <w:bCs/>
          <w:sz w:val="32"/>
          <w:szCs w:val="32"/>
        </w:rPr>
        <w:t>（款）</w:t>
      </w:r>
      <w:r>
        <w:rPr>
          <w:rStyle w:val="19"/>
          <w:rFonts w:hint="eastAsia" w:ascii="仿宋" w:hAnsi="仿宋" w:eastAsia="仿宋"/>
          <w:bCs/>
          <w:sz w:val="32"/>
          <w:szCs w:val="32"/>
          <w:lang w:val="en-US" w:eastAsia="zh-CN"/>
        </w:rPr>
        <w:t>行政运行</w:t>
      </w:r>
      <w:r>
        <w:rPr>
          <w:rStyle w:val="19"/>
          <w:rFonts w:hint="eastAsia" w:ascii="仿宋" w:hAnsi="仿宋" w:eastAsia="仿宋"/>
          <w:bCs/>
          <w:sz w:val="32"/>
          <w:szCs w:val="32"/>
        </w:rPr>
        <w:t>（项）</w:t>
      </w:r>
      <w:r>
        <w:rPr>
          <w:rStyle w:val="19"/>
          <w:rFonts w:ascii="仿宋" w:hAnsi="仿宋" w:eastAsia="仿宋"/>
          <w:bCs/>
          <w:sz w:val="32"/>
          <w:szCs w:val="32"/>
        </w:rPr>
        <w:t>:</w:t>
      </w:r>
      <w:r>
        <w:rPr>
          <w:rStyle w:val="19"/>
          <w:rFonts w:ascii="仿宋" w:hAnsi="仿宋" w:eastAsia="仿宋"/>
          <w:b w:val="0"/>
          <w:bCs/>
          <w:sz w:val="32"/>
          <w:szCs w:val="32"/>
        </w:rPr>
        <w:t xml:space="preserve"> </w:t>
      </w:r>
      <w:r>
        <w:rPr>
          <w:rStyle w:val="19"/>
          <w:rFonts w:hint="eastAsia" w:ascii="仿宋" w:hAnsi="仿宋" w:eastAsia="仿宋"/>
          <w:b w:val="0"/>
          <w:bCs/>
          <w:sz w:val="32"/>
          <w:szCs w:val="32"/>
        </w:rPr>
        <w:t>支出决算为</w:t>
      </w:r>
      <w:r>
        <w:rPr>
          <w:rStyle w:val="19"/>
          <w:rFonts w:hint="eastAsia" w:ascii="仿宋" w:hAnsi="仿宋" w:eastAsia="仿宋"/>
          <w:b w:val="0"/>
          <w:bCs/>
          <w:sz w:val="32"/>
          <w:szCs w:val="32"/>
          <w:lang w:val="en-US" w:eastAsia="zh-CN"/>
        </w:rPr>
        <w:t>254.97</w:t>
      </w:r>
      <w:r>
        <w:rPr>
          <w:rStyle w:val="19"/>
          <w:rFonts w:hint="eastAsia" w:ascii="仿宋" w:hAnsi="仿宋" w:eastAsia="仿宋"/>
          <w:b w:val="0"/>
          <w:bCs/>
          <w:sz w:val="32"/>
          <w:szCs w:val="32"/>
        </w:rPr>
        <w:t>万元，完成预算</w:t>
      </w:r>
      <w:r>
        <w:rPr>
          <w:rStyle w:val="19"/>
          <w:rFonts w:hint="eastAsia" w:ascii="仿宋" w:hAnsi="仿宋" w:eastAsia="仿宋"/>
          <w:b w:val="0"/>
          <w:bCs/>
          <w:sz w:val="32"/>
          <w:szCs w:val="32"/>
          <w:lang w:val="en-US" w:eastAsia="zh-CN"/>
        </w:rPr>
        <w:t>100</w:t>
      </w:r>
      <w:r>
        <w:rPr>
          <w:rStyle w:val="19"/>
          <w:rFonts w:ascii="仿宋" w:hAnsi="仿宋" w:eastAsia="仿宋"/>
          <w:b w:val="0"/>
          <w:bCs/>
          <w:sz w:val="32"/>
          <w:szCs w:val="32"/>
        </w:rPr>
        <w:t>%</w:t>
      </w:r>
      <w:r>
        <w:rPr>
          <w:rStyle w:val="19"/>
          <w:rFonts w:hint="eastAsia" w:ascii="仿宋" w:hAnsi="仿宋" w:eastAsia="仿宋"/>
          <w:b w:val="0"/>
          <w:bCs/>
          <w:sz w:val="32"/>
          <w:szCs w:val="32"/>
        </w:rPr>
        <w:t>。</w:t>
      </w:r>
    </w:p>
    <w:p w14:paraId="4C5B1AB5">
      <w:pPr>
        <w:pStyle w:val="6"/>
        <w:pageBreakBefore w:val="0"/>
        <w:widowControl w:val="0"/>
        <w:kinsoku/>
        <w:wordWrap/>
        <w:overflowPunct/>
        <w:topLinePunct w:val="0"/>
        <w:autoSpaceDE/>
        <w:autoSpaceDN/>
        <w:bidi w:val="0"/>
        <w:adjustRightInd/>
        <w:snapToGrid/>
        <w:spacing w:beforeLines="0"/>
        <w:ind w:firstLine="643" w:firstLineChars="200"/>
        <w:textAlignment w:val="auto"/>
      </w:pPr>
      <w:r>
        <w:rPr>
          <w:rStyle w:val="19"/>
          <w:rFonts w:hint="eastAsia" w:ascii="仿宋" w:hAnsi="仿宋" w:eastAsia="仿宋"/>
          <w:bCs/>
          <w:sz w:val="32"/>
          <w:szCs w:val="32"/>
          <w:lang w:val="en-US" w:eastAsia="zh-CN"/>
        </w:rPr>
        <w:t>2</w:t>
      </w:r>
      <w:r>
        <w:rPr>
          <w:rStyle w:val="19"/>
          <w:rFonts w:ascii="仿宋" w:hAnsi="仿宋" w:eastAsia="仿宋"/>
          <w:bCs/>
          <w:sz w:val="32"/>
          <w:szCs w:val="32"/>
        </w:rPr>
        <w:t>.</w:t>
      </w:r>
      <w:r>
        <w:rPr>
          <w:rStyle w:val="19"/>
          <w:rFonts w:hint="eastAsia" w:ascii="仿宋" w:hAnsi="仿宋" w:eastAsia="仿宋"/>
          <w:bCs/>
          <w:sz w:val="32"/>
          <w:szCs w:val="32"/>
          <w:lang w:val="en-US" w:eastAsia="zh-CN"/>
        </w:rPr>
        <w:t>自然资源海洋气象等支出</w:t>
      </w:r>
      <w:r>
        <w:rPr>
          <w:rStyle w:val="19"/>
          <w:rFonts w:hint="eastAsia" w:ascii="仿宋" w:hAnsi="仿宋" w:eastAsia="仿宋"/>
          <w:bCs/>
          <w:sz w:val="32"/>
          <w:szCs w:val="32"/>
        </w:rPr>
        <w:t>（</w:t>
      </w:r>
      <w:r>
        <w:rPr>
          <w:rStyle w:val="19"/>
          <w:rFonts w:hint="eastAsia" w:ascii="仿宋" w:hAnsi="仿宋" w:eastAsia="仿宋"/>
          <w:bCs/>
          <w:sz w:val="32"/>
          <w:szCs w:val="32"/>
          <w:lang w:val="en-US" w:eastAsia="zh-CN"/>
        </w:rPr>
        <w:t>类</w:t>
      </w:r>
      <w:r>
        <w:rPr>
          <w:rStyle w:val="19"/>
          <w:rFonts w:hint="eastAsia" w:ascii="仿宋" w:hAnsi="仿宋" w:eastAsia="仿宋"/>
          <w:bCs/>
          <w:sz w:val="32"/>
          <w:szCs w:val="32"/>
        </w:rPr>
        <w:t>）</w:t>
      </w:r>
      <w:r>
        <w:rPr>
          <w:rStyle w:val="19"/>
          <w:rFonts w:hint="eastAsia" w:ascii="仿宋" w:hAnsi="仿宋" w:eastAsia="仿宋"/>
          <w:bCs/>
          <w:sz w:val="32"/>
          <w:szCs w:val="32"/>
          <w:lang w:val="en-US" w:eastAsia="zh-CN"/>
        </w:rPr>
        <w:t>自然资源事务</w:t>
      </w:r>
      <w:r>
        <w:rPr>
          <w:rStyle w:val="19"/>
          <w:rFonts w:hint="eastAsia" w:ascii="仿宋" w:hAnsi="仿宋" w:eastAsia="仿宋"/>
          <w:bCs/>
          <w:sz w:val="32"/>
          <w:szCs w:val="32"/>
        </w:rPr>
        <w:t>（款）</w:t>
      </w:r>
      <w:r>
        <w:rPr>
          <w:rStyle w:val="19"/>
          <w:rFonts w:hint="eastAsia" w:ascii="仿宋" w:hAnsi="仿宋" w:eastAsia="仿宋"/>
          <w:bCs/>
          <w:sz w:val="32"/>
          <w:szCs w:val="32"/>
          <w:lang w:val="en-US" w:eastAsia="zh-CN"/>
        </w:rPr>
        <w:t>事业运行</w:t>
      </w:r>
      <w:r>
        <w:rPr>
          <w:rStyle w:val="19"/>
          <w:rFonts w:hint="eastAsia" w:ascii="仿宋" w:hAnsi="仿宋" w:eastAsia="仿宋"/>
          <w:bCs/>
          <w:sz w:val="32"/>
          <w:szCs w:val="32"/>
        </w:rPr>
        <w:t>（项）</w:t>
      </w:r>
      <w:r>
        <w:rPr>
          <w:rStyle w:val="19"/>
          <w:rFonts w:ascii="仿宋" w:hAnsi="仿宋" w:eastAsia="仿宋"/>
          <w:bCs/>
          <w:sz w:val="32"/>
          <w:szCs w:val="32"/>
        </w:rPr>
        <w:t>:</w:t>
      </w:r>
      <w:r>
        <w:rPr>
          <w:rStyle w:val="19"/>
          <w:rFonts w:ascii="仿宋" w:hAnsi="仿宋" w:eastAsia="仿宋"/>
          <w:b w:val="0"/>
          <w:bCs/>
          <w:sz w:val="32"/>
          <w:szCs w:val="32"/>
        </w:rPr>
        <w:t xml:space="preserve"> </w:t>
      </w:r>
      <w:r>
        <w:rPr>
          <w:rStyle w:val="19"/>
          <w:rFonts w:hint="eastAsia" w:ascii="仿宋" w:hAnsi="仿宋" w:eastAsia="仿宋"/>
          <w:b w:val="0"/>
          <w:bCs/>
          <w:sz w:val="32"/>
          <w:szCs w:val="32"/>
        </w:rPr>
        <w:t>支出决算为</w:t>
      </w:r>
      <w:r>
        <w:rPr>
          <w:rStyle w:val="19"/>
          <w:rFonts w:hint="eastAsia" w:ascii="仿宋" w:hAnsi="仿宋" w:eastAsia="仿宋"/>
          <w:b w:val="0"/>
          <w:bCs/>
          <w:sz w:val="32"/>
          <w:szCs w:val="32"/>
          <w:lang w:val="en-US" w:eastAsia="zh-CN"/>
        </w:rPr>
        <w:t>221.61</w:t>
      </w:r>
      <w:r>
        <w:rPr>
          <w:rStyle w:val="19"/>
          <w:rFonts w:hint="eastAsia" w:ascii="仿宋" w:hAnsi="仿宋" w:eastAsia="仿宋"/>
          <w:b w:val="0"/>
          <w:bCs/>
          <w:sz w:val="32"/>
          <w:szCs w:val="32"/>
        </w:rPr>
        <w:t>万元，完成预算</w:t>
      </w:r>
      <w:r>
        <w:rPr>
          <w:rStyle w:val="19"/>
          <w:rFonts w:hint="eastAsia" w:ascii="仿宋" w:hAnsi="仿宋" w:eastAsia="仿宋"/>
          <w:b w:val="0"/>
          <w:bCs/>
          <w:sz w:val="32"/>
          <w:szCs w:val="32"/>
          <w:lang w:val="en-US" w:eastAsia="zh-CN"/>
        </w:rPr>
        <w:t>100</w:t>
      </w:r>
      <w:r>
        <w:rPr>
          <w:rStyle w:val="19"/>
          <w:rFonts w:ascii="仿宋" w:hAnsi="仿宋" w:eastAsia="仿宋"/>
          <w:b w:val="0"/>
          <w:bCs/>
          <w:sz w:val="32"/>
          <w:szCs w:val="32"/>
        </w:rPr>
        <w:t>%</w:t>
      </w:r>
      <w:r>
        <w:rPr>
          <w:rStyle w:val="19"/>
          <w:rFonts w:hint="eastAsia" w:ascii="仿宋" w:hAnsi="仿宋" w:eastAsia="仿宋"/>
          <w:b w:val="0"/>
          <w:bCs/>
          <w:sz w:val="32"/>
          <w:szCs w:val="32"/>
        </w:rPr>
        <w:t>。</w:t>
      </w:r>
    </w:p>
    <w:p w14:paraId="4190109D">
      <w:pPr>
        <w:pageBreakBefore w:val="0"/>
        <w:widowControl w:val="0"/>
        <w:kinsoku/>
        <w:wordWrap/>
        <w:overflowPunct/>
        <w:topLinePunct w:val="0"/>
        <w:autoSpaceDE/>
        <w:autoSpaceDN/>
        <w:bidi w:val="0"/>
        <w:adjustRightInd/>
        <w:snapToGrid/>
        <w:spacing w:line="600" w:lineRule="exact"/>
        <w:ind w:firstLine="643" w:firstLineChars="200"/>
        <w:textAlignment w:val="auto"/>
        <w:rPr>
          <w:rFonts w:ascii="仿宋" w:hAnsi="仿宋" w:eastAsia="仿宋"/>
          <w:b/>
          <w:sz w:val="32"/>
          <w:szCs w:val="32"/>
        </w:rPr>
      </w:pPr>
      <w:r>
        <w:rPr>
          <w:rStyle w:val="19"/>
          <w:rFonts w:hint="eastAsia" w:ascii="仿宋" w:hAnsi="仿宋" w:eastAsia="仿宋"/>
          <w:bCs/>
          <w:sz w:val="32"/>
          <w:szCs w:val="32"/>
          <w:lang w:val="en-US" w:eastAsia="zh-CN"/>
        </w:rPr>
        <w:t>3</w:t>
      </w:r>
      <w:r>
        <w:rPr>
          <w:rStyle w:val="19"/>
          <w:rFonts w:ascii="仿宋" w:hAnsi="仿宋" w:eastAsia="仿宋"/>
          <w:bCs/>
          <w:sz w:val="32"/>
          <w:szCs w:val="32"/>
        </w:rPr>
        <w:t>.</w:t>
      </w:r>
      <w:r>
        <w:rPr>
          <w:rStyle w:val="19"/>
          <w:rFonts w:hint="eastAsia" w:ascii="仿宋" w:hAnsi="仿宋" w:eastAsia="仿宋"/>
          <w:bCs/>
          <w:sz w:val="32"/>
          <w:szCs w:val="32"/>
          <w:lang w:val="en-US" w:eastAsia="zh-CN"/>
        </w:rPr>
        <w:t>自然资源海洋气象等支出</w:t>
      </w:r>
      <w:r>
        <w:rPr>
          <w:rStyle w:val="19"/>
          <w:rFonts w:hint="eastAsia" w:ascii="仿宋" w:hAnsi="仿宋" w:eastAsia="仿宋"/>
          <w:bCs/>
          <w:sz w:val="32"/>
          <w:szCs w:val="32"/>
        </w:rPr>
        <w:t>（</w:t>
      </w:r>
      <w:r>
        <w:rPr>
          <w:rStyle w:val="19"/>
          <w:rFonts w:hint="eastAsia" w:ascii="仿宋" w:hAnsi="仿宋" w:eastAsia="仿宋"/>
          <w:bCs/>
          <w:sz w:val="32"/>
          <w:szCs w:val="32"/>
          <w:lang w:val="en-US" w:eastAsia="zh-CN"/>
        </w:rPr>
        <w:t>类</w:t>
      </w:r>
      <w:r>
        <w:rPr>
          <w:rStyle w:val="19"/>
          <w:rFonts w:hint="eastAsia" w:ascii="仿宋" w:hAnsi="仿宋" w:eastAsia="仿宋"/>
          <w:bCs/>
          <w:sz w:val="32"/>
          <w:szCs w:val="32"/>
        </w:rPr>
        <w:t>）</w:t>
      </w:r>
      <w:r>
        <w:rPr>
          <w:rStyle w:val="19"/>
          <w:rFonts w:hint="eastAsia" w:ascii="仿宋" w:hAnsi="仿宋" w:eastAsia="仿宋"/>
          <w:bCs/>
          <w:sz w:val="32"/>
          <w:szCs w:val="32"/>
          <w:lang w:val="en-US" w:eastAsia="zh-CN"/>
        </w:rPr>
        <w:t>自然资源事务</w:t>
      </w:r>
      <w:r>
        <w:rPr>
          <w:rStyle w:val="19"/>
          <w:rFonts w:hint="eastAsia" w:ascii="仿宋" w:hAnsi="仿宋" w:eastAsia="仿宋"/>
          <w:bCs/>
          <w:sz w:val="32"/>
          <w:szCs w:val="32"/>
        </w:rPr>
        <w:t>（款）</w:t>
      </w:r>
      <w:r>
        <w:rPr>
          <w:rStyle w:val="19"/>
          <w:rFonts w:hint="eastAsia" w:ascii="仿宋" w:hAnsi="仿宋" w:eastAsia="仿宋"/>
          <w:bCs/>
          <w:sz w:val="32"/>
          <w:szCs w:val="32"/>
          <w:lang w:val="en-US" w:eastAsia="zh-CN"/>
        </w:rPr>
        <w:t>自然资源规划及管理</w:t>
      </w:r>
      <w:r>
        <w:rPr>
          <w:rStyle w:val="19"/>
          <w:rFonts w:hint="eastAsia" w:ascii="仿宋" w:hAnsi="仿宋" w:eastAsia="仿宋"/>
          <w:bCs/>
          <w:sz w:val="32"/>
          <w:szCs w:val="32"/>
        </w:rPr>
        <w:t>（项）</w:t>
      </w:r>
      <w:r>
        <w:rPr>
          <w:rStyle w:val="19"/>
          <w:rFonts w:ascii="仿宋" w:hAnsi="仿宋" w:eastAsia="仿宋"/>
          <w:bCs/>
          <w:sz w:val="32"/>
          <w:szCs w:val="32"/>
        </w:rPr>
        <w:t>:</w:t>
      </w:r>
      <w:r>
        <w:rPr>
          <w:rStyle w:val="19"/>
          <w:rFonts w:ascii="仿宋" w:hAnsi="仿宋" w:eastAsia="仿宋"/>
          <w:b w:val="0"/>
          <w:bCs/>
          <w:sz w:val="32"/>
          <w:szCs w:val="32"/>
        </w:rPr>
        <w:t xml:space="preserve"> </w:t>
      </w:r>
      <w:r>
        <w:rPr>
          <w:rStyle w:val="19"/>
          <w:rFonts w:hint="eastAsia" w:ascii="仿宋" w:hAnsi="仿宋" w:eastAsia="仿宋"/>
          <w:b w:val="0"/>
          <w:bCs/>
          <w:sz w:val="32"/>
          <w:szCs w:val="32"/>
        </w:rPr>
        <w:t>支出决算为</w:t>
      </w:r>
      <w:r>
        <w:rPr>
          <w:rStyle w:val="19"/>
          <w:rFonts w:hint="eastAsia" w:ascii="仿宋" w:hAnsi="仿宋" w:eastAsia="仿宋"/>
          <w:b w:val="0"/>
          <w:bCs/>
          <w:sz w:val="32"/>
          <w:szCs w:val="32"/>
          <w:lang w:val="en-US" w:eastAsia="zh-CN"/>
        </w:rPr>
        <w:t>568.92</w:t>
      </w:r>
      <w:r>
        <w:rPr>
          <w:rStyle w:val="19"/>
          <w:rFonts w:hint="eastAsia" w:ascii="仿宋" w:hAnsi="仿宋" w:eastAsia="仿宋"/>
          <w:b w:val="0"/>
          <w:bCs/>
          <w:sz w:val="32"/>
          <w:szCs w:val="32"/>
        </w:rPr>
        <w:t>万元，完成预算</w:t>
      </w:r>
      <w:r>
        <w:rPr>
          <w:rStyle w:val="19"/>
          <w:rFonts w:hint="eastAsia" w:ascii="仿宋" w:hAnsi="仿宋" w:eastAsia="仿宋"/>
          <w:b w:val="0"/>
          <w:bCs/>
          <w:sz w:val="32"/>
          <w:szCs w:val="32"/>
          <w:lang w:val="en-US" w:eastAsia="zh-CN"/>
        </w:rPr>
        <w:t>100</w:t>
      </w:r>
      <w:r>
        <w:rPr>
          <w:rStyle w:val="19"/>
          <w:rFonts w:ascii="仿宋" w:hAnsi="仿宋" w:eastAsia="仿宋"/>
          <w:b w:val="0"/>
          <w:bCs/>
          <w:sz w:val="32"/>
          <w:szCs w:val="32"/>
        </w:rPr>
        <w:t>%</w:t>
      </w:r>
      <w:r>
        <w:rPr>
          <w:rStyle w:val="19"/>
          <w:rFonts w:hint="eastAsia" w:ascii="仿宋" w:hAnsi="仿宋" w:eastAsia="仿宋"/>
          <w:b w:val="0"/>
          <w:bCs/>
          <w:sz w:val="32"/>
          <w:szCs w:val="32"/>
        </w:rPr>
        <w:t>。</w:t>
      </w:r>
    </w:p>
    <w:p w14:paraId="270F85D9">
      <w:pPr>
        <w:pageBreakBefore w:val="0"/>
        <w:widowControl w:val="0"/>
        <w:kinsoku/>
        <w:wordWrap/>
        <w:overflowPunct/>
        <w:topLinePunct w:val="0"/>
        <w:autoSpaceDE/>
        <w:autoSpaceDN/>
        <w:bidi w:val="0"/>
        <w:adjustRightInd/>
        <w:snapToGrid/>
        <w:spacing w:line="600" w:lineRule="exact"/>
        <w:ind w:firstLine="643" w:firstLineChars="200"/>
        <w:textAlignment w:val="auto"/>
        <w:rPr>
          <w:rStyle w:val="19"/>
          <w:rFonts w:hint="eastAsia" w:ascii="仿宋" w:hAnsi="仿宋" w:eastAsia="仿宋"/>
          <w:b w:val="0"/>
          <w:bCs/>
          <w:sz w:val="32"/>
          <w:szCs w:val="32"/>
        </w:rPr>
      </w:pPr>
      <w:r>
        <w:rPr>
          <w:rStyle w:val="19"/>
          <w:rFonts w:hint="eastAsia" w:ascii="仿宋" w:hAnsi="仿宋" w:eastAsia="仿宋"/>
          <w:bCs/>
          <w:sz w:val="32"/>
          <w:szCs w:val="32"/>
          <w:lang w:val="en-US" w:eastAsia="zh-CN"/>
        </w:rPr>
        <w:t>4</w:t>
      </w:r>
      <w:r>
        <w:rPr>
          <w:rStyle w:val="19"/>
          <w:rFonts w:ascii="仿宋" w:hAnsi="仿宋" w:eastAsia="仿宋"/>
          <w:bCs/>
          <w:sz w:val="32"/>
          <w:szCs w:val="32"/>
        </w:rPr>
        <w:t>.</w:t>
      </w:r>
      <w:r>
        <w:rPr>
          <w:rStyle w:val="19"/>
          <w:rFonts w:hint="eastAsia" w:ascii="仿宋" w:hAnsi="仿宋" w:eastAsia="仿宋"/>
          <w:bCs/>
          <w:sz w:val="32"/>
          <w:szCs w:val="32"/>
          <w:lang w:val="en-US" w:eastAsia="zh-CN"/>
        </w:rPr>
        <w:t>自然资源海洋气象等支出</w:t>
      </w:r>
      <w:r>
        <w:rPr>
          <w:rStyle w:val="19"/>
          <w:rFonts w:hint="eastAsia" w:ascii="仿宋" w:hAnsi="仿宋" w:eastAsia="仿宋"/>
          <w:bCs/>
          <w:sz w:val="32"/>
          <w:szCs w:val="32"/>
        </w:rPr>
        <w:t>（</w:t>
      </w:r>
      <w:r>
        <w:rPr>
          <w:rStyle w:val="19"/>
          <w:rFonts w:hint="eastAsia" w:ascii="仿宋" w:hAnsi="仿宋" w:eastAsia="仿宋"/>
          <w:bCs/>
          <w:sz w:val="32"/>
          <w:szCs w:val="32"/>
          <w:lang w:val="en-US" w:eastAsia="zh-CN"/>
        </w:rPr>
        <w:t>类</w:t>
      </w:r>
      <w:r>
        <w:rPr>
          <w:rStyle w:val="19"/>
          <w:rFonts w:hint="eastAsia" w:ascii="仿宋" w:hAnsi="仿宋" w:eastAsia="仿宋"/>
          <w:bCs/>
          <w:sz w:val="32"/>
          <w:szCs w:val="32"/>
        </w:rPr>
        <w:t>）</w:t>
      </w:r>
      <w:r>
        <w:rPr>
          <w:rStyle w:val="19"/>
          <w:rFonts w:hint="eastAsia" w:ascii="仿宋" w:hAnsi="仿宋" w:eastAsia="仿宋"/>
          <w:bCs/>
          <w:sz w:val="32"/>
          <w:szCs w:val="32"/>
          <w:lang w:val="en-US" w:eastAsia="zh-CN"/>
        </w:rPr>
        <w:t>自然资源事务</w:t>
      </w:r>
      <w:r>
        <w:rPr>
          <w:rStyle w:val="19"/>
          <w:rFonts w:hint="eastAsia" w:ascii="仿宋" w:hAnsi="仿宋" w:eastAsia="仿宋"/>
          <w:bCs/>
          <w:sz w:val="32"/>
          <w:szCs w:val="32"/>
        </w:rPr>
        <w:t>（款）</w:t>
      </w:r>
      <w:r>
        <w:rPr>
          <w:rStyle w:val="19"/>
          <w:rFonts w:hint="eastAsia" w:ascii="仿宋" w:hAnsi="仿宋" w:eastAsia="仿宋"/>
          <w:bCs/>
          <w:sz w:val="32"/>
          <w:szCs w:val="32"/>
          <w:lang w:val="en-US" w:eastAsia="zh-CN"/>
        </w:rPr>
        <w:t>自然资源利用与保护</w:t>
      </w:r>
      <w:r>
        <w:rPr>
          <w:rStyle w:val="19"/>
          <w:rFonts w:hint="eastAsia" w:ascii="仿宋" w:hAnsi="仿宋" w:eastAsia="仿宋"/>
          <w:bCs/>
          <w:sz w:val="32"/>
          <w:szCs w:val="32"/>
        </w:rPr>
        <w:t>（项）</w:t>
      </w:r>
      <w:r>
        <w:rPr>
          <w:rStyle w:val="19"/>
          <w:rFonts w:ascii="仿宋" w:hAnsi="仿宋" w:eastAsia="仿宋"/>
          <w:bCs/>
          <w:sz w:val="32"/>
          <w:szCs w:val="32"/>
        </w:rPr>
        <w:t>:</w:t>
      </w:r>
      <w:r>
        <w:rPr>
          <w:rStyle w:val="19"/>
          <w:rFonts w:ascii="仿宋" w:hAnsi="仿宋" w:eastAsia="仿宋"/>
          <w:b w:val="0"/>
          <w:bCs/>
          <w:sz w:val="32"/>
          <w:szCs w:val="32"/>
        </w:rPr>
        <w:t xml:space="preserve"> </w:t>
      </w:r>
      <w:r>
        <w:rPr>
          <w:rStyle w:val="19"/>
          <w:rFonts w:hint="eastAsia" w:ascii="仿宋" w:hAnsi="仿宋" w:eastAsia="仿宋"/>
          <w:b w:val="0"/>
          <w:bCs/>
          <w:sz w:val="32"/>
          <w:szCs w:val="32"/>
        </w:rPr>
        <w:t>支出决算为</w:t>
      </w:r>
      <w:r>
        <w:rPr>
          <w:rStyle w:val="19"/>
          <w:rFonts w:hint="eastAsia" w:ascii="仿宋" w:hAnsi="仿宋" w:eastAsia="仿宋"/>
          <w:b w:val="0"/>
          <w:bCs/>
          <w:sz w:val="32"/>
          <w:szCs w:val="32"/>
          <w:lang w:val="en-US" w:eastAsia="zh-CN"/>
        </w:rPr>
        <w:t>740.7</w:t>
      </w:r>
      <w:r>
        <w:rPr>
          <w:rStyle w:val="19"/>
          <w:rFonts w:hint="eastAsia" w:ascii="仿宋" w:hAnsi="仿宋" w:eastAsia="仿宋"/>
          <w:b w:val="0"/>
          <w:bCs/>
          <w:sz w:val="32"/>
          <w:szCs w:val="32"/>
        </w:rPr>
        <w:t>万元，完成预算</w:t>
      </w:r>
      <w:r>
        <w:rPr>
          <w:rStyle w:val="19"/>
          <w:rFonts w:hint="eastAsia" w:ascii="仿宋" w:hAnsi="仿宋" w:eastAsia="仿宋"/>
          <w:b w:val="0"/>
          <w:bCs/>
          <w:sz w:val="32"/>
          <w:szCs w:val="32"/>
          <w:lang w:val="en-US" w:eastAsia="zh-CN"/>
        </w:rPr>
        <w:t>100</w:t>
      </w:r>
      <w:r>
        <w:rPr>
          <w:rStyle w:val="19"/>
          <w:rFonts w:ascii="仿宋" w:hAnsi="仿宋" w:eastAsia="仿宋"/>
          <w:b w:val="0"/>
          <w:bCs/>
          <w:sz w:val="32"/>
          <w:szCs w:val="32"/>
        </w:rPr>
        <w:t>%</w:t>
      </w:r>
      <w:r>
        <w:rPr>
          <w:rStyle w:val="19"/>
          <w:rFonts w:hint="eastAsia" w:ascii="仿宋" w:hAnsi="仿宋" w:eastAsia="仿宋"/>
          <w:b w:val="0"/>
          <w:bCs/>
          <w:sz w:val="32"/>
          <w:szCs w:val="32"/>
        </w:rPr>
        <w:t>。</w:t>
      </w:r>
    </w:p>
    <w:p w14:paraId="7D5D2035">
      <w:pPr>
        <w:pageBreakBefore w:val="0"/>
        <w:widowControl w:val="0"/>
        <w:kinsoku/>
        <w:wordWrap/>
        <w:overflowPunct/>
        <w:topLinePunct w:val="0"/>
        <w:autoSpaceDE/>
        <w:autoSpaceDN/>
        <w:bidi w:val="0"/>
        <w:adjustRightInd/>
        <w:snapToGrid/>
        <w:spacing w:line="600" w:lineRule="exact"/>
        <w:ind w:firstLine="643" w:firstLineChars="200"/>
        <w:textAlignment w:val="auto"/>
        <w:rPr>
          <w:rStyle w:val="19"/>
          <w:rFonts w:hint="eastAsia" w:ascii="仿宋" w:hAnsi="仿宋" w:eastAsia="仿宋"/>
          <w:b w:val="0"/>
          <w:bCs/>
          <w:sz w:val="32"/>
          <w:szCs w:val="32"/>
        </w:rPr>
      </w:pPr>
      <w:r>
        <w:rPr>
          <w:rStyle w:val="19"/>
          <w:rFonts w:hint="eastAsia" w:ascii="仿宋" w:hAnsi="仿宋" w:eastAsia="仿宋"/>
          <w:bCs/>
          <w:sz w:val="32"/>
          <w:szCs w:val="32"/>
          <w:lang w:val="en-US" w:eastAsia="zh-CN"/>
        </w:rPr>
        <w:t>5</w:t>
      </w:r>
      <w:r>
        <w:rPr>
          <w:rStyle w:val="19"/>
          <w:rFonts w:ascii="仿宋" w:hAnsi="仿宋" w:eastAsia="仿宋"/>
          <w:bCs/>
          <w:sz w:val="32"/>
          <w:szCs w:val="32"/>
        </w:rPr>
        <w:t>.</w:t>
      </w:r>
      <w:r>
        <w:rPr>
          <w:rStyle w:val="19"/>
          <w:rFonts w:hint="eastAsia" w:ascii="仿宋" w:hAnsi="仿宋" w:eastAsia="仿宋"/>
          <w:bCs/>
          <w:sz w:val="32"/>
          <w:szCs w:val="32"/>
          <w:lang w:val="en-US" w:eastAsia="zh-CN"/>
        </w:rPr>
        <w:t>自然资源海洋气象等支出</w:t>
      </w:r>
      <w:r>
        <w:rPr>
          <w:rStyle w:val="19"/>
          <w:rFonts w:hint="eastAsia" w:ascii="仿宋" w:hAnsi="仿宋" w:eastAsia="仿宋"/>
          <w:bCs/>
          <w:sz w:val="32"/>
          <w:szCs w:val="32"/>
        </w:rPr>
        <w:t>（</w:t>
      </w:r>
      <w:r>
        <w:rPr>
          <w:rStyle w:val="19"/>
          <w:rFonts w:hint="eastAsia" w:ascii="仿宋" w:hAnsi="仿宋" w:eastAsia="仿宋"/>
          <w:bCs/>
          <w:sz w:val="32"/>
          <w:szCs w:val="32"/>
          <w:lang w:val="en-US" w:eastAsia="zh-CN"/>
        </w:rPr>
        <w:t>类</w:t>
      </w:r>
      <w:r>
        <w:rPr>
          <w:rStyle w:val="19"/>
          <w:rFonts w:hint="eastAsia" w:ascii="仿宋" w:hAnsi="仿宋" w:eastAsia="仿宋"/>
          <w:bCs/>
          <w:sz w:val="32"/>
          <w:szCs w:val="32"/>
        </w:rPr>
        <w:t>）</w:t>
      </w:r>
      <w:r>
        <w:rPr>
          <w:rStyle w:val="19"/>
          <w:rFonts w:hint="eastAsia" w:ascii="仿宋" w:hAnsi="仿宋" w:eastAsia="仿宋"/>
          <w:bCs/>
          <w:sz w:val="32"/>
          <w:szCs w:val="32"/>
          <w:lang w:val="en-US" w:eastAsia="zh-CN"/>
        </w:rPr>
        <w:t>自然资源事务</w:t>
      </w:r>
      <w:r>
        <w:rPr>
          <w:rStyle w:val="19"/>
          <w:rFonts w:hint="eastAsia" w:ascii="仿宋" w:hAnsi="仿宋" w:eastAsia="仿宋"/>
          <w:bCs/>
          <w:sz w:val="32"/>
          <w:szCs w:val="32"/>
        </w:rPr>
        <w:t>（款）</w:t>
      </w:r>
      <w:r>
        <w:rPr>
          <w:rStyle w:val="19"/>
          <w:rFonts w:hint="eastAsia" w:ascii="仿宋" w:hAnsi="仿宋" w:eastAsia="仿宋"/>
          <w:bCs/>
          <w:sz w:val="32"/>
          <w:szCs w:val="32"/>
          <w:lang w:val="en-US" w:eastAsia="zh-CN"/>
        </w:rPr>
        <w:t>自然资源行业业务管理</w:t>
      </w:r>
      <w:r>
        <w:rPr>
          <w:rStyle w:val="19"/>
          <w:rFonts w:hint="eastAsia" w:ascii="仿宋" w:hAnsi="仿宋" w:eastAsia="仿宋"/>
          <w:bCs/>
          <w:sz w:val="32"/>
          <w:szCs w:val="32"/>
        </w:rPr>
        <w:t>（项）</w:t>
      </w:r>
      <w:r>
        <w:rPr>
          <w:rStyle w:val="19"/>
          <w:rFonts w:ascii="仿宋" w:hAnsi="仿宋" w:eastAsia="仿宋"/>
          <w:bCs/>
          <w:sz w:val="32"/>
          <w:szCs w:val="32"/>
        </w:rPr>
        <w:t>:</w:t>
      </w:r>
      <w:r>
        <w:rPr>
          <w:rStyle w:val="19"/>
          <w:rFonts w:ascii="仿宋" w:hAnsi="仿宋" w:eastAsia="仿宋"/>
          <w:b w:val="0"/>
          <w:bCs/>
          <w:sz w:val="32"/>
          <w:szCs w:val="32"/>
        </w:rPr>
        <w:t xml:space="preserve"> </w:t>
      </w:r>
      <w:r>
        <w:rPr>
          <w:rStyle w:val="19"/>
          <w:rFonts w:hint="eastAsia" w:ascii="仿宋" w:hAnsi="仿宋" w:eastAsia="仿宋"/>
          <w:b w:val="0"/>
          <w:bCs/>
          <w:sz w:val="32"/>
          <w:szCs w:val="32"/>
        </w:rPr>
        <w:t>支出决算为</w:t>
      </w:r>
      <w:r>
        <w:rPr>
          <w:rStyle w:val="19"/>
          <w:rFonts w:hint="eastAsia" w:ascii="仿宋" w:hAnsi="仿宋" w:eastAsia="仿宋"/>
          <w:b w:val="0"/>
          <w:bCs/>
          <w:sz w:val="32"/>
          <w:szCs w:val="32"/>
          <w:lang w:val="en-US" w:eastAsia="zh-CN"/>
        </w:rPr>
        <w:t>23.8</w:t>
      </w:r>
      <w:r>
        <w:rPr>
          <w:rStyle w:val="19"/>
          <w:rFonts w:hint="eastAsia" w:ascii="仿宋" w:hAnsi="仿宋" w:eastAsia="仿宋"/>
          <w:b w:val="0"/>
          <w:bCs/>
          <w:sz w:val="32"/>
          <w:szCs w:val="32"/>
        </w:rPr>
        <w:t>万元，完成预算</w:t>
      </w:r>
      <w:r>
        <w:rPr>
          <w:rStyle w:val="19"/>
          <w:rFonts w:hint="eastAsia" w:ascii="仿宋" w:hAnsi="仿宋" w:eastAsia="仿宋"/>
          <w:b w:val="0"/>
          <w:bCs/>
          <w:sz w:val="32"/>
          <w:szCs w:val="32"/>
          <w:lang w:val="en-US" w:eastAsia="zh-CN"/>
        </w:rPr>
        <w:t>100</w:t>
      </w:r>
      <w:r>
        <w:rPr>
          <w:rStyle w:val="19"/>
          <w:rFonts w:ascii="仿宋" w:hAnsi="仿宋" w:eastAsia="仿宋"/>
          <w:b w:val="0"/>
          <w:bCs/>
          <w:sz w:val="32"/>
          <w:szCs w:val="32"/>
        </w:rPr>
        <w:t>%</w:t>
      </w:r>
      <w:r>
        <w:rPr>
          <w:rStyle w:val="19"/>
          <w:rFonts w:hint="eastAsia" w:ascii="仿宋" w:hAnsi="仿宋" w:eastAsia="仿宋"/>
          <w:b w:val="0"/>
          <w:bCs/>
          <w:sz w:val="32"/>
          <w:szCs w:val="32"/>
        </w:rPr>
        <w:t>。</w:t>
      </w:r>
    </w:p>
    <w:p w14:paraId="14B5DD4C">
      <w:pPr>
        <w:pageBreakBefore w:val="0"/>
        <w:widowControl w:val="0"/>
        <w:kinsoku/>
        <w:wordWrap/>
        <w:overflowPunct/>
        <w:topLinePunct w:val="0"/>
        <w:autoSpaceDE/>
        <w:autoSpaceDN/>
        <w:bidi w:val="0"/>
        <w:adjustRightInd/>
        <w:snapToGrid/>
        <w:spacing w:line="600" w:lineRule="exact"/>
        <w:ind w:firstLine="643" w:firstLineChars="200"/>
        <w:textAlignment w:val="auto"/>
        <w:rPr>
          <w:rFonts w:ascii="仿宋" w:hAnsi="仿宋" w:eastAsia="仿宋"/>
          <w:b/>
          <w:sz w:val="32"/>
          <w:szCs w:val="32"/>
        </w:rPr>
      </w:pPr>
      <w:r>
        <w:rPr>
          <w:rStyle w:val="19"/>
          <w:rFonts w:hint="eastAsia" w:ascii="仿宋" w:hAnsi="仿宋" w:eastAsia="仿宋"/>
          <w:bCs/>
          <w:sz w:val="32"/>
          <w:szCs w:val="32"/>
          <w:lang w:val="en-US" w:eastAsia="zh-CN"/>
        </w:rPr>
        <w:t>6</w:t>
      </w:r>
      <w:r>
        <w:rPr>
          <w:rStyle w:val="19"/>
          <w:rFonts w:ascii="仿宋" w:hAnsi="仿宋" w:eastAsia="仿宋"/>
          <w:bCs/>
          <w:sz w:val="32"/>
          <w:szCs w:val="32"/>
        </w:rPr>
        <w:t>.</w:t>
      </w:r>
      <w:r>
        <w:rPr>
          <w:rStyle w:val="19"/>
          <w:rFonts w:hint="eastAsia" w:ascii="仿宋" w:hAnsi="仿宋" w:eastAsia="仿宋"/>
          <w:bCs/>
          <w:sz w:val="32"/>
          <w:szCs w:val="32"/>
          <w:lang w:val="en-US" w:eastAsia="zh-CN"/>
        </w:rPr>
        <w:t>自然资源海洋气象等支出</w:t>
      </w:r>
      <w:r>
        <w:rPr>
          <w:rStyle w:val="19"/>
          <w:rFonts w:hint="eastAsia" w:ascii="仿宋" w:hAnsi="仿宋" w:eastAsia="仿宋"/>
          <w:bCs/>
          <w:sz w:val="32"/>
          <w:szCs w:val="32"/>
        </w:rPr>
        <w:t>（</w:t>
      </w:r>
      <w:r>
        <w:rPr>
          <w:rStyle w:val="19"/>
          <w:rFonts w:hint="eastAsia" w:ascii="仿宋" w:hAnsi="仿宋" w:eastAsia="仿宋"/>
          <w:bCs/>
          <w:sz w:val="32"/>
          <w:szCs w:val="32"/>
          <w:lang w:val="en-US" w:eastAsia="zh-CN"/>
        </w:rPr>
        <w:t>类</w:t>
      </w:r>
      <w:r>
        <w:rPr>
          <w:rStyle w:val="19"/>
          <w:rFonts w:hint="eastAsia" w:ascii="仿宋" w:hAnsi="仿宋" w:eastAsia="仿宋"/>
          <w:bCs/>
          <w:sz w:val="32"/>
          <w:szCs w:val="32"/>
        </w:rPr>
        <w:t>）</w:t>
      </w:r>
      <w:r>
        <w:rPr>
          <w:rStyle w:val="19"/>
          <w:rFonts w:hint="eastAsia" w:ascii="仿宋" w:hAnsi="仿宋" w:eastAsia="仿宋"/>
          <w:bCs/>
          <w:sz w:val="32"/>
          <w:szCs w:val="32"/>
          <w:lang w:val="en-US" w:eastAsia="zh-CN"/>
        </w:rPr>
        <w:t>自然资源事务</w:t>
      </w:r>
      <w:r>
        <w:rPr>
          <w:rStyle w:val="19"/>
          <w:rFonts w:hint="eastAsia" w:ascii="仿宋" w:hAnsi="仿宋" w:eastAsia="仿宋"/>
          <w:bCs/>
          <w:sz w:val="32"/>
          <w:szCs w:val="32"/>
        </w:rPr>
        <w:t>（款）</w:t>
      </w:r>
      <w:r>
        <w:rPr>
          <w:rStyle w:val="19"/>
          <w:rFonts w:hint="eastAsia" w:ascii="仿宋" w:hAnsi="仿宋" w:eastAsia="仿宋"/>
          <w:bCs/>
          <w:sz w:val="32"/>
          <w:szCs w:val="32"/>
          <w:lang w:val="en-US" w:eastAsia="zh-CN"/>
        </w:rPr>
        <w:t>自然资源调查与确权登记</w:t>
      </w:r>
      <w:r>
        <w:rPr>
          <w:rStyle w:val="19"/>
          <w:rFonts w:hint="eastAsia" w:ascii="仿宋" w:hAnsi="仿宋" w:eastAsia="仿宋"/>
          <w:bCs/>
          <w:sz w:val="32"/>
          <w:szCs w:val="32"/>
        </w:rPr>
        <w:t>（项）</w:t>
      </w:r>
      <w:r>
        <w:rPr>
          <w:rStyle w:val="19"/>
          <w:rFonts w:ascii="仿宋" w:hAnsi="仿宋" w:eastAsia="仿宋"/>
          <w:bCs/>
          <w:sz w:val="32"/>
          <w:szCs w:val="32"/>
        </w:rPr>
        <w:t>:</w:t>
      </w:r>
      <w:r>
        <w:rPr>
          <w:rStyle w:val="19"/>
          <w:rFonts w:ascii="仿宋" w:hAnsi="仿宋" w:eastAsia="仿宋"/>
          <w:b w:val="0"/>
          <w:bCs/>
          <w:sz w:val="32"/>
          <w:szCs w:val="32"/>
        </w:rPr>
        <w:t xml:space="preserve"> </w:t>
      </w:r>
      <w:r>
        <w:rPr>
          <w:rStyle w:val="19"/>
          <w:rFonts w:hint="eastAsia" w:ascii="仿宋" w:hAnsi="仿宋" w:eastAsia="仿宋"/>
          <w:b w:val="0"/>
          <w:bCs/>
          <w:sz w:val="32"/>
          <w:szCs w:val="32"/>
        </w:rPr>
        <w:t>支出决算为</w:t>
      </w:r>
      <w:r>
        <w:rPr>
          <w:rStyle w:val="19"/>
          <w:rFonts w:hint="eastAsia" w:ascii="仿宋" w:hAnsi="仿宋" w:eastAsia="仿宋"/>
          <w:b w:val="0"/>
          <w:bCs/>
          <w:sz w:val="32"/>
          <w:szCs w:val="32"/>
          <w:lang w:val="en-US" w:eastAsia="zh-CN"/>
        </w:rPr>
        <w:t>409.7</w:t>
      </w:r>
      <w:r>
        <w:rPr>
          <w:rStyle w:val="19"/>
          <w:rFonts w:hint="eastAsia" w:ascii="仿宋" w:hAnsi="仿宋" w:eastAsia="仿宋"/>
          <w:b w:val="0"/>
          <w:bCs/>
          <w:sz w:val="32"/>
          <w:szCs w:val="32"/>
        </w:rPr>
        <w:t>万元，完成预算</w:t>
      </w:r>
      <w:r>
        <w:rPr>
          <w:rStyle w:val="19"/>
          <w:rFonts w:hint="eastAsia" w:ascii="仿宋" w:hAnsi="仿宋" w:eastAsia="仿宋"/>
          <w:b w:val="0"/>
          <w:bCs/>
          <w:sz w:val="32"/>
          <w:szCs w:val="32"/>
          <w:lang w:val="en-US" w:eastAsia="zh-CN"/>
        </w:rPr>
        <w:t>100</w:t>
      </w:r>
      <w:r>
        <w:rPr>
          <w:rStyle w:val="19"/>
          <w:rFonts w:ascii="仿宋" w:hAnsi="仿宋" w:eastAsia="仿宋"/>
          <w:b w:val="0"/>
          <w:bCs/>
          <w:sz w:val="32"/>
          <w:szCs w:val="32"/>
        </w:rPr>
        <w:t>%</w:t>
      </w:r>
      <w:r>
        <w:rPr>
          <w:rStyle w:val="19"/>
          <w:rFonts w:hint="eastAsia" w:ascii="仿宋" w:hAnsi="仿宋" w:eastAsia="仿宋"/>
          <w:b w:val="0"/>
          <w:bCs/>
          <w:sz w:val="32"/>
          <w:szCs w:val="32"/>
        </w:rPr>
        <w:t>。</w:t>
      </w:r>
    </w:p>
    <w:p w14:paraId="7A9EECD8">
      <w:pPr>
        <w:pageBreakBefore w:val="0"/>
        <w:widowControl w:val="0"/>
        <w:kinsoku/>
        <w:wordWrap/>
        <w:overflowPunct/>
        <w:topLinePunct w:val="0"/>
        <w:autoSpaceDE/>
        <w:autoSpaceDN/>
        <w:bidi w:val="0"/>
        <w:adjustRightInd/>
        <w:snapToGrid/>
        <w:spacing w:line="600" w:lineRule="exact"/>
        <w:ind w:firstLine="643" w:firstLineChars="200"/>
        <w:textAlignment w:val="auto"/>
        <w:rPr>
          <w:rStyle w:val="19"/>
          <w:rFonts w:hint="eastAsia" w:ascii="仿宋" w:hAnsi="仿宋" w:eastAsia="仿宋"/>
          <w:b w:val="0"/>
          <w:bCs/>
          <w:sz w:val="32"/>
          <w:szCs w:val="32"/>
        </w:rPr>
      </w:pPr>
      <w:r>
        <w:rPr>
          <w:rStyle w:val="19"/>
          <w:rFonts w:hint="eastAsia" w:ascii="仿宋" w:hAnsi="仿宋" w:eastAsia="仿宋"/>
          <w:bCs/>
          <w:sz w:val="32"/>
          <w:szCs w:val="32"/>
          <w:lang w:val="en-US" w:eastAsia="zh-CN"/>
        </w:rPr>
        <w:t>7</w:t>
      </w:r>
      <w:r>
        <w:rPr>
          <w:rStyle w:val="19"/>
          <w:rFonts w:ascii="仿宋" w:hAnsi="仿宋" w:eastAsia="仿宋"/>
          <w:bCs/>
          <w:sz w:val="32"/>
          <w:szCs w:val="32"/>
        </w:rPr>
        <w:t>.</w:t>
      </w:r>
      <w:r>
        <w:rPr>
          <w:rStyle w:val="19"/>
          <w:rFonts w:hint="eastAsia" w:ascii="仿宋" w:hAnsi="仿宋" w:eastAsia="仿宋"/>
          <w:bCs/>
          <w:sz w:val="32"/>
          <w:szCs w:val="32"/>
          <w:lang w:val="en-US" w:eastAsia="zh-CN"/>
        </w:rPr>
        <w:t>自然资源海洋气象等支出</w:t>
      </w:r>
      <w:r>
        <w:rPr>
          <w:rStyle w:val="19"/>
          <w:rFonts w:hint="eastAsia" w:ascii="仿宋" w:hAnsi="仿宋" w:eastAsia="仿宋"/>
          <w:bCs/>
          <w:sz w:val="32"/>
          <w:szCs w:val="32"/>
        </w:rPr>
        <w:t>（</w:t>
      </w:r>
      <w:r>
        <w:rPr>
          <w:rStyle w:val="19"/>
          <w:rFonts w:hint="eastAsia" w:ascii="仿宋" w:hAnsi="仿宋" w:eastAsia="仿宋"/>
          <w:bCs/>
          <w:sz w:val="32"/>
          <w:szCs w:val="32"/>
          <w:lang w:val="en-US" w:eastAsia="zh-CN"/>
        </w:rPr>
        <w:t>类</w:t>
      </w:r>
      <w:r>
        <w:rPr>
          <w:rStyle w:val="19"/>
          <w:rFonts w:hint="eastAsia" w:ascii="仿宋" w:hAnsi="仿宋" w:eastAsia="仿宋"/>
          <w:bCs/>
          <w:sz w:val="32"/>
          <w:szCs w:val="32"/>
        </w:rPr>
        <w:t>）</w:t>
      </w:r>
      <w:r>
        <w:rPr>
          <w:rStyle w:val="19"/>
          <w:rFonts w:hint="eastAsia" w:ascii="仿宋" w:hAnsi="仿宋" w:eastAsia="仿宋"/>
          <w:bCs/>
          <w:sz w:val="32"/>
          <w:szCs w:val="32"/>
          <w:lang w:val="en-US" w:eastAsia="zh-CN"/>
        </w:rPr>
        <w:t>自然资源事务</w:t>
      </w:r>
      <w:r>
        <w:rPr>
          <w:rStyle w:val="19"/>
          <w:rFonts w:hint="eastAsia" w:ascii="仿宋" w:hAnsi="仿宋" w:eastAsia="仿宋"/>
          <w:bCs/>
          <w:sz w:val="32"/>
          <w:szCs w:val="32"/>
        </w:rPr>
        <w:t>（款）</w:t>
      </w:r>
      <w:r>
        <w:rPr>
          <w:rStyle w:val="19"/>
          <w:rFonts w:hint="eastAsia" w:ascii="仿宋" w:hAnsi="仿宋" w:eastAsia="仿宋"/>
          <w:bCs/>
          <w:sz w:val="32"/>
          <w:szCs w:val="32"/>
          <w:lang w:val="en-US" w:eastAsia="zh-CN"/>
        </w:rPr>
        <w:t>土地资源储备支出</w:t>
      </w:r>
      <w:r>
        <w:rPr>
          <w:rStyle w:val="19"/>
          <w:rFonts w:hint="eastAsia" w:ascii="仿宋" w:hAnsi="仿宋" w:eastAsia="仿宋"/>
          <w:bCs/>
          <w:sz w:val="32"/>
          <w:szCs w:val="32"/>
        </w:rPr>
        <w:t>（项）</w:t>
      </w:r>
      <w:r>
        <w:rPr>
          <w:rStyle w:val="19"/>
          <w:rFonts w:ascii="仿宋" w:hAnsi="仿宋" w:eastAsia="仿宋"/>
          <w:bCs/>
          <w:sz w:val="32"/>
          <w:szCs w:val="32"/>
        </w:rPr>
        <w:t>:</w:t>
      </w:r>
      <w:r>
        <w:rPr>
          <w:rStyle w:val="19"/>
          <w:rFonts w:ascii="仿宋" w:hAnsi="仿宋" w:eastAsia="仿宋"/>
          <w:b w:val="0"/>
          <w:bCs/>
          <w:sz w:val="32"/>
          <w:szCs w:val="32"/>
        </w:rPr>
        <w:t xml:space="preserve"> </w:t>
      </w:r>
      <w:r>
        <w:rPr>
          <w:rStyle w:val="19"/>
          <w:rFonts w:hint="eastAsia" w:ascii="仿宋" w:hAnsi="仿宋" w:eastAsia="仿宋"/>
          <w:b w:val="0"/>
          <w:bCs/>
          <w:sz w:val="32"/>
          <w:szCs w:val="32"/>
        </w:rPr>
        <w:t>支出决算为</w:t>
      </w:r>
      <w:r>
        <w:rPr>
          <w:rStyle w:val="19"/>
          <w:rFonts w:hint="eastAsia" w:ascii="仿宋" w:hAnsi="仿宋" w:eastAsia="仿宋"/>
          <w:b w:val="0"/>
          <w:bCs/>
          <w:sz w:val="32"/>
          <w:szCs w:val="32"/>
          <w:lang w:val="en-US" w:eastAsia="zh-CN"/>
        </w:rPr>
        <w:t>898.89</w:t>
      </w:r>
      <w:r>
        <w:rPr>
          <w:rStyle w:val="19"/>
          <w:rFonts w:hint="eastAsia" w:ascii="仿宋" w:hAnsi="仿宋" w:eastAsia="仿宋"/>
          <w:b w:val="0"/>
          <w:bCs/>
          <w:sz w:val="32"/>
          <w:szCs w:val="32"/>
        </w:rPr>
        <w:t>万元，完成预算</w:t>
      </w:r>
      <w:r>
        <w:rPr>
          <w:rStyle w:val="19"/>
          <w:rFonts w:hint="eastAsia" w:ascii="仿宋" w:hAnsi="仿宋" w:eastAsia="仿宋"/>
          <w:b w:val="0"/>
          <w:bCs/>
          <w:sz w:val="32"/>
          <w:szCs w:val="32"/>
          <w:lang w:val="en-US" w:eastAsia="zh-CN"/>
        </w:rPr>
        <w:t>100</w:t>
      </w:r>
      <w:r>
        <w:rPr>
          <w:rStyle w:val="19"/>
          <w:rFonts w:ascii="仿宋" w:hAnsi="仿宋" w:eastAsia="仿宋"/>
          <w:b w:val="0"/>
          <w:bCs/>
          <w:sz w:val="32"/>
          <w:szCs w:val="32"/>
        </w:rPr>
        <w:t>%</w:t>
      </w:r>
      <w:r>
        <w:rPr>
          <w:rStyle w:val="19"/>
          <w:rFonts w:hint="eastAsia" w:ascii="仿宋" w:hAnsi="仿宋" w:eastAsia="仿宋"/>
          <w:b w:val="0"/>
          <w:bCs/>
          <w:sz w:val="32"/>
          <w:szCs w:val="32"/>
        </w:rPr>
        <w:t>。</w:t>
      </w:r>
    </w:p>
    <w:p w14:paraId="729464C3">
      <w:pPr>
        <w:pageBreakBefore w:val="0"/>
        <w:widowControl w:val="0"/>
        <w:kinsoku/>
        <w:wordWrap/>
        <w:overflowPunct/>
        <w:topLinePunct w:val="0"/>
        <w:autoSpaceDE/>
        <w:autoSpaceDN/>
        <w:bidi w:val="0"/>
        <w:adjustRightInd/>
        <w:snapToGrid/>
        <w:spacing w:line="600" w:lineRule="exact"/>
        <w:ind w:firstLine="643" w:firstLineChars="200"/>
        <w:textAlignment w:val="auto"/>
        <w:rPr>
          <w:rStyle w:val="19"/>
          <w:rFonts w:hint="eastAsia" w:ascii="仿宋" w:hAnsi="仿宋" w:eastAsia="仿宋"/>
          <w:b w:val="0"/>
          <w:bCs/>
          <w:sz w:val="32"/>
          <w:szCs w:val="32"/>
        </w:rPr>
      </w:pPr>
      <w:r>
        <w:rPr>
          <w:rStyle w:val="19"/>
          <w:rFonts w:hint="eastAsia" w:ascii="仿宋" w:hAnsi="仿宋" w:eastAsia="仿宋"/>
          <w:bCs/>
          <w:sz w:val="32"/>
          <w:szCs w:val="32"/>
          <w:lang w:val="en-US" w:eastAsia="zh-CN"/>
        </w:rPr>
        <w:t>8</w:t>
      </w:r>
      <w:r>
        <w:rPr>
          <w:rStyle w:val="19"/>
          <w:rFonts w:ascii="仿宋" w:hAnsi="仿宋" w:eastAsia="仿宋"/>
          <w:bCs/>
          <w:sz w:val="32"/>
          <w:szCs w:val="32"/>
        </w:rPr>
        <w:t>.</w:t>
      </w:r>
      <w:r>
        <w:rPr>
          <w:rStyle w:val="19"/>
          <w:rFonts w:hint="eastAsia" w:ascii="仿宋" w:hAnsi="仿宋" w:eastAsia="仿宋"/>
          <w:bCs/>
          <w:sz w:val="32"/>
          <w:szCs w:val="32"/>
          <w:lang w:val="en-US" w:eastAsia="zh-CN"/>
        </w:rPr>
        <w:t>自然资源海洋气象等支出</w:t>
      </w:r>
      <w:r>
        <w:rPr>
          <w:rStyle w:val="19"/>
          <w:rFonts w:hint="eastAsia" w:ascii="仿宋" w:hAnsi="仿宋" w:eastAsia="仿宋"/>
          <w:bCs/>
          <w:sz w:val="32"/>
          <w:szCs w:val="32"/>
        </w:rPr>
        <w:t>（</w:t>
      </w:r>
      <w:r>
        <w:rPr>
          <w:rStyle w:val="19"/>
          <w:rFonts w:hint="eastAsia" w:ascii="仿宋" w:hAnsi="仿宋" w:eastAsia="仿宋"/>
          <w:bCs/>
          <w:sz w:val="32"/>
          <w:szCs w:val="32"/>
          <w:lang w:val="en-US" w:eastAsia="zh-CN"/>
        </w:rPr>
        <w:t>类</w:t>
      </w:r>
      <w:r>
        <w:rPr>
          <w:rStyle w:val="19"/>
          <w:rFonts w:hint="eastAsia" w:ascii="仿宋" w:hAnsi="仿宋" w:eastAsia="仿宋"/>
          <w:bCs/>
          <w:sz w:val="32"/>
          <w:szCs w:val="32"/>
        </w:rPr>
        <w:t>）</w:t>
      </w:r>
      <w:r>
        <w:rPr>
          <w:rStyle w:val="19"/>
          <w:rFonts w:hint="eastAsia" w:ascii="仿宋" w:hAnsi="仿宋" w:eastAsia="仿宋"/>
          <w:bCs/>
          <w:sz w:val="32"/>
          <w:szCs w:val="32"/>
          <w:lang w:val="en-US" w:eastAsia="zh-CN"/>
        </w:rPr>
        <w:t>自然资源事务</w:t>
      </w:r>
      <w:r>
        <w:rPr>
          <w:rStyle w:val="19"/>
          <w:rFonts w:hint="eastAsia" w:ascii="仿宋" w:hAnsi="仿宋" w:eastAsia="仿宋"/>
          <w:bCs/>
          <w:sz w:val="32"/>
          <w:szCs w:val="32"/>
        </w:rPr>
        <w:t>（款）</w:t>
      </w:r>
      <w:r>
        <w:rPr>
          <w:rStyle w:val="19"/>
          <w:rFonts w:hint="eastAsia" w:ascii="仿宋" w:hAnsi="仿宋" w:eastAsia="仿宋"/>
          <w:bCs/>
          <w:sz w:val="32"/>
          <w:szCs w:val="32"/>
          <w:lang w:val="en-US" w:eastAsia="zh-CN"/>
        </w:rPr>
        <w:t>地质矿产资源与环境调查</w:t>
      </w:r>
      <w:r>
        <w:rPr>
          <w:rStyle w:val="19"/>
          <w:rFonts w:hint="eastAsia" w:ascii="仿宋" w:hAnsi="仿宋" w:eastAsia="仿宋"/>
          <w:bCs/>
          <w:sz w:val="32"/>
          <w:szCs w:val="32"/>
        </w:rPr>
        <w:t>（项）</w:t>
      </w:r>
      <w:r>
        <w:rPr>
          <w:rStyle w:val="19"/>
          <w:rFonts w:ascii="仿宋" w:hAnsi="仿宋" w:eastAsia="仿宋"/>
          <w:bCs/>
          <w:sz w:val="32"/>
          <w:szCs w:val="32"/>
        </w:rPr>
        <w:t>:</w:t>
      </w:r>
      <w:r>
        <w:rPr>
          <w:rStyle w:val="19"/>
          <w:rFonts w:ascii="仿宋" w:hAnsi="仿宋" w:eastAsia="仿宋"/>
          <w:b w:val="0"/>
          <w:bCs/>
          <w:sz w:val="32"/>
          <w:szCs w:val="32"/>
        </w:rPr>
        <w:t xml:space="preserve"> </w:t>
      </w:r>
      <w:r>
        <w:rPr>
          <w:rStyle w:val="19"/>
          <w:rFonts w:hint="eastAsia" w:ascii="仿宋" w:hAnsi="仿宋" w:eastAsia="仿宋"/>
          <w:b w:val="0"/>
          <w:bCs/>
          <w:sz w:val="32"/>
          <w:szCs w:val="32"/>
        </w:rPr>
        <w:t>支出决算为</w:t>
      </w:r>
      <w:r>
        <w:rPr>
          <w:rStyle w:val="19"/>
          <w:rFonts w:hint="eastAsia" w:ascii="仿宋" w:hAnsi="仿宋" w:eastAsia="仿宋"/>
          <w:b w:val="0"/>
          <w:bCs/>
          <w:sz w:val="32"/>
          <w:szCs w:val="32"/>
          <w:lang w:val="en-US" w:eastAsia="zh-CN"/>
        </w:rPr>
        <w:t>4.5</w:t>
      </w:r>
      <w:r>
        <w:rPr>
          <w:rStyle w:val="19"/>
          <w:rFonts w:hint="eastAsia" w:ascii="仿宋" w:hAnsi="仿宋" w:eastAsia="仿宋"/>
          <w:b w:val="0"/>
          <w:bCs/>
          <w:sz w:val="32"/>
          <w:szCs w:val="32"/>
        </w:rPr>
        <w:t>万元，完成预算</w:t>
      </w:r>
      <w:r>
        <w:rPr>
          <w:rStyle w:val="19"/>
          <w:rFonts w:hint="eastAsia" w:ascii="仿宋" w:hAnsi="仿宋" w:eastAsia="仿宋"/>
          <w:b w:val="0"/>
          <w:bCs/>
          <w:sz w:val="32"/>
          <w:szCs w:val="32"/>
          <w:lang w:val="en-US" w:eastAsia="zh-CN"/>
        </w:rPr>
        <w:t>100</w:t>
      </w:r>
      <w:r>
        <w:rPr>
          <w:rStyle w:val="19"/>
          <w:rFonts w:ascii="仿宋" w:hAnsi="仿宋" w:eastAsia="仿宋"/>
          <w:b w:val="0"/>
          <w:bCs/>
          <w:sz w:val="32"/>
          <w:szCs w:val="32"/>
        </w:rPr>
        <w:t>%</w:t>
      </w:r>
      <w:r>
        <w:rPr>
          <w:rStyle w:val="19"/>
          <w:rFonts w:hint="eastAsia" w:ascii="仿宋" w:hAnsi="仿宋" w:eastAsia="仿宋"/>
          <w:b w:val="0"/>
          <w:bCs/>
          <w:sz w:val="32"/>
          <w:szCs w:val="32"/>
        </w:rPr>
        <w:t>。</w:t>
      </w:r>
    </w:p>
    <w:p w14:paraId="69C5AE83">
      <w:pPr>
        <w:pStyle w:val="21"/>
        <w:pageBreakBefore w:val="0"/>
        <w:widowControl w:val="0"/>
        <w:kinsoku/>
        <w:wordWrap/>
        <w:overflowPunct/>
        <w:topLinePunct w:val="0"/>
        <w:autoSpaceDE/>
        <w:autoSpaceDN/>
        <w:bidi w:val="0"/>
        <w:adjustRightInd/>
        <w:snapToGrid/>
        <w:spacing w:before="0" w:after="0"/>
        <w:ind w:firstLine="643" w:firstLineChars="200"/>
        <w:textAlignment w:val="auto"/>
        <w:rPr>
          <w:rFonts w:ascii="仿宋" w:hAnsi="仿宋" w:eastAsia="仿宋"/>
          <w:b/>
          <w:sz w:val="32"/>
          <w:szCs w:val="32"/>
        </w:rPr>
      </w:pPr>
      <w:r>
        <w:rPr>
          <w:rStyle w:val="19"/>
          <w:rFonts w:hint="eastAsia" w:ascii="仿宋" w:hAnsi="仿宋" w:eastAsia="仿宋"/>
          <w:b/>
          <w:bCs/>
          <w:sz w:val="32"/>
          <w:szCs w:val="32"/>
          <w:lang w:val="en-US" w:eastAsia="zh-CN"/>
        </w:rPr>
        <w:t>9</w:t>
      </w:r>
      <w:r>
        <w:rPr>
          <w:rStyle w:val="19"/>
          <w:rFonts w:ascii="仿宋" w:hAnsi="仿宋" w:eastAsia="仿宋"/>
          <w:b/>
          <w:bCs/>
          <w:sz w:val="32"/>
          <w:szCs w:val="32"/>
        </w:rPr>
        <w:t>.</w:t>
      </w:r>
      <w:r>
        <w:rPr>
          <w:rStyle w:val="19"/>
          <w:rFonts w:hint="eastAsia" w:ascii="仿宋" w:hAnsi="仿宋" w:eastAsia="仿宋"/>
          <w:b/>
          <w:bCs/>
          <w:sz w:val="32"/>
          <w:szCs w:val="32"/>
          <w:lang w:val="en-US" w:eastAsia="zh-CN"/>
        </w:rPr>
        <w:t>自然资源海洋气象等支出</w:t>
      </w:r>
      <w:r>
        <w:rPr>
          <w:rStyle w:val="19"/>
          <w:rFonts w:hint="eastAsia" w:ascii="仿宋" w:hAnsi="仿宋" w:eastAsia="仿宋"/>
          <w:b/>
          <w:bCs/>
          <w:sz w:val="32"/>
          <w:szCs w:val="32"/>
        </w:rPr>
        <w:t>（</w:t>
      </w:r>
      <w:r>
        <w:rPr>
          <w:rStyle w:val="19"/>
          <w:rFonts w:hint="eastAsia" w:ascii="仿宋" w:hAnsi="仿宋" w:eastAsia="仿宋"/>
          <w:b/>
          <w:bCs/>
          <w:sz w:val="32"/>
          <w:szCs w:val="32"/>
          <w:lang w:val="en-US" w:eastAsia="zh-CN"/>
        </w:rPr>
        <w:t>类</w:t>
      </w:r>
      <w:r>
        <w:rPr>
          <w:rStyle w:val="19"/>
          <w:rFonts w:hint="eastAsia" w:ascii="仿宋" w:hAnsi="仿宋" w:eastAsia="仿宋"/>
          <w:b/>
          <w:bCs/>
          <w:sz w:val="32"/>
          <w:szCs w:val="32"/>
        </w:rPr>
        <w:t>）</w:t>
      </w:r>
      <w:r>
        <w:rPr>
          <w:rStyle w:val="19"/>
          <w:rFonts w:hint="eastAsia" w:ascii="仿宋" w:hAnsi="仿宋" w:eastAsia="仿宋"/>
          <w:b/>
          <w:bCs/>
          <w:sz w:val="32"/>
          <w:szCs w:val="32"/>
          <w:lang w:val="en-US" w:eastAsia="zh-CN"/>
        </w:rPr>
        <w:t>自然资源事务</w:t>
      </w:r>
      <w:r>
        <w:rPr>
          <w:rStyle w:val="19"/>
          <w:rFonts w:hint="eastAsia" w:ascii="仿宋" w:hAnsi="仿宋" w:eastAsia="仿宋"/>
          <w:b/>
          <w:bCs/>
          <w:sz w:val="32"/>
          <w:szCs w:val="32"/>
        </w:rPr>
        <w:t>（款）</w:t>
      </w:r>
      <w:r>
        <w:rPr>
          <w:rStyle w:val="19"/>
          <w:rFonts w:hint="eastAsia" w:ascii="仿宋" w:hAnsi="仿宋" w:eastAsia="仿宋"/>
          <w:b/>
          <w:bCs/>
          <w:sz w:val="32"/>
          <w:szCs w:val="32"/>
          <w:lang w:val="en-US" w:eastAsia="zh-CN"/>
        </w:rPr>
        <w:t>地质勘察与矿产资源管理</w:t>
      </w:r>
      <w:r>
        <w:rPr>
          <w:rStyle w:val="19"/>
          <w:rFonts w:hint="eastAsia" w:ascii="仿宋" w:hAnsi="仿宋" w:eastAsia="仿宋"/>
          <w:b/>
          <w:bCs/>
          <w:sz w:val="32"/>
          <w:szCs w:val="32"/>
        </w:rPr>
        <w:t>（项）</w:t>
      </w:r>
      <w:r>
        <w:rPr>
          <w:rStyle w:val="19"/>
          <w:rFonts w:ascii="仿宋" w:hAnsi="仿宋" w:eastAsia="仿宋"/>
          <w:b/>
          <w:bCs/>
          <w:sz w:val="32"/>
          <w:szCs w:val="32"/>
        </w:rPr>
        <w:t>:</w:t>
      </w:r>
      <w:r>
        <w:rPr>
          <w:rStyle w:val="19"/>
          <w:rFonts w:ascii="仿宋" w:hAnsi="仿宋" w:eastAsia="仿宋"/>
          <w:b w:val="0"/>
          <w:bCs/>
          <w:sz w:val="32"/>
          <w:szCs w:val="32"/>
        </w:rPr>
        <w:t xml:space="preserve"> </w:t>
      </w:r>
      <w:r>
        <w:rPr>
          <w:rStyle w:val="19"/>
          <w:rFonts w:hint="eastAsia" w:ascii="仿宋" w:hAnsi="仿宋" w:eastAsia="仿宋"/>
          <w:b w:val="0"/>
          <w:bCs/>
          <w:sz w:val="32"/>
          <w:szCs w:val="32"/>
        </w:rPr>
        <w:t>支出决算为</w:t>
      </w:r>
      <w:r>
        <w:rPr>
          <w:rStyle w:val="19"/>
          <w:rFonts w:hint="eastAsia" w:ascii="仿宋" w:hAnsi="仿宋" w:eastAsia="仿宋"/>
          <w:b w:val="0"/>
          <w:bCs/>
          <w:sz w:val="32"/>
          <w:szCs w:val="32"/>
          <w:lang w:val="en-US" w:eastAsia="zh-CN"/>
        </w:rPr>
        <w:t>32.3</w:t>
      </w:r>
      <w:r>
        <w:rPr>
          <w:rStyle w:val="19"/>
          <w:rFonts w:hint="eastAsia" w:ascii="仿宋" w:hAnsi="仿宋" w:eastAsia="仿宋"/>
          <w:b w:val="0"/>
          <w:bCs/>
          <w:sz w:val="32"/>
          <w:szCs w:val="32"/>
        </w:rPr>
        <w:t>万元，完成预算</w:t>
      </w:r>
      <w:r>
        <w:rPr>
          <w:rStyle w:val="19"/>
          <w:rFonts w:hint="eastAsia" w:ascii="仿宋" w:hAnsi="仿宋" w:eastAsia="仿宋"/>
          <w:b w:val="0"/>
          <w:bCs/>
          <w:sz w:val="32"/>
          <w:szCs w:val="32"/>
          <w:lang w:val="en-US" w:eastAsia="zh-CN"/>
        </w:rPr>
        <w:t>100</w:t>
      </w:r>
      <w:r>
        <w:rPr>
          <w:rStyle w:val="19"/>
          <w:rFonts w:ascii="仿宋" w:hAnsi="仿宋" w:eastAsia="仿宋"/>
          <w:b w:val="0"/>
          <w:bCs/>
          <w:sz w:val="32"/>
          <w:szCs w:val="32"/>
        </w:rPr>
        <w:t>%</w:t>
      </w:r>
      <w:r>
        <w:rPr>
          <w:rStyle w:val="19"/>
          <w:rFonts w:hint="eastAsia" w:ascii="仿宋" w:hAnsi="仿宋" w:eastAsia="仿宋"/>
          <w:b w:val="0"/>
          <w:bCs/>
          <w:sz w:val="32"/>
          <w:szCs w:val="32"/>
        </w:rPr>
        <w:t>。</w:t>
      </w:r>
    </w:p>
    <w:p w14:paraId="1655B800">
      <w:pPr>
        <w:pageBreakBefore w:val="0"/>
        <w:widowControl w:val="0"/>
        <w:kinsoku/>
        <w:wordWrap/>
        <w:overflowPunct/>
        <w:topLinePunct w:val="0"/>
        <w:autoSpaceDE/>
        <w:autoSpaceDN/>
        <w:bidi w:val="0"/>
        <w:adjustRightInd/>
        <w:snapToGrid/>
        <w:spacing w:line="600" w:lineRule="exact"/>
        <w:ind w:firstLine="643" w:firstLineChars="200"/>
        <w:textAlignment w:val="auto"/>
        <w:rPr>
          <w:rStyle w:val="19"/>
          <w:rFonts w:hint="eastAsia" w:ascii="仿宋" w:hAnsi="仿宋" w:eastAsia="仿宋"/>
          <w:b w:val="0"/>
          <w:bCs/>
          <w:sz w:val="32"/>
          <w:szCs w:val="32"/>
        </w:rPr>
      </w:pPr>
      <w:r>
        <w:rPr>
          <w:rStyle w:val="19"/>
          <w:rFonts w:hint="eastAsia" w:ascii="仿宋" w:hAnsi="仿宋" w:eastAsia="仿宋"/>
          <w:bCs/>
          <w:sz w:val="32"/>
          <w:szCs w:val="32"/>
          <w:lang w:val="en-US" w:eastAsia="zh-CN"/>
        </w:rPr>
        <w:t>10</w:t>
      </w:r>
      <w:r>
        <w:rPr>
          <w:rStyle w:val="19"/>
          <w:rFonts w:ascii="仿宋" w:hAnsi="仿宋" w:eastAsia="仿宋"/>
          <w:bCs/>
          <w:sz w:val="32"/>
          <w:szCs w:val="32"/>
        </w:rPr>
        <w:t>.</w:t>
      </w:r>
      <w:r>
        <w:rPr>
          <w:rStyle w:val="19"/>
          <w:rFonts w:hint="eastAsia" w:ascii="仿宋" w:hAnsi="仿宋" w:eastAsia="仿宋"/>
          <w:bCs/>
          <w:sz w:val="32"/>
          <w:szCs w:val="32"/>
          <w:lang w:val="en-US" w:eastAsia="zh-CN"/>
        </w:rPr>
        <w:t>社会保障和就业支出</w:t>
      </w:r>
      <w:r>
        <w:rPr>
          <w:rStyle w:val="19"/>
          <w:rFonts w:hint="eastAsia" w:ascii="仿宋" w:hAnsi="仿宋" w:eastAsia="仿宋"/>
          <w:bCs/>
          <w:sz w:val="32"/>
          <w:szCs w:val="32"/>
        </w:rPr>
        <w:t>（</w:t>
      </w:r>
      <w:r>
        <w:rPr>
          <w:rStyle w:val="19"/>
          <w:rFonts w:hint="eastAsia" w:ascii="仿宋" w:hAnsi="仿宋" w:eastAsia="仿宋"/>
          <w:bCs/>
          <w:sz w:val="32"/>
          <w:szCs w:val="32"/>
          <w:lang w:val="en-US" w:eastAsia="zh-CN"/>
        </w:rPr>
        <w:t>类</w:t>
      </w:r>
      <w:r>
        <w:rPr>
          <w:rStyle w:val="19"/>
          <w:rFonts w:hint="eastAsia" w:ascii="仿宋" w:hAnsi="仿宋" w:eastAsia="仿宋"/>
          <w:bCs/>
          <w:sz w:val="32"/>
          <w:szCs w:val="32"/>
        </w:rPr>
        <w:t>）</w:t>
      </w:r>
      <w:r>
        <w:rPr>
          <w:rStyle w:val="19"/>
          <w:rFonts w:hint="eastAsia" w:ascii="仿宋" w:hAnsi="仿宋" w:eastAsia="仿宋"/>
          <w:bCs/>
          <w:sz w:val="32"/>
          <w:szCs w:val="32"/>
          <w:lang w:val="en-US" w:eastAsia="zh-CN"/>
        </w:rPr>
        <w:t>行政事业单位养老支出</w:t>
      </w:r>
      <w:r>
        <w:rPr>
          <w:rStyle w:val="19"/>
          <w:rFonts w:hint="eastAsia" w:ascii="仿宋" w:hAnsi="仿宋" w:eastAsia="仿宋"/>
          <w:bCs/>
          <w:sz w:val="32"/>
          <w:szCs w:val="32"/>
        </w:rPr>
        <w:t>（款）机关事业单位基本养老保险缴费支出（项）</w:t>
      </w:r>
      <w:r>
        <w:rPr>
          <w:rStyle w:val="19"/>
          <w:rFonts w:ascii="仿宋" w:hAnsi="仿宋" w:eastAsia="仿宋"/>
          <w:bCs/>
          <w:sz w:val="32"/>
          <w:szCs w:val="32"/>
        </w:rPr>
        <w:t>:</w:t>
      </w:r>
      <w:r>
        <w:rPr>
          <w:rStyle w:val="19"/>
          <w:rFonts w:hint="eastAsia" w:ascii="仿宋" w:hAnsi="仿宋" w:eastAsia="仿宋"/>
          <w:b w:val="0"/>
          <w:bCs/>
          <w:sz w:val="32"/>
          <w:szCs w:val="32"/>
        </w:rPr>
        <w:t>支出决算为</w:t>
      </w:r>
      <w:r>
        <w:rPr>
          <w:rStyle w:val="19"/>
          <w:rFonts w:hint="eastAsia" w:ascii="仿宋" w:hAnsi="仿宋" w:eastAsia="仿宋"/>
          <w:b w:val="0"/>
          <w:bCs/>
          <w:sz w:val="32"/>
          <w:szCs w:val="32"/>
          <w:lang w:val="en-US" w:eastAsia="zh-CN"/>
        </w:rPr>
        <w:t>59.77</w:t>
      </w:r>
      <w:r>
        <w:rPr>
          <w:rStyle w:val="19"/>
          <w:rFonts w:hint="eastAsia" w:ascii="仿宋" w:hAnsi="仿宋" w:eastAsia="仿宋"/>
          <w:b w:val="0"/>
          <w:bCs/>
          <w:sz w:val="32"/>
          <w:szCs w:val="32"/>
        </w:rPr>
        <w:t>万元，完成预算</w:t>
      </w:r>
      <w:r>
        <w:rPr>
          <w:rStyle w:val="19"/>
          <w:rFonts w:hint="eastAsia" w:ascii="仿宋" w:hAnsi="仿宋" w:eastAsia="仿宋"/>
          <w:b w:val="0"/>
          <w:bCs/>
          <w:sz w:val="32"/>
          <w:szCs w:val="32"/>
          <w:lang w:val="en-US" w:eastAsia="zh-CN"/>
        </w:rPr>
        <w:t>100</w:t>
      </w:r>
      <w:r>
        <w:rPr>
          <w:rStyle w:val="19"/>
          <w:rFonts w:ascii="仿宋" w:hAnsi="仿宋" w:eastAsia="仿宋"/>
          <w:b w:val="0"/>
          <w:bCs/>
          <w:sz w:val="32"/>
          <w:szCs w:val="32"/>
        </w:rPr>
        <w:t>%</w:t>
      </w:r>
      <w:r>
        <w:rPr>
          <w:rStyle w:val="19"/>
          <w:rFonts w:hint="eastAsia" w:ascii="仿宋" w:hAnsi="仿宋" w:eastAsia="仿宋"/>
          <w:b w:val="0"/>
          <w:bCs/>
          <w:sz w:val="32"/>
          <w:szCs w:val="32"/>
        </w:rPr>
        <w:t>。</w:t>
      </w:r>
    </w:p>
    <w:p w14:paraId="6E3EBADC">
      <w:pPr>
        <w:pageBreakBefore w:val="0"/>
        <w:widowControl w:val="0"/>
        <w:kinsoku/>
        <w:wordWrap/>
        <w:overflowPunct/>
        <w:topLinePunct w:val="0"/>
        <w:autoSpaceDE/>
        <w:autoSpaceDN/>
        <w:bidi w:val="0"/>
        <w:adjustRightInd/>
        <w:snapToGrid/>
        <w:spacing w:line="600" w:lineRule="exact"/>
        <w:ind w:firstLine="643" w:firstLineChars="200"/>
        <w:textAlignment w:val="auto"/>
        <w:rPr>
          <w:rFonts w:ascii="仿宋" w:hAnsi="仿宋" w:eastAsia="仿宋"/>
          <w:b/>
          <w:sz w:val="32"/>
          <w:szCs w:val="32"/>
        </w:rPr>
      </w:pPr>
      <w:r>
        <w:rPr>
          <w:rStyle w:val="19"/>
          <w:rFonts w:hint="eastAsia" w:ascii="仿宋" w:hAnsi="仿宋" w:eastAsia="仿宋"/>
          <w:bCs/>
          <w:sz w:val="32"/>
          <w:szCs w:val="32"/>
          <w:lang w:val="en-US" w:eastAsia="zh-CN"/>
        </w:rPr>
        <w:t>11</w:t>
      </w:r>
      <w:r>
        <w:rPr>
          <w:rStyle w:val="19"/>
          <w:rFonts w:ascii="仿宋" w:hAnsi="仿宋" w:eastAsia="仿宋"/>
          <w:bCs/>
          <w:sz w:val="32"/>
          <w:szCs w:val="32"/>
        </w:rPr>
        <w:t>.</w:t>
      </w:r>
      <w:r>
        <w:rPr>
          <w:rStyle w:val="19"/>
          <w:rFonts w:hint="eastAsia" w:ascii="仿宋" w:hAnsi="仿宋" w:eastAsia="仿宋"/>
          <w:bCs/>
          <w:sz w:val="32"/>
          <w:szCs w:val="32"/>
          <w:lang w:val="en-US" w:eastAsia="zh-CN"/>
        </w:rPr>
        <w:t>社会保障和就业支出</w:t>
      </w:r>
      <w:r>
        <w:rPr>
          <w:rStyle w:val="19"/>
          <w:rFonts w:hint="eastAsia" w:ascii="仿宋" w:hAnsi="仿宋" w:eastAsia="仿宋"/>
          <w:bCs/>
          <w:sz w:val="32"/>
          <w:szCs w:val="32"/>
        </w:rPr>
        <w:t>（</w:t>
      </w:r>
      <w:r>
        <w:rPr>
          <w:rStyle w:val="19"/>
          <w:rFonts w:hint="eastAsia" w:ascii="仿宋" w:hAnsi="仿宋" w:eastAsia="仿宋"/>
          <w:bCs/>
          <w:sz w:val="32"/>
          <w:szCs w:val="32"/>
          <w:lang w:val="en-US" w:eastAsia="zh-CN"/>
        </w:rPr>
        <w:t>类</w:t>
      </w:r>
      <w:r>
        <w:rPr>
          <w:rStyle w:val="19"/>
          <w:rFonts w:hint="eastAsia" w:ascii="仿宋" w:hAnsi="仿宋" w:eastAsia="仿宋"/>
          <w:bCs/>
          <w:sz w:val="32"/>
          <w:szCs w:val="32"/>
        </w:rPr>
        <w:t>）</w:t>
      </w:r>
      <w:r>
        <w:rPr>
          <w:rStyle w:val="19"/>
          <w:rFonts w:hint="eastAsia" w:ascii="仿宋" w:hAnsi="仿宋" w:eastAsia="仿宋"/>
          <w:bCs/>
          <w:sz w:val="32"/>
          <w:szCs w:val="32"/>
          <w:lang w:val="en-US" w:eastAsia="zh-CN"/>
        </w:rPr>
        <w:t>行政事业单位养老支出</w:t>
      </w:r>
      <w:r>
        <w:rPr>
          <w:rStyle w:val="19"/>
          <w:rFonts w:hint="eastAsia" w:ascii="仿宋" w:hAnsi="仿宋" w:eastAsia="仿宋"/>
          <w:bCs/>
          <w:sz w:val="32"/>
          <w:szCs w:val="32"/>
        </w:rPr>
        <w:t>（款）机关事业单位</w:t>
      </w:r>
      <w:r>
        <w:rPr>
          <w:rStyle w:val="19"/>
          <w:rFonts w:hint="eastAsia" w:ascii="仿宋" w:hAnsi="仿宋" w:eastAsia="仿宋"/>
          <w:bCs/>
          <w:sz w:val="32"/>
          <w:szCs w:val="32"/>
          <w:lang w:val="en-US" w:eastAsia="zh-CN"/>
        </w:rPr>
        <w:t>职业年金</w:t>
      </w:r>
      <w:r>
        <w:rPr>
          <w:rStyle w:val="19"/>
          <w:rFonts w:hint="eastAsia" w:ascii="仿宋" w:hAnsi="仿宋" w:eastAsia="仿宋"/>
          <w:bCs/>
          <w:sz w:val="32"/>
          <w:szCs w:val="32"/>
        </w:rPr>
        <w:t>缴费支出（项）</w:t>
      </w:r>
      <w:r>
        <w:rPr>
          <w:rStyle w:val="19"/>
          <w:rFonts w:ascii="仿宋" w:hAnsi="仿宋" w:eastAsia="仿宋"/>
          <w:bCs/>
          <w:sz w:val="32"/>
          <w:szCs w:val="32"/>
        </w:rPr>
        <w:t>:</w:t>
      </w:r>
      <w:r>
        <w:rPr>
          <w:rStyle w:val="19"/>
          <w:rFonts w:hint="eastAsia" w:ascii="仿宋" w:hAnsi="仿宋" w:eastAsia="仿宋"/>
          <w:b w:val="0"/>
          <w:bCs/>
          <w:sz w:val="32"/>
          <w:szCs w:val="32"/>
        </w:rPr>
        <w:t>支出决算为</w:t>
      </w:r>
      <w:r>
        <w:rPr>
          <w:rStyle w:val="19"/>
          <w:rFonts w:hint="eastAsia" w:ascii="仿宋" w:hAnsi="仿宋" w:eastAsia="仿宋"/>
          <w:b w:val="0"/>
          <w:bCs/>
          <w:sz w:val="32"/>
          <w:szCs w:val="32"/>
          <w:lang w:val="en-US" w:eastAsia="zh-CN"/>
        </w:rPr>
        <w:t>29.89</w:t>
      </w:r>
      <w:r>
        <w:rPr>
          <w:rStyle w:val="19"/>
          <w:rFonts w:hint="eastAsia" w:ascii="仿宋" w:hAnsi="仿宋" w:eastAsia="仿宋"/>
          <w:b w:val="0"/>
          <w:bCs/>
          <w:sz w:val="32"/>
          <w:szCs w:val="32"/>
        </w:rPr>
        <w:t>万元，完成预算</w:t>
      </w:r>
      <w:r>
        <w:rPr>
          <w:rStyle w:val="19"/>
          <w:rFonts w:hint="eastAsia" w:ascii="仿宋" w:hAnsi="仿宋" w:eastAsia="仿宋"/>
          <w:b w:val="0"/>
          <w:bCs/>
          <w:sz w:val="32"/>
          <w:szCs w:val="32"/>
          <w:lang w:val="en-US" w:eastAsia="zh-CN"/>
        </w:rPr>
        <w:t>100</w:t>
      </w:r>
      <w:r>
        <w:rPr>
          <w:rStyle w:val="19"/>
          <w:rFonts w:ascii="仿宋" w:hAnsi="仿宋" w:eastAsia="仿宋"/>
          <w:b w:val="0"/>
          <w:bCs/>
          <w:sz w:val="32"/>
          <w:szCs w:val="32"/>
        </w:rPr>
        <w:t>%</w:t>
      </w:r>
      <w:r>
        <w:rPr>
          <w:rStyle w:val="19"/>
          <w:rFonts w:hint="eastAsia" w:ascii="仿宋" w:hAnsi="仿宋" w:eastAsia="仿宋"/>
          <w:b w:val="0"/>
          <w:bCs/>
          <w:sz w:val="32"/>
          <w:szCs w:val="32"/>
        </w:rPr>
        <w:t>。</w:t>
      </w:r>
    </w:p>
    <w:p w14:paraId="349AE62C">
      <w:pPr>
        <w:pageBreakBefore w:val="0"/>
        <w:widowControl w:val="0"/>
        <w:kinsoku/>
        <w:wordWrap/>
        <w:overflowPunct/>
        <w:topLinePunct w:val="0"/>
        <w:autoSpaceDE/>
        <w:autoSpaceDN/>
        <w:bidi w:val="0"/>
        <w:adjustRightInd/>
        <w:snapToGrid/>
        <w:spacing w:line="600" w:lineRule="exact"/>
        <w:ind w:left="0" w:firstLine="643" w:firstLineChars="200"/>
        <w:textAlignment w:val="auto"/>
        <w:rPr>
          <w:rStyle w:val="19"/>
          <w:rFonts w:hint="eastAsia" w:ascii="仿宋_GB2312" w:eastAsia="仿宋_GB2312" w:cs="仿宋_GB2312"/>
          <w:b w:val="0"/>
          <w:bCs/>
          <w:color w:val="000000"/>
          <w:sz w:val="32"/>
          <w:szCs w:val="32"/>
          <w:lang w:val="en-US" w:eastAsia="zh-CN"/>
        </w:rPr>
      </w:pPr>
      <w:r>
        <w:rPr>
          <w:rStyle w:val="19"/>
          <w:rFonts w:hint="eastAsia" w:ascii="仿宋" w:hAnsi="仿宋" w:eastAsia="仿宋"/>
          <w:bCs/>
          <w:sz w:val="32"/>
          <w:szCs w:val="32"/>
          <w:lang w:val="en-US" w:eastAsia="zh-CN"/>
        </w:rPr>
        <w:t>12</w:t>
      </w:r>
      <w:r>
        <w:rPr>
          <w:rStyle w:val="19"/>
          <w:rFonts w:ascii="仿宋" w:hAnsi="仿宋" w:eastAsia="仿宋"/>
          <w:bCs/>
          <w:sz w:val="32"/>
          <w:szCs w:val="32"/>
        </w:rPr>
        <w:t>.</w:t>
      </w:r>
      <w:r>
        <w:rPr>
          <w:rStyle w:val="19"/>
          <w:rFonts w:hint="eastAsia" w:ascii="仿宋_GB2312" w:eastAsia="仿宋_GB2312" w:cs="仿宋_GB2312"/>
          <w:b/>
          <w:bCs w:val="0"/>
          <w:color w:val="000000"/>
          <w:sz w:val="32"/>
          <w:szCs w:val="32"/>
          <w:lang w:val="en-US" w:eastAsia="zh-CN"/>
        </w:rPr>
        <w:t>卫生健康支出（类）行政事业单位医疗（款）行政单位医疗（项）:</w:t>
      </w:r>
      <w:r>
        <w:rPr>
          <w:rStyle w:val="19"/>
          <w:rFonts w:hint="eastAsia" w:ascii="仿宋_GB2312" w:eastAsia="仿宋_GB2312" w:cs="仿宋_GB2312"/>
          <w:b w:val="0"/>
          <w:bCs/>
          <w:color w:val="000000"/>
          <w:sz w:val="32"/>
          <w:szCs w:val="32"/>
          <w:lang w:val="en-US" w:eastAsia="zh-CN"/>
        </w:rPr>
        <w:t>支出决算为14.71万元，完成预算100%。</w:t>
      </w:r>
    </w:p>
    <w:p w14:paraId="7EDD8CB3">
      <w:pPr>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color w:val="000000"/>
          <w:lang w:val="en-US" w:eastAsia="zh-CN"/>
        </w:rPr>
      </w:pPr>
      <w:r>
        <w:rPr>
          <w:rStyle w:val="19"/>
          <w:rFonts w:hint="eastAsia" w:ascii="仿宋_GB2312" w:eastAsia="仿宋_GB2312" w:cs="仿宋_GB2312"/>
          <w:b/>
          <w:bCs w:val="0"/>
          <w:color w:val="000000"/>
          <w:sz w:val="32"/>
          <w:szCs w:val="32"/>
          <w:lang w:val="en-US" w:eastAsia="zh-CN"/>
        </w:rPr>
        <w:t>13.</w:t>
      </w:r>
      <w:r>
        <w:rPr>
          <w:rStyle w:val="19"/>
          <w:rFonts w:hint="eastAsia" w:ascii="仿宋_GB2312" w:eastAsia="仿宋_GB2312" w:cs="仿宋_GB2312"/>
          <w:bCs/>
          <w:color w:val="000000"/>
          <w:sz w:val="32"/>
          <w:szCs w:val="32"/>
          <w:lang w:eastAsia="zh-CN"/>
        </w:rPr>
        <w:t>卫生健康支出</w:t>
      </w:r>
      <w:r>
        <w:rPr>
          <w:rStyle w:val="19"/>
          <w:rFonts w:hint="eastAsia" w:ascii="仿宋_GB2312" w:eastAsia="仿宋_GB2312" w:cs="仿宋_GB2312"/>
          <w:bCs/>
          <w:color w:val="000000"/>
          <w:sz w:val="32"/>
          <w:szCs w:val="32"/>
        </w:rPr>
        <w:t>（类）</w:t>
      </w:r>
      <w:r>
        <w:rPr>
          <w:rStyle w:val="19"/>
          <w:rFonts w:hint="eastAsia" w:ascii="仿宋_GB2312" w:eastAsia="仿宋_GB2312" w:cs="仿宋_GB2312"/>
          <w:bCs/>
          <w:color w:val="000000"/>
          <w:sz w:val="32"/>
          <w:szCs w:val="32"/>
          <w:lang w:val="en-US" w:eastAsia="zh-CN"/>
        </w:rPr>
        <w:t>行政事业单位医疗</w:t>
      </w:r>
      <w:r>
        <w:rPr>
          <w:rStyle w:val="19"/>
          <w:rFonts w:hint="eastAsia" w:ascii="仿宋_GB2312" w:eastAsia="仿宋_GB2312" w:cs="仿宋_GB2312"/>
          <w:bCs/>
          <w:color w:val="000000"/>
          <w:sz w:val="32"/>
          <w:szCs w:val="32"/>
        </w:rPr>
        <w:t>（款）</w:t>
      </w:r>
      <w:r>
        <w:rPr>
          <w:rStyle w:val="19"/>
          <w:rFonts w:hint="eastAsia" w:ascii="仿宋_GB2312" w:eastAsia="仿宋_GB2312" w:cs="仿宋_GB2312"/>
          <w:bCs/>
          <w:color w:val="000000"/>
          <w:sz w:val="32"/>
          <w:szCs w:val="32"/>
          <w:lang w:val="en-US" w:eastAsia="zh-CN"/>
        </w:rPr>
        <w:t>事业单位医疗</w:t>
      </w:r>
      <w:r>
        <w:rPr>
          <w:rStyle w:val="19"/>
          <w:rFonts w:hint="eastAsia" w:ascii="仿宋_GB2312" w:eastAsia="仿宋_GB2312" w:cs="仿宋_GB2312"/>
          <w:bCs/>
          <w:color w:val="000000"/>
          <w:sz w:val="32"/>
          <w:szCs w:val="32"/>
        </w:rPr>
        <w:t>（项）:</w:t>
      </w:r>
      <w:r>
        <w:rPr>
          <w:rStyle w:val="19"/>
          <w:rFonts w:hint="eastAsia" w:ascii="仿宋_GB2312" w:eastAsia="仿宋_GB2312" w:cs="仿宋_GB2312"/>
          <w:b w:val="0"/>
          <w:bCs/>
          <w:color w:val="000000"/>
          <w:sz w:val="32"/>
          <w:szCs w:val="32"/>
        </w:rPr>
        <w:t>支出决算为</w:t>
      </w:r>
      <w:r>
        <w:rPr>
          <w:rStyle w:val="19"/>
          <w:rFonts w:hint="eastAsia" w:ascii="仿宋_GB2312" w:eastAsia="仿宋_GB2312" w:cs="仿宋_GB2312"/>
          <w:b w:val="0"/>
          <w:bCs/>
          <w:color w:val="000000"/>
          <w:sz w:val="32"/>
          <w:szCs w:val="32"/>
          <w:lang w:val="en-US" w:eastAsia="zh-CN"/>
        </w:rPr>
        <w:t>14.04</w:t>
      </w:r>
      <w:r>
        <w:rPr>
          <w:rStyle w:val="19"/>
          <w:rFonts w:hint="eastAsia" w:ascii="仿宋_GB2312" w:eastAsia="仿宋_GB2312" w:cs="仿宋_GB2312"/>
          <w:b w:val="0"/>
          <w:bCs/>
          <w:color w:val="000000"/>
          <w:sz w:val="32"/>
          <w:szCs w:val="32"/>
        </w:rPr>
        <w:t>万元，完成预算</w:t>
      </w:r>
      <w:r>
        <w:rPr>
          <w:rStyle w:val="19"/>
          <w:rFonts w:hint="eastAsia" w:ascii="仿宋_GB2312" w:eastAsia="仿宋_GB2312" w:cs="仿宋_GB2312"/>
          <w:b w:val="0"/>
          <w:bCs/>
          <w:color w:val="000000"/>
          <w:sz w:val="32"/>
          <w:szCs w:val="32"/>
          <w:lang w:val="en-US" w:eastAsia="zh-CN"/>
        </w:rPr>
        <w:t>100</w:t>
      </w:r>
      <w:r>
        <w:rPr>
          <w:rStyle w:val="19"/>
          <w:rFonts w:hint="eastAsia" w:ascii="仿宋_GB2312" w:eastAsia="仿宋_GB2312" w:cs="仿宋_GB2312"/>
          <w:b w:val="0"/>
          <w:bCs/>
          <w:color w:val="000000"/>
          <w:sz w:val="32"/>
          <w:szCs w:val="32"/>
        </w:rPr>
        <w:t>%。</w:t>
      </w:r>
    </w:p>
    <w:p w14:paraId="00F69C84">
      <w:pPr>
        <w:pageBreakBefore w:val="0"/>
        <w:widowControl w:val="0"/>
        <w:kinsoku/>
        <w:wordWrap/>
        <w:overflowPunct/>
        <w:topLinePunct w:val="0"/>
        <w:autoSpaceDE/>
        <w:autoSpaceDN/>
        <w:bidi w:val="0"/>
        <w:adjustRightInd/>
        <w:snapToGrid/>
        <w:spacing w:line="600" w:lineRule="exact"/>
        <w:ind w:left="0" w:firstLine="643" w:firstLineChars="200"/>
        <w:textAlignment w:val="auto"/>
        <w:rPr>
          <w:rStyle w:val="19"/>
          <w:rFonts w:hint="eastAsia" w:ascii="仿宋_GB2312" w:eastAsia="仿宋_GB2312" w:cs="仿宋_GB2312"/>
          <w:b w:val="0"/>
          <w:bCs/>
          <w:color w:val="000000"/>
          <w:sz w:val="32"/>
          <w:szCs w:val="32"/>
          <w:lang w:val="en-US" w:eastAsia="zh-CN"/>
        </w:rPr>
      </w:pPr>
      <w:r>
        <w:rPr>
          <w:rStyle w:val="19"/>
          <w:rFonts w:hint="eastAsia" w:ascii="仿宋_GB2312" w:eastAsia="仿宋_GB2312" w:cs="仿宋_GB2312"/>
          <w:b/>
          <w:bCs w:val="0"/>
          <w:color w:val="000000"/>
          <w:sz w:val="32"/>
          <w:szCs w:val="32"/>
          <w:lang w:val="en-US" w:eastAsia="zh-CN"/>
        </w:rPr>
        <w:t>14.卫生健康支出（类）行政事业单位医疗（款）公务员医疗补助（项）:</w:t>
      </w:r>
      <w:r>
        <w:rPr>
          <w:rStyle w:val="19"/>
          <w:rFonts w:hint="eastAsia" w:ascii="仿宋_GB2312" w:eastAsia="仿宋_GB2312" w:cs="仿宋_GB2312"/>
          <w:b w:val="0"/>
          <w:bCs/>
          <w:color w:val="000000"/>
          <w:sz w:val="32"/>
          <w:szCs w:val="32"/>
          <w:lang w:val="en-US" w:eastAsia="zh-CN"/>
        </w:rPr>
        <w:t>支出决算为4.88万元，完成预算100%。</w:t>
      </w:r>
    </w:p>
    <w:p w14:paraId="0D27AAA7">
      <w:pPr>
        <w:pageBreakBefore w:val="0"/>
        <w:widowControl w:val="0"/>
        <w:kinsoku/>
        <w:wordWrap/>
        <w:overflowPunct/>
        <w:topLinePunct w:val="0"/>
        <w:autoSpaceDE/>
        <w:autoSpaceDN/>
        <w:bidi w:val="0"/>
        <w:adjustRightInd/>
        <w:snapToGrid/>
        <w:spacing w:line="600" w:lineRule="exact"/>
        <w:ind w:firstLine="643" w:firstLineChars="200"/>
        <w:textAlignment w:val="auto"/>
        <w:rPr>
          <w:rStyle w:val="19"/>
          <w:rFonts w:hint="eastAsia" w:ascii="仿宋_GB2312" w:eastAsia="仿宋_GB2312" w:cs="仿宋_GB2312"/>
          <w:b w:val="0"/>
          <w:bCs/>
          <w:color w:val="000000"/>
          <w:sz w:val="32"/>
          <w:szCs w:val="32"/>
        </w:rPr>
      </w:pPr>
      <w:r>
        <w:rPr>
          <w:rStyle w:val="19"/>
          <w:rFonts w:hint="eastAsia" w:ascii="仿宋_GB2312" w:eastAsia="仿宋_GB2312" w:cs="仿宋_GB2312"/>
          <w:b/>
          <w:bCs w:val="0"/>
          <w:color w:val="000000"/>
          <w:sz w:val="32"/>
          <w:szCs w:val="32"/>
          <w:lang w:val="en-US" w:eastAsia="zh-CN"/>
        </w:rPr>
        <w:t>15.</w:t>
      </w:r>
      <w:r>
        <w:rPr>
          <w:rStyle w:val="19"/>
          <w:rFonts w:hint="eastAsia" w:ascii="仿宋_GB2312" w:eastAsia="仿宋_GB2312" w:cs="仿宋_GB2312"/>
          <w:bCs/>
          <w:color w:val="000000"/>
          <w:sz w:val="32"/>
          <w:szCs w:val="32"/>
          <w:lang w:eastAsia="zh-CN"/>
        </w:rPr>
        <w:t>卫生健康支出</w:t>
      </w:r>
      <w:r>
        <w:rPr>
          <w:rStyle w:val="19"/>
          <w:rFonts w:hint="eastAsia" w:ascii="仿宋_GB2312" w:eastAsia="仿宋_GB2312" w:cs="仿宋_GB2312"/>
          <w:bCs/>
          <w:color w:val="000000"/>
          <w:sz w:val="32"/>
          <w:szCs w:val="32"/>
        </w:rPr>
        <w:t>（类）</w:t>
      </w:r>
      <w:r>
        <w:rPr>
          <w:rStyle w:val="19"/>
          <w:rFonts w:hint="eastAsia" w:ascii="仿宋_GB2312" w:eastAsia="仿宋_GB2312" w:cs="仿宋_GB2312"/>
          <w:bCs/>
          <w:color w:val="000000"/>
          <w:sz w:val="32"/>
          <w:szCs w:val="32"/>
          <w:lang w:val="en-US" w:eastAsia="zh-CN"/>
        </w:rPr>
        <w:t>行政事业单位医疗</w:t>
      </w:r>
      <w:r>
        <w:rPr>
          <w:rStyle w:val="19"/>
          <w:rFonts w:hint="eastAsia" w:ascii="仿宋_GB2312" w:eastAsia="仿宋_GB2312" w:cs="仿宋_GB2312"/>
          <w:bCs/>
          <w:color w:val="000000"/>
          <w:sz w:val="32"/>
          <w:szCs w:val="32"/>
        </w:rPr>
        <w:t>（款）</w:t>
      </w:r>
      <w:r>
        <w:rPr>
          <w:rStyle w:val="19"/>
          <w:rFonts w:hint="eastAsia" w:ascii="仿宋_GB2312" w:eastAsia="仿宋_GB2312" w:cs="仿宋_GB2312"/>
          <w:bCs/>
          <w:color w:val="000000"/>
          <w:sz w:val="32"/>
          <w:szCs w:val="32"/>
          <w:lang w:val="en-US" w:eastAsia="zh-CN"/>
        </w:rPr>
        <w:t>其他行政事业单位医疗支出</w:t>
      </w:r>
      <w:r>
        <w:rPr>
          <w:rStyle w:val="19"/>
          <w:rFonts w:hint="eastAsia" w:ascii="仿宋_GB2312" w:eastAsia="仿宋_GB2312" w:cs="仿宋_GB2312"/>
          <w:bCs/>
          <w:color w:val="000000"/>
          <w:sz w:val="32"/>
          <w:szCs w:val="32"/>
        </w:rPr>
        <w:t>（项）:</w:t>
      </w:r>
      <w:r>
        <w:rPr>
          <w:rStyle w:val="19"/>
          <w:rFonts w:hint="eastAsia" w:ascii="仿宋_GB2312" w:eastAsia="仿宋_GB2312" w:cs="仿宋_GB2312"/>
          <w:b w:val="0"/>
          <w:bCs/>
          <w:color w:val="000000"/>
          <w:sz w:val="32"/>
          <w:szCs w:val="32"/>
        </w:rPr>
        <w:t>支出决算为</w:t>
      </w:r>
      <w:r>
        <w:rPr>
          <w:rStyle w:val="19"/>
          <w:rFonts w:hint="eastAsia" w:ascii="仿宋_GB2312" w:eastAsia="仿宋_GB2312" w:cs="仿宋_GB2312"/>
          <w:b w:val="0"/>
          <w:bCs/>
          <w:color w:val="000000"/>
          <w:sz w:val="32"/>
          <w:szCs w:val="32"/>
          <w:lang w:val="en-US" w:eastAsia="zh-CN"/>
        </w:rPr>
        <w:t>3.32</w:t>
      </w:r>
      <w:r>
        <w:rPr>
          <w:rStyle w:val="19"/>
          <w:rFonts w:hint="eastAsia" w:ascii="仿宋_GB2312" w:eastAsia="仿宋_GB2312" w:cs="仿宋_GB2312"/>
          <w:b w:val="0"/>
          <w:bCs/>
          <w:color w:val="000000"/>
          <w:sz w:val="32"/>
          <w:szCs w:val="32"/>
        </w:rPr>
        <w:t>万元，完成预算</w:t>
      </w:r>
      <w:r>
        <w:rPr>
          <w:rStyle w:val="19"/>
          <w:rFonts w:hint="eastAsia" w:ascii="仿宋_GB2312" w:eastAsia="仿宋_GB2312" w:cs="仿宋_GB2312"/>
          <w:b w:val="0"/>
          <w:bCs/>
          <w:color w:val="000000"/>
          <w:sz w:val="32"/>
          <w:szCs w:val="32"/>
          <w:lang w:val="en-US" w:eastAsia="zh-CN"/>
        </w:rPr>
        <w:t>100</w:t>
      </w:r>
      <w:r>
        <w:rPr>
          <w:rStyle w:val="19"/>
          <w:rFonts w:hint="eastAsia" w:ascii="仿宋_GB2312" w:eastAsia="仿宋_GB2312" w:cs="仿宋_GB2312"/>
          <w:b w:val="0"/>
          <w:bCs/>
          <w:color w:val="000000"/>
          <w:sz w:val="32"/>
          <w:szCs w:val="32"/>
        </w:rPr>
        <w:t>%。</w:t>
      </w:r>
    </w:p>
    <w:p w14:paraId="20622FEA">
      <w:pPr>
        <w:pageBreakBefore w:val="0"/>
        <w:widowControl w:val="0"/>
        <w:kinsoku/>
        <w:wordWrap/>
        <w:overflowPunct/>
        <w:topLinePunct w:val="0"/>
        <w:autoSpaceDE/>
        <w:autoSpaceDN/>
        <w:bidi w:val="0"/>
        <w:adjustRightInd/>
        <w:snapToGrid/>
        <w:spacing w:line="600" w:lineRule="exact"/>
        <w:ind w:firstLine="643" w:firstLineChars="200"/>
        <w:textAlignment w:val="auto"/>
        <w:rPr>
          <w:rStyle w:val="19"/>
          <w:rFonts w:hint="eastAsia" w:ascii="仿宋_GB2312" w:eastAsia="仿宋_GB2312" w:cs="仿宋_GB2312"/>
          <w:b w:val="0"/>
          <w:bCs/>
          <w:color w:val="000000"/>
          <w:sz w:val="32"/>
          <w:szCs w:val="32"/>
        </w:rPr>
      </w:pPr>
      <w:r>
        <w:rPr>
          <w:rFonts w:hint="eastAsia" w:ascii="仿宋" w:hAnsi="仿宋" w:eastAsia="仿宋"/>
          <w:b/>
          <w:sz w:val="32"/>
          <w:szCs w:val="32"/>
          <w:lang w:val="en-US" w:eastAsia="zh-CN"/>
        </w:rPr>
        <w:t>16.</w:t>
      </w:r>
      <w:r>
        <w:rPr>
          <w:rStyle w:val="19"/>
          <w:rFonts w:hint="eastAsia" w:ascii="仿宋_GB2312" w:eastAsia="仿宋_GB2312" w:cs="仿宋_GB2312"/>
          <w:b/>
          <w:bCs/>
          <w:color w:val="000000"/>
          <w:sz w:val="32"/>
          <w:szCs w:val="32"/>
          <w:lang w:val="en-US" w:eastAsia="zh-CN"/>
        </w:rPr>
        <w:t>城乡社区支出</w:t>
      </w:r>
      <w:r>
        <w:rPr>
          <w:rStyle w:val="19"/>
          <w:rFonts w:hint="eastAsia" w:ascii="仿宋_GB2312" w:eastAsia="仿宋_GB2312" w:cs="仿宋_GB2312"/>
          <w:b/>
          <w:bCs/>
          <w:color w:val="000000"/>
          <w:sz w:val="32"/>
          <w:szCs w:val="32"/>
        </w:rPr>
        <w:t>（类）</w:t>
      </w:r>
      <w:r>
        <w:rPr>
          <w:rStyle w:val="19"/>
          <w:rFonts w:hint="eastAsia" w:ascii="仿宋_GB2312" w:eastAsia="仿宋_GB2312" w:cs="仿宋_GB2312"/>
          <w:b/>
          <w:bCs/>
          <w:color w:val="000000"/>
          <w:sz w:val="32"/>
          <w:szCs w:val="32"/>
          <w:lang w:eastAsia="zh-CN"/>
        </w:rPr>
        <w:t>国有土地使用权出让收入安排的支出</w:t>
      </w:r>
      <w:r>
        <w:rPr>
          <w:rStyle w:val="19"/>
          <w:rFonts w:hint="eastAsia" w:ascii="仿宋_GB2312" w:eastAsia="仿宋_GB2312" w:cs="仿宋_GB2312"/>
          <w:b/>
          <w:bCs/>
          <w:color w:val="000000"/>
          <w:sz w:val="32"/>
          <w:szCs w:val="32"/>
        </w:rPr>
        <w:t>（款）</w:t>
      </w:r>
      <w:r>
        <w:rPr>
          <w:rStyle w:val="19"/>
          <w:rFonts w:hint="eastAsia" w:ascii="仿宋_GB2312" w:eastAsia="仿宋_GB2312" w:cs="仿宋_GB2312"/>
          <w:b/>
          <w:bCs/>
          <w:color w:val="000000"/>
          <w:sz w:val="32"/>
          <w:szCs w:val="32"/>
          <w:lang w:eastAsia="zh-CN"/>
        </w:rPr>
        <w:t>征地和拆迁补偿支出</w:t>
      </w:r>
      <w:r>
        <w:rPr>
          <w:rStyle w:val="19"/>
          <w:rFonts w:hint="eastAsia" w:ascii="仿宋_GB2312" w:eastAsia="仿宋_GB2312" w:cs="仿宋_GB2312"/>
          <w:b/>
          <w:bCs/>
          <w:color w:val="000000"/>
          <w:sz w:val="32"/>
          <w:szCs w:val="32"/>
        </w:rPr>
        <w:t>（项）:</w:t>
      </w:r>
      <w:r>
        <w:rPr>
          <w:rStyle w:val="19"/>
          <w:rFonts w:hint="eastAsia" w:ascii="仿宋_GB2312" w:eastAsia="仿宋_GB2312" w:cs="仿宋_GB2312"/>
          <w:b w:val="0"/>
          <w:bCs/>
          <w:color w:val="000000"/>
          <w:sz w:val="32"/>
          <w:szCs w:val="32"/>
        </w:rPr>
        <w:t>支出决算为</w:t>
      </w:r>
      <w:r>
        <w:rPr>
          <w:rStyle w:val="19"/>
          <w:rFonts w:hint="eastAsia" w:ascii="仿宋_GB2312" w:eastAsia="仿宋_GB2312" w:cs="仿宋_GB2312"/>
          <w:b w:val="0"/>
          <w:bCs/>
          <w:color w:val="000000"/>
          <w:sz w:val="32"/>
          <w:szCs w:val="32"/>
          <w:lang w:val="en-US" w:eastAsia="zh-CN"/>
        </w:rPr>
        <w:t>98.44</w:t>
      </w:r>
      <w:r>
        <w:rPr>
          <w:rStyle w:val="19"/>
          <w:rFonts w:hint="eastAsia" w:ascii="仿宋_GB2312" w:eastAsia="仿宋_GB2312" w:cs="仿宋_GB2312"/>
          <w:b w:val="0"/>
          <w:bCs/>
          <w:color w:val="000000"/>
          <w:sz w:val="32"/>
          <w:szCs w:val="32"/>
        </w:rPr>
        <w:t>万元，完成预算</w:t>
      </w:r>
      <w:r>
        <w:rPr>
          <w:rStyle w:val="19"/>
          <w:rFonts w:hint="eastAsia" w:ascii="仿宋_GB2312" w:eastAsia="仿宋_GB2312" w:cs="仿宋_GB2312"/>
          <w:b w:val="0"/>
          <w:bCs/>
          <w:color w:val="000000"/>
          <w:sz w:val="32"/>
          <w:szCs w:val="32"/>
          <w:lang w:val="en-US" w:eastAsia="zh-CN"/>
        </w:rPr>
        <w:t>100</w:t>
      </w:r>
      <w:r>
        <w:rPr>
          <w:rStyle w:val="19"/>
          <w:rFonts w:hint="eastAsia" w:ascii="仿宋_GB2312" w:eastAsia="仿宋_GB2312" w:cs="仿宋_GB2312"/>
          <w:b w:val="0"/>
          <w:bCs/>
          <w:color w:val="000000"/>
          <w:sz w:val="32"/>
          <w:szCs w:val="32"/>
        </w:rPr>
        <w:t>%。</w:t>
      </w:r>
    </w:p>
    <w:p w14:paraId="09FED5CC">
      <w:pPr>
        <w:pageBreakBefore w:val="0"/>
        <w:widowControl w:val="0"/>
        <w:kinsoku/>
        <w:wordWrap/>
        <w:overflowPunct/>
        <w:topLinePunct w:val="0"/>
        <w:autoSpaceDE/>
        <w:autoSpaceDN/>
        <w:bidi w:val="0"/>
        <w:adjustRightInd/>
        <w:snapToGrid/>
        <w:ind w:firstLine="643" w:firstLineChars="200"/>
        <w:textAlignment w:val="auto"/>
      </w:pPr>
      <w:r>
        <w:rPr>
          <w:rFonts w:hint="eastAsia" w:ascii="仿宋" w:hAnsi="仿宋" w:eastAsia="仿宋"/>
          <w:b/>
          <w:sz w:val="32"/>
          <w:szCs w:val="32"/>
          <w:lang w:val="en-US" w:eastAsia="zh-CN"/>
        </w:rPr>
        <w:t>17.</w:t>
      </w:r>
      <w:r>
        <w:rPr>
          <w:rStyle w:val="19"/>
          <w:rFonts w:hint="eastAsia" w:ascii="仿宋_GB2312" w:eastAsia="仿宋_GB2312" w:cs="仿宋_GB2312"/>
          <w:b/>
          <w:bCs/>
          <w:color w:val="000000"/>
          <w:sz w:val="32"/>
          <w:szCs w:val="32"/>
          <w:lang w:val="en-US" w:eastAsia="zh-CN"/>
        </w:rPr>
        <w:t>城乡社区支出</w:t>
      </w:r>
      <w:r>
        <w:rPr>
          <w:rStyle w:val="19"/>
          <w:rFonts w:hint="eastAsia" w:ascii="仿宋_GB2312" w:eastAsia="仿宋_GB2312" w:cs="仿宋_GB2312"/>
          <w:bCs/>
          <w:color w:val="000000"/>
          <w:sz w:val="32"/>
          <w:szCs w:val="32"/>
        </w:rPr>
        <w:t>（类）</w:t>
      </w:r>
      <w:r>
        <w:rPr>
          <w:rStyle w:val="19"/>
          <w:rFonts w:hint="eastAsia" w:ascii="仿宋_GB2312" w:eastAsia="仿宋_GB2312" w:cs="仿宋_GB2312"/>
          <w:bCs/>
          <w:color w:val="000000"/>
          <w:sz w:val="32"/>
          <w:szCs w:val="32"/>
          <w:lang w:eastAsia="zh-CN"/>
        </w:rPr>
        <w:t>国有土地收益基金安排的支出</w:t>
      </w:r>
      <w:r>
        <w:rPr>
          <w:rStyle w:val="19"/>
          <w:rFonts w:hint="eastAsia" w:ascii="仿宋_GB2312" w:eastAsia="仿宋_GB2312" w:cs="仿宋_GB2312"/>
          <w:bCs/>
          <w:color w:val="000000"/>
          <w:sz w:val="32"/>
          <w:szCs w:val="32"/>
        </w:rPr>
        <w:t>（款）</w:t>
      </w:r>
      <w:r>
        <w:rPr>
          <w:rStyle w:val="19"/>
          <w:rFonts w:hint="eastAsia" w:ascii="仿宋_GB2312" w:eastAsia="仿宋_GB2312" w:cs="仿宋_GB2312"/>
          <w:b/>
          <w:bCs/>
          <w:color w:val="000000"/>
          <w:sz w:val="32"/>
          <w:szCs w:val="32"/>
          <w:lang w:eastAsia="zh-CN"/>
        </w:rPr>
        <w:t>征地和拆迁补偿支出</w:t>
      </w:r>
      <w:r>
        <w:rPr>
          <w:rStyle w:val="19"/>
          <w:rFonts w:hint="eastAsia" w:ascii="仿宋_GB2312" w:eastAsia="仿宋_GB2312" w:cs="仿宋_GB2312"/>
          <w:bCs/>
          <w:color w:val="000000"/>
          <w:sz w:val="32"/>
          <w:szCs w:val="32"/>
        </w:rPr>
        <w:t>（项）:</w:t>
      </w:r>
      <w:r>
        <w:rPr>
          <w:rStyle w:val="19"/>
          <w:rFonts w:hint="eastAsia" w:ascii="仿宋_GB2312" w:eastAsia="仿宋_GB2312" w:cs="仿宋_GB2312"/>
          <w:b w:val="0"/>
          <w:bCs/>
          <w:color w:val="000000"/>
          <w:sz w:val="32"/>
          <w:szCs w:val="32"/>
        </w:rPr>
        <w:t>支出决算为</w:t>
      </w:r>
      <w:r>
        <w:rPr>
          <w:rStyle w:val="19"/>
          <w:rFonts w:hint="eastAsia" w:ascii="仿宋_GB2312" w:eastAsia="仿宋_GB2312" w:cs="仿宋_GB2312"/>
          <w:b w:val="0"/>
          <w:bCs/>
          <w:color w:val="000000"/>
          <w:sz w:val="32"/>
          <w:szCs w:val="32"/>
          <w:lang w:val="en-US" w:eastAsia="zh-CN"/>
        </w:rPr>
        <w:t>11.41</w:t>
      </w:r>
      <w:r>
        <w:rPr>
          <w:rStyle w:val="19"/>
          <w:rFonts w:hint="eastAsia" w:ascii="仿宋_GB2312" w:eastAsia="仿宋_GB2312" w:cs="仿宋_GB2312"/>
          <w:b w:val="0"/>
          <w:bCs/>
          <w:color w:val="000000"/>
          <w:sz w:val="32"/>
          <w:szCs w:val="32"/>
        </w:rPr>
        <w:t>万元，完成预算</w:t>
      </w:r>
      <w:r>
        <w:rPr>
          <w:rStyle w:val="19"/>
          <w:rFonts w:hint="eastAsia" w:ascii="仿宋_GB2312" w:eastAsia="仿宋_GB2312" w:cs="仿宋_GB2312"/>
          <w:b w:val="0"/>
          <w:bCs/>
          <w:color w:val="000000"/>
          <w:sz w:val="32"/>
          <w:szCs w:val="32"/>
          <w:lang w:val="en-US" w:eastAsia="zh-CN"/>
        </w:rPr>
        <w:t>100</w:t>
      </w:r>
      <w:r>
        <w:rPr>
          <w:rStyle w:val="19"/>
          <w:rFonts w:hint="eastAsia" w:ascii="仿宋_GB2312" w:eastAsia="仿宋_GB2312" w:cs="仿宋_GB2312"/>
          <w:b w:val="0"/>
          <w:bCs/>
          <w:color w:val="000000"/>
          <w:sz w:val="32"/>
          <w:szCs w:val="32"/>
        </w:rPr>
        <w:t>%。</w:t>
      </w:r>
    </w:p>
    <w:p w14:paraId="17C0A414">
      <w:pPr>
        <w:pageBreakBefore w:val="0"/>
        <w:widowControl w:val="0"/>
        <w:kinsoku/>
        <w:wordWrap/>
        <w:overflowPunct/>
        <w:topLinePunct w:val="0"/>
        <w:autoSpaceDE/>
        <w:autoSpaceDN/>
        <w:bidi w:val="0"/>
        <w:adjustRightInd/>
        <w:snapToGrid/>
        <w:ind w:firstLine="643" w:firstLineChars="200"/>
        <w:textAlignment w:val="auto"/>
      </w:pPr>
      <w:r>
        <w:rPr>
          <w:rFonts w:hint="eastAsia" w:ascii="仿宋" w:hAnsi="仿宋" w:eastAsia="仿宋"/>
          <w:b/>
          <w:sz w:val="32"/>
          <w:szCs w:val="32"/>
          <w:lang w:val="en-US" w:eastAsia="zh-CN"/>
        </w:rPr>
        <w:t>18.</w:t>
      </w:r>
      <w:r>
        <w:rPr>
          <w:rStyle w:val="19"/>
          <w:rFonts w:hint="eastAsia" w:ascii="仿宋_GB2312" w:eastAsia="仿宋_GB2312" w:cs="仿宋_GB2312"/>
          <w:b/>
          <w:bCs/>
          <w:color w:val="000000"/>
          <w:sz w:val="32"/>
          <w:szCs w:val="32"/>
          <w:lang w:val="en-US" w:eastAsia="zh-CN"/>
        </w:rPr>
        <w:t>城乡社区支出</w:t>
      </w:r>
      <w:r>
        <w:rPr>
          <w:rStyle w:val="19"/>
          <w:rFonts w:hint="eastAsia" w:ascii="仿宋_GB2312" w:eastAsia="仿宋_GB2312" w:cs="仿宋_GB2312"/>
          <w:bCs/>
          <w:color w:val="000000"/>
          <w:sz w:val="32"/>
          <w:szCs w:val="32"/>
        </w:rPr>
        <w:t>（类）</w:t>
      </w:r>
      <w:r>
        <w:rPr>
          <w:rStyle w:val="19"/>
          <w:rFonts w:hint="eastAsia" w:ascii="仿宋_GB2312" w:eastAsia="仿宋_GB2312" w:cs="仿宋_GB2312"/>
          <w:bCs/>
          <w:color w:val="000000"/>
          <w:sz w:val="32"/>
          <w:szCs w:val="32"/>
          <w:lang w:eastAsia="zh-CN"/>
        </w:rPr>
        <w:t>农业土地开发资金安排的支出</w:t>
      </w:r>
      <w:r>
        <w:rPr>
          <w:rStyle w:val="19"/>
          <w:rFonts w:hint="eastAsia" w:ascii="仿宋_GB2312" w:eastAsia="仿宋_GB2312" w:cs="仿宋_GB2312"/>
          <w:bCs/>
          <w:color w:val="000000"/>
          <w:sz w:val="32"/>
          <w:szCs w:val="32"/>
        </w:rPr>
        <w:t>（款）:</w:t>
      </w:r>
      <w:r>
        <w:rPr>
          <w:rStyle w:val="19"/>
          <w:rFonts w:hint="eastAsia" w:ascii="仿宋_GB2312" w:eastAsia="仿宋_GB2312" w:cs="仿宋_GB2312"/>
          <w:b w:val="0"/>
          <w:bCs/>
          <w:color w:val="000000"/>
          <w:sz w:val="32"/>
          <w:szCs w:val="32"/>
        </w:rPr>
        <w:t>支出决算为</w:t>
      </w:r>
      <w:r>
        <w:rPr>
          <w:rStyle w:val="19"/>
          <w:rFonts w:hint="eastAsia" w:ascii="仿宋_GB2312" w:eastAsia="仿宋_GB2312" w:cs="仿宋_GB2312"/>
          <w:b w:val="0"/>
          <w:bCs/>
          <w:color w:val="000000"/>
          <w:sz w:val="32"/>
          <w:szCs w:val="32"/>
          <w:lang w:val="en-US" w:eastAsia="zh-CN"/>
        </w:rPr>
        <w:t>23.96</w:t>
      </w:r>
      <w:r>
        <w:rPr>
          <w:rStyle w:val="19"/>
          <w:rFonts w:hint="eastAsia" w:ascii="仿宋_GB2312" w:eastAsia="仿宋_GB2312" w:cs="仿宋_GB2312"/>
          <w:b w:val="0"/>
          <w:bCs/>
          <w:color w:val="000000"/>
          <w:sz w:val="32"/>
          <w:szCs w:val="32"/>
        </w:rPr>
        <w:t>万元，完成预算</w:t>
      </w:r>
      <w:r>
        <w:rPr>
          <w:rStyle w:val="19"/>
          <w:rFonts w:hint="eastAsia" w:ascii="仿宋_GB2312" w:eastAsia="仿宋_GB2312" w:cs="仿宋_GB2312"/>
          <w:b w:val="0"/>
          <w:bCs/>
          <w:color w:val="000000"/>
          <w:sz w:val="32"/>
          <w:szCs w:val="32"/>
          <w:lang w:val="en-US" w:eastAsia="zh-CN"/>
        </w:rPr>
        <w:t>100</w:t>
      </w:r>
      <w:r>
        <w:rPr>
          <w:rStyle w:val="19"/>
          <w:rFonts w:hint="eastAsia" w:ascii="仿宋_GB2312" w:eastAsia="仿宋_GB2312" w:cs="仿宋_GB2312"/>
          <w:b w:val="0"/>
          <w:bCs/>
          <w:color w:val="000000"/>
          <w:sz w:val="32"/>
          <w:szCs w:val="32"/>
        </w:rPr>
        <w:t>%。</w:t>
      </w:r>
    </w:p>
    <w:p w14:paraId="7744FC10">
      <w:pPr>
        <w:pageBreakBefore w:val="0"/>
        <w:widowControl w:val="0"/>
        <w:kinsoku/>
        <w:wordWrap/>
        <w:overflowPunct/>
        <w:topLinePunct w:val="0"/>
        <w:autoSpaceDE/>
        <w:autoSpaceDN/>
        <w:bidi w:val="0"/>
        <w:adjustRightInd/>
        <w:snapToGrid/>
        <w:spacing w:line="600" w:lineRule="exact"/>
        <w:ind w:firstLine="643" w:firstLineChars="200"/>
        <w:textAlignment w:val="auto"/>
        <w:rPr>
          <w:rFonts w:ascii="仿宋" w:hAnsi="仿宋" w:eastAsia="仿宋"/>
          <w:b/>
          <w:sz w:val="32"/>
          <w:szCs w:val="32"/>
        </w:rPr>
      </w:pPr>
      <w:r>
        <w:rPr>
          <w:rFonts w:hint="eastAsia" w:ascii="仿宋" w:hAnsi="仿宋" w:eastAsia="仿宋"/>
          <w:b/>
          <w:sz w:val="32"/>
          <w:szCs w:val="32"/>
          <w:lang w:val="en-US" w:eastAsia="zh-CN"/>
        </w:rPr>
        <w:t>19.</w:t>
      </w:r>
      <w:r>
        <w:rPr>
          <w:rStyle w:val="19"/>
          <w:rFonts w:hint="eastAsia" w:ascii="仿宋_GB2312" w:eastAsia="仿宋_GB2312" w:cs="仿宋_GB2312"/>
          <w:bCs/>
          <w:color w:val="000000"/>
          <w:sz w:val="32"/>
          <w:szCs w:val="32"/>
          <w:lang w:val="en-US" w:eastAsia="zh-CN"/>
        </w:rPr>
        <w:t>农林水支出</w:t>
      </w:r>
      <w:r>
        <w:rPr>
          <w:rStyle w:val="19"/>
          <w:rFonts w:hint="eastAsia" w:ascii="仿宋_GB2312" w:eastAsia="仿宋_GB2312" w:cs="仿宋_GB2312"/>
          <w:bCs/>
          <w:color w:val="000000"/>
          <w:sz w:val="32"/>
          <w:szCs w:val="32"/>
        </w:rPr>
        <w:t>（类）巩固脱贫攻坚成果衔接乡村振兴（款）农村基础设施建设（项）:</w:t>
      </w:r>
      <w:r>
        <w:rPr>
          <w:rStyle w:val="19"/>
          <w:rFonts w:hint="eastAsia" w:ascii="仿宋_GB2312" w:eastAsia="仿宋_GB2312" w:cs="仿宋_GB2312"/>
          <w:b w:val="0"/>
          <w:bCs/>
          <w:color w:val="000000"/>
          <w:sz w:val="32"/>
          <w:szCs w:val="32"/>
        </w:rPr>
        <w:t>支出决算为</w:t>
      </w:r>
      <w:r>
        <w:rPr>
          <w:rStyle w:val="19"/>
          <w:rFonts w:hint="eastAsia" w:ascii="仿宋_GB2312" w:eastAsia="仿宋_GB2312" w:cs="仿宋_GB2312"/>
          <w:b w:val="0"/>
          <w:bCs/>
          <w:color w:val="000000"/>
          <w:sz w:val="32"/>
          <w:szCs w:val="32"/>
          <w:lang w:val="en-US" w:eastAsia="zh-CN"/>
        </w:rPr>
        <w:t>408.57</w:t>
      </w:r>
      <w:r>
        <w:rPr>
          <w:rStyle w:val="19"/>
          <w:rFonts w:hint="eastAsia" w:ascii="仿宋_GB2312" w:eastAsia="仿宋_GB2312" w:cs="仿宋_GB2312"/>
          <w:b w:val="0"/>
          <w:bCs/>
          <w:color w:val="000000"/>
          <w:sz w:val="32"/>
          <w:szCs w:val="32"/>
        </w:rPr>
        <w:t>万元，完成预算</w:t>
      </w:r>
      <w:r>
        <w:rPr>
          <w:rStyle w:val="19"/>
          <w:rFonts w:hint="eastAsia" w:ascii="仿宋_GB2312" w:eastAsia="仿宋_GB2312" w:cs="仿宋_GB2312"/>
          <w:b w:val="0"/>
          <w:bCs/>
          <w:color w:val="000000"/>
          <w:sz w:val="32"/>
          <w:szCs w:val="32"/>
          <w:lang w:val="en-US" w:eastAsia="zh-CN"/>
        </w:rPr>
        <w:t>100</w:t>
      </w:r>
      <w:r>
        <w:rPr>
          <w:rStyle w:val="19"/>
          <w:rFonts w:hint="eastAsia" w:ascii="仿宋_GB2312" w:eastAsia="仿宋_GB2312" w:cs="仿宋_GB2312"/>
          <w:b w:val="0"/>
          <w:bCs/>
          <w:color w:val="000000"/>
          <w:sz w:val="32"/>
          <w:szCs w:val="32"/>
        </w:rPr>
        <w:t>%。</w:t>
      </w:r>
    </w:p>
    <w:p w14:paraId="31681B58">
      <w:pPr>
        <w:pageBreakBefore w:val="0"/>
        <w:widowControl w:val="0"/>
        <w:kinsoku/>
        <w:wordWrap/>
        <w:overflowPunct/>
        <w:topLinePunct w:val="0"/>
        <w:autoSpaceDE/>
        <w:autoSpaceDN/>
        <w:bidi w:val="0"/>
        <w:adjustRightInd/>
        <w:snapToGrid/>
        <w:spacing w:line="600" w:lineRule="exact"/>
        <w:ind w:firstLine="643" w:firstLineChars="200"/>
        <w:textAlignment w:val="auto"/>
        <w:rPr>
          <w:rStyle w:val="19"/>
          <w:rFonts w:hint="eastAsia" w:ascii="仿宋_GB2312" w:eastAsia="仿宋_GB2312" w:cs="仿宋_GB2312"/>
          <w:b w:val="0"/>
          <w:bCs/>
          <w:color w:val="000000"/>
          <w:sz w:val="32"/>
          <w:szCs w:val="32"/>
          <w:lang w:val="en-US" w:eastAsia="zh-CN"/>
        </w:rPr>
      </w:pPr>
      <w:r>
        <w:rPr>
          <w:rFonts w:hint="eastAsia" w:ascii="仿宋" w:hAnsi="仿宋" w:eastAsia="仿宋"/>
          <w:b/>
          <w:sz w:val="32"/>
          <w:szCs w:val="32"/>
          <w:lang w:val="en-US" w:eastAsia="zh-CN"/>
        </w:rPr>
        <w:t>20.</w:t>
      </w:r>
      <w:r>
        <w:rPr>
          <w:rStyle w:val="19"/>
          <w:rFonts w:hint="eastAsia" w:ascii="仿宋_GB2312" w:eastAsia="仿宋_GB2312" w:cs="仿宋_GB2312"/>
          <w:b/>
          <w:bCs w:val="0"/>
          <w:color w:val="000000"/>
          <w:sz w:val="32"/>
          <w:szCs w:val="32"/>
          <w:lang w:val="en-US" w:eastAsia="zh-CN"/>
        </w:rPr>
        <w:t>住房保障支出（类）住房改革支出（款）住房公积金（项）：</w:t>
      </w:r>
      <w:r>
        <w:rPr>
          <w:rStyle w:val="19"/>
          <w:rFonts w:hint="eastAsia" w:ascii="仿宋_GB2312" w:eastAsia="仿宋_GB2312" w:cs="仿宋_GB2312"/>
          <w:b w:val="0"/>
          <w:bCs/>
          <w:color w:val="000000"/>
          <w:sz w:val="32"/>
          <w:szCs w:val="32"/>
          <w:lang w:val="en-US" w:eastAsia="zh-CN"/>
        </w:rPr>
        <w:t>支出决算为47.29万元，完成预算100%。</w:t>
      </w:r>
    </w:p>
    <w:p w14:paraId="05962380">
      <w:pPr>
        <w:pageBreakBefore w:val="0"/>
        <w:widowControl w:val="0"/>
        <w:kinsoku/>
        <w:wordWrap/>
        <w:overflowPunct/>
        <w:topLinePunct w:val="0"/>
        <w:autoSpaceDE/>
        <w:autoSpaceDN/>
        <w:bidi w:val="0"/>
        <w:adjustRightInd/>
        <w:snapToGrid/>
        <w:spacing w:line="600" w:lineRule="exact"/>
        <w:ind w:firstLine="643" w:firstLineChars="200"/>
        <w:textAlignment w:val="auto"/>
        <w:rPr>
          <w:rStyle w:val="19"/>
          <w:rFonts w:hint="eastAsia" w:ascii="仿宋_GB2312" w:eastAsia="仿宋_GB2312" w:cs="仿宋_GB2312"/>
          <w:b w:val="0"/>
          <w:bCs/>
          <w:color w:val="000000"/>
          <w:sz w:val="32"/>
          <w:szCs w:val="32"/>
          <w:lang w:val="en-US" w:eastAsia="zh-CN"/>
        </w:rPr>
      </w:pPr>
      <w:r>
        <w:rPr>
          <w:rFonts w:hint="eastAsia" w:ascii="仿宋" w:hAnsi="仿宋" w:eastAsia="仿宋"/>
          <w:b/>
          <w:sz w:val="32"/>
          <w:szCs w:val="32"/>
          <w:lang w:val="en-US" w:eastAsia="zh-CN"/>
        </w:rPr>
        <w:t>21.</w:t>
      </w:r>
      <w:r>
        <w:rPr>
          <w:rStyle w:val="19"/>
          <w:rFonts w:hint="eastAsia" w:ascii="仿宋_GB2312" w:eastAsia="仿宋_GB2312" w:cs="仿宋_GB2312"/>
          <w:b/>
          <w:bCs w:val="0"/>
          <w:color w:val="000000"/>
          <w:sz w:val="32"/>
          <w:szCs w:val="32"/>
          <w:lang w:val="en-US" w:eastAsia="zh-CN"/>
        </w:rPr>
        <w:t>住房保障支出（类）住房改革支出（款）购房补贴（项）：</w:t>
      </w:r>
      <w:r>
        <w:rPr>
          <w:rStyle w:val="19"/>
          <w:rFonts w:hint="eastAsia" w:ascii="仿宋_GB2312" w:eastAsia="仿宋_GB2312" w:cs="仿宋_GB2312"/>
          <w:b w:val="0"/>
          <w:bCs/>
          <w:color w:val="000000"/>
          <w:sz w:val="32"/>
          <w:szCs w:val="32"/>
          <w:lang w:val="en-US" w:eastAsia="zh-CN"/>
        </w:rPr>
        <w:t>支出决算为3.2万元，完成预算100%。</w:t>
      </w:r>
    </w:p>
    <w:p w14:paraId="5C205FD1">
      <w:pPr>
        <w:pStyle w:val="21"/>
        <w:pageBreakBefore w:val="0"/>
        <w:widowControl w:val="0"/>
        <w:kinsoku/>
        <w:wordWrap/>
        <w:overflowPunct/>
        <w:topLinePunct w:val="0"/>
        <w:autoSpaceDE/>
        <w:autoSpaceDN/>
        <w:bidi w:val="0"/>
        <w:adjustRightInd/>
        <w:snapToGrid/>
        <w:spacing w:before="0" w:after="0"/>
        <w:ind w:firstLine="643" w:firstLineChars="200"/>
        <w:textAlignment w:val="auto"/>
        <w:rPr>
          <w:rFonts w:hint="default"/>
          <w:lang w:val="en-US" w:eastAsia="zh-CN"/>
        </w:rPr>
      </w:pPr>
      <w:r>
        <w:rPr>
          <w:rStyle w:val="19"/>
          <w:rFonts w:hint="eastAsia" w:ascii="仿宋" w:hAnsi="仿宋" w:eastAsia="仿宋"/>
          <w:b/>
          <w:bCs/>
          <w:sz w:val="32"/>
          <w:szCs w:val="32"/>
          <w:lang w:val="en-US" w:eastAsia="zh-CN"/>
        </w:rPr>
        <w:t>22.教育支出</w:t>
      </w:r>
      <w:r>
        <w:rPr>
          <w:rStyle w:val="19"/>
          <w:rFonts w:hint="eastAsia" w:ascii="仿宋" w:hAnsi="仿宋" w:eastAsia="仿宋"/>
          <w:b/>
          <w:bCs/>
          <w:sz w:val="32"/>
          <w:szCs w:val="32"/>
        </w:rPr>
        <w:t>（</w:t>
      </w:r>
      <w:r>
        <w:rPr>
          <w:rStyle w:val="19"/>
          <w:rFonts w:hint="eastAsia" w:ascii="仿宋" w:hAnsi="仿宋" w:eastAsia="仿宋"/>
          <w:b/>
          <w:bCs/>
          <w:sz w:val="32"/>
          <w:szCs w:val="32"/>
          <w:lang w:val="en-US" w:eastAsia="zh-CN"/>
        </w:rPr>
        <w:t>类</w:t>
      </w:r>
      <w:r>
        <w:rPr>
          <w:rStyle w:val="19"/>
          <w:rFonts w:hint="eastAsia" w:ascii="仿宋" w:hAnsi="仿宋" w:eastAsia="仿宋"/>
          <w:b/>
          <w:bCs/>
          <w:sz w:val="32"/>
          <w:szCs w:val="32"/>
        </w:rPr>
        <w:t>）</w:t>
      </w:r>
      <w:r>
        <w:rPr>
          <w:rStyle w:val="19"/>
          <w:rFonts w:hint="eastAsia" w:ascii="仿宋" w:hAnsi="仿宋" w:eastAsia="仿宋"/>
          <w:b/>
          <w:bCs/>
          <w:sz w:val="32"/>
          <w:szCs w:val="32"/>
          <w:lang w:eastAsia="zh-CN"/>
        </w:rPr>
        <w:t>进修及培训</w:t>
      </w:r>
      <w:r>
        <w:rPr>
          <w:rStyle w:val="19"/>
          <w:rFonts w:hint="eastAsia" w:ascii="仿宋" w:hAnsi="仿宋" w:eastAsia="仿宋"/>
          <w:b/>
          <w:bCs/>
          <w:sz w:val="32"/>
          <w:szCs w:val="32"/>
        </w:rPr>
        <w:t>（款）</w:t>
      </w:r>
      <w:r>
        <w:rPr>
          <w:rStyle w:val="19"/>
          <w:rFonts w:hint="eastAsia" w:ascii="仿宋" w:hAnsi="仿宋" w:eastAsia="仿宋"/>
          <w:b/>
          <w:bCs/>
          <w:sz w:val="32"/>
          <w:szCs w:val="32"/>
          <w:lang w:val="en-US" w:eastAsia="zh-CN"/>
        </w:rPr>
        <w:t>培训支持</w:t>
      </w:r>
      <w:r>
        <w:rPr>
          <w:rStyle w:val="19"/>
          <w:rFonts w:hint="eastAsia" w:ascii="仿宋" w:hAnsi="仿宋" w:eastAsia="仿宋"/>
          <w:b/>
          <w:bCs/>
          <w:sz w:val="32"/>
          <w:szCs w:val="32"/>
        </w:rPr>
        <w:t>（项）</w:t>
      </w:r>
      <w:r>
        <w:rPr>
          <w:rStyle w:val="19"/>
          <w:rFonts w:ascii="仿宋" w:hAnsi="仿宋" w:eastAsia="仿宋"/>
          <w:b/>
          <w:bCs/>
          <w:sz w:val="32"/>
          <w:szCs w:val="32"/>
        </w:rPr>
        <w:t>:</w:t>
      </w:r>
      <w:r>
        <w:rPr>
          <w:rStyle w:val="19"/>
          <w:rFonts w:hint="eastAsia" w:ascii="仿宋" w:hAnsi="仿宋" w:eastAsia="仿宋"/>
          <w:b w:val="0"/>
          <w:bCs/>
          <w:sz w:val="32"/>
          <w:szCs w:val="32"/>
        </w:rPr>
        <w:t>支出决算为</w:t>
      </w:r>
      <w:r>
        <w:rPr>
          <w:rStyle w:val="19"/>
          <w:rFonts w:hint="eastAsia" w:ascii="仿宋" w:hAnsi="仿宋" w:eastAsia="仿宋"/>
          <w:b w:val="0"/>
          <w:bCs/>
          <w:sz w:val="32"/>
          <w:szCs w:val="32"/>
          <w:lang w:val="en-US" w:eastAsia="zh-CN"/>
        </w:rPr>
        <w:t>0.48</w:t>
      </w:r>
      <w:r>
        <w:rPr>
          <w:rStyle w:val="19"/>
          <w:rFonts w:hint="eastAsia" w:ascii="仿宋" w:hAnsi="仿宋" w:eastAsia="仿宋"/>
          <w:b w:val="0"/>
          <w:bCs/>
          <w:sz w:val="32"/>
          <w:szCs w:val="32"/>
        </w:rPr>
        <w:t>万元，完成预算</w:t>
      </w:r>
      <w:r>
        <w:rPr>
          <w:rStyle w:val="19"/>
          <w:rFonts w:hint="eastAsia" w:ascii="仿宋" w:hAnsi="仿宋" w:eastAsia="仿宋"/>
          <w:b w:val="0"/>
          <w:bCs/>
          <w:sz w:val="32"/>
          <w:szCs w:val="32"/>
          <w:lang w:val="en-US" w:eastAsia="zh-CN"/>
        </w:rPr>
        <w:t>100</w:t>
      </w:r>
      <w:r>
        <w:rPr>
          <w:rStyle w:val="19"/>
          <w:rFonts w:ascii="仿宋" w:hAnsi="仿宋" w:eastAsia="仿宋"/>
          <w:b w:val="0"/>
          <w:bCs/>
          <w:sz w:val="32"/>
          <w:szCs w:val="32"/>
        </w:rPr>
        <w:t>%</w:t>
      </w:r>
      <w:r>
        <w:rPr>
          <w:rStyle w:val="19"/>
          <w:rFonts w:hint="eastAsia" w:ascii="仿宋" w:hAnsi="仿宋" w:eastAsia="仿宋"/>
          <w:b w:val="0"/>
          <w:bCs/>
          <w:sz w:val="32"/>
          <w:szCs w:val="32"/>
        </w:rPr>
        <w:t>。</w:t>
      </w:r>
    </w:p>
    <w:p w14:paraId="04588B51">
      <w:pPr>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仿宋" w:hAnsi="仿宋" w:eastAsia="仿宋"/>
          <w:b/>
          <w:sz w:val="32"/>
          <w:szCs w:val="32"/>
          <w:lang w:val="en-US" w:eastAsia="zh-CN"/>
        </w:rPr>
      </w:pPr>
      <w:r>
        <w:rPr>
          <w:rFonts w:hint="eastAsia" w:ascii="仿宋" w:hAnsi="仿宋" w:eastAsia="仿宋"/>
          <w:b/>
          <w:sz w:val="32"/>
          <w:szCs w:val="32"/>
          <w:lang w:val="en-US" w:eastAsia="zh-CN"/>
        </w:rPr>
        <w:t>23.</w:t>
      </w:r>
      <w:r>
        <w:rPr>
          <w:rStyle w:val="19"/>
          <w:rFonts w:hint="eastAsia" w:ascii="仿宋_GB2312" w:eastAsia="仿宋_GB2312" w:cs="仿宋_GB2312"/>
          <w:b/>
          <w:bCs w:val="0"/>
          <w:color w:val="000000"/>
          <w:sz w:val="32"/>
          <w:szCs w:val="32"/>
          <w:lang w:val="en-US" w:eastAsia="zh-CN"/>
        </w:rPr>
        <w:t>住房保障支出（类）城乡社区住宅（款）其他城乡社区住宅支出（项）：</w:t>
      </w:r>
      <w:r>
        <w:rPr>
          <w:rStyle w:val="19"/>
          <w:rFonts w:hint="eastAsia" w:ascii="仿宋_GB2312" w:eastAsia="仿宋_GB2312" w:cs="仿宋_GB2312"/>
          <w:b w:val="0"/>
          <w:bCs/>
          <w:color w:val="000000"/>
          <w:sz w:val="32"/>
          <w:szCs w:val="32"/>
          <w:lang w:val="en-US" w:eastAsia="zh-CN"/>
        </w:rPr>
        <w:t>支出决算为1389.73万元，完成预算100%。</w:t>
      </w:r>
    </w:p>
    <w:p w14:paraId="6083DD92">
      <w:pPr>
        <w:pageBreakBefore w:val="0"/>
        <w:widowControl w:val="0"/>
        <w:kinsoku/>
        <w:wordWrap/>
        <w:overflowPunct/>
        <w:topLinePunct w:val="0"/>
        <w:autoSpaceDE/>
        <w:autoSpaceDN/>
        <w:bidi w:val="0"/>
        <w:adjustRightInd/>
        <w:snapToGrid/>
        <w:spacing w:line="600" w:lineRule="exact"/>
        <w:ind w:firstLine="640"/>
        <w:textAlignment w:val="auto"/>
        <w:rPr>
          <w:rFonts w:hint="default" w:ascii="仿宋" w:hAnsi="仿宋" w:eastAsia="仿宋"/>
          <w:b/>
          <w:sz w:val="32"/>
          <w:szCs w:val="32"/>
          <w:lang w:val="en-US" w:eastAsia="zh-CN"/>
        </w:rPr>
      </w:pPr>
      <w:r>
        <w:rPr>
          <w:rFonts w:hint="eastAsia" w:ascii="仿宋" w:hAnsi="仿宋" w:eastAsia="仿宋"/>
          <w:b/>
          <w:sz w:val="32"/>
          <w:szCs w:val="32"/>
          <w:lang w:val="en-US" w:eastAsia="zh-CN"/>
        </w:rPr>
        <w:t>24.灾害防治及应急管理支出</w:t>
      </w:r>
      <w:r>
        <w:rPr>
          <w:rStyle w:val="19"/>
          <w:rFonts w:hint="eastAsia" w:ascii="仿宋_GB2312" w:eastAsia="仿宋_GB2312" w:cs="仿宋_GB2312"/>
          <w:b/>
          <w:bCs w:val="0"/>
          <w:color w:val="000000"/>
          <w:sz w:val="32"/>
          <w:szCs w:val="32"/>
          <w:lang w:val="en-US" w:eastAsia="zh-CN"/>
        </w:rPr>
        <w:t>（类）自然灾害防治（款）地质灾害防治（项）：</w:t>
      </w:r>
      <w:r>
        <w:rPr>
          <w:rStyle w:val="19"/>
          <w:rFonts w:hint="eastAsia" w:ascii="仿宋_GB2312" w:eastAsia="仿宋_GB2312" w:cs="仿宋_GB2312"/>
          <w:b w:val="0"/>
          <w:bCs/>
          <w:color w:val="000000"/>
          <w:sz w:val="32"/>
          <w:szCs w:val="32"/>
          <w:lang w:val="en-US" w:eastAsia="zh-CN"/>
        </w:rPr>
        <w:t>支出决算为11384.98万元，完成预算100%。</w:t>
      </w:r>
    </w:p>
    <w:p w14:paraId="78DC453B">
      <w:pPr>
        <w:tabs>
          <w:tab w:val="right" w:pos="8306"/>
        </w:tabs>
        <w:spacing w:line="600" w:lineRule="exact"/>
        <w:ind w:firstLine="640"/>
        <w:outlineLvl w:val="1"/>
        <w:rPr>
          <w:rStyle w:val="31"/>
        </w:rPr>
      </w:pPr>
      <w:bookmarkStart w:id="55" w:name="_Toc15377214"/>
      <w:bookmarkStart w:id="56" w:name="_Toc15396608"/>
      <w:bookmarkStart w:id="57" w:name="_Toc20710_WPSOffice_Level2"/>
      <w:r>
        <w:rPr>
          <w:rFonts w:hint="eastAsia" w:ascii="黑体" w:eastAsia="黑体"/>
          <w:sz w:val="32"/>
          <w:szCs w:val="32"/>
        </w:rPr>
        <w:t>六</w:t>
      </w:r>
      <w:r>
        <w:rPr>
          <w:rFonts w:hint="eastAsia" w:ascii="黑体" w:eastAsia="黑体"/>
          <w:b/>
          <w:sz w:val="32"/>
          <w:szCs w:val="32"/>
        </w:rPr>
        <w:t>、</w:t>
      </w:r>
      <w:r>
        <w:rPr>
          <w:rFonts w:hint="eastAsia" w:ascii="黑体" w:hAnsi="黑体" w:eastAsia="黑体"/>
          <w:b/>
          <w:sz w:val="32"/>
          <w:szCs w:val="32"/>
        </w:rPr>
        <w:t>一</w:t>
      </w:r>
      <w:r>
        <w:rPr>
          <w:rStyle w:val="31"/>
          <w:rFonts w:hint="eastAsia" w:ascii="黑体" w:hAnsi="黑体" w:eastAsia="黑体"/>
          <w:b w:val="0"/>
        </w:rPr>
        <w:t>般公共预算财政拨款基本支出决算情况说明</w:t>
      </w:r>
      <w:bookmarkEnd w:id="55"/>
      <w:bookmarkEnd w:id="56"/>
      <w:bookmarkEnd w:id="57"/>
      <w:r>
        <w:rPr>
          <w:rStyle w:val="31"/>
          <w:rFonts w:ascii="黑体" w:hAnsi="黑体" w:eastAsia="黑体"/>
          <w:b w:val="0"/>
        </w:rPr>
        <w:tab/>
      </w:r>
    </w:p>
    <w:p w14:paraId="264A2BF5">
      <w:pPr>
        <w:spacing w:line="600" w:lineRule="exact"/>
        <w:ind w:firstLine="645"/>
        <w:rPr>
          <w:rFonts w:ascii="仿宋" w:hAnsi="仿宋" w:eastAsia="仿宋"/>
          <w:sz w:val="32"/>
          <w:szCs w:val="32"/>
        </w:rPr>
      </w:pPr>
      <w:r>
        <w:rPr>
          <w:rFonts w:hint="eastAsia" w:ascii="仿宋" w:hAnsi="仿宋" w:eastAsia="仿宋"/>
          <w:sz w:val="32"/>
          <w:szCs w:val="32"/>
          <w:lang w:eastAsia="zh-CN"/>
        </w:rPr>
        <w:t>2024年</w:t>
      </w:r>
      <w:r>
        <w:rPr>
          <w:rFonts w:hint="eastAsia" w:ascii="仿宋" w:hAnsi="仿宋" w:eastAsia="仿宋"/>
          <w:sz w:val="32"/>
          <w:szCs w:val="32"/>
        </w:rPr>
        <w:t>度一般公共预算财政拨款基本支出</w:t>
      </w:r>
      <w:r>
        <w:rPr>
          <w:rFonts w:hint="eastAsia" w:eastAsia="仿宋"/>
          <w:sz w:val="32"/>
          <w:szCs w:val="32"/>
          <w:lang w:val="en-US" w:eastAsia="zh-CN"/>
        </w:rPr>
        <w:t>653.67</w:t>
      </w:r>
      <w:r>
        <w:rPr>
          <w:rFonts w:hint="eastAsia" w:ascii="仿宋" w:hAnsi="仿宋" w:eastAsia="仿宋"/>
          <w:sz w:val="32"/>
          <w:szCs w:val="32"/>
        </w:rPr>
        <w:t>万元，其中：</w:t>
      </w:r>
    </w:p>
    <w:p w14:paraId="1690F7A9">
      <w:pPr>
        <w:keepNext w:val="0"/>
        <w:keepLines w:val="0"/>
        <w:pageBreakBefore w:val="0"/>
        <w:kinsoku/>
        <w:overflowPunct/>
        <w:autoSpaceDE/>
        <w:autoSpaceDN/>
        <w:bidi w:val="0"/>
        <w:spacing w:line="560" w:lineRule="exact"/>
        <w:ind w:firstLine="645"/>
        <w:textAlignment w:val="auto"/>
        <w:rPr>
          <w:rFonts w:hint="eastAsia" w:ascii="仿宋_GB2312" w:eastAsia="仿宋_GB2312" w:cs="仿宋_GB2312"/>
          <w:color w:val="auto"/>
          <w:sz w:val="32"/>
          <w:szCs w:val="32"/>
          <w:lang w:eastAsia="zh-CN"/>
        </w:rPr>
      </w:pPr>
      <w:r>
        <w:rPr>
          <w:rFonts w:hint="eastAsia" w:ascii="仿宋" w:hAnsi="仿宋" w:eastAsia="仿宋"/>
          <w:sz w:val="32"/>
          <w:szCs w:val="32"/>
        </w:rPr>
        <w:t>人员经费</w:t>
      </w:r>
      <w:r>
        <w:rPr>
          <w:rFonts w:hint="eastAsia" w:ascii="仿宋_GB2312" w:cs="仿宋_GB2312"/>
          <w:color w:val="auto"/>
          <w:sz w:val="32"/>
          <w:szCs w:val="32"/>
          <w:lang w:val="en-US" w:eastAsia="zh-CN"/>
        </w:rPr>
        <w:t>623.50</w:t>
      </w:r>
      <w:r>
        <w:rPr>
          <w:rFonts w:hint="eastAsia" w:ascii="仿宋" w:hAnsi="仿宋" w:eastAsia="仿宋"/>
          <w:sz w:val="32"/>
          <w:szCs w:val="32"/>
        </w:rPr>
        <w:t>万元，</w:t>
      </w:r>
      <w:r>
        <w:rPr>
          <w:rFonts w:hint="eastAsia" w:ascii="仿宋_GB2312" w:eastAsia="仿宋_GB2312" w:cs="仿宋_GB2312"/>
          <w:color w:val="auto"/>
          <w:sz w:val="32"/>
          <w:szCs w:val="32"/>
        </w:rPr>
        <w:t>主要包括：基本工资</w:t>
      </w:r>
      <w:r>
        <w:rPr>
          <w:rFonts w:hint="eastAsia" w:ascii="仿宋_GB2312" w:cs="仿宋_GB2312"/>
          <w:color w:val="auto"/>
          <w:sz w:val="32"/>
          <w:szCs w:val="32"/>
          <w:lang w:val="en-US" w:eastAsia="zh-CN"/>
        </w:rPr>
        <w:t>115.31</w:t>
      </w:r>
      <w:r>
        <w:rPr>
          <w:rStyle w:val="19"/>
          <w:rFonts w:hint="eastAsia" w:ascii="仿宋_GB2312" w:eastAsia="仿宋_GB2312" w:cs="仿宋_GB2312"/>
          <w:b w:val="0"/>
          <w:bCs/>
          <w:color w:val="auto"/>
          <w:sz w:val="32"/>
          <w:szCs w:val="32"/>
          <w:lang w:val="en-US" w:eastAsia="zh-CN"/>
        </w:rPr>
        <w:t>万元</w:t>
      </w:r>
      <w:r>
        <w:rPr>
          <w:rFonts w:hint="eastAsia" w:ascii="仿宋_GB2312" w:eastAsia="仿宋_GB2312" w:cs="仿宋_GB2312"/>
          <w:color w:val="auto"/>
          <w:sz w:val="32"/>
          <w:szCs w:val="32"/>
        </w:rPr>
        <w:t>、津贴补贴</w:t>
      </w:r>
      <w:r>
        <w:rPr>
          <w:rFonts w:hint="eastAsia" w:ascii="仿宋_GB2312" w:cs="仿宋_GB2312"/>
          <w:color w:val="auto"/>
          <w:sz w:val="32"/>
          <w:szCs w:val="32"/>
          <w:lang w:val="en-US" w:eastAsia="zh-CN"/>
        </w:rPr>
        <w:t>115.86</w:t>
      </w:r>
      <w:r>
        <w:rPr>
          <w:rFonts w:hint="eastAsia" w:ascii="仿宋_GB2312" w:eastAsia="仿宋_GB2312" w:cs="仿宋_GB2312"/>
          <w:color w:val="auto"/>
          <w:sz w:val="32"/>
          <w:szCs w:val="32"/>
          <w:lang w:val="en-US" w:eastAsia="zh-CN"/>
        </w:rPr>
        <w:t>万元</w:t>
      </w:r>
      <w:r>
        <w:rPr>
          <w:rFonts w:hint="eastAsia" w:ascii="仿宋_GB2312" w:eastAsia="仿宋_GB2312" w:cs="仿宋_GB2312"/>
          <w:color w:val="auto"/>
          <w:sz w:val="32"/>
          <w:szCs w:val="32"/>
        </w:rPr>
        <w:t>、奖金</w:t>
      </w:r>
      <w:r>
        <w:rPr>
          <w:rFonts w:hint="eastAsia" w:ascii="仿宋_GB2312" w:cs="仿宋_GB2312"/>
          <w:color w:val="auto"/>
          <w:sz w:val="32"/>
          <w:szCs w:val="32"/>
          <w:lang w:val="en-US" w:eastAsia="zh-CN"/>
        </w:rPr>
        <w:t>135.48</w:t>
      </w:r>
      <w:r>
        <w:rPr>
          <w:rFonts w:hint="eastAsia" w:ascii="仿宋_GB2312" w:eastAsia="仿宋_GB2312" w:cs="仿宋_GB2312"/>
          <w:color w:val="auto"/>
          <w:sz w:val="32"/>
          <w:szCs w:val="32"/>
          <w:lang w:val="en-US" w:eastAsia="zh-CN"/>
        </w:rPr>
        <w:t>万元</w:t>
      </w:r>
      <w:r>
        <w:rPr>
          <w:rFonts w:hint="eastAsia" w:ascii="仿宋_GB2312" w:eastAsia="仿宋_GB2312" w:cs="仿宋_GB2312"/>
          <w:color w:val="auto"/>
          <w:sz w:val="32"/>
          <w:szCs w:val="32"/>
        </w:rPr>
        <w:t>、伙食补助费</w:t>
      </w:r>
      <w:r>
        <w:rPr>
          <w:rFonts w:hint="eastAsia" w:ascii="仿宋_GB2312" w:eastAsia="仿宋_GB2312" w:cs="仿宋_GB2312"/>
          <w:color w:val="auto"/>
          <w:sz w:val="32"/>
          <w:szCs w:val="32"/>
          <w:lang w:val="en-US" w:eastAsia="zh-CN"/>
        </w:rPr>
        <w:t>0万元</w:t>
      </w:r>
      <w:r>
        <w:rPr>
          <w:rFonts w:hint="eastAsia" w:ascii="仿宋_GB2312" w:eastAsia="仿宋_GB2312" w:cs="仿宋_GB2312"/>
          <w:color w:val="auto"/>
          <w:sz w:val="32"/>
          <w:szCs w:val="32"/>
        </w:rPr>
        <w:t>、</w:t>
      </w:r>
      <w:r>
        <w:rPr>
          <w:rFonts w:hint="eastAsia" w:ascii="仿宋_GB2312" w:eastAsia="仿宋_GB2312" w:cs="仿宋_GB2312"/>
          <w:color w:val="auto"/>
          <w:sz w:val="32"/>
          <w:szCs w:val="32"/>
          <w:lang w:eastAsia="zh-CN"/>
        </w:rPr>
        <w:t>绩效工资</w:t>
      </w:r>
      <w:r>
        <w:rPr>
          <w:rFonts w:hint="eastAsia" w:ascii="仿宋_GB2312" w:cs="仿宋_GB2312"/>
          <w:color w:val="auto"/>
          <w:sz w:val="32"/>
          <w:szCs w:val="32"/>
          <w:lang w:val="en-US" w:eastAsia="zh-CN"/>
        </w:rPr>
        <w:t>61.86</w:t>
      </w:r>
      <w:r>
        <w:rPr>
          <w:rFonts w:hint="eastAsia" w:ascii="仿宋_GB2312" w:eastAsia="仿宋_GB2312" w:cs="仿宋_GB2312"/>
          <w:color w:val="auto"/>
          <w:sz w:val="32"/>
          <w:szCs w:val="32"/>
          <w:lang w:val="en-US" w:eastAsia="zh-CN"/>
        </w:rPr>
        <w:t>万元、</w:t>
      </w:r>
      <w:r>
        <w:rPr>
          <w:rFonts w:hint="eastAsia" w:ascii="仿宋_GB2312" w:eastAsia="仿宋_GB2312" w:cs="仿宋_GB2312"/>
          <w:color w:val="auto"/>
          <w:sz w:val="32"/>
          <w:szCs w:val="32"/>
        </w:rPr>
        <w:t>机关事业单位基本养老保险缴费</w:t>
      </w:r>
      <w:r>
        <w:rPr>
          <w:rFonts w:hint="eastAsia" w:ascii="仿宋_GB2312" w:cs="仿宋_GB2312"/>
          <w:color w:val="auto"/>
          <w:sz w:val="32"/>
          <w:szCs w:val="32"/>
          <w:lang w:val="en-US" w:eastAsia="zh-CN"/>
        </w:rPr>
        <w:t>59.77</w:t>
      </w:r>
      <w:r>
        <w:rPr>
          <w:rFonts w:hint="eastAsia" w:ascii="仿宋_GB2312" w:eastAsia="仿宋_GB2312" w:cs="仿宋_GB2312"/>
          <w:color w:val="auto"/>
          <w:sz w:val="32"/>
          <w:szCs w:val="32"/>
          <w:lang w:val="en-US" w:eastAsia="zh-CN"/>
        </w:rPr>
        <w:t>万元</w:t>
      </w:r>
      <w:r>
        <w:rPr>
          <w:rFonts w:hint="eastAsia" w:ascii="仿宋_GB2312" w:eastAsia="仿宋_GB2312" w:cs="仿宋_GB2312"/>
          <w:color w:val="auto"/>
          <w:sz w:val="32"/>
          <w:szCs w:val="32"/>
        </w:rPr>
        <w:t>、职业年金缴费</w:t>
      </w:r>
      <w:r>
        <w:rPr>
          <w:rFonts w:hint="eastAsia" w:ascii="仿宋_GB2312" w:cs="仿宋_GB2312"/>
          <w:color w:val="auto"/>
          <w:sz w:val="32"/>
          <w:szCs w:val="32"/>
          <w:lang w:val="en-US" w:eastAsia="zh-CN"/>
        </w:rPr>
        <w:t>29.89</w:t>
      </w:r>
      <w:r>
        <w:rPr>
          <w:rFonts w:hint="eastAsia" w:ascii="仿宋_GB2312" w:eastAsia="仿宋_GB2312" w:cs="仿宋_GB2312"/>
          <w:color w:val="auto"/>
          <w:sz w:val="32"/>
          <w:szCs w:val="32"/>
          <w:lang w:val="en-US" w:eastAsia="zh-CN"/>
        </w:rPr>
        <w:t>万元</w:t>
      </w:r>
      <w:r>
        <w:rPr>
          <w:rFonts w:hint="eastAsia" w:ascii="仿宋_GB2312" w:eastAsia="仿宋_GB2312" w:cs="仿宋_GB2312"/>
          <w:color w:val="auto"/>
          <w:sz w:val="32"/>
          <w:szCs w:val="32"/>
        </w:rPr>
        <w:t>、</w:t>
      </w:r>
      <w:r>
        <w:rPr>
          <w:rFonts w:hint="eastAsia" w:ascii="仿宋_GB2312" w:eastAsia="仿宋_GB2312" w:cs="仿宋_GB2312"/>
          <w:color w:val="auto"/>
          <w:sz w:val="32"/>
          <w:szCs w:val="32"/>
          <w:lang w:eastAsia="zh-CN"/>
        </w:rPr>
        <w:t>生活补助</w:t>
      </w:r>
      <w:r>
        <w:rPr>
          <w:rFonts w:hint="eastAsia" w:ascii="仿宋_GB2312" w:eastAsia="仿宋_GB2312" w:cs="仿宋_GB2312"/>
          <w:color w:val="auto"/>
          <w:sz w:val="32"/>
          <w:szCs w:val="32"/>
          <w:lang w:val="en-US" w:eastAsia="zh-CN"/>
        </w:rPr>
        <w:t>0万元、职工基本医疗保险缴费</w:t>
      </w:r>
      <w:r>
        <w:rPr>
          <w:rFonts w:hint="eastAsia" w:ascii="仿宋_GB2312" w:cs="仿宋_GB2312"/>
          <w:color w:val="auto"/>
          <w:sz w:val="32"/>
          <w:szCs w:val="32"/>
          <w:lang w:val="en-US" w:eastAsia="zh-CN"/>
        </w:rPr>
        <w:t>28.75</w:t>
      </w:r>
      <w:r>
        <w:rPr>
          <w:rFonts w:hint="eastAsia" w:ascii="仿宋_GB2312" w:eastAsia="仿宋_GB2312" w:cs="仿宋_GB2312"/>
          <w:color w:val="auto"/>
          <w:sz w:val="32"/>
          <w:szCs w:val="32"/>
          <w:lang w:val="en-US" w:eastAsia="zh-CN"/>
        </w:rPr>
        <w:t>万元、公务员医疗补助缴费</w:t>
      </w:r>
      <w:r>
        <w:rPr>
          <w:rFonts w:hint="eastAsia" w:ascii="仿宋_GB2312" w:cs="仿宋_GB2312"/>
          <w:color w:val="auto"/>
          <w:sz w:val="32"/>
          <w:szCs w:val="32"/>
          <w:lang w:val="en-US" w:eastAsia="zh-CN"/>
        </w:rPr>
        <w:t>8.20</w:t>
      </w:r>
      <w:r>
        <w:rPr>
          <w:rFonts w:hint="eastAsia" w:ascii="仿宋_GB2312" w:eastAsia="仿宋_GB2312" w:cs="仿宋_GB2312"/>
          <w:color w:val="auto"/>
          <w:sz w:val="32"/>
          <w:szCs w:val="32"/>
          <w:lang w:val="en-US" w:eastAsia="zh-CN"/>
        </w:rPr>
        <w:t>万元、</w:t>
      </w:r>
      <w:r>
        <w:rPr>
          <w:rFonts w:hint="eastAsia" w:ascii="仿宋_GB2312" w:eastAsia="仿宋_GB2312" w:cs="仿宋_GB2312"/>
          <w:color w:val="auto"/>
          <w:sz w:val="32"/>
          <w:szCs w:val="32"/>
        </w:rPr>
        <w:t>其他社会保障缴费</w:t>
      </w:r>
      <w:r>
        <w:rPr>
          <w:rFonts w:hint="eastAsia" w:ascii="仿宋_GB2312" w:cs="仿宋_GB2312"/>
          <w:color w:val="auto"/>
          <w:sz w:val="32"/>
          <w:szCs w:val="32"/>
          <w:lang w:val="en-US" w:eastAsia="zh-CN"/>
        </w:rPr>
        <w:t>8.27</w:t>
      </w:r>
      <w:r>
        <w:rPr>
          <w:rFonts w:hint="eastAsia" w:ascii="仿宋_GB2312" w:eastAsia="仿宋_GB2312" w:cs="仿宋_GB2312"/>
          <w:color w:val="auto"/>
          <w:sz w:val="32"/>
          <w:szCs w:val="32"/>
          <w:lang w:val="en-US" w:eastAsia="zh-CN"/>
        </w:rPr>
        <w:t>万元</w:t>
      </w:r>
      <w:r>
        <w:rPr>
          <w:rFonts w:hint="eastAsia" w:ascii="仿宋_GB2312" w:eastAsia="仿宋_GB2312" w:cs="仿宋_GB2312"/>
          <w:color w:val="auto"/>
          <w:sz w:val="32"/>
          <w:szCs w:val="32"/>
        </w:rPr>
        <w:t>、其他工资福利支出</w:t>
      </w:r>
      <w:r>
        <w:rPr>
          <w:rFonts w:hint="eastAsia" w:ascii="仿宋_GB2312" w:eastAsia="仿宋_GB2312" w:cs="仿宋_GB2312"/>
          <w:color w:val="auto"/>
          <w:sz w:val="32"/>
          <w:szCs w:val="32"/>
          <w:lang w:val="en-US" w:eastAsia="zh-CN"/>
        </w:rPr>
        <w:t>0万元</w:t>
      </w:r>
      <w:r>
        <w:rPr>
          <w:rFonts w:hint="eastAsia" w:ascii="仿宋_GB2312" w:eastAsia="仿宋_GB2312" w:cs="仿宋_GB2312"/>
          <w:color w:val="auto"/>
          <w:sz w:val="32"/>
          <w:szCs w:val="32"/>
        </w:rPr>
        <w:t>、</w:t>
      </w:r>
      <w:r>
        <w:rPr>
          <w:rFonts w:hint="eastAsia" w:ascii="仿宋_GB2312" w:eastAsia="仿宋_GB2312" w:cs="仿宋_GB2312"/>
          <w:color w:val="auto"/>
          <w:sz w:val="32"/>
          <w:szCs w:val="32"/>
          <w:lang w:eastAsia="zh-CN"/>
        </w:rPr>
        <w:t>抚恤金</w:t>
      </w:r>
      <w:r>
        <w:rPr>
          <w:rFonts w:hint="eastAsia" w:ascii="仿宋_GB2312" w:eastAsia="仿宋_GB2312" w:cs="仿宋_GB2312"/>
          <w:color w:val="auto"/>
          <w:sz w:val="32"/>
          <w:szCs w:val="32"/>
          <w:lang w:val="en-US" w:eastAsia="zh-CN"/>
        </w:rPr>
        <w:t>0万元、</w:t>
      </w:r>
      <w:r>
        <w:rPr>
          <w:rFonts w:hint="eastAsia" w:ascii="仿宋_GB2312" w:eastAsia="仿宋_GB2312" w:cs="仿宋_GB2312"/>
          <w:color w:val="auto"/>
          <w:sz w:val="32"/>
          <w:szCs w:val="32"/>
        </w:rPr>
        <w:t>住房公积金</w:t>
      </w:r>
      <w:r>
        <w:rPr>
          <w:rFonts w:hint="eastAsia" w:ascii="仿宋_GB2312" w:cs="仿宋_GB2312"/>
          <w:color w:val="auto"/>
          <w:sz w:val="32"/>
          <w:szCs w:val="32"/>
          <w:lang w:val="en-US" w:eastAsia="zh-CN"/>
        </w:rPr>
        <w:t>47.29</w:t>
      </w:r>
      <w:r>
        <w:rPr>
          <w:rFonts w:hint="eastAsia" w:ascii="仿宋_GB2312" w:eastAsia="仿宋_GB2312" w:cs="仿宋_GB2312"/>
          <w:color w:val="auto"/>
          <w:sz w:val="32"/>
          <w:szCs w:val="32"/>
          <w:lang w:val="en-US" w:eastAsia="zh-CN"/>
        </w:rPr>
        <w:t>万元</w:t>
      </w:r>
      <w:r>
        <w:rPr>
          <w:rFonts w:hint="eastAsia" w:ascii="仿宋_GB2312" w:eastAsia="仿宋_GB2312" w:cs="仿宋_GB2312"/>
          <w:color w:val="auto"/>
          <w:sz w:val="32"/>
          <w:szCs w:val="32"/>
        </w:rPr>
        <w:t>、</w:t>
      </w:r>
      <w:r>
        <w:rPr>
          <w:rFonts w:hint="eastAsia" w:ascii="仿宋_GB2312" w:eastAsia="仿宋_GB2312" w:cs="仿宋_GB2312"/>
          <w:color w:val="auto"/>
          <w:sz w:val="32"/>
          <w:szCs w:val="32"/>
          <w:lang w:eastAsia="zh-CN"/>
        </w:rPr>
        <w:t>奖励金</w:t>
      </w:r>
      <w:r>
        <w:rPr>
          <w:rFonts w:hint="eastAsia" w:ascii="仿宋_GB2312" w:cs="仿宋_GB2312"/>
          <w:color w:val="auto"/>
          <w:sz w:val="32"/>
          <w:szCs w:val="32"/>
          <w:lang w:val="en-US" w:eastAsia="zh-CN"/>
        </w:rPr>
        <w:t>0</w:t>
      </w:r>
      <w:r>
        <w:rPr>
          <w:rFonts w:hint="eastAsia" w:ascii="仿宋_GB2312" w:eastAsia="仿宋_GB2312" w:cs="仿宋_GB2312"/>
          <w:color w:val="auto"/>
          <w:sz w:val="32"/>
          <w:szCs w:val="32"/>
          <w:lang w:val="en-US" w:eastAsia="zh-CN"/>
        </w:rPr>
        <w:t>万元、生活补助</w:t>
      </w:r>
      <w:r>
        <w:rPr>
          <w:rFonts w:hint="eastAsia" w:ascii="仿宋_GB2312" w:cs="仿宋_GB2312"/>
          <w:color w:val="auto"/>
          <w:sz w:val="32"/>
          <w:szCs w:val="32"/>
          <w:lang w:val="en-US" w:eastAsia="zh-CN"/>
        </w:rPr>
        <w:t>3664.79</w:t>
      </w:r>
      <w:r>
        <w:rPr>
          <w:rFonts w:hint="eastAsia" w:ascii="仿宋_GB2312" w:eastAsia="仿宋_GB2312" w:cs="仿宋_GB2312"/>
          <w:color w:val="auto"/>
          <w:sz w:val="32"/>
          <w:szCs w:val="32"/>
          <w:lang w:val="en-US" w:eastAsia="zh-CN"/>
        </w:rPr>
        <w:t>万元</w:t>
      </w:r>
      <w:r>
        <w:rPr>
          <w:rFonts w:hint="eastAsia" w:ascii="仿宋_GB2312" w:eastAsia="仿宋_GB2312" w:cs="仿宋_GB2312"/>
          <w:color w:val="auto"/>
          <w:sz w:val="32"/>
          <w:szCs w:val="32"/>
        </w:rPr>
        <w:t>。</w:t>
      </w:r>
    </w:p>
    <w:p w14:paraId="0583BE62">
      <w:pPr>
        <w:keepNext w:val="0"/>
        <w:keepLines w:val="0"/>
        <w:pageBreakBefore w:val="0"/>
        <w:kinsoku/>
        <w:overflowPunct/>
        <w:autoSpaceDE/>
        <w:autoSpaceDN/>
        <w:bidi w:val="0"/>
        <w:spacing w:line="560" w:lineRule="exact"/>
        <w:ind w:firstLine="645"/>
        <w:textAlignment w:val="auto"/>
        <w:rPr>
          <w:rFonts w:hint="eastAsia" w:ascii="仿宋" w:eastAsia="仿宋"/>
          <w:color w:val="auto"/>
          <w:sz w:val="32"/>
          <w:szCs w:val="32"/>
        </w:rPr>
      </w:pPr>
      <w:r>
        <w:rPr>
          <w:rFonts w:hint="eastAsia" w:ascii="仿宋_GB2312" w:eastAsia="仿宋_GB2312" w:cs="仿宋_GB2312"/>
          <w:color w:val="auto"/>
          <w:sz w:val="32"/>
          <w:szCs w:val="32"/>
        </w:rPr>
        <w:t>公用经费</w:t>
      </w:r>
      <w:r>
        <w:rPr>
          <w:rFonts w:hint="eastAsia" w:ascii="仿宋_GB2312" w:cs="仿宋_GB2312"/>
          <w:color w:val="auto"/>
          <w:sz w:val="32"/>
          <w:szCs w:val="32"/>
          <w:lang w:val="en-US" w:eastAsia="zh-CN"/>
        </w:rPr>
        <w:t>30.17</w:t>
      </w:r>
      <w:r>
        <w:rPr>
          <w:rFonts w:hint="eastAsia" w:ascii="仿宋_GB2312" w:eastAsia="仿宋_GB2312" w:cs="仿宋_GB2312"/>
          <w:color w:val="auto"/>
          <w:sz w:val="32"/>
          <w:szCs w:val="32"/>
        </w:rPr>
        <w:t>万元，主要包括：办公费</w:t>
      </w:r>
      <w:r>
        <w:rPr>
          <w:rFonts w:hint="eastAsia" w:ascii="仿宋_GB2312" w:cs="仿宋_GB2312"/>
          <w:color w:val="auto"/>
          <w:sz w:val="32"/>
          <w:szCs w:val="32"/>
          <w:lang w:val="en-US" w:eastAsia="zh-CN"/>
        </w:rPr>
        <w:t>5.48</w:t>
      </w:r>
      <w:r>
        <w:rPr>
          <w:rFonts w:hint="eastAsia" w:ascii="仿宋_GB2312" w:eastAsia="仿宋_GB2312" w:cs="仿宋_GB2312"/>
          <w:color w:val="auto"/>
          <w:sz w:val="32"/>
          <w:szCs w:val="32"/>
          <w:lang w:val="en-US" w:eastAsia="zh-CN"/>
        </w:rPr>
        <w:t>万元</w:t>
      </w:r>
      <w:r>
        <w:rPr>
          <w:rFonts w:hint="eastAsia" w:ascii="仿宋_GB2312" w:eastAsia="仿宋_GB2312" w:cs="仿宋_GB2312"/>
          <w:color w:val="auto"/>
          <w:sz w:val="32"/>
          <w:szCs w:val="32"/>
        </w:rPr>
        <w:t>、</w:t>
      </w:r>
      <w:r>
        <w:rPr>
          <w:rFonts w:hint="eastAsia" w:ascii="仿宋" w:eastAsia="仿宋"/>
          <w:color w:val="auto"/>
          <w:sz w:val="32"/>
          <w:szCs w:val="32"/>
        </w:rPr>
        <w:t>手续费0万元、印刷费</w:t>
      </w:r>
      <w:r>
        <w:rPr>
          <w:rFonts w:hint="eastAsia" w:ascii="仿宋" w:eastAsia="仿宋"/>
          <w:color w:val="auto"/>
          <w:sz w:val="32"/>
          <w:szCs w:val="32"/>
          <w:lang w:val="en-US" w:eastAsia="zh-CN"/>
        </w:rPr>
        <w:t>0</w:t>
      </w:r>
      <w:r>
        <w:rPr>
          <w:rFonts w:hint="eastAsia" w:ascii="仿宋" w:eastAsia="仿宋"/>
          <w:color w:val="auto"/>
          <w:sz w:val="32"/>
          <w:szCs w:val="32"/>
        </w:rPr>
        <w:t>万元、水费0.10万元、电费</w:t>
      </w:r>
      <w:r>
        <w:rPr>
          <w:rFonts w:hint="eastAsia" w:ascii="仿宋" w:eastAsia="仿宋"/>
          <w:color w:val="auto"/>
          <w:sz w:val="32"/>
          <w:szCs w:val="32"/>
          <w:lang w:val="en-US" w:eastAsia="zh-CN"/>
        </w:rPr>
        <w:t>2</w:t>
      </w:r>
      <w:r>
        <w:rPr>
          <w:rFonts w:hint="eastAsia" w:ascii="仿宋" w:eastAsia="仿宋"/>
          <w:color w:val="auto"/>
          <w:sz w:val="32"/>
          <w:szCs w:val="32"/>
        </w:rPr>
        <w:t>万元、邮电费</w:t>
      </w:r>
      <w:r>
        <w:rPr>
          <w:rFonts w:hint="eastAsia" w:ascii="仿宋" w:eastAsia="仿宋"/>
          <w:color w:val="auto"/>
          <w:sz w:val="32"/>
          <w:szCs w:val="32"/>
          <w:lang w:val="en-US" w:eastAsia="zh-CN"/>
        </w:rPr>
        <w:t>3.88</w:t>
      </w:r>
      <w:r>
        <w:rPr>
          <w:rFonts w:hint="eastAsia" w:ascii="仿宋" w:eastAsia="仿宋"/>
          <w:color w:val="auto"/>
          <w:sz w:val="32"/>
          <w:szCs w:val="32"/>
        </w:rPr>
        <w:t>万元、物业管理费0万元、差旅费</w:t>
      </w:r>
      <w:r>
        <w:rPr>
          <w:rFonts w:hint="eastAsia" w:ascii="仿宋" w:eastAsia="仿宋"/>
          <w:color w:val="auto"/>
          <w:sz w:val="32"/>
          <w:szCs w:val="32"/>
          <w:lang w:val="en-US" w:eastAsia="zh-CN"/>
        </w:rPr>
        <w:t>9.1</w:t>
      </w:r>
      <w:r>
        <w:rPr>
          <w:rFonts w:hint="eastAsia" w:ascii="仿宋" w:eastAsia="仿宋"/>
          <w:color w:val="auto"/>
          <w:sz w:val="32"/>
          <w:szCs w:val="32"/>
        </w:rPr>
        <w:t>万元、因公出国（境）费用0万元、维修（护）费</w:t>
      </w:r>
      <w:r>
        <w:rPr>
          <w:rFonts w:hint="eastAsia" w:ascii="仿宋" w:eastAsia="仿宋"/>
          <w:color w:val="auto"/>
          <w:sz w:val="32"/>
          <w:szCs w:val="32"/>
          <w:lang w:val="en-US" w:eastAsia="zh-CN"/>
        </w:rPr>
        <w:t>0.53</w:t>
      </w:r>
      <w:r>
        <w:rPr>
          <w:rFonts w:hint="eastAsia" w:ascii="仿宋" w:eastAsia="仿宋"/>
          <w:color w:val="auto"/>
          <w:sz w:val="32"/>
          <w:szCs w:val="32"/>
        </w:rPr>
        <w:t>万元、租赁费0万元、会议费0万元、培训费0万元、公务接待费</w:t>
      </w:r>
      <w:r>
        <w:rPr>
          <w:rFonts w:hint="eastAsia" w:ascii="仿宋" w:eastAsia="仿宋"/>
          <w:color w:val="auto"/>
          <w:sz w:val="32"/>
          <w:szCs w:val="32"/>
          <w:lang w:val="en-US" w:eastAsia="zh-CN"/>
        </w:rPr>
        <w:t>0</w:t>
      </w:r>
      <w:r>
        <w:rPr>
          <w:rFonts w:hint="eastAsia" w:ascii="仿宋" w:eastAsia="仿宋"/>
          <w:color w:val="auto"/>
          <w:sz w:val="32"/>
          <w:szCs w:val="32"/>
        </w:rPr>
        <w:t>万元、</w:t>
      </w:r>
      <w:r>
        <w:rPr>
          <w:rFonts w:hint="eastAsia" w:ascii="仿宋" w:eastAsia="仿宋"/>
          <w:color w:val="auto"/>
          <w:sz w:val="32"/>
          <w:szCs w:val="32"/>
          <w:lang w:eastAsia="zh-CN"/>
        </w:rPr>
        <w:t>劳务费</w:t>
      </w:r>
      <w:r>
        <w:rPr>
          <w:rFonts w:hint="eastAsia" w:ascii="仿宋" w:eastAsia="仿宋"/>
          <w:color w:val="auto"/>
          <w:sz w:val="32"/>
          <w:szCs w:val="32"/>
          <w:lang w:val="en-US" w:eastAsia="zh-CN"/>
        </w:rPr>
        <w:t>4.14万元，</w:t>
      </w:r>
      <w:r>
        <w:rPr>
          <w:rFonts w:hint="eastAsia" w:ascii="仿宋" w:eastAsia="仿宋"/>
          <w:color w:val="auto"/>
          <w:sz w:val="32"/>
          <w:szCs w:val="32"/>
        </w:rPr>
        <w:t>福利费</w:t>
      </w:r>
      <w:r>
        <w:rPr>
          <w:rFonts w:hint="eastAsia" w:ascii="仿宋" w:eastAsia="仿宋"/>
          <w:color w:val="auto"/>
          <w:sz w:val="32"/>
          <w:szCs w:val="32"/>
          <w:lang w:val="en-US" w:eastAsia="zh-CN"/>
        </w:rPr>
        <w:t>0</w:t>
      </w:r>
      <w:r>
        <w:rPr>
          <w:rFonts w:hint="eastAsia" w:ascii="仿宋" w:eastAsia="仿宋"/>
          <w:color w:val="auto"/>
          <w:sz w:val="32"/>
          <w:szCs w:val="32"/>
        </w:rPr>
        <w:t>万元、公务用车运行维护费</w:t>
      </w:r>
      <w:r>
        <w:rPr>
          <w:rFonts w:hint="eastAsia" w:ascii="仿宋" w:eastAsia="仿宋"/>
          <w:color w:val="auto"/>
          <w:sz w:val="32"/>
          <w:szCs w:val="32"/>
          <w:lang w:val="en-US" w:eastAsia="zh-CN"/>
        </w:rPr>
        <w:t>4.94</w:t>
      </w:r>
      <w:r>
        <w:rPr>
          <w:rFonts w:hint="eastAsia" w:ascii="仿宋" w:eastAsia="仿宋"/>
          <w:color w:val="auto"/>
          <w:sz w:val="32"/>
          <w:szCs w:val="32"/>
        </w:rPr>
        <w:t>万元、其他交通费用</w:t>
      </w:r>
      <w:r>
        <w:rPr>
          <w:rFonts w:hint="eastAsia" w:ascii="仿宋" w:eastAsia="仿宋"/>
          <w:color w:val="auto"/>
          <w:sz w:val="32"/>
          <w:szCs w:val="32"/>
          <w:lang w:val="en-US" w:eastAsia="zh-CN"/>
        </w:rPr>
        <w:t>0</w:t>
      </w:r>
      <w:r>
        <w:rPr>
          <w:rFonts w:hint="eastAsia" w:ascii="仿宋" w:eastAsia="仿宋"/>
          <w:color w:val="auto"/>
          <w:sz w:val="32"/>
          <w:szCs w:val="32"/>
        </w:rPr>
        <w:t>万元、其他商品和服务支出0万元、办公设备购置</w:t>
      </w:r>
      <w:r>
        <w:rPr>
          <w:rFonts w:hint="eastAsia" w:ascii="仿宋" w:eastAsia="仿宋"/>
          <w:color w:val="auto"/>
          <w:sz w:val="32"/>
          <w:szCs w:val="32"/>
          <w:lang w:val="en-US" w:eastAsia="zh-CN"/>
        </w:rPr>
        <w:t>0</w:t>
      </w:r>
      <w:r>
        <w:rPr>
          <w:rFonts w:hint="eastAsia" w:ascii="仿宋" w:eastAsia="仿宋"/>
          <w:color w:val="auto"/>
          <w:sz w:val="32"/>
          <w:szCs w:val="32"/>
        </w:rPr>
        <w:t>万元、无形资产购置0万元等。</w:t>
      </w:r>
    </w:p>
    <w:p w14:paraId="2492A79A">
      <w:pPr>
        <w:spacing w:line="600" w:lineRule="exact"/>
        <w:ind w:firstLine="645"/>
        <w:rPr>
          <w:rFonts w:hint="eastAsia" w:ascii="仿宋" w:hAnsi="仿宋" w:eastAsia="仿宋"/>
          <w:sz w:val="32"/>
          <w:szCs w:val="32"/>
          <w:lang w:val="en-US" w:eastAsia="zh-CN"/>
        </w:rPr>
      </w:pPr>
      <w:r>
        <w:rPr>
          <w:rFonts w:hint="eastAsia" w:ascii="仿宋" w:hAnsi="仿宋" w:eastAsia="仿宋"/>
          <w:sz w:val="32"/>
          <w:szCs w:val="32"/>
          <w:lang w:eastAsia="zh-CN"/>
        </w:rPr>
        <w:t>2024年</w:t>
      </w:r>
      <w:r>
        <w:rPr>
          <w:rFonts w:hint="eastAsia" w:ascii="仿宋" w:hAnsi="仿宋" w:eastAsia="仿宋"/>
          <w:sz w:val="32"/>
          <w:szCs w:val="32"/>
        </w:rPr>
        <w:t>度一般公共预算财政拨款</w:t>
      </w:r>
      <w:r>
        <w:rPr>
          <w:rFonts w:hint="eastAsia" w:ascii="仿宋" w:hAnsi="仿宋" w:eastAsia="仿宋"/>
          <w:sz w:val="32"/>
          <w:szCs w:val="32"/>
          <w:lang w:eastAsia="zh-CN"/>
        </w:rPr>
        <w:t>项目</w:t>
      </w:r>
      <w:r>
        <w:rPr>
          <w:rFonts w:hint="eastAsia" w:ascii="仿宋" w:hAnsi="仿宋" w:eastAsia="仿宋"/>
          <w:sz w:val="32"/>
          <w:szCs w:val="32"/>
        </w:rPr>
        <w:t>支出</w:t>
      </w:r>
      <w:r>
        <w:rPr>
          <w:rFonts w:hint="eastAsia" w:eastAsia="仿宋"/>
          <w:sz w:val="32"/>
          <w:szCs w:val="32"/>
          <w:lang w:val="en-US" w:eastAsia="zh-CN"/>
        </w:rPr>
        <w:t>15862.57</w:t>
      </w:r>
      <w:r>
        <w:rPr>
          <w:rFonts w:hint="eastAsia" w:ascii="仿宋" w:hAnsi="仿宋" w:eastAsia="仿宋"/>
          <w:sz w:val="32"/>
          <w:szCs w:val="32"/>
        </w:rPr>
        <w:t>万元，其中：</w:t>
      </w:r>
      <w:r>
        <w:rPr>
          <w:rFonts w:hint="eastAsia" w:ascii="仿宋" w:hAnsi="仿宋" w:eastAsia="仿宋"/>
          <w:sz w:val="32"/>
          <w:szCs w:val="32"/>
          <w:lang w:eastAsia="zh-CN"/>
        </w:rPr>
        <w:t>培训费</w:t>
      </w:r>
      <w:r>
        <w:rPr>
          <w:rFonts w:hint="eastAsia" w:ascii="仿宋" w:hAnsi="仿宋" w:eastAsia="仿宋"/>
          <w:sz w:val="32"/>
          <w:szCs w:val="32"/>
          <w:lang w:val="en-US" w:eastAsia="zh-CN"/>
        </w:rPr>
        <w:t>0.48万元，</w:t>
      </w:r>
      <w:r>
        <w:rPr>
          <w:rFonts w:hint="eastAsia" w:ascii="仿宋" w:hAnsi="仿宋" w:eastAsia="仿宋"/>
          <w:sz w:val="32"/>
          <w:szCs w:val="32"/>
          <w:lang w:eastAsia="zh-CN"/>
        </w:rPr>
        <w:t>委托业务费</w:t>
      </w:r>
      <w:r>
        <w:rPr>
          <w:rFonts w:hint="eastAsia" w:ascii="仿宋" w:hAnsi="仿宋" w:eastAsia="仿宋"/>
          <w:sz w:val="32"/>
          <w:szCs w:val="32"/>
          <w:lang w:val="en-US" w:eastAsia="zh-CN"/>
        </w:rPr>
        <w:t>2066.26万元，生活补助3651.96万元，其他对个人和家庭的补助支出19.12万元，基础设施建设7605.27万元，土地补偿1114.03万元，地上附着物和青苗补偿15.72万元，拆迁补偿1389.73万元。</w:t>
      </w:r>
    </w:p>
    <w:p w14:paraId="49CBBA33">
      <w:pPr>
        <w:spacing w:line="600" w:lineRule="exact"/>
        <w:ind w:firstLine="640"/>
        <w:outlineLvl w:val="1"/>
        <w:rPr>
          <w:rStyle w:val="31"/>
          <w:rFonts w:ascii="黑体" w:hAnsi="黑体" w:eastAsia="黑体"/>
          <w:b w:val="0"/>
        </w:rPr>
      </w:pPr>
      <w:bookmarkStart w:id="58" w:name="_Toc15377215"/>
      <w:bookmarkStart w:id="59" w:name="_Toc15396609"/>
      <w:bookmarkStart w:id="60" w:name="_Toc13177_WPSOffice_Level2"/>
      <w:r>
        <w:rPr>
          <w:rFonts w:hint="eastAsia" w:ascii="黑体" w:eastAsia="黑体"/>
          <w:sz w:val="32"/>
          <w:szCs w:val="32"/>
        </w:rPr>
        <w:t>七、</w:t>
      </w:r>
      <w:r>
        <w:rPr>
          <w:rStyle w:val="31"/>
          <w:rFonts w:hint="eastAsia" w:ascii="黑体" w:hAnsi="黑体" w:eastAsia="黑体"/>
          <w:b w:val="0"/>
        </w:rPr>
        <w:t>财政拨款</w:t>
      </w:r>
      <w:r>
        <w:rPr>
          <w:rStyle w:val="31"/>
          <w:rFonts w:hint="eastAsia" w:ascii="黑体" w:hAnsi="黑体" w:eastAsia="黑体"/>
        </w:rPr>
        <w:t>“</w:t>
      </w:r>
      <w:r>
        <w:rPr>
          <w:rStyle w:val="31"/>
          <w:rFonts w:hint="eastAsia" w:ascii="黑体" w:hAnsi="黑体" w:eastAsia="黑体"/>
          <w:b w:val="0"/>
        </w:rPr>
        <w:t>三公”经费支出决算情况说明</w:t>
      </w:r>
      <w:bookmarkEnd w:id="58"/>
      <w:bookmarkEnd w:id="59"/>
      <w:bookmarkEnd w:id="60"/>
    </w:p>
    <w:p w14:paraId="6A4CA471">
      <w:pPr>
        <w:spacing w:line="600" w:lineRule="exact"/>
        <w:ind w:firstLine="640"/>
        <w:outlineLvl w:val="2"/>
        <w:rPr>
          <w:rFonts w:ascii="仿宋" w:hAnsi="仿宋" w:eastAsia="仿宋"/>
          <w:b/>
          <w:sz w:val="32"/>
          <w:szCs w:val="32"/>
        </w:rPr>
      </w:pPr>
      <w:bookmarkStart w:id="61" w:name="_Toc15377216"/>
      <w:r>
        <w:rPr>
          <w:rFonts w:hint="eastAsia" w:ascii="仿宋" w:hAnsi="仿宋" w:eastAsia="仿宋"/>
          <w:b/>
          <w:sz w:val="32"/>
          <w:szCs w:val="32"/>
        </w:rPr>
        <w:t>（一）“三公”经费财政拨款支出决算总体情况说明</w:t>
      </w:r>
      <w:bookmarkEnd w:id="61"/>
    </w:p>
    <w:p w14:paraId="065F2E8D">
      <w:pPr>
        <w:spacing w:line="600" w:lineRule="exact"/>
        <w:ind w:firstLine="640"/>
        <w:rPr>
          <w:rFonts w:ascii="仿宋" w:hAnsi="仿宋" w:eastAsia="仿宋"/>
          <w:sz w:val="32"/>
          <w:szCs w:val="32"/>
        </w:rPr>
      </w:pPr>
      <w:r>
        <w:rPr>
          <w:rFonts w:hint="eastAsia" w:ascii="仿宋" w:hAnsi="仿宋" w:eastAsia="仿宋"/>
          <w:sz w:val="32"/>
          <w:szCs w:val="32"/>
          <w:lang w:eastAsia="zh-CN"/>
        </w:rPr>
        <w:t>2024年</w:t>
      </w:r>
      <w:r>
        <w:rPr>
          <w:rFonts w:hint="eastAsia" w:ascii="仿宋" w:hAnsi="仿宋" w:eastAsia="仿宋"/>
          <w:sz w:val="32"/>
          <w:szCs w:val="32"/>
        </w:rPr>
        <w:t>度“三公”经费财政拨款支出决算为</w:t>
      </w:r>
      <w:r>
        <w:rPr>
          <w:rFonts w:hint="eastAsia" w:eastAsia="仿宋"/>
          <w:sz w:val="32"/>
          <w:szCs w:val="32"/>
          <w:lang w:val="en-US" w:eastAsia="zh-CN"/>
        </w:rPr>
        <w:t>4.94</w:t>
      </w:r>
      <w:r>
        <w:rPr>
          <w:rFonts w:hint="eastAsia" w:ascii="仿宋" w:hAnsi="仿宋" w:eastAsia="仿宋"/>
          <w:sz w:val="32"/>
          <w:szCs w:val="32"/>
        </w:rPr>
        <w:t>万元，较上年度</w:t>
      </w:r>
      <w:r>
        <w:rPr>
          <w:rFonts w:hint="eastAsia" w:ascii="仿宋" w:hAnsi="仿宋" w:eastAsia="仿宋"/>
          <w:sz w:val="32"/>
          <w:szCs w:val="32"/>
          <w:lang w:eastAsia="zh-CN"/>
        </w:rPr>
        <w:t>增加</w:t>
      </w:r>
      <w:r>
        <w:rPr>
          <w:rFonts w:hint="eastAsia" w:ascii="仿宋" w:hAnsi="仿宋" w:eastAsia="仿宋"/>
          <w:sz w:val="32"/>
          <w:szCs w:val="32"/>
          <w:lang w:val="en-US" w:eastAsia="zh-CN"/>
        </w:rPr>
        <w:t>3.64</w:t>
      </w:r>
      <w:r>
        <w:rPr>
          <w:rFonts w:hint="eastAsia" w:ascii="仿宋" w:hAnsi="仿宋" w:eastAsia="仿宋"/>
          <w:sz w:val="32"/>
          <w:szCs w:val="32"/>
        </w:rPr>
        <w:t>万元，</w:t>
      </w:r>
      <w:r>
        <w:rPr>
          <w:rFonts w:hint="eastAsia" w:ascii="仿宋" w:hAnsi="仿宋" w:eastAsia="仿宋"/>
          <w:sz w:val="32"/>
          <w:szCs w:val="32"/>
          <w:lang w:eastAsia="zh-CN"/>
        </w:rPr>
        <w:t>增加</w:t>
      </w:r>
      <w:r>
        <w:rPr>
          <w:rFonts w:hint="eastAsia" w:ascii="仿宋" w:hAnsi="仿宋" w:eastAsia="仿宋"/>
          <w:sz w:val="32"/>
          <w:szCs w:val="32"/>
          <w:lang w:val="en-US" w:eastAsia="zh-CN"/>
        </w:rPr>
        <w:t>280</w:t>
      </w:r>
      <w:r>
        <w:rPr>
          <w:rFonts w:hint="eastAsia" w:ascii="仿宋" w:hAnsi="仿宋" w:eastAsia="仿宋"/>
          <w:sz w:val="32"/>
          <w:szCs w:val="32"/>
        </w:rPr>
        <w:t>%。决算与预算数持平。</w:t>
      </w:r>
    </w:p>
    <w:p w14:paraId="6B245448">
      <w:pPr>
        <w:spacing w:line="600" w:lineRule="exact"/>
        <w:ind w:firstLine="640"/>
        <w:outlineLvl w:val="2"/>
        <w:rPr>
          <w:rFonts w:ascii="仿宋" w:hAnsi="仿宋" w:eastAsia="仿宋"/>
          <w:b/>
          <w:sz w:val="32"/>
          <w:szCs w:val="32"/>
        </w:rPr>
      </w:pPr>
      <w:bookmarkStart w:id="62" w:name="_Toc15377217"/>
      <w:r>
        <w:rPr>
          <w:rFonts w:hint="eastAsia" w:ascii="仿宋" w:hAnsi="仿宋" w:eastAsia="仿宋"/>
          <w:b/>
          <w:sz w:val="32"/>
          <w:szCs w:val="32"/>
        </w:rPr>
        <w:t>（二）“三公”经费财政拨款支出决算具体情况说明</w:t>
      </w:r>
      <w:bookmarkEnd w:id="62"/>
    </w:p>
    <w:p w14:paraId="52EBCDE0">
      <w:pPr>
        <w:spacing w:line="600" w:lineRule="exact"/>
        <w:ind w:firstLine="640"/>
        <w:rPr>
          <w:rFonts w:hint="eastAsia" w:ascii="仿宋" w:hAnsi="仿宋" w:eastAsia="仿宋"/>
          <w:sz w:val="32"/>
          <w:szCs w:val="32"/>
        </w:rPr>
      </w:pPr>
      <w:r>
        <w:rPr>
          <w:rFonts w:hint="eastAsia" w:ascii="仿宋" w:hAnsi="仿宋" w:eastAsia="仿宋"/>
          <w:sz w:val="32"/>
          <w:szCs w:val="32"/>
          <w:lang w:eastAsia="zh-CN"/>
        </w:rPr>
        <w:t>2024年</w:t>
      </w:r>
      <w:r>
        <w:rPr>
          <w:rFonts w:hint="eastAsia" w:ascii="仿宋" w:hAnsi="仿宋" w:eastAsia="仿宋"/>
          <w:sz w:val="32"/>
          <w:szCs w:val="32"/>
        </w:rPr>
        <w:t>度“三公”经费财政拨款支出决算中，因公出国（境）费支出决算</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；公务用车购置及运行维护费支出决算</w:t>
      </w:r>
      <w:r>
        <w:rPr>
          <w:rFonts w:hint="eastAsia" w:eastAsia="仿宋"/>
          <w:sz w:val="32"/>
          <w:szCs w:val="32"/>
          <w:lang w:val="en-US" w:eastAsia="zh-CN"/>
        </w:rPr>
        <w:t>4.94</w:t>
      </w:r>
      <w:r>
        <w:rPr>
          <w:rFonts w:hint="eastAsia" w:ascii="仿宋" w:hAnsi="仿宋" w:eastAsia="仿宋"/>
          <w:sz w:val="32"/>
          <w:szCs w:val="32"/>
        </w:rPr>
        <w:t>万元，占</w:t>
      </w:r>
      <w:r>
        <w:rPr>
          <w:sz w:val="32"/>
          <w:szCs w:val="32"/>
        </w:rPr>
        <w:t>100</w:t>
      </w:r>
      <w:r>
        <w:rPr>
          <w:rFonts w:ascii="仿宋" w:hAnsi="仿宋" w:eastAsia="仿宋"/>
          <w:sz w:val="32"/>
          <w:szCs w:val="32"/>
        </w:rPr>
        <w:t>%</w:t>
      </w:r>
      <w:r>
        <w:rPr>
          <w:rFonts w:hint="eastAsia" w:ascii="仿宋" w:hAnsi="仿宋" w:eastAsia="仿宋"/>
          <w:sz w:val="32"/>
          <w:szCs w:val="32"/>
        </w:rPr>
        <w:t>；公务接待费支出决算</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。具体情况如下：</w:t>
      </w:r>
    </w:p>
    <w:p w14:paraId="66C49AB9">
      <w:pPr>
        <w:pStyle w:val="6"/>
        <w:rPr>
          <w:rFonts w:hint="eastAsia" w:ascii="仿宋" w:hAnsi="仿宋" w:eastAsia="仿宋"/>
          <w:sz w:val="32"/>
          <w:szCs w:val="32"/>
        </w:rPr>
      </w:pPr>
      <w:r>
        <w:drawing>
          <wp:anchor distT="0" distB="0" distL="114300" distR="114300" simplePos="0" relativeHeight="251659264" behindDoc="0" locked="0" layoutInCell="1" allowOverlap="1">
            <wp:simplePos x="0" y="0"/>
            <wp:positionH relativeFrom="column">
              <wp:posOffset>404495</wp:posOffset>
            </wp:positionH>
            <wp:positionV relativeFrom="paragraph">
              <wp:posOffset>198755</wp:posOffset>
            </wp:positionV>
            <wp:extent cx="4572000" cy="1791970"/>
            <wp:effectExtent l="4445" t="4445" r="14605" b="13335"/>
            <wp:wrapSquare wrapText="bothSides"/>
            <wp:docPr id="9"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14:paraId="77298633">
      <w:pPr>
        <w:pStyle w:val="6"/>
        <w:rPr>
          <w:rFonts w:hint="eastAsia" w:ascii="仿宋" w:hAnsi="仿宋" w:eastAsia="仿宋"/>
          <w:sz w:val="32"/>
          <w:szCs w:val="32"/>
        </w:rPr>
      </w:pPr>
    </w:p>
    <w:p w14:paraId="4E06EFE5">
      <w:pPr>
        <w:pStyle w:val="6"/>
        <w:rPr>
          <w:rFonts w:hint="eastAsia" w:ascii="仿宋" w:hAnsi="仿宋" w:eastAsia="仿宋"/>
          <w:sz w:val="32"/>
          <w:szCs w:val="32"/>
        </w:rPr>
      </w:pPr>
    </w:p>
    <w:p w14:paraId="50B2DA2A">
      <w:pPr>
        <w:pStyle w:val="6"/>
        <w:rPr>
          <w:rFonts w:hint="eastAsia" w:ascii="仿宋" w:hAnsi="仿宋" w:eastAsia="仿宋"/>
          <w:sz w:val="32"/>
          <w:szCs w:val="32"/>
        </w:rPr>
      </w:pPr>
    </w:p>
    <w:p w14:paraId="7392208E">
      <w:pPr>
        <w:pStyle w:val="6"/>
        <w:rPr>
          <w:rFonts w:hint="eastAsia" w:ascii="仿宋" w:hAnsi="仿宋" w:eastAsia="仿宋"/>
          <w:sz w:val="32"/>
          <w:szCs w:val="32"/>
        </w:rPr>
      </w:pPr>
    </w:p>
    <w:p w14:paraId="731B567C">
      <w:pPr>
        <w:spacing w:line="600" w:lineRule="exact"/>
        <w:ind w:firstLine="640"/>
        <w:rPr>
          <w:rFonts w:ascii="仿宋_GB2312" w:eastAsia="仿宋_GB2312"/>
          <w:b/>
          <w:sz w:val="32"/>
          <w:szCs w:val="32"/>
        </w:rPr>
      </w:pPr>
      <w:r>
        <w:rPr>
          <w:rFonts w:ascii="仿宋_GB2312" w:eastAsia="仿宋_GB2312"/>
          <w:b/>
          <w:sz w:val="32"/>
          <w:szCs w:val="32"/>
        </w:rPr>
        <w:t>1.</w:t>
      </w:r>
      <w:r>
        <w:rPr>
          <w:rFonts w:hint="eastAsia" w:ascii="仿宋_GB2312" w:eastAsia="仿宋_GB2312"/>
          <w:b/>
          <w:sz w:val="32"/>
          <w:szCs w:val="32"/>
        </w:rPr>
        <w:t>因公出国（境）经费支出</w:t>
      </w:r>
      <w:r>
        <w:rPr>
          <w:sz w:val="32"/>
          <w:szCs w:val="32"/>
        </w:rPr>
        <w:t>0</w:t>
      </w:r>
      <w:r>
        <w:rPr>
          <w:rFonts w:hint="eastAsia" w:ascii="仿宋_GB2312" w:eastAsia="仿宋_GB2312"/>
          <w:sz w:val="32"/>
          <w:szCs w:val="32"/>
        </w:rPr>
        <w:t>万元，</w:t>
      </w:r>
      <w:r>
        <w:rPr>
          <w:rStyle w:val="19"/>
          <w:rFonts w:hint="eastAsia" w:ascii="仿宋" w:hAnsi="仿宋" w:eastAsia="仿宋"/>
          <w:b w:val="0"/>
          <w:bCs/>
          <w:sz w:val="32"/>
          <w:szCs w:val="32"/>
        </w:rPr>
        <w:t>完成预算</w:t>
      </w:r>
      <w:r>
        <w:rPr>
          <w:sz w:val="32"/>
          <w:szCs w:val="32"/>
        </w:rPr>
        <w:t>0</w:t>
      </w:r>
      <w:r>
        <w:rPr>
          <w:rStyle w:val="19"/>
          <w:rFonts w:ascii="仿宋" w:hAnsi="仿宋" w:eastAsia="仿宋"/>
          <w:b w:val="0"/>
          <w:bCs/>
          <w:sz w:val="32"/>
          <w:szCs w:val="32"/>
        </w:rPr>
        <w:t>%</w:t>
      </w:r>
      <w:r>
        <w:rPr>
          <w:rStyle w:val="19"/>
          <w:rFonts w:hint="eastAsia" w:ascii="仿宋" w:hAnsi="仿宋" w:eastAsia="仿宋"/>
          <w:b w:val="0"/>
          <w:bCs/>
          <w:sz w:val="32"/>
          <w:szCs w:val="32"/>
        </w:rPr>
        <w:t>。</w:t>
      </w:r>
      <w:r>
        <w:rPr>
          <w:rFonts w:hint="eastAsia" w:ascii="仿宋_GB2312" w:eastAsia="仿宋_GB2312"/>
          <w:sz w:val="32"/>
          <w:szCs w:val="32"/>
        </w:rPr>
        <w:t>全年安排因公出国（境）团组</w:t>
      </w:r>
      <w:r>
        <w:rPr>
          <w:sz w:val="32"/>
          <w:szCs w:val="32"/>
        </w:rPr>
        <w:t>0</w:t>
      </w:r>
      <w:r>
        <w:rPr>
          <w:rFonts w:hint="eastAsia" w:ascii="仿宋_GB2312" w:eastAsia="仿宋_GB2312"/>
          <w:sz w:val="32"/>
          <w:szCs w:val="32"/>
        </w:rPr>
        <w:t>次，出国（境）</w:t>
      </w:r>
      <w:r>
        <w:rPr>
          <w:sz w:val="32"/>
          <w:szCs w:val="32"/>
        </w:rPr>
        <w:t>0</w:t>
      </w:r>
      <w:r>
        <w:rPr>
          <w:rFonts w:hint="eastAsia" w:ascii="仿宋_GB2312" w:eastAsia="仿宋_GB2312"/>
          <w:sz w:val="32"/>
          <w:szCs w:val="32"/>
        </w:rPr>
        <w:t>人。。</w:t>
      </w:r>
    </w:p>
    <w:p w14:paraId="3F061572">
      <w:pPr>
        <w:spacing w:line="600" w:lineRule="exact"/>
        <w:ind w:firstLine="640"/>
        <w:rPr>
          <w:rFonts w:ascii="仿宋_GB2312" w:eastAsia="仿宋_GB2312"/>
          <w:b/>
          <w:sz w:val="32"/>
          <w:szCs w:val="32"/>
        </w:rPr>
      </w:pPr>
      <w:r>
        <w:rPr>
          <w:rFonts w:ascii="仿宋_GB2312" w:eastAsia="仿宋_GB2312"/>
          <w:b/>
          <w:sz w:val="32"/>
          <w:szCs w:val="32"/>
        </w:rPr>
        <w:t>2.</w:t>
      </w:r>
      <w:r>
        <w:rPr>
          <w:rFonts w:hint="eastAsia" w:ascii="仿宋_GB2312" w:eastAsia="仿宋_GB2312"/>
          <w:b/>
          <w:sz w:val="32"/>
          <w:szCs w:val="32"/>
        </w:rPr>
        <w:t>公务用车购置及运行维护费支出</w:t>
      </w:r>
      <w:r>
        <w:rPr>
          <w:rFonts w:hint="eastAsia" w:eastAsia="仿宋_GB2312"/>
          <w:sz w:val="32"/>
          <w:szCs w:val="32"/>
          <w:lang w:val="en-US" w:eastAsia="zh-CN"/>
        </w:rPr>
        <w:t>4.94</w:t>
      </w:r>
      <w:r>
        <w:rPr>
          <w:rFonts w:hint="eastAsia" w:ascii="仿宋_GB2312" w:eastAsia="仿宋_GB2312"/>
          <w:sz w:val="32"/>
          <w:szCs w:val="32"/>
        </w:rPr>
        <w:t>万元,</w:t>
      </w:r>
      <w:r>
        <w:rPr>
          <w:rFonts w:hint="eastAsia" w:ascii="仿宋" w:hAnsi="仿宋" w:eastAsia="仿宋"/>
          <w:sz w:val="32"/>
          <w:szCs w:val="32"/>
        </w:rPr>
        <w:t>较上年度</w:t>
      </w:r>
      <w:r>
        <w:rPr>
          <w:rFonts w:hint="eastAsia" w:ascii="仿宋" w:hAnsi="仿宋" w:eastAsia="仿宋"/>
          <w:sz w:val="32"/>
          <w:szCs w:val="32"/>
          <w:lang w:eastAsia="zh-CN"/>
        </w:rPr>
        <w:t>增加</w:t>
      </w:r>
      <w:r>
        <w:rPr>
          <w:rFonts w:hint="eastAsia" w:ascii="仿宋" w:hAnsi="仿宋" w:eastAsia="仿宋"/>
          <w:sz w:val="32"/>
          <w:szCs w:val="32"/>
          <w:lang w:val="en-US" w:eastAsia="zh-CN"/>
        </w:rPr>
        <w:t>3.64</w:t>
      </w:r>
      <w:r>
        <w:rPr>
          <w:rFonts w:hint="eastAsia" w:ascii="仿宋" w:hAnsi="仿宋" w:eastAsia="仿宋"/>
          <w:sz w:val="32"/>
          <w:szCs w:val="32"/>
        </w:rPr>
        <w:t>万元，</w:t>
      </w:r>
      <w:r>
        <w:rPr>
          <w:rFonts w:hint="eastAsia" w:ascii="仿宋" w:hAnsi="仿宋" w:eastAsia="仿宋"/>
          <w:sz w:val="32"/>
          <w:szCs w:val="32"/>
          <w:lang w:eastAsia="zh-CN"/>
        </w:rPr>
        <w:t>增加</w:t>
      </w:r>
      <w:r>
        <w:rPr>
          <w:rFonts w:hint="eastAsia" w:ascii="仿宋" w:hAnsi="仿宋" w:eastAsia="仿宋"/>
          <w:sz w:val="32"/>
          <w:szCs w:val="32"/>
          <w:lang w:val="en-US" w:eastAsia="zh-CN"/>
        </w:rPr>
        <w:t>280</w:t>
      </w:r>
      <w:r>
        <w:rPr>
          <w:rFonts w:hint="eastAsia" w:ascii="仿宋" w:hAnsi="仿宋" w:eastAsia="仿宋"/>
          <w:sz w:val="32"/>
          <w:szCs w:val="32"/>
        </w:rPr>
        <w:t>%。决算与预算数持平</w:t>
      </w:r>
      <w:r>
        <w:rPr>
          <w:rFonts w:hint="eastAsia" w:ascii="仿宋_GB2312" w:eastAsia="仿宋_GB2312"/>
          <w:sz w:val="32"/>
          <w:szCs w:val="32"/>
        </w:rPr>
        <w:t>。</w:t>
      </w:r>
    </w:p>
    <w:p w14:paraId="6A9FD4CE">
      <w:pPr>
        <w:spacing w:line="600" w:lineRule="exact"/>
        <w:ind w:firstLine="640" w:firstLineChars="200"/>
        <w:rPr>
          <w:rFonts w:ascii="仿宋_GB2312" w:eastAsia="仿宋_GB2312"/>
          <w:b/>
          <w:sz w:val="32"/>
          <w:szCs w:val="32"/>
        </w:rPr>
      </w:pPr>
      <w:r>
        <w:rPr>
          <w:rFonts w:hint="eastAsia" w:ascii="仿宋_GB2312" w:eastAsia="仿宋_GB2312"/>
          <w:sz w:val="32"/>
          <w:szCs w:val="32"/>
        </w:rPr>
        <w:t>其中：</w:t>
      </w:r>
      <w:r>
        <w:rPr>
          <w:rFonts w:hint="eastAsia" w:ascii="仿宋_GB2312" w:eastAsia="仿宋_GB2312"/>
          <w:b/>
          <w:sz w:val="32"/>
          <w:szCs w:val="32"/>
        </w:rPr>
        <w:t>公务用车购置支出</w:t>
      </w:r>
      <w:r>
        <w:rPr>
          <w:sz w:val="32"/>
          <w:szCs w:val="32"/>
        </w:rPr>
        <w:t>0</w:t>
      </w:r>
      <w:r>
        <w:rPr>
          <w:rFonts w:hint="eastAsia" w:ascii="仿宋_GB2312" w:eastAsia="仿宋_GB2312"/>
          <w:sz w:val="32"/>
          <w:szCs w:val="32"/>
        </w:rPr>
        <w:t>万元。</w:t>
      </w:r>
    </w:p>
    <w:p w14:paraId="23B2F34C">
      <w:pPr>
        <w:spacing w:line="600" w:lineRule="exact"/>
        <w:ind w:firstLine="640"/>
        <w:rPr>
          <w:rFonts w:ascii="仿宋_GB2312" w:eastAsia="仿宋_GB2312"/>
          <w:sz w:val="32"/>
          <w:szCs w:val="32"/>
        </w:rPr>
      </w:pPr>
      <w:r>
        <w:rPr>
          <w:rFonts w:hint="eastAsia" w:ascii="仿宋_GB2312" w:eastAsia="仿宋_GB2312"/>
          <w:b/>
          <w:sz w:val="32"/>
          <w:szCs w:val="32"/>
        </w:rPr>
        <w:t>公务用车运行维护费支出</w:t>
      </w:r>
      <w:r>
        <w:rPr>
          <w:rFonts w:hint="eastAsia" w:eastAsia="仿宋_GB2312"/>
          <w:sz w:val="32"/>
          <w:szCs w:val="32"/>
          <w:lang w:val="en-US" w:eastAsia="zh-CN"/>
        </w:rPr>
        <w:t>4.94</w:t>
      </w:r>
      <w:r>
        <w:rPr>
          <w:rFonts w:hint="eastAsia" w:ascii="仿宋_GB2312" w:eastAsia="仿宋_GB2312"/>
          <w:sz w:val="32"/>
          <w:szCs w:val="32"/>
        </w:rPr>
        <w:t>万元。主要用于</w:t>
      </w:r>
      <w:r>
        <w:rPr>
          <w:rFonts w:hint="eastAsia" w:ascii="仿宋_GB2312" w:eastAsia="仿宋_GB2312"/>
          <w:sz w:val="32"/>
          <w:szCs w:val="32"/>
          <w:lang w:val="en-US" w:eastAsia="zh-CN"/>
        </w:rPr>
        <w:t>国土空间规划、地灾防治、耕地保护</w:t>
      </w:r>
      <w:r>
        <w:rPr>
          <w:rFonts w:hint="eastAsia" w:ascii="仿宋_GB2312" w:eastAsia="仿宋_GB2312"/>
          <w:sz w:val="32"/>
          <w:szCs w:val="32"/>
        </w:rPr>
        <w:t>等所需的公务用车燃料费、维修费、过路过桥费、保险费等支出。</w:t>
      </w:r>
    </w:p>
    <w:p w14:paraId="363806B5">
      <w:pPr>
        <w:spacing w:line="600" w:lineRule="exact"/>
        <w:ind w:firstLine="640"/>
        <w:rPr>
          <w:rFonts w:ascii="仿宋_GB2312" w:eastAsia="仿宋_GB2312"/>
          <w:sz w:val="32"/>
          <w:szCs w:val="32"/>
        </w:rPr>
      </w:pPr>
      <w:r>
        <w:rPr>
          <w:rFonts w:ascii="仿宋_GB2312" w:eastAsia="仿宋_GB2312"/>
          <w:b/>
          <w:sz w:val="32"/>
          <w:szCs w:val="32"/>
        </w:rPr>
        <w:t>3.</w:t>
      </w:r>
      <w:r>
        <w:rPr>
          <w:rFonts w:hint="eastAsia" w:ascii="仿宋_GB2312" w:eastAsia="仿宋_GB2312"/>
          <w:b/>
          <w:sz w:val="32"/>
          <w:szCs w:val="32"/>
        </w:rPr>
        <w:t>公务接待费支出</w:t>
      </w:r>
      <w:r>
        <w:rPr>
          <w:sz w:val="32"/>
          <w:szCs w:val="32"/>
        </w:rPr>
        <w:t>0</w:t>
      </w:r>
      <w:r>
        <w:rPr>
          <w:rFonts w:hint="eastAsia" w:ascii="仿宋_GB2312" w:eastAsia="仿宋_GB2312"/>
          <w:sz w:val="32"/>
          <w:szCs w:val="32"/>
        </w:rPr>
        <w:t>万元，</w:t>
      </w:r>
      <w:r>
        <w:rPr>
          <w:rStyle w:val="19"/>
          <w:rFonts w:hint="eastAsia" w:ascii="仿宋" w:hAnsi="仿宋" w:eastAsia="仿宋"/>
          <w:b w:val="0"/>
          <w:bCs/>
          <w:sz w:val="32"/>
          <w:szCs w:val="32"/>
        </w:rPr>
        <w:t>完成预算</w:t>
      </w:r>
      <w:r>
        <w:rPr>
          <w:sz w:val="32"/>
          <w:szCs w:val="32"/>
        </w:rPr>
        <w:t>0%</w:t>
      </w:r>
      <w:r>
        <w:rPr>
          <w:rStyle w:val="19"/>
          <w:rFonts w:hint="eastAsia" w:ascii="仿宋" w:hAnsi="仿宋" w:eastAsia="仿宋"/>
          <w:b w:val="0"/>
          <w:bCs/>
          <w:sz w:val="32"/>
          <w:szCs w:val="32"/>
        </w:rPr>
        <w:t>。</w:t>
      </w:r>
    </w:p>
    <w:p w14:paraId="0C493EB5">
      <w:pPr>
        <w:spacing w:line="600" w:lineRule="exact"/>
        <w:ind w:firstLine="640"/>
        <w:outlineLvl w:val="1"/>
        <w:rPr>
          <w:rFonts w:ascii="黑体" w:eastAsia="黑体"/>
          <w:sz w:val="32"/>
          <w:szCs w:val="32"/>
        </w:rPr>
      </w:pPr>
      <w:bookmarkStart w:id="63" w:name="_Toc15377218"/>
      <w:bookmarkStart w:id="64" w:name="_Toc15396610"/>
    </w:p>
    <w:p w14:paraId="360EE7DF">
      <w:pPr>
        <w:spacing w:line="600" w:lineRule="exact"/>
        <w:ind w:firstLine="640"/>
        <w:outlineLvl w:val="1"/>
        <w:rPr>
          <w:rStyle w:val="31"/>
          <w:rFonts w:ascii="黑体" w:hAnsi="黑体" w:eastAsia="黑体"/>
        </w:rPr>
      </w:pPr>
      <w:bookmarkStart w:id="65" w:name="_Toc17469_WPSOffice_Level2"/>
      <w:r>
        <w:rPr>
          <w:rFonts w:hint="eastAsia" w:ascii="黑体" w:eastAsia="黑体"/>
          <w:sz w:val="32"/>
          <w:szCs w:val="32"/>
        </w:rPr>
        <w:t>八、</w:t>
      </w:r>
      <w:r>
        <w:rPr>
          <w:rStyle w:val="31"/>
          <w:rFonts w:hint="eastAsia" w:ascii="黑体" w:hAnsi="黑体" w:eastAsia="黑体"/>
          <w:b w:val="0"/>
        </w:rPr>
        <w:t>政府性基金预算支出决算情况说明</w:t>
      </w:r>
      <w:bookmarkEnd w:id="63"/>
      <w:bookmarkEnd w:id="64"/>
      <w:bookmarkEnd w:id="65"/>
    </w:p>
    <w:p w14:paraId="6497620D">
      <w:pPr>
        <w:spacing w:line="600" w:lineRule="exact"/>
        <w:ind w:firstLine="640"/>
        <w:rPr>
          <w:rFonts w:ascii="仿宋_GB2312" w:eastAsia="仿宋_GB2312"/>
          <w:sz w:val="32"/>
          <w:szCs w:val="32"/>
        </w:rPr>
      </w:pPr>
      <w:r>
        <w:rPr>
          <w:rFonts w:hint="eastAsia" w:ascii="仿宋_GB2312" w:eastAsia="仿宋_GB2312"/>
          <w:sz w:val="32"/>
          <w:szCs w:val="32"/>
          <w:lang w:eastAsia="zh-CN"/>
        </w:rPr>
        <w:t>2024年</w:t>
      </w:r>
      <w:r>
        <w:rPr>
          <w:rFonts w:hint="eastAsia" w:ascii="仿宋_GB2312" w:eastAsia="仿宋_GB2312"/>
          <w:sz w:val="32"/>
          <w:szCs w:val="32"/>
        </w:rPr>
        <w:t>度政府性基金预算财政拨款支出</w:t>
      </w:r>
      <w:r>
        <w:rPr>
          <w:rFonts w:hint="eastAsia" w:eastAsia="仿宋_GB2312"/>
          <w:sz w:val="32"/>
          <w:szCs w:val="32"/>
          <w:lang w:val="en-US" w:eastAsia="zh-CN"/>
        </w:rPr>
        <w:t>133.81</w:t>
      </w:r>
      <w:r>
        <w:rPr>
          <w:rFonts w:hint="eastAsia" w:ascii="仿宋_GB2312" w:eastAsia="仿宋_GB2312"/>
          <w:sz w:val="32"/>
          <w:szCs w:val="32"/>
        </w:rPr>
        <w:t>万元。</w:t>
      </w:r>
    </w:p>
    <w:p w14:paraId="56FA84CA">
      <w:pPr>
        <w:numPr>
          <w:ilvl w:val="0"/>
          <w:numId w:val="3"/>
        </w:numPr>
        <w:spacing w:line="600" w:lineRule="exact"/>
        <w:ind w:firstLine="640"/>
        <w:outlineLvl w:val="1"/>
        <w:rPr>
          <w:rStyle w:val="31"/>
          <w:rFonts w:ascii="黑体" w:hAnsi="黑体" w:eastAsia="黑体"/>
          <w:b w:val="0"/>
        </w:rPr>
      </w:pPr>
      <w:bookmarkStart w:id="66" w:name="_Toc15396611"/>
      <w:bookmarkStart w:id="67" w:name="_Toc2602_WPSOffice_Level2"/>
      <w:bookmarkStart w:id="68" w:name="_Toc15377219"/>
      <w:r>
        <w:rPr>
          <w:rStyle w:val="31"/>
          <w:rFonts w:hint="eastAsia" w:ascii="黑体" w:hAnsi="黑体" w:eastAsia="黑体"/>
          <w:b w:val="0"/>
        </w:rPr>
        <w:t>国有资本经营预算支出决算情况说明</w:t>
      </w:r>
      <w:bookmarkEnd w:id="66"/>
      <w:bookmarkEnd w:id="67"/>
      <w:bookmarkEnd w:id="68"/>
    </w:p>
    <w:p w14:paraId="7E4D6874">
      <w:pPr>
        <w:spacing w:line="600" w:lineRule="exact"/>
        <w:ind w:firstLine="640"/>
        <w:rPr>
          <w:rFonts w:ascii="仿宋_GB2312" w:eastAsia="仿宋_GB2312"/>
          <w:sz w:val="32"/>
          <w:szCs w:val="32"/>
        </w:rPr>
      </w:pPr>
      <w:r>
        <w:rPr>
          <w:rFonts w:hint="eastAsia" w:ascii="仿宋_GB2312" w:eastAsia="仿宋_GB2312"/>
          <w:sz w:val="32"/>
          <w:szCs w:val="32"/>
          <w:lang w:eastAsia="zh-CN"/>
        </w:rPr>
        <w:t>2024年</w:t>
      </w:r>
      <w:r>
        <w:rPr>
          <w:rFonts w:hint="eastAsia" w:ascii="仿宋_GB2312" w:eastAsia="仿宋_GB2312"/>
          <w:sz w:val="32"/>
          <w:szCs w:val="32"/>
        </w:rPr>
        <w:t>度国有资本经营预算财政拨款支出</w:t>
      </w:r>
      <w:r>
        <w:rPr>
          <w:sz w:val="32"/>
          <w:szCs w:val="32"/>
        </w:rPr>
        <w:t>0</w:t>
      </w:r>
      <w:r>
        <w:rPr>
          <w:rFonts w:hint="eastAsia" w:ascii="仿宋_GB2312" w:eastAsia="仿宋_GB2312"/>
          <w:sz w:val="32"/>
          <w:szCs w:val="32"/>
        </w:rPr>
        <w:t>万元。</w:t>
      </w:r>
    </w:p>
    <w:p w14:paraId="04927AC3">
      <w:pPr>
        <w:numPr>
          <w:ilvl w:val="0"/>
          <w:numId w:val="3"/>
        </w:numPr>
        <w:spacing w:line="600" w:lineRule="exact"/>
        <w:ind w:firstLine="640"/>
        <w:outlineLvl w:val="1"/>
        <w:rPr>
          <w:rStyle w:val="31"/>
          <w:rFonts w:ascii="黑体" w:hAnsi="黑体" w:eastAsia="黑体"/>
          <w:b w:val="0"/>
        </w:rPr>
      </w:pPr>
      <w:bookmarkStart w:id="69" w:name="_Toc10918_WPSOffice_Level2"/>
      <w:bookmarkStart w:id="70" w:name="_Toc15396612"/>
      <w:bookmarkStart w:id="71" w:name="_Toc15377221"/>
      <w:r>
        <w:rPr>
          <w:rStyle w:val="31"/>
          <w:rFonts w:hint="eastAsia" w:ascii="黑体" w:hAnsi="黑体" w:eastAsia="黑体"/>
          <w:b w:val="0"/>
        </w:rPr>
        <w:t>其他重要事项的情况说明</w:t>
      </w:r>
      <w:bookmarkEnd w:id="69"/>
      <w:bookmarkEnd w:id="70"/>
      <w:bookmarkEnd w:id="71"/>
    </w:p>
    <w:p w14:paraId="53685A20">
      <w:pPr>
        <w:spacing w:line="600" w:lineRule="exact"/>
        <w:ind w:firstLine="643" w:firstLineChars="200"/>
        <w:outlineLvl w:val="2"/>
        <w:rPr>
          <w:rFonts w:ascii="仿宋" w:hAnsi="仿宋" w:eastAsia="仿宋"/>
          <w:sz w:val="32"/>
          <w:szCs w:val="32"/>
        </w:rPr>
      </w:pPr>
      <w:bookmarkStart w:id="72" w:name="_Toc15377222"/>
      <w:r>
        <w:rPr>
          <w:rFonts w:hint="eastAsia" w:ascii="仿宋" w:hAnsi="仿宋" w:eastAsia="仿宋"/>
          <w:b/>
          <w:sz w:val="32"/>
          <w:szCs w:val="32"/>
        </w:rPr>
        <w:t>（一）机关运行经费支出情况</w:t>
      </w:r>
      <w:bookmarkEnd w:id="72"/>
    </w:p>
    <w:p w14:paraId="339EC73F">
      <w:pPr>
        <w:spacing w:line="600" w:lineRule="exact"/>
        <w:ind w:firstLine="640" w:firstLineChars="200"/>
        <w:rPr>
          <w:rFonts w:ascii="仿宋_GB2312" w:eastAsia="仿宋_GB2312"/>
          <w:sz w:val="32"/>
          <w:szCs w:val="32"/>
        </w:rPr>
      </w:pPr>
      <w:r>
        <w:rPr>
          <w:rFonts w:hint="eastAsia" w:ascii="仿宋_GB2312" w:eastAsia="仿宋_GB2312"/>
          <w:sz w:val="32"/>
          <w:szCs w:val="32"/>
          <w:lang w:eastAsia="zh-CN"/>
        </w:rPr>
        <w:t>2024年</w:t>
      </w:r>
      <w:r>
        <w:rPr>
          <w:rFonts w:hint="eastAsia" w:ascii="仿宋_GB2312" w:eastAsia="仿宋_GB2312"/>
          <w:sz w:val="32"/>
          <w:szCs w:val="32"/>
        </w:rPr>
        <w:t>度，</w:t>
      </w:r>
      <w:r>
        <w:rPr>
          <w:rFonts w:hint="eastAsia"/>
          <w:sz w:val="32"/>
          <w:szCs w:val="32"/>
        </w:rPr>
        <w:t>金川县自然资源局</w:t>
      </w:r>
      <w:r>
        <w:rPr>
          <w:rFonts w:hint="eastAsia" w:ascii="仿宋_GB2312" w:eastAsia="仿宋_GB2312"/>
          <w:sz w:val="32"/>
          <w:szCs w:val="32"/>
        </w:rPr>
        <w:t>机关运行经费支出</w:t>
      </w:r>
      <w:r>
        <w:rPr>
          <w:rFonts w:hint="eastAsia" w:eastAsia="仿宋_GB2312"/>
          <w:sz w:val="32"/>
          <w:szCs w:val="32"/>
          <w:lang w:val="en-US" w:eastAsia="zh-CN"/>
        </w:rPr>
        <w:t>20.43</w:t>
      </w:r>
      <w:r>
        <w:rPr>
          <w:rFonts w:hint="eastAsia" w:ascii="仿宋_GB2312" w:eastAsia="仿宋_GB2312"/>
          <w:sz w:val="32"/>
          <w:szCs w:val="32"/>
        </w:rPr>
        <w:t>万元，比</w:t>
      </w:r>
      <w:r>
        <w:rPr>
          <w:rFonts w:hint="eastAsia" w:ascii="仿宋_GB2312" w:eastAsia="仿宋_GB2312"/>
          <w:sz w:val="32"/>
          <w:szCs w:val="32"/>
          <w:lang w:eastAsia="zh-CN"/>
        </w:rPr>
        <w:t>2023年</w:t>
      </w:r>
      <w:r>
        <w:rPr>
          <w:rFonts w:hint="eastAsia" w:ascii="仿宋_GB2312" w:eastAsia="仿宋_GB2312"/>
          <w:sz w:val="32"/>
          <w:szCs w:val="32"/>
        </w:rPr>
        <w:t>度减少</w:t>
      </w:r>
      <w:r>
        <w:rPr>
          <w:rFonts w:hint="eastAsia" w:ascii="仿宋_GB2312" w:eastAsia="仿宋_GB2312"/>
          <w:sz w:val="32"/>
          <w:szCs w:val="32"/>
          <w:lang w:val="en-US" w:eastAsia="zh-CN"/>
        </w:rPr>
        <w:t>12.16</w:t>
      </w:r>
      <w:r>
        <w:rPr>
          <w:rFonts w:hint="eastAsia" w:ascii="仿宋_GB2312" w:eastAsia="仿宋_GB2312"/>
          <w:sz w:val="32"/>
          <w:szCs w:val="32"/>
        </w:rPr>
        <w:t>万元，下降</w:t>
      </w:r>
      <w:r>
        <w:rPr>
          <w:rFonts w:hint="eastAsia" w:ascii="仿宋_GB2312" w:eastAsia="仿宋_GB2312"/>
          <w:sz w:val="32"/>
          <w:szCs w:val="32"/>
          <w:lang w:val="en-US" w:eastAsia="zh-CN"/>
        </w:rPr>
        <w:t>37.31</w:t>
      </w:r>
      <w:r>
        <w:rPr>
          <w:rFonts w:ascii="仿宋_GB2312" w:eastAsia="仿宋_GB2312"/>
          <w:sz w:val="32"/>
          <w:szCs w:val="32"/>
        </w:rPr>
        <w:t>%</w:t>
      </w:r>
      <w:r>
        <w:rPr>
          <w:rFonts w:hint="eastAsia" w:ascii="仿宋_GB2312" w:eastAsia="仿宋_GB2312"/>
          <w:sz w:val="32"/>
          <w:szCs w:val="32"/>
        </w:rPr>
        <w:t>。主要原因是</w:t>
      </w:r>
      <w:r>
        <w:rPr>
          <w:rFonts w:hint="eastAsia" w:ascii="仿宋_GB2312" w:eastAsia="仿宋_GB2312"/>
          <w:sz w:val="32"/>
          <w:szCs w:val="32"/>
          <w:lang w:val="en-US" w:eastAsia="zh-CN"/>
        </w:rPr>
        <w:t>开支节约，减少支出</w:t>
      </w:r>
      <w:r>
        <w:rPr>
          <w:rFonts w:hint="eastAsia" w:ascii="仿宋_GB2312" w:eastAsia="仿宋_GB2312"/>
          <w:sz w:val="32"/>
          <w:szCs w:val="32"/>
        </w:rPr>
        <w:t>。</w:t>
      </w:r>
    </w:p>
    <w:p w14:paraId="4FFEB70F">
      <w:pPr>
        <w:autoSpaceDE w:val="0"/>
        <w:autoSpaceDN w:val="0"/>
        <w:adjustRightInd w:val="0"/>
        <w:spacing w:line="600" w:lineRule="exact"/>
        <w:ind w:firstLine="643" w:firstLineChars="200"/>
        <w:jc w:val="left"/>
        <w:outlineLvl w:val="2"/>
        <w:rPr>
          <w:rFonts w:ascii="仿宋" w:hAnsi="仿宋" w:eastAsia="仿宋"/>
          <w:b/>
          <w:sz w:val="32"/>
          <w:szCs w:val="32"/>
        </w:rPr>
      </w:pPr>
      <w:bookmarkStart w:id="73" w:name="_Toc15377223"/>
      <w:r>
        <w:rPr>
          <w:rFonts w:hint="eastAsia" w:ascii="仿宋" w:hAnsi="仿宋" w:eastAsia="仿宋"/>
          <w:b/>
          <w:sz w:val="32"/>
          <w:szCs w:val="32"/>
        </w:rPr>
        <w:t>（二）政府采购支出情况</w:t>
      </w:r>
      <w:bookmarkEnd w:id="73"/>
    </w:p>
    <w:p w14:paraId="0F254F13">
      <w:pPr>
        <w:spacing w:line="600" w:lineRule="exact"/>
        <w:ind w:firstLine="640" w:firstLineChars="200"/>
        <w:rPr>
          <w:rFonts w:ascii="仿宋_GB2312" w:eastAsia="仿宋_GB2312"/>
          <w:sz w:val="32"/>
          <w:szCs w:val="32"/>
        </w:rPr>
      </w:pPr>
      <w:r>
        <w:rPr>
          <w:rFonts w:hint="eastAsia" w:ascii="仿宋_GB2312" w:eastAsia="仿宋_GB2312"/>
          <w:sz w:val="32"/>
          <w:szCs w:val="32"/>
          <w:lang w:eastAsia="zh-CN"/>
        </w:rPr>
        <w:t>2024年</w:t>
      </w:r>
      <w:r>
        <w:rPr>
          <w:rFonts w:hint="eastAsia" w:ascii="仿宋_GB2312" w:eastAsia="仿宋_GB2312"/>
          <w:sz w:val="32"/>
          <w:szCs w:val="32"/>
        </w:rPr>
        <w:t>度，</w:t>
      </w:r>
      <w:r>
        <w:rPr>
          <w:rFonts w:hint="eastAsia"/>
          <w:sz w:val="32"/>
          <w:szCs w:val="32"/>
        </w:rPr>
        <w:t>金川县自然资源局</w:t>
      </w:r>
      <w:r>
        <w:rPr>
          <w:rFonts w:hint="eastAsia" w:ascii="仿宋_GB2312" w:eastAsia="仿宋_GB2312"/>
          <w:sz w:val="32"/>
          <w:szCs w:val="32"/>
        </w:rPr>
        <w:t>政府采购支出总额</w:t>
      </w:r>
      <w:r>
        <w:rPr>
          <w:rFonts w:hint="eastAsia" w:eastAsia="仿宋_GB2312"/>
          <w:sz w:val="32"/>
          <w:szCs w:val="32"/>
          <w:lang w:val="en-US" w:eastAsia="zh-CN"/>
        </w:rPr>
        <w:t>1377.55</w:t>
      </w:r>
      <w:r>
        <w:rPr>
          <w:rFonts w:hint="eastAsia" w:ascii="仿宋_GB2312" w:eastAsia="仿宋_GB2312"/>
          <w:sz w:val="32"/>
          <w:szCs w:val="32"/>
        </w:rPr>
        <w:t>万元，其中：政府采购货物支出</w:t>
      </w:r>
      <w:r>
        <w:rPr>
          <w:sz w:val="32"/>
          <w:szCs w:val="32"/>
        </w:rPr>
        <w:t>0</w:t>
      </w:r>
      <w:r>
        <w:rPr>
          <w:rFonts w:hint="eastAsia" w:ascii="仿宋_GB2312" w:eastAsia="仿宋_GB2312"/>
          <w:sz w:val="32"/>
          <w:szCs w:val="32"/>
        </w:rPr>
        <w:t>万元、政府采购工程支出</w:t>
      </w:r>
      <w:r>
        <w:rPr>
          <w:rFonts w:hint="eastAsia" w:eastAsia="仿宋_GB2312"/>
          <w:sz w:val="32"/>
          <w:szCs w:val="32"/>
          <w:lang w:val="en-US" w:eastAsia="zh-CN"/>
        </w:rPr>
        <w:t>352.5</w:t>
      </w:r>
      <w:r>
        <w:rPr>
          <w:rFonts w:hint="eastAsia" w:ascii="仿宋_GB2312" w:eastAsia="仿宋_GB2312"/>
          <w:sz w:val="32"/>
          <w:szCs w:val="32"/>
        </w:rPr>
        <w:t>万元、政府采购服务支出</w:t>
      </w:r>
      <w:r>
        <w:rPr>
          <w:rFonts w:hint="eastAsia" w:eastAsia="仿宋_GB2312"/>
          <w:sz w:val="32"/>
          <w:szCs w:val="32"/>
          <w:lang w:val="en-US" w:eastAsia="zh-CN"/>
        </w:rPr>
        <w:t>1025.05</w:t>
      </w:r>
      <w:r>
        <w:rPr>
          <w:rFonts w:hint="eastAsia" w:ascii="仿宋_GB2312" w:eastAsia="仿宋_GB2312"/>
          <w:sz w:val="32"/>
          <w:szCs w:val="32"/>
        </w:rPr>
        <w:t>万元。主要用于</w:t>
      </w:r>
      <w:r>
        <w:rPr>
          <w:rFonts w:hint="eastAsia" w:ascii="仿宋_GB2312" w:eastAsia="仿宋_GB2312"/>
          <w:sz w:val="32"/>
          <w:szCs w:val="32"/>
          <w:lang w:val="en-US" w:eastAsia="zh-CN"/>
        </w:rPr>
        <w:t>地质灾害防治工程项目、国土空间规划等技术服务项目</w:t>
      </w:r>
      <w:r>
        <w:rPr>
          <w:rFonts w:hint="eastAsia" w:ascii="仿宋_GB2312" w:eastAsia="仿宋_GB2312"/>
          <w:sz w:val="32"/>
          <w:szCs w:val="32"/>
        </w:rPr>
        <w:t>。授予中小企业合同金额</w:t>
      </w:r>
      <w:r>
        <w:rPr>
          <w:sz w:val="32"/>
          <w:szCs w:val="32"/>
        </w:rPr>
        <w:t>0</w:t>
      </w:r>
      <w:r>
        <w:rPr>
          <w:rFonts w:hint="eastAsia" w:ascii="仿宋_GB2312" w:eastAsia="仿宋_GB2312"/>
          <w:sz w:val="32"/>
          <w:szCs w:val="32"/>
        </w:rPr>
        <w:t>万元，占政府采购支出总额的</w:t>
      </w:r>
      <w:r>
        <w:rPr>
          <w:sz w:val="32"/>
          <w:szCs w:val="32"/>
        </w:rPr>
        <w:t>0</w:t>
      </w:r>
      <w:r>
        <w:rPr>
          <w:rFonts w:ascii="仿宋_GB2312" w:eastAsia="仿宋_GB2312"/>
          <w:sz w:val="32"/>
          <w:szCs w:val="32"/>
        </w:rPr>
        <w:t>%</w:t>
      </w:r>
      <w:r>
        <w:rPr>
          <w:rFonts w:hint="eastAsia" w:ascii="仿宋_GB2312" w:eastAsia="仿宋_GB2312"/>
          <w:sz w:val="32"/>
          <w:szCs w:val="32"/>
        </w:rPr>
        <w:t>，其中：授予小微企业合同金额</w:t>
      </w:r>
      <w:r>
        <w:rPr>
          <w:sz w:val="32"/>
          <w:szCs w:val="32"/>
        </w:rPr>
        <w:t>0</w:t>
      </w:r>
      <w:r>
        <w:rPr>
          <w:rFonts w:hint="eastAsia" w:ascii="仿宋_GB2312" w:eastAsia="仿宋_GB2312"/>
          <w:sz w:val="32"/>
          <w:szCs w:val="32"/>
        </w:rPr>
        <w:t>万元，占政府采购支出总额的</w:t>
      </w:r>
      <w:r>
        <w:rPr>
          <w:sz w:val="32"/>
          <w:szCs w:val="32"/>
        </w:rPr>
        <w:t>0</w:t>
      </w:r>
      <w:r>
        <w:rPr>
          <w:rFonts w:ascii="仿宋_GB2312" w:eastAsia="仿宋_GB2312"/>
          <w:sz w:val="32"/>
          <w:szCs w:val="32"/>
        </w:rPr>
        <w:t>%</w:t>
      </w:r>
      <w:r>
        <w:rPr>
          <w:rFonts w:hint="eastAsia" w:ascii="仿宋_GB2312" w:eastAsia="仿宋_GB2312"/>
          <w:sz w:val="32"/>
          <w:szCs w:val="32"/>
        </w:rPr>
        <w:t>。</w:t>
      </w:r>
    </w:p>
    <w:p w14:paraId="44896DC8">
      <w:pPr>
        <w:autoSpaceDE w:val="0"/>
        <w:autoSpaceDN w:val="0"/>
        <w:adjustRightInd w:val="0"/>
        <w:spacing w:line="600" w:lineRule="exact"/>
        <w:ind w:firstLine="643" w:firstLineChars="200"/>
        <w:jc w:val="left"/>
        <w:outlineLvl w:val="2"/>
        <w:rPr>
          <w:rFonts w:ascii="仿宋" w:hAnsi="仿宋" w:eastAsia="仿宋"/>
          <w:b/>
          <w:sz w:val="32"/>
          <w:szCs w:val="32"/>
        </w:rPr>
      </w:pPr>
      <w:bookmarkStart w:id="74" w:name="_Toc15377224"/>
      <w:r>
        <w:rPr>
          <w:rFonts w:hint="eastAsia" w:ascii="仿宋" w:hAnsi="仿宋" w:eastAsia="仿宋"/>
          <w:b/>
          <w:sz w:val="32"/>
          <w:szCs w:val="32"/>
        </w:rPr>
        <w:t>（三）国有资产占有使用情况</w:t>
      </w:r>
      <w:bookmarkEnd w:id="74"/>
    </w:p>
    <w:p w14:paraId="2A7A6D8D">
      <w:pPr>
        <w:autoSpaceDE w:val="0"/>
        <w:autoSpaceDN w:val="0"/>
        <w:adjustRightInd w:val="0"/>
        <w:spacing w:line="600" w:lineRule="exact"/>
        <w:ind w:firstLine="640" w:firstLineChars="200"/>
        <w:jc w:val="left"/>
        <w:rPr>
          <w:rFonts w:ascii="仿宋_GB2312" w:eastAsia="仿宋_GB2312"/>
          <w:sz w:val="32"/>
          <w:szCs w:val="32"/>
        </w:rPr>
      </w:pPr>
      <w:r>
        <w:rPr>
          <w:rFonts w:hint="eastAsia" w:ascii="仿宋_GB2312" w:eastAsia="仿宋_GB2312"/>
          <w:sz w:val="32"/>
          <w:szCs w:val="32"/>
        </w:rPr>
        <w:t>截至</w:t>
      </w:r>
      <w:r>
        <w:rPr>
          <w:rFonts w:hint="eastAsia" w:ascii="仿宋_GB2312" w:eastAsia="仿宋_GB2312"/>
          <w:sz w:val="32"/>
          <w:szCs w:val="32"/>
          <w:lang w:eastAsia="zh-CN"/>
        </w:rPr>
        <w:t>2024年</w:t>
      </w:r>
      <w:r>
        <w:rPr>
          <w:rFonts w:ascii="仿宋_GB2312" w:eastAsia="仿宋_GB2312"/>
          <w:sz w:val="32"/>
          <w:szCs w:val="32"/>
        </w:rPr>
        <w:t>12</w:t>
      </w:r>
      <w:r>
        <w:rPr>
          <w:rFonts w:hint="eastAsia" w:ascii="仿宋_GB2312" w:eastAsia="仿宋_GB2312"/>
          <w:sz w:val="32"/>
          <w:szCs w:val="32"/>
        </w:rPr>
        <w:t>月</w:t>
      </w:r>
      <w:r>
        <w:rPr>
          <w:rFonts w:ascii="仿宋_GB2312" w:eastAsia="仿宋_GB2312"/>
          <w:sz w:val="32"/>
          <w:szCs w:val="32"/>
        </w:rPr>
        <w:t>31</w:t>
      </w:r>
      <w:r>
        <w:rPr>
          <w:rFonts w:hint="eastAsia" w:ascii="仿宋_GB2312" w:eastAsia="仿宋_GB2312"/>
          <w:sz w:val="32"/>
          <w:szCs w:val="32"/>
        </w:rPr>
        <w:t>日，</w:t>
      </w:r>
      <w:r>
        <w:rPr>
          <w:rFonts w:hint="eastAsia"/>
          <w:sz w:val="32"/>
          <w:szCs w:val="32"/>
        </w:rPr>
        <w:t>金川县自然资源局</w:t>
      </w:r>
      <w:r>
        <w:rPr>
          <w:rFonts w:hint="eastAsia" w:ascii="仿宋_GB2312" w:eastAsia="仿宋_GB2312"/>
          <w:sz w:val="32"/>
          <w:szCs w:val="32"/>
        </w:rPr>
        <w:t>共有车辆</w:t>
      </w:r>
      <w:r>
        <w:rPr>
          <w:rFonts w:ascii="仿宋_GB2312" w:eastAsia="仿宋_GB2312"/>
          <w:sz w:val="32"/>
          <w:szCs w:val="32"/>
        </w:rPr>
        <w:t>2</w:t>
      </w:r>
      <w:r>
        <w:rPr>
          <w:rFonts w:hint="eastAsia" w:ascii="仿宋_GB2312" w:eastAsia="仿宋_GB2312"/>
          <w:sz w:val="32"/>
          <w:szCs w:val="32"/>
        </w:rPr>
        <w:t>辆，其中：主要领导干部用车</w:t>
      </w:r>
      <w:r>
        <w:rPr>
          <w:rFonts w:hint="eastAsia" w:ascii="仿宋_GB2312" w:eastAsia="仿宋_GB2312"/>
          <w:sz w:val="32"/>
          <w:szCs w:val="32"/>
          <w:lang w:val="en-US" w:eastAsia="zh-CN"/>
        </w:rPr>
        <w:t>0</w:t>
      </w:r>
      <w:r>
        <w:rPr>
          <w:rFonts w:hint="eastAsia" w:ascii="仿宋_GB2312" w:eastAsia="仿宋_GB2312"/>
          <w:sz w:val="32"/>
          <w:szCs w:val="32"/>
        </w:rPr>
        <w:t>辆、机要通信用车</w:t>
      </w:r>
      <w:r>
        <w:rPr>
          <w:rFonts w:hint="eastAsia" w:ascii="仿宋_GB2312" w:eastAsia="仿宋_GB2312"/>
          <w:sz w:val="32"/>
          <w:szCs w:val="32"/>
          <w:lang w:val="en-US" w:eastAsia="zh-CN"/>
        </w:rPr>
        <w:t>0</w:t>
      </w:r>
      <w:r>
        <w:rPr>
          <w:rFonts w:hint="eastAsia" w:ascii="仿宋_GB2312" w:eastAsia="仿宋_GB2312"/>
          <w:sz w:val="32"/>
          <w:szCs w:val="32"/>
        </w:rPr>
        <w:t>辆、应急保障用车</w:t>
      </w:r>
      <w:r>
        <w:rPr>
          <w:rFonts w:hint="eastAsia" w:ascii="仿宋_GB2312" w:eastAsia="仿宋_GB2312"/>
          <w:sz w:val="32"/>
          <w:szCs w:val="32"/>
          <w:lang w:val="en-US" w:eastAsia="zh-CN"/>
        </w:rPr>
        <w:t>0</w:t>
      </w:r>
      <w:r>
        <w:rPr>
          <w:rFonts w:hint="eastAsia" w:ascii="仿宋_GB2312" w:eastAsia="仿宋_GB2312"/>
          <w:sz w:val="32"/>
          <w:szCs w:val="32"/>
        </w:rPr>
        <w:t>辆、其他用车</w:t>
      </w:r>
      <w:r>
        <w:rPr>
          <w:rFonts w:hint="eastAsia" w:ascii="仿宋_GB2312" w:eastAsia="仿宋_GB2312"/>
          <w:sz w:val="32"/>
          <w:szCs w:val="32"/>
          <w:lang w:val="en-US" w:eastAsia="zh-CN"/>
        </w:rPr>
        <w:t>2</w:t>
      </w:r>
      <w:r>
        <w:rPr>
          <w:rFonts w:hint="eastAsia" w:ascii="仿宋_GB2312" w:eastAsia="仿宋_GB2312"/>
          <w:sz w:val="32"/>
          <w:szCs w:val="32"/>
        </w:rPr>
        <w:t>辆，其他用车主要是用于</w:t>
      </w:r>
      <w:r>
        <w:rPr>
          <w:rFonts w:hint="eastAsia" w:ascii="仿宋_GB2312" w:eastAsia="仿宋_GB2312"/>
          <w:sz w:val="32"/>
          <w:szCs w:val="32"/>
          <w:lang w:val="en-US" w:eastAsia="zh-CN"/>
        </w:rPr>
        <w:t>国土空间规划、地灾防治、耕地保护</w:t>
      </w:r>
      <w:r>
        <w:rPr>
          <w:rFonts w:hint="eastAsia" w:ascii="仿宋_GB2312" w:eastAsia="仿宋_GB2312"/>
          <w:sz w:val="32"/>
          <w:szCs w:val="32"/>
        </w:rPr>
        <w:t>等所需的公务用车。单价</w:t>
      </w:r>
      <w:r>
        <w:rPr>
          <w:rFonts w:ascii="仿宋_GB2312" w:eastAsia="仿宋_GB2312"/>
          <w:sz w:val="32"/>
          <w:szCs w:val="32"/>
        </w:rPr>
        <w:t>100</w:t>
      </w:r>
      <w:r>
        <w:rPr>
          <w:rFonts w:hint="eastAsia" w:ascii="仿宋_GB2312" w:eastAsia="仿宋_GB2312"/>
          <w:sz w:val="32"/>
          <w:szCs w:val="32"/>
        </w:rPr>
        <w:t>万元以上设备（不含车辆）</w:t>
      </w:r>
      <w:r>
        <w:rPr>
          <w:sz w:val="32"/>
          <w:szCs w:val="32"/>
        </w:rPr>
        <w:t>0</w:t>
      </w:r>
      <w:r>
        <w:rPr>
          <w:rFonts w:hint="eastAsia" w:ascii="仿宋_GB2312" w:eastAsia="仿宋_GB2312"/>
          <w:sz w:val="32"/>
          <w:szCs w:val="32"/>
        </w:rPr>
        <w:t>台（套）。</w:t>
      </w:r>
    </w:p>
    <w:p w14:paraId="50222EAA">
      <w:pPr>
        <w:autoSpaceDE w:val="0"/>
        <w:autoSpaceDN w:val="0"/>
        <w:adjustRightInd w:val="0"/>
        <w:spacing w:line="600" w:lineRule="exact"/>
        <w:ind w:firstLine="643" w:firstLineChars="200"/>
        <w:jc w:val="left"/>
        <w:outlineLvl w:val="2"/>
        <w:rPr>
          <w:rFonts w:ascii="仿宋" w:hAnsi="仿宋" w:eastAsia="仿宋"/>
          <w:b/>
          <w:sz w:val="32"/>
          <w:szCs w:val="32"/>
        </w:rPr>
      </w:pPr>
      <w:r>
        <w:rPr>
          <w:rFonts w:hint="eastAsia" w:ascii="仿宋" w:hAnsi="仿宋" w:eastAsia="仿宋"/>
          <w:b/>
          <w:sz w:val="32"/>
          <w:szCs w:val="32"/>
        </w:rPr>
        <w:t>（四）预算绩效管理情况</w:t>
      </w:r>
    </w:p>
    <w:p w14:paraId="4E9B38BE">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根据预算绩效管理要求，本部门在</w:t>
      </w:r>
      <w:r>
        <w:rPr>
          <w:rFonts w:hint="eastAsia" w:ascii="仿宋_GB2312" w:hAnsi="仿宋_GB2312" w:eastAsia="仿宋_GB2312" w:cs="仿宋_GB2312"/>
          <w:sz w:val="32"/>
          <w:szCs w:val="32"/>
          <w:lang w:eastAsia="zh-CN"/>
        </w:rPr>
        <w:t>2024年</w:t>
      </w:r>
      <w:r>
        <w:rPr>
          <w:rFonts w:hint="eastAsia" w:ascii="仿宋_GB2312" w:hAnsi="仿宋_GB2312" w:eastAsia="仿宋_GB2312" w:cs="仿宋_GB2312"/>
          <w:sz w:val="32"/>
          <w:szCs w:val="32"/>
        </w:rPr>
        <w:t>度预算编制阶段，组织对观音桥高原牧旅融合发展片区国土空间总体规划项目等</w:t>
      </w:r>
      <w:r>
        <w:rPr>
          <w:rFonts w:hint="eastAsia" w:ascii="仿宋_GB2312" w:hAnsi="仿宋_GB2312" w:eastAsia="仿宋_GB2312" w:cs="仿宋_GB2312"/>
          <w:sz w:val="32"/>
          <w:szCs w:val="32"/>
          <w:lang w:val="en-US" w:eastAsia="zh-CN"/>
        </w:rPr>
        <w:t>85</w:t>
      </w:r>
      <w:r>
        <w:rPr>
          <w:rFonts w:hint="eastAsia" w:ascii="仿宋_GB2312" w:hAnsi="仿宋_GB2312" w:eastAsia="仿宋_GB2312" w:cs="仿宋_GB2312"/>
          <w:sz w:val="32"/>
          <w:szCs w:val="32"/>
        </w:rPr>
        <w:t>个项目开展了预算事前绩效评估，对</w:t>
      </w:r>
      <w:r>
        <w:rPr>
          <w:rFonts w:hint="eastAsia" w:ascii="仿宋_GB2312" w:hAnsi="仿宋_GB2312" w:eastAsia="仿宋_GB2312" w:cs="仿宋_GB2312"/>
          <w:sz w:val="32"/>
          <w:szCs w:val="32"/>
          <w:lang w:val="en-US" w:eastAsia="zh-CN"/>
        </w:rPr>
        <w:t>85</w:t>
      </w:r>
      <w:r>
        <w:rPr>
          <w:rFonts w:hint="eastAsia" w:ascii="仿宋_GB2312" w:hAnsi="仿宋_GB2312" w:eastAsia="仿宋_GB2312" w:cs="仿宋_GB2312"/>
          <w:sz w:val="32"/>
          <w:szCs w:val="32"/>
        </w:rPr>
        <w:t>个项目编制了绩效目标，预算执行过程中，选取</w:t>
      </w:r>
      <w:r>
        <w:rPr>
          <w:rFonts w:hint="eastAsia" w:ascii="仿宋_GB2312" w:hAnsi="仿宋_GB2312" w:eastAsia="仿宋_GB2312" w:cs="仿宋_GB2312"/>
          <w:sz w:val="32"/>
          <w:szCs w:val="32"/>
          <w:lang w:val="en-US" w:eastAsia="zh-CN"/>
        </w:rPr>
        <w:t>85</w:t>
      </w:r>
      <w:r>
        <w:rPr>
          <w:rFonts w:hint="eastAsia" w:ascii="仿宋_GB2312" w:hAnsi="仿宋_GB2312" w:eastAsia="仿宋_GB2312" w:cs="仿宋_GB2312"/>
          <w:sz w:val="32"/>
          <w:szCs w:val="32"/>
        </w:rPr>
        <w:t>个项目开展绩效监控。</w:t>
      </w:r>
    </w:p>
    <w:p w14:paraId="4D646FED">
      <w:pPr>
        <w:spacing w:line="580" w:lineRule="exact"/>
        <w:ind w:firstLine="640" w:firstLineChars="200"/>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sz w:val="32"/>
          <w:szCs w:val="32"/>
        </w:rPr>
        <w:t>组织对</w:t>
      </w:r>
      <w:r>
        <w:rPr>
          <w:rFonts w:hint="eastAsia" w:ascii="仿宋_GB2312" w:hAnsi="仿宋_GB2312" w:eastAsia="仿宋_GB2312" w:cs="仿宋_GB2312"/>
          <w:sz w:val="32"/>
          <w:szCs w:val="32"/>
          <w:lang w:eastAsia="zh-CN"/>
        </w:rPr>
        <w:t>2024年</w:t>
      </w:r>
      <w:r>
        <w:rPr>
          <w:rFonts w:hint="eastAsia" w:ascii="仿宋_GB2312" w:hAnsi="仿宋_GB2312" w:eastAsia="仿宋_GB2312" w:cs="仿宋_GB2312"/>
          <w:sz w:val="32"/>
          <w:szCs w:val="32"/>
        </w:rPr>
        <w:t>度一般公共预算、政府性基金预算、国有资本经营预算、社会保险基金预算以及资本资产、债券资金等全面开展绩效自评，形成</w:t>
      </w:r>
      <w:r>
        <w:rPr>
          <w:rFonts w:hint="eastAsia" w:ascii="仿宋_GB2312" w:hAnsi="仿宋_GB2312" w:eastAsia="仿宋_GB2312" w:cs="仿宋_GB2312"/>
          <w:sz w:val="32"/>
          <w:szCs w:val="32"/>
          <w:lang w:val="en-US" w:eastAsia="zh-CN"/>
        </w:rPr>
        <w:t>金川县自然资源局</w:t>
      </w:r>
      <w:r>
        <w:rPr>
          <w:rFonts w:hint="eastAsia" w:ascii="仿宋_GB2312" w:hAnsi="仿宋_GB2312" w:eastAsia="仿宋_GB2312" w:cs="仿宋_GB2312"/>
          <w:sz w:val="32"/>
          <w:szCs w:val="32"/>
        </w:rPr>
        <w:t>部门整体（含部门预算项目）绩效自评报告、金川县202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山洪地质灾害避险搬迁等专项预算项目绩效自评报告，其中，</w:t>
      </w:r>
      <w:r>
        <w:rPr>
          <w:rFonts w:hint="eastAsia" w:ascii="仿宋_GB2312" w:hAnsi="仿宋_GB2312" w:eastAsia="仿宋_GB2312" w:cs="仿宋_GB2312"/>
          <w:sz w:val="32"/>
          <w:szCs w:val="32"/>
          <w:lang w:val="en-US" w:eastAsia="zh-CN"/>
        </w:rPr>
        <w:t>金川县自然资源局</w:t>
      </w:r>
      <w:r>
        <w:rPr>
          <w:rFonts w:hint="eastAsia" w:ascii="仿宋_GB2312" w:hAnsi="仿宋_GB2312" w:eastAsia="仿宋_GB2312" w:cs="仿宋_GB2312"/>
          <w:sz w:val="32"/>
          <w:szCs w:val="32"/>
        </w:rPr>
        <w:t>部门整体（含部门预算项目）绩效自评得分为</w:t>
      </w:r>
      <w:r>
        <w:rPr>
          <w:rFonts w:hint="eastAsia" w:ascii="仿宋_GB2312" w:hAnsi="仿宋_GB2312" w:eastAsia="仿宋_GB2312" w:cs="仿宋_GB2312"/>
          <w:sz w:val="32"/>
          <w:szCs w:val="32"/>
          <w:lang w:val="en-US" w:eastAsia="zh-CN"/>
        </w:rPr>
        <w:t>92</w:t>
      </w:r>
      <w:r>
        <w:rPr>
          <w:rFonts w:hint="eastAsia" w:ascii="仿宋_GB2312" w:hAnsi="仿宋_GB2312" w:eastAsia="仿宋_GB2312" w:cs="仿宋_GB2312"/>
          <w:sz w:val="32"/>
          <w:szCs w:val="32"/>
        </w:rPr>
        <w:t>分，绩效自评综述：</w:t>
      </w:r>
      <w:r>
        <w:rPr>
          <w:rFonts w:hint="eastAsia" w:ascii="仿宋_GB2312" w:hAnsi="仿宋_GB2312" w:eastAsia="仿宋_GB2312" w:cs="仿宋_GB2312"/>
          <w:sz w:val="32"/>
          <w:szCs w:val="32"/>
          <w:lang w:val="zh-CN" w:eastAsia="zh-CN"/>
        </w:rPr>
        <w:t>我局按照规定完全履行职责，整体评价良好，服务对象基本满意从预算执行情况</w:t>
      </w:r>
      <w:r>
        <w:rPr>
          <w:rFonts w:hint="eastAsia" w:ascii="仿宋_GB2312" w:hAnsi="仿宋_GB2312" w:eastAsia="仿宋_GB2312" w:cs="仿宋_GB2312"/>
          <w:sz w:val="32"/>
          <w:szCs w:val="32"/>
          <w:lang w:val="en-US" w:eastAsia="zh-CN"/>
        </w:rPr>
        <w:t>来</w:t>
      </w:r>
      <w:r>
        <w:rPr>
          <w:rFonts w:hint="eastAsia" w:ascii="仿宋_GB2312" w:hAnsi="仿宋_GB2312" w:eastAsia="仿宋_GB2312" w:cs="仿宋_GB2312"/>
          <w:sz w:val="32"/>
          <w:szCs w:val="32"/>
          <w:lang w:val="zh-CN" w:eastAsia="zh-CN"/>
        </w:rPr>
        <w:t>看，预算资金覆盖我单位工作的各个方面，按照保工资、保运转、保民生的保障序列科学编制，分配办法科学，考虑的因素必要合理，分配的结果合理，保障了人员经费及单位正常运转。在预算执行过程中单位遵守财经纪律、财务制度，坚持先有预算后支出；严格审批程序，保障了资金安全。</w:t>
      </w:r>
    </w:p>
    <w:p w14:paraId="65C45407">
      <w:pPr>
        <w:spacing w:line="580" w:lineRule="exact"/>
        <w:ind w:firstLine="640" w:firstLineChars="20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val="zh-CN"/>
        </w:rPr>
        <w:t>履职效能。</w:t>
      </w:r>
    </w:p>
    <w:p w14:paraId="5E2A3649">
      <w:pPr>
        <w:spacing w:line="58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zh-CN" w:eastAsia="zh-CN"/>
        </w:rPr>
        <w:t>数量指标履职效果</w:t>
      </w:r>
      <w:r>
        <w:rPr>
          <w:rFonts w:hint="eastAsia" w:ascii="仿宋_GB2312" w:hAnsi="仿宋_GB2312" w:eastAsia="仿宋_GB2312" w:cs="仿宋_GB2312"/>
          <w:sz w:val="32"/>
          <w:szCs w:val="32"/>
          <w:lang w:val="en-US" w:eastAsia="zh-CN"/>
        </w:rPr>
        <w:t>:严格控制数量确保无遗漏无浪费，厉行节约</w:t>
      </w:r>
      <w:r>
        <w:rPr>
          <w:rFonts w:hint="eastAsia" w:ascii="仿宋_GB2312" w:hAnsi="仿宋_GB2312" w:eastAsia="仿宋_GB2312" w:cs="仿宋_GB2312"/>
          <w:sz w:val="32"/>
          <w:szCs w:val="32"/>
          <w:lang w:val="zh-CN" w:eastAsia="zh-CN"/>
        </w:rPr>
        <w:t>。质量指标履职效果：</w:t>
      </w:r>
      <w:r>
        <w:rPr>
          <w:rFonts w:hint="eastAsia" w:ascii="仿宋_GB2312" w:hAnsi="仿宋_GB2312" w:eastAsia="仿宋_GB2312" w:cs="仿宋_GB2312"/>
          <w:sz w:val="32"/>
          <w:szCs w:val="32"/>
          <w:lang w:val="en-US" w:eastAsia="zh-CN"/>
        </w:rPr>
        <w:t>严格把控质量关，确保与采购文件相匹配。社会效益指标履职效果：确保每一项采购项目都能实现单位职能，提高社会效益，促进社会发展。服务对象满意度指标履职效果：以高质量、高标准、高要求实施采购项目，确保受益对象满意度。经济成本指标履职效果：经过专业评估，以合理的经济成本实现项目价值。</w:t>
      </w:r>
    </w:p>
    <w:p w14:paraId="44675C62">
      <w:pPr>
        <w:spacing w:line="580" w:lineRule="exact"/>
        <w:ind w:firstLine="640" w:firstLineChars="20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val="zh-CN"/>
        </w:rPr>
        <w:t>预算管理。</w:t>
      </w:r>
    </w:p>
    <w:p w14:paraId="4C8DB10A">
      <w:pPr>
        <w:spacing w:line="580" w:lineRule="exact"/>
        <w:ind w:firstLine="640" w:firstLineChars="20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eastAsia="zh-CN"/>
        </w:rPr>
        <w:t>严格按照县级部门预算编制通知和有关要求，按时完成基础库、项目库报送工作，按时完成2024年预算编制工作，并按时提交部门预算草案。预算编制全面、科学。2024年实际支出和部门决算一致，绩效目标填报及年末结余结转都是严格按照县财政局的要求认真完成，不存在违规违纪使用资金的情况并按时完成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val="zh-CN" w:eastAsia="zh-CN"/>
        </w:rPr>
        <w:t>年预算编制工作，及时提交了部门预算草案。</w:t>
      </w:r>
    </w:p>
    <w:p w14:paraId="23B30FA2">
      <w:pPr>
        <w:spacing w:line="580" w:lineRule="exact"/>
        <w:ind w:firstLine="640" w:firstLineChars="20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val="zh-CN"/>
        </w:rPr>
        <w:t>财务管理。</w:t>
      </w:r>
    </w:p>
    <w:p w14:paraId="05FE6F91">
      <w:pPr>
        <w:spacing w:line="580" w:lineRule="exact"/>
        <w:ind w:firstLine="640" w:firstLineChars="200"/>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val="zh-CN"/>
        </w:rPr>
        <w:t>根据相关要求，单位使用预算资金基本符合相关的预算财务管理制度。我局在财政批复后</w:t>
      </w:r>
      <w:r>
        <w:rPr>
          <w:rFonts w:hint="eastAsia" w:ascii="仿宋_GB2312" w:hAnsi="仿宋_GB2312" w:eastAsia="仿宋_GB2312" w:cs="仿宋_GB2312"/>
          <w:sz w:val="32"/>
          <w:szCs w:val="32"/>
        </w:rPr>
        <w:t>20日内在指定网站公开预决算信息。按照相关要求进行绩效自我评价，按要求及时上报，对发现的问题提出整改措施，并整改落实到位。</w:t>
      </w:r>
      <w:r>
        <w:rPr>
          <w:rFonts w:hint="eastAsia" w:ascii="仿宋_GB2312" w:hAnsi="仿宋_GB2312" w:eastAsia="仿宋_GB2312" w:cs="仿宋_GB2312"/>
          <w:sz w:val="32"/>
          <w:szCs w:val="32"/>
          <w:lang w:val="zh-CN"/>
        </w:rPr>
        <w:t>绩效评价及依法接受财政监督情况等。</w:t>
      </w:r>
    </w:p>
    <w:p w14:paraId="6E3FA2EB">
      <w:pPr>
        <w:spacing w:line="580" w:lineRule="exact"/>
        <w:ind w:firstLine="640" w:firstLineChars="20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val="zh-CN"/>
        </w:rPr>
        <w:t>资产管理。</w:t>
      </w:r>
    </w:p>
    <w:p w14:paraId="0C794CC2">
      <w:pPr>
        <w:spacing w:line="58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zh-CN"/>
        </w:rPr>
        <w:t>我局</w:t>
      </w:r>
      <w:r>
        <w:rPr>
          <w:rFonts w:hint="eastAsia" w:ascii="仿宋_GB2312" w:hAnsi="仿宋_GB2312" w:eastAsia="仿宋_GB2312" w:cs="仿宋_GB2312"/>
          <w:sz w:val="32"/>
          <w:szCs w:val="32"/>
          <w:lang w:eastAsia="zh-CN"/>
        </w:rPr>
        <w:t>2024年</w:t>
      </w:r>
      <w:r>
        <w:rPr>
          <w:rFonts w:hint="eastAsia" w:ascii="仿宋_GB2312" w:hAnsi="仿宋_GB2312" w:eastAsia="仿宋_GB2312" w:cs="仿宋_GB2312"/>
          <w:sz w:val="32"/>
          <w:szCs w:val="32"/>
        </w:rPr>
        <w:t>所有国有资产纳入</w:t>
      </w:r>
      <w:r>
        <w:rPr>
          <w:rFonts w:hint="eastAsia" w:ascii="仿宋_GB2312" w:hAnsi="仿宋_GB2312" w:eastAsia="仿宋_GB2312" w:cs="仿宋_GB2312"/>
          <w:sz w:val="32"/>
          <w:szCs w:val="32"/>
          <w:lang w:val="zh-CN"/>
        </w:rPr>
        <w:t>资产管理系统，及时准确上报并做好资产的管理工作，</w:t>
      </w:r>
      <w:r>
        <w:rPr>
          <w:rFonts w:hint="eastAsia" w:ascii="仿宋_GB2312" w:hAnsi="仿宋_GB2312" w:eastAsia="仿宋_GB2312" w:cs="仿宋_GB2312"/>
          <w:sz w:val="32"/>
          <w:szCs w:val="32"/>
          <w:lang w:val="en-US" w:eastAsia="zh-CN"/>
        </w:rPr>
        <w:t>无闲置资产。</w:t>
      </w:r>
    </w:p>
    <w:p w14:paraId="639F7D05">
      <w:pPr>
        <w:spacing w:line="580" w:lineRule="exact"/>
        <w:ind w:firstLine="640" w:firstLineChars="20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lang w:val="zh-CN"/>
        </w:rPr>
        <w:t>采购管理。</w:t>
      </w:r>
    </w:p>
    <w:p w14:paraId="6189C8C0">
      <w:pPr>
        <w:spacing w:line="580" w:lineRule="exact"/>
        <w:ind w:firstLine="640" w:firstLineChars="200"/>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val="en-US" w:eastAsia="zh-CN"/>
        </w:rPr>
        <w:t>为保障单位正常运转，实现机构只能，根据实际需求按照程序实施政府采购</w:t>
      </w:r>
      <w:r>
        <w:rPr>
          <w:rFonts w:hint="eastAsia" w:ascii="仿宋_GB2312" w:hAnsi="仿宋_GB2312" w:eastAsia="仿宋_GB2312" w:cs="仿宋_GB2312"/>
          <w:sz w:val="32"/>
          <w:szCs w:val="32"/>
          <w:lang w:val="zh-CN" w:eastAsia="zh-CN"/>
        </w:rPr>
        <w:t>、采购</w:t>
      </w:r>
      <w:r>
        <w:rPr>
          <w:rFonts w:hint="eastAsia" w:ascii="仿宋_GB2312" w:hAnsi="仿宋_GB2312" w:eastAsia="仿宋_GB2312" w:cs="仿宋_GB2312"/>
          <w:sz w:val="32"/>
          <w:szCs w:val="32"/>
          <w:lang w:val="en-US" w:eastAsia="zh-CN"/>
        </w:rPr>
        <w:t>项目</w:t>
      </w:r>
      <w:r>
        <w:rPr>
          <w:rFonts w:hint="eastAsia" w:ascii="仿宋_GB2312" w:hAnsi="仿宋_GB2312" w:eastAsia="仿宋_GB2312" w:cs="仿宋_GB2312"/>
          <w:sz w:val="32"/>
          <w:szCs w:val="32"/>
          <w:lang w:val="zh-CN" w:eastAsia="zh-CN"/>
        </w:rPr>
        <w:t>执行率</w:t>
      </w:r>
      <w:r>
        <w:rPr>
          <w:rFonts w:hint="eastAsia" w:ascii="仿宋_GB2312" w:hAnsi="仿宋_GB2312" w:eastAsia="仿宋_GB2312" w:cs="仿宋_GB2312"/>
          <w:sz w:val="32"/>
          <w:szCs w:val="32"/>
          <w:lang w:val="en-US" w:eastAsia="zh-CN"/>
        </w:rPr>
        <w:t>达100%，采购结果与预期目标相匹配，通过科学合理的评价方法和标准，提高采购质量和效益</w:t>
      </w:r>
      <w:r>
        <w:rPr>
          <w:rFonts w:hint="eastAsia" w:ascii="仿宋_GB2312" w:hAnsi="仿宋_GB2312" w:eastAsia="仿宋_GB2312" w:cs="仿宋_GB2312"/>
          <w:sz w:val="32"/>
          <w:szCs w:val="32"/>
          <w:lang w:val="zh-CN" w:eastAsia="zh-CN"/>
        </w:rPr>
        <w:t>。</w:t>
      </w:r>
    </w:p>
    <w:p w14:paraId="3A48E57A">
      <w:pPr>
        <w:pStyle w:val="2"/>
        <w:jc w:val="center"/>
      </w:pPr>
      <w:bookmarkStart w:id="75" w:name="_Toc10559_WPSOffice_Level1"/>
      <w:r>
        <w:rPr>
          <w:rFonts w:hint="eastAsia"/>
        </w:rPr>
        <w:t>第三部分 名词解释</w:t>
      </w:r>
      <w:bookmarkEnd w:id="75"/>
    </w:p>
    <w:p w14:paraId="197AFC24"/>
    <w:p w14:paraId="56023AD2">
      <w:pPr>
        <w:ind w:firstLine="640" w:firstLineChars="200"/>
        <w:rPr>
          <w:rFonts w:hint="eastAsia" w:ascii="仿宋_GB2312" w:eastAsia="仿宋_GB2312"/>
          <w:sz w:val="32"/>
          <w:szCs w:val="32"/>
        </w:rPr>
      </w:pPr>
      <w:r>
        <w:rPr>
          <w:rFonts w:hint="eastAsia" w:ascii="仿宋_GB2312" w:eastAsia="仿宋_GB2312"/>
          <w:sz w:val="32"/>
          <w:szCs w:val="32"/>
        </w:rPr>
        <w:t>1.财政拨款收入：指单位从同级财政部门取得的财政预算资金。</w:t>
      </w:r>
    </w:p>
    <w:p w14:paraId="44F6640A">
      <w:pPr>
        <w:ind w:firstLine="640" w:firstLineChars="200"/>
        <w:rPr>
          <w:rFonts w:hint="eastAsia" w:ascii="仿宋_GB2312" w:eastAsia="仿宋_GB2312"/>
          <w:sz w:val="32"/>
          <w:szCs w:val="32"/>
        </w:rPr>
      </w:pPr>
      <w:r>
        <w:rPr>
          <w:rFonts w:hint="eastAsia" w:ascii="仿宋_GB2312" w:eastAsia="仿宋_GB2312"/>
          <w:sz w:val="32"/>
          <w:szCs w:val="32"/>
        </w:rPr>
        <w:t>2.事业收入：指事业单位开展专业业务活动及辅助活动取得的收入。</w:t>
      </w:r>
    </w:p>
    <w:p w14:paraId="0E959A89">
      <w:pPr>
        <w:ind w:firstLine="640" w:firstLineChars="200"/>
        <w:rPr>
          <w:rFonts w:hint="eastAsia" w:ascii="仿宋_GB2312" w:eastAsia="仿宋_GB2312"/>
          <w:sz w:val="32"/>
          <w:szCs w:val="32"/>
        </w:rPr>
      </w:pPr>
      <w:r>
        <w:rPr>
          <w:rFonts w:hint="eastAsia" w:ascii="仿宋_GB2312" w:eastAsia="仿宋_GB2312"/>
          <w:sz w:val="32"/>
          <w:szCs w:val="32"/>
        </w:rPr>
        <w:t>3.经营收入：指事业单位在专业业务活动及其辅助活动之外开展非独立核算经营活动取得的收入。</w:t>
      </w:r>
    </w:p>
    <w:p w14:paraId="541B374B">
      <w:pPr>
        <w:ind w:firstLine="640" w:firstLineChars="200"/>
        <w:rPr>
          <w:rFonts w:hint="eastAsia" w:ascii="仿宋_GB2312" w:eastAsia="仿宋_GB2312"/>
          <w:sz w:val="32"/>
          <w:szCs w:val="32"/>
        </w:rPr>
      </w:pPr>
      <w:r>
        <w:rPr>
          <w:rFonts w:hint="eastAsia" w:ascii="仿宋_GB2312" w:eastAsia="仿宋_GB2312"/>
          <w:sz w:val="32"/>
          <w:szCs w:val="32"/>
        </w:rPr>
        <w:t xml:space="preserve">4.其他收入：指单位取得的除上述收入以外的各项收入。 </w:t>
      </w:r>
    </w:p>
    <w:p w14:paraId="7CE82BAB">
      <w:pPr>
        <w:ind w:firstLine="640" w:firstLineChars="200"/>
        <w:rPr>
          <w:rFonts w:hint="eastAsia" w:ascii="仿宋_GB2312" w:eastAsia="仿宋_GB2312"/>
          <w:sz w:val="32"/>
          <w:szCs w:val="32"/>
        </w:rPr>
      </w:pPr>
      <w:r>
        <w:rPr>
          <w:rFonts w:hint="eastAsia" w:ascii="仿宋_GB2312" w:eastAsia="仿宋_GB2312"/>
          <w:sz w:val="32"/>
          <w:szCs w:val="32"/>
        </w:rPr>
        <w:t xml:space="preserve">5.使用非财政拨款结余（含专用结余）：指事业单位使用以前年度积累的非财政拨款结余弥补当年收支差额的金额。 </w:t>
      </w:r>
    </w:p>
    <w:p w14:paraId="34CA4BC4">
      <w:pPr>
        <w:ind w:firstLine="640" w:firstLineChars="200"/>
        <w:rPr>
          <w:rFonts w:hint="eastAsia" w:ascii="仿宋_GB2312" w:eastAsia="仿宋_GB2312"/>
          <w:sz w:val="32"/>
          <w:szCs w:val="32"/>
        </w:rPr>
      </w:pPr>
      <w:r>
        <w:rPr>
          <w:rFonts w:hint="eastAsia" w:ascii="仿宋_GB2312" w:eastAsia="仿宋_GB2312"/>
          <w:sz w:val="32"/>
          <w:szCs w:val="32"/>
        </w:rPr>
        <w:t xml:space="preserve">6.年初结转和结余：指以前年度尚未完成、结转到本年按有关规定继续使用的资金。 </w:t>
      </w:r>
    </w:p>
    <w:p w14:paraId="71E2E4BF">
      <w:pPr>
        <w:ind w:firstLine="640" w:firstLineChars="200"/>
        <w:rPr>
          <w:rFonts w:hint="eastAsia" w:ascii="仿宋_GB2312" w:eastAsia="仿宋_GB2312"/>
          <w:sz w:val="32"/>
          <w:szCs w:val="32"/>
        </w:rPr>
      </w:pPr>
      <w:r>
        <w:rPr>
          <w:rFonts w:hint="eastAsia" w:ascii="仿宋_GB2312" w:eastAsia="仿宋_GB2312"/>
          <w:sz w:val="32"/>
          <w:szCs w:val="32"/>
        </w:rPr>
        <w:t>7.结余分配：指事业单位按照会计制度规定缴纳的所得税、提取的专用结余以及转入非财政拨款结余的金额等。</w:t>
      </w:r>
    </w:p>
    <w:p w14:paraId="3A545400">
      <w:pPr>
        <w:ind w:firstLine="640" w:firstLineChars="200"/>
        <w:rPr>
          <w:rFonts w:hint="eastAsia" w:ascii="仿宋_GB2312" w:eastAsia="仿宋_GB2312"/>
          <w:sz w:val="32"/>
          <w:szCs w:val="32"/>
        </w:rPr>
      </w:pPr>
      <w:r>
        <w:rPr>
          <w:rFonts w:hint="eastAsia" w:ascii="仿宋_GB2312" w:eastAsia="仿宋_GB2312"/>
          <w:sz w:val="32"/>
          <w:szCs w:val="32"/>
        </w:rPr>
        <w:t>8.年末结转和结余：指单位按有关规定结转到下年或以后年度继续使用的资金。</w:t>
      </w:r>
    </w:p>
    <w:p w14:paraId="0148651D">
      <w:pPr>
        <w:ind w:firstLine="640" w:firstLineChars="200"/>
        <w:rPr>
          <w:rFonts w:hint="eastAsia" w:ascii="仿宋_GB2312" w:eastAsia="仿宋_GB2312"/>
          <w:sz w:val="32"/>
          <w:szCs w:val="32"/>
        </w:rPr>
      </w:pPr>
      <w:r>
        <w:rPr>
          <w:rFonts w:hint="eastAsia" w:ascii="仿宋_GB2312" w:eastAsia="仿宋_GB2312"/>
          <w:sz w:val="32"/>
          <w:szCs w:val="32"/>
        </w:rPr>
        <w:t>9.</w:t>
      </w:r>
      <w:r>
        <w:rPr>
          <w:rFonts w:hint="eastAsia" w:ascii="仿宋_GB2312" w:eastAsia="仿宋_GB2312"/>
          <w:sz w:val="32"/>
          <w:szCs w:val="32"/>
          <w:lang w:eastAsia="zh-CN"/>
        </w:rPr>
        <w:t>自然资源海洋气象等支出</w:t>
      </w:r>
      <w:r>
        <w:rPr>
          <w:rFonts w:hint="eastAsia" w:ascii="仿宋_GB2312" w:eastAsia="仿宋_GB2312"/>
          <w:sz w:val="32"/>
          <w:szCs w:val="32"/>
        </w:rPr>
        <w:t>（类）</w:t>
      </w:r>
      <w:r>
        <w:rPr>
          <w:rFonts w:hint="eastAsia" w:ascii="仿宋_GB2312" w:eastAsia="仿宋_GB2312"/>
          <w:sz w:val="32"/>
          <w:szCs w:val="32"/>
          <w:lang w:eastAsia="zh-CN"/>
        </w:rPr>
        <w:t>自然资源事务</w:t>
      </w:r>
      <w:r>
        <w:rPr>
          <w:rFonts w:hint="eastAsia" w:ascii="仿宋_GB2312" w:eastAsia="仿宋_GB2312"/>
          <w:sz w:val="32"/>
          <w:szCs w:val="32"/>
        </w:rPr>
        <w:t>（款）</w:t>
      </w:r>
      <w:r>
        <w:rPr>
          <w:rFonts w:hint="eastAsia" w:ascii="仿宋_GB2312" w:eastAsia="仿宋_GB2312"/>
          <w:sz w:val="32"/>
          <w:szCs w:val="32"/>
          <w:lang w:eastAsia="zh-CN"/>
        </w:rPr>
        <w:t>行政运行</w:t>
      </w:r>
      <w:r>
        <w:rPr>
          <w:rFonts w:hint="eastAsia" w:ascii="仿宋_GB2312" w:eastAsia="仿宋_GB2312"/>
          <w:sz w:val="32"/>
          <w:szCs w:val="32"/>
        </w:rPr>
        <w:t>：</w:t>
      </w:r>
      <w:r>
        <w:rPr>
          <w:rFonts w:hint="eastAsia" w:ascii="仿宋_GB2312" w:eastAsia="仿宋_GB2312"/>
          <w:sz w:val="32"/>
          <w:szCs w:val="32"/>
          <w:lang w:eastAsia="zh-CN"/>
        </w:rPr>
        <w:t>反映行政单位（包括实行公务员管理的事业单位）的基本支出</w:t>
      </w:r>
      <w:r>
        <w:rPr>
          <w:rFonts w:hint="eastAsia" w:ascii="仿宋_GB2312" w:eastAsia="仿宋_GB2312"/>
          <w:sz w:val="32"/>
          <w:szCs w:val="32"/>
        </w:rPr>
        <w:t>。</w:t>
      </w:r>
    </w:p>
    <w:p w14:paraId="1EA50ECF">
      <w:pPr>
        <w:ind w:firstLine="640" w:firstLineChars="200"/>
        <w:rPr>
          <w:rFonts w:hint="eastAsia" w:ascii="仿宋_GB2312" w:eastAsia="仿宋_GB2312"/>
          <w:sz w:val="32"/>
          <w:szCs w:val="32"/>
        </w:rPr>
      </w:pPr>
      <w:r>
        <w:rPr>
          <w:rFonts w:hint="eastAsia" w:ascii="仿宋_GB2312" w:eastAsia="仿宋_GB2312"/>
          <w:sz w:val="32"/>
          <w:szCs w:val="32"/>
        </w:rPr>
        <w:t>10.</w:t>
      </w:r>
      <w:r>
        <w:rPr>
          <w:rFonts w:hint="eastAsia" w:ascii="仿宋_GB2312" w:eastAsia="仿宋_GB2312"/>
          <w:sz w:val="32"/>
          <w:szCs w:val="32"/>
          <w:lang w:eastAsia="zh-CN"/>
        </w:rPr>
        <w:t>自然资源海洋气象等支出</w:t>
      </w:r>
      <w:r>
        <w:rPr>
          <w:rFonts w:hint="eastAsia" w:ascii="仿宋_GB2312" w:eastAsia="仿宋_GB2312"/>
          <w:sz w:val="32"/>
          <w:szCs w:val="32"/>
        </w:rPr>
        <w:t>（类）</w:t>
      </w:r>
      <w:r>
        <w:rPr>
          <w:rFonts w:hint="eastAsia" w:ascii="仿宋_GB2312" w:eastAsia="仿宋_GB2312"/>
          <w:sz w:val="32"/>
          <w:szCs w:val="32"/>
          <w:lang w:eastAsia="zh-CN"/>
        </w:rPr>
        <w:t>自然资源事务</w:t>
      </w:r>
      <w:r>
        <w:rPr>
          <w:rFonts w:hint="eastAsia" w:ascii="仿宋_GB2312" w:eastAsia="仿宋_GB2312"/>
          <w:sz w:val="32"/>
          <w:szCs w:val="32"/>
        </w:rPr>
        <w:t>（款）</w:t>
      </w:r>
      <w:r>
        <w:rPr>
          <w:rFonts w:hint="eastAsia" w:ascii="仿宋_GB2312" w:eastAsia="仿宋_GB2312"/>
          <w:sz w:val="32"/>
          <w:szCs w:val="32"/>
          <w:lang w:eastAsia="zh-CN"/>
        </w:rPr>
        <w:t>事业运行</w:t>
      </w:r>
      <w:r>
        <w:rPr>
          <w:rFonts w:hint="eastAsia" w:ascii="仿宋_GB2312" w:eastAsia="仿宋_GB2312"/>
          <w:sz w:val="32"/>
          <w:szCs w:val="32"/>
        </w:rPr>
        <w:t>：</w:t>
      </w:r>
      <w:r>
        <w:rPr>
          <w:rFonts w:hint="eastAsia" w:ascii="仿宋_GB2312" w:eastAsia="仿宋_GB2312"/>
          <w:sz w:val="32"/>
          <w:szCs w:val="32"/>
          <w:lang w:eastAsia="zh-CN"/>
        </w:rPr>
        <w:t>反映事业单位的基本支出，不包括行政单位（包括实行公务员管理的事业单位）后勤服务中心、医务室等附属事业单位</w:t>
      </w:r>
      <w:r>
        <w:rPr>
          <w:rFonts w:hint="eastAsia" w:ascii="仿宋_GB2312" w:eastAsia="仿宋_GB2312"/>
          <w:sz w:val="32"/>
          <w:szCs w:val="32"/>
        </w:rPr>
        <w:t>。</w:t>
      </w:r>
    </w:p>
    <w:p w14:paraId="3B775690">
      <w:pPr>
        <w:ind w:firstLine="640" w:firstLineChars="200"/>
        <w:rPr>
          <w:rFonts w:hint="eastAsia" w:ascii="仿宋_GB2312" w:eastAsia="仿宋_GB2312"/>
          <w:sz w:val="32"/>
          <w:szCs w:val="32"/>
        </w:rPr>
      </w:pPr>
      <w:r>
        <w:rPr>
          <w:rFonts w:hint="eastAsia" w:ascii="仿宋_GB2312" w:eastAsia="仿宋_GB2312"/>
          <w:sz w:val="32"/>
          <w:szCs w:val="32"/>
        </w:rPr>
        <w:t>11.</w:t>
      </w:r>
      <w:r>
        <w:rPr>
          <w:rFonts w:hint="eastAsia" w:ascii="仿宋_GB2312" w:eastAsia="仿宋_GB2312"/>
          <w:sz w:val="32"/>
          <w:szCs w:val="32"/>
          <w:lang w:eastAsia="zh-CN"/>
        </w:rPr>
        <w:t>自然资源海洋气象等支出</w:t>
      </w:r>
      <w:r>
        <w:rPr>
          <w:rFonts w:hint="eastAsia" w:ascii="仿宋_GB2312" w:eastAsia="仿宋_GB2312"/>
          <w:sz w:val="32"/>
          <w:szCs w:val="32"/>
        </w:rPr>
        <w:t>（类）</w:t>
      </w:r>
      <w:r>
        <w:rPr>
          <w:rFonts w:hint="eastAsia" w:ascii="仿宋_GB2312" w:eastAsia="仿宋_GB2312"/>
          <w:sz w:val="32"/>
          <w:szCs w:val="32"/>
          <w:lang w:eastAsia="zh-CN"/>
        </w:rPr>
        <w:t>自然资源事务</w:t>
      </w:r>
      <w:r>
        <w:rPr>
          <w:rFonts w:hint="eastAsia" w:ascii="仿宋_GB2312" w:eastAsia="仿宋_GB2312"/>
          <w:sz w:val="32"/>
          <w:szCs w:val="32"/>
        </w:rPr>
        <w:t>（款）</w:t>
      </w:r>
      <w:r>
        <w:rPr>
          <w:rFonts w:hint="eastAsia" w:ascii="仿宋_GB2312" w:eastAsia="仿宋_GB2312"/>
          <w:sz w:val="32"/>
          <w:szCs w:val="32"/>
          <w:lang w:eastAsia="zh-CN"/>
        </w:rPr>
        <w:t>自然资源规划及管理</w:t>
      </w:r>
      <w:r>
        <w:rPr>
          <w:rFonts w:hint="eastAsia" w:ascii="仿宋_GB2312" w:eastAsia="仿宋_GB2312"/>
          <w:sz w:val="32"/>
          <w:szCs w:val="32"/>
        </w:rPr>
        <w:t>：</w:t>
      </w:r>
      <w:r>
        <w:rPr>
          <w:rFonts w:hint="eastAsia" w:ascii="仿宋_GB2312" w:eastAsia="仿宋_GB2312"/>
          <w:sz w:val="32"/>
          <w:szCs w:val="32"/>
          <w:lang w:eastAsia="zh-CN"/>
        </w:rPr>
        <w:t>反映用于国土空间规划、国土空间开发适宜性评价等方面的支出</w:t>
      </w:r>
      <w:r>
        <w:rPr>
          <w:rFonts w:hint="eastAsia" w:ascii="仿宋_GB2312" w:eastAsia="仿宋_GB2312"/>
          <w:sz w:val="32"/>
          <w:szCs w:val="32"/>
        </w:rPr>
        <w:t>。</w:t>
      </w:r>
    </w:p>
    <w:p w14:paraId="51FBEFEE">
      <w:pPr>
        <w:ind w:firstLine="640" w:firstLineChars="200"/>
        <w:rPr>
          <w:rFonts w:hint="eastAsia" w:ascii="仿宋_GB2312" w:eastAsia="仿宋_GB2312"/>
          <w:sz w:val="32"/>
          <w:szCs w:val="32"/>
          <w:lang w:eastAsia="zh-CN"/>
        </w:rPr>
      </w:pPr>
      <w:r>
        <w:rPr>
          <w:rFonts w:hint="eastAsia" w:ascii="仿宋_GB2312" w:eastAsia="仿宋_GB2312"/>
          <w:sz w:val="32"/>
          <w:szCs w:val="32"/>
        </w:rPr>
        <w:t>1</w:t>
      </w:r>
      <w:r>
        <w:rPr>
          <w:rFonts w:hint="eastAsia" w:ascii="仿宋_GB2312" w:eastAsia="仿宋_GB2312"/>
          <w:sz w:val="32"/>
          <w:szCs w:val="32"/>
          <w:lang w:val="en-US" w:eastAsia="zh-CN"/>
        </w:rPr>
        <w:t>2</w:t>
      </w:r>
      <w:r>
        <w:rPr>
          <w:rFonts w:hint="eastAsia" w:ascii="仿宋_GB2312" w:eastAsia="仿宋_GB2312"/>
          <w:sz w:val="32"/>
          <w:szCs w:val="32"/>
        </w:rPr>
        <w:t>.</w:t>
      </w:r>
      <w:r>
        <w:rPr>
          <w:rFonts w:hint="eastAsia" w:ascii="仿宋_GB2312" w:eastAsia="仿宋_GB2312"/>
          <w:sz w:val="32"/>
          <w:szCs w:val="32"/>
          <w:lang w:eastAsia="zh-CN"/>
        </w:rPr>
        <w:t>自然资源海洋气象等支出</w:t>
      </w:r>
      <w:r>
        <w:rPr>
          <w:rFonts w:hint="eastAsia" w:ascii="仿宋_GB2312" w:eastAsia="仿宋_GB2312"/>
          <w:sz w:val="32"/>
          <w:szCs w:val="32"/>
        </w:rPr>
        <w:t>（类）</w:t>
      </w:r>
      <w:r>
        <w:rPr>
          <w:rFonts w:hint="eastAsia" w:ascii="仿宋_GB2312" w:eastAsia="仿宋_GB2312"/>
          <w:sz w:val="32"/>
          <w:szCs w:val="32"/>
          <w:lang w:eastAsia="zh-CN"/>
        </w:rPr>
        <w:t>自然资源事务</w:t>
      </w:r>
      <w:r>
        <w:rPr>
          <w:rFonts w:hint="eastAsia" w:ascii="仿宋_GB2312" w:eastAsia="仿宋_GB2312"/>
          <w:sz w:val="32"/>
          <w:szCs w:val="32"/>
        </w:rPr>
        <w:t>（款）</w:t>
      </w:r>
      <w:r>
        <w:rPr>
          <w:rFonts w:hint="eastAsia" w:ascii="仿宋_GB2312" w:eastAsia="仿宋_GB2312"/>
          <w:sz w:val="32"/>
          <w:szCs w:val="32"/>
          <w:lang w:eastAsia="zh-CN"/>
        </w:rPr>
        <w:t>自然资源利用与保护</w:t>
      </w:r>
      <w:r>
        <w:rPr>
          <w:rFonts w:hint="eastAsia" w:ascii="仿宋_GB2312" w:eastAsia="仿宋_GB2312"/>
          <w:sz w:val="32"/>
          <w:szCs w:val="32"/>
        </w:rPr>
        <w:t>：</w:t>
      </w:r>
      <w:r>
        <w:rPr>
          <w:rFonts w:hint="eastAsia" w:ascii="仿宋_GB2312" w:eastAsia="仿宋_GB2312"/>
          <w:sz w:val="32"/>
          <w:szCs w:val="32"/>
          <w:lang w:eastAsia="zh-CN"/>
        </w:rPr>
        <w:t>反映用于自然资源有偿使用与合理开发利用，国土空间生态修复，国土整治，耕地保护等方面的支出。</w:t>
      </w:r>
    </w:p>
    <w:p w14:paraId="1D63ABB7">
      <w:pPr>
        <w:ind w:firstLine="640" w:firstLineChars="200"/>
        <w:rPr>
          <w:rFonts w:hint="eastAsia" w:ascii="仿宋_GB2312" w:eastAsia="仿宋_GB2312"/>
          <w:sz w:val="32"/>
          <w:szCs w:val="32"/>
          <w:lang w:eastAsia="zh-CN"/>
        </w:rPr>
      </w:pPr>
      <w:r>
        <w:rPr>
          <w:rFonts w:hint="eastAsia" w:ascii="仿宋_GB2312" w:eastAsia="仿宋_GB2312"/>
          <w:sz w:val="32"/>
          <w:szCs w:val="32"/>
        </w:rPr>
        <w:t>1</w:t>
      </w:r>
      <w:r>
        <w:rPr>
          <w:rFonts w:hint="eastAsia" w:ascii="仿宋_GB2312" w:eastAsia="仿宋_GB2312"/>
          <w:sz w:val="32"/>
          <w:szCs w:val="32"/>
          <w:lang w:val="en-US" w:eastAsia="zh-CN"/>
        </w:rPr>
        <w:t>3</w:t>
      </w:r>
      <w:r>
        <w:rPr>
          <w:rFonts w:hint="eastAsia" w:ascii="仿宋_GB2312" w:eastAsia="仿宋_GB2312"/>
          <w:sz w:val="32"/>
          <w:szCs w:val="32"/>
        </w:rPr>
        <w:t>.</w:t>
      </w:r>
      <w:r>
        <w:rPr>
          <w:rFonts w:hint="eastAsia" w:ascii="仿宋_GB2312" w:eastAsia="仿宋_GB2312"/>
          <w:sz w:val="32"/>
          <w:szCs w:val="32"/>
          <w:lang w:eastAsia="zh-CN"/>
        </w:rPr>
        <w:t>自然资源海洋气象等支出</w:t>
      </w:r>
      <w:r>
        <w:rPr>
          <w:rFonts w:hint="eastAsia" w:ascii="仿宋_GB2312" w:eastAsia="仿宋_GB2312"/>
          <w:sz w:val="32"/>
          <w:szCs w:val="32"/>
        </w:rPr>
        <w:t>（类）</w:t>
      </w:r>
      <w:r>
        <w:rPr>
          <w:rFonts w:hint="eastAsia" w:ascii="仿宋_GB2312" w:eastAsia="仿宋_GB2312"/>
          <w:sz w:val="32"/>
          <w:szCs w:val="32"/>
          <w:lang w:eastAsia="zh-CN"/>
        </w:rPr>
        <w:t>自然资源事务</w:t>
      </w:r>
      <w:r>
        <w:rPr>
          <w:rFonts w:hint="eastAsia" w:ascii="仿宋_GB2312" w:eastAsia="仿宋_GB2312"/>
          <w:sz w:val="32"/>
          <w:szCs w:val="32"/>
        </w:rPr>
        <w:t>（款）</w:t>
      </w:r>
      <w:r>
        <w:rPr>
          <w:rFonts w:hint="eastAsia" w:ascii="仿宋_GB2312" w:eastAsia="仿宋_GB2312"/>
          <w:sz w:val="32"/>
          <w:szCs w:val="32"/>
          <w:lang w:eastAsia="zh-CN"/>
        </w:rPr>
        <w:t>自然资源调查与确权登记</w:t>
      </w:r>
      <w:r>
        <w:rPr>
          <w:rFonts w:hint="eastAsia" w:ascii="仿宋_GB2312" w:eastAsia="仿宋_GB2312"/>
          <w:sz w:val="32"/>
          <w:szCs w:val="32"/>
        </w:rPr>
        <w:t>：</w:t>
      </w:r>
      <w:r>
        <w:rPr>
          <w:rFonts w:hint="eastAsia" w:ascii="仿宋_GB2312" w:eastAsia="仿宋_GB2312"/>
          <w:sz w:val="32"/>
          <w:szCs w:val="32"/>
          <w:lang w:eastAsia="zh-CN"/>
        </w:rPr>
        <w:t>反映自然资源部门用于自然资源调查监测评价，自然资源统一确权登记等方面的支出。</w:t>
      </w:r>
    </w:p>
    <w:p w14:paraId="32B4CD17">
      <w:pPr>
        <w:ind w:firstLine="640" w:firstLineChars="200"/>
        <w:rPr>
          <w:rFonts w:hint="eastAsia" w:ascii="仿宋_GB2312" w:eastAsia="仿宋_GB2312"/>
          <w:sz w:val="32"/>
          <w:szCs w:val="32"/>
          <w:lang w:eastAsia="zh-CN"/>
        </w:rPr>
      </w:pPr>
      <w:r>
        <w:rPr>
          <w:rFonts w:hint="eastAsia" w:ascii="仿宋_GB2312" w:eastAsia="仿宋_GB2312"/>
          <w:sz w:val="32"/>
          <w:szCs w:val="32"/>
        </w:rPr>
        <w:t>1</w:t>
      </w:r>
      <w:r>
        <w:rPr>
          <w:rFonts w:hint="eastAsia" w:ascii="仿宋_GB2312" w:eastAsia="仿宋_GB2312"/>
          <w:sz w:val="32"/>
          <w:szCs w:val="32"/>
          <w:lang w:val="en-US" w:eastAsia="zh-CN"/>
        </w:rPr>
        <w:t>4</w:t>
      </w:r>
      <w:r>
        <w:rPr>
          <w:rFonts w:hint="eastAsia" w:ascii="仿宋_GB2312" w:eastAsia="仿宋_GB2312"/>
          <w:sz w:val="32"/>
          <w:szCs w:val="32"/>
        </w:rPr>
        <w:t>.</w:t>
      </w:r>
      <w:r>
        <w:rPr>
          <w:rFonts w:hint="eastAsia" w:ascii="仿宋_GB2312" w:eastAsia="仿宋_GB2312"/>
          <w:sz w:val="32"/>
          <w:szCs w:val="32"/>
          <w:lang w:eastAsia="zh-CN"/>
        </w:rPr>
        <w:t>自然资源海洋气象等支出</w:t>
      </w:r>
      <w:r>
        <w:rPr>
          <w:rFonts w:hint="eastAsia" w:ascii="仿宋_GB2312" w:eastAsia="仿宋_GB2312"/>
          <w:sz w:val="32"/>
          <w:szCs w:val="32"/>
        </w:rPr>
        <w:t>（类）</w:t>
      </w:r>
      <w:r>
        <w:rPr>
          <w:rFonts w:hint="eastAsia" w:ascii="仿宋_GB2312" w:eastAsia="仿宋_GB2312"/>
          <w:sz w:val="32"/>
          <w:szCs w:val="32"/>
          <w:lang w:eastAsia="zh-CN"/>
        </w:rPr>
        <w:t>自然资源事务</w:t>
      </w:r>
      <w:r>
        <w:rPr>
          <w:rFonts w:hint="eastAsia" w:ascii="仿宋_GB2312" w:eastAsia="仿宋_GB2312"/>
          <w:sz w:val="32"/>
          <w:szCs w:val="32"/>
        </w:rPr>
        <w:t>（款）</w:t>
      </w:r>
      <w:r>
        <w:rPr>
          <w:rFonts w:hint="eastAsia" w:ascii="仿宋_GB2312" w:eastAsia="仿宋_GB2312"/>
          <w:sz w:val="32"/>
          <w:szCs w:val="32"/>
          <w:lang w:eastAsia="zh-CN"/>
        </w:rPr>
        <w:t>土地资源储备支出</w:t>
      </w:r>
      <w:r>
        <w:rPr>
          <w:rFonts w:hint="eastAsia" w:ascii="仿宋_GB2312" w:eastAsia="仿宋_GB2312"/>
          <w:sz w:val="32"/>
          <w:szCs w:val="32"/>
        </w:rPr>
        <w:t>：</w:t>
      </w:r>
      <w:r>
        <w:rPr>
          <w:rFonts w:hint="eastAsia" w:ascii="仿宋_GB2312" w:eastAsia="仿宋_GB2312"/>
          <w:sz w:val="32"/>
          <w:szCs w:val="32"/>
          <w:lang w:eastAsia="zh-CN"/>
        </w:rPr>
        <w:t>反映用于土地储备方面的支出。</w:t>
      </w:r>
    </w:p>
    <w:p w14:paraId="662DA78E">
      <w:pPr>
        <w:ind w:firstLine="640" w:firstLineChars="200"/>
        <w:rPr>
          <w:rFonts w:hint="eastAsia" w:ascii="仿宋_GB2312" w:eastAsia="仿宋_GB2312"/>
          <w:sz w:val="32"/>
          <w:szCs w:val="32"/>
          <w:lang w:eastAsia="zh-CN"/>
        </w:rPr>
      </w:pPr>
      <w:r>
        <w:rPr>
          <w:rFonts w:hint="eastAsia" w:ascii="仿宋_GB2312" w:eastAsia="仿宋_GB2312"/>
          <w:sz w:val="32"/>
          <w:szCs w:val="32"/>
          <w:lang w:val="en-US" w:eastAsia="zh-CN"/>
        </w:rPr>
        <w:t>15.</w:t>
      </w:r>
      <w:r>
        <w:rPr>
          <w:rFonts w:hint="eastAsia" w:ascii="仿宋_GB2312" w:eastAsia="仿宋_GB2312"/>
          <w:sz w:val="32"/>
          <w:szCs w:val="32"/>
          <w:lang w:eastAsia="zh-CN"/>
        </w:rPr>
        <w:t>灾害防治及应急管理支出</w:t>
      </w:r>
      <w:r>
        <w:rPr>
          <w:rFonts w:hint="eastAsia" w:ascii="仿宋_GB2312" w:eastAsia="仿宋_GB2312"/>
          <w:sz w:val="32"/>
          <w:szCs w:val="32"/>
        </w:rPr>
        <w:t>（类）</w:t>
      </w:r>
      <w:r>
        <w:rPr>
          <w:rFonts w:hint="eastAsia" w:ascii="仿宋_GB2312" w:eastAsia="仿宋_GB2312"/>
          <w:sz w:val="32"/>
          <w:szCs w:val="32"/>
          <w:lang w:eastAsia="zh-CN"/>
        </w:rPr>
        <w:t>自然灾害防治</w:t>
      </w:r>
      <w:r>
        <w:rPr>
          <w:rFonts w:hint="eastAsia" w:ascii="仿宋_GB2312" w:eastAsia="仿宋_GB2312"/>
          <w:sz w:val="32"/>
          <w:szCs w:val="32"/>
        </w:rPr>
        <w:t>（款）</w:t>
      </w:r>
      <w:r>
        <w:rPr>
          <w:rFonts w:hint="eastAsia" w:ascii="仿宋_GB2312" w:eastAsia="仿宋_GB2312"/>
          <w:sz w:val="32"/>
          <w:szCs w:val="32"/>
          <w:lang w:eastAsia="zh-CN"/>
        </w:rPr>
        <w:t>地质灾害防治</w:t>
      </w:r>
      <w:r>
        <w:rPr>
          <w:rFonts w:hint="eastAsia" w:ascii="仿宋_GB2312" w:eastAsia="仿宋_GB2312"/>
          <w:sz w:val="32"/>
          <w:szCs w:val="32"/>
        </w:rPr>
        <w:t>：</w:t>
      </w:r>
      <w:r>
        <w:rPr>
          <w:rFonts w:hint="eastAsia" w:ascii="仿宋_GB2312" w:eastAsia="仿宋_GB2312"/>
          <w:sz w:val="32"/>
          <w:szCs w:val="32"/>
          <w:lang w:eastAsia="zh-CN"/>
        </w:rPr>
        <w:t>反映防治地质灾害方面的支出。</w:t>
      </w:r>
    </w:p>
    <w:p w14:paraId="03E7FFB8">
      <w:pPr>
        <w:ind w:firstLine="640" w:firstLineChars="200"/>
        <w:rPr>
          <w:rFonts w:hint="eastAsia" w:ascii="仿宋_GB2312" w:eastAsia="仿宋_GB2312" w:cs="仿宋_GB2312"/>
          <w:color w:val="000000"/>
          <w:sz w:val="32"/>
          <w:szCs w:val="32"/>
        </w:rPr>
      </w:pPr>
      <w:r>
        <w:rPr>
          <w:rFonts w:hint="eastAsia" w:ascii="仿宋_GB2312" w:eastAsia="仿宋_GB2312" w:cs="仿宋_GB2312"/>
          <w:color w:val="000000"/>
          <w:sz w:val="32"/>
          <w:szCs w:val="32"/>
          <w:lang w:val="en-US" w:eastAsia="zh-CN"/>
        </w:rPr>
        <w:t>16</w:t>
      </w:r>
      <w:r>
        <w:rPr>
          <w:rFonts w:hint="eastAsia" w:ascii="仿宋_GB2312" w:eastAsia="仿宋_GB2312" w:cs="仿宋_GB2312"/>
          <w:color w:val="000000"/>
          <w:sz w:val="32"/>
          <w:szCs w:val="32"/>
        </w:rPr>
        <w:t>.</w:t>
      </w:r>
      <w:r>
        <w:rPr>
          <w:rFonts w:hint="eastAsia" w:ascii="仿宋_GB2312" w:eastAsia="仿宋_GB2312" w:cs="仿宋_GB2312"/>
          <w:color w:val="000000"/>
          <w:kern w:val="0"/>
          <w:sz w:val="32"/>
          <w:szCs w:val="32"/>
          <w:lang w:val="en-US" w:eastAsia="zh-CN" w:bidi="ar-SA"/>
        </w:rPr>
        <w:t>社会保障和就业（类）行政事业单位离退休（款）机关事业单位基本养老保险缴费支出（项）：</w:t>
      </w:r>
      <w:r>
        <w:rPr>
          <w:rFonts w:hint="eastAsia" w:ascii="仿宋_GB2312" w:eastAsia="仿宋_GB2312" w:cs="仿宋_GB2312"/>
          <w:color w:val="000000"/>
          <w:sz w:val="32"/>
          <w:szCs w:val="32"/>
        </w:rPr>
        <w:t>指</w:t>
      </w:r>
      <w:r>
        <w:rPr>
          <w:rFonts w:hint="eastAsia" w:ascii="仿宋_GB2312" w:eastAsia="仿宋_GB2312" w:cs="仿宋_GB2312"/>
          <w:color w:val="000000"/>
          <w:sz w:val="32"/>
          <w:szCs w:val="32"/>
          <w:lang w:val="en-US" w:eastAsia="zh-CN"/>
        </w:rPr>
        <w:t>单位为职工缴纳的基本养老保险费</w:t>
      </w:r>
      <w:r>
        <w:rPr>
          <w:rFonts w:hint="eastAsia" w:ascii="仿宋_GB2312" w:eastAsia="仿宋_GB2312" w:cs="仿宋_GB2312"/>
          <w:color w:val="000000"/>
          <w:sz w:val="32"/>
          <w:szCs w:val="32"/>
        </w:rPr>
        <w:t>。</w:t>
      </w:r>
    </w:p>
    <w:p w14:paraId="5C9BF7A9">
      <w:pPr>
        <w:ind w:firstLine="640" w:firstLineChars="200"/>
        <w:rPr>
          <w:rFonts w:hint="eastAsia" w:ascii="仿宋_GB2312" w:eastAsia="仿宋_GB2312" w:cs="仿宋_GB2312"/>
          <w:color w:val="000000"/>
          <w:sz w:val="32"/>
          <w:szCs w:val="32"/>
        </w:rPr>
      </w:pPr>
      <w:r>
        <w:rPr>
          <w:rFonts w:hint="eastAsia" w:ascii="仿宋_GB2312" w:eastAsia="仿宋_GB2312" w:cs="仿宋_GB2312"/>
          <w:color w:val="000000"/>
          <w:sz w:val="32"/>
          <w:szCs w:val="32"/>
          <w:lang w:val="en-US" w:eastAsia="zh-CN"/>
        </w:rPr>
        <w:t>17</w:t>
      </w:r>
      <w:r>
        <w:rPr>
          <w:rFonts w:hint="eastAsia" w:ascii="仿宋_GB2312" w:eastAsia="仿宋_GB2312" w:cs="仿宋_GB2312"/>
          <w:color w:val="000000"/>
          <w:sz w:val="32"/>
          <w:szCs w:val="32"/>
        </w:rPr>
        <w:t>.</w:t>
      </w:r>
      <w:r>
        <w:rPr>
          <w:rFonts w:hint="eastAsia" w:ascii="仿宋_GB2312" w:eastAsia="仿宋_GB2312" w:cs="仿宋_GB2312"/>
          <w:color w:val="000000"/>
          <w:kern w:val="0"/>
          <w:sz w:val="32"/>
          <w:szCs w:val="32"/>
          <w:lang w:val="en-US" w:eastAsia="zh-CN" w:bidi="ar-SA"/>
        </w:rPr>
        <w:t>社会保障和就业（类）行政事业单位离退休（款）机关事业单位基本职业年金缴费支出（项）：</w:t>
      </w:r>
      <w:r>
        <w:rPr>
          <w:rFonts w:hint="eastAsia" w:ascii="仿宋_GB2312" w:eastAsia="仿宋_GB2312" w:cs="仿宋_GB2312"/>
          <w:color w:val="000000"/>
          <w:sz w:val="32"/>
          <w:szCs w:val="32"/>
        </w:rPr>
        <w:t>指</w:t>
      </w:r>
      <w:r>
        <w:rPr>
          <w:rFonts w:hint="eastAsia" w:ascii="仿宋_GB2312" w:eastAsia="仿宋_GB2312" w:cs="仿宋_GB2312"/>
          <w:color w:val="000000"/>
          <w:sz w:val="32"/>
          <w:szCs w:val="32"/>
          <w:lang w:val="en-US" w:eastAsia="zh-CN"/>
        </w:rPr>
        <w:t>单位为职工实际缴纳的职业年金</w:t>
      </w:r>
      <w:r>
        <w:rPr>
          <w:rFonts w:hint="eastAsia" w:ascii="仿宋_GB2312" w:eastAsia="仿宋_GB2312" w:cs="仿宋_GB2312"/>
          <w:color w:val="000000"/>
          <w:sz w:val="32"/>
          <w:szCs w:val="32"/>
        </w:rPr>
        <w:t>。</w:t>
      </w:r>
    </w:p>
    <w:p w14:paraId="4C558D3A">
      <w:pPr>
        <w:ind w:firstLine="640" w:firstLineChars="200"/>
        <w:rPr>
          <w:rFonts w:hint="eastAsia" w:ascii="仿宋_GB2312" w:eastAsia="仿宋_GB2312" w:cs="仿宋_GB2312"/>
          <w:color w:val="000000"/>
          <w:sz w:val="32"/>
          <w:szCs w:val="32"/>
          <w:lang w:val="en-US" w:eastAsia="zh-CN"/>
        </w:rPr>
      </w:pPr>
      <w:r>
        <w:rPr>
          <w:rFonts w:hint="eastAsia" w:ascii="仿宋_GB2312" w:eastAsia="仿宋_GB2312" w:cs="仿宋_GB2312"/>
          <w:color w:val="000000"/>
          <w:sz w:val="32"/>
          <w:szCs w:val="32"/>
          <w:lang w:val="en-US" w:eastAsia="zh-CN"/>
        </w:rPr>
        <w:t>18.</w:t>
      </w:r>
      <w:r>
        <w:rPr>
          <w:rFonts w:hint="eastAsia" w:ascii="仿宋_GB2312" w:eastAsia="仿宋_GB2312" w:cs="仿宋_GB2312"/>
          <w:color w:val="000000"/>
          <w:sz w:val="32"/>
          <w:szCs w:val="32"/>
        </w:rPr>
        <w:t>卫生</w:t>
      </w:r>
      <w:r>
        <w:rPr>
          <w:rFonts w:hint="eastAsia" w:ascii="仿宋_GB2312" w:eastAsia="仿宋_GB2312" w:cs="仿宋_GB2312"/>
          <w:color w:val="000000"/>
          <w:sz w:val="32"/>
          <w:szCs w:val="32"/>
          <w:lang w:eastAsia="zh-CN"/>
        </w:rPr>
        <w:t>健康支出</w:t>
      </w:r>
      <w:r>
        <w:rPr>
          <w:rFonts w:hint="eastAsia" w:ascii="仿宋_GB2312" w:eastAsia="仿宋_GB2312" w:cs="仿宋_GB2312"/>
          <w:color w:val="000000"/>
          <w:sz w:val="32"/>
          <w:szCs w:val="32"/>
        </w:rPr>
        <w:t>（类）</w:t>
      </w:r>
      <w:r>
        <w:rPr>
          <w:rFonts w:hint="eastAsia" w:ascii="仿宋_GB2312" w:eastAsia="仿宋_GB2312" w:cs="仿宋_GB2312"/>
          <w:color w:val="000000"/>
          <w:sz w:val="32"/>
          <w:szCs w:val="32"/>
          <w:lang w:eastAsia="zh-CN"/>
        </w:rPr>
        <w:t>公共卫生</w:t>
      </w:r>
      <w:r>
        <w:rPr>
          <w:rFonts w:hint="eastAsia" w:ascii="仿宋_GB2312" w:eastAsia="仿宋_GB2312" w:cs="仿宋_GB2312"/>
          <w:color w:val="000000"/>
          <w:sz w:val="32"/>
          <w:szCs w:val="32"/>
        </w:rPr>
        <w:t>（款）</w:t>
      </w:r>
      <w:r>
        <w:rPr>
          <w:rFonts w:hint="eastAsia" w:ascii="仿宋_GB2312" w:eastAsia="仿宋_GB2312" w:cs="仿宋_GB2312"/>
          <w:color w:val="000000"/>
          <w:sz w:val="32"/>
          <w:szCs w:val="32"/>
          <w:lang w:val="en-US" w:eastAsia="zh-CN"/>
        </w:rPr>
        <w:t>突发公共卫生事件应急处理</w:t>
      </w:r>
      <w:r>
        <w:rPr>
          <w:rFonts w:hint="eastAsia" w:ascii="仿宋_GB2312" w:eastAsia="仿宋_GB2312" w:cs="仿宋_GB2312"/>
          <w:color w:val="000000"/>
          <w:sz w:val="32"/>
          <w:szCs w:val="32"/>
        </w:rPr>
        <w:t>（项）：</w:t>
      </w:r>
      <w:r>
        <w:rPr>
          <w:rFonts w:hint="eastAsia" w:ascii="仿宋_GB2312" w:eastAsia="仿宋_GB2312" w:cs="仿宋_GB2312"/>
          <w:color w:val="000000"/>
          <w:sz w:val="32"/>
          <w:szCs w:val="32"/>
          <w:lang w:eastAsia="zh-CN"/>
        </w:rPr>
        <w:t>反映用于突发公共卫生事件应急处理的支出。</w:t>
      </w:r>
    </w:p>
    <w:p w14:paraId="34503C56">
      <w:pPr>
        <w:ind w:firstLine="640" w:firstLineChars="200"/>
        <w:rPr>
          <w:rFonts w:hint="eastAsia" w:ascii="仿宋_GB2312" w:eastAsia="仿宋_GB2312" w:cs="仿宋_GB2312"/>
          <w:color w:val="000000"/>
          <w:sz w:val="32"/>
          <w:szCs w:val="32"/>
          <w:lang w:val="en-US" w:eastAsia="zh-CN"/>
        </w:rPr>
      </w:pPr>
      <w:r>
        <w:rPr>
          <w:rFonts w:hint="eastAsia" w:ascii="仿宋_GB2312" w:eastAsia="仿宋_GB2312" w:cs="仿宋_GB2312"/>
          <w:color w:val="000000"/>
          <w:sz w:val="32"/>
          <w:szCs w:val="32"/>
          <w:lang w:val="en-US" w:eastAsia="zh-CN"/>
        </w:rPr>
        <w:t>19</w:t>
      </w:r>
      <w:r>
        <w:rPr>
          <w:rFonts w:hint="eastAsia" w:ascii="仿宋_GB2312" w:eastAsia="仿宋_GB2312" w:cs="仿宋_GB2312"/>
          <w:color w:val="000000"/>
          <w:sz w:val="32"/>
          <w:szCs w:val="32"/>
        </w:rPr>
        <w:t>.卫生</w:t>
      </w:r>
      <w:r>
        <w:rPr>
          <w:rFonts w:hint="eastAsia" w:ascii="仿宋_GB2312" w:eastAsia="仿宋_GB2312" w:cs="仿宋_GB2312"/>
          <w:color w:val="000000"/>
          <w:sz w:val="32"/>
          <w:szCs w:val="32"/>
          <w:lang w:eastAsia="zh-CN"/>
        </w:rPr>
        <w:t>健康支出</w:t>
      </w:r>
      <w:r>
        <w:rPr>
          <w:rFonts w:hint="eastAsia" w:ascii="仿宋_GB2312" w:eastAsia="仿宋_GB2312" w:cs="仿宋_GB2312"/>
          <w:color w:val="000000"/>
          <w:sz w:val="32"/>
          <w:szCs w:val="32"/>
        </w:rPr>
        <w:t>（类）</w:t>
      </w:r>
      <w:r>
        <w:rPr>
          <w:rFonts w:hint="eastAsia" w:ascii="仿宋_GB2312" w:eastAsia="仿宋_GB2312" w:cs="仿宋_GB2312"/>
          <w:color w:val="000000"/>
          <w:sz w:val="32"/>
          <w:szCs w:val="32"/>
          <w:lang w:val="en-US" w:eastAsia="zh-CN"/>
        </w:rPr>
        <w:t>行政事业单位医疗</w:t>
      </w:r>
      <w:r>
        <w:rPr>
          <w:rFonts w:hint="eastAsia" w:ascii="仿宋_GB2312" w:eastAsia="仿宋_GB2312" w:cs="仿宋_GB2312"/>
          <w:color w:val="000000"/>
          <w:sz w:val="32"/>
          <w:szCs w:val="32"/>
        </w:rPr>
        <w:t>（款）</w:t>
      </w:r>
      <w:r>
        <w:rPr>
          <w:rFonts w:hint="eastAsia" w:ascii="仿宋_GB2312" w:eastAsia="仿宋_GB2312" w:cs="仿宋_GB2312"/>
          <w:color w:val="000000"/>
          <w:sz w:val="32"/>
          <w:szCs w:val="32"/>
          <w:lang w:val="en-US" w:eastAsia="zh-CN"/>
        </w:rPr>
        <w:t>事业单位医疗</w:t>
      </w:r>
      <w:r>
        <w:rPr>
          <w:rFonts w:hint="eastAsia" w:ascii="仿宋_GB2312" w:eastAsia="仿宋_GB2312" w:cs="仿宋_GB2312"/>
          <w:color w:val="000000"/>
          <w:sz w:val="32"/>
          <w:szCs w:val="32"/>
        </w:rPr>
        <w:t>（项）：指</w:t>
      </w:r>
      <w:r>
        <w:rPr>
          <w:rFonts w:hint="eastAsia" w:ascii="仿宋_GB2312" w:eastAsia="仿宋_GB2312" w:cs="仿宋_GB2312"/>
          <w:color w:val="000000"/>
          <w:sz w:val="32"/>
          <w:szCs w:val="32"/>
          <w:lang w:val="en-US" w:eastAsia="zh-CN"/>
        </w:rPr>
        <w:t>反映财政部门安排的事业单位基本医疗保险缴纳费经费，未参加医疗保险的事业单位的公费医疗经费，按照国家规定享受离休人员待遇的医疗经费。</w:t>
      </w:r>
    </w:p>
    <w:p w14:paraId="60349B09">
      <w:pPr>
        <w:ind w:firstLine="640" w:firstLineChars="200"/>
        <w:rPr>
          <w:rFonts w:hint="eastAsia" w:ascii="仿宋_GB2312" w:eastAsia="仿宋_GB2312" w:cs="仿宋_GB2312"/>
          <w:color w:val="000000"/>
          <w:sz w:val="32"/>
          <w:szCs w:val="32"/>
        </w:rPr>
      </w:pPr>
      <w:r>
        <w:rPr>
          <w:rFonts w:hint="eastAsia" w:ascii="仿宋_GB2312" w:eastAsia="仿宋_GB2312" w:cs="仿宋_GB2312"/>
          <w:color w:val="000000"/>
          <w:sz w:val="32"/>
          <w:szCs w:val="32"/>
          <w:lang w:val="en-US" w:eastAsia="zh-CN"/>
        </w:rPr>
        <w:t>20</w:t>
      </w:r>
      <w:r>
        <w:rPr>
          <w:rFonts w:hint="eastAsia" w:ascii="仿宋_GB2312" w:eastAsia="仿宋_GB2312" w:cs="仿宋_GB2312"/>
          <w:color w:val="000000"/>
          <w:sz w:val="32"/>
          <w:szCs w:val="32"/>
        </w:rPr>
        <w:t>.卫生</w:t>
      </w:r>
      <w:r>
        <w:rPr>
          <w:rFonts w:hint="eastAsia" w:ascii="仿宋_GB2312" w:eastAsia="仿宋_GB2312" w:cs="仿宋_GB2312"/>
          <w:color w:val="000000"/>
          <w:sz w:val="32"/>
          <w:szCs w:val="32"/>
          <w:lang w:eastAsia="zh-CN"/>
        </w:rPr>
        <w:t>健康支出</w:t>
      </w:r>
      <w:r>
        <w:rPr>
          <w:rFonts w:hint="eastAsia" w:ascii="仿宋_GB2312" w:eastAsia="仿宋_GB2312" w:cs="仿宋_GB2312"/>
          <w:color w:val="000000"/>
          <w:sz w:val="32"/>
          <w:szCs w:val="32"/>
        </w:rPr>
        <w:t>（类）</w:t>
      </w:r>
      <w:r>
        <w:rPr>
          <w:rFonts w:hint="eastAsia" w:ascii="仿宋_GB2312" w:eastAsia="仿宋_GB2312" w:cs="仿宋_GB2312"/>
          <w:color w:val="000000"/>
          <w:sz w:val="32"/>
          <w:szCs w:val="32"/>
          <w:lang w:val="en-US" w:eastAsia="zh-CN"/>
        </w:rPr>
        <w:t>行政事业单位医疗</w:t>
      </w:r>
      <w:r>
        <w:rPr>
          <w:rFonts w:hint="eastAsia" w:ascii="仿宋_GB2312" w:eastAsia="仿宋_GB2312" w:cs="仿宋_GB2312"/>
          <w:color w:val="000000"/>
          <w:sz w:val="32"/>
          <w:szCs w:val="32"/>
        </w:rPr>
        <w:t>（款）</w:t>
      </w:r>
      <w:r>
        <w:rPr>
          <w:rFonts w:hint="eastAsia" w:ascii="仿宋_GB2312" w:eastAsia="仿宋_GB2312" w:cs="仿宋_GB2312"/>
          <w:color w:val="000000"/>
          <w:sz w:val="32"/>
          <w:szCs w:val="32"/>
          <w:lang w:val="en-US" w:eastAsia="zh-CN"/>
        </w:rPr>
        <w:t>其他行政事业单位医疗支出</w:t>
      </w:r>
      <w:r>
        <w:rPr>
          <w:rFonts w:hint="eastAsia" w:ascii="仿宋_GB2312" w:eastAsia="仿宋_GB2312" w:cs="仿宋_GB2312"/>
          <w:color w:val="000000"/>
          <w:sz w:val="32"/>
          <w:szCs w:val="32"/>
        </w:rPr>
        <w:t>（项）：</w:t>
      </w:r>
      <w:r>
        <w:rPr>
          <w:rFonts w:hint="eastAsia" w:ascii="仿宋_GB2312" w:eastAsia="仿宋_GB2312" w:cs="仿宋_GB2312"/>
          <w:color w:val="000000"/>
          <w:sz w:val="32"/>
          <w:szCs w:val="32"/>
          <w:lang w:eastAsia="zh-CN"/>
        </w:rPr>
        <w:t>反映除上述项目以外的其他用于行政事业单位医疗方面的支出</w:t>
      </w:r>
      <w:r>
        <w:rPr>
          <w:rFonts w:hint="eastAsia" w:ascii="仿宋_GB2312" w:eastAsia="仿宋_GB2312" w:cs="仿宋_GB2312"/>
          <w:color w:val="000000"/>
          <w:sz w:val="32"/>
          <w:szCs w:val="32"/>
        </w:rPr>
        <w:t>。</w:t>
      </w:r>
    </w:p>
    <w:p w14:paraId="4A64E353">
      <w:pPr>
        <w:ind w:firstLine="640" w:firstLineChars="200"/>
        <w:rPr>
          <w:rFonts w:hint="eastAsia" w:ascii="仿宋_GB2312" w:eastAsia="仿宋_GB2312" w:cs="仿宋_GB2312"/>
          <w:color w:val="000000"/>
          <w:sz w:val="32"/>
          <w:szCs w:val="32"/>
        </w:rPr>
      </w:pPr>
      <w:r>
        <w:rPr>
          <w:rFonts w:hint="eastAsia" w:ascii="仿宋_GB2312" w:eastAsia="仿宋_GB2312" w:cs="仿宋_GB2312"/>
          <w:color w:val="000000"/>
          <w:sz w:val="32"/>
          <w:szCs w:val="32"/>
          <w:lang w:val="en-US" w:eastAsia="zh-CN"/>
        </w:rPr>
        <w:t>21</w:t>
      </w:r>
      <w:r>
        <w:rPr>
          <w:rFonts w:hint="eastAsia" w:ascii="仿宋_GB2312" w:eastAsia="仿宋_GB2312" w:cs="仿宋_GB2312"/>
          <w:color w:val="000000"/>
          <w:sz w:val="32"/>
          <w:szCs w:val="32"/>
        </w:rPr>
        <w:t>.</w:t>
      </w:r>
      <w:r>
        <w:rPr>
          <w:rFonts w:hint="eastAsia" w:ascii="仿宋_GB2312" w:eastAsia="仿宋_GB2312" w:cs="仿宋_GB2312"/>
          <w:color w:val="000000"/>
          <w:sz w:val="32"/>
          <w:szCs w:val="32"/>
          <w:lang w:val="en-US" w:eastAsia="zh-CN"/>
        </w:rPr>
        <w:t>住房保障（类）住房改革支出（款）住房公积金（项）</w:t>
      </w:r>
      <w:r>
        <w:rPr>
          <w:rFonts w:hint="eastAsia" w:ascii="仿宋_GB2312" w:eastAsia="仿宋_GB2312" w:cs="仿宋_GB2312"/>
          <w:color w:val="000000"/>
          <w:sz w:val="32"/>
          <w:szCs w:val="32"/>
        </w:rPr>
        <w:t>：指</w:t>
      </w:r>
      <w:r>
        <w:rPr>
          <w:rFonts w:hint="eastAsia" w:ascii="仿宋_GB2312" w:eastAsia="仿宋_GB2312" w:cs="仿宋_GB2312"/>
          <w:color w:val="000000"/>
          <w:sz w:val="32"/>
          <w:szCs w:val="32"/>
          <w:lang w:val="en-US" w:eastAsia="zh-CN"/>
        </w:rPr>
        <w:t>单位按规定为职工缴纳的住房公积金</w:t>
      </w:r>
      <w:r>
        <w:rPr>
          <w:rFonts w:hint="eastAsia" w:ascii="仿宋_GB2312" w:eastAsia="仿宋_GB2312" w:cs="仿宋_GB2312"/>
          <w:color w:val="000000"/>
          <w:sz w:val="32"/>
          <w:szCs w:val="32"/>
        </w:rPr>
        <w:t>。</w:t>
      </w:r>
    </w:p>
    <w:p w14:paraId="1B4B8B90">
      <w:pPr>
        <w:ind w:firstLine="640" w:firstLineChars="200"/>
        <w:rPr>
          <w:rFonts w:ascii="仿宋_GB2312" w:eastAsia="仿宋_GB2312"/>
          <w:sz w:val="32"/>
          <w:szCs w:val="32"/>
        </w:rPr>
      </w:pPr>
      <w:r>
        <w:rPr>
          <w:rFonts w:hint="eastAsia" w:ascii="仿宋_GB2312" w:eastAsia="仿宋_GB2312"/>
          <w:sz w:val="32"/>
          <w:szCs w:val="32"/>
        </w:rPr>
        <w:t>2</w:t>
      </w:r>
      <w:r>
        <w:rPr>
          <w:rFonts w:hint="eastAsia" w:ascii="仿宋_GB2312" w:eastAsia="仿宋_GB2312"/>
          <w:sz w:val="32"/>
          <w:szCs w:val="32"/>
          <w:lang w:val="en-US" w:eastAsia="zh-CN"/>
        </w:rPr>
        <w:t>2</w:t>
      </w:r>
      <w:r>
        <w:rPr>
          <w:rFonts w:hint="eastAsia" w:ascii="仿宋_GB2312" w:eastAsia="仿宋_GB2312"/>
          <w:sz w:val="32"/>
          <w:szCs w:val="32"/>
        </w:rPr>
        <w:t>.基本支出：指为保障机构正常运转、完成日常工作任务而发生的人员支出和公用支出。</w:t>
      </w:r>
    </w:p>
    <w:p w14:paraId="438D84EA">
      <w:pPr>
        <w:ind w:firstLine="640" w:firstLineChars="200"/>
        <w:rPr>
          <w:rFonts w:ascii="仿宋_GB2312" w:eastAsia="仿宋_GB2312"/>
          <w:sz w:val="32"/>
          <w:szCs w:val="32"/>
        </w:rPr>
      </w:pPr>
      <w:r>
        <w:rPr>
          <w:rFonts w:hint="eastAsia" w:ascii="仿宋_GB2312" w:eastAsia="仿宋_GB2312"/>
          <w:sz w:val="32"/>
          <w:szCs w:val="32"/>
        </w:rPr>
        <w:t>2</w:t>
      </w:r>
      <w:r>
        <w:rPr>
          <w:rFonts w:hint="eastAsia" w:ascii="仿宋_GB2312" w:eastAsia="仿宋_GB2312"/>
          <w:sz w:val="32"/>
          <w:szCs w:val="32"/>
          <w:lang w:val="en-US" w:eastAsia="zh-CN"/>
        </w:rPr>
        <w:t>3</w:t>
      </w:r>
      <w:r>
        <w:rPr>
          <w:rFonts w:hint="eastAsia" w:ascii="仿宋_GB2312" w:eastAsia="仿宋_GB2312"/>
          <w:sz w:val="32"/>
          <w:szCs w:val="32"/>
        </w:rPr>
        <w:t xml:space="preserve">.项目支出：指在基本支出之外为完成特定行政任务和事业发展目标所发生的支出。 </w:t>
      </w:r>
    </w:p>
    <w:p w14:paraId="15127EED">
      <w:pPr>
        <w:ind w:firstLine="640" w:firstLineChars="200"/>
        <w:rPr>
          <w:rFonts w:ascii="仿宋_GB2312" w:eastAsia="仿宋_GB2312"/>
          <w:sz w:val="32"/>
          <w:szCs w:val="32"/>
        </w:rPr>
      </w:pPr>
      <w:r>
        <w:rPr>
          <w:rFonts w:hint="eastAsia" w:ascii="仿宋_GB2312" w:eastAsia="仿宋_GB2312"/>
          <w:sz w:val="32"/>
          <w:szCs w:val="32"/>
        </w:rPr>
        <w:t>2</w:t>
      </w:r>
      <w:r>
        <w:rPr>
          <w:rFonts w:hint="eastAsia" w:ascii="仿宋_GB2312" w:eastAsia="仿宋_GB2312"/>
          <w:sz w:val="32"/>
          <w:szCs w:val="32"/>
          <w:lang w:val="en-US" w:eastAsia="zh-CN"/>
        </w:rPr>
        <w:t>4</w:t>
      </w:r>
      <w:r>
        <w:rPr>
          <w:rFonts w:hint="eastAsia" w:ascii="仿宋_GB2312" w:eastAsia="仿宋_GB2312"/>
          <w:sz w:val="32"/>
          <w:szCs w:val="32"/>
        </w:rPr>
        <w:t>.经营支出：指事业单位在专业业务活动及其辅助活动之外开展非独立核算经营活动发生的支出。</w:t>
      </w:r>
    </w:p>
    <w:p w14:paraId="6AAA8E1F">
      <w:pPr>
        <w:ind w:firstLine="640" w:firstLineChars="200"/>
        <w:rPr>
          <w:rFonts w:ascii="仿宋_GB2312" w:eastAsia="仿宋_GB2312"/>
          <w:sz w:val="32"/>
          <w:szCs w:val="32"/>
        </w:rPr>
      </w:pPr>
      <w:r>
        <w:rPr>
          <w:rFonts w:hint="eastAsia" w:ascii="仿宋_GB2312" w:eastAsia="仿宋_GB2312"/>
          <w:sz w:val="32"/>
          <w:szCs w:val="32"/>
        </w:rPr>
        <w:t>3</w:t>
      </w:r>
      <w:r>
        <w:rPr>
          <w:rFonts w:hint="eastAsia" w:ascii="仿宋_GB2312" w:eastAsia="仿宋_GB2312"/>
          <w:sz w:val="32"/>
          <w:szCs w:val="32"/>
          <w:lang w:val="en-US" w:eastAsia="zh-CN"/>
        </w:rPr>
        <w:t>5</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585F66EC">
      <w:pPr>
        <w:ind w:firstLine="640" w:firstLineChars="200"/>
        <w:rPr>
          <w:rFonts w:ascii="仿宋_GB2312" w:eastAsia="仿宋_GB2312"/>
          <w:sz w:val="32"/>
          <w:szCs w:val="32"/>
        </w:rPr>
      </w:pPr>
      <w:r>
        <w:rPr>
          <w:rFonts w:hint="eastAsia" w:ascii="仿宋_GB2312" w:eastAsia="仿宋_GB2312"/>
          <w:sz w:val="32"/>
          <w:szCs w:val="32"/>
        </w:rPr>
        <w:t>3</w:t>
      </w:r>
      <w:r>
        <w:rPr>
          <w:rFonts w:hint="eastAsia" w:ascii="仿宋_GB2312" w:eastAsia="仿宋_GB2312"/>
          <w:sz w:val="32"/>
          <w:szCs w:val="32"/>
          <w:lang w:val="en-US" w:eastAsia="zh-CN"/>
        </w:rPr>
        <w:t>6</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20E88385">
      <w:pPr>
        <w:ind w:firstLine="420" w:firstLineChars="200"/>
      </w:pPr>
    </w:p>
    <w:p w14:paraId="507E7FD7">
      <w:pPr>
        <w:ind w:firstLine="643" w:firstLineChars="200"/>
        <w:rPr>
          <w:rFonts w:ascii="仿宋" w:hAnsi="仿宋" w:eastAsia="仿宋"/>
          <w:b/>
          <w:sz w:val="32"/>
          <w:szCs w:val="32"/>
        </w:rPr>
      </w:pPr>
      <w:r>
        <w:rPr>
          <w:rFonts w:ascii="仿宋" w:hAnsi="仿宋" w:eastAsia="仿宋"/>
          <w:b/>
          <w:sz w:val="32"/>
          <w:szCs w:val="32"/>
        </w:rPr>
        <w:br w:type="page"/>
      </w:r>
    </w:p>
    <w:p w14:paraId="734F6F04">
      <w:pPr>
        <w:pStyle w:val="2"/>
        <w:jc w:val="center"/>
        <w:rPr>
          <w:rFonts w:ascii="黑体" w:hAnsi="黑体" w:eastAsia="黑体"/>
          <w:b w:val="0"/>
        </w:rPr>
      </w:pPr>
      <w:bookmarkStart w:id="76" w:name="_Toc28311_WPSOffice_Level1"/>
      <w:r>
        <w:rPr>
          <w:rFonts w:hint="eastAsia" w:ascii="黑体" w:hAnsi="黑体" w:eastAsia="黑体"/>
          <w:b w:val="0"/>
        </w:rPr>
        <w:t>第四部分 附件</w:t>
      </w:r>
      <w:bookmarkEnd w:id="76"/>
    </w:p>
    <w:p w14:paraId="021E18B6"/>
    <w:p w14:paraId="7E3D5F20">
      <w:pPr>
        <w:rPr>
          <w:rFonts w:ascii="黑体" w:hAnsi="黑体" w:eastAsia="黑体"/>
          <w:sz w:val="32"/>
          <w:szCs w:val="32"/>
        </w:rPr>
      </w:pPr>
      <w:r>
        <w:rPr>
          <w:rFonts w:hint="eastAsia" w:ascii="黑体" w:hAnsi="黑体" w:eastAsia="黑体"/>
          <w:sz w:val="32"/>
          <w:szCs w:val="32"/>
        </w:rPr>
        <w:t>附件1</w:t>
      </w:r>
    </w:p>
    <w:p w14:paraId="39EAEBE8">
      <w:pPr>
        <w:keepNext w:val="0"/>
        <w:keepLines w:val="0"/>
        <w:pageBreakBefore w:val="0"/>
        <w:widowControl w:val="0"/>
        <w:kinsoku/>
        <w:wordWrap/>
        <w:overflowPunct/>
        <w:topLinePunct w:val="0"/>
        <w:autoSpaceDE/>
        <w:autoSpaceDN/>
        <w:bidi w:val="0"/>
        <w:adjustRightInd/>
        <w:snapToGrid/>
        <w:spacing w:beforeAutospacing="0" w:afterAutospacing="0" w:line="620" w:lineRule="exact"/>
        <w:ind w:left="0" w:leftChars="0"/>
        <w:jc w:val="center"/>
        <w:textAlignment w:val="auto"/>
        <w:rPr>
          <w:rFonts w:hint="default" w:ascii="Times New Roman" w:hAnsi="Times New Roman" w:eastAsia="方正小标宋_GBK" w:cs="Times New Roman"/>
          <w:sz w:val="44"/>
          <w:szCs w:val="44"/>
        </w:rPr>
      </w:pPr>
      <w:bookmarkStart w:id="77" w:name="_Toc8604_WPSOffice_Level2"/>
      <w:r>
        <w:rPr>
          <w:rFonts w:hint="default" w:ascii="Times New Roman" w:hAnsi="Times New Roman" w:eastAsia="方正小标宋_GBK" w:cs="Times New Roman"/>
          <w:sz w:val="44"/>
          <w:szCs w:val="44"/>
        </w:rPr>
        <w:t>金川县自然资源局</w:t>
      </w:r>
      <w:bookmarkEnd w:id="77"/>
    </w:p>
    <w:p w14:paraId="4515ADCA">
      <w:pPr>
        <w:keepNext w:val="0"/>
        <w:keepLines w:val="0"/>
        <w:pageBreakBefore w:val="0"/>
        <w:widowControl/>
        <w:kinsoku/>
        <w:wordWrap/>
        <w:overflowPunct/>
        <w:topLinePunct w:val="0"/>
        <w:autoSpaceDE/>
        <w:autoSpaceDN/>
        <w:bidi w:val="0"/>
        <w:adjustRightInd/>
        <w:snapToGrid/>
        <w:spacing w:beforeAutospacing="0" w:afterAutospacing="0" w:line="620" w:lineRule="exact"/>
        <w:ind w:left="0" w:leftChars="0"/>
        <w:contextualSpacing/>
        <w:jc w:val="center"/>
        <w:textAlignment w:val="auto"/>
        <w:outlineLvl w:val="9"/>
        <w:rPr>
          <w:rFonts w:hint="default" w:ascii="Times New Roman" w:hAnsi="Times New Roman" w:eastAsia="方正小标宋_GBK" w:cs="Times New Roman"/>
          <w:sz w:val="44"/>
          <w:szCs w:val="44"/>
        </w:rPr>
      </w:pPr>
      <w:bookmarkStart w:id="78" w:name="_Toc26092_WPSOffice_Level2"/>
      <w:r>
        <w:rPr>
          <w:rFonts w:hint="eastAsia" w:eastAsia="方正小标宋_GBK" w:cs="Times New Roman"/>
          <w:sz w:val="44"/>
          <w:szCs w:val="44"/>
          <w:lang w:eastAsia="zh-CN"/>
        </w:rPr>
        <w:t>2024年</w:t>
      </w:r>
      <w:r>
        <w:rPr>
          <w:rFonts w:hint="default" w:ascii="Times New Roman" w:hAnsi="Times New Roman" w:eastAsia="方正小标宋_GBK" w:cs="Times New Roman"/>
          <w:sz w:val="44"/>
          <w:szCs w:val="44"/>
          <w:lang w:eastAsia="zh-CN"/>
        </w:rPr>
        <w:t>部门预算</w:t>
      </w:r>
      <w:r>
        <w:rPr>
          <w:rFonts w:hint="default" w:ascii="Times New Roman" w:hAnsi="Times New Roman" w:eastAsia="方正小标宋_GBK" w:cs="Times New Roman"/>
          <w:sz w:val="44"/>
          <w:szCs w:val="44"/>
        </w:rPr>
        <w:t>绩效</w:t>
      </w:r>
      <w:r>
        <w:rPr>
          <w:rFonts w:hint="default" w:ascii="Times New Roman" w:hAnsi="Times New Roman" w:eastAsia="方正小标宋_GBK" w:cs="Times New Roman"/>
          <w:sz w:val="44"/>
          <w:szCs w:val="44"/>
          <w:lang w:eastAsia="zh-CN"/>
        </w:rPr>
        <w:t>评价</w:t>
      </w:r>
      <w:r>
        <w:rPr>
          <w:rFonts w:hint="default" w:ascii="Times New Roman" w:hAnsi="Times New Roman" w:eastAsia="方正小标宋_GBK" w:cs="Times New Roman"/>
          <w:sz w:val="44"/>
          <w:szCs w:val="44"/>
        </w:rPr>
        <w:t>报告</w:t>
      </w:r>
      <w:bookmarkEnd w:id="78"/>
    </w:p>
    <w:p w14:paraId="6DF8F6E6">
      <w:pPr>
        <w:keepNext w:val="0"/>
        <w:keepLines w:val="0"/>
        <w:pageBreakBefore w:val="0"/>
        <w:widowControl/>
        <w:numPr>
          <w:ilvl w:val="0"/>
          <w:numId w:val="0"/>
        </w:numPr>
        <w:kinsoku/>
        <w:wordWrap/>
        <w:overflowPunct/>
        <w:topLinePunct w:val="0"/>
        <w:autoSpaceDE/>
        <w:autoSpaceDN/>
        <w:bidi w:val="0"/>
        <w:adjustRightInd w:val="0"/>
        <w:snapToGrid w:val="0"/>
        <w:spacing w:line="560" w:lineRule="exact"/>
        <w:ind w:leftChars="0" w:firstLine="640" w:firstLineChars="200"/>
        <w:contextualSpacing/>
        <w:jc w:val="left"/>
        <w:textAlignment w:val="auto"/>
        <w:outlineLvl w:val="9"/>
        <w:rPr>
          <w:rFonts w:hint="default" w:ascii="Times New Roman" w:hAnsi="Times New Roman" w:eastAsia="方正黑体_GBK" w:cs="Times New Roman"/>
          <w:color w:val="000000"/>
          <w:kern w:val="0"/>
          <w:sz w:val="32"/>
          <w:szCs w:val="32"/>
          <w:highlight w:val="none"/>
          <w:shd w:val="clear" w:color="auto" w:fill="FFFFFF"/>
          <w:lang w:val="zh-CN"/>
        </w:rPr>
      </w:pPr>
    </w:p>
    <w:p w14:paraId="00CD149A">
      <w:pPr>
        <w:keepNext w:val="0"/>
        <w:keepLines w:val="0"/>
        <w:pageBreakBefore w:val="0"/>
        <w:widowControl/>
        <w:numPr>
          <w:ilvl w:val="0"/>
          <w:numId w:val="0"/>
        </w:numPr>
        <w:kinsoku/>
        <w:wordWrap/>
        <w:overflowPunct/>
        <w:topLinePunct w:val="0"/>
        <w:autoSpaceDE/>
        <w:autoSpaceDN/>
        <w:bidi w:val="0"/>
        <w:adjustRightInd w:val="0"/>
        <w:snapToGrid w:val="0"/>
        <w:spacing w:line="560" w:lineRule="exact"/>
        <w:ind w:leftChars="0" w:firstLine="640" w:firstLineChars="200"/>
        <w:contextualSpacing/>
        <w:jc w:val="left"/>
        <w:textAlignment w:val="auto"/>
        <w:outlineLvl w:val="9"/>
        <w:rPr>
          <w:rFonts w:hint="default" w:ascii="Times New Roman" w:hAnsi="Times New Roman" w:eastAsia="方正黑体_GBK" w:cs="Times New Roman"/>
          <w:sz w:val="32"/>
          <w:szCs w:val="32"/>
        </w:rPr>
      </w:pPr>
      <w:bookmarkStart w:id="79" w:name="_Toc17939_WPSOffice_Level2"/>
      <w:r>
        <w:rPr>
          <w:rFonts w:hint="default" w:ascii="Times New Roman" w:hAnsi="Times New Roman" w:eastAsia="方正黑体_GBK" w:cs="Times New Roman"/>
          <w:color w:val="000000"/>
          <w:kern w:val="0"/>
          <w:sz w:val="32"/>
          <w:szCs w:val="32"/>
          <w:highlight w:val="none"/>
          <w:shd w:val="clear" w:color="auto" w:fill="FFFFFF"/>
          <w:lang w:val="zh-CN"/>
        </w:rPr>
        <w:t>一、部门（单位）基本情况</w:t>
      </w:r>
      <w:bookmarkEnd w:id="79"/>
    </w:p>
    <w:p w14:paraId="43E82939">
      <w:pPr>
        <w:keepNext w:val="0"/>
        <w:keepLines w:val="0"/>
        <w:pageBreakBefore w:val="0"/>
        <w:widowControl/>
        <w:kinsoku/>
        <w:wordWrap/>
        <w:overflowPunct/>
        <w:topLinePunct w:val="0"/>
        <w:autoSpaceDE/>
        <w:autoSpaceDN/>
        <w:bidi w:val="0"/>
        <w:adjustRightInd w:val="0"/>
        <w:snapToGrid w:val="0"/>
        <w:spacing w:line="560" w:lineRule="exact"/>
        <w:ind w:leftChars="0" w:firstLine="640" w:firstLineChars="200"/>
        <w:contextualSpacing/>
        <w:jc w:val="left"/>
        <w:textAlignment w:val="auto"/>
        <w:outlineLvl w:val="9"/>
        <w:rPr>
          <w:rFonts w:hint="default" w:ascii="Times New Roman" w:hAnsi="Times New Roman" w:eastAsia="方正楷体_GBK" w:cs="Times New Roman"/>
          <w:b w:val="0"/>
          <w:bCs w:val="0"/>
          <w:color w:val="000000"/>
          <w:kern w:val="0"/>
          <w:sz w:val="32"/>
          <w:szCs w:val="32"/>
          <w:highlight w:val="none"/>
          <w:shd w:val="clear" w:color="auto" w:fill="FFFFFF"/>
          <w:lang w:val="zh-CN"/>
        </w:rPr>
      </w:pPr>
      <w:r>
        <w:rPr>
          <w:rFonts w:hint="default" w:ascii="Times New Roman" w:hAnsi="Times New Roman" w:eastAsia="方正楷体_GBK" w:cs="Times New Roman"/>
          <w:b w:val="0"/>
          <w:bCs w:val="0"/>
          <w:color w:val="000000"/>
          <w:kern w:val="0"/>
          <w:sz w:val="32"/>
          <w:szCs w:val="32"/>
          <w:highlight w:val="none"/>
          <w:shd w:val="clear" w:color="auto" w:fill="FFFFFF"/>
          <w:lang w:val="zh-CN"/>
        </w:rPr>
        <w:t>（一）机构组成。</w:t>
      </w:r>
    </w:p>
    <w:p w14:paraId="3958E72A">
      <w:pPr>
        <w:keepNext w:val="0"/>
        <w:keepLines w:val="0"/>
        <w:pageBreakBefore w:val="0"/>
        <w:kinsoku/>
        <w:wordWrap w:val="0"/>
        <w:overflowPunct/>
        <w:autoSpaceDE/>
        <w:autoSpaceDN/>
        <w:bidi w:val="0"/>
        <w:spacing w:line="560" w:lineRule="exact"/>
        <w:ind w:leftChars="0" w:firstLine="640" w:firstLineChars="200"/>
        <w:jc w:val="left"/>
        <w:textAlignment w:val="auto"/>
        <w:rPr>
          <w:rFonts w:hint="default" w:ascii="Times New Roman" w:hAnsi="Times New Roman" w:eastAsia="方正仿宋_GBK" w:cs="Times New Roman"/>
          <w:color w:val="auto"/>
          <w:sz w:val="32"/>
          <w:szCs w:val="32"/>
          <w:lang w:val="zh-CN" w:eastAsia="zh-CN"/>
        </w:rPr>
      </w:pPr>
      <w:r>
        <w:rPr>
          <w:rFonts w:hint="default" w:ascii="Times New Roman" w:hAnsi="Times New Roman" w:eastAsia="方正仿宋_GBK" w:cs="Times New Roman"/>
          <w:color w:val="auto"/>
          <w:sz w:val="32"/>
          <w:szCs w:val="32"/>
          <w:lang w:val="zh-CN" w:eastAsia="zh-CN"/>
        </w:rPr>
        <w:t>金川县自然资源局为财政全额拨款的行政单位，预算层级为县级，国有资产管理层级为县级。内设独立编制机构3个，分别是金川县自然资源局、金川县自然资源综合行政执法中队、金川县不动产登记中心</w:t>
      </w:r>
    </w:p>
    <w:p w14:paraId="7CD090BF">
      <w:pPr>
        <w:keepNext w:val="0"/>
        <w:keepLines w:val="0"/>
        <w:pageBreakBefore w:val="0"/>
        <w:kinsoku/>
        <w:wordWrap w:val="0"/>
        <w:overflowPunct/>
        <w:autoSpaceDE/>
        <w:autoSpaceDN/>
        <w:bidi w:val="0"/>
        <w:spacing w:line="560" w:lineRule="exact"/>
        <w:ind w:leftChars="0" w:firstLine="640" w:firstLineChars="200"/>
        <w:jc w:val="left"/>
        <w:textAlignment w:val="auto"/>
        <w:rPr>
          <w:rFonts w:hint="default" w:ascii="Times New Roman" w:hAnsi="Times New Roman" w:eastAsia="方正楷体_GBK" w:cs="Times New Roman"/>
          <w:b w:val="0"/>
          <w:bCs w:val="0"/>
          <w:color w:val="000000"/>
          <w:kern w:val="0"/>
          <w:sz w:val="32"/>
          <w:szCs w:val="32"/>
          <w:highlight w:val="none"/>
          <w:shd w:val="clear" w:color="auto" w:fill="FFFFFF"/>
          <w:lang w:val="zh-CN"/>
        </w:rPr>
      </w:pPr>
      <w:r>
        <w:rPr>
          <w:rFonts w:hint="default" w:ascii="Times New Roman" w:hAnsi="Times New Roman" w:eastAsia="方正楷体_GBK" w:cs="Times New Roman"/>
          <w:b w:val="0"/>
          <w:bCs w:val="0"/>
          <w:color w:val="000000"/>
          <w:kern w:val="0"/>
          <w:sz w:val="32"/>
          <w:szCs w:val="32"/>
          <w:highlight w:val="none"/>
          <w:shd w:val="clear" w:color="auto" w:fill="FFFFFF"/>
          <w:lang w:val="zh-CN"/>
        </w:rPr>
        <w:t>（二）机构职能。</w:t>
      </w:r>
    </w:p>
    <w:p w14:paraId="0DDE3A92">
      <w:pPr>
        <w:keepNext w:val="0"/>
        <w:keepLines w:val="0"/>
        <w:pageBreakBefore w:val="0"/>
        <w:kinsoku/>
        <w:wordWrap w:val="0"/>
        <w:overflowPunct/>
        <w:autoSpaceDE/>
        <w:autoSpaceDN/>
        <w:bidi w:val="0"/>
        <w:spacing w:line="560" w:lineRule="exact"/>
        <w:ind w:left="0" w:leftChars="0" w:firstLine="745" w:firstLineChars="233"/>
        <w:jc w:val="left"/>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sz w:val="32"/>
          <w:szCs w:val="32"/>
        </w:rPr>
        <w:t>1．主要职能：</w:t>
      </w:r>
      <w:r>
        <w:rPr>
          <w:rFonts w:hint="default" w:ascii="Times New Roman" w:hAnsi="Times New Roman" w:eastAsia="方正仿宋_GBK" w:cs="Times New Roman"/>
          <w:color w:val="auto"/>
          <w:sz w:val="32"/>
          <w:szCs w:val="32"/>
          <w:lang w:val="en-US" w:eastAsia="zh-CN"/>
        </w:rPr>
        <w:t>金川县自然资源局主要职能有：</w:t>
      </w:r>
    </w:p>
    <w:p w14:paraId="3A8C2A11">
      <w:pPr>
        <w:keepNext w:val="0"/>
        <w:keepLines w:val="0"/>
        <w:pageBreakBefore w:val="0"/>
        <w:kinsoku/>
        <w:wordWrap w:val="0"/>
        <w:overflowPunct/>
        <w:autoSpaceDE/>
        <w:autoSpaceDN/>
        <w:bidi w:val="0"/>
        <w:spacing w:line="560" w:lineRule="exact"/>
        <w:ind w:left="0" w:leftChars="0" w:firstLine="745" w:firstLineChars="233"/>
        <w:jc w:val="left"/>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sz w:val="32"/>
          <w:szCs w:val="32"/>
          <w:lang w:val="en-US" w:eastAsia="zh-CN"/>
        </w:rPr>
        <w:t>(1)贯彻执行国家、省、州有关国土资源的调控政策、措施和法律、法规，承担保护与合理利用土地资源、矿产资源及地质灾害防治的责任。编制全县国土资源发展战略和规划并组织实施，研究提出全县国土资源供需总量平衡的政策建议，编制并组织实施全县国土规划和国土资源领域资源节约集约利用、循环经济的政策措施。</w:t>
      </w:r>
    </w:p>
    <w:p w14:paraId="7F9A3434">
      <w:pPr>
        <w:keepNext w:val="0"/>
        <w:keepLines w:val="0"/>
        <w:pageBreakBefore w:val="0"/>
        <w:kinsoku/>
        <w:wordWrap w:val="0"/>
        <w:overflowPunct/>
        <w:autoSpaceDE/>
        <w:autoSpaceDN/>
        <w:bidi w:val="0"/>
        <w:spacing w:line="560" w:lineRule="exact"/>
        <w:ind w:left="0" w:leftChars="0" w:firstLine="473" w:firstLineChars="148"/>
        <w:jc w:val="left"/>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sz w:val="32"/>
          <w:szCs w:val="32"/>
          <w:lang w:val="en-US" w:eastAsia="zh-CN"/>
        </w:rPr>
        <w:t>
(2)承担规范国土资源管理秩序的责任。拟定并监督实施本县土地、矿产等自然资源管理和地质灾害防治的规章制度，制定地质环境保护的政策、规章制度，组织实施国土资源调查评价技术规程、国土资源开发利用标准。负责本系统、本部门依法行政工作， 监督检查各乡镇人民政府及其国土资源管理所执行和遵守国土资源管理法律、法规及土地、矿产资源规划、计划的执行情况。加强对基层国土资源管理所履行职责的管理监督，直接查处 全县辖区内违反国土资源管理法律、法规的行为。调查处理国土资源违法案件。</w:t>
      </w:r>
    </w:p>
    <w:p w14:paraId="6E8EABF3">
      <w:pPr>
        <w:keepNext w:val="0"/>
        <w:keepLines w:val="0"/>
        <w:pageBreakBefore w:val="0"/>
        <w:numPr>
          <w:ilvl w:val="0"/>
          <w:numId w:val="0"/>
        </w:numPr>
        <w:kinsoku/>
        <w:wordWrap w:val="0"/>
        <w:overflowPunct/>
        <w:autoSpaceDE/>
        <w:autoSpaceDN/>
        <w:bidi w:val="0"/>
        <w:spacing w:line="560" w:lineRule="exact"/>
        <w:ind w:firstLine="640" w:firstLineChars="200"/>
        <w:jc w:val="left"/>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sz w:val="32"/>
          <w:szCs w:val="32"/>
          <w:lang w:val="en-US" w:eastAsia="zh-CN"/>
        </w:rPr>
        <w:t>(3)承担优化配置国土资源的责任。编制和组织实施全县土地利用总体规划、土地利用年度计划、土地整理复垦开发规划和其他专项规划、计划。参与审核报国务院、省、州政府审批的涉及土地、矿产、地质灾害防治的相关规划及其调整。</w:t>
      </w:r>
    </w:p>
    <w:p w14:paraId="75085F54">
      <w:pPr>
        <w:keepNext w:val="0"/>
        <w:keepLines w:val="0"/>
        <w:pageBreakBefore w:val="0"/>
        <w:numPr>
          <w:ilvl w:val="0"/>
          <w:numId w:val="0"/>
        </w:numPr>
        <w:kinsoku/>
        <w:wordWrap w:val="0"/>
        <w:overflowPunct/>
        <w:autoSpaceDE/>
        <w:autoSpaceDN/>
        <w:bidi w:val="0"/>
        <w:spacing w:line="560" w:lineRule="exact"/>
        <w:ind w:firstLine="640" w:firstLineChars="200"/>
        <w:jc w:val="left"/>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sz w:val="32"/>
          <w:szCs w:val="32"/>
          <w:lang w:val="en-US" w:eastAsia="zh-CN"/>
        </w:rPr>
        <w:t>(4)负责规范国土资源权属管理。依法保护土地资源、矿产资源等自然资源所有者和使用者的合法权益，组织调处重大权属纠纷，负责土地确权调查，负责各类土地登记资料的收集、整理、共享和汇交管理，提供社会查询服务。</w:t>
      </w:r>
    </w:p>
    <w:p w14:paraId="0C872419">
      <w:pPr>
        <w:keepNext w:val="0"/>
        <w:keepLines w:val="0"/>
        <w:pageBreakBefore w:val="0"/>
        <w:numPr>
          <w:ilvl w:val="0"/>
          <w:numId w:val="0"/>
        </w:numPr>
        <w:kinsoku/>
        <w:wordWrap w:val="0"/>
        <w:overflowPunct/>
        <w:autoSpaceDE/>
        <w:autoSpaceDN/>
        <w:bidi w:val="0"/>
        <w:spacing w:line="560" w:lineRule="exact"/>
        <w:ind w:firstLine="640" w:firstLineChars="200"/>
        <w:jc w:val="left"/>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sz w:val="32"/>
          <w:szCs w:val="32"/>
          <w:lang w:val="en-US" w:eastAsia="zh-CN"/>
        </w:rPr>
        <w:t>(5)承担全县耕地保护的责任，确保规划确定的耕地保有量和基本农田面积不减少。牵头拟订并组织实施耕地保护措施，组织实施基本农田保护，监督占用耕地补偿制度执行情况。指导未利用土地开发、土地整理、土地复垦和耕地开发的监督工作。组织实施土地用途管制、农用地转用和土地征收征用，承担报国土资源部和省政府审批的各类用地的审核、报批工作。</w:t>
      </w:r>
    </w:p>
    <w:p w14:paraId="53C8996C">
      <w:pPr>
        <w:keepNext w:val="0"/>
        <w:keepLines w:val="0"/>
        <w:pageBreakBefore w:val="0"/>
        <w:numPr>
          <w:ilvl w:val="0"/>
          <w:numId w:val="0"/>
        </w:numPr>
        <w:kinsoku/>
        <w:wordWrap w:val="0"/>
        <w:overflowPunct/>
        <w:autoSpaceDE/>
        <w:autoSpaceDN/>
        <w:bidi w:val="0"/>
        <w:spacing w:line="560" w:lineRule="exact"/>
        <w:ind w:left="0" w:leftChars="0" w:firstLine="473" w:firstLineChars="148"/>
        <w:jc w:val="left"/>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sz w:val="32"/>
          <w:szCs w:val="32"/>
          <w:lang w:val="en-US" w:eastAsia="zh-CN"/>
        </w:rPr>
        <w:t xml:space="preserve"> (6)承担及时准确提供全县土地利用各种数据的责任。拟定和贯彻实施地籍管理办法，组织土地资源调查、地籍调查、土地统计和动态监测，组织实施重大土地专项调查，组织全县地籍调查、登记和土地分等定级工作。</w:t>
      </w:r>
    </w:p>
    <w:p w14:paraId="48845885">
      <w:pPr>
        <w:keepNext w:val="0"/>
        <w:keepLines w:val="0"/>
        <w:pageBreakBefore w:val="0"/>
        <w:numPr>
          <w:ilvl w:val="0"/>
          <w:numId w:val="0"/>
        </w:numPr>
        <w:kinsoku/>
        <w:wordWrap w:val="0"/>
        <w:overflowPunct/>
        <w:autoSpaceDE/>
        <w:autoSpaceDN/>
        <w:bidi w:val="0"/>
        <w:spacing w:line="560" w:lineRule="exact"/>
        <w:ind w:left="0" w:leftChars="0" w:firstLine="473" w:firstLineChars="148"/>
        <w:jc w:val="left"/>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sz w:val="32"/>
          <w:szCs w:val="32"/>
          <w:lang w:val="en-US" w:eastAsia="zh-CN"/>
        </w:rPr>
        <w:t xml:space="preserve"> (7)承担节约集约利用土地资源的责任。拟订并实施土地开发利用标准，管理和监督城乡建设用地供应、政府土地储备、土地开发和节约集约利用。拟订并组织实施土地使用权出让、租赁、作价出资、转让等管理办法，建立基准地价、标定地价等政府公示地价制度，会同农业部门监督管理农村集体建设用地使用权的流转。组织实施禁止和限制供地目录、划拨用地目录等，承担审核报县政府审批的改制企业的国有土地资产的处置。</w:t>
      </w:r>
    </w:p>
    <w:p w14:paraId="41EDEF62">
      <w:pPr>
        <w:keepNext w:val="0"/>
        <w:keepLines w:val="0"/>
        <w:pageBreakBefore w:val="0"/>
        <w:numPr>
          <w:ilvl w:val="0"/>
          <w:numId w:val="0"/>
        </w:numPr>
        <w:kinsoku/>
        <w:wordWrap w:val="0"/>
        <w:overflowPunct/>
        <w:autoSpaceDE/>
        <w:autoSpaceDN/>
        <w:bidi w:val="0"/>
        <w:spacing w:line="560" w:lineRule="exact"/>
        <w:ind w:firstLine="640" w:firstLineChars="200"/>
        <w:jc w:val="left"/>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sz w:val="32"/>
          <w:szCs w:val="32"/>
          <w:lang w:val="en-US" w:eastAsia="zh-CN"/>
        </w:rPr>
        <w:t xml:space="preserve">(8)承担规范国土资源市场秩序的责任。监测土地市场和建设用地利用情况，监管地价，规范和监管土地市场。规范和监管矿业权市场，组织对矿业权人勘查、开采活动进行监督管理。规范和监管国土资源相关社会中介组织和行为，依法查处违法行为。   </w:t>
      </w:r>
    </w:p>
    <w:p w14:paraId="6EC84F5B">
      <w:pPr>
        <w:keepNext w:val="0"/>
        <w:keepLines w:val="0"/>
        <w:pageBreakBefore w:val="0"/>
        <w:numPr>
          <w:ilvl w:val="0"/>
          <w:numId w:val="0"/>
        </w:numPr>
        <w:kinsoku/>
        <w:wordWrap w:val="0"/>
        <w:overflowPunct/>
        <w:autoSpaceDE/>
        <w:autoSpaceDN/>
        <w:bidi w:val="0"/>
        <w:spacing w:line="560" w:lineRule="exact"/>
        <w:ind w:left="0" w:leftChars="0" w:firstLine="505" w:firstLineChars="158"/>
        <w:jc w:val="left"/>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sz w:val="32"/>
          <w:szCs w:val="32"/>
          <w:lang w:val="en-US" w:eastAsia="zh-CN"/>
        </w:rPr>
        <w:t xml:space="preserve"> (9)负责矿产资源开发的管理，依法管理矿业权的审批登记发证和转让审批登记；负责县规划矿区对国民经济具有重要价值的矿区的管理，承担保护性开采的特定矿种、优势矿产的开采总量控制及相关管理工作，组织编制实施矿业权设置方案。</w:t>
      </w:r>
    </w:p>
    <w:p w14:paraId="5AED5EFA">
      <w:pPr>
        <w:keepNext w:val="0"/>
        <w:keepLines w:val="0"/>
        <w:pageBreakBefore w:val="0"/>
        <w:numPr>
          <w:ilvl w:val="0"/>
          <w:numId w:val="0"/>
        </w:numPr>
        <w:kinsoku/>
        <w:wordWrap w:val="0"/>
        <w:overflowPunct/>
        <w:autoSpaceDE/>
        <w:autoSpaceDN/>
        <w:bidi w:val="0"/>
        <w:spacing w:line="560" w:lineRule="exact"/>
        <w:ind w:firstLine="640" w:firstLineChars="200"/>
        <w:jc w:val="left"/>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sz w:val="32"/>
          <w:szCs w:val="32"/>
          <w:lang w:val="en-US" w:eastAsia="zh-CN"/>
        </w:rPr>
        <w:t>(10)负责地质勘查行业和矿产资源储量管理。组织实施地质调查评价、矿产资源勘查，管理县级地质勘查项目，组织实施县级重大地质勘查专项，管理地质勘查资质、地质资料、地质勘查成果，统一管理公益性地质调查和战略性矿产勘查工作。管理矿产资源评审、登记、统计，组织实施矿山储量动态监督管理，组织实施矿产资源储量调查，承担压覆矿产资源管理工作。
</w:t>
      </w:r>
    </w:p>
    <w:p w14:paraId="5BAA7766">
      <w:pPr>
        <w:keepNext w:val="0"/>
        <w:keepLines w:val="0"/>
        <w:pageBreakBefore w:val="0"/>
        <w:numPr>
          <w:ilvl w:val="0"/>
          <w:numId w:val="0"/>
        </w:numPr>
        <w:kinsoku/>
        <w:wordWrap w:val="0"/>
        <w:overflowPunct/>
        <w:autoSpaceDE/>
        <w:autoSpaceDN/>
        <w:bidi w:val="0"/>
        <w:spacing w:line="560" w:lineRule="exact"/>
        <w:ind w:firstLine="640" w:firstLineChars="200"/>
        <w:jc w:val="left"/>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sz w:val="32"/>
          <w:szCs w:val="32"/>
          <w:lang w:val="en-US" w:eastAsia="zh-CN"/>
        </w:rPr>
        <w:t>(11)承担地质环境保护的责任，组织、协调、指导和监督地质灾害防治工作。指导重大地质灾害应急处置，组织拟订、实施全县突发重大地质灾害应急预案。组织实施矿山地质环境、地质遗迹保护，监督管理古生物化石、地质遗迹、矿业遗迹等重要保护区、保护地，依法管理水文地质、工程地质、环境地质勘查和评价工作，监测、监督防止地下水过量开采和污染，承担城市地质、农业地质、旅游地质的勘查与评价工作。
</w:t>
      </w:r>
    </w:p>
    <w:p w14:paraId="594A13A9">
      <w:pPr>
        <w:keepNext w:val="0"/>
        <w:keepLines w:val="0"/>
        <w:pageBreakBefore w:val="0"/>
        <w:numPr>
          <w:ilvl w:val="0"/>
          <w:numId w:val="0"/>
        </w:numPr>
        <w:kinsoku/>
        <w:wordWrap w:val="0"/>
        <w:overflowPunct/>
        <w:autoSpaceDE/>
        <w:autoSpaceDN/>
        <w:bidi w:val="0"/>
        <w:spacing w:line="560" w:lineRule="exact"/>
        <w:ind w:firstLine="640" w:firstLineChars="200"/>
        <w:jc w:val="left"/>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sz w:val="32"/>
          <w:szCs w:val="32"/>
          <w:lang w:val="en-US" w:eastAsia="zh-CN"/>
        </w:rPr>
        <w:t>(12)依法征收土地、矿产资源收益，规范、监督资金使用，拟订土地、矿产资源参与经济调控的政策措施。依法组织土地、矿产资源专项收入的征管，配合有关部门拟订收益分配制度，配合有关部门指导、监督全县土地整理复垦开发资金的收取和使用。参与管理土地、矿产等资源性资产，参与管理国家、省、州、县出资形成的矿业权权益，负责有关资金、基金的预算和财务、资产管理与监督。
</w:t>
      </w:r>
    </w:p>
    <w:p w14:paraId="1867120C">
      <w:pPr>
        <w:keepNext w:val="0"/>
        <w:keepLines w:val="0"/>
        <w:pageBreakBefore w:val="0"/>
        <w:numPr>
          <w:ilvl w:val="0"/>
          <w:numId w:val="0"/>
        </w:numPr>
        <w:kinsoku/>
        <w:wordWrap w:val="0"/>
        <w:overflowPunct/>
        <w:autoSpaceDE/>
        <w:autoSpaceDN/>
        <w:bidi w:val="0"/>
        <w:spacing w:line="560" w:lineRule="exact"/>
        <w:ind w:firstLine="640" w:firstLineChars="200"/>
        <w:jc w:val="left"/>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sz w:val="32"/>
          <w:szCs w:val="32"/>
          <w:lang w:val="en-US" w:eastAsia="zh-CN"/>
        </w:rPr>
        <w:t>(13)推进国土资源科技进步，组织开展对外合作与交流。组织制订、实施国土资源科技发展、人才培养规划和计划，组织实施重大科技专项，推进国土资源信息化和信息资料公共服务。协调境外矿产资源勘查，参与矿产资源开发工作，依法审批或审核对外合作区块，监督对外合作勘查开采行为。
以及承担县政府公布的有关行政审批事项。承担县委、县政府交办的其他事项。</w:t>
      </w:r>
    </w:p>
    <w:p w14:paraId="22C62FC8">
      <w:pPr>
        <w:keepNext w:val="0"/>
        <w:keepLines w:val="0"/>
        <w:pageBreakBefore w:val="0"/>
        <w:kinsoku/>
        <w:wordWrap w:val="0"/>
        <w:overflowPunct/>
        <w:autoSpaceDE/>
        <w:autoSpaceDN/>
        <w:bidi w:val="0"/>
        <w:spacing w:line="560" w:lineRule="exact"/>
        <w:ind w:leftChars="0" w:firstLine="640" w:firstLineChars="200"/>
        <w:jc w:val="left"/>
        <w:textAlignment w:val="auto"/>
        <w:rPr>
          <w:rFonts w:hint="default" w:ascii="Times New Roman" w:hAnsi="Times New Roman" w:eastAsia="方正楷体_GBK" w:cs="Times New Roman"/>
          <w:b w:val="0"/>
          <w:bCs w:val="0"/>
          <w:color w:val="000000"/>
          <w:kern w:val="0"/>
          <w:sz w:val="32"/>
          <w:szCs w:val="32"/>
          <w:highlight w:val="none"/>
          <w:shd w:val="clear" w:color="auto" w:fill="FFFFFF"/>
          <w:lang w:val="zh-CN"/>
        </w:rPr>
      </w:pPr>
      <w:r>
        <w:rPr>
          <w:rFonts w:hint="default" w:ascii="Times New Roman" w:hAnsi="Times New Roman" w:eastAsia="方正楷体_GBK" w:cs="Times New Roman"/>
          <w:b w:val="0"/>
          <w:bCs w:val="0"/>
          <w:color w:val="000000"/>
          <w:kern w:val="0"/>
          <w:sz w:val="32"/>
          <w:szCs w:val="32"/>
          <w:highlight w:val="none"/>
          <w:shd w:val="clear" w:color="auto" w:fill="FFFFFF"/>
          <w:lang w:val="zh-CN"/>
        </w:rPr>
        <w:t>（三）人员概况。</w:t>
      </w:r>
    </w:p>
    <w:p w14:paraId="183BAAB9">
      <w:pPr>
        <w:keepNext w:val="0"/>
        <w:keepLines w:val="0"/>
        <w:pageBreakBefore w:val="0"/>
        <w:kinsoku/>
        <w:wordWrap w:val="0"/>
        <w:overflowPunct/>
        <w:autoSpaceDE/>
        <w:autoSpaceDN/>
        <w:bidi w:val="0"/>
        <w:spacing w:line="560" w:lineRule="exact"/>
        <w:ind w:leftChars="0" w:firstLine="640" w:firstLineChars="200"/>
        <w:jc w:val="left"/>
        <w:textAlignment w:val="auto"/>
        <w:rPr>
          <w:rFonts w:hint="default" w:ascii="Times New Roman" w:hAnsi="Times New Roman" w:eastAsia="方正仿宋_GBK" w:cs="Times New Roman"/>
          <w:color w:val="auto"/>
          <w:sz w:val="32"/>
          <w:szCs w:val="32"/>
          <w:lang w:val="en-US" w:eastAsia="zh-CN"/>
        </w:rPr>
      </w:pPr>
      <w:bookmarkStart w:id="80" w:name="_Toc25668_WPSOffice_Level2"/>
      <w:r>
        <w:rPr>
          <w:rFonts w:hint="default" w:ascii="Times New Roman" w:hAnsi="Times New Roman" w:eastAsia="方正仿宋_GBK" w:cs="Times New Roman"/>
          <w:color w:val="auto"/>
          <w:sz w:val="32"/>
          <w:szCs w:val="32"/>
          <w:lang w:val="en-US" w:eastAsia="zh-CN"/>
        </w:rPr>
        <w:t>截止202</w:t>
      </w:r>
      <w:r>
        <w:rPr>
          <w:rFonts w:hint="eastAsia" w:eastAsia="方正仿宋_GBK" w:cs="Times New Roman"/>
          <w:color w:val="auto"/>
          <w:sz w:val="32"/>
          <w:szCs w:val="32"/>
          <w:lang w:val="en-US" w:eastAsia="zh-CN"/>
        </w:rPr>
        <w:t>4</w:t>
      </w:r>
      <w:r>
        <w:rPr>
          <w:rFonts w:hint="default" w:ascii="Times New Roman" w:hAnsi="Times New Roman" w:eastAsia="方正仿宋_GBK" w:cs="Times New Roman"/>
          <w:color w:val="auto"/>
          <w:sz w:val="32"/>
          <w:szCs w:val="32"/>
          <w:lang w:val="en-US" w:eastAsia="zh-CN"/>
        </w:rPr>
        <w:t>年12月31日，金川县自然资源局实有编制内人员</w:t>
      </w:r>
      <w:r>
        <w:rPr>
          <w:rFonts w:hint="eastAsia" w:eastAsia="方正仿宋_GBK" w:cs="Times New Roman"/>
          <w:color w:val="auto"/>
          <w:sz w:val="32"/>
          <w:szCs w:val="32"/>
          <w:lang w:val="en-US" w:eastAsia="zh-CN"/>
        </w:rPr>
        <w:t>22</w:t>
      </w:r>
      <w:r>
        <w:rPr>
          <w:rFonts w:hint="default" w:ascii="Times New Roman" w:hAnsi="Times New Roman" w:eastAsia="方正仿宋_GBK" w:cs="Times New Roman"/>
          <w:color w:val="auto"/>
          <w:sz w:val="32"/>
          <w:szCs w:val="32"/>
          <w:lang w:val="en-US" w:eastAsia="zh-CN"/>
        </w:rPr>
        <w:t>人，其中行政人员6人，事业人员1</w:t>
      </w:r>
      <w:r>
        <w:rPr>
          <w:rFonts w:hint="eastAsia" w:eastAsia="方正仿宋_GBK" w:cs="Times New Roman"/>
          <w:color w:val="auto"/>
          <w:sz w:val="32"/>
          <w:szCs w:val="32"/>
          <w:lang w:val="en-US" w:eastAsia="zh-CN"/>
        </w:rPr>
        <w:t>4</w:t>
      </w:r>
      <w:r>
        <w:rPr>
          <w:rFonts w:hint="default" w:ascii="Times New Roman" w:hAnsi="Times New Roman" w:eastAsia="方正仿宋_GBK" w:cs="Times New Roman"/>
          <w:color w:val="auto"/>
          <w:sz w:val="32"/>
          <w:szCs w:val="32"/>
          <w:lang w:val="en-US" w:eastAsia="zh-CN"/>
        </w:rPr>
        <w:t>人，行政工勤1人</w:t>
      </w:r>
      <w:r>
        <w:rPr>
          <w:rFonts w:hint="eastAsia" w:eastAsia="方正仿宋_GBK" w:cs="Times New Roman"/>
          <w:color w:val="auto"/>
          <w:sz w:val="32"/>
          <w:szCs w:val="32"/>
          <w:lang w:val="en-US" w:eastAsia="zh-CN"/>
        </w:rPr>
        <w:t>，事业工勤1人</w:t>
      </w:r>
      <w:r>
        <w:rPr>
          <w:rFonts w:hint="default" w:ascii="Times New Roman" w:hAnsi="Times New Roman" w:eastAsia="方正仿宋_GBK" w:cs="Times New Roman"/>
          <w:color w:val="auto"/>
          <w:sz w:val="32"/>
          <w:szCs w:val="32"/>
          <w:lang w:val="en-US" w:eastAsia="zh-CN"/>
        </w:rPr>
        <w:t>。</w:t>
      </w:r>
    </w:p>
    <w:p w14:paraId="5C2C0CAB">
      <w:pPr>
        <w:keepNext w:val="0"/>
        <w:keepLines w:val="0"/>
        <w:pageBreakBefore w:val="0"/>
        <w:widowControl/>
        <w:numPr>
          <w:ilvl w:val="0"/>
          <w:numId w:val="0"/>
        </w:numPr>
        <w:kinsoku/>
        <w:wordWrap/>
        <w:overflowPunct/>
        <w:topLinePunct w:val="0"/>
        <w:autoSpaceDE/>
        <w:autoSpaceDN/>
        <w:bidi w:val="0"/>
        <w:adjustRightInd w:val="0"/>
        <w:snapToGrid w:val="0"/>
        <w:spacing w:line="560" w:lineRule="exact"/>
        <w:ind w:leftChars="0" w:firstLine="640" w:firstLineChars="200"/>
        <w:contextualSpacing/>
        <w:jc w:val="left"/>
        <w:textAlignment w:val="auto"/>
        <w:outlineLvl w:val="9"/>
        <w:rPr>
          <w:rFonts w:hint="default" w:ascii="Times New Roman" w:hAnsi="Times New Roman" w:eastAsia="方正黑体_GBK" w:cs="Times New Roman"/>
          <w:color w:val="000000"/>
          <w:kern w:val="0"/>
          <w:sz w:val="32"/>
          <w:szCs w:val="32"/>
          <w:highlight w:val="none"/>
          <w:shd w:val="clear" w:color="auto" w:fill="FFFFFF"/>
          <w:lang w:val="zh-CN"/>
        </w:rPr>
      </w:pPr>
      <w:r>
        <w:rPr>
          <w:rFonts w:hint="default" w:ascii="Times New Roman" w:hAnsi="Times New Roman" w:eastAsia="方正黑体_GBK" w:cs="Times New Roman"/>
          <w:color w:val="000000"/>
          <w:kern w:val="0"/>
          <w:sz w:val="32"/>
          <w:szCs w:val="32"/>
          <w:highlight w:val="none"/>
          <w:shd w:val="clear" w:color="auto" w:fill="FFFFFF"/>
          <w:lang w:val="zh-CN"/>
        </w:rPr>
        <w:t>二、</w:t>
      </w:r>
      <w:r>
        <w:rPr>
          <w:rFonts w:hint="default" w:ascii="Times New Roman" w:hAnsi="Times New Roman" w:eastAsia="方正黑体_GBK" w:cs="Times New Roman"/>
          <w:color w:val="000000"/>
          <w:kern w:val="0"/>
          <w:sz w:val="32"/>
          <w:szCs w:val="32"/>
          <w:highlight w:val="none"/>
          <w:shd w:val="clear" w:color="auto" w:fill="FFFFFF"/>
          <w:lang w:val="zh-CN" w:eastAsia="zh-CN"/>
        </w:rPr>
        <w:t>部门</w:t>
      </w:r>
      <w:r>
        <w:rPr>
          <w:rFonts w:hint="default" w:ascii="Times New Roman" w:hAnsi="Times New Roman" w:eastAsia="方正黑体_GBK" w:cs="Times New Roman"/>
          <w:color w:val="000000"/>
          <w:kern w:val="0"/>
          <w:sz w:val="32"/>
          <w:szCs w:val="32"/>
          <w:highlight w:val="none"/>
          <w:shd w:val="clear" w:color="auto" w:fill="FFFFFF"/>
          <w:lang w:val="zh-CN"/>
        </w:rPr>
        <w:t>资金收支情况</w:t>
      </w:r>
      <w:bookmarkEnd w:id="80"/>
    </w:p>
    <w:p w14:paraId="480FF290">
      <w:pPr>
        <w:keepNext w:val="0"/>
        <w:keepLines w:val="0"/>
        <w:pageBreakBefore w:val="0"/>
        <w:widowControl/>
        <w:kinsoku/>
        <w:wordWrap/>
        <w:overflowPunct/>
        <w:topLinePunct w:val="0"/>
        <w:autoSpaceDE/>
        <w:autoSpaceDN/>
        <w:bidi w:val="0"/>
        <w:adjustRightInd w:val="0"/>
        <w:snapToGrid w:val="0"/>
        <w:spacing w:line="560" w:lineRule="exact"/>
        <w:ind w:leftChars="0" w:firstLine="640" w:firstLineChars="200"/>
        <w:contextualSpacing/>
        <w:jc w:val="left"/>
        <w:textAlignment w:val="auto"/>
        <w:outlineLvl w:val="9"/>
        <w:rPr>
          <w:rFonts w:hint="default" w:ascii="Times New Roman" w:hAnsi="Times New Roman" w:eastAsia="方正楷体_GBK" w:cs="Times New Roman"/>
          <w:b w:val="0"/>
          <w:bCs w:val="0"/>
          <w:color w:val="000000"/>
          <w:kern w:val="0"/>
          <w:sz w:val="32"/>
          <w:szCs w:val="32"/>
          <w:highlight w:val="none"/>
          <w:shd w:val="clear" w:color="auto" w:fill="FFFFFF"/>
          <w:lang w:val="zh-CN"/>
        </w:rPr>
      </w:pPr>
      <w:r>
        <w:rPr>
          <w:rFonts w:hint="default" w:ascii="Times New Roman" w:hAnsi="Times New Roman" w:eastAsia="方正楷体_GBK" w:cs="Times New Roman"/>
          <w:b w:val="0"/>
          <w:bCs w:val="0"/>
          <w:color w:val="000000"/>
          <w:kern w:val="0"/>
          <w:sz w:val="32"/>
          <w:szCs w:val="32"/>
          <w:highlight w:val="none"/>
          <w:shd w:val="clear" w:color="auto" w:fill="FFFFFF"/>
          <w:lang w:val="zh-CN"/>
        </w:rPr>
        <w:t>（一）收入情况。</w:t>
      </w:r>
    </w:p>
    <w:p w14:paraId="0C3101D4">
      <w:pPr>
        <w:keepNext w:val="0"/>
        <w:keepLines w:val="0"/>
        <w:pageBreakBefore w:val="0"/>
        <w:kinsoku/>
        <w:wordWrap w:val="0"/>
        <w:overflowPunct/>
        <w:autoSpaceDE/>
        <w:autoSpaceDN/>
        <w:bidi w:val="0"/>
        <w:spacing w:line="560" w:lineRule="exact"/>
        <w:ind w:leftChars="0" w:firstLine="640" w:firstLineChars="200"/>
        <w:jc w:val="left"/>
        <w:textAlignment w:val="auto"/>
        <w:rPr>
          <w:rFonts w:hint="eastAsia" w:ascii="Times New Roman" w:hAnsi="Times New Roman" w:eastAsia="方正仿宋_GBK" w:cs="Times New Roman"/>
          <w:color w:val="auto"/>
          <w:sz w:val="32"/>
          <w:szCs w:val="32"/>
          <w:lang w:val="zh-CN" w:eastAsia="zh-CN"/>
        </w:rPr>
      </w:pPr>
      <w:r>
        <w:rPr>
          <w:rFonts w:hint="eastAsia" w:ascii="Times New Roman" w:hAnsi="Times New Roman" w:eastAsia="方正仿宋_GBK" w:cs="Times New Roman"/>
          <w:color w:val="auto"/>
          <w:sz w:val="32"/>
          <w:szCs w:val="32"/>
          <w:lang w:val="zh-CN" w:eastAsia="zh-CN"/>
        </w:rPr>
        <w:t>金川县自然资源局202</w:t>
      </w:r>
      <w:r>
        <w:rPr>
          <w:rFonts w:hint="eastAsia" w:ascii="Times New Roman" w:hAnsi="Times New Roman" w:eastAsia="方正仿宋_GBK" w:cs="Times New Roman"/>
          <w:color w:val="auto"/>
          <w:sz w:val="32"/>
          <w:szCs w:val="32"/>
          <w:lang w:val="en-US" w:eastAsia="zh-CN"/>
        </w:rPr>
        <w:t>4</w:t>
      </w:r>
      <w:r>
        <w:rPr>
          <w:rFonts w:hint="eastAsia" w:ascii="Times New Roman" w:hAnsi="Times New Roman" w:eastAsia="方正仿宋_GBK" w:cs="Times New Roman"/>
          <w:color w:val="auto"/>
          <w:sz w:val="32"/>
          <w:szCs w:val="32"/>
          <w:lang w:val="zh-CN" w:eastAsia="zh-CN"/>
        </w:rPr>
        <w:t>年度财政拨款收入</w:t>
      </w:r>
      <w:r>
        <w:rPr>
          <w:rFonts w:hint="eastAsia" w:ascii="Times New Roman" w:hAnsi="Times New Roman" w:eastAsia="方正仿宋_GBK" w:cs="Times New Roman"/>
          <w:color w:val="auto"/>
          <w:sz w:val="32"/>
          <w:szCs w:val="32"/>
          <w:lang w:val="en-US" w:eastAsia="zh-CN"/>
        </w:rPr>
        <w:t>16650.06</w:t>
      </w:r>
      <w:r>
        <w:rPr>
          <w:rFonts w:hint="eastAsia" w:ascii="Times New Roman" w:hAnsi="Times New Roman" w:eastAsia="方正仿宋_GBK" w:cs="Times New Roman"/>
          <w:color w:val="auto"/>
          <w:sz w:val="32"/>
          <w:szCs w:val="32"/>
          <w:lang w:val="zh-CN" w:eastAsia="zh-CN"/>
        </w:rPr>
        <w:t>万元，上年结转0万元，当年财政拨款收入</w:t>
      </w:r>
      <w:r>
        <w:rPr>
          <w:rFonts w:hint="eastAsia" w:ascii="Times New Roman" w:hAnsi="Times New Roman" w:eastAsia="方正仿宋_GBK" w:cs="Times New Roman"/>
          <w:color w:val="auto"/>
          <w:sz w:val="32"/>
          <w:szCs w:val="32"/>
          <w:lang w:val="en-US" w:eastAsia="zh-CN"/>
        </w:rPr>
        <w:t>16650.06</w:t>
      </w:r>
      <w:r>
        <w:rPr>
          <w:rFonts w:hint="eastAsia" w:ascii="Times New Roman" w:hAnsi="Times New Roman" w:eastAsia="方正仿宋_GBK" w:cs="Times New Roman"/>
          <w:color w:val="auto"/>
          <w:sz w:val="32"/>
          <w:szCs w:val="32"/>
          <w:lang w:val="zh-CN" w:eastAsia="zh-CN"/>
        </w:rPr>
        <w:t xml:space="preserve">万元，其他收入 0万元，上年结转收入 </w:t>
      </w:r>
      <w:r>
        <w:rPr>
          <w:rFonts w:hint="eastAsia" w:ascii="Times New Roman" w:hAnsi="Times New Roman" w:eastAsia="方正仿宋_GBK" w:cs="Times New Roman"/>
          <w:color w:val="auto"/>
          <w:sz w:val="32"/>
          <w:szCs w:val="32"/>
          <w:lang w:val="en-US" w:eastAsia="zh-CN"/>
        </w:rPr>
        <w:t>0</w:t>
      </w:r>
      <w:r>
        <w:rPr>
          <w:rFonts w:hint="eastAsia" w:ascii="Times New Roman" w:hAnsi="Times New Roman" w:eastAsia="方正仿宋_GBK" w:cs="Times New Roman"/>
          <w:color w:val="auto"/>
          <w:sz w:val="32"/>
          <w:szCs w:val="32"/>
          <w:lang w:val="zh-CN" w:eastAsia="zh-CN"/>
        </w:rPr>
        <w:t>万元。相应安排支出预算</w:t>
      </w:r>
      <w:r>
        <w:rPr>
          <w:rFonts w:hint="eastAsia" w:ascii="Times New Roman" w:hAnsi="Times New Roman" w:eastAsia="方正仿宋_GBK" w:cs="Times New Roman"/>
          <w:color w:val="auto"/>
          <w:sz w:val="32"/>
          <w:szCs w:val="32"/>
          <w:lang w:val="en-US" w:eastAsia="zh-CN"/>
        </w:rPr>
        <w:t>16650.06</w:t>
      </w:r>
      <w:r>
        <w:rPr>
          <w:rFonts w:hint="eastAsia" w:ascii="Times New Roman" w:hAnsi="Times New Roman" w:eastAsia="方正仿宋_GBK" w:cs="Times New Roman"/>
          <w:color w:val="auto"/>
          <w:sz w:val="32"/>
          <w:szCs w:val="32"/>
          <w:lang w:val="zh-CN" w:eastAsia="zh-CN"/>
        </w:rPr>
        <w:t>万元。</w:t>
      </w:r>
    </w:p>
    <w:p w14:paraId="67538B33">
      <w:pPr>
        <w:keepNext w:val="0"/>
        <w:keepLines w:val="0"/>
        <w:pageBreakBefore w:val="0"/>
        <w:widowControl/>
        <w:numPr>
          <w:ilvl w:val="0"/>
          <w:numId w:val="0"/>
        </w:numPr>
        <w:kinsoku/>
        <w:wordWrap/>
        <w:overflowPunct/>
        <w:topLinePunct w:val="0"/>
        <w:autoSpaceDE/>
        <w:autoSpaceDN/>
        <w:bidi w:val="0"/>
        <w:adjustRightInd w:val="0"/>
        <w:snapToGrid w:val="0"/>
        <w:spacing w:line="560" w:lineRule="exact"/>
        <w:ind w:leftChars="0" w:firstLine="640" w:firstLineChars="200"/>
        <w:contextualSpacing/>
        <w:jc w:val="left"/>
        <w:textAlignment w:val="auto"/>
        <w:outlineLvl w:val="9"/>
        <w:rPr>
          <w:rFonts w:hint="default" w:ascii="Times New Roman" w:hAnsi="Times New Roman" w:eastAsia="方正楷体_GBK" w:cs="Times New Roman"/>
          <w:b w:val="0"/>
          <w:bCs w:val="0"/>
          <w:color w:val="000000"/>
          <w:kern w:val="0"/>
          <w:sz w:val="32"/>
          <w:szCs w:val="32"/>
          <w:highlight w:val="none"/>
          <w:shd w:val="clear" w:color="auto" w:fill="FFFFFF"/>
          <w:lang w:val="zh-CN"/>
        </w:rPr>
      </w:pPr>
      <w:r>
        <w:rPr>
          <w:rFonts w:hint="default" w:ascii="Times New Roman" w:hAnsi="Times New Roman" w:eastAsia="方正楷体_GBK" w:cs="Times New Roman"/>
          <w:b w:val="0"/>
          <w:bCs w:val="0"/>
          <w:color w:val="000000"/>
          <w:kern w:val="0"/>
          <w:sz w:val="32"/>
          <w:szCs w:val="32"/>
          <w:highlight w:val="none"/>
          <w:shd w:val="clear" w:color="auto" w:fill="FFFFFF"/>
          <w:lang w:val="zh-CN"/>
        </w:rPr>
        <w:t>（</w:t>
      </w:r>
      <w:r>
        <w:rPr>
          <w:rFonts w:hint="default" w:ascii="Times New Roman" w:hAnsi="Times New Roman" w:eastAsia="方正楷体_GBK" w:cs="Times New Roman"/>
          <w:b w:val="0"/>
          <w:bCs w:val="0"/>
          <w:color w:val="000000"/>
          <w:kern w:val="0"/>
          <w:sz w:val="32"/>
          <w:szCs w:val="32"/>
          <w:highlight w:val="none"/>
          <w:shd w:val="clear" w:color="auto" w:fill="FFFFFF"/>
          <w:lang w:val="en-US" w:eastAsia="zh-CN"/>
        </w:rPr>
        <w:t>二</w:t>
      </w:r>
      <w:r>
        <w:rPr>
          <w:rFonts w:hint="default" w:ascii="Times New Roman" w:hAnsi="Times New Roman" w:eastAsia="方正楷体_GBK" w:cs="Times New Roman"/>
          <w:b w:val="0"/>
          <w:bCs w:val="0"/>
          <w:color w:val="000000"/>
          <w:kern w:val="0"/>
          <w:sz w:val="32"/>
          <w:szCs w:val="32"/>
          <w:highlight w:val="none"/>
          <w:shd w:val="clear" w:color="auto" w:fill="FFFFFF"/>
          <w:lang w:val="zh-CN"/>
        </w:rPr>
        <w:t>）支出情况。</w:t>
      </w:r>
    </w:p>
    <w:p w14:paraId="08F853DF">
      <w:pPr>
        <w:keepNext w:val="0"/>
        <w:keepLines w:val="0"/>
        <w:pageBreakBefore w:val="0"/>
        <w:widowControl/>
        <w:numPr>
          <w:ilvl w:val="0"/>
          <w:numId w:val="0"/>
        </w:numPr>
        <w:kinsoku/>
        <w:wordWrap/>
        <w:overflowPunct/>
        <w:topLinePunct w:val="0"/>
        <w:autoSpaceDE/>
        <w:autoSpaceDN/>
        <w:bidi w:val="0"/>
        <w:adjustRightInd w:val="0"/>
        <w:snapToGrid w:val="0"/>
        <w:spacing w:line="560" w:lineRule="exact"/>
        <w:ind w:leftChars="0" w:firstLine="640" w:firstLineChars="200"/>
        <w:contextualSpacing/>
        <w:jc w:val="left"/>
        <w:textAlignment w:val="auto"/>
        <w:outlineLvl w:val="9"/>
        <w:rPr>
          <w:rFonts w:hint="eastAsia" w:ascii="仿宋" w:hAnsi="仿宋" w:eastAsia="仿宋"/>
          <w:sz w:val="32"/>
          <w:szCs w:val="32"/>
        </w:rPr>
      </w:pPr>
      <w:r>
        <w:rPr>
          <w:rFonts w:hint="eastAsia" w:ascii="仿宋" w:hAnsi="仿宋" w:eastAsia="仿宋"/>
          <w:sz w:val="32"/>
          <w:szCs w:val="32"/>
          <w:lang w:eastAsia="zh-CN"/>
        </w:rPr>
        <w:t>2024年</w:t>
      </w:r>
      <w:r>
        <w:rPr>
          <w:rFonts w:hint="eastAsia" w:ascii="仿宋" w:hAnsi="仿宋" w:eastAsia="仿宋"/>
          <w:sz w:val="32"/>
          <w:szCs w:val="32"/>
        </w:rPr>
        <w:t>度本年收入合计</w:t>
      </w:r>
      <w:r>
        <w:rPr>
          <w:rFonts w:hint="eastAsia" w:eastAsia="仿宋"/>
          <w:sz w:val="32"/>
          <w:szCs w:val="32"/>
          <w:lang w:eastAsia="zh-CN"/>
        </w:rPr>
        <w:t>16650.06万元</w:t>
      </w:r>
      <w:r>
        <w:rPr>
          <w:rFonts w:hint="eastAsia" w:ascii="仿宋" w:hAnsi="仿宋" w:eastAsia="仿宋"/>
          <w:sz w:val="32"/>
          <w:szCs w:val="32"/>
        </w:rPr>
        <w:t>，其中：一般公共预算财政拨款收入</w:t>
      </w:r>
      <w:r>
        <w:rPr>
          <w:rFonts w:hint="eastAsia" w:eastAsia="仿宋"/>
          <w:sz w:val="32"/>
          <w:szCs w:val="32"/>
          <w:lang w:val="en-US" w:eastAsia="zh-CN"/>
        </w:rPr>
        <w:t>16516.25</w:t>
      </w:r>
      <w:r>
        <w:rPr>
          <w:rFonts w:hint="eastAsia" w:ascii="仿宋" w:hAnsi="仿宋" w:eastAsia="仿宋"/>
          <w:sz w:val="32"/>
          <w:szCs w:val="32"/>
        </w:rPr>
        <w:t>万元，占</w:t>
      </w:r>
      <w:r>
        <w:rPr>
          <w:rFonts w:hint="eastAsia" w:ascii="仿宋" w:hAnsi="仿宋" w:eastAsia="仿宋"/>
          <w:sz w:val="32"/>
          <w:szCs w:val="32"/>
          <w:lang w:val="en-US" w:eastAsia="zh-CN"/>
        </w:rPr>
        <w:t>99.2</w:t>
      </w:r>
      <w:r>
        <w:rPr>
          <w:rFonts w:ascii="仿宋" w:hAnsi="仿宋" w:eastAsia="仿宋"/>
          <w:sz w:val="32"/>
          <w:szCs w:val="32"/>
        </w:rPr>
        <w:t>%</w:t>
      </w:r>
      <w:r>
        <w:rPr>
          <w:rFonts w:hint="eastAsia" w:ascii="仿宋" w:hAnsi="仿宋" w:eastAsia="仿宋"/>
          <w:sz w:val="32"/>
          <w:szCs w:val="32"/>
        </w:rPr>
        <w:t>；政府性基金预算财政拨款收入</w:t>
      </w:r>
      <w:r>
        <w:rPr>
          <w:rFonts w:hint="eastAsia" w:eastAsia="仿宋"/>
          <w:sz w:val="32"/>
          <w:szCs w:val="32"/>
          <w:lang w:val="en-US" w:eastAsia="zh-CN"/>
        </w:rPr>
        <w:t>133.81</w:t>
      </w:r>
      <w:r>
        <w:rPr>
          <w:rFonts w:hint="eastAsia" w:ascii="仿宋" w:hAnsi="仿宋" w:eastAsia="仿宋"/>
          <w:sz w:val="32"/>
          <w:szCs w:val="32"/>
        </w:rPr>
        <w:t>万元，占</w:t>
      </w:r>
      <w:r>
        <w:rPr>
          <w:rFonts w:hint="eastAsia" w:ascii="仿宋" w:hAnsi="仿宋" w:eastAsia="仿宋"/>
          <w:sz w:val="32"/>
          <w:szCs w:val="32"/>
          <w:lang w:val="en-US" w:eastAsia="zh-CN"/>
        </w:rPr>
        <w:t>0.8</w:t>
      </w:r>
      <w:r>
        <w:rPr>
          <w:rFonts w:ascii="仿宋" w:hAnsi="仿宋" w:eastAsia="仿宋"/>
          <w:sz w:val="32"/>
          <w:szCs w:val="32"/>
        </w:rPr>
        <w:t>%</w:t>
      </w:r>
      <w:r>
        <w:rPr>
          <w:rFonts w:hint="eastAsia" w:ascii="仿宋" w:hAnsi="仿宋" w:eastAsia="仿宋"/>
          <w:sz w:val="32"/>
          <w:szCs w:val="32"/>
        </w:rPr>
        <w:t>；国有资本经营预算财政拨款收入</w:t>
      </w:r>
      <w:r>
        <w:rPr>
          <w:sz w:val="32"/>
          <w:szCs w:val="32"/>
        </w:rPr>
        <w:t>0</w:t>
      </w:r>
      <w:r>
        <w:rPr>
          <w:rFonts w:hint="eastAsia" w:ascii="仿宋" w:hAnsi="仿宋" w:eastAsia="仿宋"/>
          <w:sz w:val="32"/>
          <w:szCs w:val="32"/>
        </w:rPr>
        <w:t>万元，占</w:t>
      </w:r>
      <w:r>
        <w:rPr>
          <w:rFonts w:hint="eastAsia" w:ascii="仿宋" w:hAnsi="仿宋" w:eastAsia="仿宋"/>
          <w:sz w:val="32"/>
          <w:szCs w:val="32"/>
          <w:lang w:val="en-US" w:eastAsia="zh-CN"/>
        </w:rPr>
        <w:t>0</w:t>
      </w:r>
      <w:r>
        <w:rPr>
          <w:rFonts w:ascii="仿宋" w:hAnsi="仿宋" w:eastAsia="仿宋"/>
          <w:sz w:val="32"/>
          <w:szCs w:val="32"/>
        </w:rPr>
        <w:t>%</w:t>
      </w:r>
      <w:r>
        <w:rPr>
          <w:rFonts w:hint="eastAsia" w:ascii="仿宋" w:hAnsi="仿宋" w:eastAsia="仿宋"/>
          <w:sz w:val="32"/>
          <w:szCs w:val="32"/>
        </w:rPr>
        <w:t>；上级补助收入</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；事业收入</w:t>
      </w:r>
      <w:r>
        <w:rPr>
          <w:sz w:val="32"/>
          <w:szCs w:val="32"/>
        </w:rPr>
        <w:t>0</w:t>
      </w:r>
      <w:r>
        <w:rPr>
          <w:rFonts w:hint="eastAsia" w:ascii="仿宋" w:hAnsi="仿宋" w:eastAsia="仿宋"/>
          <w:sz w:val="32"/>
          <w:szCs w:val="32"/>
        </w:rPr>
        <w:t>万元，占</w:t>
      </w:r>
      <w:r>
        <w:rPr>
          <w:rFonts w:hint="eastAsia" w:eastAsia="仿宋"/>
          <w:sz w:val="32"/>
          <w:szCs w:val="32"/>
          <w:lang w:val="en-US" w:eastAsia="zh-CN"/>
        </w:rPr>
        <w:t>0</w:t>
      </w:r>
      <w:bookmarkStart w:id="98" w:name="_GoBack"/>
      <w:bookmarkEnd w:id="98"/>
      <w:r>
        <w:rPr>
          <w:rFonts w:ascii="仿宋" w:hAnsi="仿宋" w:eastAsia="仿宋"/>
          <w:sz w:val="32"/>
          <w:szCs w:val="32"/>
        </w:rPr>
        <w:t>%</w:t>
      </w:r>
      <w:r>
        <w:rPr>
          <w:rFonts w:hint="eastAsia" w:ascii="仿宋" w:hAnsi="仿宋" w:eastAsia="仿宋"/>
          <w:sz w:val="32"/>
          <w:szCs w:val="32"/>
        </w:rPr>
        <w:t>；经营收入</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；附属单位上缴收入</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；其他收入</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w:t>
      </w:r>
    </w:p>
    <w:p w14:paraId="293DCBD8">
      <w:pPr>
        <w:keepNext w:val="0"/>
        <w:keepLines w:val="0"/>
        <w:pageBreakBefore w:val="0"/>
        <w:widowControl/>
        <w:numPr>
          <w:ilvl w:val="0"/>
          <w:numId w:val="0"/>
        </w:numPr>
        <w:kinsoku/>
        <w:wordWrap/>
        <w:overflowPunct/>
        <w:topLinePunct w:val="0"/>
        <w:autoSpaceDE/>
        <w:autoSpaceDN/>
        <w:bidi w:val="0"/>
        <w:adjustRightInd w:val="0"/>
        <w:snapToGrid w:val="0"/>
        <w:spacing w:line="560" w:lineRule="exact"/>
        <w:ind w:leftChars="0" w:firstLine="640" w:firstLineChars="200"/>
        <w:contextualSpacing/>
        <w:jc w:val="left"/>
        <w:textAlignment w:val="auto"/>
        <w:outlineLvl w:val="9"/>
        <w:rPr>
          <w:rFonts w:hint="default" w:ascii="Times New Roman" w:hAnsi="Times New Roman" w:eastAsia="方正楷体_GBK" w:cs="Times New Roman"/>
          <w:b w:val="0"/>
          <w:bCs/>
          <w:sz w:val="32"/>
          <w:szCs w:val="32"/>
          <w:lang w:eastAsia="zh-CN"/>
        </w:rPr>
      </w:pPr>
      <w:r>
        <w:rPr>
          <w:rFonts w:hint="default" w:ascii="Times New Roman" w:hAnsi="Times New Roman" w:eastAsia="方正楷体_GBK" w:cs="Times New Roman"/>
          <w:b w:val="0"/>
          <w:bCs/>
          <w:sz w:val="32"/>
          <w:szCs w:val="32"/>
          <w:lang w:eastAsia="zh-CN"/>
        </w:rPr>
        <w:t>（</w:t>
      </w:r>
      <w:r>
        <w:rPr>
          <w:rFonts w:hint="default" w:ascii="Times New Roman" w:hAnsi="Times New Roman" w:eastAsia="方正楷体_GBK" w:cs="Times New Roman"/>
          <w:b w:val="0"/>
          <w:bCs/>
          <w:sz w:val="32"/>
          <w:szCs w:val="32"/>
          <w:lang w:val="en-US" w:eastAsia="zh-CN"/>
        </w:rPr>
        <w:t>三</w:t>
      </w:r>
      <w:r>
        <w:rPr>
          <w:rFonts w:hint="default" w:ascii="Times New Roman" w:hAnsi="Times New Roman" w:eastAsia="方正楷体_GBK" w:cs="Times New Roman"/>
          <w:b w:val="0"/>
          <w:bCs/>
          <w:sz w:val="32"/>
          <w:szCs w:val="32"/>
          <w:lang w:eastAsia="zh-CN"/>
        </w:rPr>
        <w:t>）</w:t>
      </w:r>
      <w:r>
        <w:rPr>
          <w:rFonts w:hint="default" w:ascii="Times New Roman" w:hAnsi="Times New Roman" w:eastAsia="方正楷体_GBK" w:cs="Times New Roman"/>
          <w:b w:val="0"/>
          <w:bCs/>
          <w:sz w:val="32"/>
          <w:szCs w:val="32"/>
        </w:rPr>
        <w:t>结余分配和结转结余情况</w:t>
      </w:r>
      <w:r>
        <w:rPr>
          <w:rFonts w:hint="default" w:ascii="Times New Roman" w:hAnsi="Times New Roman" w:eastAsia="方正楷体_GBK" w:cs="Times New Roman"/>
          <w:b w:val="0"/>
          <w:bCs/>
          <w:sz w:val="32"/>
          <w:szCs w:val="32"/>
          <w:lang w:eastAsia="zh-CN"/>
        </w:rPr>
        <w:t>。</w:t>
      </w:r>
    </w:p>
    <w:p w14:paraId="5A33190D">
      <w:pPr>
        <w:keepNext w:val="0"/>
        <w:keepLines w:val="0"/>
        <w:pageBreakBefore w:val="0"/>
        <w:kinsoku/>
        <w:wordWrap w:val="0"/>
        <w:overflowPunct/>
        <w:autoSpaceDE/>
        <w:autoSpaceDN/>
        <w:bidi w:val="0"/>
        <w:spacing w:line="560" w:lineRule="exact"/>
        <w:ind w:leftChars="0" w:firstLine="640" w:firstLineChars="200"/>
        <w:jc w:val="left"/>
        <w:textAlignment w:val="auto"/>
        <w:rPr>
          <w:rFonts w:hint="default" w:ascii="Times New Roman" w:hAnsi="Times New Roman" w:eastAsia="方正仿宋_GBK" w:cs="Times New Roman"/>
          <w:color w:val="auto"/>
          <w:sz w:val="32"/>
          <w:szCs w:val="32"/>
          <w:lang w:val="zh-CN" w:eastAsia="zh-CN"/>
        </w:rPr>
      </w:pPr>
      <w:r>
        <w:rPr>
          <w:rFonts w:hint="eastAsia" w:ascii="Times New Roman" w:hAnsi="Times New Roman" w:eastAsia="方正仿宋_GBK" w:cs="Times New Roman"/>
          <w:color w:val="auto"/>
          <w:sz w:val="32"/>
          <w:szCs w:val="32"/>
          <w:lang w:val="zh-CN" w:eastAsia="zh-CN"/>
        </w:rPr>
        <w:t>金川县自然资源局</w:t>
      </w:r>
      <w:r>
        <w:rPr>
          <w:rFonts w:hint="eastAsia" w:ascii="Times New Roman" w:hAnsi="Times New Roman" w:eastAsia="方正仿宋_GBK" w:cs="Times New Roman"/>
          <w:color w:val="auto"/>
          <w:sz w:val="32"/>
          <w:szCs w:val="32"/>
          <w:lang w:val="en-US" w:eastAsia="zh-CN"/>
        </w:rPr>
        <w:t>2024年决算报表无</w:t>
      </w:r>
      <w:r>
        <w:rPr>
          <w:rFonts w:hint="default" w:ascii="Times New Roman" w:hAnsi="Times New Roman" w:eastAsia="方正仿宋_GBK" w:cs="Times New Roman"/>
          <w:color w:val="auto"/>
          <w:sz w:val="32"/>
          <w:szCs w:val="32"/>
          <w:lang w:val="en-US" w:eastAsia="zh-CN"/>
        </w:rPr>
        <w:t>结转结余</w:t>
      </w:r>
      <w:r>
        <w:rPr>
          <w:rFonts w:hint="eastAsia" w:ascii="Times New Roman" w:hAnsi="Times New Roman" w:eastAsia="方正仿宋_GBK" w:cs="Times New Roman"/>
          <w:color w:val="auto"/>
          <w:sz w:val="32"/>
          <w:szCs w:val="32"/>
          <w:lang w:val="en-US" w:eastAsia="zh-CN"/>
        </w:rPr>
        <w:t>情况</w:t>
      </w:r>
      <w:r>
        <w:rPr>
          <w:rFonts w:hint="default" w:ascii="Times New Roman" w:hAnsi="Times New Roman" w:eastAsia="方正仿宋_GBK" w:cs="Times New Roman"/>
          <w:color w:val="auto"/>
          <w:sz w:val="32"/>
          <w:szCs w:val="32"/>
          <w:lang w:val="en-US" w:eastAsia="zh-CN"/>
        </w:rPr>
        <w:t>。</w:t>
      </w:r>
    </w:p>
    <w:p w14:paraId="350FE7B6">
      <w:pPr>
        <w:keepNext w:val="0"/>
        <w:keepLines w:val="0"/>
        <w:pageBreakBefore w:val="0"/>
        <w:widowControl/>
        <w:numPr>
          <w:ilvl w:val="0"/>
          <w:numId w:val="0"/>
        </w:numPr>
        <w:kinsoku/>
        <w:wordWrap/>
        <w:overflowPunct/>
        <w:topLinePunct w:val="0"/>
        <w:autoSpaceDE/>
        <w:autoSpaceDN/>
        <w:bidi w:val="0"/>
        <w:adjustRightInd w:val="0"/>
        <w:snapToGrid w:val="0"/>
        <w:spacing w:line="560" w:lineRule="exact"/>
        <w:ind w:leftChars="0" w:firstLine="640" w:firstLineChars="200"/>
        <w:contextualSpacing/>
        <w:jc w:val="left"/>
        <w:textAlignment w:val="auto"/>
        <w:outlineLvl w:val="9"/>
        <w:rPr>
          <w:rFonts w:hint="default" w:ascii="Times New Roman" w:hAnsi="Times New Roman" w:eastAsia="方正黑体_GBK" w:cs="Times New Roman"/>
          <w:color w:val="000000"/>
          <w:kern w:val="0"/>
          <w:sz w:val="32"/>
          <w:szCs w:val="32"/>
          <w:highlight w:val="none"/>
          <w:shd w:val="clear" w:color="auto" w:fill="FFFFFF"/>
          <w:lang w:val="zh-CN"/>
        </w:rPr>
      </w:pPr>
      <w:bookmarkStart w:id="81" w:name="_Toc15344_WPSOffice_Level2"/>
      <w:r>
        <w:rPr>
          <w:rFonts w:hint="default" w:ascii="Times New Roman" w:hAnsi="Times New Roman" w:eastAsia="方正黑体_GBK" w:cs="Times New Roman"/>
          <w:color w:val="000000"/>
          <w:kern w:val="0"/>
          <w:sz w:val="32"/>
          <w:szCs w:val="32"/>
          <w:highlight w:val="none"/>
          <w:shd w:val="clear" w:color="auto" w:fill="FFFFFF"/>
          <w:lang w:val="zh-CN"/>
        </w:rPr>
        <w:t>三、部门</w:t>
      </w:r>
      <w:r>
        <w:rPr>
          <w:rFonts w:hint="default" w:ascii="Times New Roman" w:hAnsi="Times New Roman" w:eastAsia="方正黑体_GBK" w:cs="Times New Roman"/>
          <w:color w:val="000000"/>
          <w:kern w:val="0"/>
          <w:sz w:val="32"/>
          <w:szCs w:val="32"/>
          <w:highlight w:val="none"/>
          <w:shd w:val="clear" w:color="auto" w:fill="FFFFFF"/>
          <w:lang w:val="zh-CN" w:eastAsia="zh-CN"/>
        </w:rPr>
        <w:t>预算</w:t>
      </w:r>
      <w:r>
        <w:rPr>
          <w:rFonts w:hint="default" w:ascii="Times New Roman" w:hAnsi="Times New Roman" w:eastAsia="方正黑体_GBK" w:cs="Times New Roman"/>
          <w:color w:val="000000"/>
          <w:kern w:val="0"/>
          <w:sz w:val="32"/>
          <w:szCs w:val="32"/>
          <w:highlight w:val="none"/>
          <w:shd w:val="clear" w:color="auto" w:fill="FFFFFF"/>
          <w:lang w:val="zh-CN"/>
        </w:rPr>
        <w:t>绩效</w:t>
      </w:r>
      <w:r>
        <w:rPr>
          <w:rFonts w:hint="default" w:ascii="Times New Roman" w:hAnsi="Times New Roman" w:eastAsia="方正黑体_GBK" w:cs="Times New Roman"/>
          <w:color w:val="000000"/>
          <w:kern w:val="0"/>
          <w:sz w:val="32"/>
          <w:szCs w:val="32"/>
          <w:highlight w:val="none"/>
          <w:shd w:val="clear" w:color="auto" w:fill="FFFFFF"/>
          <w:lang w:val="zh-CN" w:eastAsia="zh-CN"/>
        </w:rPr>
        <w:t>分析</w:t>
      </w:r>
      <w:bookmarkEnd w:id="81"/>
    </w:p>
    <w:p w14:paraId="5911BA7D">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Chars="0" w:firstLine="640" w:firstLineChars="200"/>
        <w:contextualSpacing/>
        <w:jc w:val="left"/>
        <w:textAlignment w:val="auto"/>
        <w:outlineLvl w:val="9"/>
        <w:rPr>
          <w:rFonts w:hint="default" w:ascii="Times New Roman" w:hAnsi="Times New Roman" w:eastAsia="方正楷体_GBK" w:cs="Times New Roman"/>
          <w:b w:val="0"/>
          <w:bCs w:val="0"/>
          <w:color w:val="000000"/>
          <w:kern w:val="0"/>
          <w:sz w:val="32"/>
          <w:szCs w:val="32"/>
          <w:highlight w:val="none"/>
          <w:shd w:val="clear" w:color="auto" w:fill="FFFFFF"/>
          <w:lang w:val="zh-CN"/>
        </w:rPr>
      </w:pPr>
      <w:r>
        <w:rPr>
          <w:rFonts w:hint="default" w:ascii="Times New Roman" w:hAnsi="Times New Roman" w:eastAsia="方正楷体_GBK" w:cs="Times New Roman"/>
          <w:b w:val="0"/>
          <w:bCs w:val="0"/>
          <w:color w:val="000000"/>
          <w:kern w:val="0"/>
          <w:sz w:val="32"/>
          <w:szCs w:val="32"/>
          <w:highlight w:val="none"/>
          <w:shd w:val="clear" w:color="auto" w:fill="FFFFFF"/>
          <w:lang w:val="zh-CN"/>
        </w:rPr>
        <w:t>（一）部门预算总体绩效分析。</w:t>
      </w:r>
    </w:p>
    <w:p w14:paraId="3F6EBB5A">
      <w:pPr>
        <w:keepNext w:val="0"/>
        <w:keepLines w:val="0"/>
        <w:pageBreakBefore w:val="0"/>
        <w:kinsoku/>
        <w:wordWrap w:val="0"/>
        <w:overflowPunct/>
        <w:autoSpaceDE/>
        <w:autoSpaceDN/>
        <w:bidi w:val="0"/>
        <w:spacing w:line="560" w:lineRule="exact"/>
        <w:ind w:leftChars="0" w:firstLine="640" w:firstLineChars="200"/>
        <w:jc w:val="left"/>
        <w:textAlignment w:val="auto"/>
        <w:rPr>
          <w:rFonts w:hint="default" w:ascii="Times New Roman" w:hAnsi="Times New Roman" w:eastAsia="方正仿宋_GBK" w:cs="Times New Roman"/>
          <w:color w:val="auto"/>
          <w:sz w:val="32"/>
          <w:szCs w:val="32"/>
          <w:lang w:val="zh-CN" w:eastAsia="zh-CN"/>
        </w:rPr>
      </w:pPr>
      <w:r>
        <w:rPr>
          <w:rFonts w:hint="default" w:ascii="Times New Roman" w:hAnsi="Times New Roman" w:eastAsia="方正仿宋_GBK" w:cs="Times New Roman"/>
          <w:color w:val="auto"/>
          <w:sz w:val="32"/>
          <w:szCs w:val="32"/>
          <w:lang w:val="zh-CN" w:eastAsia="zh-CN"/>
        </w:rPr>
        <w:t>我局按照规定完全履行职责，整体评价良好，服务对象基本满意从预算执行情况</w:t>
      </w:r>
      <w:r>
        <w:rPr>
          <w:rFonts w:hint="default" w:ascii="Times New Roman" w:hAnsi="Times New Roman" w:eastAsia="方正仿宋_GBK" w:cs="Times New Roman"/>
          <w:color w:val="auto"/>
          <w:sz w:val="32"/>
          <w:szCs w:val="32"/>
          <w:lang w:val="en-US" w:eastAsia="zh-CN"/>
        </w:rPr>
        <w:t>来</w:t>
      </w:r>
      <w:r>
        <w:rPr>
          <w:rFonts w:hint="default" w:ascii="Times New Roman" w:hAnsi="Times New Roman" w:eastAsia="方正仿宋_GBK" w:cs="Times New Roman"/>
          <w:color w:val="auto"/>
          <w:sz w:val="32"/>
          <w:szCs w:val="32"/>
          <w:lang w:val="zh-CN" w:eastAsia="zh-CN"/>
        </w:rPr>
        <w:t>看，预算资金覆盖我单位工作的各个方面，按照保工资、保运转、保民生的保障序列科学编制，分配办法科学，考虑的因素必要合理，分配的结果合理，保障了人员经费及单位正常运转。在预算执行过程中单位遵守财经纪律、财务制度，坚持先有预算后支出；严格审批程序，保障了资金安全。</w:t>
      </w:r>
    </w:p>
    <w:p w14:paraId="5960C992">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Chars="0" w:firstLine="640" w:firstLineChars="200"/>
        <w:contextualSpacing/>
        <w:jc w:val="left"/>
        <w:textAlignment w:val="auto"/>
        <w:outlineLvl w:val="9"/>
        <w:rPr>
          <w:rFonts w:hint="default" w:ascii="Times New Roman" w:hAnsi="Times New Roman" w:eastAsia="方正仿宋_GBK" w:cs="Times New Roman"/>
          <w:color w:val="000000"/>
          <w:kern w:val="0"/>
          <w:sz w:val="32"/>
          <w:szCs w:val="32"/>
          <w:highlight w:val="none"/>
          <w:shd w:val="clear" w:color="auto" w:fill="FFFFFF"/>
          <w:lang w:val="zh-CN"/>
        </w:rPr>
      </w:pPr>
      <w:r>
        <w:rPr>
          <w:rFonts w:hint="default" w:ascii="Times New Roman" w:hAnsi="Times New Roman" w:eastAsia="方正仿宋_GBK" w:cs="Times New Roman"/>
          <w:color w:val="000000"/>
          <w:kern w:val="0"/>
          <w:sz w:val="32"/>
          <w:szCs w:val="32"/>
          <w:highlight w:val="none"/>
          <w:shd w:val="clear" w:color="auto" w:fill="FFFFFF"/>
          <w:lang w:val="en-US" w:eastAsia="zh-CN"/>
        </w:rPr>
        <w:t>1.</w:t>
      </w:r>
      <w:r>
        <w:rPr>
          <w:rFonts w:hint="default" w:ascii="Times New Roman" w:hAnsi="Times New Roman" w:eastAsia="方正仿宋_GBK" w:cs="Times New Roman"/>
          <w:color w:val="000000"/>
          <w:kern w:val="0"/>
          <w:sz w:val="32"/>
          <w:szCs w:val="32"/>
          <w:highlight w:val="none"/>
          <w:shd w:val="clear" w:color="auto" w:fill="FFFFFF"/>
          <w:lang w:val="zh-CN"/>
        </w:rPr>
        <w:t>履职效能。</w:t>
      </w:r>
    </w:p>
    <w:p w14:paraId="45F92CD4">
      <w:pPr>
        <w:keepNext w:val="0"/>
        <w:keepLines w:val="0"/>
        <w:pageBreakBefore w:val="0"/>
        <w:widowControl/>
        <w:kinsoku/>
        <w:wordWrap/>
        <w:overflowPunct/>
        <w:topLinePunct w:val="0"/>
        <w:autoSpaceDE/>
        <w:autoSpaceDN/>
        <w:bidi w:val="0"/>
        <w:adjustRightInd w:val="0"/>
        <w:snapToGrid w:val="0"/>
        <w:spacing w:line="560" w:lineRule="exact"/>
        <w:ind w:leftChars="0" w:firstLine="640" w:firstLineChars="200"/>
        <w:contextualSpacing/>
        <w:jc w:val="left"/>
        <w:textAlignment w:val="auto"/>
        <w:outlineLvl w:val="9"/>
        <w:rPr>
          <w:rFonts w:hint="default" w:ascii="Times New Roman" w:hAnsi="Times New Roman" w:eastAsia="方正仿宋_GBK" w:cs="Times New Roman"/>
          <w:sz w:val="32"/>
          <w:szCs w:val="32"/>
          <w:lang w:val="zh-CN" w:eastAsia="zh-CN"/>
        </w:rPr>
      </w:pPr>
      <w:r>
        <w:rPr>
          <w:rFonts w:hint="default" w:ascii="Times New Roman" w:hAnsi="Times New Roman" w:eastAsia="方正仿宋_GBK" w:cs="Times New Roman"/>
          <w:sz w:val="32"/>
          <w:szCs w:val="32"/>
          <w:lang w:val="zh-CN" w:eastAsia="zh-CN"/>
        </w:rPr>
        <w:t>数量指标履职效果</w:t>
      </w:r>
      <w:r>
        <w:rPr>
          <w:rFonts w:hint="default" w:ascii="Times New Roman" w:hAnsi="Times New Roman" w:eastAsia="方正仿宋_GBK" w:cs="Times New Roman"/>
          <w:sz w:val="32"/>
          <w:szCs w:val="32"/>
          <w:lang w:val="en-US" w:eastAsia="zh-CN"/>
        </w:rPr>
        <w:t>:严格控制数量确保无遗漏无浪费，厉行节约</w:t>
      </w:r>
      <w:r>
        <w:rPr>
          <w:rFonts w:hint="default" w:ascii="Times New Roman" w:hAnsi="Times New Roman" w:eastAsia="方正仿宋_GBK" w:cs="Times New Roman"/>
          <w:sz w:val="32"/>
          <w:szCs w:val="32"/>
          <w:lang w:val="zh-CN" w:eastAsia="zh-CN"/>
        </w:rPr>
        <w:t>。</w:t>
      </w:r>
    </w:p>
    <w:p w14:paraId="75DEF600">
      <w:pPr>
        <w:keepNext w:val="0"/>
        <w:keepLines w:val="0"/>
        <w:pageBreakBefore w:val="0"/>
        <w:widowControl/>
        <w:kinsoku/>
        <w:wordWrap/>
        <w:overflowPunct/>
        <w:topLinePunct w:val="0"/>
        <w:autoSpaceDE/>
        <w:autoSpaceDN/>
        <w:bidi w:val="0"/>
        <w:adjustRightInd w:val="0"/>
        <w:snapToGrid w:val="0"/>
        <w:spacing w:line="560" w:lineRule="exact"/>
        <w:ind w:leftChars="0" w:firstLine="614" w:firstLineChars="200"/>
        <w:contextualSpacing/>
        <w:jc w:val="left"/>
        <w:textAlignment w:val="auto"/>
        <w:outlineLvl w:val="9"/>
        <w:rPr>
          <w:rFonts w:hint="default" w:ascii="Times New Roman" w:hAnsi="Times New Roman" w:eastAsia="方正仿宋_GBK" w:cs="Times New Roman"/>
          <w:w w:val="96"/>
          <w:sz w:val="32"/>
          <w:szCs w:val="32"/>
          <w:lang w:val="en-US" w:eastAsia="zh-CN"/>
        </w:rPr>
      </w:pPr>
      <w:r>
        <w:rPr>
          <w:rFonts w:hint="default" w:ascii="Times New Roman" w:hAnsi="Times New Roman" w:eastAsia="方正仿宋_GBK" w:cs="Times New Roman"/>
          <w:w w:val="96"/>
          <w:sz w:val="32"/>
          <w:szCs w:val="32"/>
          <w:lang w:val="zh-CN" w:eastAsia="zh-CN"/>
        </w:rPr>
        <w:t>质量指标履职效果：</w:t>
      </w:r>
      <w:r>
        <w:rPr>
          <w:rFonts w:hint="default" w:ascii="Times New Roman" w:hAnsi="Times New Roman" w:eastAsia="方正仿宋_GBK" w:cs="Times New Roman"/>
          <w:w w:val="96"/>
          <w:sz w:val="32"/>
          <w:szCs w:val="32"/>
          <w:lang w:val="en-US" w:eastAsia="zh-CN"/>
        </w:rPr>
        <w:t>严格把控质量关，确保与采购文件相匹配。</w:t>
      </w:r>
    </w:p>
    <w:p w14:paraId="665A5FCD">
      <w:pPr>
        <w:keepNext w:val="0"/>
        <w:keepLines w:val="0"/>
        <w:pageBreakBefore w:val="0"/>
        <w:widowControl/>
        <w:kinsoku/>
        <w:wordWrap/>
        <w:overflowPunct/>
        <w:topLinePunct w:val="0"/>
        <w:autoSpaceDE/>
        <w:autoSpaceDN/>
        <w:bidi w:val="0"/>
        <w:adjustRightInd w:val="0"/>
        <w:snapToGrid w:val="0"/>
        <w:spacing w:line="560" w:lineRule="exact"/>
        <w:ind w:leftChars="0" w:firstLine="640" w:firstLineChars="200"/>
        <w:contextualSpacing/>
        <w:jc w:val="left"/>
        <w:textAlignment w:val="auto"/>
        <w:outlineLvl w:val="9"/>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社会效益指标履职效果：确保每一项采购项目都能实现单位职能，提高社会效益，促进社会发展。</w:t>
      </w:r>
    </w:p>
    <w:p w14:paraId="71B617FD">
      <w:pPr>
        <w:keepNext w:val="0"/>
        <w:keepLines w:val="0"/>
        <w:pageBreakBefore w:val="0"/>
        <w:widowControl/>
        <w:kinsoku/>
        <w:wordWrap/>
        <w:overflowPunct/>
        <w:topLinePunct w:val="0"/>
        <w:autoSpaceDE/>
        <w:autoSpaceDN/>
        <w:bidi w:val="0"/>
        <w:adjustRightInd w:val="0"/>
        <w:snapToGrid w:val="0"/>
        <w:spacing w:line="560" w:lineRule="exact"/>
        <w:ind w:leftChars="0" w:firstLine="640" w:firstLineChars="200"/>
        <w:contextualSpacing/>
        <w:jc w:val="left"/>
        <w:textAlignment w:val="auto"/>
        <w:outlineLvl w:val="9"/>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服务对象满意度指标履职效果：以高质量、高标准、高要求实施采购项目，确保受益对象满意度。</w:t>
      </w:r>
    </w:p>
    <w:p w14:paraId="1B915273">
      <w:pPr>
        <w:keepNext w:val="0"/>
        <w:keepLines w:val="0"/>
        <w:pageBreakBefore w:val="0"/>
        <w:widowControl/>
        <w:kinsoku/>
        <w:wordWrap/>
        <w:overflowPunct/>
        <w:topLinePunct w:val="0"/>
        <w:autoSpaceDE/>
        <w:autoSpaceDN/>
        <w:bidi w:val="0"/>
        <w:adjustRightInd w:val="0"/>
        <w:snapToGrid w:val="0"/>
        <w:spacing w:line="560" w:lineRule="exact"/>
        <w:ind w:leftChars="0" w:firstLine="640" w:firstLineChars="200"/>
        <w:contextualSpacing/>
        <w:jc w:val="left"/>
        <w:textAlignment w:val="auto"/>
        <w:outlineLvl w:val="9"/>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经济成本指标履职效果：经过专业评估，以合理的经济成本实现项目价值。</w:t>
      </w:r>
    </w:p>
    <w:p w14:paraId="0E000877">
      <w:pPr>
        <w:keepNext w:val="0"/>
        <w:keepLines w:val="0"/>
        <w:pageBreakBefore w:val="0"/>
        <w:widowControl/>
        <w:kinsoku/>
        <w:wordWrap w:val="0"/>
        <w:overflowPunct/>
        <w:topLinePunct/>
        <w:autoSpaceDE/>
        <w:autoSpaceDN/>
        <w:bidi w:val="0"/>
        <w:adjustRightInd w:val="0"/>
        <w:snapToGrid w:val="0"/>
        <w:spacing w:line="560" w:lineRule="exact"/>
        <w:ind w:leftChars="0" w:firstLine="640" w:firstLineChars="200"/>
        <w:jc w:val="left"/>
        <w:textAlignment w:val="auto"/>
        <w:rPr>
          <w:rFonts w:hint="default" w:ascii="Times New Roman" w:hAnsi="Times New Roman" w:eastAsia="方正仿宋_GBK" w:cs="Times New Roman"/>
          <w:color w:val="000000"/>
          <w:kern w:val="0"/>
          <w:sz w:val="32"/>
          <w:szCs w:val="32"/>
          <w:highlight w:val="none"/>
          <w:shd w:val="clear" w:color="auto" w:fill="FFFFFF"/>
          <w:lang w:val="zh-CN"/>
        </w:rPr>
      </w:pPr>
      <w:r>
        <w:rPr>
          <w:rFonts w:hint="default" w:ascii="Times New Roman" w:hAnsi="Times New Roman" w:eastAsia="方正仿宋_GBK" w:cs="Times New Roman"/>
          <w:color w:val="000000"/>
          <w:kern w:val="0"/>
          <w:sz w:val="32"/>
          <w:szCs w:val="32"/>
          <w:highlight w:val="none"/>
          <w:shd w:val="clear" w:color="auto" w:fill="FFFFFF"/>
          <w:lang w:val="en-US" w:eastAsia="zh-CN"/>
        </w:rPr>
        <w:t>2.</w:t>
      </w:r>
      <w:r>
        <w:rPr>
          <w:rFonts w:hint="default" w:ascii="Times New Roman" w:hAnsi="Times New Roman" w:eastAsia="方正仿宋_GBK" w:cs="Times New Roman"/>
          <w:color w:val="000000"/>
          <w:kern w:val="0"/>
          <w:sz w:val="32"/>
          <w:szCs w:val="32"/>
          <w:highlight w:val="none"/>
          <w:shd w:val="clear" w:color="auto" w:fill="FFFFFF"/>
          <w:lang w:val="zh-CN"/>
        </w:rPr>
        <w:t>预算管理。</w:t>
      </w:r>
    </w:p>
    <w:p w14:paraId="54EB3EFB">
      <w:pPr>
        <w:keepNext w:val="0"/>
        <w:keepLines w:val="0"/>
        <w:pageBreakBefore w:val="0"/>
        <w:widowControl/>
        <w:kinsoku/>
        <w:wordWrap w:val="0"/>
        <w:overflowPunct/>
        <w:topLinePunct/>
        <w:autoSpaceDE/>
        <w:autoSpaceDN/>
        <w:bidi w:val="0"/>
        <w:adjustRightInd w:val="0"/>
        <w:snapToGrid w:val="0"/>
        <w:spacing w:line="560" w:lineRule="exact"/>
        <w:ind w:leftChars="0" w:firstLine="640" w:firstLineChars="200"/>
        <w:jc w:val="left"/>
        <w:textAlignment w:val="auto"/>
        <w:rPr>
          <w:rFonts w:hint="default" w:ascii="Times New Roman" w:hAnsi="Times New Roman" w:eastAsia="方正仿宋_GBK" w:cs="Times New Roman"/>
          <w:color w:val="000000"/>
          <w:kern w:val="0"/>
          <w:sz w:val="32"/>
          <w:szCs w:val="32"/>
          <w:highlight w:val="none"/>
          <w:shd w:val="clear" w:color="auto" w:fill="FFFFFF"/>
          <w:lang w:val="zh-CN"/>
        </w:rPr>
      </w:pPr>
      <w:r>
        <w:rPr>
          <w:rFonts w:hint="default" w:ascii="Times New Roman" w:hAnsi="Times New Roman" w:eastAsia="方正仿宋_GBK" w:cs="Times New Roman"/>
          <w:sz w:val="32"/>
          <w:szCs w:val="32"/>
          <w:lang w:val="zh-CN" w:eastAsia="zh-CN"/>
        </w:rPr>
        <w:t>严格按照县级部门预算编制通知和有关要求，按时完成基础库、项目库报送工作，按时完成</w:t>
      </w:r>
      <w:r>
        <w:rPr>
          <w:rFonts w:hint="eastAsia" w:eastAsia="方正仿宋_GBK" w:cs="Times New Roman"/>
          <w:sz w:val="32"/>
          <w:szCs w:val="32"/>
          <w:lang w:val="zh-CN" w:eastAsia="zh-CN"/>
        </w:rPr>
        <w:t>2024年</w:t>
      </w:r>
      <w:r>
        <w:rPr>
          <w:rFonts w:hint="default" w:ascii="Times New Roman" w:hAnsi="Times New Roman" w:eastAsia="方正仿宋_GBK" w:cs="Times New Roman"/>
          <w:sz w:val="32"/>
          <w:szCs w:val="32"/>
          <w:lang w:val="zh-CN" w:eastAsia="zh-CN"/>
        </w:rPr>
        <w:t>预算编制工作，并按时提交部门预算草案。预算编制全面、科学。</w:t>
      </w:r>
      <w:r>
        <w:rPr>
          <w:rFonts w:hint="eastAsia" w:eastAsia="方正仿宋_GBK" w:cs="Times New Roman"/>
          <w:sz w:val="32"/>
          <w:szCs w:val="32"/>
          <w:lang w:val="zh-CN" w:eastAsia="zh-CN"/>
        </w:rPr>
        <w:t>2024年</w:t>
      </w:r>
      <w:r>
        <w:rPr>
          <w:rFonts w:hint="default" w:ascii="Times New Roman" w:hAnsi="Times New Roman" w:eastAsia="方正仿宋_GBK" w:cs="Times New Roman"/>
          <w:sz w:val="32"/>
          <w:szCs w:val="32"/>
          <w:lang w:val="zh-CN" w:eastAsia="zh-CN"/>
        </w:rPr>
        <w:t>实际支出和部门决算一致，绩效目标填报及年末结余结转都是严格按照县财政局的要求认真完成，不存在违规违纪使用资金的情况并按时完成202</w:t>
      </w:r>
      <w:r>
        <w:rPr>
          <w:rFonts w:hint="default" w:ascii="Times New Roman" w:hAnsi="Times New Roman" w:eastAsia="方正仿宋_GBK" w:cs="Times New Roman"/>
          <w:sz w:val="32"/>
          <w:szCs w:val="32"/>
          <w:lang w:val="en-US" w:eastAsia="zh-CN"/>
        </w:rPr>
        <w:t>4</w:t>
      </w:r>
      <w:r>
        <w:rPr>
          <w:rFonts w:hint="default" w:ascii="Times New Roman" w:hAnsi="Times New Roman" w:eastAsia="方正仿宋_GBK" w:cs="Times New Roman"/>
          <w:sz w:val="32"/>
          <w:szCs w:val="32"/>
          <w:lang w:val="zh-CN" w:eastAsia="zh-CN"/>
        </w:rPr>
        <w:t>年预算编制工作，及时提交了部门预算草案。</w:t>
      </w:r>
    </w:p>
    <w:p w14:paraId="5F7A6397">
      <w:pPr>
        <w:keepNext w:val="0"/>
        <w:keepLines w:val="0"/>
        <w:pageBreakBefore w:val="0"/>
        <w:widowControl/>
        <w:numPr>
          <w:ilvl w:val="0"/>
          <w:numId w:val="0"/>
        </w:numPr>
        <w:kinsoku/>
        <w:wordWrap/>
        <w:overflowPunct/>
        <w:topLinePunct w:val="0"/>
        <w:autoSpaceDE/>
        <w:autoSpaceDN/>
        <w:bidi w:val="0"/>
        <w:adjustRightInd w:val="0"/>
        <w:snapToGrid w:val="0"/>
        <w:spacing w:line="560" w:lineRule="exact"/>
        <w:ind w:leftChars="0" w:firstLine="640" w:firstLineChars="200"/>
        <w:contextualSpacing/>
        <w:jc w:val="left"/>
        <w:textAlignment w:val="auto"/>
        <w:outlineLvl w:val="9"/>
        <w:rPr>
          <w:rFonts w:hint="default" w:ascii="Times New Roman" w:hAnsi="Times New Roman" w:eastAsia="方正仿宋_GBK" w:cs="Times New Roman"/>
          <w:color w:val="000000"/>
          <w:kern w:val="0"/>
          <w:sz w:val="32"/>
          <w:szCs w:val="32"/>
          <w:highlight w:val="none"/>
          <w:shd w:val="clear" w:color="auto" w:fill="FFFFFF"/>
          <w:lang w:val="zh-CN"/>
        </w:rPr>
      </w:pPr>
      <w:r>
        <w:rPr>
          <w:rFonts w:hint="default" w:ascii="Times New Roman" w:hAnsi="Times New Roman" w:eastAsia="方正仿宋_GBK" w:cs="Times New Roman"/>
          <w:color w:val="000000"/>
          <w:kern w:val="0"/>
          <w:sz w:val="32"/>
          <w:szCs w:val="32"/>
          <w:highlight w:val="none"/>
          <w:shd w:val="clear" w:color="auto" w:fill="FFFFFF"/>
          <w:lang w:val="en-US" w:eastAsia="zh-CN"/>
        </w:rPr>
        <w:t>3.</w:t>
      </w:r>
      <w:r>
        <w:rPr>
          <w:rFonts w:hint="default" w:ascii="Times New Roman" w:hAnsi="Times New Roman" w:eastAsia="方正仿宋_GBK" w:cs="Times New Roman"/>
          <w:color w:val="000000"/>
          <w:kern w:val="0"/>
          <w:sz w:val="32"/>
          <w:szCs w:val="32"/>
          <w:highlight w:val="none"/>
          <w:shd w:val="clear" w:color="auto" w:fill="FFFFFF"/>
          <w:lang w:val="zh-CN"/>
        </w:rPr>
        <w:t>财务管理。</w:t>
      </w:r>
    </w:p>
    <w:p w14:paraId="051BA500">
      <w:pPr>
        <w:keepNext w:val="0"/>
        <w:keepLines w:val="0"/>
        <w:pageBreakBefore w:val="0"/>
        <w:widowControl/>
        <w:kinsoku/>
        <w:wordWrap w:val="0"/>
        <w:overflowPunct/>
        <w:topLinePunct/>
        <w:autoSpaceDE/>
        <w:autoSpaceDN/>
        <w:bidi w:val="0"/>
        <w:adjustRightInd w:val="0"/>
        <w:snapToGrid w:val="0"/>
        <w:spacing w:line="560" w:lineRule="exact"/>
        <w:ind w:leftChars="0" w:firstLine="640" w:firstLineChars="200"/>
        <w:jc w:val="left"/>
        <w:textAlignment w:val="auto"/>
        <w:rPr>
          <w:rFonts w:hint="default" w:ascii="Times New Roman" w:hAnsi="Times New Roman" w:eastAsia="方正仿宋_GBK" w:cs="Times New Roman"/>
          <w:sz w:val="32"/>
          <w:szCs w:val="32"/>
          <w:lang w:val="zh-CN" w:eastAsia="zh-CN"/>
        </w:rPr>
      </w:pPr>
      <w:r>
        <w:rPr>
          <w:rFonts w:hint="default" w:ascii="Times New Roman" w:hAnsi="Times New Roman" w:eastAsia="方正仿宋_GBK" w:cs="Times New Roman"/>
          <w:color w:val="000000"/>
          <w:sz w:val="32"/>
          <w:szCs w:val="32"/>
          <w:lang w:val="zh-CN"/>
        </w:rPr>
        <w:t>根据相关要求，单位使用预算资金基本符合相关的预算财务管理制度。我局在财政批复后</w:t>
      </w:r>
      <w:r>
        <w:rPr>
          <w:rFonts w:hint="default" w:ascii="Times New Roman" w:hAnsi="Times New Roman" w:eastAsia="方正仿宋_GBK" w:cs="Times New Roman"/>
          <w:color w:val="000000"/>
          <w:sz w:val="32"/>
          <w:szCs w:val="32"/>
        </w:rPr>
        <w:t>20日内在指定网站公开预决算信息。按照相关要求进行绩效自我评价，按要求及时上报，对发现的问题提出整改措施，并整改落实到位。</w:t>
      </w:r>
      <w:r>
        <w:rPr>
          <w:rFonts w:hint="default" w:ascii="Times New Roman" w:hAnsi="Times New Roman" w:eastAsia="方正仿宋_GBK" w:cs="Times New Roman"/>
          <w:color w:val="000000"/>
          <w:sz w:val="32"/>
          <w:szCs w:val="32"/>
          <w:lang w:val="zh-CN"/>
        </w:rPr>
        <w:t>绩效评价及依法接受财政监督情况等。</w:t>
      </w:r>
    </w:p>
    <w:p w14:paraId="74D012F2">
      <w:pPr>
        <w:keepNext w:val="0"/>
        <w:keepLines w:val="0"/>
        <w:pageBreakBefore w:val="0"/>
        <w:numPr>
          <w:ilvl w:val="0"/>
          <w:numId w:val="0"/>
        </w:numPr>
        <w:kinsoku/>
        <w:overflowPunct/>
        <w:autoSpaceDE/>
        <w:autoSpaceDN/>
        <w:bidi w:val="0"/>
        <w:spacing w:before="0" w:after="0" w:line="560" w:lineRule="exact"/>
        <w:ind w:leftChars="0" w:firstLine="640" w:firstLineChars="200"/>
        <w:jc w:val="both"/>
        <w:textAlignment w:val="auto"/>
        <w:rPr>
          <w:rFonts w:hint="default" w:ascii="Times New Roman" w:hAnsi="Times New Roman" w:eastAsia="方正仿宋_GBK" w:cs="Times New Roman"/>
          <w:color w:val="000000"/>
          <w:kern w:val="0"/>
          <w:sz w:val="32"/>
          <w:szCs w:val="32"/>
          <w:highlight w:val="none"/>
          <w:shd w:val="clear" w:color="auto" w:fill="FFFFFF"/>
          <w:lang w:val="zh-CN"/>
        </w:rPr>
      </w:pPr>
      <w:r>
        <w:rPr>
          <w:rFonts w:hint="default" w:ascii="Times New Roman" w:hAnsi="Times New Roman" w:eastAsia="方正仿宋_GBK" w:cs="Times New Roman"/>
          <w:color w:val="000000"/>
          <w:kern w:val="0"/>
          <w:sz w:val="32"/>
          <w:szCs w:val="32"/>
          <w:highlight w:val="none"/>
          <w:shd w:val="clear" w:color="auto" w:fill="FFFFFF"/>
          <w:lang w:val="en-US" w:eastAsia="zh-CN"/>
        </w:rPr>
        <w:t>4.</w:t>
      </w:r>
      <w:r>
        <w:rPr>
          <w:rFonts w:hint="default" w:ascii="Times New Roman" w:hAnsi="Times New Roman" w:eastAsia="方正仿宋_GBK" w:cs="Times New Roman"/>
          <w:color w:val="000000"/>
          <w:kern w:val="0"/>
          <w:sz w:val="32"/>
          <w:szCs w:val="32"/>
          <w:highlight w:val="none"/>
          <w:shd w:val="clear" w:color="auto" w:fill="FFFFFF"/>
          <w:lang w:val="zh-CN"/>
        </w:rPr>
        <w:t>资产管理。</w:t>
      </w:r>
    </w:p>
    <w:p w14:paraId="11DDA7BF">
      <w:pPr>
        <w:keepNext w:val="0"/>
        <w:keepLines w:val="0"/>
        <w:pageBreakBefore w:val="0"/>
        <w:widowControl/>
        <w:kinsoku/>
        <w:wordWrap w:val="0"/>
        <w:overflowPunct/>
        <w:topLinePunct/>
        <w:autoSpaceDE/>
        <w:autoSpaceDN/>
        <w:bidi w:val="0"/>
        <w:adjustRightInd w:val="0"/>
        <w:snapToGrid w:val="0"/>
        <w:spacing w:line="560" w:lineRule="exact"/>
        <w:ind w:leftChars="0" w:firstLine="640" w:firstLineChars="200"/>
        <w:jc w:val="lef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color w:val="000000"/>
          <w:sz w:val="32"/>
          <w:szCs w:val="32"/>
          <w:lang w:val="zh-CN"/>
        </w:rPr>
        <w:t>我局</w:t>
      </w:r>
      <w:r>
        <w:rPr>
          <w:rFonts w:hint="eastAsia" w:eastAsia="方正仿宋_GBK" w:cs="Times New Roman"/>
          <w:color w:val="000000"/>
          <w:sz w:val="32"/>
          <w:szCs w:val="32"/>
          <w:lang w:eastAsia="zh-CN"/>
        </w:rPr>
        <w:t>2024年</w:t>
      </w:r>
      <w:r>
        <w:rPr>
          <w:rFonts w:hint="default" w:ascii="Times New Roman" w:hAnsi="Times New Roman" w:eastAsia="方正仿宋_GBK" w:cs="Times New Roman"/>
          <w:color w:val="000000"/>
          <w:sz w:val="32"/>
          <w:szCs w:val="32"/>
        </w:rPr>
        <w:t>所有国有资产纳入</w:t>
      </w:r>
      <w:r>
        <w:rPr>
          <w:rFonts w:hint="default" w:ascii="Times New Roman" w:hAnsi="Times New Roman" w:eastAsia="方正仿宋_GBK" w:cs="Times New Roman"/>
          <w:color w:val="000000"/>
          <w:sz w:val="32"/>
          <w:szCs w:val="32"/>
          <w:lang w:val="zh-CN"/>
        </w:rPr>
        <w:t>资产管理系统，及时准确上报并做好资产的管理工作，</w:t>
      </w:r>
      <w:r>
        <w:rPr>
          <w:rFonts w:hint="default" w:ascii="Times New Roman" w:hAnsi="Times New Roman" w:eastAsia="方正仿宋_GBK" w:cs="Times New Roman"/>
          <w:sz w:val="32"/>
          <w:szCs w:val="32"/>
          <w:lang w:val="en-US" w:eastAsia="zh-CN"/>
        </w:rPr>
        <w:t>无闲置资产。</w:t>
      </w:r>
    </w:p>
    <w:p w14:paraId="06C8F6E6">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Chars="0" w:firstLine="640" w:firstLineChars="200"/>
        <w:contextualSpacing/>
        <w:jc w:val="left"/>
        <w:textAlignment w:val="auto"/>
        <w:outlineLvl w:val="9"/>
        <w:rPr>
          <w:rFonts w:hint="default" w:ascii="Times New Roman" w:hAnsi="Times New Roman" w:eastAsia="方正仿宋_GBK" w:cs="Times New Roman"/>
          <w:color w:val="000000"/>
          <w:kern w:val="0"/>
          <w:sz w:val="32"/>
          <w:szCs w:val="32"/>
          <w:highlight w:val="none"/>
          <w:shd w:val="clear" w:color="auto" w:fill="FFFFFF"/>
          <w:lang w:val="zh-CN"/>
        </w:rPr>
      </w:pPr>
      <w:r>
        <w:rPr>
          <w:rFonts w:hint="default" w:ascii="Times New Roman" w:hAnsi="Times New Roman" w:eastAsia="方正仿宋_GBK" w:cs="Times New Roman"/>
          <w:color w:val="000000"/>
          <w:kern w:val="0"/>
          <w:sz w:val="32"/>
          <w:szCs w:val="32"/>
          <w:highlight w:val="none"/>
          <w:shd w:val="clear" w:color="auto" w:fill="FFFFFF"/>
          <w:lang w:val="en-US" w:eastAsia="zh-CN"/>
        </w:rPr>
        <w:t>5.</w:t>
      </w:r>
      <w:r>
        <w:rPr>
          <w:rFonts w:hint="default" w:ascii="Times New Roman" w:hAnsi="Times New Roman" w:eastAsia="方正仿宋_GBK" w:cs="Times New Roman"/>
          <w:color w:val="000000"/>
          <w:kern w:val="0"/>
          <w:sz w:val="32"/>
          <w:szCs w:val="32"/>
          <w:highlight w:val="none"/>
          <w:shd w:val="clear" w:color="auto" w:fill="FFFFFF"/>
          <w:lang w:val="zh-CN"/>
        </w:rPr>
        <w:t>采购管理。</w:t>
      </w:r>
    </w:p>
    <w:p w14:paraId="2C2AB821">
      <w:pPr>
        <w:keepNext w:val="0"/>
        <w:keepLines w:val="0"/>
        <w:pageBreakBefore w:val="0"/>
        <w:widowControl/>
        <w:numPr>
          <w:ilvl w:val="0"/>
          <w:numId w:val="0"/>
        </w:numPr>
        <w:kinsoku/>
        <w:wordWrap/>
        <w:overflowPunct/>
        <w:topLinePunct w:val="0"/>
        <w:autoSpaceDE/>
        <w:autoSpaceDN/>
        <w:bidi w:val="0"/>
        <w:adjustRightInd w:val="0"/>
        <w:snapToGrid w:val="0"/>
        <w:spacing w:line="560" w:lineRule="exact"/>
        <w:ind w:leftChars="0" w:firstLine="640" w:firstLineChars="200"/>
        <w:contextualSpacing/>
        <w:jc w:val="left"/>
        <w:textAlignment w:val="auto"/>
        <w:rPr>
          <w:rFonts w:hint="default" w:ascii="Times New Roman" w:hAnsi="Times New Roman" w:eastAsia="方正仿宋_GBK" w:cs="Times New Roman"/>
          <w:sz w:val="32"/>
          <w:szCs w:val="32"/>
          <w:lang w:val="zh-CN" w:eastAsia="zh-CN"/>
        </w:rPr>
      </w:pPr>
      <w:r>
        <w:rPr>
          <w:rFonts w:hint="default" w:ascii="Times New Roman" w:hAnsi="Times New Roman" w:eastAsia="方正仿宋_GBK" w:cs="Times New Roman"/>
          <w:kern w:val="2"/>
          <w:sz w:val="32"/>
          <w:szCs w:val="32"/>
          <w:lang w:val="en-US" w:eastAsia="zh-CN" w:bidi="ar-SA"/>
        </w:rPr>
        <w:t>为</w:t>
      </w:r>
      <w:r>
        <w:rPr>
          <w:rFonts w:hint="default" w:ascii="Times New Roman" w:hAnsi="Times New Roman" w:eastAsia="方正仿宋_GBK" w:cs="Times New Roman"/>
          <w:sz w:val="32"/>
          <w:szCs w:val="32"/>
          <w:lang w:val="en-US" w:eastAsia="zh-CN"/>
        </w:rPr>
        <w:t>保障单位正常运转，实现机构只能，根据实际需求按照程序实施政府采购</w:t>
      </w:r>
      <w:r>
        <w:rPr>
          <w:rFonts w:hint="default" w:ascii="Times New Roman" w:hAnsi="Times New Roman" w:eastAsia="方正仿宋_GBK" w:cs="Times New Roman"/>
          <w:sz w:val="32"/>
          <w:szCs w:val="32"/>
          <w:lang w:val="zh-CN" w:eastAsia="zh-CN"/>
        </w:rPr>
        <w:t>、采购</w:t>
      </w:r>
      <w:r>
        <w:rPr>
          <w:rFonts w:hint="default" w:ascii="Times New Roman" w:hAnsi="Times New Roman" w:eastAsia="方正仿宋_GBK" w:cs="Times New Roman"/>
          <w:sz w:val="32"/>
          <w:szCs w:val="32"/>
          <w:lang w:val="en-US" w:eastAsia="zh-CN"/>
        </w:rPr>
        <w:t>项目</w:t>
      </w:r>
      <w:r>
        <w:rPr>
          <w:rFonts w:hint="default" w:ascii="Times New Roman" w:hAnsi="Times New Roman" w:eastAsia="方正仿宋_GBK" w:cs="Times New Roman"/>
          <w:sz w:val="32"/>
          <w:szCs w:val="32"/>
          <w:lang w:val="zh-CN" w:eastAsia="zh-CN"/>
        </w:rPr>
        <w:t>执行率</w:t>
      </w:r>
      <w:r>
        <w:rPr>
          <w:rFonts w:hint="default" w:ascii="Times New Roman" w:hAnsi="Times New Roman" w:eastAsia="方正仿宋_GBK" w:cs="Times New Roman"/>
          <w:sz w:val="32"/>
          <w:szCs w:val="32"/>
          <w:lang w:val="en-US" w:eastAsia="zh-CN"/>
        </w:rPr>
        <w:t>达100%，采购结果与预期目标相匹配，通过科学合理的评价方法和标准，提高采购质量和效益</w:t>
      </w:r>
      <w:r>
        <w:rPr>
          <w:rFonts w:hint="default" w:ascii="Times New Roman" w:hAnsi="Times New Roman" w:eastAsia="方正仿宋_GBK" w:cs="Times New Roman"/>
          <w:sz w:val="32"/>
          <w:szCs w:val="32"/>
          <w:lang w:val="zh-CN" w:eastAsia="zh-CN"/>
        </w:rPr>
        <w:t>。</w:t>
      </w:r>
    </w:p>
    <w:p w14:paraId="4D6AC454">
      <w:pPr>
        <w:keepNext w:val="0"/>
        <w:keepLines w:val="0"/>
        <w:pageBreakBefore w:val="0"/>
        <w:widowControl/>
        <w:kinsoku/>
        <w:wordWrap/>
        <w:overflowPunct/>
        <w:topLinePunct w:val="0"/>
        <w:autoSpaceDE/>
        <w:autoSpaceDN/>
        <w:bidi w:val="0"/>
        <w:adjustRightInd w:val="0"/>
        <w:snapToGrid w:val="0"/>
        <w:spacing w:line="560" w:lineRule="exact"/>
        <w:ind w:leftChars="0" w:firstLine="643" w:firstLineChars="200"/>
        <w:contextualSpacing/>
        <w:jc w:val="left"/>
        <w:textAlignment w:val="auto"/>
        <w:outlineLvl w:val="9"/>
        <w:rPr>
          <w:rFonts w:hint="default" w:ascii="Times New Roman" w:hAnsi="Times New Roman" w:eastAsia="方正仿宋_GBK" w:cs="Times New Roman"/>
          <w:color w:val="000000"/>
          <w:kern w:val="0"/>
          <w:sz w:val="32"/>
          <w:szCs w:val="32"/>
          <w:highlight w:val="none"/>
          <w:shd w:val="clear" w:color="auto" w:fill="FFFFFF"/>
          <w:lang w:val="en-US" w:eastAsia="zh-CN"/>
        </w:rPr>
      </w:pPr>
      <w:r>
        <w:rPr>
          <w:rFonts w:hint="default" w:ascii="Times New Roman" w:hAnsi="Times New Roman" w:eastAsia="方正仿宋_GBK" w:cs="Times New Roman"/>
          <w:b/>
          <w:bCs/>
          <w:color w:val="000000"/>
          <w:kern w:val="0"/>
          <w:sz w:val="32"/>
          <w:szCs w:val="32"/>
          <w:highlight w:val="none"/>
          <w:shd w:val="clear" w:color="auto" w:fill="FFFFFF"/>
          <w:lang w:val="zh-CN"/>
        </w:rPr>
        <w:t>（二）部门预算项目绩效分析。</w:t>
      </w:r>
      <w:r>
        <w:rPr>
          <w:rFonts w:hint="default" w:ascii="Times New Roman" w:hAnsi="Times New Roman" w:eastAsia="方正仿宋_GBK" w:cs="Times New Roman"/>
          <w:color w:val="000000"/>
          <w:kern w:val="0"/>
          <w:sz w:val="32"/>
          <w:szCs w:val="32"/>
          <w:highlight w:val="none"/>
          <w:shd w:val="clear" w:color="auto" w:fill="FFFFFF"/>
          <w:lang w:val="zh-CN" w:eastAsia="zh-CN"/>
        </w:rPr>
        <w:t>填报以下数据，</w:t>
      </w:r>
      <w:r>
        <w:rPr>
          <w:rFonts w:hint="default" w:ascii="Times New Roman" w:hAnsi="Times New Roman" w:eastAsia="方正仿宋_GBK" w:cs="Times New Roman"/>
          <w:color w:val="000000"/>
          <w:kern w:val="0"/>
          <w:sz w:val="32"/>
          <w:szCs w:val="32"/>
          <w:highlight w:val="none"/>
          <w:shd w:val="clear" w:color="auto" w:fill="FFFFFF"/>
          <w:lang w:val="zh-CN"/>
        </w:rPr>
        <w:t>并根据部门预算绩效评价指标体系“项目绩效”涉及二、三级指标进行逐项绩效分析并评分，依次包括项目</w:t>
      </w:r>
      <w:r>
        <w:rPr>
          <w:rFonts w:hint="default" w:ascii="Times New Roman" w:hAnsi="Times New Roman" w:eastAsia="方正仿宋_GBK" w:cs="Times New Roman"/>
          <w:color w:val="000000"/>
          <w:kern w:val="0"/>
          <w:sz w:val="32"/>
          <w:szCs w:val="32"/>
          <w:highlight w:val="none"/>
          <w:shd w:val="clear" w:color="auto" w:fill="FFFFFF"/>
          <w:lang w:val="en-US" w:eastAsia="zh-CN"/>
        </w:rPr>
        <w:t>决策、项目执行、目标实现等情况。</w:t>
      </w:r>
    </w:p>
    <w:p w14:paraId="512BF4A0">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Chars="0" w:firstLine="640" w:firstLineChars="200"/>
        <w:contextualSpacing/>
        <w:jc w:val="both"/>
        <w:textAlignment w:val="auto"/>
        <w:outlineLvl w:val="9"/>
        <w:rPr>
          <w:rFonts w:hint="default" w:ascii="Times New Roman" w:hAnsi="Times New Roman" w:eastAsia="方正仿宋_GBK" w:cs="Times New Roman"/>
          <w:color w:val="000000"/>
          <w:kern w:val="0"/>
          <w:sz w:val="32"/>
          <w:szCs w:val="32"/>
          <w:highlight w:val="none"/>
          <w:shd w:val="clear" w:color="auto" w:fill="FFFFFF"/>
          <w:lang w:val="zh-CN" w:eastAsia="zh-CN"/>
        </w:rPr>
      </w:pPr>
      <w:r>
        <w:rPr>
          <w:rFonts w:hint="default" w:ascii="Times New Roman" w:hAnsi="Times New Roman" w:eastAsia="方正仿宋_GBK" w:cs="Times New Roman"/>
          <w:color w:val="000000"/>
          <w:kern w:val="0"/>
          <w:sz w:val="32"/>
          <w:szCs w:val="32"/>
          <w:highlight w:val="none"/>
          <w:shd w:val="clear" w:color="auto" w:fill="FFFFFF"/>
          <w:lang w:val="en-US" w:eastAsia="zh-CN"/>
        </w:rPr>
        <w:t>常年项目绩效分析。</w:t>
      </w:r>
      <w:r>
        <w:rPr>
          <w:rFonts w:hint="default" w:ascii="Times New Roman" w:hAnsi="Times New Roman" w:eastAsia="方正仿宋_GBK" w:cs="Times New Roman"/>
          <w:color w:val="000000"/>
          <w:kern w:val="0"/>
          <w:sz w:val="32"/>
          <w:szCs w:val="32"/>
          <w:highlight w:val="none"/>
          <w:shd w:val="clear" w:color="auto" w:fill="FFFFFF"/>
          <w:lang w:val="zh-CN" w:eastAsia="zh-CN"/>
        </w:rPr>
        <w:t>该类项目总数</w:t>
      </w:r>
      <w:r>
        <w:rPr>
          <w:rFonts w:hint="default" w:ascii="Times New Roman" w:hAnsi="Times New Roman" w:eastAsia="方正仿宋_GBK" w:cs="Times New Roman"/>
          <w:color w:val="000000"/>
          <w:kern w:val="0"/>
          <w:sz w:val="32"/>
          <w:szCs w:val="32"/>
          <w:highlight w:val="none"/>
          <w:shd w:val="clear" w:color="auto" w:fill="FFFFFF"/>
          <w:lang w:val="en-US" w:eastAsia="zh-CN"/>
        </w:rPr>
        <w:t>1</w:t>
      </w:r>
      <w:r>
        <w:rPr>
          <w:rFonts w:hint="default" w:ascii="Times New Roman" w:hAnsi="Times New Roman" w:eastAsia="方正仿宋_GBK" w:cs="Times New Roman"/>
          <w:color w:val="000000"/>
          <w:kern w:val="0"/>
          <w:sz w:val="32"/>
          <w:szCs w:val="32"/>
          <w:highlight w:val="none"/>
          <w:shd w:val="clear" w:color="auto" w:fill="FFFFFF"/>
          <w:lang w:val="zh-CN" w:eastAsia="zh-CN"/>
        </w:rPr>
        <w:t>个，涉及预算总金额</w:t>
      </w:r>
      <w:r>
        <w:rPr>
          <w:rFonts w:hint="default" w:ascii="Times New Roman" w:hAnsi="Times New Roman" w:eastAsia="方正仿宋_GBK" w:cs="Times New Roman"/>
          <w:color w:val="000000"/>
          <w:kern w:val="0"/>
          <w:sz w:val="32"/>
          <w:szCs w:val="32"/>
          <w:highlight w:val="none"/>
          <w:shd w:val="clear" w:color="auto" w:fill="FFFFFF"/>
          <w:lang w:val="en-US" w:eastAsia="zh-CN"/>
        </w:rPr>
        <w:t>6</w:t>
      </w:r>
      <w:r>
        <w:rPr>
          <w:rFonts w:hint="default" w:ascii="Times New Roman" w:hAnsi="Times New Roman" w:eastAsia="方正仿宋_GBK" w:cs="Times New Roman"/>
          <w:color w:val="000000"/>
          <w:kern w:val="0"/>
          <w:sz w:val="32"/>
          <w:szCs w:val="32"/>
          <w:highlight w:val="none"/>
          <w:shd w:val="clear" w:color="auto" w:fill="FFFFFF"/>
          <w:lang w:val="zh-CN" w:eastAsia="zh-CN"/>
        </w:rPr>
        <w:t>万元，</w:t>
      </w:r>
      <w:r>
        <w:rPr>
          <w:rFonts w:hint="default" w:ascii="Times New Roman" w:hAnsi="Times New Roman" w:eastAsia="方正仿宋_GBK" w:cs="Times New Roman"/>
          <w:color w:val="000000"/>
          <w:kern w:val="0"/>
          <w:sz w:val="32"/>
          <w:szCs w:val="32"/>
          <w:highlight w:val="none"/>
          <w:shd w:val="clear" w:color="auto" w:fill="FFFFFF"/>
          <w:lang w:val="zh-CN"/>
        </w:rPr>
        <w:t>1</w:t>
      </w:r>
      <w:r>
        <w:rPr>
          <w:rFonts w:hint="default" w:ascii="Times New Roman" w:hAnsi="Times New Roman" w:eastAsia="方正仿宋_GBK" w:cs="Times New Roman"/>
          <w:color w:val="000000"/>
          <w:kern w:val="0"/>
          <w:sz w:val="32"/>
          <w:szCs w:val="32"/>
          <w:highlight w:val="none"/>
          <w:shd w:val="clear" w:color="auto" w:fill="FFFFFF"/>
          <w:lang w:val="zh-CN" w:eastAsia="zh-CN"/>
        </w:rPr>
        <w:t>—</w:t>
      </w:r>
      <w:r>
        <w:rPr>
          <w:rFonts w:hint="default" w:ascii="Times New Roman" w:hAnsi="Times New Roman" w:eastAsia="方正仿宋_GBK" w:cs="Times New Roman"/>
          <w:color w:val="000000"/>
          <w:kern w:val="0"/>
          <w:sz w:val="32"/>
          <w:szCs w:val="32"/>
          <w:highlight w:val="none"/>
          <w:shd w:val="clear" w:color="auto" w:fill="FFFFFF"/>
          <w:lang w:val="zh-CN"/>
        </w:rPr>
        <w:t>1</w:t>
      </w:r>
      <w:r>
        <w:rPr>
          <w:rFonts w:hint="default" w:ascii="Times New Roman" w:hAnsi="Times New Roman" w:eastAsia="方正仿宋_GBK" w:cs="Times New Roman"/>
          <w:color w:val="000000"/>
          <w:kern w:val="0"/>
          <w:sz w:val="32"/>
          <w:szCs w:val="32"/>
          <w:highlight w:val="none"/>
          <w:shd w:val="clear" w:color="auto" w:fill="FFFFFF"/>
          <w:lang w:val="en-US" w:eastAsia="zh-CN"/>
        </w:rPr>
        <w:t>2</w:t>
      </w:r>
      <w:r>
        <w:rPr>
          <w:rFonts w:hint="default" w:ascii="Times New Roman" w:hAnsi="Times New Roman" w:eastAsia="方正仿宋_GBK" w:cs="Times New Roman"/>
          <w:color w:val="000000"/>
          <w:kern w:val="0"/>
          <w:sz w:val="32"/>
          <w:szCs w:val="32"/>
          <w:highlight w:val="none"/>
          <w:shd w:val="clear" w:color="auto" w:fill="FFFFFF"/>
          <w:lang w:val="zh-CN"/>
        </w:rPr>
        <w:t>月预算执行总体进度为</w:t>
      </w:r>
      <w:r>
        <w:rPr>
          <w:rFonts w:hint="default" w:ascii="Times New Roman" w:hAnsi="Times New Roman" w:eastAsia="方正仿宋_GBK" w:cs="Times New Roman"/>
          <w:color w:val="000000"/>
          <w:kern w:val="0"/>
          <w:sz w:val="32"/>
          <w:szCs w:val="32"/>
          <w:highlight w:val="none"/>
          <w:shd w:val="clear" w:color="auto" w:fill="FFFFFF"/>
          <w:lang w:val="en-US" w:eastAsia="zh-CN"/>
        </w:rPr>
        <w:t>100</w:t>
      </w:r>
      <w:r>
        <w:rPr>
          <w:rFonts w:hint="default" w:ascii="Times New Roman" w:hAnsi="Times New Roman" w:eastAsia="方正仿宋_GBK" w:cs="Times New Roman"/>
          <w:color w:val="000000"/>
          <w:kern w:val="0"/>
          <w:sz w:val="32"/>
          <w:szCs w:val="32"/>
          <w:highlight w:val="none"/>
          <w:shd w:val="clear" w:color="auto" w:fill="FFFFFF"/>
          <w:lang w:val="zh-CN"/>
        </w:rPr>
        <w:t>%，其中：</w:t>
      </w:r>
      <w:r>
        <w:rPr>
          <w:rFonts w:hint="default" w:ascii="Times New Roman" w:hAnsi="Times New Roman" w:eastAsia="方正仿宋_GBK" w:cs="Times New Roman"/>
          <w:color w:val="000000"/>
          <w:kern w:val="0"/>
          <w:sz w:val="32"/>
          <w:szCs w:val="32"/>
          <w:highlight w:val="none"/>
          <w:shd w:val="clear" w:color="auto" w:fill="FFFFFF"/>
          <w:lang w:val="zh-CN" w:eastAsia="zh-CN"/>
        </w:rPr>
        <w:t>预算结余率大于</w:t>
      </w:r>
      <w:r>
        <w:rPr>
          <w:rFonts w:hint="default" w:ascii="Times New Roman" w:hAnsi="Times New Roman" w:eastAsia="方正仿宋_GBK" w:cs="Times New Roman"/>
          <w:color w:val="000000"/>
          <w:kern w:val="0"/>
          <w:sz w:val="32"/>
          <w:szCs w:val="32"/>
          <w:highlight w:val="none"/>
          <w:shd w:val="clear" w:color="auto" w:fill="FFFFFF"/>
          <w:lang w:val="en-US" w:eastAsia="zh-CN"/>
        </w:rPr>
        <w:t>10%</w:t>
      </w:r>
      <w:r>
        <w:rPr>
          <w:rFonts w:hint="default" w:ascii="Times New Roman" w:hAnsi="Times New Roman" w:eastAsia="方正仿宋_GBK" w:cs="Times New Roman"/>
          <w:color w:val="000000"/>
          <w:kern w:val="0"/>
          <w:sz w:val="32"/>
          <w:szCs w:val="32"/>
          <w:highlight w:val="none"/>
          <w:shd w:val="clear" w:color="auto" w:fill="FFFFFF"/>
          <w:lang w:val="zh-CN" w:eastAsia="zh-CN"/>
        </w:rPr>
        <w:t>的项目共计</w:t>
      </w:r>
      <w:r>
        <w:rPr>
          <w:rFonts w:hint="default" w:ascii="Times New Roman" w:hAnsi="Times New Roman" w:eastAsia="方正仿宋_GBK" w:cs="Times New Roman"/>
          <w:color w:val="000000"/>
          <w:kern w:val="0"/>
          <w:sz w:val="32"/>
          <w:szCs w:val="32"/>
          <w:highlight w:val="none"/>
          <w:shd w:val="clear" w:color="auto" w:fill="FFFFFF"/>
          <w:lang w:val="en-US" w:eastAsia="zh-CN"/>
        </w:rPr>
        <w:t xml:space="preserve"> 0 </w:t>
      </w:r>
      <w:r>
        <w:rPr>
          <w:rFonts w:hint="default" w:ascii="Times New Roman" w:hAnsi="Times New Roman" w:eastAsia="方正仿宋_GBK" w:cs="Times New Roman"/>
          <w:color w:val="000000"/>
          <w:kern w:val="0"/>
          <w:sz w:val="32"/>
          <w:szCs w:val="32"/>
          <w:highlight w:val="none"/>
          <w:shd w:val="clear" w:color="auto" w:fill="FFFFFF"/>
          <w:lang w:val="zh-CN" w:eastAsia="zh-CN"/>
        </w:rPr>
        <w:t>个。</w:t>
      </w:r>
    </w:p>
    <w:p w14:paraId="7231E5C2">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Chars="0" w:firstLine="640" w:firstLineChars="200"/>
        <w:contextualSpacing/>
        <w:jc w:val="left"/>
        <w:textAlignment w:val="auto"/>
        <w:outlineLvl w:val="9"/>
        <w:rPr>
          <w:rFonts w:hint="default" w:ascii="Times New Roman" w:hAnsi="Times New Roman" w:eastAsia="方正仿宋_GBK" w:cs="Times New Roman"/>
          <w:color w:val="auto"/>
          <w:kern w:val="0"/>
          <w:sz w:val="32"/>
          <w:szCs w:val="32"/>
          <w:highlight w:val="none"/>
          <w:shd w:val="clear" w:color="auto" w:fill="FFFFFF"/>
          <w:lang w:val="zh-CN" w:eastAsia="zh-CN"/>
        </w:rPr>
      </w:pPr>
      <w:r>
        <w:rPr>
          <w:rFonts w:hint="default" w:ascii="Times New Roman" w:hAnsi="Times New Roman" w:eastAsia="方正仿宋_GBK" w:cs="Times New Roman"/>
          <w:color w:val="auto"/>
          <w:kern w:val="0"/>
          <w:sz w:val="32"/>
          <w:szCs w:val="32"/>
          <w:highlight w:val="none"/>
          <w:shd w:val="clear" w:color="auto" w:fill="FFFFFF"/>
          <w:lang w:val="en-US" w:eastAsia="zh-CN"/>
        </w:rPr>
        <w:t>阶段（一次性）项目绩效分析。</w:t>
      </w:r>
      <w:r>
        <w:rPr>
          <w:rFonts w:hint="default" w:ascii="Times New Roman" w:hAnsi="Times New Roman" w:eastAsia="方正仿宋_GBK" w:cs="Times New Roman"/>
          <w:color w:val="auto"/>
          <w:kern w:val="0"/>
          <w:sz w:val="32"/>
          <w:szCs w:val="32"/>
          <w:highlight w:val="none"/>
          <w:shd w:val="clear" w:color="auto" w:fill="FFFFFF"/>
          <w:lang w:val="zh-CN" w:eastAsia="zh-CN"/>
        </w:rPr>
        <w:t>该类项目总数</w:t>
      </w:r>
      <w:r>
        <w:rPr>
          <w:rFonts w:hint="eastAsia" w:eastAsia="方正仿宋_GBK" w:cs="Times New Roman"/>
          <w:color w:val="auto"/>
          <w:kern w:val="0"/>
          <w:sz w:val="32"/>
          <w:szCs w:val="32"/>
          <w:highlight w:val="none"/>
          <w:shd w:val="clear" w:color="auto" w:fill="FFFFFF"/>
          <w:lang w:val="en-US" w:eastAsia="zh-CN"/>
        </w:rPr>
        <w:t>84</w:t>
      </w:r>
      <w:r>
        <w:rPr>
          <w:rFonts w:hint="default" w:ascii="Times New Roman" w:hAnsi="Times New Roman" w:eastAsia="方正仿宋_GBK" w:cs="Times New Roman"/>
          <w:color w:val="auto"/>
          <w:kern w:val="0"/>
          <w:sz w:val="32"/>
          <w:szCs w:val="32"/>
          <w:highlight w:val="none"/>
          <w:shd w:val="clear" w:color="auto" w:fill="FFFFFF"/>
          <w:lang w:val="zh-CN" w:eastAsia="zh-CN"/>
        </w:rPr>
        <w:t>个，涉及预算总金额</w:t>
      </w:r>
      <w:r>
        <w:rPr>
          <w:rFonts w:hint="eastAsia" w:eastAsia="方正仿宋_GBK" w:cs="Times New Roman"/>
          <w:color w:val="auto"/>
          <w:kern w:val="0"/>
          <w:sz w:val="32"/>
          <w:szCs w:val="32"/>
          <w:highlight w:val="none"/>
          <w:shd w:val="clear" w:color="auto" w:fill="FFFFFF"/>
          <w:lang w:val="en-US" w:eastAsia="zh-CN"/>
        </w:rPr>
        <w:t>172047443.59</w:t>
      </w:r>
      <w:r>
        <w:rPr>
          <w:rFonts w:hint="default" w:ascii="Times New Roman" w:hAnsi="Times New Roman" w:eastAsia="方正仿宋_GBK" w:cs="Times New Roman"/>
          <w:color w:val="auto"/>
          <w:kern w:val="0"/>
          <w:sz w:val="32"/>
          <w:szCs w:val="32"/>
          <w:highlight w:val="none"/>
          <w:shd w:val="clear" w:color="auto" w:fill="FFFFFF"/>
          <w:lang w:val="zh-CN" w:eastAsia="zh-CN"/>
        </w:rPr>
        <w:t>元，</w:t>
      </w:r>
      <w:r>
        <w:rPr>
          <w:rFonts w:hint="default" w:ascii="Times New Roman" w:hAnsi="Times New Roman" w:eastAsia="方正仿宋_GBK" w:cs="Times New Roman"/>
          <w:color w:val="auto"/>
          <w:kern w:val="0"/>
          <w:sz w:val="32"/>
          <w:szCs w:val="32"/>
          <w:highlight w:val="none"/>
          <w:shd w:val="clear" w:color="auto" w:fill="FFFFFF"/>
          <w:lang w:val="zh-CN"/>
        </w:rPr>
        <w:t>1</w:t>
      </w:r>
      <w:r>
        <w:rPr>
          <w:rFonts w:hint="default" w:ascii="Times New Roman" w:hAnsi="Times New Roman" w:eastAsia="方正仿宋_GBK" w:cs="Times New Roman"/>
          <w:color w:val="auto"/>
          <w:kern w:val="0"/>
          <w:sz w:val="32"/>
          <w:szCs w:val="32"/>
          <w:highlight w:val="none"/>
          <w:shd w:val="clear" w:color="auto" w:fill="FFFFFF"/>
          <w:lang w:val="zh-CN" w:eastAsia="zh-CN"/>
        </w:rPr>
        <w:t>—</w:t>
      </w:r>
      <w:r>
        <w:rPr>
          <w:rFonts w:hint="default" w:ascii="Times New Roman" w:hAnsi="Times New Roman" w:eastAsia="方正仿宋_GBK" w:cs="Times New Roman"/>
          <w:color w:val="auto"/>
          <w:kern w:val="0"/>
          <w:sz w:val="32"/>
          <w:szCs w:val="32"/>
          <w:highlight w:val="none"/>
          <w:shd w:val="clear" w:color="auto" w:fill="FFFFFF"/>
          <w:lang w:val="zh-CN"/>
        </w:rPr>
        <w:t>1</w:t>
      </w:r>
      <w:r>
        <w:rPr>
          <w:rFonts w:hint="default" w:ascii="Times New Roman" w:hAnsi="Times New Roman" w:eastAsia="方正仿宋_GBK" w:cs="Times New Roman"/>
          <w:color w:val="auto"/>
          <w:kern w:val="0"/>
          <w:sz w:val="32"/>
          <w:szCs w:val="32"/>
          <w:highlight w:val="none"/>
          <w:shd w:val="clear" w:color="auto" w:fill="FFFFFF"/>
          <w:lang w:val="en-US" w:eastAsia="zh-CN"/>
        </w:rPr>
        <w:t>2</w:t>
      </w:r>
      <w:r>
        <w:rPr>
          <w:rFonts w:hint="default" w:ascii="Times New Roman" w:hAnsi="Times New Roman" w:eastAsia="方正仿宋_GBK" w:cs="Times New Roman"/>
          <w:color w:val="auto"/>
          <w:kern w:val="0"/>
          <w:sz w:val="32"/>
          <w:szCs w:val="32"/>
          <w:highlight w:val="none"/>
          <w:shd w:val="clear" w:color="auto" w:fill="FFFFFF"/>
          <w:lang w:val="zh-CN"/>
        </w:rPr>
        <w:t>月预算执行</w:t>
      </w:r>
      <w:r>
        <w:rPr>
          <w:rFonts w:hint="default" w:ascii="Times New Roman" w:hAnsi="Times New Roman" w:eastAsia="方正仿宋_GBK" w:cs="Times New Roman"/>
          <w:color w:val="auto"/>
          <w:kern w:val="0"/>
          <w:sz w:val="32"/>
          <w:szCs w:val="32"/>
          <w:highlight w:val="none"/>
          <w:shd w:val="clear" w:color="auto" w:fill="FFFFFF"/>
          <w:lang w:val="en-US" w:eastAsia="zh-CN"/>
        </w:rPr>
        <w:t>金额</w:t>
      </w:r>
      <w:r>
        <w:rPr>
          <w:rFonts w:hint="eastAsia" w:eastAsia="方正仿宋_GBK" w:cs="Times New Roman"/>
          <w:color w:val="auto"/>
          <w:kern w:val="0"/>
          <w:sz w:val="32"/>
          <w:szCs w:val="32"/>
          <w:highlight w:val="none"/>
          <w:shd w:val="clear" w:color="auto" w:fill="FFFFFF"/>
          <w:lang w:val="en-US" w:eastAsia="zh-CN"/>
        </w:rPr>
        <w:t>165801518.74</w:t>
      </w:r>
      <w:r>
        <w:rPr>
          <w:rFonts w:hint="default" w:ascii="Times New Roman" w:hAnsi="Times New Roman" w:eastAsia="方正仿宋_GBK" w:cs="Times New Roman"/>
          <w:color w:val="auto"/>
          <w:kern w:val="0"/>
          <w:sz w:val="32"/>
          <w:szCs w:val="32"/>
          <w:highlight w:val="none"/>
          <w:shd w:val="clear" w:color="auto" w:fill="FFFFFF"/>
          <w:lang w:val="en-US" w:eastAsia="zh-CN"/>
        </w:rPr>
        <w:t>元，</w:t>
      </w:r>
      <w:r>
        <w:rPr>
          <w:rFonts w:hint="default" w:ascii="Times New Roman" w:hAnsi="Times New Roman" w:eastAsia="方正仿宋_GBK" w:cs="Times New Roman"/>
          <w:color w:val="auto"/>
          <w:kern w:val="0"/>
          <w:sz w:val="32"/>
          <w:szCs w:val="32"/>
          <w:highlight w:val="none"/>
          <w:shd w:val="clear" w:color="auto" w:fill="FFFFFF"/>
          <w:lang w:val="zh-CN"/>
        </w:rPr>
        <w:t>总体进度为</w:t>
      </w:r>
      <w:r>
        <w:rPr>
          <w:rFonts w:hint="eastAsia" w:eastAsia="方正仿宋_GBK" w:cs="Times New Roman"/>
          <w:color w:val="auto"/>
          <w:kern w:val="0"/>
          <w:sz w:val="32"/>
          <w:szCs w:val="32"/>
          <w:highlight w:val="none"/>
          <w:shd w:val="clear" w:color="auto" w:fill="FFFFFF"/>
          <w:lang w:val="en-US" w:eastAsia="zh-CN"/>
        </w:rPr>
        <w:t>96.37</w:t>
      </w:r>
      <w:r>
        <w:rPr>
          <w:rFonts w:hint="default" w:ascii="Times New Roman" w:hAnsi="Times New Roman" w:eastAsia="方正仿宋_GBK" w:cs="Times New Roman"/>
          <w:color w:val="auto"/>
          <w:kern w:val="0"/>
          <w:sz w:val="32"/>
          <w:szCs w:val="32"/>
          <w:highlight w:val="none"/>
          <w:shd w:val="clear" w:color="auto" w:fill="FFFFFF"/>
          <w:lang w:val="en-US" w:eastAsia="zh-CN"/>
        </w:rPr>
        <w:t xml:space="preserve"> </w:t>
      </w:r>
      <w:r>
        <w:rPr>
          <w:rFonts w:hint="default" w:ascii="Times New Roman" w:hAnsi="Times New Roman" w:eastAsia="方正仿宋_GBK" w:cs="Times New Roman"/>
          <w:color w:val="auto"/>
          <w:kern w:val="0"/>
          <w:sz w:val="32"/>
          <w:szCs w:val="32"/>
          <w:highlight w:val="none"/>
          <w:shd w:val="clear" w:color="auto" w:fill="FFFFFF"/>
          <w:lang w:val="zh-CN"/>
        </w:rPr>
        <w:t>%，其中：</w:t>
      </w:r>
      <w:r>
        <w:rPr>
          <w:rFonts w:hint="default" w:ascii="Times New Roman" w:hAnsi="Times New Roman" w:eastAsia="方正仿宋_GBK" w:cs="Times New Roman"/>
          <w:color w:val="auto"/>
          <w:kern w:val="0"/>
          <w:sz w:val="32"/>
          <w:szCs w:val="32"/>
          <w:highlight w:val="none"/>
          <w:shd w:val="clear" w:color="auto" w:fill="FFFFFF"/>
          <w:lang w:val="zh-CN" w:eastAsia="zh-CN"/>
        </w:rPr>
        <w:t>预算结余率大于</w:t>
      </w:r>
      <w:r>
        <w:rPr>
          <w:rFonts w:hint="default" w:ascii="Times New Roman" w:hAnsi="Times New Roman" w:eastAsia="方正仿宋_GBK" w:cs="Times New Roman"/>
          <w:color w:val="auto"/>
          <w:kern w:val="0"/>
          <w:sz w:val="32"/>
          <w:szCs w:val="32"/>
          <w:highlight w:val="none"/>
          <w:shd w:val="clear" w:color="auto" w:fill="FFFFFF"/>
          <w:lang w:val="en-US" w:eastAsia="zh-CN"/>
        </w:rPr>
        <w:t>10%</w:t>
      </w:r>
      <w:r>
        <w:rPr>
          <w:rFonts w:hint="default" w:ascii="Times New Roman" w:hAnsi="Times New Roman" w:eastAsia="方正仿宋_GBK" w:cs="Times New Roman"/>
          <w:color w:val="auto"/>
          <w:kern w:val="0"/>
          <w:sz w:val="32"/>
          <w:szCs w:val="32"/>
          <w:highlight w:val="none"/>
          <w:shd w:val="clear" w:color="auto" w:fill="FFFFFF"/>
          <w:lang w:val="zh-CN" w:eastAsia="zh-CN"/>
        </w:rPr>
        <w:t>的项目共计</w:t>
      </w:r>
      <w:r>
        <w:rPr>
          <w:rFonts w:hint="eastAsia" w:eastAsia="方正仿宋_GBK" w:cs="Times New Roman"/>
          <w:color w:val="auto"/>
          <w:kern w:val="0"/>
          <w:sz w:val="32"/>
          <w:szCs w:val="32"/>
          <w:highlight w:val="none"/>
          <w:shd w:val="clear" w:color="auto" w:fill="FFFFFF"/>
          <w:lang w:val="en-US" w:eastAsia="zh-CN"/>
        </w:rPr>
        <w:t>10</w:t>
      </w:r>
      <w:r>
        <w:rPr>
          <w:rFonts w:hint="default" w:ascii="Times New Roman" w:hAnsi="Times New Roman" w:eastAsia="方正仿宋_GBK" w:cs="Times New Roman"/>
          <w:color w:val="auto"/>
          <w:kern w:val="0"/>
          <w:sz w:val="32"/>
          <w:szCs w:val="32"/>
          <w:highlight w:val="none"/>
          <w:shd w:val="clear" w:color="auto" w:fill="FFFFFF"/>
          <w:lang w:val="zh-CN" w:eastAsia="zh-CN"/>
        </w:rPr>
        <w:t>个，</w:t>
      </w:r>
      <w:r>
        <w:rPr>
          <w:rFonts w:hint="default" w:ascii="Times New Roman" w:hAnsi="Times New Roman" w:eastAsia="方正仿宋_GBK" w:cs="Times New Roman"/>
          <w:color w:val="auto"/>
          <w:kern w:val="0"/>
          <w:sz w:val="32"/>
          <w:szCs w:val="32"/>
          <w:highlight w:val="none"/>
          <w:shd w:val="clear" w:color="auto" w:fill="FFFFFF"/>
          <w:lang w:val="en-US" w:eastAsia="zh-CN"/>
        </w:rPr>
        <w:t>结余原因为项目实施未达到支付进度</w:t>
      </w:r>
      <w:r>
        <w:rPr>
          <w:rFonts w:hint="default" w:ascii="Times New Roman" w:hAnsi="Times New Roman" w:eastAsia="方正仿宋_GBK" w:cs="Times New Roman"/>
          <w:color w:val="auto"/>
          <w:kern w:val="0"/>
          <w:sz w:val="32"/>
          <w:szCs w:val="32"/>
          <w:highlight w:val="none"/>
          <w:shd w:val="clear" w:color="auto" w:fill="FFFFFF"/>
          <w:lang w:val="zh-CN" w:eastAsia="zh-CN"/>
        </w:rPr>
        <w:t>。</w:t>
      </w:r>
    </w:p>
    <w:p w14:paraId="72336461">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Chars="0" w:firstLine="640" w:firstLineChars="200"/>
        <w:contextualSpacing/>
        <w:jc w:val="left"/>
        <w:textAlignment w:val="auto"/>
        <w:outlineLvl w:val="9"/>
        <w:rPr>
          <w:rFonts w:hint="default" w:ascii="Times New Roman" w:hAnsi="Times New Roman" w:eastAsia="方正仿宋_GBK" w:cs="Times New Roman"/>
          <w:color w:val="000000"/>
          <w:kern w:val="0"/>
          <w:sz w:val="32"/>
          <w:szCs w:val="32"/>
          <w:highlight w:val="none"/>
          <w:shd w:val="clear" w:color="auto" w:fill="FFFFFF"/>
          <w:lang w:val="zh-CN"/>
        </w:rPr>
      </w:pPr>
      <w:r>
        <w:rPr>
          <w:rFonts w:hint="default" w:ascii="Times New Roman" w:hAnsi="Times New Roman" w:eastAsia="方正仿宋_GBK" w:cs="Times New Roman"/>
          <w:color w:val="000000"/>
          <w:kern w:val="0"/>
          <w:sz w:val="32"/>
          <w:szCs w:val="32"/>
          <w:highlight w:val="none"/>
          <w:shd w:val="clear" w:color="auto" w:fill="FFFFFF"/>
          <w:lang w:val="en-US" w:eastAsia="zh-CN"/>
        </w:rPr>
        <w:t>1.</w:t>
      </w:r>
      <w:r>
        <w:rPr>
          <w:rFonts w:hint="default" w:ascii="Times New Roman" w:hAnsi="Times New Roman" w:eastAsia="方正仿宋_GBK" w:cs="Times New Roman"/>
          <w:color w:val="000000"/>
          <w:kern w:val="0"/>
          <w:sz w:val="32"/>
          <w:szCs w:val="32"/>
          <w:highlight w:val="none"/>
          <w:shd w:val="clear" w:color="auto" w:fill="FFFFFF"/>
          <w:lang w:val="zh-CN"/>
        </w:rPr>
        <w:t>项目决策。</w:t>
      </w:r>
    </w:p>
    <w:p w14:paraId="66161269">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Chars="0" w:firstLine="640" w:firstLineChars="200"/>
        <w:contextualSpacing/>
        <w:jc w:val="left"/>
        <w:textAlignment w:val="auto"/>
        <w:outlineLvl w:val="9"/>
        <w:rPr>
          <w:rFonts w:hint="default" w:ascii="Times New Roman" w:hAnsi="Times New Roman" w:eastAsia="方正仿宋_GBK" w:cs="Times New Roman"/>
          <w:color w:val="000000"/>
          <w:kern w:val="0"/>
          <w:sz w:val="32"/>
          <w:szCs w:val="32"/>
          <w:highlight w:val="none"/>
          <w:shd w:val="clear" w:color="auto" w:fill="FFFFFF"/>
          <w:lang w:val="zh-CN" w:eastAsia="zh-CN"/>
        </w:rPr>
      </w:pPr>
      <w:r>
        <w:rPr>
          <w:rFonts w:hint="default" w:ascii="Times New Roman" w:hAnsi="Times New Roman" w:eastAsia="方正仿宋_GBK" w:cs="Times New Roman"/>
          <w:color w:val="000000"/>
          <w:kern w:val="0"/>
          <w:sz w:val="32"/>
          <w:szCs w:val="32"/>
          <w:highlight w:val="none"/>
          <w:shd w:val="clear" w:color="auto" w:fill="FFFFFF"/>
          <w:lang w:val="en-US" w:eastAsia="zh-CN"/>
        </w:rPr>
        <w:t>本单位</w:t>
      </w:r>
      <w:r>
        <w:rPr>
          <w:rFonts w:hint="default" w:ascii="Times New Roman" w:hAnsi="Times New Roman" w:eastAsia="方正仿宋_GBK" w:cs="Times New Roman"/>
          <w:color w:val="000000"/>
          <w:kern w:val="0"/>
          <w:sz w:val="32"/>
          <w:szCs w:val="32"/>
          <w:highlight w:val="none"/>
          <w:shd w:val="clear" w:color="auto" w:fill="FFFFFF"/>
          <w:lang w:val="zh-CN" w:eastAsia="zh-CN"/>
        </w:rPr>
        <w:t>预算项目设立</w:t>
      </w:r>
      <w:r>
        <w:rPr>
          <w:rFonts w:hint="default" w:ascii="Times New Roman" w:hAnsi="Times New Roman" w:eastAsia="方正仿宋_GBK" w:cs="Times New Roman"/>
          <w:color w:val="000000"/>
          <w:kern w:val="0"/>
          <w:sz w:val="32"/>
          <w:szCs w:val="32"/>
          <w:highlight w:val="none"/>
          <w:shd w:val="clear" w:color="auto" w:fill="FFFFFF"/>
          <w:lang w:val="en-US" w:eastAsia="zh-CN"/>
        </w:rPr>
        <w:t>都</w:t>
      </w:r>
      <w:r>
        <w:rPr>
          <w:rFonts w:hint="default" w:ascii="Times New Roman" w:hAnsi="Times New Roman" w:eastAsia="方正仿宋_GBK" w:cs="Times New Roman"/>
          <w:color w:val="000000"/>
          <w:kern w:val="0"/>
          <w:sz w:val="32"/>
          <w:szCs w:val="32"/>
          <w:highlight w:val="none"/>
          <w:shd w:val="clear" w:color="auto" w:fill="FFFFFF"/>
          <w:lang w:val="zh-CN" w:eastAsia="zh-CN"/>
        </w:rPr>
        <w:t>按规定履行评估论证、按程序申报、预算项目绩效目标与计划期内的任务量、预算安排的资金量匹配情况，绩效目标设置科学合理、规范完整、量化细化、预算匹配、预算项目在规定时间</w:t>
      </w:r>
      <w:r>
        <w:rPr>
          <w:rFonts w:hint="default" w:ascii="Times New Roman" w:hAnsi="Times New Roman" w:eastAsia="方正仿宋_GBK" w:cs="Times New Roman"/>
          <w:color w:val="000000"/>
          <w:kern w:val="0"/>
          <w:sz w:val="32"/>
          <w:szCs w:val="32"/>
          <w:highlight w:val="none"/>
          <w:shd w:val="clear" w:color="auto" w:fill="FFFFFF"/>
          <w:lang w:val="en-US" w:eastAsia="zh-CN"/>
        </w:rPr>
        <w:t>内</w:t>
      </w:r>
      <w:r>
        <w:rPr>
          <w:rFonts w:hint="default" w:ascii="Times New Roman" w:hAnsi="Times New Roman" w:eastAsia="方正仿宋_GBK" w:cs="Times New Roman"/>
          <w:color w:val="000000"/>
          <w:kern w:val="0"/>
          <w:sz w:val="32"/>
          <w:szCs w:val="32"/>
          <w:highlight w:val="none"/>
          <w:shd w:val="clear" w:color="auto" w:fill="FFFFFF"/>
          <w:lang w:val="zh-CN" w:eastAsia="zh-CN"/>
        </w:rPr>
        <w:t>完成项目入库，</w:t>
      </w:r>
      <w:r>
        <w:rPr>
          <w:rFonts w:hint="default" w:ascii="Times New Roman" w:hAnsi="Times New Roman" w:eastAsia="方正仿宋_GBK" w:cs="Times New Roman"/>
          <w:color w:val="000000"/>
          <w:sz w:val="32"/>
          <w:szCs w:val="32"/>
        </w:rPr>
        <w:t>明确绩效目标，控制支行成本，提高项目发挥作用。</w:t>
      </w:r>
    </w:p>
    <w:p w14:paraId="1E9896D8">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Chars="0" w:firstLine="640" w:firstLineChars="200"/>
        <w:contextualSpacing/>
        <w:jc w:val="left"/>
        <w:textAlignment w:val="auto"/>
        <w:outlineLvl w:val="9"/>
        <w:rPr>
          <w:rFonts w:hint="default" w:ascii="Times New Roman" w:hAnsi="Times New Roman" w:eastAsia="方正仿宋_GBK" w:cs="Times New Roman"/>
          <w:color w:val="000000"/>
          <w:kern w:val="0"/>
          <w:sz w:val="32"/>
          <w:szCs w:val="32"/>
          <w:highlight w:val="none"/>
          <w:shd w:val="clear" w:color="auto" w:fill="FFFFFF"/>
          <w:lang w:val="zh-CN"/>
        </w:rPr>
      </w:pPr>
      <w:r>
        <w:rPr>
          <w:rFonts w:hint="default" w:ascii="Times New Roman" w:hAnsi="Times New Roman" w:eastAsia="方正仿宋_GBK" w:cs="Times New Roman"/>
          <w:color w:val="000000"/>
          <w:kern w:val="0"/>
          <w:sz w:val="32"/>
          <w:szCs w:val="32"/>
          <w:highlight w:val="none"/>
          <w:shd w:val="clear" w:color="auto" w:fill="FFFFFF"/>
          <w:lang w:val="en-US" w:eastAsia="zh-CN"/>
        </w:rPr>
        <w:t>2.项目执行</w:t>
      </w:r>
      <w:r>
        <w:rPr>
          <w:rFonts w:hint="default" w:ascii="Times New Roman" w:hAnsi="Times New Roman" w:eastAsia="方正仿宋_GBK" w:cs="Times New Roman"/>
          <w:color w:val="000000"/>
          <w:kern w:val="0"/>
          <w:sz w:val="32"/>
          <w:szCs w:val="32"/>
          <w:highlight w:val="none"/>
          <w:shd w:val="clear" w:color="auto" w:fill="FFFFFF"/>
          <w:lang w:val="zh-CN"/>
        </w:rPr>
        <w:t>。</w:t>
      </w:r>
    </w:p>
    <w:p w14:paraId="3B0A706A">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Chars="0" w:firstLine="640" w:firstLineChars="200"/>
        <w:contextualSpacing/>
        <w:jc w:val="left"/>
        <w:textAlignment w:val="auto"/>
        <w:outlineLvl w:val="9"/>
        <w:rPr>
          <w:rFonts w:hint="default" w:ascii="Times New Roman" w:hAnsi="Times New Roman" w:eastAsia="方正仿宋_GBK" w:cs="Times New Roman"/>
          <w:color w:val="000000"/>
          <w:kern w:val="0"/>
          <w:sz w:val="32"/>
          <w:szCs w:val="32"/>
          <w:highlight w:val="none"/>
          <w:shd w:val="clear" w:color="auto" w:fill="FFFFFF"/>
          <w:lang w:val="zh-CN"/>
        </w:rPr>
      </w:pPr>
      <w:r>
        <w:rPr>
          <w:rFonts w:hint="default" w:ascii="Times New Roman" w:hAnsi="Times New Roman" w:eastAsia="方正仿宋_GBK" w:cs="Times New Roman"/>
          <w:color w:val="000000"/>
          <w:kern w:val="0"/>
          <w:sz w:val="32"/>
          <w:szCs w:val="32"/>
          <w:highlight w:val="none"/>
          <w:shd w:val="clear" w:color="auto" w:fill="FFFFFF"/>
          <w:lang w:val="zh-CN"/>
        </w:rPr>
        <w:t>预算项目实际列支内容与绩效目标设置方向相符、预算项目采取对应调整措施，</w:t>
      </w:r>
      <w:r>
        <w:rPr>
          <w:rFonts w:hint="default" w:ascii="Times New Roman" w:hAnsi="Times New Roman" w:eastAsia="方正仿宋_GBK" w:cs="Times New Roman"/>
          <w:color w:val="000000"/>
          <w:kern w:val="0"/>
          <w:sz w:val="32"/>
          <w:szCs w:val="32"/>
          <w:highlight w:val="none"/>
          <w:shd w:val="clear" w:color="auto" w:fill="FFFFFF"/>
          <w:lang w:val="en-US" w:eastAsia="zh-CN"/>
        </w:rPr>
        <w:t>按程序调整</w:t>
      </w:r>
      <w:r>
        <w:rPr>
          <w:rFonts w:hint="default" w:ascii="Times New Roman" w:hAnsi="Times New Roman" w:eastAsia="方正仿宋_GBK" w:cs="Times New Roman"/>
          <w:color w:val="000000"/>
          <w:kern w:val="0"/>
          <w:sz w:val="32"/>
          <w:szCs w:val="32"/>
          <w:highlight w:val="none"/>
          <w:shd w:val="clear" w:color="auto" w:fill="FFFFFF"/>
          <w:lang w:val="zh-CN"/>
        </w:rPr>
        <w:t>、预算项目</w:t>
      </w:r>
      <w:r>
        <w:rPr>
          <w:rFonts w:hint="default" w:ascii="Times New Roman" w:hAnsi="Times New Roman" w:eastAsia="方正仿宋_GBK" w:cs="Times New Roman"/>
          <w:color w:val="000000"/>
          <w:kern w:val="0"/>
          <w:sz w:val="32"/>
          <w:szCs w:val="32"/>
          <w:highlight w:val="none"/>
          <w:shd w:val="clear" w:color="auto" w:fill="FFFFFF"/>
          <w:lang w:val="en-US" w:eastAsia="zh-CN"/>
        </w:rPr>
        <w:t>按照文件时间节点有序推进，按时完成并</w:t>
      </w:r>
      <w:r>
        <w:rPr>
          <w:rFonts w:hint="default" w:ascii="Times New Roman" w:hAnsi="Times New Roman" w:eastAsia="方正仿宋_GBK" w:cs="Times New Roman"/>
          <w:color w:val="000000"/>
          <w:sz w:val="32"/>
          <w:szCs w:val="32"/>
          <w:lang w:val="zh-CN"/>
        </w:rPr>
        <w:t>根据财政局统一要求编制了我局整体绩效目标报告及项目整体绩效目标表，并报县财政局。</w:t>
      </w:r>
    </w:p>
    <w:p w14:paraId="19C65673">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Chars="0" w:firstLine="640" w:firstLineChars="200"/>
        <w:contextualSpacing/>
        <w:jc w:val="left"/>
        <w:textAlignment w:val="auto"/>
        <w:outlineLvl w:val="9"/>
        <w:rPr>
          <w:rFonts w:hint="default" w:ascii="Times New Roman" w:hAnsi="Times New Roman" w:eastAsia="方正仿宋_GBK" w:cs="Times New Roman"/>
          <w:color w:val="000000"/>
          <w:kern w:val="0"/>
          <w:sz w:val="32"/>
          <w:szCs w:val="32"/>
          <w:highlight w:val="none"/>
          <w:shd w:val="clear" w:color="auto" w:fill="FFFFFF"/>
          <w:lang w:val="zh-CN"/>
        </w:rPr>
      </w:pPr>
      <w:r>
        <w:rPr>
          <w:rFonts w:hint="default" w:ascii="Times New Roman" w:hAnsi="Times New Roman" w:eastAsia="方正仿宋_GBK" w:cs="Times New Roman"/>
          <w:color w:val="000000"/>
          <w:kern w:val="0"/>
          <w:sz w:val="32"/>
          <w:szCs w:val="32"/>
          <w:highlight w:val="none"/>
          <w:shd w:val="clear" w:color="auto" w:fill="FFFFFF"/>
          <w:lang w:val="en-US" w:eastAsia="zh-CN"/>
        </w:rPr>
        <w:t>3.</w:t>
      </w:r>
      <w:r>
        <w:rPr>
          <w:rFonts w:hint="default" w:ascii="Times New Roman" w:hAnsi="Times New Roman" w:eastAsia="方正仿宋_GBK" w:cs="Times New Roman"/>
          <w:color w:val="000000"/>
          <w:kern w:val="0"/>
          <w:sz w:val="32"/>
          <w:szCs w:val="32"/>
          <w:highlight w:val="none"/>
          <w:shd w:val="clear" w:color="auto" w:fill="FFFFFF"/>
          <w:lang w:val="zh-CN"/>
        </w:rPr>
        <w:t>目标实现。</w:t>
      </w:r>
    </w:p>
    <w:p w14:paraId="5A62B75B">
      <w:pPr>
        <w:keepNext w:val="0"/>
        <w:keepLines w:val="0"/>
        <w:pageBreakBefore w:val="0"/>
        <w:kinsoku/>
        <w:overflowPunct/>
        <w:autoSpaceDE/>
        <w:autoSpaceDN/>
        <w:bidi w:val="0"/>
        <w:spacing w:line="560" w:lineRule="exact"/>
        <w:ind w:leftChars="0" w:firstLine="640" w:firstLineChars="200"/>
        <w:textAlignment w:val="auto"/>
        <w:rPr>
          <w:rFonts w:hint="default" w:ascii="Times New Roman" w:hAnsi="Times New Roman" w:eastAsia="方正仿宋_GBK" w:cs="Times New Roman"/>
          <w:color w:val="000000"/>
          <w:kern w:val="0"/>
          <w:sz w:val="32"/>
          <w:szCs w:val="32"/>
          <w:highlight w:val="none"/>
          <w:shd w:val="clear" w:color="auto" w:fill="FFFFFF"/>
          <w:lang w:val="zh-CN" w:eastAsia="zh-CN"/>
        </w:rPr>
      </w:pPr>
      <w:r>
        <w:rPr>
          <w:rFonts w:hint="default" w:ascii="Times New Roman" w:hAnsi="Times New Roman" w:eastAsia="方正仿宋_GBK" w:cs="Times New Roman"/>
          <w:sz w:val="32"/>
          <w:szCs w:val="32"/>
        </w:rPr>
        <w:t>根据预算绩效管理要求，我单位在年初预算编制阶段，组织对项目开展了预算事前绩效评估，本部门按要求对</w:t>
      </w:r>
      <w:r>
        <w:rPr>
          <w:rFonts w:hint="eastAsia" w:eastAsia="方正仿宋_GBK" w:cs="Times New Roman"/>
          <w:sz w:val="32"/>
          <w:szCs w:val="32"/>
          <w:lang w:eastAsia="zh-CN"/>
        </w:rPr>
        <w:t>2024年</w:t>
      </w:r>
      <w:r>
        <w:rPr>
          <w:rFonts w:hint="default" w:ascii="Times New Roman" w:hAnsi="Times New Roman" w:eastAsia="方正仿宋_GBK" w:cs="Times New Roman"/>
          <w:sz w:val="32"/>
          <w:szCs w:val="32"/>
        </w:rPr>
        <w:t>部门整体支出开展绩效自评，我单位深入贯彻落实</w:t>
      </w:r>
      <w:r>
        <w:rPr>
          <w:rFonts w:hint="default" w:ascii="Times New Roman" w:hAnsi="Times New Roman" w:eastAsia="方正仿宋_GBK" w:cs="Times New Roman"/>
          <w:sz w:val="32"/>
          <w:szCs w:val="32"/>
          <w:lang w:val="en-US" w:eastAsia="zh-CN"/>
        </w:rPr>
        <w:t>二十</w:t>
      </w:r>
      <w:r>
        <w:rPr>
          <w:rFonts w:hint="default" w:ascii="Times New Roman" w:hAnsi="Times New Roman" w:eastAsia="方正仿宋_GBK" w:cs="Times New Roman"/>
          <w:sz w:val="32"/>
          <w:szCs w:val="32"/>
        </w:rPr>
        <w:t>大关于“全面实施绩效管理”的要求，努力提升本单位绩效预算管理业务水平。主动公开绩效结果，加大资金使用效率，提升政府管理水平。及时告知各部门（科室）部门预算及项目支出进度。</w:t>
      </w:r>
    </w:p>
    <w:p w14:paraId="65627DAB">
      <w:pPr>
        <w:keepNext w:val="0"/>
        <w:keepLines w:val="0"/>
        <w:pageBreakBefore w:val="0"/>
        <w:widowControl/>
        <w:numPr>
          <w:ilvl w:val="0"/>
          <w:numId w:val="4"/>
        </w:numPr>
        <w:kinsoku/>
        <w:wordWrap/>
        <w:overflowPunct/>
        <w:topLinePunct w:val="0"/>
        <w:autoSpaceDE/>
        <w:autoSpaceDN/>
        <w:bidi w:val="0"/>
        <w:adjustRightInd w:val="0"/>
        <w:snapToGrid w:val="0"/>
        <w:spacing w:line="560" w:lineRule="exact"/>
        <w:ind w:leftChars="0" w:firstLine="640" w:firstLineChars="200"/>
        <w:contextualSpacing/>
        <w:jc w:val="left"/>
        <w:textAlignment w:val="auto"/>
        <w:outlineLvl w:val="9"/>
        <w:rPr>
          <w:rFonts w:hint="default" w:ascii="Times New Roman" w:hAnsi="Times New Roman" w:eastAsia="方正楷体_GBK" w:cs="Times New Roman"/>
          <w:b w:val="0"/>
          <w:bCs w:val="0"/>
          <w:color w:val="000000"/>
          <w:kern w:val="0"/>
          <w:sz w:val="32"/>
          <w:szCs w:val="32"/>
          <w:highlight w:val="none"/>
          <w:shd w:val="clear" w:color="auto" w:fill="FFFFFF"/>
          <w:lang w:val="zh-CN" w:eastAsia="zh-CN"/>
        </w:rPr>
      </w:pPr>
      <w:r>
        <w:rPr>
          <w:rFonts w:hint="default" w:ascii="Times New Roman" w:hAnsi="Times New Roman" w:eastAsia="方正楷体_GBK" w:cs="Times New Roman"/>
          <w:b w:val="0"/>
          <w:bCs w:val="0"/>
          <w:color w:val="000000"/>
          <w:kern w:val="0"/>
          <w:sz w:val="32"/>
          <w:szCs w:val="32"/>
          <w:highlight w:val="none"/>
          <w:shd w:val="clear" w:color="auto" w:fill="FFFFFF"/>
          <w:lang w:val="zh-CN" w:eastAsia="zh-CN"/>
        </w:rPr>
        <w:t>重点领域</w:t>
      </w:r>
      <w:r>
        <w:rPr>
          <w:rFonts w:hint="default" w:ascii="Times New Roman" w:hAnsi="Times New Roman" w:eastAsia="方正楷体_GBK" w:cs="Times New Roman"/>
          <w:b w:val="0"/>
          <w:bCs w:val="0"/>
          <w:color w:val="000000"/>
          <w:kern w:val="0"/>
          <w:sz w:val="32"/>
          <w:szCs w:val="32"/>
          <w:highlight w:val="none"/>
          <w:shd w:val="clear" w:color="auto" w:fill="FFFFFF"/>
          <w:lang w:val="zh-CN"/>
        </w:rPr>
        <w:t>绩效分析</w:t>
      </w:r>
      <w:r>
        <w:rPr>
          <w:rFonts w:hint="default" w:ascii="Times New Roman" w:hAnsi="Times New Roman" w:eastAsia="方正楷体_GBK" w:cs="Times New Roman"/>
          <w:b w:val="0"/>
          <w:bCs w:val="0"/>
          <w:color w:val="000000"/>
          <w:kern w:val="0"/>
          <w:sz w:val="32"/>
          <w:szCs w:val="32"/>
          <w:highlight w:val="none"/>
          <w:shd w:val="clear" w:color="auto" w:fill="FFFFFF"/>
          <w:lang w:val="zh-CN" w:eastAsia="zh-CN"/>
        </w:rPr>
        <w:t>。</w:t>
      </w:r>
    </w:p>
    <w:p w14:paraId="57EA232D">
      <w:pPr>
        <w:keepNext w:val="0"/>
        <w:keepLines w:val="0"/>
        <w:pageBreakBefore w:val="0"/>
        <w:kinsoku/>
        <w:overflowPunct/>
        <w:autoSpaceDE/>
        <w:autoSpaceDN/>
        <w:bidi w:val="0"/>
        <w:spacing w:line="560" w:lineRule="exact"/>
        <w:ind w:leftChars="0" w:firstLine="640" w:firstLineChars="200"/>
        <w:textAlignment w:val="auto"/>
        <w:rPr>
          <w:rFonts w:hint="default" w:ascii="Times New Roman" w:hAnsi="Times New Roman" w:eastAsia="方正仿宋_GBK" w:cs="Times New Roman"/>
          <w:color w:val="000000"/>
          <w:kern w:val="0"/>
          <w:sz w:val="32"/>
          <w:szCs w:val="32"/>
          <w:highlight w:val="none"/>
          <w:shd w:val="clear" w:color="auto" w:fill="FFFFFF"/>
          <w:lang w:val="en-US" w:eastAsia="zh-CN"/>
        </w:rPr>
      </w:pPr>
      <w:r>
        <w:rPr>
          <w:rFonts w:hint="default" w:ascii="Times New Roman" w:hAnsi="Times New Roman" w:eastAsia="方正仿宋_GBK" w:cs="Times New Roman"/>
          <w:color w:val="000000"/>
          <w:sz w:val="32"/>
          <w:szCs w:val="32"/>
          <w:lang w:val="zh-CN"/>
        </w:rPr>
        <w:t>我单位按照规定完全履行职责，整体评价良好，服务对象基本满意从预算执行来情况看，预算资金覆盖我单位工作的各个方面，按照保工资、保运转、保民生的保障序列科学编制，分配办法科学，考虑的因素必要合理，分配的结果合理，保障了人员经费及单位正常运转。在预算执行过程中单位遵守财经纪律、财务制度，坚持先有预算后支出；严格审批程序，保障了资金安全。</w:t>
      </w:r>
    </w:p>
    <w:p w14:paraId="49B11F7C">
      <w:pPr>
        <w:keepNext w:val="0"/>
        <w:keepLines w:val="0"/>
        <w:pageBreakBefore w:val="0"/>
        <w:widowControl w:val="0"/>
        <w:numPr>
          <w:ilvl w:val="0"/>
          <w:numId w:val="4"/>
        </w:numPr>
        <w:kinsoku/>
        <w:wordWrap/>
        <w:overflowPunct/>
        <w:topLinePunct w:val="0"/>
        <w:autoSpaceDE/>
        <w:autoSpaceDN/>
        <w:bidi w:val="0"/>
        <w:snapToGrid w:val="0"/>
        <w:spacing w:line="560" w:lineRule="exact"/>
        <w:ind w:left="0" w:leftChars="0" w:firstLine="640" w:firstLineChars="200"/>
        <w:textAlignment w:val="auto"/>
        <w:rPr>
          <w:rFonts w:hint="default" w:ascii="Times New Roman" w:hAnsi="Times New Roman" w:eastAsia="方正楷体_GBK" w:cs="Times New Roman"/>
          <w:b w:val="0"/>
          <w:bCs w:val="0"/>
          <w:sz w:val="32"/>
          <w:szCs w:val="32"/>
          <w:lang w:val="zh-CN"/>
        </w:rPr>
      </w:pPr>
      <w:r>
        <w:rPr>
          <w:rFonts w:hint="default" w:ascii="Times New Roman" w:hAnsi="Times New Roman" w:eastAsia="方正楷体_GBK" w:cs="Times New Roman"/>
          <w:b w:val="0"/>
          <w:bCs w:val="0"/>
          <w:sz w:val="32"/>
          <w:szCs w:val="32"/>
          <w:lang w:val="zh-CN"/>
        </w:rPr>
        <w:t>绩效结果应用情况。</w:t>
      </w:r>
    </w:p>
    <w:p w14:paraId="18BDC3C0">
      <w:pPr>
        <w:keepNext w:val="0"/>
        <w:keepLines w:val="0"/>
        <w:pageBreakBefore w:val="0"/>
        <w:kinsoku/>
        <w:overflowPunct/>
        <w:autoSpaceDE/>
        <w:autoSpaceDN/>
        <w:bidi w:val="0"/>
        <w:spacing w:line="560" w:lineRule="exact"/>
        <w:ind w:leftChars="0" w:firstLine="640" w:firstLineChars="200"/>
        <w:textAlignment w:val="auto"/>
        <w:rPr>
          <w:rFonts w:hint="default" w:ascii="Times New Roman" w:hAnsi="Times New Roman" w:eastAsia="方正仿宋_GBK" w:cs="Times New Roman"/>
          <w:color w:val="000000"/>
          <w:kern w:val="0"/>
          <w:sz w:val="32"/>
          <w:szCs w:val="32"/>
          <w:highlight w:val="none"/>
          <w:shd w:val="clear" w:color="auto" w:fill="FFFFFF"/>
          <w:lang w:val="en-US"/>
        </w:rPr>
      </w:pPr>
      <w:r>
        <w:rPr>
          <w:rFonts w:hint="default" w:ascii="Times New Roman" w:hAnsi="Times New Roman" w:eastAsia="方正仿宋_GBK" w:cs="Times New Roman"/>
          <w:sz w:val="32"/>
          <w:szCs w:val="32"/>
        </w:rPr>
        <w:t>根据预算绩效管理要求，我单位在年初预算编制阶段，组织对项目开展了预算事前绩效评估，本部门按要求对</w:t>
      </w:r>
      <w:r>
        <w:rPr>
          <w:rFonts w:hint="eastAsia" w:eastAsia="方正仿宋_GBK" w:cs="Times New Roman"/>
          <w:sz w:val="32"/>
          <w:szCs w:val="32"/>
          <w:lang w:eastAsia="zh-CN"/>
        </w:rPr>
        <w:t>2024年</w:t>
      </w:r>
      <w:r>
        <w:rPr>
          <w:rFonts w:hint="default" w:ascii="Times New Roman" w:hAnsi="Times New Roman" w:eastAsia="方正仿宋_GBK" w:cs="Times New Roman"/>
          <w:sz w:val="32"/>
          <w:szCs w:val="32"/>
        </w:rPr>
        <w:t>部门整体支出开展绩效自评，我单位深入贯彻落实</w:t>
      </w:r>
      <w:r>
        <w:rPr>
          <w:rFonts w:hint="default" w:ascii="Times New Roman" w:hAnsi="Times New Roman" w:eastAsia="方正仿宋_GBK" w:cs="Times New Roman"/>
          <w:sz w:val="32"/>
          <w:szCs w:val="32"/>
          <w:lang w:val="en-US" w:eastAsia="zh-CN"/>
        </w:rPr>
        <w:t>二十</w:t>
      </w:r>
      <w:r>
        <w:rPr>
          <w:rFonts w:hint="default" w:ascii="Times New Roman" w:hAnsi="Times New Roman" w:eastAsia="方正仿宋_GBK" w:cs="Times New Roman"/>
          <w:sz w:val="32"/>
          <w:szCs w:val="32"/>
        </w:rPr>
        <w:t>大关于“全面实施绩效管理”的要求，努力提升本单位绩效预算管理业务水平。主动公开绩效结果，加大资金使用效率，提升政府管理水平。及时告知各部门（科室）部门预算及项目支出进度。</w:t>
      </w:r>
    </w:p>
    <w:p w14:paraId="57141C87">
      <w:pPr>
        <w:keepNext w:val="0"/>
        <w:keepLines w:val="0"/>
        <w:pageBreakBefore w:val="0"/>
        <w:widowControl/>
        <w:numPr>
          <w:ilvl w:val="0"/>
          <w:numId w:val="0"/>
        </w:numPr>
        <w:kinsoku/>
        <w:wordWrap/>
        <w:overflowPunct/>
        <w:topLinePunct w:val="0"/>
        <w:autoSpaceDE/>
        <w:autoSpaceDN/>
        <w:bidi w:val="0"/>
        <w:adjustRightInd w:val="0"/>
        <w:snapToGrid w:val="0"/>
        <w:spacing w:line="560" w:lineRule="exact"/>
        <w:ind w:leftChars="0" w:firstLine="640" w:firstLineChars="200"/>
        <w:contextualSpacing/>
        <w:jc w:val="left"/>
        <w:textAlignment w:val="auto"/>
        <w:outlineLvl w:val="9"/>
        <w:rPr>
          <w:rFonts w:hint="default" w:ascii="Times New Roman" w:hAnsi="Times New Roman" w:eastAsia="方正黑体_GBK" w:cs="Times New Roman"/>
          <w:color w:val="000000"/>
          <w:kern w:val="0"/>
          <w:sz w:val="32"/>
          <w:szCs w:val="32"/>
          <w:highlight w:val="none"/>
          <w:shd w:val="clear" w:color="auto" w:fill="FFFFFF"/>
          <w:lang w:val="zh-CN"/>
        </w:rPr>
      </w:pPr>
      <w:bookmarkStart w:id="82" w:name="_Toc5025_WPSOffice_Level2"/>
      <w:r>
        <w:rPr>
          <w:rFonts w:hint="default" w:ascii="Times New Roman" w:hAnsi="Times New Roman" w:eastAsia="方正黑体_GBK" w:cs="Times New Roman"/>
          <w:color w:val="000000"/>
          <w:kern w:val="0"/>
          <w:sz w:val="32"/>
          <w:szCs w:val="32"/>
          <w:highlight w:val="none"/>
          <w:shd w:val="clear" w:color="auto" w:fill="FFFFFF"/>
          <w:lang w:val="zh-CN" w:eastAsia="zh-CN"/>
        </w:rPr>
        <w:t>四、</w:t>
      </w:r>
      <w:r>
        <w:rPr>
          <w:rFonts w:hint="default" w:ascii="Times New Roman" w:hAnsi="Times New Roman" w:eastAsia="方正黑体_GBK" w:cs="Times New Roman"/>
          <w:color w:val="000000"/>
          <w:kern w:val="0"/>
          <w:sz w:val="32"/>
          <w:szCs w:val="32"/>
          <w:highlight w:val="none"/>
          <w:shd w:val="clear" w:color="auto" w:fill="FFFFFF"/>
          <w:lang w:val="zh-CN"/>
        </w:rPr>
        <w:t>评价结论及建议</w:t>
      </w:r>
      <w:bookmarkEnd w:id="82"/>
    </w:p>
    <w:p w14:paraId="2DAB6D5E">
      <w:pPr>
        <w:keepNext w:val="0"/>
        <w:keepLines w:val="0"/>
        <w:pageBreakBefore w:val="0"/>
        <w:widowControl/>
        <w:kinsoku/>
        <w:wordWrap/>
        <w:overflowPunct/>
        <w:topLinePunct w:val="0"/>
        <w:autoSpaceDE/>
        <w:autoSpaceDN/>
        <w:bidi w:val="0"/>
        <w:adjustRightInd w:val="0"/>
        <w:snapToGrid w:val="0"/>
        <w:spacing w:line="560" w:lineRule="exact"/>
        <w:ind w:leftChars="0" w:firstLine="640" w:firstLineChars="200"/>
        <w:contextualSpacing/>
        <w:jc w:val="left"/>
        <w:textAlignment w:val="auto"/>
        <w:outlineLvl w:val="9"/>
        <w:rPr>
          <w:rFonts w:hint="default" w:ascii="Times New Roman" w:hAnsi="Times New Roman" w:eastAsia="方正楷体_GBK" w:cs="Times New Roman"/>
          <w:b w:val="0"/>
          <w:bCs w:val="0"/>
          <w:color w:val="000000"/>
          <w:kern w:val="0"/>
          <w:sz w:val="32"/>
          <w:szCs w:val="32"/>
          <w:highlight w:val="none"/>
          <w:shd w:val="clear" w:color="auto" w:fill="FFFFFF"/>
          <w:lang w:val="zh-CN"/>
        </w:rPr>
      </w:pPr>
      <w:r>
        <w:rPr>
          <w:rFonts w:hint="default" w:ascii="Times New Roman" w:hAnsi="Times New Roman" w:eastAsia="方正楷体_GBK" w:cs="Times New Roman"/>
          <w:b w:val="0"/>
          <w:bCs w:val="0"/>
          <w:color w:val="000000"/>
          <w:kern w:val="0"/>
          <w:sz w:val="32"/>
          <w:szCs w:val="32"/>
          <w:highlight w:val="none"/>
          <w:shd w:val="clear" w:color="auto" w:fill="FFFFFF"/>
          <w:lang w:val="zh-CN"/>
        </w:rPr>
        <w:t>（一）评价结论。</w:t>
      </w:r>
    </w:p>
    <w:p w14:paraId="699F905B">
      <w:pPr>
        <w:keepNext w:val="0"/>
        <w:keepLines w:val="0"/>
        <w:pageBreakBefore w:val="0"/>
        <w:widowControl/>
        <w:kinsoku/>
        <w:wordWrap/>
        <w:overflowPunct/>
        <w:topLinePunct w:val="0"/>
        <w:autoSpaceDE/>
        <w:autoSpaceDN/>
        <w:bidi w:val="0"/>
        <w:adjustRightInd w:val="0"/>
        <w:snapToGrid w:val="0"/>
        <w:spacing w:line="560" w:lineRule="exact"/>
        <w:ind w:leftChars="0" w:firstLine="640" w:firstLineChars="200"/>
        <w:contextualSpacing/>
        <w:jc w:val="both"/>
        <w:textAlignment w:val="auto"/>
        <w:rPr>
          <w:rFonts w:hint="default" w:ascii="Times New Roman" w:hAnsi="Times New Roman" w:eastAsia="方正仿宋_GBK" w:cs="Times New Roman"/>
          <w:kern w:val="0"/>
          <w:sz w:val="32"/>
          <w:szCs w:val="32"/>
          <w:shd w:val="clear" w:color="auto" w:fill="FFFFFF"/>
          <w:lang w:val="zh-CN"/>
        </w:rPr>
      </w:pPr>
      <w:r>
        <w:rPr>
          <w:rFonts w:hint="default" w:ascii="Times New Roman" w:hAnsi="Times New Roman" w:eastAsia="方正仿宋_GBK" w:cs="Times New Roman"/>
          <w:bCs/>
          <w:kern w:val="0"/>
          <w:sz w:val="32"/>
          <w:szCs w:val="32"/>
          <w:shd w:val="clear" w:color="auto" w:fill="FFFFFF"/>
          <w:lang w:val="zh-CN" w:eastAsia="zh-CN"/>
        </w:rPr>
        <w:t>我局对</w:t>
      </w:r>
      <w:r>
        <w:rPr>
          <w:rFonts w:hint="eastAsia" w:eastAsia="方正仿宋_GBK" w:cs="Times New Roman"/>
          <w:bCs/>
          <w:kern w:val="0"/>
          <w:sz w:val="32"/>
          <w:szCs w:val="32"/>
          <w:shd w:val="clear" w:color="auto" w:fill="FFFFFF"/>
          <w:lang w:val="zh-CN" w:eastAsia="zh-CN"/>
        </w:rPr>
        <w:t>2024年</w:t>
      </w:r>
      <w:r>
        <w:rPr>
          <w:rFonts w:hint="default" w:ascii="Times New Roman" w:hAnsi="Times New Roman" w:eastAsia="方正仿宋_GBK" w:cs="Times New Roman"/>
          <w:bCs/>
          <w:kern w:val="0"/>
          <w:sz w:val="32"/>
          <w:szCs w:val="32"/>
          <w:shd w:val="clear" w:color="auto" w:fill="FFFFFF"/>
          <w:lang w:val="zh-CN" w:eastAsia="zh-CN"/>
        </w:rPr>
        <w:t>度整体支出情况开展自评，得分</w:t>
      </w:r>
      <w:r>
        <w:rPr>
          <w:rFonts w:hint="eastAsia" w:eastAsia="方正仿宋_GBK" w:cs="Times New Roman"/>
          <w:bCs/>
          <w:kern w:val="0"/>
          <w:sz w:val="32"/>
          <w:szCs w:val="32"/>
          <w:shd w:val="clear" w:color="auto" w:fill="FFFFFF"/>
          <w:lang w:val="en-US" w:eastAsia="zh-CN"/>
        </w:rPr>
        <w:t>92</w:t>
      </w:r>
      <w:r>
        <w:rPr>
          <w:rFonts w:hint="default" w:ascii="Times New Roman" w:hAnsi="Times New Roman" w:eastAsia="方正仿宋_GBK" w:cs="Times New Roman"/>
          <w:bCs/>
          <w:kern w:val="0"/>
          <w:sz w:val="32"/>
          <w:szCs w:val="32"/>
          <w:shd w:val="clear" w:color="auto" w:fill="FFFFFF"/>
          <w:lang w:val="zh-CN" w:eastAsia="zh-CN"/>
        </w:rPr>
        <w:t>分。从总体性分析评价，全年整体支出较优，实现了年初绩效目标。</w:t>
      </w:r>
      <w:r>
        <w:rPr>
          <w:rFonts w:hint="eastAsia" w:eastAsia="方正仿宋_GBK" w:cs="Times New Roman"/>
          <w:bCs/>
          <w:kern w:val="0"/>
          <w:sz w:val="32"/>
          <w:szCs w:val="32"/>
          <w:shd w:val="clear" w:color="auto" w:fill="FFFFFF"/>
          <w:lang w:val="zh-CN" w:eastAsia="zh-CN"/>
        </w:rPr>
        <w:t>2024年</w:t>
      </w:r>
      <w:r>
        <w:rPr>
          <w:rFonts w:hint="default" w:ascii="Times New Roman" w:hAnsi="Times New Roman" w:eastAsia="方正仿宋_GBK" w:cs="Times New Roman"/>
          <w:bCs/>
          <w:kern w:val="0"/>
          <w:sz w:val="32"/>
          <w:szCs w:val="32"/>
          <w:shd w:val="clear" w:color="auto" w:fill="FFFFFF"/>
          <w:lang w:val="zh-CN" w:eastAsia="zh-CN"/>
        </w:rPr>
        <w:t>度整体支出绩效评价优好，无违纪违规问题，预算编制、预算执行、完成结果等均达到既定目标管理。</w:t>
      </w:r>
    </w:p>
    <w:p w14:paraId="7DFC2663">
      <w:pPr>
        <w:keepNext w:val="0"/>
        <w:keepLines w:val="0"/>
        <w:pageBreakBefore w:val="0"/>
        <w:widowControl/>
        <w:kinsoku/>
        <w:wordWrap/>
        <w:overflowPunct/>
        <w:topLinePunct w:val="0"/>
        <w:autoSpaceDE/>
        <w:autoSpaceDN/>
        <w:bidi w:val="0"/>
        <w:adjustRightInd w:val="0"/>
        <w:snapToGrid w:val="0"/>
        <w:spacing w:line="560" w:lineRule="exact"/>
        <w:ind w:leftChars="0" w:firstLine="640" w:firstLineChars="200"/>
        <w:contextualSpacing/>
        <w:jc w:val="left"/>
        <w:textAlignment w:val="auto"/>
        <w:outlineLvl w:val="9"/>
        <w:rPr>
          <w:rFonts w:hint="default" w:ascii="Times New Roman" w:hAnsi="Times New Roman" w:eastAsia="方正楷体_GBK" w:cs="Times New Roman"/>
          <w:b w:val="0"/>
          <w:bCs w:val="0"/>
          <w:color w:val="000000"/>
          <w:kern w:val="0"/>
          <w:sz w:val="32"/>
          <w:szCs w:val="32"/>
          <w:highlight w:val="none"/>
          <w:shd w:val="clear" w:color="auto" w:fill="FFFFFF"/>
          <w:lang w:val="zh-CN"/>
        </w:rPr>
      </w:pPr>
      <w:r>
        <w:rPr>
          <w:rFonts w:hint="default" w:ascii="Times New Roman" w:hAnsi="Times New Roman" w:eastAsia="方正楷体_GBK" w:cs="Times New Roman"/>
          <w:b w:val="0"/>
          <w:bCs w:val="0"/>
          <w:color w:val="000000"/>
          <w:kern w:val="0"/>
          <w:sz w:val="32"/>
          <w:szCs w:val="32"/>
          <w:highlight w:val="none"/>
          <w:shd w:val="clear" w:color="auto" w:fill="FFFFFF"/>
          <w:lang w:val="zh-CN"/>
        </w:rPr>
        <w:t>（</w:t>
      </w:r>
      <w:r>
        <w:rPr>
          <w:rFonts w:hint="default" w:ascii="Times New Roman" w:hAnsi="Times New Roman" w:eastAsia="方正楷体_GBK" w:cs="Times New Roman"/>
          <w:b w:val="0"/>
          <w:bCs w:val="0"/>
          <w:color w:val="000000"/>
          <w:kern w:val="0"/>
          <w:sz w:val="32"/>
          <w:szCs w:val="32"/>
          <w:highlight w:val="none"/>
          <w:shd w:val="clear" w:color="auto" w:fill="FFFFFF"/>
          <w:lang w:val="en-US" w:eastAsia="zh-CN"/>
        </w:rPr>
        <w:t>二</w:t>
      </w:r>
      <w:r>
        <w:rPr>
          <w:rFonts w:hint="default" w:ascii="Times New Roman" w:hAnsi="Times New Roman" w:eastAsia="方正楷体_GBK" w:cs="Times New Roman"/>
          <w:b w:val="0"/>
          <w:bCs w:val="0"/>
          <w:color w:val="000000"/>
          <w:kern w:val="0"/>
          <w:sz w:val="32"/>
          <w:szCs w:val="32"/>
          <w:highlight w:val="none"/>
          <w:shd w:val="clear" w:color="auto" w:fill="FFFFFF"/>
          <w:lang w:val="zh-CN"/>
        </w:rPr>
        <w:t>）存在问题。</w:t>
      </w:r>
    </w:p>
    <w:p w14:paraId="6A15CA02">
      <w:pPr>
        <w:keepNext w:val="0"/>
        <w:keepLines w:val="0"/>
        <w:pageBreakBefore w:val="0"/>
        <w:widowControl/>
        <w:kinsoku/>
        <w:wordWrap/>
        <w:overflowPunct/>
        <w:topLinePunct w:val="0"/>
        <w:autoSpaceDE/>
        <w:autoSpaceDN/>
        <w:bidi w:val="0"/>
        <w:adjustRightInd w:val="0"/>
        <w:snapToGrid w:val="0"/>
        <w:spacing w:line="560" w:lineRule="exact"/>
        <w:ind w:leftChars="0" w:firstLine="640" w:firstLineChars="200"/>
        <w:contextualSpacing/>
        <w:jc w:val="left"/>
        <w:textAlignment w:val="auto"/>
        <w:rPr>
          <w:rFonts w:hint="default" w:ascii="Times New Roman" w:hAnsi="Times New Roman" w:eastAsia="方正仿宋_GBK" w:cs="Times New Roman"/>
          <w:bCs/>
          <w:kern w:val="0"/>
          <w:sz w:val="32"/>
          <w:szCs w:val="32"/>
          <w:shd w:val="clear" w:color="auto" w:fill="FFFFFF"/>
          <w:lang w:val="zh-CN" w:eastAsia="zh-CN"/>
        </w:rPr>
      </w:pPr>
      <w:r>
        <w:rPr>
          <w:rFonts w:hint="default" w:ascii="Times New Roman" w:hAnsi="Times New Roman" w:eastAsia="方正仿宋_GBK" w:cs="Times New Roman"/>
          <w:bCs/>
          <w:kern w:val="0"/>
          <w:sz w:val="32"/>
          <w:szCs w:val="32"/>
          <w:shd w:val="clear" w:color="auto" w:fill="FFFFFF"/>
          <w:lang w:val="zh-CN" w:eastAsia="zh-CN"/>
        </w:rPr>
        <w:t>个别人员经费和公用经费测算标准及套用公式不够科学精准，部分经济科目在预算执行中存在较早亮红灯，预算经费支出进度较快。</w:t>
      </w:r>
    </w:p>
    <w:p w14:paraId="213FE1FE">
      <w:pPr>
        <w:keepNext w:val="0"/>
        <w:keepLines w:val="0"/>
        <w:pageBreakBefore w:val="0"/>
        <w:widowControl/>
        <w:kinsoku/>
        <w:wordWrap/>
        <w:overflowPunct/>
        <w:topLinePunct w:val="0"/>
        <w:autoSpaceDE/>
        <w:autoSpaceDN/>
        <w:bidi w:val="0"/>
        <w:adjustRightInd w:val="0"/>
        <w:snapToGrid w:val="0"/>
        <w:spacing w:line="560" w:lineRule="exact"/>
        <w:ind w:leftChars="0" w:firstLine="640" w:firstLineChars="200"/>
        <w:contextualSpacing/>
        <w:jc w:val="left"/>
        <w:textAlignment w:val="auto"/>
        <w:outlineLvl w:val="9"/>
        <w:rPr>
          <w:rFonts w:hint="default" w:ascii="Times New Roman" w:hAnsi="Times New Roman" w:eastAsia="方正楷体_GBK" w:cs="Times New Roman"/>
          <w:b w:val="0"/>
          <w:bCs w:val="0"/>
          <w:color w:val="000000"/>
          <w:kern w:val="0"/>
          <w:sz w:val="32"/>
          <w:szCs w:val="32"/>
          <w:highlight w:val="none"/>
          <w:shd w:val="clear" w:color="auto" w:fill="FFFFFF"/>
          <w:lang w:val="zh-CN" w:eastAsia="zh-CN"/>
        </w:rPr>
      </w:pPr>
      <w:r>
        <w:rPr>
          <w:rFonts w:hint="default" w:ascii="Times New Roman" w:hAnsi="Times New Roman" w:eastAsia="方正楷体_GBK" w:cs="Times New Roman"/>
          <w:b w:val="0"/>
          <w:bCs w:val="0"/>
          <w:color w:val="000000"/>
          <w:kern w:val="0"/>
          <w:sz w:val="32"/>
          <w:szCs w:val="32"/>
          <w:highlight w:val="none"/>
          <w:shd w:val="clear" w:color="auto" w:fill="FFFFFF"/>
          <w:lang w:val="zh-CN"/>
        </w:rPr>
        <w:t>（</w:t>
      </w:r>
      <w:r>
        <w:rPr>
          <w:rFonts w:hint="default" w:ascii="Times New Roman" w:hAnsi="Times New Roman" w:eastAsia="方正楷体_GBK" w:cs="Times New Roman"/>
          <w:b w:val="0"/>
          <w:bCs w:val="0"/>
          <w:color w:val="000000"/>
          <w:kern w:val="0"/>
          <w:sz w:val="32"/>
          <w:szCs w:val="32"/>
          <w:highlight w:val="none"/>
          <w:shd w:val="clear" w:color="auto" w:fill="FFFFFF"/>
          <w:lang w:val="en-US" w:eastAsia="zh-CN"/>
        </w:rPr>
        <w:t>三</w:t>
      </w:r>
      <w:r>
        <w:rPr>
          <w:rFonts w:hint="default" w:ascii="Times New Roman" w:hAnsi="Times New Roman" w:eastAsia="方正楷体_GBK" w:cs="Times New Roman"/>
          <w:b w:val="0"/>
          <w:bCs w:val="0"/>
          <w:color w:val="000000"/>
          <w:kern w:val="0"/>
          <w:sz w:val="32"/>
          <w:szCs w:val="32"/>
          <w:highlight w:val="none"/>
          <w:shd w:val="clear" w:color="auto" w:fill="FFFFFF"/>
          <w:lang w:val="zh-CN"/>
        </w:rPr>
        <w:t>）</w:t>
      </w:r>
      <w:r>
        <w:rPr>
          <w:rFonts w:hint="default" w:ascii="Times New Roman" w:hAnsi="Times New Roman" w:eastAsia="方正楷体_GBK" w:cs="Times New Roman"/>
          <w:b w:val="0"/>
          <w:bCs w:val="0"/>
          <w:color w:val="000000"/>
          <w:kern w:val="0"/>
          <w:sz w:val="32"/>
          <w:szCs w:val="32"/>
          <w:highlight w:val="none"/>
          <w:shd w:val="clear" w:color="auto" w:fill="FFFFFF"/>
          <w:lang w:val="zh-CN" w:eastAsia="zh-CN"/>
        </w:rPr>
        <w:t>改进建议。</w:t>
      </w:r>
      <w:bookmarkStart w:id="83" w:name="_Hlk110546638"/>
    </w:p>
    <w:p w14:paraId="407A64E2">
      <w:pPr>
        <w:keepNext w:val="0"/>
        <w:keepLines w:val="0"/>
        <w:pageBreakBefore w:val="0"/>
        <w:widowControl/>
        <w:kinsoku/>
        <w:wordWrap/>
        <w:overflowPunct/>
        <w:topLinePunct w:val="0"/>
        <w:autoSpaceDE/>
        <w:autoSpaceDN/>
        <w:bidi w:val="0"/>
        <w:adjustRightInd w:val="0"/>
        <w:snapToGrid w:val="0"/>
        <w:spacing w:line="560" w:lineRule="exact"/>
        <w:ind w:leftChars="0" w:firstLine="640" w:firstLineChars="200"/>
        <w:contextualSpacing/>
        <w:jc w:val="left"/>
        <w:textAlignment w:val="auto"/>
        <w:rPr>
          <w:rFonts w:hint="default" w:ascii="Times New Roman" w:hAnsi="Times New Roman" w:cs="Times New Roman"/>
          <w:color w:val="000000"/>
          <w:kern w:val="0"/>
          <w:szCs w:val="32"/>
          <w:highlight w:val="none"/>
          <w:shd w:val="clear" w:color="auto" w:fill="FFFFFF"/>
          <w:lang w:val="en-US" w:eastAsia="zh-CN"/>
        </w:rPr>
      </w:pPr>
      <w:r>
        <w:rPr>
          <w:rFonts w:hint="default" w:ascii="Times New Roman" w:hAnsi="Times New Roman" w:eastAsia="方正仿宋_GBK" w:cs="Times New Roman"/>
          <w:bCs/>
          <w:kern w:val="0"/>
          <w:sz w:val="32"/>
          <w:szCs w:val="32"/>
          <w:shd w:val="clear" w:color="auto" w:fill="FFFFFF"/>
          <w:lang w:val="zh-CN" w:eastAsia="zh-CN"/>
        </w:rPr>
        <w:t>我局将积极对接财政部门作出技术调整，优化预算测算标准，科学审批年度预算汇编，使资金真正能够因地制宜，发挥实效。进一步做好预算编制前提调研准备工作，根据实际需要积极评估测算，尽量减少减轻资金闲置或低使用率现象，启用预算执</w:t>
      </w:r>
      <w:r>
        <w:rPr>
          <w:rFonts w:hint="default" w:ascii="Times New Roman" w:hAnsi="Times New Roman" w:eastAsia="方正仿宋_GBK" w:cs="Times New Roman"/>
          <w:bCs/>
          <w:w w:val="97"/>
          <w:kern w:val="0"/>
          <w:sz w:val="32"/>
          <w:szCs w:val="32"/>
          <w:shd w:val="clear" w:color="auto" w:fill="FFFFFF"/>
          <w:lang w:val="zh-CN" w:eastAsia="zh-CN"/>
        </w:rPr>
        <w:t>行绩效监控机制，及时提示项目管理部门按照绩效目标开展实施。</w:t>
      </w:r>
      <w:bookmarkEnd w:id="83"/>
    </w:p>
    <w:p w14:paraId="651F7329">
      <w:pPr>
        <w:keepNext w:val="0"/>
        <w:keepLines w:val="0"/>
        <w:pageBreakBefore w:val="0"/>
        <w:kinsoku/>
        <w:wordWrap/>
        <w:overflowPunct/>
        <w:topLinePunct w:val="0"/>
        <w:autoSpaceDE/>
        <w:autoSpaceDN/>
        <w:bidi w:val="0"/>
        <w:spacing w:line="578" w:lineRule="exact"/>
        <w:jc w:val="left"/>
        <w:textAlignment w:val="auto"/>
        <w:rPr>
          <w:rFonts w:hint="eastAsia" w:ascii="Times New Roman" w:hAnsi="Times New Roman" w:eastAsia="黑体" w:cs="Times New Roman"/>
          <w:kern w:val="2"/>
          <w:sz w:val="32"/>
          <w:szCs w:val="24"/>
          <w:highlight w:val="none"/>
          <w:lang w:val="en-US" w:eastAsia="zh-CN" w:bidi="ar-SA"/>
        </w:rPr>
      </w:pPr>
      <w:r>
        <w:rPr>
          <w:rFonts w:hint="default" w:ascii="Times New Roman" w:hAnsi="Times New Roman" w:eastAsia="黑体" w:cs="Times New Roman"/>
          <w:kern w:val="2"/>
          <w:sz w:val="32"/>
          <w:szCs w:val="24"/>
          <w:highlight w:val="none"/>
          <w:lang w:val="en-US" w:eastAsia="zh-CN" w:bidi="ar-SA"/>
        </w:rPr>
        <w:t>附表</w:t>
      </w:r>
      <w:r>
        <w:rPr>
          <w:rFonts w:hint="eastAsia" w:ascii="Times New Roman" w:hAnsi="Times New Roman" w:eastAsia="黑体" w:cs="Times New Roman"/>
          <w:kern w:val="2"/>
          <w:sz w:val="32"/>
          <w:szCs w:val="24"/>
          <w:highlight w:val="none"/>
          <w:lang w:val="en-US" w:eastAsia="zh-CN" w:bidi="ar-SA"/>
        </w:rPr>
        <w:t>1</w:t>
      </w:r>
    </w:p>
    <w:p w14:paraId="6B52FCCF">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center"/>
        <w:outlineLvl w:val="9"/>
        <w:rPr>
          <w:rFonts w:hint="eastAsia" w:ascii="Times New Roman" w:hAnsi="Times New Roman" w:eastAsia="微软雅黑" w:cs="Times New Roman"/>
          <w:i w:val="0"/>
          <w:color w:val="000000"/>
          <w:kern w:val="0"/>
          <w:sz w:val="44"/>
          <w:szCs w:val="44"/>
          <w:u w:val="none"/>
          <w:lang w:val="en-US" w:eastAsia="zh-CN" w:bidi="ar"/>
        </w:rPr>
      </w:pPr>
      <w:r>
        <w:rPr>
          <w:rFonts w:hint="eastAsia" w:ascii="Times New Roman" w:hAnsi="Times New Roman" w:eastAsia="微软雅黑" w:cs="Times New Roman"/>
          <w:i w:val="0"/>
          <w:color w:val="000000"/>
          <w:kern w:val="0"/>
          <w:sz w:val="44"/>
          <w:szCs w:val="44"/>
          <w:u w:val="none"/>
          <w:lang w:val="en-US" w:eastAsia="zh-CN" w:bidi="ar"/>
        </w:rPr>
        <w:t>部门预算绩效自评打分表</w:t>
      </w:r>
    </w:p>
    <w:tbl>
      <w:tblPr>
        <w:tblStyle w:val="17"/>
        <w:tblW w:w="1081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04"/>
        <w:gridCol w:w="1252"/>
        <w:gridCol w:w="2160"/>
        <w:gridCol w:w="690"/>
        <w:gridCol w:w="4479"/>
        <w:gridCol w:w="756"/>
        <w:gridCol w:w="478"/>
      </w:tblGrid>
      <w:tr w14:paraId="27D63D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510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B75FAA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绩效评价指标指标分值</w:t>
            </w:r>
          </w:p>
        </w:tc>
        <w:tc>
          <w:tcPr>
            <w:tcW w:w="447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6A41D1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指标解释</w:t>
            </w:r>
          </w:p>
        </w:tc>
        <w:tc>
          <w:tcPr>
            <w:tcW w:w="756" w:type="dxa"/>
            <w:vMerge w:val="restart"/>
            <w:tcBorders>
              <w:top w:val="single" w:color="000000" w:sz="4" w:space="0"/>
              <w:left w:val="single" w:color="000000" w:sz="4" w:space="0"/>
              <w:right w:val="single" w:color="000000" w:sz="4" w:space="0"/>
            </w:tcBorders>
            <w:shd w:val="clear" w:color="auto" w:fill="auto"/>
            <w:vAlign w:val="center"/>
          </w:tcPr>
          <w:p w14:paraId="4E77EB5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color w:val="000000"/>
                <w:kern w:val="0"/>
                <w:sz w:val="24"/>
                <w:szCs w:val="24"/>
                <w:u w:val="none"/>
                <w:lang w:val="en-US" w:eastAsia="zh-CN" w:bidi="ar"/>
              </w:rPr>
            </w:pPr>
            <w:r>
              <w:rPr>
                <w:rFonts w:hint="eastAsia" w:ascii="黑体" w:hAnsi="宋体" w:eastAsia="黑体" w:cs="黑体"/>
                <w:i w:val="0"/>
                <w:color w:val="000000"/>
                <w:kern w:val="0"/>
                <w:sz w:val="24"/>
                <w:szCs w:val="24"/>
                <w:u w:val="none"/>
                <w:lang w:val="en-US" w:eastAsia="zh-CN" w:bidi="ar"/>
              </w:rPr>
              <w:t>自评得分</w:t>
            </w:r>
          </w:p>
        </w:tc>
        <w:tc>
          <w:tcPr>
            <w:tcW w:w="478" w:type="dxa"/>
            <w:vMerge w:val="restart"/>
            <w:tcBorders>
              <w:top w:val="single" w:color="000000" w:sz="4" w:space="0"/>
              <w:left w:val="single" w:color="000000" w:sz="4" w:space="0"/>
              <w:right w:val="single" w:color="000000" w:sz="4" w:space="0"/>
            </w:tcBorders>
            <w:shd w:val="clear" w:color="auto" w:fill="auto"/>
            <w:vAlign w:val="center"/>
          </w:tcPr>
          <w:p w14:paraId="33D060E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color w:val="000000"/>
                <w:kern w:val="0"/>
                <w:sz w:val="24"/>
                <w:szCs w:val="24"/>
                <w:u w:val="none"/>
                <w:lang w:val="en-US" w:eastAsia="zh-CN" w:bidi="ar"/>
              </w:rPr>
            </w:pPr>
            <w:r>
              <w:rPr>
                <w:rFonts w:hint="eastAsia" w:ascii="黑体" w:hAnsi="宋体" w:eastAsia="黑体" w:cs="黑体"/>
                <w:i w:val="0"/>
                <w:color w:val="000000"/>
                <w:kern w:val="0"/>
                <w:sz w:val="24"/>
                <w:szCs w:val="24"/>
                <w:u w:val="none"/>
                <w:lang w:val="en-US" w:eastAsia="zh-CN" w:bidi="ar"/>
              </w:rPr>
              <w:t>备注</w:t>
            </w:r>
          </w:p>
        </w:tc>
      </w:tr>
      <w:tr w14:paraId="7D80B4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tcBorders>
              <w:top w:val="single" w:color="000000" w:sz="4" w:space="0"/>
              <w:left w:val="single" w:color="000000" w:sz="4" w:space="0"/>
              <w:bottom w:val="single" w:color="000000" w:sz="4" w:space="0"/>
              <w:right w:val="nil"/>
            </w:tcBorders>
            <w:shd w:val="clear" w:color="auto" w:fill="auto"/>
            <w:vAlign w:val="center"/>
          </w:tcPr>
          <w:p w14:paraId="4C99BAC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color w:val="000000"/>
                <w:sz w:val="22"/>
                <w:szCs w:val="22"/>
                <w:u w:val="none"/>
              </w:rPr>
            </w:pPr>
            <w:r>
              <w:rPr>
                <w:rFonts w:hint="eastAsia" w:ascii="黑体" w:hAnsi="宋体" w:eastAsia="黑体" w:cs="黑体"/>
                <w:i w:val="0"/>
                <w:color w:val="000000"/>
                <w:kern w:val="0"/>
                <w:sz w:val="22"/>
                <w:szCs w:val="22"/>
                <w:u w:val="none"/>
                <w:lang w:val="en-US" w:eastAsia="zh-CN" w:bidi="ar"/>
              </w:rPr>
              <w:t>一级指标</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C4F34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color w:val="000000"/>
                <w:sz w:val="22"/>
                <w:szCs w:val="22"/>
                <w:u w:val="none"/>
              </w:rPr>
            </w:pPr>
            <w:r>
              <w:rPr>
                <w:rFonts w:hint="eastAsia" w:ascii="黑体" w:hAnsi="宋体" w:eastAsia="黑体" w:cs="黑体"/>
                <w:i w:val="0"/>
                <w:color w:val="000000"/>
                <w:kern w:val="0"/>
                <w:sz w:val="22"/>
                <w:szCs w:val="22"/>
                <w:u w:val="none"/>
                <w:lang w:val="en-US" w:eastAsia="zh-CN" w:bidi="ar"/>
              </w:rPr>
              <w:t>二级指标</w:t>
            </w:r>
          </w:p>
        </w:tc>
        <w:tc>
          <w:tcPr>
            <w:tcW w:w="2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838CB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color w:val="000000"/>
                <w:sz w:val="22"/>
                <w:szCs w:val="22"/>
                <w:u w:val="none"/>
              </w:rPr>
            </w:pPr>
            <w:r>
              <w:rPr>
                <w:rFonts w:hint="eastAsia" w:ascii="黑体" w:hAnsi="宋体" w:eastAsia="黑体" w:cs="黑体"/>
                <w:i w:val="0"/>
                <w:color w:val="000000"/>
                <w:kern w:val="0"/>
                <w:sz w:val="22"/>
                <w:szCs w:val="22"/>
                <w:u w:val="none"/>
                <w:lang w:val="en-US" w:eastAsia="zh-CN" w:bidi="ar"/>
              </w:rPr>
              <w:t>三级指标</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C282B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color w:val="000000"/>
                <w:sz w:val="22"/>
                <w:szCs w:val="22"/>
                <w:u w:val="none"/>
              </w:rPr>
            </w:pPr>
            <w:r>
              <w:rPr>
                <w:rFonts w:hint="eastAsia" w:ascii="黑体" w:hAnsi="宋体" w:eastAsia="黑体" w:cs="黑体"/>
                <w:i w:val="0"/>
                <w:color w:val="000000"/>
                <w:kern w:val="0"/>
                <w:sz w:val="22"/>
                <w:szCs w:val="22"/>
                <w:u w:val="none"/>
                <w:lang w:val="en-US" w:eastAsia="zh-CN" w:bidi="ar"/>
              </w:rPr>
              <w:t>指标</w:t>
            </w:r>
            <w:r>
              <w:rPr>
                <w:rFonts w:hint="eastAsia" w:ascii="黑体" w:hAnsi="宋体" w:eastAsia="黑体" w:cs="黑体"/>
                <w:i w:val="0"/>
                <w:color w:val="000000"/>
                <w:kern w:val="0"/>
                <w:sz w:val="22"/>
                <w:szCs w:val="22"/>
                <w:u w:val="none"/>
                <w:lang w:val="en-US" w:eastAsia="zh-CN" w:bidi="ar"/>
              </w:rPr>
              <w:br w:type="textWrapping"/>
            </w:r>
            <w:r>
              <w:rPr>
                <w:rFonts w:hint="eastAsia" w:ascii="黑体" w:hAnsi="宋体" w:eastAsia="黑体" w:cs="黑体"/>
                <w:i w:val="0"/>
                <w:color w:val="000000"/>
                <w:kern w:val="0"/>
                <w:sz w:val="22"/>
                <w:szCs w:val="22"/>
                <w:u w:val="none"/>
                <w:lang w:val="en-US" w:eastAsia="zh-CN" w:bidi="ar"/>
              </w:rPr>
              <w:t>分值</w:t>
            </w:r>
          </w:p>
        </w:tc>
        <w:tc>
          <w:tcPr>
            <w:tcW w:w="44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F90FAF">
            <w:pPr>
              <w:keepNext w:val="0"/>
              <w:keepLines w:val="0"/>
              <w:pageBreakBefore w:val="0"/>
              <w:widowControl/>
              <w:kinsoku/>
              <w:wordWrap/>
              <w:overflowPunct/>
              <w:topLinePunct w:val="0"/>
              <w:autoSpaceDE/>
              <w:autoSpaceDN/>
              <w:bidi w:val="0"/>
              <w:adjustRightInd/>
              <w:snapToGrid/>
              <w:spacing w:line="240" w:lineRule="exact"/>
              <w:jc w:val="center"/>
              <w:rPr>
                <w:rFonts w:hint="eastAsia" w:ascii="黑体" w:hAnsi="宋体" w:eastAsia="黑体" w:cs="黑体"/>
                <w:i w:val="0"/>
                <w:color w:val="000000"/>
                <w:sz w:val="20"/>
                <w:szCs w:val="20"/>
                <w:u w:val="none"/>
              </w:rPr>
            </w:pPr>
          </w:p>
        </w:tc>
        <w:tc>
          <w:tcPr>
            <w:tcW w:w="756" w:type="dxa"/>
            <w:vMerge w:val="continue"/>
            <w:tcBorders>
              <w:left w:val="single" w:color="000000" w:sz="4" w:space="0"/>
              <w:bottom w:val="single" w:color="000000" w:sz="4" w:space="0"/>
              <w:right w:val="single" w:color="000000" w:sz="4" w:space="0"/>
            </w:tcBorders>
            <w:shd w:val="clear" w:color="auto" w:fill="auto"/>
            <w:vAlign w:val="center"/>
          </w:tcPr>
          <w:p w14:paraId="2198D600">
            <w:pPr>
              <w:keepNext w:val="0"/>
              <w:keepLines w:val="0"/>
              <w:pageBreakBefore w:val="0"/>
              <w:widowControl/>
              <w:kinsoku/>
              <w:wordWrap/>
              <w:overflowPunct/>
              <w:topLinePunct w:val="0"/>
              <w:autoSpaceDE/>
              <w:autoSpaceDN/>
              <w:bidi w:val="0"/>
              <w:adjustRightInd/>
              <w:snapToGrid/>
              <w:spacing w:line="240" w:lineRule="exact"/>
              <w:jc w:val="center"/>
              <w:rPr>
                <w:rFonts w:hint="eastAsia" w:ascii="黑体" w:hAnsi="宋体" w:eastAsia="黑体" w:cs="黑体"/>
                <w:i w:val="0"/>
                <w:color w:val="000000"/>
                <w:sz w:val="20"/>
                <w:szCs w:val="20"/>
                <w:u w:val="none"/>
              </w:rPr>
            </w:pPr>
          </w:p>
        </w:tc>
        <w:tc>
          <w:tcPr>
            <w:tcW w:w="478" w:type="dxa"/>
            <w:vMerge w:val="continue"/>
            <w:tcBorders>
              <w:left w:val="single" w:color="000000" w:sz="4" w:space="0"/>
              <w:bottom w:val="single" w:color="000000" w:sz="4" w:space="0"/>
              <w:right w:val="single" w:color="000000" w:sz="4" w:space="0"/>
            </w:tcBorders>
            <w:shd w:val="clear" w:color="auto" w:fill="auto"/>
            <w:vAlign w:val="center"/>
          </w:tcPr>
          <w:p w14:paraId="3EB6B06A">
            <w:pPr>
              <w:keepNext w:val="0"/>
              <w:keepLines w:val="0"/>
              <w:pageBreakBefore w:val="0"/>
              <w:widowControl/>
              <w:kinsoku/>
              <w:wordWrap/>
              <w:overflowPunct/>
              <w:topLinePunct w:val="0"/>
              <w:autoSpaceDE/>
              <w:autoSpaceDN/>
              <w:bidi w:val="0"/>
              <w:adjustRightInd/>
              <w:snapToGrid/>
              <w:spacing w:line="240" w:lineRule="exact"/>
              <w:jc w:val="center"/>
              <w:rPr>
                <w:rFonts w:hint="eastAsia" w:ascii="黑体" w:hAnsi="宋体" w:eastAsia="黑体" w:cs="黑体"/>
                <w:i w:val="0"/>
                <w:color w:val="000000"/>
                <w:sz w:val="20"/>
                <w:szCs w:val="20"/>
                <w:u w:val="none"/>
              </w:rPr>
            </w:pPr>
          </w:p>
        </w:tc>
      </w:tr>
      <w:tr w14:paraId="61FC78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100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0E298D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总体绩效</w:t>
            </w:r>
            <w:r>
              <w:rPr>
                <w:rFonts w:hint="eastAsia" w:ascii="宋体" w:hAnsi="宋体" w:eastAsia="宋体" w:cs="宋体"/>
                <w:b/>
                <w:i w:val="0"/>
                <w:color w:val="000000"/>
                <w:kern w:val="0"/>
                <w:sz w:val="21"/>
                <w:szCs w:val="21"/>
                <w:u w:val="none"/>
                <w:lang w:val="en-US" w:eastAsia="zh-CN" w:bidi="ar"/>
              </w:rPr>
              <w:br w:type="textWrapping"/>
            </w:r>
            <w:r>
              <w:rPr>
                <w:rFonts w:hint="eastAsia" w:ascii="宋体" w:hAnsi="宋体" w:eastAsia="宋体" w:cs="宋体"/>
                <w:b/>
                <w:i w:val="0"/>
                <w:color w:val="000000"/>
                <w:kern w:val="0"/>
                <w:sz w:val="21"/>
                <w:szCs w:val="21"/>
                <w:u w:val="none"/>
                <w:lang w:val="en-US" w:eastAsia="zh-CN" w:bidi="ar"/>
              </w:rPr>
              <w:t>（65分）</w:t>
            </w:r>
          </w:p>
        </w:tc>
        <w:tc>
          <w:tcPr>
            <w:tcW w:w="1252" w:type="dxa"/>
            <w:vMerge w:val="restart"/>
            <w:tcBorders>
              <w:top w:val="single" w:color="000000" w:sz="4" w:space="0"/>
              <w:left w:val="single" w:color="000000" w:sz="4" w:space="0"/>
              <w:right w:val="single" w:color="000000" w:sz="4" w:space="0"/>
            </w:tcBorders>
            <w:shd w:val="clear" w:color="auto" w:fill="auto"/>
            <w:vAlign w:val="center"/>
          </w:tcPr>
          <w:p w14:paraId="418B823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履职效能</w:t>
            </w:r>
            <w:r>
              <w:rPr>
                <w:rFonts w:hint="eastAsia" w:ascii="宋体" w:hAnsi="宋体" w:eastAsia="宋体" w:cs="宋体"/>
                <w:b/>
                <w:i w:val="0"/>
                <w:color w:val="000000"/>
                <w:kern w:val="0"/>
                <w:sz w:val="21"/>
                <w:szCs w:val="21"/>
                <w:u w:val="none"/>
                <w:lang w:val="en-US" w:eastAsia="zh-CN" w:bidi="ar"/>
              </w:rPr>
              <w:br w:type="textWrapping"/>
            </w:r>
            <w:r>
              <w:rPr>
                <w:rFonts w:hint="eastAsia" w:ascii="宋体" w:hAnsi="宋体" w:eastAsia="宋体" w:cs="宋体"/>
                <w:b/>
                <w:i w:val="0"/>
                <w:color w:val="000000"/>
                <w:kern w:val="0"/>
                <w:sz w:val="21"/>
                <w:szCs w:val="21"/>
                <w:u w:val="none"/>
                <w:lang w:val="en-US" w:eastAsia="zh-CN" w:bidi="ar"/>
              </w:rPr>
              <w:t>（15分）</w:t>
            </w:r>
          </w:p>
        </w:tc>
        <w:tc>
          <w:tcPr>
            <w:tcW w:w="2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87EF1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地质灾害防治工作</w:t>
            </w:r>
          </w:p>
        </w:tc>
        <w:tc>
          <w:tcPr>
            <w:tcW w:w="690" w:type="dxa"/>
            <w:tcBorders>
              <w:top w:val="nil"/>
              <w:left w:val="single" w:color="000000" w:sz="4" w:space="0"/>
              <w:bottom w:val="single" w:color="000000" w:sz="4" w:space="0"/>
              <w:right w:val="single" w:color="000000" w:sz="4" w:space="0"/>
            </w:tcBorders>
            <w:shd w:val="clear" w:color="auto" w:fill="auto"/>
            <w:vAlign w:val="center"/>
          </w:tcPr>
          <w:p w14:paraId="44B29C3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5</w:t>
            </w:r>
          </w:p>
        </w:tc>
        <w:tc>
          <w:tcPr>
            <w:tcW w:w="4479" w:type="dxa"/>
            <w:vMerge w:val="restart"/>
            <w:tcBorders>
              <w:top w:val="single" w:color="000000" w:sz="4" w:space="0"/>
              <w:left w:val="single" w:color="000000" w:sz="4" w:space="0"/>
              <w:right w:val="single" w:color="000000" w:sz="4" w:space="0"/>
            </w:tcBorders>
            <w:shd w:val="clear" w:color="auto" w:fill="auto"/>
            <w:vAlign w:val="center"/>
          </w:tcPr>
          <w:p w14:paraId="3EEF9BF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部门整体绩效目标中选定3-5个核心职能目标，反映该项职能目标完成效果情况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42861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5</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06CFB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1"/>
                <w:szCs w:val="21"/>
                <w:u w:val="none"/>
                <w:lang w:val="en-US" w:eastAsia="zh-CN" w:bidi="ar"/>
              </w:rPr>
            </w:pPr>
          </w:p>
        </w:tc>
      </w:tr>
      <w:tr w14:paraId="718B0F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jc w:val="center"/>
        </w:trPr>
        <w:tc>
          <w:tcPr>
            <w:tcW w:w="1004" w:type="dxa"/>
            <w:vMerge w:val="continue"/>
            <w:tcBorders>
              <w:left w:val="single" w:color="000000" w:sz="4" w:space="0"/>
              <w:right w:val="single" w:color="000000" w:sz="4" w:space="0"/>
            </w:tcBorders>
            <w:shd w:val="clear" w:color="auto" w:fill="auto"/>
            <w:vAlign w:val="center"/>
          </w:tcPr>
          <w:p w14:paraId="094EE6B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kern w:val="0"/>
                <w:sz w:val="21"/>
                <w:szCs w:val="21"/>
                <w:u w:val="none"/>
                <w:lang w:val="en-US" w:eastAsia="zh-CN" w:bidi="ar"/>
              </w:rPr>
            </w:pPr>
          </w:p>
        </w:tc>
        <w:tc>
          <w:tcPr>
            <w:tcW w:w="1252" w:type="dxa"/>
            <w:vMerge w:val="continue"/>
            <w:tcBorders>
              <w:left w:val="single" w:color="000000" w:sz="4" w:space="0"/>
              <w:right w:val="single" w:color="000000" w:sz="4" w:space="0"/>
            </w:tcBorders>
            <w:shd w:val="clear" w:color="auto" w:fill="auto"/>
            <w:vAlign w:val="center"/>
          </w:tcPr>
          <w:p w14:paraId="0D52C23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kern w:val="0"/>
                <w:sz w:val="21"/>
                <w:szCs w:val="21"/>
                <w:u w:val="none"/>
                <w:lang w:val="en-US" w:eastAsia="zh-CN" w:bidi="ar"/>
              </w:rPr>
            </w:pPr>
          </w:p>
        </w:tc>
        <w:tc>
          <w:tcPr>
            <w:tcW w:w="2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D1788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开展农村房地一体确权登记工作</w:t>
            </w:r>
          </w:p>
        </w:tc>
        <w:tc>
          <w:tcPr>
            <w:tcW w:w="690" w:type="dxa"/>
            <w:tcBorders>
              <w:top w:val="nil"/>
              <w:left w:val="single" w:color="000000" w:sz="4" w:space="0"/>
              <w:bottom w:val="single" w:color="000000" w:sz="4" w:space="0"/>
              <w:right w:val="single" w:color="000000" w:sz="4" w:space="0"/>
            </w:tcBorders>
            <w:shd w:val="clear" w:color="auto" w:fill="auto"/>
            <w:vAlign w:val="center"/>
          </w:tcPr>
          <w:p w14:paraId="54A4AA0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5</w:t>
            </w:r>
          </w:p>
        </w:tc>
        <w:tc>
          <w:tcPr>
            <w:tcW w:w="4479" w:type="dxa"/>
            <w:vMerge w:val="continue"/>
            <w:tcBorders>
              <w:left w:val="single" w:color="000000" w:sz="4" w:space="0"/>
              <w:right w:val="single" w:color="000000" w:sz="4" w:space="0"/>
            </w:tcBorders>
            <w:shd w:val="clear" w:color="auto" w:fill="auto"/>
            <w:vAlign w:val="center"/>
          </w:tcPr>
          <w:p w14:paraId="21EA2CA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1"/>
                <w:szCs w:val="21"/>
                <w:u w:val="none"/>
                <w:lang w:val="en-US" w:eastAsia="zh-CN" w:bidi="ar"/>
              </w:rPr>
            </w:pP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A84C3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5</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0F5CA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1"/>
                <w:szCs w:val="21"/>
                <w:u w:val="none"/>
                <w:lang w:val="en-US" w:eastAsia="zh-CN" w:bidi="ar"/>
              </w:rPr>
            </w:pPr>
          </w:p>
        </w:tc>
      </w:tr>
      <w:tr w14:paraId="15AEA2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left w:val="single" w:color="000000" w:sz="4" w:space="0"/>
              <w:right w:val="single" w:color="000000" w:sz="4" w:space="0"/>
            </w:tcBorders>
            <w:shd w:val="clear" w:color="auto" w:fill="auto"/>
            <w:vAlign w:val="center"/>
          </w:tcPr>
          <w:p w14:paraId="7DCB403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kern w:val="0"/>
                <w:sz w:val="21"/>
                <w:szCs w:val="21"/>
                <w:u w:val="none"/>
                <w:lang w:val="en-US" w:eastAsia="zh-CN" w:bidi="ar"/>
              </w:rPr>
            </w:pPr>
          </w:p>
        </w:tc>
        <w:tc>
          <w:tcPr>
            <w:tcW w:w="1252" w:type="dxa"/>
            <w:vMerge w:val="continue"/>
            <w:tcBorders>
              <w:left w:val="single" w:color="000000" w:sz="4" w:space="0"/>
              <w:bottom w:val="single" w:color="000000" w:sz="4" w:space="0"/>
              <w:right w:val="single" w:color="000000" w:sz="4" w:space="0"/>
            </w:tcBorders>
            <w:shd w:val="clear" w:color="auto" w:fill="auto"/>
            <w:vAlign w:val="center"/>
          </w:tcPr>
          <w:p w14:paraId="4851195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kern w:val="0"/>
                <w:sz w:val="21"/>
                <w:szCs w:val="21"/>
                <w:u w:val="none"/>
                <w:lang w:val="en-US" w:eastAsia="zh-CN" w:bidi="ar"/>
              </w:rPr>
            </w:pPr>
          </w:p>
        </w:tc>
        <w:tc>
          <w:tcPr>
            <w:tcW w:w="2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9971E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林权类不动产登记</w:t>
            </w:r>
          </w:p>
        </w:tc>
        <w:tc>
          <w:tcPr>
            <w:tcW w:w="690" w:type="dxa"/>
            <w:tcBorders>
              <w:top w:val="nil"/>
              <w:left w:val="single" w:color="000000" w:sz="4" w:space="0"/>
              <w:bottom w:val="single" w:color="000000" w:sz="4" w:space="0"/>
              <w:right w:val="single" w:color="000000" w:sz="4" w:space="0"/>
            </w:tcBorders>
            <w:shd w:val="clear" w:color="auto" w:fill="auto"/>
            <w:vAlign w:val="center"/>
          </w:tcPr>
          <w:p w14:paraId="3EB346B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5</w:t>
            </w:r>
          </w:p>
        </w:tc>
        <w:tc>
          <w:tcPr>
            <w:tcW w:w="4479" w:type="dxa"/>
            <w:vMerge w:val="continue"/>
            <w:tcBorders>
              <w:left w:val="single" w:color="000000" w:sz="4" w:space="0"/>
              <w:bottom w:val="single" w:color="000000" w:sz="4" w:space="0"/>
              <w:right w:val="single" w:color="000000" w:sz="4" w:space="0"/>
            </w:tcBorders>
            <w:shd w:val="clear" w:color="auto" w:fill="auto"/>
            <w:vAlign w:val="center"/>
          </w:tcPr>
          <w:p w14:paraId="7B60F84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1"/>
                <w:szCs w:val="21"/>
                <w:u w:val="none"/>
                <w:lang w:val="en-US" w:eastAsia="zh-CN" w:bidi="ar"/>
              </w:rPr>
            </w:pP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B9BF2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5</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F4E18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1"/>
                <w:szCs w:val="21"/>
                <w:u w:val="none"/>
                <w:lang w:val="en-US" w:eastAsia="zh-CN" w:bidi="ar"/>
              </w:rPr>
            </w:pPr>
          </w:p>
        </w:tc>
      </w:tr>
      <w:tr w14:paraId="300E25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F2E40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1"/>
                <w:szCs w:val="21"/>
                <w:u w:val="none"/>
              </w:rPr>
            </w:pPr>
          </w:p>
        </w:tc>
        <w:tc>
          <w:tcPr>
            <w:tcW w:w="12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04FC7C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预算管理</w:t>
            </w:r>
            <w:r>
              <w:rPr>
                <w:rFonts w:hint="eastAsia" w:ascii="宋体" w:hAnsi="宋体" w:eastAsia="宋体" w:cs="宋体"/>
                <w:b/>
                <w:i w:val="0"/>
                <w:color w:val="000000"/>
                <w:kern w:val="0"/>
                <w:sz w:val="21"/>
                <w:szCs w:val="21"/>
                <w:u w:val="none"/>
                <w:lang w:val="en-US" w:eastAsia="zh-CN" w:bidi="ar"/>
              </w:rPr>
              <w:br w:type="textWrapping"/>
            </w:r>
            <w:r>
              <w:rPr>
                <w:rFonts w:hint="eastAsia" w:ascii="宋体" w:hAnsi="宋体" w:eastAsia="宋体" w:cs="宋体"/>
                <w:b/>
                <w:i w:val="0"/>
                <w:color w:val="000000"/>
                <w:kern w:val="0"/>
                <w:sz w:val="21"/>
                <w:szCs w:val="21"/>
                <w:u w:val="none"/>
                <w:lang w:val="en-US" w:eastAsia="zh-CN" w:bidi="ar"/>
              </w:rPr>
              <w:t>（25分）</w:t>
            </w:r>
          </w:p>
        </w:tc>
        <w:tc>
          <w:tcPr>
            <w:tcW w:w="2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C0CF5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预算编制质量</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B4167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8</w:t>
            </w:r>
          </w:p>
        </w:tc>
        <w:tc>
          <w:tcPr>
            <w:tcW w:w="4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BE60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部门是否严格按要求编制年初部门预算，年初预算编制的科学性和准确性</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D89AC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6</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63EAB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1"/>
                <w:szCs w:val="21"/>
                <w:u w:val="none"/>
                <w:lang w:val="en-US" w:eastAsia="zh-CN" w:bidi="ar"/>
              </w:rPr>
            </w:pPr>
          </w:p>
        </w:tc>
      </w:tr>
      <w:tr w14:paraId="3F664E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385B5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1"/>
                <w:szCs w:val="21"/>
                <w:u w:val="none"/>
              </w:rPr>
            </w:pPr>
          </w:p>
        </w:tc>
        <w:tc>
          <w:tcPr>
            <w:tcW w:w="12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BC1A8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1"/>
                <w:szCs w:val="21"/>
                <w:u w:val="none"/>
              </w:rPr>
            </w:pPr>
          </w:p>
        </w:tc>
        <w:tc>
          <w:tcPr>
            <w:tcW w:w="2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9CCF2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单位收入统筹</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9C75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4</w:t>
            </w:r>
          </w:p>
        </w:tc>
        <w:tc>
          <w:tcPr>
            <w:tcW w:w="4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1A0B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部门统筹自有收入程度</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069FC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2</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D30D0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1"/>
                <w:szCs w:val="21"/>
                <w:u w:val="none"/>
                <w:lang w:val="en-US" w:eastAsia="zh-CN" w:bidi="ar"/>
              </w:rPr>
            </w:pPr>
          </w:p>
        </w:tc>
      </w:tr>
      <w:tr w14:paraId="2D653F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3DBE0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1"/>
                <w:szCs w:val="21"/>
                <w:u w:val="none"/>
              </w:rPr>
            </w:pPr>
          </w:p>
        </w:tc>
        <w:tc>
          <w:tcPr>
            <w:tcW w:w="12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B418B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1"/>
                <w:szCs w:val="21"/>
                <w:u w:val="none"/>
              </w:rPr>
            </w:pPr>
          </w:p>
        </w:tc>
        <w:tc>
          <w:tcPr>
            <w:tcW w:w="2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E6B22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支出执行进度</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D8EC3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6</w:t>
            </w:r>
          </w:p>
        </w:tc>
        <w:tc>
          <w:tcPr>
            <w:tcW w:w="4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74493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部门1至6月、1至10月预算执行情况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D1EAD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6</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FBF0D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1"/>
                <w:szCs w:val="21"/>
                <w:u w:val="none"/>
                <w:lang w:val="en-US" w:eastAsia="zh-CN" w:bidi="ar"/>
              </w:rPr>
            </w:pPr>
          </w:p>
        </w:tc>
      </w:tr>
      <w:tr w14:paraId="5AE238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CD9DE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1"/>
                <w:szCs w:val="21"/>
                <w:u w:val="none"/>
              </w:rPr>
            </w:pPr>
          </w:p>
        </w:tc>
        <w:tc>
          <w:tcPr>
            <w:tcW w:w="12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A9835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1"/>
                <w:szCs w:val="21"/>
                <w:u w:val="none"/>
              </w:rPr>
            </w:pPr>
          </w:p>
        </w:tc>
        <w:tc>
          <w:tcPr>
            <w:tcW w:w="2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6AA1F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预算年终结余</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04BC0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w:t>
            </w:r>
          </w:p>
        </w:tc>
        <w:tc>
          <w:tcPr>
            <w:tcW w:w="4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A104F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部门整体年终预算结余情况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4C691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2</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D3583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1"/>
                <w:szCs w:val="21"/>
                <w:u w:val="none"/>
                <w:lang w:val="en-US" w:eastAsia="zh-CN" w:bidi="ar"/>
              </w:rPr>
            </w:pPr>
          </w:p>
        </w:tc>
      </w:tr>
      <w:tr w14:paraId="481ED0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A75CD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1"/>
                <w:szCs w:val="21"/>
                <w:u w:val="none"/>
              </w:rPr>
            </w:pPr>
          </w:p>
        </w:tc>
        <w:tc>
          <w:tcPr>
            <w:tcW w:w="12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5A6C7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1"/>
                <w:szCs w:val="21"/>
                <w:u w:val="none"/>
              </w:rPr>
            </w:pPr>
          </w:p>
        </w:tc>
        <w:tc>
          <w:tcPr>
            <w:tcW w:w="2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3F33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严控一般性支出</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754D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5</w:t>
            </w:r>
          </w:p>
        </w:tc>
        <w:tc>
          <w:tcPr>
            <w:tcW w:w="4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24F6E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部门严控“三公”经费、会议、培训、差旅、办节办展、办公设备购置、信息网络及软件购置更新、课题经费等8项一般性支出情况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70F0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5</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F032B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1"/>
                <w:szCs w:val="21"/>
                <w:u w:val="none"/>
                <w:lang w:val="en-US" w:eastAsia="zh-CN" w:bidi="ar"/>
              </w:rPr>
            </w:pPr>
          </w:p>
        </w:tc>
      </w:tr>
      <w:tr w14:paraId="148AFE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B3580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1"/>
                <w:szCs w:val="21"/>
                <w:u w:val="none"/>
              </w:rPr>
            </w:pPr>
          </w:p>
        </w:tc>
        <w:tc>
          <w:tcPr>
            <w:tcW w:w="12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C6568D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财务管理</w:t>
            </w:r>
            <w:r>
              <w:rPr>
                <w:rFonts w:hint="eastAsia" w:ascii="宋体" w:hAnsi="宋体" w:eastAsia="宋体" w:cs="宋体"/>
                <w:b/>
                <w:i w:val="0"/>
                <w:color w:val="000000"/>
                <w:kern w:val="0"/>
                <w:sz w:val="21"/>
                <w:szCs w:val="21"/>
                <w:u w:val="none"/>
                <w:lang w:val="en-US" w:eastAsia="zh-CN" w:bidi="ar"/>
              </w:rPr>
              <w:br w:type="textWrapping"/>
            </w:r>
            <w:r>
              <w:rPr>
                <w:rFonts w:hint="eastAsia" w:ascii="宋体" w:hAnsi="宋体" w:eastAsia="宋体" w:cs="宋体"/>
                <w:b/>
                <w:i w:val="0"/>
                <w:color w:val="000000"/>
                <w:kern w:val="0"/>
                <w:sz w:val="21"/>
                <w:szCs w:val="21"/>
                <w:u w:val="none"/>
                <w:lang w:val="en-US" w:eastAsia="zh-CN" w:bidi="ar"/>
              </w:rPr>
              <w:t>（10分）</w:t>
            </w:r>
          </w:p>
        </w:tc>
        <w:tc>
          <w:tcPr>
            <w:tcW w:w="2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9A5E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财务管理制度</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B71B0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4</w:t>
            </w:r>
          </w:p>
        </w:tc>
        <w:tc>
          <w:tcPr>
            <w:tcW w:w="4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7F463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部门财务管理制度建立情况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6C394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EF7FD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1"/>
                <w:szCs w:val="21"/>
                <w:u w:val="none"/>
                <w:lang w:val="en-US" w:eastAsia="zh-CN" w:bidi="ar"/>
              </w:rPr>
            </w:pPr>
          </w:p>
        </w:tc>
      </w:tr>
      <w:tr w14:paraId="5C4D61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7E612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1"/>
                <w:szCs w:val="21"/>
                <w:u w:val="none"/>
              </w:rPr>
            </w:pPr>
          </w:p>
        </w:tc>
        <w:tc>
          <w:tcPr>
            <w:tcW w:w="12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4F196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1"/>
                <w:szCs w:val="21"/>
                <w:u w:val="none"/>
              </w:rPr>
            </w:pPr>
          </w:p>
        </w:tc>
        <w:tc>
          <w:tcPr>
            <w:tcW w:w="2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438DA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财务岗位设置</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DB2FE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w:t>
            </w:r>
          </w:p>
        </w:tc>
        <w:tc>
          <w:tcPr>
            <w:tcW w:w="4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7669A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部门财务岗位设置是否符合相关财务管理制度要求</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BDE80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2</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7ED68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1"/>
                <w:szCs w:val="21"/>
                <w:u w:val="none"/>
                <w:lang w:val="en-US" w:eastAsia="zh-CN" w:bidi="ar"/>
              </w:rPr>
            </w:pPr>
          </w:p>
        </w:tc>
      </w:tr>
      <w:tr w14:paraId="247533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8EC17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1"/>
                <w:szCs w:val="21"/>
                <w:u w:val="none"/>
              </w:rPr>
            </w:pPr>
          </w:p>
        </w:tc>
        <w:tc>
          <w:tcPr>
            <w:tcW w:w="12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65482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1"/>
                <w:szCs w:val="21"/>
                <w:u w:val="none"/>
              </w:rPr>
            </w:pPr>
          </w:p>
        </w:tc>
        <w:tc>
          <w:tcPr>
            <w:tcW w:w="2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B0542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资金使用规范</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55B3D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4</w:t>
            </w:r>
          </w:p>
        </w:tc>
        <w:tc>
          <w:tcPr>
            <w:tcW w:w="4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E2B48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部门资金使用是否符合相关财务管理制度规定</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42519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93111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1"/>
                <w:szCs w:val="21"/>
                <w:u w:val="none"/>
                <w:lang w:val="en-US" w:eastAsia="zh-CN" w:bidi="ar"/>
              </w:rPr>
            </w:pPr>
          </w:p>
        </w:tc>
      </w:tr>
      <w:tr w14:paraId="7083D5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F74D8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1"/>
                <w:szCs w:val="21"/>
                <w:u w:val="none"/>
              </w:rPr>
            </w:pPr>
          </w:p>
        </w:tc>
        <w:tc>
          <w:tcPr>
            <w:tcW w:w="12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EF7DA8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资产管理</w:t>
            </w:r>
            <w:r>
              <w:rPr>
                <w:rFonts w:hint="eastAsia" w:ascii="宋体" w:hAnsi="宋体" w:eastAsia="宋体" w:cs="宋体"/>
                <w:b/>
                <w:i w:val="0"/>
                <w:color w:val="000000"/>
                <w:kern w:val="0"/>
                <w:sz w:val="21"/>
                <w:szCs w:val="21"/>
                <w:u w:val="none"/>
                <w:lang w:val="en-US" w:eastAsia="zh-CN" w:bidi="ar"/>
              </w:rPr>
              <w:br w:type="textWrapping"/>
            </w:r>
            <w:r>
              <w:rPr>
                <w:rFonts w:hint="eastAsia" w:ascii="宋体" w:hAnsi="宋体" w:eastAsia="宋体" w:cs="宋体"/>
                <w:b/>
                <w:i w:val="0"/>
                <w:color w:val="000000"/>
                <w:kern w:val="0"/>
                <w:sz w:val="21"/>
                <w:szCs w:val="21"/>
                <w:u w:val="none"/>
                <w:lang w:val="en-US" w:eastAsia="zh-CN" w:bidi="ar"/>
              </w:rPr>
              <w:t>（9分）</w:t>
            </w:r>
          </w:p>
        </w:tc>
        <w:tc>
          <w:tcPr>
            <w:tcW w:w="2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F8CB4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人均资产变化率</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CC989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3</w:t>
            </w:r>
          </w:p>
        </w:tc>
        <w:tc>
          <w:tcPr>
            <w:tcW w:w="4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5AB9A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部门人均资产变化情况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5C35E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AD3B3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1"/>
                <w:szCs w:val="21"/>
                <w:u w:val="none"/>
                <w:lang w:val="en-US" w:eastAsia="zh-CN" w:bidi="ar"/>
              </w:rPr>
            </w:pPr>
          </w:p>
        </w:tc>
      </w:tr>
      <w:tr w14:paraId="065EFD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140DC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1"/>
                <w:szCs w:val="21"/>
                <w:u w:val="none"/>
              </w:rPr>
            </w:pPr>
          </w:p>
        </w:tc>
        <w:tc>
          <w:tcPr>
            <w:tcW w:w="12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B6345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1"/>
                <w:szCs w:val="21"/>
                <w:u w:val="none"/>
              </w:rPr>
            </w:pPr>
          </w:p>
        </w:tc>
        <w:tc>
          <w:tcPr>
            <w:tcW w:w="2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1B211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资产利用率</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2D6F9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3</w:t>
            </w:r>
          </w:p>
        </w:tc>
        <w:tc>
          <w:tcPr>
            <w:tcW w:w="4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E6BF2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部门资产超最低使用年限情况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2EA6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6DFE8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1"/>
                <w:szCs w:val="21"/>
                <w:u w:val="none"/>
                <w:lang w:val="en-US" w:eastAsia="zh-CN" w:bidi="ar"/>
              </w:rPr>
            </w:pPr>
          </w:p>
        </w:tc>
      </w:tr>
      <w:tr w14:paraId="416AD7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00C3C6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总体绩效</w:t>
            </w:r>
            <w:r>
              <w:rPr>
                <w:rFonts w:hint="eastAsia" w:ascii="宋体" w:hAnsi="宋体" w:eastAsia="宋体" w:cs="宋体"/>
                <w:b/>
                <w:i w:val="0"/>
                <w:color w:val="000000"/>
                <w:kern w:val="0"/>
                <w:sz w:val="21"/>
                <w:szCs w:val="21"/>
                <w:u w:val="none"/>
                <w:lang w:val="en-US" w:eastAsia="zh-CN" w:bidi="ar"/>
              </w:rPr>
              <w:br w:type="textWrapping"/>
            </w:r>
            <w:r>
              <w:rPr>
                <w:rFonts w:hint="eastAsia" w:ascii="宋体" w:hAnsi="宋体" w:eastAsia="宋体" w:cs="宋体"/>
                <w:b/>
                <w:i w:val="0"/>
                <w:color w:val="000000"/>
                <w:kern w:val="0"/>
                <w:sz w:val="21"/>
                <w:szCs w:val="21"/>
                <w:u w:val="none"/>
                <w:lang w:val="en-US" w:eastAsia="zh-CN" w:bidi="ar"/>
              </w:rPr>
              <w:t>（65分）</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416C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资产管理</w:t>
            </w:r>
            <w:r>
              <w:rPr>
                <w:rFonts w:hint="eastAsia" w:ascii="宋体" w:hAnsi="宋体" w:eastAsia="宋体" w:cs="宋体"/>
                <w:b/>
                <w:i w:val="0"/>
                <w:color w:val="000000"/>
                <w:kern w:val="0"/>
                <w:sz w:val="21"/>
                <w:szCs w:val="21"/>
                <w:u w:val="none"/>
                <w:lang w:val="en-US" w:eastAsia="zh-CN" w:bidi="ar"/>
              </w:rPr>
              <w:br w:type="textWrapping"/>
            </w:r>
            <w:r>
              <w:rPr>
                <w:rFonts w:hint="eastAsia" w:ascii="宋体" w:hAnsi="宋体" w:eastAsia="宋体" w:cs="宋体"/>
                <w:b/>
                <w:i w:val="0"/>
                <w:color w:val="000000"/>
                <w:kern w:val="0"/>
                <w:sz w:val="21"/>
                <w:szCs w:val="21"/>
                <w:u w:val="none"/>
                <w:lang w:val="en-US" w:eastAsia="zh-CN" w:bidi="ar"/>
              </w:rPr>
              <w:t>（9分）</w:t>
            </w:r>
          </w:p>
        </w:tc>
        <w:tc>
          <w:tcPr>
            <w:tcW w:w="2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F458B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资产盘活率</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D25F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3</w:t>
            </w:r>
          </w:p>
        </w:tc>
        <w:tc>
          <w:tcPr>
            <w:tcW w:w="4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BBB2C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部门闲置一年以上的资产盘活情况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F4428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0</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41CF2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1"/>
                <w:szCs w:val="21"/>
                <w:u w:val="none"/>
                <w:lang w:val="en-US" w:eastAsia="zh-CN" w:bidi="ar"/>
              </w:rPr>
            </w:pPr>
          </w:p>
        </w:tc>
      </w:tr>
      <w:tr w14:paraId="1795B1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B8B39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1"/>
                <w:szCs w:val="21"/>
                <w:u w:val="none"/>
              </w:rPr>
            </w:pPr>
          </w:p>
        </w:tc>
        <w:tc>
          <w:tcPr>
            <w:tcW w:w="12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EC094D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采购管理</w:t>
            </w:r>
            <w:r>
              <w:rPr>
                <w:rFonts w:hint="eastAsia" w:ascii="宋体" w:hAnsi="宋体" w:eastAsia="宋体" w:cs="宋体"/>
                <w:b/>
                <w:i w:val="0"/>
                <w:color w:val="000000"/>
                <w:kern w:val="0"/>
                <w:sz w:val="21"/>
                <w:szCs w:val="21"/>
                <w:u w:val="none"/>
                <w:lang w:val="en-US" w:eastAsia="zh-CN" w:bidi="ar"/>
              </w:rPr>
              <w:br w:type="textWrapping"/>
            </w:r>
            <w:r>
              <w:rPr>
                <w:rFonts w:hint="eastAsia" w:ascii="宋体" w:hAnsi="宋体" w:eastAsia="宋体" w:cs="宋体"/>
                <w:b/>
                <w:i w:val="0"/>
                <w:color w:val="000000"/>
                <w:kern w:val="0"/>
                <w:sz w:val="21"/>
                <w:szCs w:val="21"/>
                <w:u w:val="none"/>
                <w:lang w:val="en-US" w:eastAsia="zh-CN" w:bidi="ar"/>
              </w:rPr>
              <w:t>（6分）</w:t>
            </w:r>
          </w:p>
        </w:tc>
        <w:tc>
          <w:tcPr>
            <w:tcW w:w="2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5E08B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支持中小企业发展</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A4251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3</w:t>
            </w:r>
          </w:p>
        </w:tc>
        <w:tc>
          <w:tcPr>
            <w:tcW w:w="4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3723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部门是否严格执行政府采购促进中小企业发展相关管理办法</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FF999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C2841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1"/>
                <w:szCs w:val="21"/>
                <w:u w:val="none"/>
                <w:lang w:val="en-US" w:eastAsia="zh-CN" w:bidi="ar"/>
              </w:rPr>
            </w:pPr>
          </w:p>
        </w:tc>
      </w:tr>
      <w:tr w14:paraId="1042FE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90B53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1"/>
                <w:szCs w:val="21"/>
                <w:u w:val="none"/>
              </w:rPr>
            </w:pPr>
          </w:p>
        </w:tc>
        <w:tc>
          <w:tcPr>
            <w:tcW w:w="12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CD1B6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1"/>
                <w:szCs w:val="21"/>
                <w:u w:val="none"/>
              </w:rPr>
            </w:pPr>
          </w:p>
        </w:tc>
        <w:tc>
          <w:tcPr>
            <w:tcW w:w="2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EADEE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采购执行率</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EA0B2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3</w:t>
            </w:r>
          </w:p>
        </w:tc>
        <w:tc>
          <w:tcPr>
            <w:tcW w:w="4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EE385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部门政府采购项目资金支付比例情况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8C404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45409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1"/>
                <w:szCs w:val="21"/>
                <w:u w:val="none"/>
                <w:lang w:val="en-US" w:eastAsia="zh-CN" w:bidi="ar"/>
              </w:rPr>
            </w:pPr>
          </w:p>
        </w:tc>
      </w:tr>
      <w:tr w14:paraId="4DD168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924972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项目绩效</w:t>
            </w:r>
            <w:r>
              <w:rPr>
                <w:rFonts w:hint="eastAsia" w:ascii="宋体" w:hAnsi="宋体" w:eastAsia="宋体" w:cs="宋体"/>
                <w:b/>
                <w:i w:val="0"/>
                <w:color w:val="000000"/>
                <w:kern w:val="0"/>
                <w:sz w:val="21"/>
                <w:szCs w:val="21"/>
                <w:u w:val="none"/>
                <w:lang w:val="en-US" w:eastAsia="zh-CN" w:bidi="ar"/>
              </w:rPr>
              <w:br w:type="textWrapping"/>
            </w:r>
            <w:r>
              <w:rPr>
                <w:rFonts w:hint="eastAsia" w:ascii="宋体" w:hAnsi="宋体" w:eastAsia="宋体" w:cs="宋体"/>
                <w:b/>
                <w:i w:val="0"/>
                <w:color w:val="000000"/>
                <w:kern w:val="0"/>
                <w:sz w:val="21"/>
                <w:szCs w:val="21"/>
                <w:u w:val="none"/>
                <w:lang w:val="en-US" w:eastAsia="zh-CN" w:bidi="ar"/>
              </w:rPr>
              <w:t>（35分）</w:t>
            </w:r>
          </w:p>
        </w:tc>
        <w:tc>
          <w:tcPr>
            <w:tcW w:w="1252" w:type="dxa"/>
            <w:vMerge w:val="restart"/>
            <w:tcBorders>
              <w:top w:val="single" w:color="000000" w:sz="4" w:space="0"/>
              <w:left w:val="single" w:color="000000" w:sz="4" w:space="0"/>
              <w:bottom w:val="nil"/>
              <w:right w:val="single" w:color="000000" w:sz="4" w:space="0"/>
            </w:tcBorders>
            <w:shd w:val="clear" w:color="auto" w:fill="auto"/>
            <w:vAlign w:val="center"/>
          </w:tcPr>
          <w:p w14:paraId="2DE474E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项目决策</w:t>
            </w:r>
            <w:r>
              <w:rPr>
                <w:rFonts w:hint="eastAsia" w:ascii="宋体" w:hAnsi="宋体" w:eastAsia="宋体" w:cs="宋体"/>
                <w:b/>
                <w:i w:val="0"/>
                <w:color w:val="000000"/>
                <w:kern w:val="0"/>
                <w:sz w:val="21"/>
                <w:szCs w:val="21"/>
                <w:u w:val="none"/>
                <w:lang w:val="en-US" w:eastAsia="zh-CN" w:bidi="ar"/>
              </w:rPr>
              <w:br w:type="textWrapping"/>
            </w:r>
            <w:r>
              <w:rPr>
                <w:rFonts w:hint="eastAsia" w:ascii="宋体" w:hAnsi="宋体" w:eastAsia="宋体" w:cs="宋体"/>
                <w:b/>
                <w:i w:val="0"/>
                <w:color w:val="000000"/>
                <w:kern w:val="0"/>
                <w:sz w:val="21"/>
                <w:szCs w:val="21"/>
                <w:u w:val="none"/>
                <w:lang w:val="en-US" w:eastAsia="zh-CN" w:bidi="ar"/>
              </w:rPr>
              <w:t>（12分）</w:t>
            </w:r>
          </w:p>
        </w:tc>
        <w:tc>
          <w:tcPr>
            <w:tcW w:w="2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5615A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决策程序</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6D3E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4</w:t>
            </w:r>
          </w:p>
        </w:tc>
        <w:tc>
          <w:tcPr>
            <w:tcW w:w="4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6E159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部门预算项目设立是否按规定履行评估论证、申报程序</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778AD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28703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1"/>
                <w:szCs w:val="21"/>
                <w:u w:val="none"/>
                <w:lang w:val="en-US" w:eastAsia="zh-CN" w:bidi="ar"/>
              </w:rPr>
            </w:pPr>
          </w:p>
        </w:tc>
      </w:tr>
      <w:tr w14:paraId="71AEEB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2DFA6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1"/>
                <w:szCs w:val="21"/>
                <w:u w:val="none"/>
              </w:rPr>
            </w:pPr>
          </w:p>
        </w:tc>
        <w:tc>
          <w:tcPr>
            <w:tcW w:w="1252" w:type="dxa"/>
            <w:vMerge w:val="continue"/>
            <w:tcBorders>
              <w:top w:val="single" w:color="000000" w:sz="4" w:space="0"/>
              <w:left w:val="single" w:color="000000" w:sz="4" w:space="0"/>
              <w:bottom w:val="nil"/>
              <w:right w:val="single" w:color="000000" w:sz="4" w:space="0"/>
            </w:tcBorders>
            <w:shd w:val="clear" w:color="auto" w:fill="auto"/>
            <w:vAlign w:val="center"/>
          </w:tcPr>
          <w:p w14:paraId="68EF66C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1"/>
                <w:szCs w:val="21"/>
                <w:u w:val="none"/>
              </w:rPr>
            </w:pPr>
          </w:p>
        </w:tc>
        <w:tc>
          <w:tcPr>
            <w:tcW w:w="2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AA81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目标设置</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6C37D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4</w:t>
            </w:r>
          </w:p>
        </w:tc>
        <w:tc>
          <w:tcPr>
            <w:tcW w:w="4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C8788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部门预算项目绩效目标与计划期内的任务量、预算安排的资金量匹配情况，绩效目标设置是否科学合理、规范完整、量化细化、预算匹配</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AC819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FE5BC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1"/>
                <w:szCs w:val="21"/>
                <w:u w:val="none"/>
                <w:lang w:val="en-US" w:eastAsia="zh-CN" w:bidi="ar"/>
              </w:rPr>
            </w:pPr>
          </w:p>
        </w:tc>
      </w:tr>
      <w:tr w14:paraId="5C69AA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4E66F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1"/>
                <w:szCs w:val="21"/>
                <w:u w:val="none"/>
              </w:rPr>
            </w:pPr>
          </w:p>
        </w:tc>
        <w:tc>
          <w:tcPr>
            <w:tcW w:w="1252" w:type="dxa"/>
            <w:vMerge w:val="continue"/>
            <w:tcBorders>
              <w:top w:val="single" w:color="000000" w:sz="4" w:space="0"/>
              <w:left w:val="single" w:color="000000" w:sz="4" w:space="0"/>
              <w:bottom w:val="nil"/>
              <w:right w:val="single" w:color="000000" w:sz="4" w:space="0"/>
            </w:tcBorders>
            <w:shd w:val="clear" w:color="auto" w:fill="auto"/>
            <w:vAlign w:val="center"/>
          </w:tcPr>
          <w:p w14:paraId="5C135A0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1"/>
                <w:szCs w:val="21"/>
                <w:u w:val="none"/>
              </w:rPr>
            </w:pPr>
          </w:p>
        </w:tc>
        <w:tc>
          <w:tcPr>
            <w:tcW w:w="2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BD88A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项目入库</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3A171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4</w:t>
            </w:r>
          </w:p>
        </w:tc>
        <w:tc>
          <w:tcPr>
            <w:tcW w:w="4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2D475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部门预算项目是否在规定时间完成项目入库</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85836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2E2E2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1"/>
                <w:szCs w:val="21"/>
                <w:u w:val="none"/>
                <w:lang w:val="en-US" w:eastAsia="zh-CN" w:bidi="ar"/>
              </w:rPr>
            </w:pPr>
          </w:p>
        </w:tc>
      </w:tr>
      <w:tr w14:paraId="45A19D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6A009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1"/>
                <w:szCs w:val="21"/>
                <w:u w:val="none"/>
              </w:rPr>
            </w:pPr>
          </w:p>
        </w:tc>
        <w:tc>
          <w:tcPr>
            <w:tcW w:w="1252" w:type="dxa"/>
            <w:vMerge w:val="restart"/>
            <w:tcBorders>
              <w:top w:val="single" w:color="000000" w:sz="4" w:space="0"/>
              <w:left w:val="single" w:color="000000" w:sz="4" w:space="0"/>
              <w:bottom w:val="nil"/>
              <w:right w:val="single" w:color="000000" w:sz="4" w:space="0"/>
            </w:tcBorders>
            <w:shd w:val="clear" w:color="auto" w:fill="auto"/>
            <w:vAlign w:val="center"/>
          </w:tcPr>
          <w:p w14:paraId="283D5BB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项目执行</w:t>
            </w:r>
            <w:r>
              <w:rPr>
                <w:rFonts w:hint="eastAsia" w:ascii="宋体" w:hAnsi="宋体" w:eastAsia="宋体" w:cs="宋体"/>
                <w:b/>
                <w:i w:val="0"/>
                <w:color w:val="000000"/>
                <w:kern w:val="0"/>
                <w:sz w:val="21"/>
                <w:szCs w:val="21"/>
                <w:u w:val="none"/>
                <w:lang w:val="en-US" w:eastAsia="zh-CN" w:bidi="ar"/>
              </w:rPr>
              <w:br w:type="textWrapping"/>
            </w:r>
            <w:r>
              <w:rPr>
                <w:rFonts w:hint="eastAsia" w:ascii="宋体" w:hAnsi="宋体" w:eastAsia="宋体" w:cs="宋体"/>
                <w:b/>
                <w:i w:val="0"/>
                <w:color w:val="000000"/>
                <w:kern w:val="0"/>
                <w:sz w:val="21"/>
                <w:szCs w:val="21"/>
                <w:u w:val="none"/>
                <w:lang w:val="en-US" w:eastAsia="zh-CN" w:bidi="ar"/>
              </w:rPr>
              <w:t>（12分）</w:t>
            </w:r>
          </w:p>
        </w:tc>
        <w:tc>
          <w:tcPr>
            <w:tcW w:w="2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FC20F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执行同向</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66D05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4</w:t>
            </w:r>
          </w:p>
        </w:tc>
        <w:tc>
          <w:tcPr>
            <w:tcW w:w="4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8CD28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部门预算项目实际列支内容是否与绩效目标设置方向相符</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66668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D9958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1"/>
                <w:szCs w:val="21"/>
                <w:u w:val="none"/>
                <w:lang w:val="en-US" w:eastAsia="zh-CN" w:bidi="ar"/>
              </w:rPr>
            </w:pPr>
          </w:p>
        </w:tc>
      </w:tr>
      <w:tr w14:paraId="3535B5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745CD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1"/>
                <w:szCs w:val="21"/>
                <w:u w:val="none"/>
              </w:rPr>
            </w:pPr>
          </w:p>
        </w:tc>
        <w:tc>
          <w:tcPr>
            <w:tcW w:w="1252" w:type="dxa"/>
            <w:vMerge w:val="continue"/>
            <w:tcBorders>
              <w:top w:val="single" w:color="000000" w:sz="4" w:space="0"/>
              <w:left w:val="single" w:color="000000" w:sz="4" w:space="0"/>
              <w:bottom w:val="nil"/>
              <w:right w:val="single" w:color="000000" w:sz="4" w:space="0"/>
            </w:tcBorders>
            <w:shd w:val="clear" w:color="auto" w:fill="auto"/>
            <w:vAlign w:val="center"/>
          </w:tcPr>
          <w:p w14:paraId="3537E69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1"/>
                <w:szCs w:val="21"/>
                <w:u w:val="none"/>
              </w:rPr>
            </w:pPr>
          </w:p>
        </w:tc>
        <w:tc>
          <w:tcPr>
            <w:tcW w:w="2160" w:type="dxa"/>
            <w:tcBorders>
              <w:top w:val="single" w:color="000000" w:sz="4" w:space="0"/>
              <w:left w:val="single" w:color="000000" w:sz="4" w:space="0"/>
              <w:bottom w:val="nil"/>
              <w:right w:val="single" w:color="000000" w:sz="4" w:space="0"/>
            </w:tcBorders>
            <w:shd w:val="clear" w:color="auto" w:fill="auto"/>
            <w:vAlign w:val="center"/>
          </w:tcPr>
          <w:p w14:paraId="76D9A8B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项目调整</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2BB54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4</w:t>
            </w:r>
          </w:p>
        </w:tc>
        <w:tc>
          <w:tcPr>
            <w:tcW w:w="4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8B35A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部门预算项目是否采取对应调整措施</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7B5B5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D787F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1"/>
                <w:szCs w:val="21"/>
                <w:u w:val="none"/>
                <w:lang w:val="en-US" w:eastAsia="zh-CN" w:bidi="ar"/>
              </w:rPr>
            </w:pPr>
          </w:p>
        </w:tc>
      </w:tr>
      <w:tr w14:paraId="17D85D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57804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1"/>
                <w:szCs w:val="21"/>
                <w:u w:val="none"/>
              </w:rPr>
            </w:pPr>
          </w:p>
        </w:tc>
        <w:tc>
          <w:tcPr>
            <w:tcW w:w="1252" w:type="dxa"/>
            <w:vMerge w:val="continue"/>
            <w:tcBorders>
              <w:top w:val="single" w:color="000000" w:sz="4" w:space="0"/>
              <w:left w:val="single" w:color="000000" w:sz="4" w:space="0"/>
              <w:bottom w:val="nil"/>
              <w:right w:val="single" w:color="000000" w:sz="4" w:space="0"/>
            </w:tcBorders>
            <w:shd w:val="clear" w:color="auto" w:fill="auto"/>
            <w:vAlign w:val="center"/>
          </w:tcPr>
          <w:p w14:paraId="3F29393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1"/>
                <w:szCs w:val="21"/>
                <w:u w:val="none"/>
              </w:rPr>
            </w:pPr>
          </w:p>
        </w:tc>
        <w:tc>
          <w:tcPr>
            <w:tcW w:w="2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FF765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执行结果</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A037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4</w:t>
            </w:r>
          </w:p>
        </w:tc>
        <w:tc>
          <w:tcPr>
            <w:tcW w:w="4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45906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部门预算项目预算执行情况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15CE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78DC6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1"/>
                <w:szCs w:val="21"/>
                <w:u w:val="none"/>
                <w:lang w:val="en-US" w:eastAsia="zh-CN" w:bidi="ar"/>
              </w:rPr>
            </w:pPr>
          </w:p>
        </w:tc>
      </w:tr>
      <w:tr w14:paraId="32616C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C8163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1"/>
                <w:szCs w:val="21"/>
                <w:u w:val="none"/>
              </w:rPr>
            </w:pPr>
          </w:p>
        </w:tc>
        <w:tc>
          <w:tcPr>
            <w:tcW w:w="12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141633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目标实现</w:t>
            </w:r>
            <w:r>
              <w:rPr>
                <w:rFonts w:hint="eastAsia" w:ascii="宋体" w:hAnsi="宋体" w:eastAsia="宋体" w:cs="宋体"/>
                <w:b/>
                <w:i w:val="0"/>
                <w:color w:val="000000"/>
                <w:kern w:val="0"/>
                <w:sz w:val="21"/>
                <w:szCs w:val="21"/>
                <w:u w:val="none"/>
                <w:lang w:val="en-US" w:eastAsia="zh-CN" w:bidi="ar"/>
              </w:rPr>
              <w:br w:type="textWrapping"/>
            </w:r>
            <w:r>
              <w:rPr>
                <w:rFonts w:hint="eastAsia" w:ascii="宋体" w:hAnsi="宋体" w:eastAsia="宋体" w:cs="宋体"/>
                <w:b/>
                <w:i w:val="0"/>
                <w:color w:val="000000"/>
                <w:kern w:val="0"/>
                <w:sz w:val="21"/>
                <w:szCs w:val="21"/>
                <w:u w:val="none"/>
                <w:lang w:val="en-US" w:eastAsia="zh-CN" w:bidi="ar"/>
              </w:rPr>
              <w:t>（11分）</w:t>
            </w:r>
          </w:p>
        </w:tc>
        <w:tc>
          <w:tcPr>
            <w:tcW w:w="2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9A1CB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目标完成</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F09C7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4</w:t>
            </w:r>
          </w:p>
        </w:tc>
        <w:tc>
          <w:tcPr>
            <w:tcW w:w="4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97724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部门预算项目绩效目标数量指标完成情况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F6D75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D35E2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1"/>
                <w:szCs w:val="21"/>
                <w:u w:val="none"/>
                <w:lang w:val="en-US" w:eastAsia="zh-CN" w:bidi="ar"/>
              </w:rPr>
            </w:pPr>
          </w:p>
        </w:tc>
      </w:tr>
      <w:tr w14:paraId="3FB54F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A9982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1"/>
                <w:szCs w:val="21"/>
                <w:u w:val="none"/>
              </w:rPr>
            </w:pPr>
          </w:p>
        </w:tc>
        <w:tc>
          <w:tcPr>
            <w:tcW w:w="12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78584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1"/>
                <w:szCs w:val="21"/>
                <w:u w:val="none"/>
              </w:rPr>
            </w:pPr>
          </w:p>
        </w:tc>
        <w:tc>
          <w:tcPr>
            <w:tcW w:w="2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E308A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目标偏离</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2F479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4</w:t>
            </w:r>
          </w:p>
        </w:tc>
        <w:tc>
          <w:tcPr>
            <w:tcW w:w="4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F4C53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部门预算项目绩效目标数量指标实现程度与预期目标的偏离情况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AE441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B24A3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1"/>
                <w:szCs w:val="21"/>
                <w:u w:val="none"/>
                <w:lang w:val="en-US" w:eastAsia="zh-CN" w:bidi="ar"/>
              </w:rPr>
            </w:pPr>
          </w:p>
        </w:tc>
      </w:tr>
      <w:tr w14:paraId="70E029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8D3F5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1"/>
                <w:szCs w:val="21"/>
                <w:u w:val="none"/>
              </w:rPr>
            </w:pPr>
          </w:p>
        </w:tc>
        <w:tc>
          <w:tcPr>
            <w:tcW w:w="12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F5A6A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1"/>
                <w:szCs w:val="21"/>
                <w:u w:val="none"/>
              </w:rPr>
            </w:pPr>
          </w:p>
        </w:tc>
        <w:tc>
          <w:tcPr>
            <w:tcW w:w="2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34E86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实现效果</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296A4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3</w:t>
            </w:r>
          </w:p>
        </w:tc>
        <w:tc>
          <w:tcPr>
            <w:tcW w:w="4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FA3E3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部门预算项目绩效目标效益指标实施效果</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7F954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51906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1"/>
                <w:szCs w:val="21"/>
                <w:u w:val="none"/>
                <w:lang w:val="en-US" w:eastAsia="zh-CN" w:bidi="ar"/>
              </w:rPr>
            </w:pPr>
          </w:p>
        </w:tc>
      </w:tr>
      <w:tr w14:paraId="6E7011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7A4E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扣分项</w:t>
            </w:r>
            <w:r>
              <w:rPr>
                <w:rFonts w:hint="eastAsia" w:ascii="宋体" w:hAnsi="宋体" w:eastAsia="宋体" w:cs="宋体"/>
                <w:b/>
                <w:i w:val="0"/>
                <w:color w:val="000000"/>
                <w:kern w:val="0"/>
                <w:sz w:val="21"/>
                <w:szCs w:val="21"/>
                <w:u w:val="none"/>
                <w:lang w:val="en-US" w:eastAsia="zh-CN" w:bidi="ar"/>
              </w:rPr>
              <w:br w:type="textWrapping"/>
            </w:r>
            <w:r>
              <w:rPr>
                <w:rFonts w:hint="eastAsia" w:ascii="宋体" w:hAnsi="宋体" w:eastAsia="宋体" w:cs="宋体"/>
                <w:b/>
                <w:i w:val="0"/>
                <w:color w:val="000000"/>
                <w:kern w:val="0"/>
                <w:sz w:val="21"/>
                <w:szCs w:val="21"/>
                <w:u w:val="none"/>
                <w:lang w:val="en-US" w:eastAsia="zh-CN" w:bidi="ar"/>
              </w:rPr>
              <w:t>（10分）</w:t>
            </w:r>
          </w:p>
        </w:tc>
        <w:tc>
          <w:tcPr>
            <w:tcW w:w="34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443AC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被评价部门配合度</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647C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w:t>
            </w:r>
          </w:p>
        </w:tc>
        <w:tc>
          <w:tcPr>
            <w:tcW w:w="4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C5E95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被评价对象工作配合情况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582D4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1"/>
                <w:szCs w:val="21"/>
                <w:u w:val="none"/>
                <w:lang w:val="en-US" w:eastAsia="zh-CN" w:bidi="ar"/>
              </w:rPr>
            </w:pP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C4CA9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1"/>
                <w:szCs w:val="21"/>
                <w:u w:val="none"/>
                <w:lang w:val="en-US" w:eastAsia="zh-CN" w:bidi="ar"/>
              </w:rPr>
            </w:pPr>
          </w:p>
        </w:tc>
      </w:tr>
    </w:tbl>
    <w:p w14:paraId="380F335C">
      <w:pPr>
        <w:keepNext w:val="0"/>
        <w:keepLines w:val="0"/>
        <w:pageBreakBefore w:val="0"/>
        <w:kinsoku/>
        <w:wordWrap/>
        <w:overflowPunct/>
        <w:topLinePunct w:val="0"/>
        <w:autoSpaceDE/>
        <w:autoSpaceDN/>
        <w:bidi w:val="0"/>
        <w:spacing w:line="578" w:lineRule="exact"/>
        <w:jc w:val="left"/>
        <w:textAlignment w:val="auto"/>
        <w:rPr>
          <w:rFonts w:hint="default" w:ascii="Times New Roman" w:hAnsi="Times New Roman" w:eastAsia="黑体" w:cs="Times New Roman"/>
          <w:kern w:val="2"/>
          <w:sz w:val="28"/>
          <w:szCs w:val="22"/>
          <w:highlight w:val="none"/>
          <w:lang w:val="en-US" w:eastAsia="zh-CN" w:bidi="ar-SA"/>
        </w:rPr>
      </w:pPr>
    </w:p>
    <w:p w14:paraId="73169D94">
      <w:pPr>
        <w:keepNext w:val="0"/>
        <w:keepLines w:val="0"/>
        <w:pageBreakBefore w:val="0"/>
        <w:kinsoku/>
        <w:wordWrap/>
        <w:overflowPunct/>
        <w:topLinePunct w:val="0"/>
        <w:autoSpaceDE/>
        <w:autoSpaceDN/>
        <w:bidi w:val="0"/>
        <w:spacing w:line="578" w:lineRule="exact"/>
        <w:jc w:val="left"/>
        <w:textAlignment w:val="auto"/>
        <w:rPr>
          <w:rFonts w:hint="default"/>
          <w:sz w:val="28"/>
          <w:szCs w:val="22"/>
          <w:lang w:val="en-US" w:eastAsia="zh-CN"/>
        </w:rPr>
      </w:pPr>
      <w:r>
        <w:rPr>
          <w:rFonts w:hint="default" w:ascii="Times New Roman" w:hAnsi="Times New Roman" w:eastAsia="黑体" w:cs="Times New Roman"/>
          <w:kern w:val="2"/>
          <w:sz w:val="28"/>
          <w:szCs w:val="22"/>
          <w:highlight w:val="none"/>
          <w:lang w:val="en-US" w:eastAsia="zh-CN" w:bidi="ar-SA"/>
        </w:rPr>
        <w:t>附表</w:t>
      </w:r>
      <w:r>
        <w:rPr>
          <w:rFonts w:hint="eastAsia" w:ascii="Times New Roman" w:hAnsi="Times New Roman" w:eastAsia="黑体" w:cs="Times New Roman"/>
          <w:kern w:val="2"/>
          <w:sz w:val="28"/>
          <w:szCs w:val="22"/>
          <w:highlight w:val="none"/>
          <w:lang w:val="en-US" w:eastAsia="zh-CN" w:bidi="ar-SA"/>
        </w:rPr>
        <w:t>2</w:t>
      </w:r>
    </w:p>
    <w:tbl>
      <w:tblPr>
        <w:tblStyle w:val="17"/>
        <w:tblW w:w="887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1096"/>
        <w:gridCol w:w="1128"/>
        <w:gridCol w:w="1074"/>
        <w:gridCol w:w="1209"/>
        <w:gridCol w:w="675"/>
        <w:gridCol w:w="1085"/>
        <w:gridCol w:w="888"/>
        <w:gridCol w:w="776"/>
        <w:gridCol w:w="944"/>
      </w:tblGrid>
      <w:tr w14:paraId="6C4059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07" w:hRule="exact"/>
          <w:jc w:val="center"/>
        </w:trPr>
        <w:tc>
          <w:tcPr>
            <w:tcW w:w="8875" w:type="dxa"/>
            <w:gridSpan w:val="9"/>
            <w:shd w:val="clear" w:color="auto" w:fill="auto"/>
            <w:vAlign w:val="center"/>
          </w:tcPr>
          <w:p w14:paraId="66A10069">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center"/>
              <w:outlineLvl w:val="9"/>
              <w:rPr>
                <w:rFonts w:hint="default" w:ascii="Times New Roman" w:hAnsi="Times New Roman" w:eastAsia="黑体" w:cs="Times New Roman"/>
                <w:i w:val="0"/>
                <w:color w:val="000000"/>
                <w:sz w:val="24"/>
                <w:szCs w:val="24"/>
                <w:u w:val="none"/>
              </w:rPr>
            </w:pPr>
            <w:r>
              <w:rPr>
                <w:rFonts w:hint="default" w:ascii="Times New Roman" w:hAnsi="Times New Roman" w:eastAsia="微软雅黑" w:cs="Times New Roman"/>
                <w:i w:val="0"/>
                <w:color w:val="000000"/>
                <w:kern w:val="0"/>
                <w:sz w:val="40"/>
                <w:szCs w:val="40"/>
                <w:u w:val="none"/>
                <w:lang w:val="en-US" w:eastAsia="zh-CN" w:bidi="ar"/>
              </w:rPr>
              <w:t>部门整体支出绩效目标完成情况自评表</w:t>
            </w:r>
          </w:p>
        </w:tc>
      </w:tr>
      <w:tr w14:paraId="783E0B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15" w:hRule="atLeast"/>
          <w:jc w:val="center"/>
        </w:trPr>
        <w:tc>
          <w:tcPr>
            <w:tcW w:w="8875" w:type="dxa"/>
            <w:gridSpan w:val="9"/>
            <w:shd w:val="clear" w:color="auto" w:fill="auto"/>
            <w:vAlign w:val="center"/>
          </w:tcPr>
          <w:p w14:paraId="1DD2170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8"/>
                <w:szCs w:val="28"/>
                <w:u w:val="none"/>
              </w:rPr>
            </w:pPr>
            <w:r>
              <w:rPr>
                <w:rFonts w:hint="default" w:ascii="Times New Roman" w:hAnsi="Times New Roman" w:eastAsia="宋体" w:cs="Times New Roman"/>
                <w:i w:val="0"/>
                <w:color w:val="000000"/>
                <w:kern w:val="0"/>
                <w:sz w:val="28"/>
                <w:szCs w:val="28"/>
                <w:u w:val="none"/>
                <w:lang w:val="en-US" w:eastAsia="zh-CN" w:bidi="ar"/>
              </w:rPr>
              <w:t>（202</w:t>
            </w:r>
            <w:r>
              <w:rPr>
                <w:rFonts w:hint="eastAsia" w:eastAsia="宋体" w:cs="Times New Roman"/>
                <w:i w:val="0"/>
                <w:color w:val="000000"/>
                <w:kern w:val="0"/>
                <w:sz w:val="28"/>
                <w:szCs w:val="28"/>
                <w:u w:val="none"/>
                <w:lang w:val="en-US" w:eastAsia="zh-CN" w:bidi="ar"/>
              </w:rPr>
              <w:t>4</w:t>
            </w:r>
            <w:r>
              <w:rPr>
                <w:rFonts w:hint="default" w:ascii="Times New Roman" w:hAnsi="Times New Roman" w:eastAsia="宋体" w:cs="Times New Roman"/>
                <w:i w:val="0"/>
                <w:color w:val="000000"/>
                <w:kern w:val="0"/>
                <w:sz w:val="28"/>
                <w:szCs w:val="28"/>
                <w:u w:val="none"/>
                <w:lang w:val="en-US" w:eastAsia="zh-CN" w:bidi="ar"/>
              </w:rPr>
              <w:t>年度）</w:t>
            </w:r>
          </w:p>
        </w:tc>
      </w:tr>
      <w:tr w14:paraId="1D79A1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00" w:hRule="atLeast"/>
          <w:jc w:val="center"/>
        </w:trPr>
        <w:tc>
          <w:tcPr>
            <w:tcW w:w="8875" w:type="dxa"/>
            <w:gridSpan w:val="9"/>
            <w:tcBorders>
              <w:bottom w:val="single" w:color="000000" w:sz="4" w:space="0"/>
            </w:tcBorders>
            <w:shd w:val="clear" w:color="auto" w:fill="auto"/>
            <w:vAlign w:val="center"/>
          </w:tcPr>
          <w:p w14:paraId="642B24B4">
            <w:pPr>
              <w:keepNext w:val="0"/>
              <w:keepLines w:val="0"/>
              <w:pageBreakBefore w:val="0"/>
              <w:widowControl/>
              <w:suppressLineNumbers w:val="0"/>
              <w:kinsoku/>
              <w:wordWrap/>
              <w:overflowPunct/>
              <w:topLinePunct w:val="0"/>
              <w:autoSpaceDE/>
              <w:autoSpaceDN/>
              <w:bidi w:val="0"/>
              <w:adjustRightInd/>
              <w:snapToGrid/>
              <w:spacing w:line="300" w:lineRule="exact"/>
              <w:jc w:val="right"/>
              <w:textAlignment w:val="center"/>
              <w:outlineLvl w:val="9"/>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单位：万元</w:t>
            </w:r>
          </w:p>
        </w:tc>
      </w:tr>
      <w:tr w14:paraId="4123F1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329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15022E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部门名称</w:t>
            </w:r>
          </w:p>
        </w:tc>
        <w:tc>
          <w:tcPr>
            <w:tcW w:w="557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06FC20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sz w:val="22"/>
                <w:szCs w:val="22"/>
                <w:u w:val="none"/>
              </w:rPr>
              <w:t>金川县自然资源局本级</w:t>
            </w:r>
          </w:p>
        </w:tc>
      </w:tr>
      <w:tr w14:paraId="608BDE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0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D0EAD9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年度部门整体支出预算</w:t>
            </w:r>
          </w:p>
        </w:tc>
        <w:tc>
          <w:tcPr>
            <w:tcW w:w="22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48181D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资金总额</w:t>
            </w:r>
          </w:p>
        </w:tc>
        <w:tc>
          <w:tcPr>
            <w:tcW w:w="18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14F97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财政拨款</w:t>
            </w:r>
          </w:p>
        </w:tc>
        <w:tc>
          <w:tcPr>
            <w:tcW w:w="369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4FB54C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其他资金</w:t>
            </w:r>
          </w:p>
        </w:tc>
      </w:tr>
      <w:tr w14:paraId="1D51CC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0" w:hRule="atLeast"/>
          <w:jc w:val="center"/>
        </w:trPr>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08CDAE">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2"/>
                <w:szCs w:val="22"/>
                <w:u w:val="none"/>
              </w:rPr>
            </w:pPr>
          </w:p>
        </w:tc>
        <w:tc>
          <w:tcPr>
            <w:tcW w:w="22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F055B6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2"/>
                <w:szCs w:val="22"/>
                <w:u w:val="none"/>
                <w:lang w:val="en-US" w:eastAsia="zh-CN"/>
              </w:rPr>
            </w:pPr>
            <w:r>
              <w:rPr>
                <w:rFonts w:hint="eastAsia" w:ascii="Times New Roman" w:hAnsi="Times New Roman" w:eastAsia="宋体" w:cs="Times New Roman"/>
                <w:i w:val="0"/>
                <w:color w:val="000000"/>
                <w:sz w:val="22"/>
                <w:szCs w:val="22"/>
                <w:u w:val="none"/>
                <w:lang w:val="en-US" w:eastAsia="zh-CN"/>
              </w:rPr>
              <w:t>635.96</w:t>
            </w:r>
          </w:p>
        </w:tc>
        <w:tc>
          <w:tcPr>
            <w:tcW w:w="18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6371F6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2"/>
                <w:szCs w:val="22"/>
                <w:u w:val="none"/>
                <w:lang w:val="en-US" w:eastAsia="zh-CN"/>
              </w:rPr>
            </w:pPr>
            <w:r>
              <w:rPr>
                <w:rFonts w:hint="eastAsia" w:eastAsia="宋体" w:cs="Times New Roman"/>
                <w:i w:val="0"/>
                <w:color w:val="000000"/>
                <w:sz w:val="22"/>
                <w:szCs w:val="22"/>
                <w:u w:val="none"/>
                <w:lang w:val="en-US" w:eastAsia="zh-CN"/>
              </w:rPr>
              <w:t>635.96</w:t>
            </w:r>
          </w:p>
        </w:tc>
        <w:tc>
          <w:tcPr>
            <w:tcW w:w="369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9AB97A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Times New Roman" w:hAnsi="Times New Roman" w:eastAsia="宋体" w:cs="Times New Roman"/>
                <w:i w:val="0"/>
                <w:color w:val="000000"/>
                <w:sz w:val="22"/>
                <w:szCs w:val="22"/>
                <w:u w:val="none"/>
                <w:lang w:val="en-US" w:eastAsia="zh-CN"/>
              </w:rPr>
            </w:pPr>
            <w:r>
              <w:rPr>
                <w:rFonts w:hint="eastAsia" w:eastAsia="宋体" w:cs="Times New Roman"/>
                <w:i w:val="0"/>
                <w:color w:val="000000"/>
                <w:sz w:val="22"/>
                <w:szCs w:val="22"/>
                <w:u w:val="none"/>
                <w:lang w:val="en-US" w:eastAsia="zh-CN"/>
              </w:rPr>
              <w:t>0</w:t>
            </w:r>
          </w:p>
        </w:tc>
      </w:tr>
      <w:tr w14:paraId="2B429F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430" w:hRule="atLeast"/>
          <w:jc w:val="center"/>
        </w:trPr>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12F5C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22"/>
                <w:szCs w:val="22"/>
                <w:u w:val="none"/>
                <w:lang w:val="en-US" w:eastAsia="zh-CN" w:bidi="ar"/>
              </w:rPr>
            </w:pPr>
            <w:r>
              <w:rPr>
                <w:rFonts w:hint="default" w:ascii="Times New Roman" w:hAnsi="Times New Roman" w:eastAsia="宋体" w:cs="Times New Roman"/>
                <w:i w:val="0"/>
                <w:color w:val="000000"/>
                <w:kern w:val="0"/>
                <w:sz w:val="22"/>
                <w:szCs w:val="22"/>
                <w:u w:val="none"/>
                <w:lang w:val="en-US" w:eastAsia="zh-CN" w:bidi="ar"/>
              </w:rPr>
              <w:t>年度总体</w:t>
            </w:r>
          </w:p>
          <w:p w14:paraId="46E3E1C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目标</w:t>
            </w:r>
          </w:p>
        </w:tc>
        <w:tc>
          <w:tcPr>
            <w:tcW w:w="777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7617BF27">
            <w:pPr>
              <w:keepNext w:val="0"/>
              <w:keepLines w:val="0"/>
              <w:pageBreakBefore w:val="0"/>
              <w:widowControl/>
              <w:suppressLineNumbers w:val="0"/>
              <w:tabs>
                <w:tab w:val="left" w:pos="2348"/>
              </w:tabs>
              <w:kinsoku/>
              <w:wordWrap/>
              <w:overflowPunct/>
              <w:topLinePunct w:val="0"/>
              <w:autoSpaceDE/>
              <w:autoSpaceDN/>
              <w:bidi w:val="0"/>
              <w:adjustRightInd/>
              <w:snapToGrid/>
              <w:spacing w:line="300" w:lineRule="exact"/>
              <w:jc w:val="left"/>
              <w:textAlignment w:val="center"/>
              <w:outlineLvl w:val="9"/>
              <w:rPr>
                <w:rFonts w:hint="eastAsia" w:eastAsia="宋体" w:cs="Times New Roman"/>
                <w:i w:val="0"/>
                <w:color w:val="000000"/>
                <w:sz w:val="21"/>
                <w:szCs w:val="21"/>
                <w:u w:val="none"/>
                <w:lang w:eastAsia="zh-CN"/>
              </w:rPr>
            </w:pPr>
            <w:r>
              <w:rPr>
                <w:rFonts w:hint="eastAsia" w:eastAsia="宋体" w:cs="Times New Roman"/>
                <w:i w:val="0"/>
                <w:color w:val="000000"/>
                <w:sz w:val="21"/>
                <w:szCs w:val="21"/>
                <w:u w:val="none"/>
                <w:lang w:eastAsia="zh-CN"/>
              </w:rPr>
              <w:t xml:space="preserve">（一）做好国土空间编制工作 </w:t>
            </w:r>
          </w:p>
          <w:p w14:paraId="1AE71290">
            <w:pPr>
              <w:keepNext w:val="0"/>
              <w:keepLines w:val="0"/>
              <w:pageBreakBefore w:val="0"/>
              <w:widowControl/>
              <w:suppressLineNumbers w:val="0"/>
              <w:tabs>
                <w:tab w:val="left" w:pos="2348"/>
              </w:tabs>
              <w:kinsoku/>
              <w:wordWrap/>
              <w:overflowPunct/>
              <w:topLinePunct w:val="0"/>
              <w:autoSpaceDE/>
              <w:autoSpaceDN/>
              <w:bidi w:val="0"/>
              <w:adjustRightInd/>
              <w:snapToGrid/>
              <w:spacing w:line="300" w:lineRule="exact"/>
              <w:jc w:val="left"/>
              <w:textAlignment w:val="center"/>
              <w:outlineLvl w:val="9"/>
              <w:rPr>
                <w:rFonts w:hint="eastAsia" w:eastAsia="宋体" w:cs="Times New Roman"/>
                <w:i w:val="0"/>
                <w:color w:val="000000"/>
                <w:sz w:val="21"/>
                <w:szCs w:val="21"/>
                <w:u w:val="none"/>
                <w:lang w:eastAsia="zh-CN"/>
              </w:rPr>
            </w:pPr>
            <w:r>
              <w:rPr>
                <w:rFonts w:hint="eastAsia" w:eastAsia="宋体" w:cs="Times New Roman"/>
                <w:i w:val="0"/>
                <w:color w:val="000000"/>
                <w:sz w:val="21"/>
                <w:szCs w:val="21"/>
                <w:u w:val="none"/>
                <w:lang w:eastAsia="zh-CN"/>
              </w:rPr>
              <w:t xml:space="preserve">（二）扎实开展土地供应工作 </w:t>
            </w:r>
          </w:p>
          <w:p w14:paraId="4B0AD332">
            <w:pPr>
              <w:keepNext w:val="0"/>
              <w:keepLines w:val="0"/>
              <w:pageBreakBefore w:val="0"/>
              <w:widowControl/>
              <w:suppressLineNumbers w:val="0"/>
              <w:tabs>
                <w:tab w:val="left" w:pos="2348"/>
              </w:tabs>
              <w:kinsoku/>
              <w:wordWrap/>
              <w:overflowPunct/>
              <w:topLinePunct w:val="0"/>
              <w:autoSpaceDE/>
              <w:autoSpaceDN/>
              <w:bidi w:val="0"/>
              <w:adjustRightInd/>
              <w:snapToGrid/>
              <w:spacing w:line="300" w:lineRule="exact"/>
              <w:jc w:val="left"/>
              <w:textAlignment w:val="center"/>
              <w:outlineLvl w:val="9"/>
              <w:rPr>
                <w:rFonts w:hint="eastAsia" w:eastAsia="宋体" w:cs="Times New Roman"/>
                <w:i w:val="0"/>
                <w:color w:val="000000"/>
                <w:sz w:val="21"/>
                <w:szCs w:val="21"/>
                <w:u w:val="none"/>
                <w:lang w:eastAsia="zh-CN"/>
              </w:rPr>
            </w:pPr>
            <w:r>
              <w:rPr>
                <w:rFonts w:hint="eastAsia" w:eastAsia="宋体" w:cs="Times New Roman"/>
                <w:i w:val="0"/>
                <w:color w:val="000000"/>
                <w:sz w:val="21"/>
                <w:szCs w:val="21"/>
                <w:u w:val="none"/>
                <w:lang w:eastAsia="zh-CN"/>
              </w:rPr>
              <w:t>（三）持续跟进地灾治理工作</w:t>
            </w:r>
          </w:p>
          <w:p w14:paraId="1F42E5EF">
            <w:pPr>
              <w:keepNext w:val="0"/>
              <w:keepLines w:val="0"/>
              <w:pageBreakBefore w:val="0"/>
              <w:widowControl/>
              <w:suppressLineNumbers w:val="0"/>
              <w:tabs>
                <w:tab w:val="left" w:pos="2348"/>
              </w:tabs>
              <w:kinsoku/>
              <w:wordWrap/>
              <w:overflowPunct/>
              <w:topLinePunct w:val="0"/>
              <w:autoSpaceDE/>
              <w:autoSpaceDN/>
              <w:bidi w:val="0"/>
              <w:adjustRightInd/>
              <w:snapToGrid/>
              <w:spacing w:line="300" w:lineRule="exact"/>
              <w:jc w:val="left"/>
              <w:textAlignment w:val="center"/>
              <w:outlineLvl w:val="9"/>
              <w:rPr>
                <w:rFonts w:hint="eastAsia" w:eastAsia="宋体" w:cs="Times New Roman"/>
                <w:i w:val="0"/>
                <w:color w:val="000000"/>
                <w:sz w:val="21"/>
                <w:szCs w:val="21"/>
                <w:u w:val="none"/>
                <w:lang w:eastAsia="zh-CN"/>
              </w:rPr>
            </w:pPr>
            <w:r>
              <w:rPr>
                <w:rFonts w:hint="eastAsia" w:eastAsia="宋体" w:cs="Times New Roman"/>
                <w:i w:val="0"/>
                <w:color w:val="000000"/>
                <w:sz w:val="21"/>
                <w:szCs w:val="21"/>
                <w:u w:val="none"/>
                <w:lang w:eastAsia="zh-CN"/>
              </w:rPr>
              <w:t>（四）依法开展矿产资源工作</w:t>
            </w:r>
          </w:p>
          <w:p w14:paraId="68DEF8DF">
            <w:pPr>
              <w:keepNext w:val="0"/>
              <w:keepLines w:val="0"/>
              <w:pageBreakBefore w:val="0"/>
              <w:widowControl/>
              <w:suppressLineNumbers w:val="0"/>
              <w:tabs>
                <w:tab w:val="left" w:pos="2348"/>
              </w:tabs>
              <w:kinsoku/>
              <w:wordWrap/>
              <w:overflowPunct/>
              <w:topLinePunct w:val="0"/>
              <w:autoSpaceDE/>
              <w:autoSpaceDN/>
              <w:bidi w:val="0"/>
              <w:adjustRightInd/>
              <w:snapToGrid/>
              <w:spacing w:line="300" w:lineRule="exact"/>
              <w:jc w:val="left"/>
              <w:textAlignment w:val="center"/>
              <w:outlineLvl w:val="9"/>
              <w:rPr>
                <w:rFonts w:hint="eastAsia" w:eastAsia="宋体" w:cs="Times New Roman"/>
                <w:i w:val="0"/>
                <w:color w:val="000000"/>
                <w:sz w:val="21"/>
                <w:szCs w:val="21"/>
                <w:u w:val="none"/>
                <w:lang w:eastAsia="zh-CN"/>
              </w:rPr>
            </w:pPr>
            <w:r>
              <w:rPr>
                <w:rFonts w:hint="eastAsia" w:eastAsia="宋体" w:cs="Times New Roman"/>
                <w:i w:val="0"/>
                <w:color w:val="000000"/>
                <w:sz w:val="21"/>
                <w:szCs w:val="21"/>
                <w:u w:val="none"/>
                <w:lang w:eastAsia="zh-CN"/>
              </w:rPr>
              <w:t>（五）有序推动征地拆迁工作</w:t>
            </w:r>
          </w:p>
          <w:p w14:paraId="5DCEA9D0">
            <w:pPr>
              <w:keepNext w:val="0"/>
              <w:keepLines w:val="0"/>
              <w:pageBreakBefore w:val="0"/>
              <w:widowControl/>
              <w:suppressLineNumbers w:val="0"/>
              <w:tabs>
                <w:tab w:val="left" w:pos="2348"/>
              </w:tabs>
              <w:kinsoku/>
              <w:wordWrap/>
              <w:overflowPunct/>
              <w:topLinePunct w:val="0"/>
              <w:autoSpaceDE/>
              <w:autoSpaceDN/>
              <w:bidi w:val="0"/>
              <w:adjustRightInd/>
              <w:snapToGrid/>
              <w:spacing w:line="300" w:lineRule="exact"/>
              <w:jc w:val="left"/>
              <w:textAlignment w:val="center"/>
              <w:outlineLvl w:val="9"/>
              <w:rPr>
                <w:rFonts w:hint="eastAsia" w:eastAsia="宋体" w:cs="Times New Roman"/>
                <w:i w:val="0"/>
                <w:color w:val="000000"/>
                <w:sz w:val="21"/>
                <w:szCs w:val="21"/>
                <w:u w:val="none"/>
                <w:lang w:eastAsia="zh-CN"/>
              </w:rPr>
            </w:pPr>
            <w:r>
              <w:rPr>
                <w:rFonts w:hint="eastAsia" w:eastAsia="宋体" w:cs="Times New Roman"/>
                <w:i w:val="0"/>
                <w:color w:val="000000"/>
                <w:sz w:val="21"/>
                <w:szCs w:val="21"/>
                <w:u w:val="none"/>
                <w:lang w:eastAsia="zh-CN"/>
              </w:rPr>
              <w:t>（六）加大力度推进执法工作</w:t>
            </w:r>
          </w:p>
          <w:p w14:paraId="47A7B9C1">
            <w:pPr>
              <w:keepNext w:val="0"/>
              <w:keepLines w:val="0"/>
              <w:pageBreakBefore w:val="0"/>
              <w:widowControl/>
              <w:suppressLineNumbers w:val="0"/>
              <w:tabs>
                <w:tab w:val="left" w:pos="2348"/>
              </w:tabs>
              <w:kinsoku/>
              <w:wordWrap/>
              <w:overflowPunct/>
              <w:topLinePunct w:val="0"/>
              <w:autoSpaceDE/>
              <w:autoSpaceDN/>
              <w:bidi w:val="0"/>
              <w:adjustRightInd/>
              <w:snapToGrid/>
              <w:spacing w:line="300" w:lineRule="exact"/>
              <w:jc w:val="left"/>
              <w:textAlignment w:val="center"/>
              <w:outlineLvl w:val="9"/>
              <w:rPr>
                <w:rFonts w:hint="eastAsia" w:ascii="Times New Roman" w:hAnsi="Times New Roman" w:eastAsia="宋体" w:cs="Times New Roman"/>
                <w:i w:val="0"/>
                <w:color w:val="000000"/>
                <w:sz w:val="22"/>
                <w:szCs w:val="22"/>
                <w:u w:val="none"/>
                <w:lang w:eastAsia="zh-CN"/>
              </w:rPr>
            </w:pPr>
            <w:r>
              <w:rPr>
                <w:rFonts w:hint="eastAsia" w:eastAsia="宋体" w:cs="Times New Roman"/>
                <w:i w:val="0"/>
                <w:color w:val="000000"/>
                <w:sz w:val="21"/>
                <w:szCs w:val="21"/>
                <w:u w:val="none"/>
                <w:lang w:eastAsia="zh-CN"/>
              </w:rPr>
              <w:t>（七）全力推动不动产登记工作</w:t>
            </w:r>
          </w:p>
        </w:tc>
      </w:tr>
      <w:tr w14:paraId="49AD43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096" w:type="dxa"/>
            <w:vMerge w:val="restart"/>
            <w:tcBorders>
              <w:top w:val="single" w:color="000000" w:sz="4" w:space="0"/>
              <w:left w:val="single" w:color="000000" w:sz="4" w:space="0"/>
              <w:right w:val="single" w:color="000000" w:sz="4" w:space="0"/>
            </w:tcBorders>
            <w:shd w:val="clear" w:color="auto" w:fill="auto"/>
            <w:vAlign w:val="center"/>
          </w:tcPr>
          <w:p w14:paraId="4FA9C02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22"/>
                <w:szCs w:val="22"/>
                <w:u w:val="none"/>
                <w:lang w:val="en-US" w:eastAsia="zh-CN" w:bidi="ar"/>
              </w:rPr>
            </w:pPr>
            <w:r>
              <w:rPr>
                <w:rFonts w:hint="default" w:ascii="Times New Roman" w:hAnsi="Times New Roman" w:eastAsia="宋体" w:cs="Times New Roman"/>
                <w:i w:val="0"/>
                <w:color w:val="000000"/>
                <w:kern w:val="0"/>
                <w:sz w:val="22"/>
                <w:szCs w:val="22"/>
                <w:u w:val="none"/>
                <w:lang w:val="en-US" w:eastAsia="zh-CN" w:bidi="ar"/>
              </w:rPr>
              <w:t>年度主要</w:t>
            </w:r>
          </w:p>
          <w:p w14:paraId="6C24094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任务</w:t>
            </w:r>
          </w:p>
        </w:tc>
        <w:tc>
          <w:tcPr>
            <w:tcW w:w="22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FD38F7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任务名称</w:t>
            </w:r>
          </w:p>
        </w:tc>
        <w:tc>
          <w:tcPr>
            <w:tcW w:w="557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4CF2F2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主要内容</w:t>
            </w:r>
          </w:p>
        </w:tc>
      </w:tr>
      <w:tr w14:paraId="3C0DDD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10" w:hRule="atLeast"/>
          <w:jc w:val="center"/>
        </w:trPr>
        <w:tc>
          <w:tcPr>
            <w:tcW w:w="1096" w:type="dxa"/>
            <w:vMerge w:val="continue"/>
            <w:tcBorders>
              <w:left w:val="single" w:color="000000" w:sz="4" w:space="0"/>
              <w:right w:val="single" w:color="000000" w:sz="4" w:space="0"/>
            </w:tcBorders>
            <w:shd w:val="clear" w:color="auto" w:fill="auto"/>
            <w:vAlign w:val="center"/>
          </w:tcPr>
          <w:p w14:paraId="58E14CC3">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2"/>
                <w:szCs w:val="22"/>
                <w:u w:val="none"/>
              </w:rPr>
            </w:pPr>
          </w:p>
        </w:tc>
        <w:tc>
          <w:tcPr>
            <w:tcW w:w="22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ED29859">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ascii="宋体" w:hAnsi="宋体" w:eastAsia="宋体" w:cs="宋体"/>
                <w:i w:val="0"/>
                <w:iCs w:val="0"/>
                <w:color w:val="000000"/>
                <w:kern w:val="0"/>
                <w:sz w:val="18"/>
                <w:szCs w:val="18"/>
                <w:u w:val="none"/>
                <w:lang w:val="en-US" w:eastAsia="zh-CN" w:bidi="ar"/>
              </w:rPr>
              <w:t xml:space="preserve">做好国土空间编制工作 </w:t>
            </w:r>
          </w:p>
        </w:tc>
        <w:tc>
          <w:tcPr>
            <w:tcW w:w="557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6C7BE72">
            <w:pPr>
              <w:keepNext w:val="0"/>
              <w:keepLines w:val="0"/>
              <w:widowControl/>
              <w:suppressLineNumbers w:val="0"/>
              <w:jc w:val="left"/>
              <w:textAlignment w:val="center"/>
              <w:rPr>
                <w:rFonts w:hint="eastAsia" w:ascii="Times New Roman" w:hAnsi="Times New Roman" w:eastAsia="宋体" w:cs="Times New Roman"/>
                <w:i w:val="0"/>
                <w:color w:val="000000"/>
                <w:sz w:val="22"/>
                <w:szCs w:val="22"/>
                <w:u w:val="none"/>
                <w:lang w:eastAsia="zh-CN"/>
              </w:rPr>
            </w:pPr>
            <w:r>
              <w:rPr>
                <w:rFonts w:ascii="宋体" w:hAnsi="宋体" w:eastAsia="宋体" w:cs="宋体"/>
                <w:i w:val="0"/>
                <w:iCs w:val="0"/>
                <w:color w:val="000000"/>
                <w:kern w:val="0"/>
                <w:sz w:val="18"/>
                <w:szCs w:val="18"/>
                <w:u w:val="none"/>
                <w:lang w:val="en-US" w:eastAsia="zh-CN" w:bidi="ar"/>
              </w:rPr>
              <w:t>一是2024年将按照按需编制、应编尽编，启动12个村级片区国土空间总体规划编制工作；二是做好“两证一书”和宅基地、设施农用地审批工作。</w:t>
            </w:r>
          </w:p>
        </w:tc>
      </w:tr>
      <w:tr w14:paraId="093199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096" w:type="dxa"/>
            <w:vMerge w:val="continue"/>
            <w:tcBorders>
              <w:left w:val="single" w:color="000000" w:sz="4" w:space="0"/>
              <w:right w:val="single" w:color="000000" w:sz="4" w:space="0"/>
            </w:tcBorders>
            <w:shd w:val="clear" w:color="auto" w:fill="auto"/>
            <w:vAlign w:val="center"/>
          </w:tcPr>
          <w:p w14:paraId="09B96531">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2"/>
                <w:szCs w:val="22"/>
                <w:u w:val="none"/>
              </w:rPr>
            </w:pPr>
          </w:p>
        </w:tc>
        <w:tc>
          <w:tcPr>
            <w:tcW w:w="22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951EAE4">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ascii="宋体" w:hAnsi="宋体" w:eastAsia="宋体" w:cs="宋体"/>
                <w:i w:val="0"/>
                <w:iCs w:val="0"/>
                <w:color w:val="000000"/>
                <w:kern w:val="0"/>
                <w:sz w:val="18"/>
                <w:szCs w:val="18"/>
                <w:u w:val="none"/>
                <w:lang w:val="en-US" w:eastAsia="zh-CN" w:bidi="ar"/>
              </w:rPr>
              <w:t xml:space="preserve">扎实开展土地供应工作 </w:t>
            </w:r>
          </w:p>
        </w:tc>
        <w:tc>
          <w:tcPr>
            <w:tcW w:w="557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FE78FDC">
            <w:pPr>
              <w:keepNext w:val="0"/>
              <w:keepLines w:val="0"/>
              <w:widowControl/>
              <w:suppressLineNumbers w:val="0"/>
              <w:jc w:val="left"/>
              <w:textAlignment w:val="center"/>
              <w:rPr>
                <w:rFonts w:hint="eastAsia" w:ascii="Times New Roman" w:hAnsi="Times New Roman" w:eastAsia="宋体" w:cs="Times New Roman"/>
                <w:i w:val="0"/>
                <w:color w:val="000000"/>
                <w:sz w:val="22"/>
                <w:szCs w:val="22"/>
                <w:u w:val="none"/>
                <w:lang w:eastAsia="zh-CN"/>
              </w:rPr>
            </w:pPr>
            <w:r>
              <w:rPr>
                <w:rFonts w:ascii="宋体" w:hAnsi="宋体" w:eastAsia="宋体" w:cs="宋体"/>
                <w:i w:val="0"/>
                <w:iCs w:val="0"/>
                <w:color w:val="000000"/>
                <w:kern w:val="0"/>
                <w:sz w:val="18"/>
                <w:szCs w:val="18"/>
                <w:u w:val="none"/>
                <w:lang w:val="en-US" w:eastAsia="zh-CN" w:bidi="ar"/>
              </w:rPr>
              <w:t>根据相关规定做好土地供应、资产清查、集体土地所有权确权登记成果更新汇交、2023年度国土变更调查工作；</w:t>
            </w:r>
          </w:p>
        </w:tc>
      </w:tr>
      <w:tr w14:paraId="128F0F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096" w:type="dxa"/>
            <w:vMerge w:val="continue"/>
            <w:tcBorders>
              <w:left w:val="single" w:color="000000" w:sz="4" w:space="0"/>
              <w:right w:val="single" w:color="000000" w:sz="4" w:space="0"/>
            </w:tcBorders>
            <w:shd w:val="clear" w:color="auto" w:fill="auto"/>
            <w:vAlign w:val="center"/>
          </w:tcPr>
          <w:p w14:paraId="5426986F">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2"/>
                <w:szCs w:val="22"/>
                <w:u w:val="none"/>
              </w:rPr>
            </w:pPr>
          </w:p>
        </w:tc>
        <w:tc>
          <w:tcPr>
            <w:tcW w:w="22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E75A45">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ascii="宋体" w:hAnsi="宋体" w:eastAsia="宋体" w:cs="宋体"/>
                <w:i w:val="0"/>
                <w:iCs w:val="0"/>
                <w:color w:val="000000"/>
                <w:kern w:val="0"/>
                <w:sz w:val="18"/>
                <w:szCs w:val="18"/>
                <w:u w:val="none"/>
                <w:lang w:val="en-US" w:eastAsia="zh-CN" w:bidi="ar"/>
              </w:rPr>
              <w:t>持续跟进地灾治理工作</w:t>
            </w:r>
          </w:p>
        </w:tc>
        <w:tc>
          <w:tcPr>
            <w:tcW w:w="557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4CD291C">
            <w:pPr>
              <w:keepNext w:val="0"/>
              <w:keepLines w:val="0"/>
              <w:widowControl/>
              <w:suppressLineNumbers w:val="0"/>
              <w:jc w:val="left"/>
              <w:textAlignment w:val="center"/>
              <w:rPr>
                <w:rFonts w:hint="eastAsia" w:ascii="Times New Roman" w:hAnsi="Times New Roman" w:eastAsia="宋体" w:cs="Times New Roman"/>
                <w:i w:val="0"/>
                <w:color w:val="000000"/>
                <w:sz w:val="22"/>
                <w:szCs w:val="22"/>
                <w:u w:val="none"/>
                <w:lang w:eastAsia="zh-CN"/>
              </w:rPr>
            </w:pPr>
            <w:r>
              <w:rPr>
                <w:rFonts w:ascii="宋体" w:hAnsi="宋体" w:eastAsia="宋体" w:cs="宋体"/>
                <w:i w:val="0"/>
                <w:iCs w:val="0"/>
                <w:color w:val="000000"/>
                <w:kern w:val="0"/>
                <w:sz w:val="18"/>
                <w:szCs w:val="18"/>
                <w:u w:val="none"/>
                <w:lang w:val="en-US" w:eastAsia="zh-CN" w:bidi="ar"/>
              </w:rPr>
              <w:t>进一步加快地质灾害防治项目进度，加快完成2024年项目建设内容，确保项目顺利实施。</w:t>
            </w:r>
          </w:p>
        </w:tc>
      </w:tr>
      <w:tr w14:paraId="431B90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096" w:type="dxa"/>
            <w:vMerge w:val="continue"/>
            <w:tcBorders>
              <w:left w:val="single" w:color="000000" w:sz="4" w:space="0"/>
              <w:bottom w:val="single" w:color="000000" w:sz="4" w:space="0"/>
              <w:right w:val="single" w:color="000000" w:sz="4" w:space="0"/>
            </w:tcBorders>
            <w:shd w:val="clear" w:color="auto" w:fill="auto"/>
            <w:vAlign w:val="center"/>
          </w:tcPr>
          <w:p w14:paraId="4532F2E8">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2"/>
                <w:szCs w:val="22"/>
                <w:u w:val="none"/>
              </w:rPr>
            </w:pPr>
          </w:p>
        </w:tc>
        <w:tc>
          <w:tcPr>
            <w:tcW w:w="22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A7E9461">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ascii="宋体" w:hAnsi="宋体" w:eastAsia="宋体" w:cs="宋体"/>
                <w:i w:val="0"/>
                <w:iCs w:val="0"/>
                <w:color w:val="000000"/>
                <w:kern w:val="0"/>
                <w:sz w:val="18"/>
                <w:szCs w:val="18"/>
                <w:u w:val="none"/>
                <w:lang w:val="en-US" w:eastAsia="zh-CN" w:bidi="ar"/>
              </w:rPr>
              <w:t>序推动征地拆迁工作</w:t>
            </w:r>
          </w:p>
        </w:tc>
        <w:tc>
          <w:tcPr>
            <w:tcW w:w="557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FCEA301">
            <w:pPr>
              <w:keepNext w:val="0"/>
              <w:keepLines w:val="0"/>
              <w:widowControl/>
              <w:suppressLineNumbers w:val="0"/>
              <w:jc w:val="left"/>
              <w:textAlignment w:val="center"/>
              <w:rPr>
                <w:rFonts w:hint="eastAsia" w:ascii="Times New Roman" w:hAnsi="Times New Roman" w:eastAsia="宋体" w:cs="Times New Roman"/>
                <w:i w:val="0"/>
                <w:color w:val="000000"/>
                <w:sz w:val="22"/>
                <w:szCs w:val="22"/>
                <w:u w:val="none"/>
                <w:lang w:eastAsia="zh-CN"/>
              </w:rPr>
            </w:pPr>
            <w:r>
              <w:rPr>
                <w:rFonts w:ascii="宋体" w:hAnsi="宋体" w:eastAsia="宋体" w:cs="宋体"/>
                <w:i w:val="0"/>
                <w:iCs w:val="0"/>
                <w:color w:val="000000"/>
                <w:kern w:val="0"/>
                <w:sz w:val="18"/>
                <w:szCs w:val="18"/>
                <w:u w:val="none"/>
                <w:lang w:val="en-US" w:eastAsia="zh-CN" w:bidi="ar"/>
              </w:rPr>
              <w:t>开展金江移民安置点、大渡河金川水电站金川县勒乌官寨居住区市政基础设施工程、安宁镇综合服务设施建设的征地工作。</w:t>
            </w:r>
          </w:p>
        </w:tc>
      </w:tr>
      <w:tr w14:paraId="6F74A0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60" w:hRule="atLeast"/>
          <w:jc w:val="center"/>
        </w:trPr>
        <w:tc>
          <w:tcPr>
            <w:tcW w:w="1096" w:type="dxa"/>
            <w:vMerge w:val="restart"/>
            <w:tcBorders>
              <w:top w:val="single" w:color="000000" w:sz="4" w:space="0"/>
              <w:left w:val="single" w:color="000000" w:sz="4" w:space="0"/>
              <w:right w:val="single" w:color="000000" w:sz="4" w:space="0"/>
            </w:tcBorders>
            <w:shd w:val="clear" w:color="auto" w:fill="auto"/>
            <w:vAlign w:val="center"/>
          </w:tcPr>
          <w:p w14:paraId="0CBB614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22"/>
                <w:szCs w:val="22"/>
                <w:u w:val="none"/>
                <w:lang w:val="en-US" w:eastAsia="zh-CN" w:bidi="ar"/>
              </w:rPr>
            </w:pPr>
            <w:r>
              <w:rPr>
                <w:rFonts w:hint="default" w:ascii="Times New Roman" w:hAnsi="Times New Roman" w:eastAsia="宋体" w:cs="Times New Roman"/>
                <w:i w:val="0"/>
                <w:color w:val="000000"/>
                <w:kern w:val="0"/>
                <w:sz w:val="22"/>
                <w:szCs w:val="22"/>
                <w:u w:val="none"/>
                <w:lang w:val="en-US" w:eastAsia="zh-CN" w:bidi="ar"/>
              </w:rPr>
              <w:t>年度绩效</w:t>
            </w:r>
          </w:p>
          <w:p w14:paraId="4671227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指标</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79FD0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一级指标</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11EBB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二级指标</w:t>
            </w:r>
          </w:p>
        </w:tc>
        <w:tc>
          <w:tcPr>
            <w:tcW w:w="12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11198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三级指标</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45F52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22"/>
                <w:szCs w:val="22"/>
                <w:u w:val="none"/>
                <w:lang w:val="en-US" w:eastAsia="zh-CN" w:bidi="ar"/>
              </w:rPr>
            </w:pPr>
            <w:r>
              <w:rPr>
                <w:rFonts w:hint="default" w:ascii="Times New Roman" w:hAnsi="Times New Roman" w:eastAsia="宋体" w:cs="Times New Roman"/>
                <w:i w:val="0"/>
                <w:color w:val="000000"/>
                <w:kern w:val="0"/>
                <w:sz w:val="22"/>
                <w:szCs w:val="22"/>
                <w:u w:val="none"/>
                <w:lang w:val="en-US" w:eastAsia="zh-CN" w:bidi="ar"/>
              </w:rPr>
              <w:t>绩效指标</w:t>
            </w:r>
          </w:p>
          <w:p w14:paraId="33A57E7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性质</w:t>
            </w:r>
          </w:p>
        </w:tc>
        <w:tc>
          <w:tcPr>
            <w:tcW w:w="10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08960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绩效指标值</w:t>
            </w:r>
          </w:p>
        </w:tc>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82686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绩效度量单位</w:t>
            </w:r>
          </w:p>
        </w:tc>
        <w:tc>
          <w:tcPr>
            <w:tcW w:w="776" w:type="dxa"/>
            <w:tcBorders>
              <w:top w:val="single" w:color="000000" w:sz="4" w:space="0"/>
              <w:left w:val="single" w:color="000000" w:sz="4" w:space="0"/>
              <w:bottom w:val="single" w:color="000000" w:sz="4" w:space="0"/>
            </w:tcBorders>
            <w:shd w:val="clear" w:color="auto" w:fill="auto"/>
            <w:vAlign w:val="center"/>
          </w:tcPr>
          <w:p w14:paraId="21212F5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权重</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9A232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22"/>
                <w:szCs w:val="22"/>
                <w:u w:val="none"/>
                <w:lang w:val="en-US" w:eastAsia="zh-CN" w:bidi="ar"/>
              </w:rPr>
            </w:pPr>
            <w:r>
              <w:rPr>
                <w:rFonts w:hint="default" w:ascii="Times New Roman" w:hAnsi="Times New Roman" w:eastAsia="宋体" w:cs="Times New Roman"/>
                <w:i w:val="0"/>
                <w:color w:val="000000"/>
                <w:kern w:val="0"/>
                <w:sz w:val="22"/>
                <w:szCs w:val="22"/>
                <w:u w:val="none"/>
                <w:lang w:val="en-US" w:eastAsia="zh-CN" w:bidi="ar"/>
              </w:rPr>
              <w:t>实际完成</w:t>
            </w:r>
          </w:p>
          <w:p w14:paraId="7D5A270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指标值</w:t>
            </w:r>
          </w:p>
        </w:tc>
      </w:tr>
      <w:tr w14:paraId="5505B6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010" w:hRule="atLeast"/>
          <w:jc w:val="center"/>
        </w:trPr>
        <w:tc>
          <w:tcPr>
            <w:tcW w:w="1096" w:type="dxa"/>
            <w:vMerge w:val="continue"/>
            <w:tcBorders>
              <w:left w:val="single" w:color="000000" w:sz="4" w:space="0"/>
              <w:right w:val="single" w:color="000000" w:sz="4" w:space="0"/>
            </w:tcBorders>
            <w:shd w:val="clear" w:color="auto" w:fill="auto"/>
            <w:vAlign w:val="center"/>
          </w:tcPr>
          <w:p w14:paraId="5C70A39A">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2"/>
                <w:szCs w:val="22"/>
                <w:u w:val="none"/>
              </w:rPr>
            </w:pPr>
          </w:p>
        </w:tc>
        <w:tc>
          <w:tcPr>
            <w:tcW w:w="112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B90C6F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产出指标</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AEC84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数量指标</w:t>
            </w:r>
          </w:p>
        </w:tc>
        <w:tc>
          <w:tcPr>
            <w:tcW w:w="12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6C48E">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ascii="宋体" w:hAnsi="宋体" w:eastAsia="宋体" w:cs="宋体"/>
                <w:i w:val="0"/>
                <w:iCs w:val="0"/>
                <w:color w:val="000000"/>
                <w:kern w:val="0"/>
                <w:sz w:val="18"/>
                <w:szCs w:val="18"/>
                <w:u w:val="none"/>
                <w:lang w:val="en-US" w:eastAsia="zh-CN" w:bidi="ar"/>
              </w:rPr>
              <w:t>地质灾害风险评估覆盖点数</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BA497A">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ascii="宋体" w:hAnsi="宋体" w:eastAsia="宋体" w:cs="宋体"/>
                <w:i w:val="0"/>
                <w:iCs w:val="0"/>
                <w:color w:val="000000"/>
                <w:kern w:val="0"/>
                <w:sz w:val="18"/>
                <w:szCs w:val="18"/>
                <w:u w:val="none"/>
                <w:lang w:val="en-US" w:eastAsia="zh-CN" w:bidi="ar"/>
              </w:rPr>
              <w:t>≥</w:t>
            </w:r>
          </w:p>
        </w:tc>
        <w:tc>
          <w:tcPr>
            <w:tcW w:w="10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6DDC4B">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ascii="宋体" w:hAnsi="宋体" w:eastAsia="宋体" w:cs="宋体"/>
                <w:i w:val="0"/>
                <w:iCs w:val="0"/>
                <w:color w:val="000000"/>
                <w:kern w:val="0"/>
                <w:sz w:val="18"/>
                <w:szCs w:val="18"/>
                <w:u w:val="none"/>
                <w:lang w:val="en-US" w:eastAsia="zh-CN" w:bidi="ar"/>
              </w:rPr>
              <w:t>365</w:t>
            </w:r>
          </w:p>
        </w:tc>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EE4DB0">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ascii="宋体" w:hAnsi="宋体" w:eastAsia="宋体" w:cs="宋体"/>
                <w:i w:val="0"/>
                <w:iCs w:val="0"/>
                <w:color w:val="000000"/>
                <w:kern w:val="0"/>
                <w:sz w:val="18"/>
                <w:szCs w:val="18"/>
                <w:u w:val="none"/>
                <w:lang w:val="en-US" w:eastAsia="zh-CN" w:bidi="ar"/>
              </w:rPr>
              <w:t>处</w:t>
            </w: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9F8AAA">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ascii="宋体" w:hAnsi="宋体" w:eastAsia="宋体" w:cs="宋体"/>
                <w:i w:val="0"/>
                <w:iCs w:val="0"/>
                <w:color w:val="000000"/>
                <w:kern w:val="0"/>
                <w:sz w:val="18"/>
                <w:szCs w:val="18"/>
                <w:u w:val="none"/>
                <w:lang w:val="en-US" w:eastAsia="zh-CN" w:bidi="ar"/>
              </w:rPr>
              <w:t>10</w:t>
            </w:r>
          </w:p>
        </w:tc>
        <w:tc>
          <w:tcPr>
            <w:tcW w:w="944" w:type="dxa"/>
            <w:tcBorders>
              <w:left w:val="single" w:color="000000" w:sz="4" w:space="0"/>
              <w:bottom w:val="single" w:color="000000" w:sz="4" w:space="0"/>
              <w:right w:val="single" w:color="000000" w:sz="4" w:space="0"/>
            </w:tcBorders>
            <w:shd w:val="clear" w:color="auto" w:fill="auto"/>
            <w:vAlign w:val="center"/>
          </w:tcPr>
          <w:p w14:paraId="4813033D">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lang w:val="en-US"/>
              </w:rPr>
            </w:pPr>
            <w:r>
              <w:rPr>
                <w:rFonts w:ascii="宋体" w:hAnsi="宋体" w:eastAsia="宋体" w:cs="宋体"/>
                <w:i w:val="0"/>
                <w:iCs w:val="0"/>
                <w:color w:val="000000"/>
                <w:kern w:val="0"/>
                <w:sz w:val="18"/>
                <w:szCs w:val="18"/>
                <w:u w:val="none"/>
                <w:lang w:val="en-US" w:eastAsia="zh-CN" w:bidi="ar"/>
              </w:rPr>
              <w:t>地质灾害风险评估覆盖点数</w:t>
            </w:r>
          </w:p>
        </w:tc>
      </w:tr>
      <w:tr w14:paraId="13005D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45" w:hRule="atLeast"/>
          <w:jc w:val="center"/>
        </w:trPr>
        <w:tc>
          <w:tcPr>
            <w:tcW w:w="1096" w:type="dxa"/>
            <w:vMerge w:val="continue"/>
            <w:tcBorders>
              <w:left w:val="single" w:color="000000" w:sz="4" w:space="0"/>
              <w:right w:val="single" w:color="000000" w:sz="4" w:space="0"/>
            </w:tcBorders>
            <w:shd w:val="clear" w:color="auto" w:fill="auto"/>
            <w:vAlign w:val="center"/>
          </w:tcPr>
          <w:p w14:paraId="4D022A33">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2"/>
                <w:szCs w:val="22"/>
                <w:u w:val="none"/>
              </w:rPr>
            </w:pPr>
          </w:p>
        </w:tc>
        <w:tc>
          <w:tcPr>
            <w:tcW w:w="11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8EFA5E">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2"/>
                <w:szCs w:val="22"/>
                <w:u w:val="none"/>
              </w:rPr>
            </w:pP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7428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质量指标</w:t>
            </w:r>
          </w:p>
        </w:tc>
        <w:tc>
          <w:tcPr>
            <w:tcW w:w="12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932B8D">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ascii="宋体" w:hAnsi="宋体" w:eastAsia="宋体" w:cs="宋体"/>
                <w:i w:val="0"/>
                <w:iCs w:val="0"/>
                <w:color w:val="000000"/>
                <w:kern w:val="0"/>
                <w:sz w:val="18"/>
                <w:szCs w:val="18"/>
                <w:u w:val="none"/>
                <w:lang w:val="en-US" w:eastAsia="zh-CN" w:bidi="ar"/>
              </w:rPr>
              <w:t>国土空间规划村级片区</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C7FAE7">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ascii="宋体" w:hAnsi="宋体" w:eastAsia="宋体" w:cs="宋体"/>
                <w:i w:val="0"/>
                <w:iCs w:val="0"/>
                <w:color w:val="000000"/>
                <w:kern w:val="0"/>
                <w:sz w:val="18"/>
                <w:szCs w:val="18"/>
                <w:u w:val="none"/>
                <w:lang w:val="en-US" w:eastAsia="zh-CN" w:bidi="ar"/>
              </w:rPr>
              <w:t>＝</w:t>
            </w:r>
          </w:p>
        </w:tc>
        <w:tc>
          <w:tcPr>
            <w:tcW w:w="10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E0717">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lang w:val="en-US"/>
              </w:rPr>
            </w:pPr>
            <w:r>
              <w:rPr>
                <w:rFonts w:ascii="宋体" w:hAnsi="宋体" w:eastAsia="宋体" w:cs="宋体"/>
                <w:i w:val="0"/>
                <w:iCs w:val="0"/>
                <w:color w:val="000000"/>
                <w:kern w:val="0"/>
                <w:sz w:val="18"/>
                <w:szCs w:val="18"/>
                <w:u w:val="none"/>
                <w:lang w:val="en-US" w:eastAsia="zh-CN" w:bidi="ar"/>
              </w:rPr>
              <w:t>12</w:t>
            </w:r>
          </w:p>
        </w:tc>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6F7706">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ascii="宋体" w:hAnsi="宋体" w:eastAsia="宋体" w:cs="宋体"/>
                <w:i w:val="0"/>
                <w:iCs w:val="0"/>
                <w:color w:val="000000"/>
                <w:kern w:val="0"/>
                <w:sz w:val="18"/>
                <w:szCs w:val="18"/>
                <w:u w:val="none"/>
                <w:lang w:val="en-US" w:eastAsia="zh-CN" w:bidi="ar"/>
              </w:rPr>
              <w:t>个</w:t>
            </w: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8E4225">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ascii="宋体" w:hAnsi="宋体" w:eastAsia="宋体" w:cs="宋体"/>
                <w:i w:val="0"/>
                <w:iCs w:val="0"/>
                <w:color w:val="000000"/>
                <w:kern w:val="0"/>
                <w:sz w:val="18"/>
                <w:szCs w:val="18"/>
                <w:u w:val="none"/>
                <w:lang w:val="en-US" w:eastAsia="zh-CN" w:bidi="ar"/>
              </w:rPr>
              <w:t>20</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F173F3">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ascii="宋体" w:hAnsi="宋体" w:eastAsia="宋体" w:cs="宋体"/>
                <w:i w:val="0"/>
                <w:iCs w:val="0"/>
                <w:color w:val="000000"/>
                <w:kern w:val="0"/>
                <w:sz w:val="18"/>
                <w:szCs w:val="18"/>
                <w:u w:val="none"/>
                <w:lang w:val="en-US" w:eastAsia="zh-CN" w:bidi="ar"/>
              </w:rPr>
              <w:t>国土空间规划村级片区</w:t>
            </w:r>
          </w:p>
        </w:tc>
      </w:tr>
      <w:tr w14:paraId="464763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096" w:type="dxa"/>
            <w:vMerge w:val="continue"/>
            <w:tcBorders>
              <w:left w:val="single" w:color="000000" w:sz="4" w:space="0"/>
              <w:right w:val="single" w:color="000000" w:sz="4" w:space="0"/>
            </w:tcBorders>
            <w:shd w:val="clear" w:color="auto" w:fill="auto"/>
            <w:vAlign w:val="center"/>
          </w:tcPr>
          <w:p w14:paraId="6AC57A60">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2"/>
                <w:szCs w:val="22"/>
                <w:u w:val="none"/>
              </w:rPr>
            </w:pPr>
          </w:p>
        </w:tc>
        <w:tc>
          <w:tcPr>
            <w:tcW w:w="11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417579">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2"/>
                <w:szCs w:val="22"/>
                <w:u w:val="none"/>
              </w:rPr>
            </w:pP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020B9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时效指标</w:t>
            </w:r>
          </w:p>
        </w:tc>
        <w:tc>
          <w:tcPr>
            <w:tcW w:w="12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126C4B">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ascii="宋体" w:hAnsi="宋体" w:eastAsia="宋体" w:cs="宋体"/>
                <w:i w:val="0"/>
                <w:iCs w:val="0"/>
                <w:color w:val="000000"/>
                <w:kern w:val="0"/>
                <w:sz w:val="18"/>
                <w:szCs w:val="18"/>
                <w:u w:val="none"/>
                <w:lang w:val="en-US" w:eastAsia="zh-CN" w:bidi="ar"/>
              </w:rPr>
              <w:t>压紧压实耕地保护责任，从严控制建设项目占用耕地和永久基本农田</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78D83F">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ascii="宋体" w:hAnsi="宋体" w:eastAsia="宋体" w:cs="宋体"/>
                <w:i w:val="0"/>
                <w:iCs w:val="0"/>
                <w:color w:val="000000"/>
                <w:kern w:val="0"/>
                <w:sz w:val="18"/>
                <w:szCs w:val="18"/>
                <w:u w:val="none"/>
                <w:lang w:val="en-US" w:eastAsia="zh-CN" w:bidi="ar"/>
              </w:rPr>
              <w:t>定性</w:t>
            </w:r>
          </w:p>
        </w:tc>
        <w:tc>
          <w:tcPr>
            <w:tcW w:w="10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6BFC92">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ascii="宋体" w:hAnsi="宋体" w:eastAsia="宋体" w:cs="宋体"/>
                <w:i w:val="0"/>
                <w:iCs w:val="0"/>
                <w:color w:val="000000"/>
                <w:kern w:val="0"/>
                <w:sz w:val="18"/>
                <w:szCs w:val="18"/>
                <w:u w:val="none"/>
                <w:lang w:val="en-US" w:eastAsia="zh-CN" w:bidi="ar"/>
              </w:rPr>
              <w:t>优良中差</w:t>
            </w:r>
          </w:p>
        </w:tc>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2B8662">
            <w:pPr>
              <w:jc w:val="left"/>
              <w:rPr>
                <w:rFonts w:hint="default" w:ascii="Times New Roman" w:hAnsi="Times New Roman" w:eastAsia="宋体" w:cs="Times New Roman"/>
                <w:i w:val="0"/>
                <w:color w:val="000000"/>
                <w:sz w:val="22"/>
                <w:szCs w:val="22"/>
                <w:u w:val="none"/>
              </w:rPr>
            </w:pP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C49219">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ascii="宋体" w:hAnsi="宋体" w:eastAsia="宋体" w:cs="宋体"/>
                <w:i w:val="0"/>
                <w:iCs w:val="0"/>
                <w:color w:val="000000"/>
                <w:kern w:val="0"/>
                <w:sz w:val="18"/>
                <w:szCs w:val="18"/>
                <w:u w:val="none"/>
                <w:lang w:val="en-US" w:eastAsia="zh-CN" w:bidi="ar"/>
              </w:rPr>
              <w:t>10</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13C48">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ascii="宋体" w:hAnsi="宋体" w:eastAsia="宋体" w:cs="宋体"/>
                <w:i w:val="0"/>
                <w:iCs w:val="0"/>
                <w:color w:val="000000"/>
                <w:kern w:val="0"/>
                <w:sz w:val="18"/>
                <w:szCs w:val="18"/>
                <w:u w:val="none"/>
                <w:lang w:val="en-US" w:eastAsia="zh-CN" w:bidi="ar"/>
              </w:rPr>
              <w:t>压紧压实耕地保护责任，从严控制建设项目占用耕地和永久基本农田</w:t>
            </w:r>
          </w:p>
        </w:tc>
      </w:tr>
      <w:tr w14:paraId="284858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60" w:hRule="atLeast"/>
          <w:jc w:val="center"/>
        </w:trPr>
        <w:tc>
          <w:tcPr>
            <w:tcW w:w="1096" w:type="dxa"/>
            <w:vMerge w:val="continue"/>
            <w:tcBorders>
              <w:left w:val="single" w:color="000000" w:sz="4" w:space="0"/>
              <w:right w:val="single" w:color="000000" w:sz="4" w:space="0"/>
            </w:tcBorders>
            <w:shd w:val="clear" w:color="auto" w:fill="auto"/>
            <w:vAlign w:val="center"/>
          </w:tcPr>
          <w:p w14:paraId="76FAC2C2">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2"/>
                <w:szCs w:val="22"/>
                <w:u w:val="none"/>
              </w:rPr>
            </w:pPr>
          </w:p>
        </w:tc>
        <w:tc>
          <w:tcPr>
            <w:tcW w:w="1128" w:type="dxa"/>
            <w:vMerge w:val="restart"/>
            <w:tcBorders>
              <w:top w:val="single" w:color="000000" w:sz="4" w:space="0"/>
              <w:left w:val="single" w:color="000000" w:sz="4" w:space="0"/>
              <w:right w:val="single" w:color="000000" w:sz="4" w:space="0"/>
            </w:tcBorders>
            <w:shd w:val="clear" w:color="auto" w:fill="auto"/>
            <w:vAlign w:val="center"/>
          </w:tcPr>
          <w:p w14:paraId="1135579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效益指标</w:t>
            </w:r>
          </w:p>
        </w:tc>
        <w:tc>
          <w:tcPr>
            <w:tcW w:w="1074" w:type="dxa"/>
            <w:tcBorders>
              <w:top w:val="single" w:color="000000" w:sz="4" w:space="0"/>
              <w:left w:val="single" w:color="000000" w:sz="4" w:space="0"/>
              <w:right w:val="single" w:color="000000" w:sz="4" w:space="0"/>
            </w:tcBorders>
            <w:shd w:val="clear" w:color="auto" w:fill="auto"/>
            <w:vAlign w:val="center"/>
          </w:tcPr>
          <w:p w14:paraId="29CE68F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22"/>
                <w:szCs w:val="22"/>
                <w:u w:val="none"/>
                <w:lang w:val="en-US" w:eastAsia="zh-CN" w:bidi="ar"/>
              </w:rPr>
            </w:pPr>
            <w:r>
              <w:rPr>
                <w:rFonts w:hint="default" w:ascii="Times New Roman" w:hAnsi="Times New Roman" w:eastAsia="宋体" w:cs="Times New Roman"/>
                <w:i w:val="0"/>
                <w:color w:val="000000"/>
                <w:kern w:val="0"/>
                <w:sz w:val="22"/>
                <w:szCs w:val="22"/>
                <w:u w:val="none"/>
                <w:lang w:val="en-US" w:eastAsia="zh-CN" w:bidi="ar"/>
              </w:rPr>
              <w:t>社会效益</w:t>
            </w:r>
          </w:p>
          <w:p w14:paraId="1BD2AA3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指标</w:t>
            </w:r>
          </w:p>
        </w:tc>
        <w:tc>
          <w:tcPr>
            <w:tcW w:w="12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187488">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ascii="宋体" w:hAnsi="宋体" w:eastAsia="宋体" w:cs="宋体"/>
                <w:i w:val="0"/>
                <w:iCs w:val="0"/>
                <w:color w:val="000000"/>
                <w:kern w:val="0"/>
                <w:sz w:val="18"/>
                <w:szCs w:val="18"/>
                <w:u w:val="none"/>
                <w:lang w:val="en-US" w:eastAsia="zh-CN" w:bidi="ar"/>
              </w:rPr>
              <w:t>通过地质灾害综合防治体系工程的建设，保护受威胁群众</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26465">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ascii="宋体" w:hAnsi="宋体" w:eastAsia="宋体" w:cs="宋体"/>
                <w:i w:val="0"/>
                <w:iCs w:val="0"/>
                <w:color w:val="000000"/>
                <w:kern w:val="0"/>
                <w:sz w:val="18"/>
                <w:szCs w:val="18"/>
                <w:u w:val="none"/>
                <w:lang w:val="en-US" w:eastAsia="zh-CN" w:bidi="ar"/>
              </w:rPr>
              <w:t>≥</w:t>
            </w:r>
          </w:p>
        </w:tc>
        <w:tc>
          <w:tcPr>
            <w:tcW w:w="10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E570A6">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lang w:val="en-US"/>
              </w:rPr>
            </w:pPr>
            <w:r>
              <w:rPr>
                <w:rFonts w:ascii="宋体" w:hAnsi="宋体" w:eastAsia="宋体" w:cs="宋体"/>
                <w:i w:val="0"/>
                <w:iCs w:val="0"/>
                <w:color w:val="000000"/>
                <w:kern w:val="0"/>
                <w:sz w:val="18"/>
                <w:szCs w:val="18"/>
                <w:u w:val="none"/>
                <w:lang w:val="en-US" w:eastAsia="zh-CN" w:bidi="ar"/>
              </w:rPr>
              <w:t>500</w:t>
            </w:r>
          </w:p>
        </w:tc>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EE812">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ascii="宋体" w:hAnsi="宋体" w:eastAsia="宋体" w:cs="宋体"/>
                <w:i w:val="0"/>
                <w:iCs w:val="0"/>
                <w:color w:val="000000"/>
                <w:kern w:val="0"/>
                <w:sz w:val="18"/>
                <w:szCs w:val="18"/>
                <w:u w:val="none"/>
                <w:lang w:val="en-US" w:eastAsia="zh-CN" w:bidi="ar"/>
              </w:rPr>
              <w:t>人</w:t>
            </w: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5DD831">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ascii="宋体" w:hAnsi="宋体" w:eastAsia="宋体" w:cs="宋体"/>
                <w:i w:val="0"/>
                <w:iCs w:val="0"/>
                <w:color w:val="000000"/>
                <w:kern w:val="0"/>
                <w:sz w:val="18"/>
                <w:szCs w:val="18"/>
                <w:u w:val="none"/>
                <w:lang w:val="en-US" w:eastAsia="zh-CN" w:bidi="ar"/>
              </w:rPr>
              <w:t>10</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FBA756">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ascii="宋体" w:hAnsi="宋体" w:eastAsia="宋体" w:cs="宋体"/>
                <w:i w:val="0"/>
                <w:iCs w:val="0"/>
                <w:color w:val="000000"/>
                <w:kern w:val="0"/>
                <w:sz w:val="18"/>
                <w:szCs w:val="18"/>
                <w:u w:val="none"/>
                <w:lang w:val="en-US" w:eastAsia="zh-CN" w:bidi="ar"/>
              </w:rPr>
              <w:t>通过地质灾害综合防治体系工程的建设，保护受威胁群众</w:t>
            </w:r>
          </w:p>
        </w:tc>
      </w:tr>
      <w:tr w14:paraId="00746B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60" w:hRule="atLeast"/>
          <w:jc w:val="center"/>
        </w:trPr>
        <w:tc>
          <w:tcPr>
            <w:tcW w:w="1096" w:type="dxa"/>
            <w:vMerge w:val="continue"/>
            <w:tcBorders>
              <w:left w:val="single" w:color="000000" w:sz="4" w:space="0"/>
              <w:right w:val="single" w:color="000000" w:sz="4" w:space="0"/>
            </w:tcBorders>
            <w:shd w:val="clear" w:color="auto" w:fill="auto"/>
            <w:vAlign w:val="center"/>
          </w:tcPr>
          <w:p w14:paraId="289EA42C">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2"/>
                <w:szCs w:val="22"/>
                <w:u w:val="none"/>
              </w:rPr>
            </w:pPr>
          </w:p>
        </w:tc>
        <w:tc>
          <w:tcPr>
            <w:tcW w:w="1128" w:type="dxa"/>
            <w:vMerge w:val="continue"/>
            <w:tcBorders>
              <w:left w:val="single" w:color="000000" w:sz="4" w:space="0"/>
              <w:right w:val="single" w:color="000000" w:sz="4" w:space="0"/>
            </w:tcBorders>
            <w:shd w:val="clear" w:color="auto" w:fill="auto"/>
            <w:vAlign w:val="center"/>
          </w:tcPr>
          <w:p w14:paraId="6CB23C1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22"/>
                <w:szCs w:val="22"/>
                <w:u w:val="none"/>
                <w:lang w:val="en-US" w:eastAsia="zh-CN" w:bidi="ar"/>
              </w:rPr>
            </w:pPr>
          </w:p>
        </w:tc>
        <w:tc>
          <w:tcPr>
            <w:tcW w:w="1074" w:type="dxa"/>
            <w:tcBorders>
              <w:top w:val="single" w:color="000000" w:sz="4" w:space="0"/>
              <w:left w:val="single" w:color="000000" w:sz="4" w:space="0"/>
              <w:right w:val="single" w:color="000000" w:sz="4" w:space="0"/>
            </w:tcBorders>
            <w:shd w:val="clear" w:color="auto" w:fill="auto"/>
            <w:vAlign w:val="center"/>
          </w:tcPr>
          <w:p w14:paraId="30D19160">
            <w:pPr>
              <w:keepNext w:val="0"/>
              <w:keepLines w:val="0"/>
              <w:widowControl/>
              <w:suppressLineNumbers w:val="0"/>
              <w:jc w:val="left"/>
              <w:textAlignment w:val="center"/>
              <w:rPr>
                <w:rFonts w:hint="default" w:ascii="Times New Roman" w:hAnsi="Times New Roman" w:eastAsia="宋体" w:cs="Times New Roman"/>
                <w:i w:val="0"/>
                <w:color w:val="000000"/>
                <w:kern w:val="0"/>
                <w:sz w:val="22"/>
                <w:szCs w:val="22"/>
                <w:u w:val="none"/>
                <w:lang w:val="en-US" w:eastAsia="zh-CN" w:bidi="ar"/>
              </w:rPr>
            </w:pPr>
            <w:r>
              <w:rPr>
                <w:rFonts w:ascii="宋体" w:hAnsi="宋体" w:eastAsia="宋体" w:cs="宋体"/>
                <w:i w:val="0"/>
                <w:iCs w:val="0"/>
                <w:color w:val="000000"/>
                <w:kern w:val="0"/>
                <w:sz w:val="18"/>
                <w:szCs w:val="18"/>
                <w:u w:val="none"/>
                <w:lang w:val="en-US" w:eastAsia="zh-CN" w:bidi="ar"/>
              </w:rPr>
              <w:t>生态效益指标</w:t>
            </w:r>
          </w:p>
        </w:tc>
        <w:tc>
          <w:tcPr>
            <w:tcW w:w="12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22E94A">
            <w:pPr>
              <w:keepNext w:val="0"/>
              <w:keepLines w:val="0"/>
              <w:widowControl/>
              <w:suppressLineNumbers w:val="0"/>
              <w:jc w:val="left"/>
              <w:textAlignment w:val="center"/>
              <w:rPr>
                <w:rFonts w:hint="default" w:eastAsia="宋体" w:cs="Times New Roman"/>
                <w:i w:val="0"/>
                <w:color w:val="000000"/>
                <w:sz w:val="16"/>
                <w:szCs w:val="16"/>
                <w:u w:val="none"/>
                <w:lang w:val="en-US" w:eastAsia="zh-CN"/>
              </w:rPr>
            </w:pPr>
            <w:r>
              <w:rPr>
                <w:rFonts w:ascii="宋体" w:hAnsi="宋体" w:eastAsia="宋体" w:cs="宋体"/>
                <w:i w:val="0"/>
                <w:iCs w:val="0"/>
                <w:color w:val="000000"/>
                <w:kern w:val="0"/>
                <w:sz w:val="18"/>
                <w:szCs w:val="18"/>
                <w:u w:val="none"/>
                <w:lang w:val="en-US" w:eastAsia="zh-CN" w:bidi="ar"/>
              </w:rPr>
              <w:t>治理滑坡等自然灾害</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9BC3F2">
            <w:pPr>
              <w:keepNext w:val="0"/>
              <w:keepLines w:val="0"/>
              <w:widowControl/>
              <w:suppressLineNumbers w:val="0"/>
              <w:jc w:val="left"/>
              <w:textAlignment w:val="center"/>
              <w:rPr>
                <w:rFonts w:ascii="宋体" w:hAnsi="宋体" w:eastAsia="宋体" w:cs="宋体"/>
                <w:i w:val="0"/>
                <w:iCs w:val="0"/>
                <w:color w:val="000000"/>
                <w:kern w:val="0"/>
                <w:sz w:val="16"/>
                <w:szCs w:val="16"/>
                <w:u w:val="none"/>
                <w:lang w:val="en-US" w:eastAsia="zh-CN" w:bidi="ar"/>
              </w:rPr>
            </w:pPr>
            <w:r>
              <w:rPr>
                <w:rFonts w:ascii="宋体" w:hAnsi="宋体" w:eastAsia="宋体" w:cs="宋体"/>
                <w:i w:val="0"/>
                <w:iCs w:val="0"/>
                <w:color w:val="000000"/>
                <w:kern w:val="0"/>
                <w:sz w:val="18"/>
                <w:szCs w:val="18"/>
                <w:u w:val="none"/>
                <w:lang w:val="en-US" w:eastAsia="zh-CN" w:bidi="ar"/>
              </w:rPr>
              <w:t>≥</w:t>
            </w:r>
          </w:p>
        </w:tc>
        <w:tc>
          <w:tcPr>
            <w:tcW w:w="10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57604">
            <w:pPr>
              <w:keepNext w:val="0"/>
              <w:keepLines w:val="0"/>
              <w:widowControl/>
              <w:suppressLineNumbers w:val="0"/>
              <w:jc w:val="left"/>
              <w:textAlignment w:val="center"/>
              <w:rPr>
                <w:rFonts w:hint="eastAsia" w:ascii="宋体" w:hAnsi="宋体" w:eastAsia="宋体" w:cs="宋体"/>
                <w:i w:val="0"/>
                <w:iCs w:val="0"/>
                <w:color w:val="000000"/>
                <w:kern w:val="0"/>
                <w:sz w:val="16"/>
                <w:szCs w:val="16"/>
                <w:u w:val="none"/>
                <w:lang w:val="en-US" w:eastAsia="zh-CN" w:bidi="ar"/>
              </w:rPr>
            </w:pPr>
            <w:r>
              <w:rPr>
                <w:rFonts w:ascii="宋体" w:hAnsi="宋体" w:eastAsia="宋体" w:cs="宋体"/>
                <w:i w:val="0"/>
                <w:iCs w:val="0"/>
                <w:color w:val="000000"/>
                <w:kern w:val="0"/>
                <w:sz w:val="18"/>
                <w:szCs w:val="18"/>
                <w:u w:val="none"/>
                <w:lang w:val="en-US" w:eastAsia="zh-CN" w:bidi="ar"/>
              </w:rPr>
              <w:t>3</w:t>
            </w:r>
          </w:p>
        </w:tc>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A06C6">
            <w:pPr>
              <w:keepNext w:val="0"/>
              <w:keepLines w:val="0"/>
              <w:widowControl/>
              <w:suppressLineNumbers w:val="0"/>
              <w:jc w:val="left"/>
              <w:textAlignment w:val="center"/>
              <w:rPr>
                <w:rFonts w:ascii="宋体" w:hAnsi="宋体" w:eastAsia="宋体" w:cs="宋体"/>
                <w:i w:val="0"/>
                <w:iCs w:val="0"/>
                <w:color w:val="000000"/>
                <w:kern w:val="0"/>
                <w:sz w:val="16"/>
                <w:szCs w:val="16"/>
                <w:u w:val="none"/>
                <w:lang w:val="en-US" w:eastAsia="zh-CN" w:bidi="ar"/>
              </w:rPr>
            </w:pPr>
            <w:r>
              <w:rPr>
                <w:rFonts w:ascii="宋体" w:hAnsi="宋体" w:eastAsia="宋体" w:cs="宋体"/>
                <w:i w:val="0"/>
                <w:iCs w:val="0"/>
                <w:color w:val="000000"/>
                <w:kern w:val="0"/>
                <w:sz w:val="18"/>
                <w:szCs w:val="18"/>
                <w:u w:val="none"/>
                <w:lang w:val="en-US" w:eastAsia="zh-CN" w:bidi="ar"/>
              </w:rPr>
              <w:t>处</w:t>
            </w: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CF8DF6">
            <w:pPr>
              <w:keepNext w:val="0"/>
              <w:keepLines w:val="0"/>
              <w:widowControl/>
              <w:suppressLineNumbers w:val="0"/>
              <w:jc w:val="left"/>
              <w:textAlignment w:val="center"/>
              <w:rPr>
                <w:rFonts w:ascii="宋体" w:hAnsi="宋体" w:eastAsia="宋体" w:cs="宋体"/>
                <w:i w:val="0"/>
                <w:iCs w:val="0"/>
                <w:color w:val="000000"/>
                <w:kern w:val="0"/>
                <w:sz w:val="16"/>
                <w:szCs w:val="16"/>
                <w:u w:val="none"/>
                <w:lang w:val="en-US" w:eastAsia="zh-CN" w:bidi="ar"/>
              </w:rPr>
            </w:pPr>
            <w:r>
              <w:rPr>
                <w:rFonts w:ascii="宋体" w:hAnsi="宋体" w:eastAsia="宋体" w:cs="宋体"/>
                <w:i w:val="0"/>
                <w:iCs w:val="0"/>
                <w:color w:val="000000"/>
                <w:kern w:val="0"/>
                <w:sz w:val="18"/>
                <w:szCs w:val="18"/>
                <w:u w:val="none"/>
                <w:lang w:val="en-US" w:eastAsia="zh-CN" w:bidi="ar"/>
              </w:rPr>
              <w:t>10</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59C3F7">
            <w:pPr>
              <w:keepNext w:val="0"/>
              <w:keepLines w:val="0"/>
              <w:widowControl/>
              <w:suppressLineNumbers w:val="0"/>
              <w:jc w:val="left"/>
              <w:textAlignment w:val="center"/>
              <w:rPr>
                <w:rFonts w:hint="eastAsia" w:ascii="宋体" w:hAnsi="宋体" w:eastAsia="宋体" w:cs="宋体"/>
                <w:i w:val="0"/>
                <w:iCs w:val="0"/>
                <w:color w:val="000000"/>
                <w:kern w:val="0"/>
                <w:sz w:val="16"/>
                <w:szCs w:val="16"/>
                <w:u w:val="none"/>
                <w:lang w:val="en-US" w:eastAsia="zh-CN" w:bidi="ar"/>
              </w:rPr>
            </w:pPr>
            <w:r>
              <w:rPr>
                <w:rFonts w:ascii="宋体" w:hAnsi="宋体" w:eastAsia="宋体" w:cs="宋体"/>
                <w:i w:val="0"/>
                <w:iCs w:val="0"/>
                <w:color w:val="000000"/>
                <w:kern w:val="0"/>
                <w:sz w:val="18"/>
                <w:szCs w:val="18"/>
                <w:u w:val="none"/>
                <w:lang w:val="en-US" w:eastAsia="zh-CN" w:bidi="ar"/>
              </w:rPr>
              <w:t>治理滑坡等自然灾害</w:t>
            </w:r>
          </w:p>
        </w:tc>
      </w:tr>
      <w:tr w14:paraId="41A96F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60" w:hRule="atLeast"/>
          <w:jc w:val="center"/>
        </w:trPr>
        <w:tc>
          <w:tcPr>
            <w:tcW w:w="1096" w:type="dxa"/>
            <w:vMerge w:val="continue"/>
            <w:tcBorders>
              <w:left w:val="single" w:color="000000" w:sz="4" w:space="0"/>
              <w:right w:val="single" w:color="000000" w:sz="4" w:space="0"/>
            </w:tcBorders>
            <w:shd w:val="clear" w:color="auto" w:fill="auto"/>
            <w:vAlign w:val="center"/>
          </w:tcPr>
          <w:p w14:paraId="2B8B47C5">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2"/>
                <w:szCs w:val="22"/>
                <w:u w:val="none"/>
              </w:rPr>
            </w:pPr>
          </w:p>
        </w:tc>
        <w:tc>
          <w:tcPr>
            <w:tcW w:w="1128" w:type="dxa"/>
            <w:vMerge w:val="continue"/>
            <w:tcBorders>
              <w:left w:val="single" w:color="000000" w:sz="4" w:space="0"/>
              <w:bottom w:val="single" w:color="000000" w:sz="4" w:space="0"/>
              <w:right w:val="single" w:color="000000" w:sz="4" w:space="0"/>
            </w:tcBorders>
            <w:shd w:val="clear" w:color="auto" w:fill="auto"/>
            <w:vAlign w:val="center"/>
          </w:tcPr>
          <w:p w14:paraId="2EB56BC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22"/>
                <w:szCs w:val="22"/>
                <w:u w:val="none"/>
                <w:lang w:val="en-US" w:eastAsia="zh-CN" w:bidi="ar"/>
              </w:rPr>
            </w:pPr>
          </w:p>
        </w:tc>
        <w:tc>
          <w:tcPr>
            <w:tcW w:w="1074" w:type="dxa"/>
            <w:tcBorders>
              <w:top w:val="single" w:color="000000" w:sz="4" w:space="0"/>
              <w:left w:val="single" w:color="000000" w:sz="4" w:space="0"/>
              <w:right w:val="single" w:color="000000" w:sz="4" w:space="0"/>
            </w:tcBorders>
            <w:shd w:val="clear" w:color="auto" w:fill="auto"/>
            <w:vAlign w:val="center"/>
          </w:tcPr>
          <w:p w14:paraId="3E97A700">
            <w:pPr>
              <w:keepNext w:val="0"/>
              <w:keepLines w:val="0"/>
              <w:widowControl/>
              <w:suppressLineNumbers w:val="0"/>
              <w:jc w:val="left"/>
              <w:textAlignment w:val="center"/>
              <w:rPr>
                <w:rFonts w:hint="default" w:ascii="Times New Roman" w:hAnsi="Times New Roman" w:eastAsia="宋体" w:cs="Times New Roman"/>
                <w:i w:val="0"/>
                <w:color w:val="000000"/>
                <w:kern w:val="0"/>
                <w:sz w:val="22"/>
                <w:szCs w:val="22"/>
                <w:u w:val="none"/>
                <w:lang w:val="en-US" w:eastAsia="zh-CN" w:bidi="ar"/>
              </w:rPr>
            </w:pPr>
            <w:r>
              <w:rPr>
                <w:rFonts w:ascii="宋体" w:hAnsi="宋体" w:eastAsia="宋体" w:cs="宋体"/>
                <w:i w:val="0"/>
                <w:iCs w:val="0"/>
                <w:color w:val="000000"/>
                <w:kern w:val="0"/>
                <w:sz w:val="18"/>
                <w:szCs w:val="18"/>
                <w:u w:val="none"/>
                <w:lang w:val="en-US" w:eastAsia="zh-CN" w:bidi="ar"/>
              </w:rPr>
              <w:t>可持续发展指标</w:t>
            </w:r>
          </w:p>
        </w:tc>
        <w:tc>
          <w:tcPr>
            <w:tcW w:w="12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329B4D">
            <w:pPr>
              <w:keepNext w:val="0"/>
              <w:keepLines w:val="0"/>
              <w:widowControl/>
              <w:suppressLineNumbers w:val="0"/>
              <w:jc w:val="left"/>
              <w:textAlignment w:val="center"/>
              <w:rPr>
                <w:rFonts w:hint="default" w:eastAsia="宋体" w:cs="Times New Roman"/>
                <w:i w:val="0"/>
                <w:color w:val="000000"/>
                <w:sz w:val="16"/>
                <w:szCs w:val="16"/>
                <w:u w:val="none"/>
                <w:lang w:val="en-US" w:eastAsia="zh-CN"/>
              </w:rPr>
            </w:pPr>
            <w:r>
              <w:rPr>
                <w:rFonts w:ascii="宋体" w:hAnsi="宋体" w:eastAsia="宋体" w:cs="宋体"/>
                <w:i w:val="0"/>
                <w:iCs w:val="0"/>
                <w:color w:val="000000"/>
                <w:kern w:val="0"/>
                <w:sz w:val="18"/>
                <w:szCs w:val="18"/>
                <w:u w:val="none"/>
                <w:lang w:val="en-US" w:eastAsia="zh-CN" w:bidi="ar"/>
              </w:rPr>
              <w:t>长期推进国土空间编制工作</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1071F0">
            <w:pPr>
              <w:keepNext w:val="0"/>
              <w:keepLines w:val="0"/>
              <w:widowControl/>
              <w:suppressLineNumbers w:val="0"/>
              <w:jc w:val="left"/>
              <w:textAlignment w:val="center"/>
              <w:rPr>
                <w:rFonts w:ascii="宋体" w:hAnsi="宋体" w:eastAsia="宋体" w:cs="宋体"/>
                <w:i w:val="0"/>
                <w:iCs w:val="0"/>
                <w:color w:val="000000"/>
                <w:kern w:val="0"/>
                <w:sz w:val="16"/>
                <w:szCs w:val="16"/>
                <w:u w:val="none"/>
                <w:lang w:val="en-US" w:eastAsia="zh-CN" w:bidi="ar"/>
              </w:rPr>
            </w:pPr>
            <w:r>
              <w:rPr>
                <w:rFonts w:ascii="宋体" w:hAnsi="宋体" w:eastAsia="宋体" w:cs="宋体"/>
                <w:i w:val="0"/>
                <w:iCs w:val="0"/>
                <w:color w:val="000000"/>
                <w:kern w:val="0"/>
                <w:sz w:val="18"/>
                <w:szCs w:val="18"/>
                <w:u w:val="none"/>
                <w:lang w:val="en-US" w:eastAsia="zh-CN" w:bidi="ar"/>
              </w:rPr>
              <w:t>定性</w:t>
            </w:r>
          </w:p>
        </w:tc>
        <w:tc>
          <w:tcPr>
            <w:tcW w:w="10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51D97A">
            <w:pPr>
              <w:keepNext w:val="0"/>
              <w:keepLines w:val="0"/>
              <w:widowControl/>
              <w:suppressLineNumbers w:val="0"/>
              <w:jc w:val="left"/>
              <w:textAlignment w:val="center"/>
              <w:rPr>
                <w:rFonts w:hint="eastAsia" w:ascii="宋体" w:hAnsi="宋体" w:eastAsia="宋体" w:cs="宋体"/>
                <w:i w:val="0"/>
                <w:iCs w:val="0"/>
                <w:color w:val="000000"/>
                <w:kern w:val="0"/>
                <w:sz w:val="16"/>
                <w:szCs w:val="16"/>
                <w:u w:val="none"/>
                <w:lang w:val="en-US" w:eastAsia="zh-CN" w:bidi="ar"/>
              </w:rPr>
            </w:pPr>
            <w:r>
              <w:rPr>
                <w:rFonts w:ascii="宋体" w:hAnsi="宋体" w:eastAsia="宋体" w:cs="宋体"/>
                <w:i w:val="0"/>
                <w:iCs w:val="0"/>
                <w:color w:val="000000"/>
                <w:kern w:val="0"/>
                <w:sz w:val="18"/>
                <w:szCs w:val="18"/>
                <w:u w:val="none"/>
                <w:lang w:val="en-US" w:eastAsia="zh-CN" w:bidi="ar"/>
              </w:rPr>
              <w:t>长期</w:t>
            </w:r>
          </w:p>
        </w:tc>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632DB2">
            <w:pPr>
              <w:jc w:val="left"/>
              <w:rPr>
                <w:rFonts w:ascii="宋体" w:hAnsi="宋体" w:eastAsia="宋体" w:cs="宋体"/>
                <w:i w:val="0"/>
                <w:iCs w:val="0"/>
                <w:color w:val="000000"/>
                <w:kern w:val="0"/>
                <w:sz w:val="16"/>
                <w:szCs w:val="16"/>
                <w:u w:val="none"/>
                <w:lang w:val="en-US" w:eastAsia="zh-CN" w:bidi="ar"/>
              </w:rPr>
            </w:pP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EEB77B">
            <w:pPr>
              <w:keepNext w:val="0"/>
              <w:keepLines w:val="0"/>
              <w:widowControl/>
              <w:suppressLineNumbers w:val="0"/>
              <w:jc w:val="left"/>
              <w:textAlignment w:val="center"/>
              <w:rPr>
                <w:rFonts w:ascii="宋体" w:hAnsi="宋体" w:eastAsia="宋体" w:cs="宋体"/>
                <w:i w:val="0"/>
                <w:iCs w:val="0"/>
                <w:color w:val="000000"/>
                <w:kern w:val="0"/>
                <w:sz w:val="16"/>
                <w:szCs w:val="16"/>
                <w:u w:val="none"/>
                <w:lang w:val="en-US" w:eastAsia="zh-CN" w:bidi="ar"/>
              </w:rPr>
            </w:pPr>
            <w:r>
              <w:rPr>
                <w:rFonts w:ascii="宋体" w:hAnsi="宋体" w:eastAsia="宋体" w:cs="宋体"/>
                <w:i w:val="0"/>
                <w:iCs w:val="0"/>
                <w:color w:val="000000"/>
                <w:kern w:val="0"/>
                <w:sz w:val="18"/>
                <w:szCs w:val="18"/>
                <w:u w:val="none"/>
                <w:lang w:val="en-US" w:eastAsia="zh-CN" w:bidi="ar"/>
              </w:rPr>
              <w:t>10</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830572">
            <w:pPr>
              <w:keepNext w:val="0"/>
              <w:keepLines w:val="0"/>
              <w:widowControl/>
              <w:suppressLineNumbers w:val="0"/>
              <w:jc w:val="left"/>
              <w:textAlignment w:val="center"/>
              <w:rPr>
                <w:rFonts w:hint="eastAsia" w:ascii="宋体" w:hAnsi="宋体" w:eastAsia="宋体" w:cs="宋体"/>
                <w:i w:val="0"/>
                <w:iCs w:val="0"/>
                <w:color w:val="000000"/>
                <w:kern w:val="0"/>
                <w:sz w:val="16"/>
                <w:szCs w:val="16"/>
                <w:u w:val="none"/>
                <w:lang w:val="en-US" w:eastAsia="zh-CN" w:bidi="ar"/>
              </w:rPr>
            </w:pPr>
            <w:r>
              <w:rPr>
                <w:rFonts w:ascii="宋体" w:hAnsi="宋体" w:eastAsia="宋体" w:cs="宋体"/>
                <w:i w:val="0"/>
                <w:iCs w:val="0"/>
                <w:color w:val="000000"/>
                <w:kern w:val="0"/>
                <w:sz w:val="18"/>
                <w:szCs w:val="18"/>
                <w:u w:val="none"/>
                <w:lang w:val="en-US" w:eastAsia="zh-CN" w:bidi="ar"/>
              </w:rPr>
              <w:t>长期推进国土空间编制工作</w:t>
            </w:r>
          </w:p>
        </w:tc>
      </w:tr>
      <w:tr w14:paraId="255E67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00" w:hRule="atLeast"/>
          <w:jc w:val="center"/>
        </w:trPr>
        <w:tc>
          <w:tcPr>
            <w:tcW w:w="1096" w:type="dxa"/>
            <w:vMerge w:val="continue"/>
            <w:tcBorders>
              <w:left w:val="single" w:color="000000" w:sz="4" w:space="0"/>
              <w:right w:val="single" w:color="000000" w:sz="4" w:space="0"/>
            </w:tcBorders>
            <w:shd w:val="clear" w:color="auto" w:fill="auto"/>
            <w:vAlign w:val="center"/>
          </w:tcPr>
          <w:p w14:paraId="77BB2EA3">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2"/>
                <w:szCs w:val="22"/>
                <w:u w:val="none"/>
              </w:rPr>
            </w:pPr>
          </w:p>
        </w:tc>
        <w:tc>
          <w:tcPr>
            <w:tcW w:w="1128" w:type="dxa"/>
            <w:tcBorders>
              <w:top w:val="single" w:color="000000" w:sz="4" w:space="0"/>
              <w:left w:val="single" w:color="000000" w:sz="4" w:space="0"/>
              <w:right w:val="single" w:color="000000" w:sz="4" w:space="0"/>
            </w:tcBorders>
            <w:shd w:val="clear" w:color="auto" w:fill="auto"/>
            <w:vAlign w:val="center"/>
          </w:tcPr>
          <w:p w14:paraId="00E2B64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满意度指标</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9884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2"/>
                <w:szCs w:val="22"/>
                <w:u w:val="none"/>
              </w:rPr>
            </w:pPr>
            <w:r>
              <w:rPr>
                <w:rFonts w:hint="eastAsia" w:eastAsia="宋体" w:cs="Times New Roman"/>
                <w:i w:val="0"/>
                <w:color w:val="000000"/>
                <w:kern w:val="0"/>
                <w:sz w:val="22"/>
                <w:szCs w:val="22"/>
                <w:u w:val="none"/>
                <w:lang w:val="en-US" w:eastAsia="zh-CN" w:bidi="ar"/>
              </w:rPr>
              <w:t>服务对象</w:t>
            </w:r>
            <w:r>
              <w:rPr>
                <w:rFonts w:hint="default" w:ascii="Times New Roman" w:hAnsi="Times New Roman" w:eastAsia="宋体" w:cs="Times New Roman"/>
                <w:i w:val="0"/>
                <w:color w:val="000000"/>
                <w:kern w:val="0"/>
                <w:sz w:val="22"/>
                <w:szCs w:val="22"/>
                <w:u w:val="none"/>
                <w:lang w:val="en-US" w:eastAsia="zh-CN" w:bidi="ar"/>
              </w:rPr>
              <w:t>满意度指标</w:t>
            </w:r>
          </w:p>
        </w:tc>
        <w:tc>
          <w:tcPr>
            <w:tcW w:w="12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1A3D03">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eastAsia" w:ascii="宋体" w:hAnsi="宋体" w:eastAsia="宋体" w:cs="宋体"/>
                <w:i w:val="0"/>
                <w:iCs w:val="0"/>
                <w:color w:val="000000"/>
                <w:kern w:val="0"/>
                <w:sz w:val="16"/>
                <w:szCs w:val="16"/>
                <w:u w:val="none"/>
                <w:lang w:val="en-US" w:eastAsia="zh-CN" w:bidi="ar"/>
              </w:rPr>
              <w:t>行政机关</w:t>
            </w:r>
            <w:r>
              <w:rPr>
                <w:rFonts w:ascii="宋体" w:hAnsi="宋体" w:eastAsia="宋体" w:cs="宋体"/>
                <w:i w:val="0"/>
                <w:iCs w:val="0"/>
                <w:color w:val="000000"/>
                <w:kern w:val="0"/>
                <w:sz w:val="16"/>
                <w:szCs w:val="16"/>
                <w:u w:val="none"/>
                <w:lang w:val="en-US" w:eastAsia="zh-CN" w:bidi="ar"/>
              </w:rPr>
              <w:t>满意度</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3BAE0">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ascii="宋体" w:hAnsi="宋体" w:eastAsia="宋体" w:cs="宋体"/>
                <w:i w:val="0"/>
                <w:iCs w:val="0"/>
                <w:color w:val="000000"/>
                <w:kern w:val="0"/>
                <w:sz w:val="16"/>
                <w:szCs w:val="16"/>
                <w:u w:val="none"/>
                <w:lang w:val="en-US" w:eastAsia="zh-CN" w:bidi="ar"/>
              </w:rPr>
              <w:t>≥</w:t>
            </w:r>
          </w:p>
        </w:tc>
        <w:tc>
          <w:tcPr>
            <w:tcW w:w="10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5249A6">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lang w:val="en-US"/>
              </w:rPr>
            </w:pPr>
            <w:r>
              <w:rPr>
                <w:rFonts w:hint="eastAsia" w:ascii="宋体" w:hAnsi="宋体" w:eastAsia="宋体" w:cs="宋体"/>
                <w:i w:val="0"/>
                <w:iCs w:val="0"/>
                <w:color w:val="000000"/>
                <w:kern w:val="0"/>
                <w:sz w:val="16"/>
                <w:szCs w:val="16"/>
                <w:u w:val="none"/>
                <w:lang w:val="en-US" w:eastAsia="zh-CN" w:bidi="ar"/>
              </w:rPr>
              <w:t>95</w:t>
            </w:r>
          </w:p>
        </w:tc>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B51E94">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ascii="宋体" w:hAnsi="宋体" w:eastAsia="宋体" w:cs="宋体"/>
                <w:i w:val="0"/>
                <w:iCs w:val="0"/>
                <w:color w:val="000000"/>
                <w:kern w:val="0"/>
                <w:sz w:val="16"/>
                <w:szCs w:val="16"/>
                <w:u w:val="none"/>
                <w:lang w:val="en-US" w:eastAsia="zh-CN" w:bidi="ar"/>
              </w:rPr>
              <w:t>%</w:t>
            </w: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46E198">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lang w:val="en-US"/>
              </w:rPr>
            </w:pPr>
            <w:r>
              <w:rPr>
                <w:rFonts w:hint="eastAsia" w:ascii="宋体" w:hAnsi="宋体" w:eastAsia="宋体" w:cs="宋体"/>
                <w:i w:val="0"/>
                <w:iCs w:val="0"/>
                <w:color w:val="000000"/>
                <w:kern w:val="0"/>
                <w:sz w:val="16"/>
                <w:szCs w:val="16"/>
                <w:u w:val="none"/>
                <w:lang w:val="en-US" w:eastAsia="zh-CN" w:bidi="ar"/>
              </w:rPr>
              <w:t>15</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D8767B">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eastAsia" w:ascii="宋体" w:hAnsi="宋体" w:eastAsia="宋体" w:cs="宋体"/>
                <w:i w:val="0"/>
                <w:iCs w:val="0"/>
                <w:color w:val="000000"/>
                <w:kern w:val="0"/>
                <w:sz w:val="16"/>
                <w:szCs w:val="16"/>
                <w:u w:val="none"/>
                <w:lang w:val="en-US" w:eastAsia="zh-CN" w:bidi="ar"/>
              </w:rPr>
              <w:t>100</w:t>
            </w:r>
          </w:p>
        </w:tc>
      </w:tr>
    </w:tbl>
    <w:p w14:paraId="4F2956C8">
      <w:pPr>
        <w:pStyle w:val="16"/>
        <w:ind w:left="0" w:leftChars="0" w:firstLine="0" w:firstLineChars="0"/>
        <w:rPr>
          <w:rFonts w:hint="default" w:ascii="Times New Roman" w:hAnsi="Times New Roman" w:eastAsia="黑体" w:cs="Times New Roman"/>
          <w:sz w:val="24"/>
          <w:szCs w:val="24"/>
          <w:highlight w:val="none"/>
          <w:lang w:val="en-US" w:eastAsia="zh-CN"/>
        </w:rPr>
      </w:pPr>
    </w:p>
    <w:p w14:paraId="75D5D6AD">
      <w:pPr>
        <w:pStyle w:val="16"/>
        <w:ind w:left="0" w:leftChars="0" w:firstLine="0" w:firstLineChars="0"/>
        <w:rPr>
          <w:rFonts w:hint="default" w:ascii="Times New Roman" w:hAnsi="Times New Roman" w:eastAsia="黑体" w:cs="Times New Roman"/>
          <w:sz w:val="24"/>
          <w:szCs w:val="24"/>
          <w:highlight w:val="none"/>
          <w:lang w:val="en-US" w:eastAsia="zh-CN"/>
        </w:rPr>
      </w:pPr>
    </w:p>
    <w:p w14:paraId="363DED7B">
      <w:pPr>
        <w:pStyle w:val="16"/>
        <w:ind w:left="0" w:leftChars="0" w:firstLine="0" w:firstLineChars="0"/>
        <w:rPr>
          <w:rFonts w:hint="default" w:ascii="Times New Roman" w:hAnsi="Times New Roman" w:eastAsia="黑体" w:cs="Times New Roman"/>
          <w:sz w:val="24"/>
          <w:szCs w:val="24"/>
          <w:highlight w:val="none"/>
          <w:lang w:val="en-US" w:eastAsia="zh-CN"/>
        </w:rPr>
      </w:pPr>
    </w:p>
    <w:p w14:paraId="568C96FA">
      <w:pPr>
        <w:pStyle w:val="16"/>
        <w:ind w:left="0" w:leftChars="0" w:firstLine="0" w:firstLineChars="0"/>
        <w:rPr>
          <w:rFonts w:hint="default" w:ascii="Times New Roman" w:hAnsi="Times New Roman" w:eastAsia="黑体" w:cs="Times New Roman"/>
          <w:sz w:val="24"/>
          <w:szCs w:val="24"/>
          <w:highlight w:val="none"/>
          <w:lang w:val="en-US" w:eastAsia="zh-CN"/>
        </w:rPr>
      </w:pPr>
    </w:p>
    <w:p w14:paraId="3BF336B0">
      <w:pPr>
        <w:pStyle w:val="16"/>
        <w:ind w:left="0" w:leftChars="0" w:firstLine="0" w:firstLineChars="0"/>
        <w:rPr>
          <w:rFonts w:hint="default" w:ascii="Times New Roman" w:hAnsi="Times New Roman" w:eastAsia="黑体" w:cs="Times New Roman"/>
          <w:sz w:val="24"/>
          <w:szCs w:val="24"/>
          <w:highlight w:val="none"/>
          <w:lang w:val="en-US" w:eastAsia="zh-CN"/>
        </w:rPr>
      </w:pPr>
    </w:p>
    <w:p w14:paraId="7ED5C9EA">
      <w:pPr>
        <w:pStyle w:val="16"/>
        <w:ind w:left="0" w:leftChars="0" w:firstLine="0" w:firstLineChars="0"/>
        <w:rPr>
          <w:rFonts w:hint="default" w:ascii="Times New Roman" w:eastAsia="黑体" w:cs="Times New Roman"/>
          <w:sz w:val="24"/>
          <w:szCs w:val="24"/>
          <w:highlight w:val="none"/>
          <w:lang w:val="en-US" w:eastAsia="zh-CN"/>
        </w:rPr>
      </w:pPr>
    </w:p>
    <w:p w14:paraId="2B212A54">
      <w:pPr>
        <w:pStyle w:val="16"/>
        <w:ind w:left="0" w:leftChars="0" w:firstLine="0" w:firstLineChars="0"/>
        <w:rPr>
          <w:rFonts w:hint="default" w:ascii="Times New Roman" w:eastAsia="黑体" w:cs="Times New Roman"/>
          <w:sz w:val="24"/>
          <w:szCs w:val="24"/>
          <w:highlight w:val="none"/>
          <w:lang w:val="en-US" w:eastAsia="zh-CN"/>
        </w:rPr>
      </w:pPr>
    </w:p>
    <w:p w14:paraId="44D56128">
      <w:pPr>
        <w:pStyle w:val="16"/>
        <w:ind w:left="0" w:leftChars="0" w:firstLine="0" w:firstLineChars="0"/>
        <w:rPr>
          <w:rFonts w:hint="default" w:ascii="Times New Roman" w:eastAsia="黑体" w:cs="Times New Roman"/>
          <w:sz w:val="24"/>
          <w:szCs w:val="24"/>
          <w:highlight w:val="none"/>
          <w:lang w:val="en-US" w:eastAsia="zh-CN"/>
        </w:rPr>
      </w:pPr>
    </w:p>
    <w:p w14:paraId="4BEC82E6">
      <w:pPr>
        <w:pStyle w:val="16"/>
        <w:ind w:left="0" w:leftChars="0" w:firstLine="0" w:firstLineChars="0"/>
        <w:rPr>
          <w:rFonts w:hint="default" w:ascii="Times New Roman" w:eastAsia="黑体" w:cs="Times New Roman"/>
          <w:sz w:val="24"/>
          <w:szCs w:val="24"/>
          <w:highlight w:val="none"/>
          <w:lang w:val="en-US" w:eastAsia="zh-CN"/>
        </w:rPr>
      </w:pPr>
    </w:p>
    <w:p w14:paraId="37D5991F"/>
    <w:p w14:paraId="45A41BB6"/>
    <w:p w14:paraId="26982D7C">
      <w:pPr>
        <w:rPr>
          <w:rFonts w:hint="eastAsia" w:ascii="黑体" w:hAnsi="黑体" w:eastAsia="黑体"/>
          <w:sz w:val="32"/>
          <w:szCs w:val="32"/>
        </w:rPr>
      </w:pPr>
    </w:p>
    <w:p w14:paraId="06269E3E">
      <w:pPr>
        <w:pStyle w:val="2"/>
        <w:jc w:val="center"/>
        <w:rPr>
          <w:rFonts w:ascii="黑体" w:hAnsi="黑体" w:eastAsia="黑体"/>
        </w:rPr>
      </w:pPr>
      <w:bookmarkStart w:id="84" w:name="_Toc30269_WPSOffice_Level1"/>
      <w:r>
        <w:rPr>
          <w:rFonts w:hint="eastAsia" w:ascii="黑体" w:hAnsi="黑体" w:eastAsia="黑体"/>
        </w:rPr>
        <w:t>第五部分 附表</w:t>
      </w:r>
      <w:bookmarkEnd w:id="84"/>
    </w:p>
    <w:p w14:paraId="1111317C">
      <w:pPr>
        <w:rPr>
          <w:rFonts w:ascii="仿宋" w:hAnsi="仿宋" w:eastAsia="仿宋"/>
          <w:sz w:val="32"/>
          <w:szCs w:val="32"/>
        </w:rPr>
      </w:pPr>
      <w:bookmarkStart w:id="85" w:name="_Toc6914_WPSOffice_Level2"/>
      <w:r>
        <w:rPr>
          <w:rFonts w:hint="eastAsia" w:ascii="仿宋" w:hAnsi="仿宋" w:eastAsia="仿宋"/>
          <w:sz w:val="32"/>
          <w:szCs w:val="32"/>
        </w:rPr>
        <w:t>一、收入支出决算总表</w:t>
      </w:r>
      <w:bookmarkEnd w:id="85"/>
    </w:p>
    <w:p w14:paraId="6EF37D82">
      <w:pPr>
        <w:rPr>
          <w:rFonts w:ascii="仿宋" w:hAnsi="仿宋" w:eastAsia="仿宋"/>
          <w:sz w:val="32"/>
          <w:szCs w:val="32"/>
        </w:rPr>
      </w:pPr>
      <w:bookmarkStart w:id="86" w:name="_Toc3357_WPSOffice_Level2"/>
      <w:r>
        <w:rPr>
          <w:rFonts w:hint="eastAsia" w:ascii="仿宋" w:hAnsi="仿宋" w:eastAsia="仿宋"/>
          <w:sz w:val="32"/>
          <w:szCs w:val="32"/>
        </w:rPr>
        <w:t>二、收入决算表</w:t>
      </w:r>
      <w:bookmarkEnd w:id="86"/>
    </w:p>
    <w:p w14:paraId="75B72106">
      <w:pPr>
        <w:rPr>
          <w:rFonts w:ascii="仿宋" w:hAnsi="仿宋" w:eastAsia="仿宋"/>
          <w:sz w:val="32"/>
          <w:szCs w:val="32"/>
        </w:rPr>
      </w:pPr>
      <w:bookmarkStart w:id="87" w:name="_Toc29849_WPSOffice_Level2"/>
      <w:r>
        <w:rPr>
          <w:rFonts w:hint="eastAsia" w:ascii="仿宋" w:hAnsi="仿宋" w:eastAsia="仿宋"/>
          <w:sz w:val="32"/>
          <w:szCs w:val="32"/>
        </w:rPr>
        <w:t>三、支出决算表</w:t>
      </w:r>
      <w:bookmarkEnd w:id="87"/>
    </w:p>
    <w:p w14:paraId="5DDA698A">
      <w:pPr>
        <w:rPr>
          <w:rFonts w:ascii="仿宋" w:hAnsi="仿宋" w:eastAsia="仿宋"/>
          <w:sz w:val="32"/>
          <w:szCs w:val="32"/>
        </w:rPr>
      </w:pPr>
      <w:bookmarkStart w:id="88" w:name="_Toc20908_WPSOffice_Level2"/>
      <w:r>
        <w:rPr>
          <w:rFonts w:hint="eastAsia" w:ascii="仿宋" w:hAnsi="仿宋" w:eastAsia="仿宋"/>
          <w:sz w:val="32"/>
          <w:szCs w:val="32"/>
        </w:rPr>
        <w:t>四、财政拨款收入支出决算总表</w:t>
      </w:r>
      <w:bookmarkEnd w:id="88"/>
    </w:p>
    <w:p w14:paraId="484C9634">
      <w:pPr>
        <w:rPr>
          <w:rFonts w:ascii="仿宋" w:hAnsi="仿宋" w:eastAsia="仿宋"/>
          <w:sz w:val="32"/>
          <w:szCs w:val="32"/>
        </w:rPr>
      </w:pPr>
      <w:bookmarkStart w:id="89" w:name="_Toc22805_WPSOffice_Level2"/>
      <w:r>
        <w:rPr>
          <w:rFonts w:hint="eastAsia" w:ascii="仿宋" w:hAnsi="仿宋" w:eastAsia="仿宋"/>
          <w:sz w:val="32"/>
          <w:szCs w:val="32"/>
        </w:rPr>
        <w:t>五、财政拨款支出决算明细表</w:t>
      </w:r>
      <w:bookmarkEnd w:id="89"/>
    </w:p>
    <w:p w14:paraId="41EC496A">
      <w:pPr>
        <w:rPr>
          <w:rFonts w:ascii="仿宋" w:hAnsi="仿宋" w:eastAsia="仿宋"/>
          <w:sz w:val="32"/>
          <w:szCs w:val="32"/>
        </w:rPr>
      </w:pPr>
      <w:bookmarkStart w:id="90" w:name="_Toc7011_WPSOffice_Level2"/>
      <w:r>
        <w:rPr>
          <w:rFonts w:hint="eastAsia" w:ascii="仿宋" w:hAnsi="仿宋" w:eastAsia="仿宋"/>
          <w:sz w:val="32"/>
          <w:szCs w:val="32"/>
        </w:rPr>
        <w:t>六、一般公共预算财政拨款支出决算表</w:t>
      </w:r>
      <w:bookmarkEnd w:id="90"/>
    </w:p>
    <w:p w14:paraId="5B229416">
      <w:pPr>
        <w:rPr>
          <w:rFonts w:ascii="仿宋" w:hAnsi="仿宋" w:eastAsia="仿宋"/>
          <w:sz w:val="32"/>
          <w:szCs w:val="32"/>
        </w:rPr>
      </w:pPr>
      <w:bookmarkStart w:id="91" w:name="_Toc28045_WPSOffice_Level2"/>
      <w:r>
        <w:rPr>
          <w:rFonts w:hint="eastAsia" w:ascii="仿宋" w:hAnsi="仿宋" w:eastAsia="仿宋"/>
          <w:sz w:val="32"/>
          <w:szCs w:val="32"/>
        </w:rPr>
        <w:t>七、一般公共预算财政拨款支出决算明细表</w:t>
      </w:r>
      <w:bookmarkEnd w:id="91"/>
    </w:p>
    <w:p w14:paraId="2EF4B3A6">
      <w:pPr>
        <w:rPr>
          <w:rFonts w:ascii="仿宋" w:hAnsi="仿宋" w:eastAsia="仿宋"/>
          <w:sz w:val="32"/>
          <w:szCs w:val="32"/>
        </w:rPr>
      </w:pPr>
      <w:bookmarkStart w:id="92" w:name="_Toc959_WPSOffice_Level2"/>
      <w:r>
        <w:rPr>
          <w:rFonts w:hint="eastAsia" w:ascii="仿宋" w:hAnsi="仿宋" w:eastAsia="仿宋"/>
          <w:sz w:val="32"/>
          <w:szCs w:val="32"/>
        </w:rPr>
        <w:t>八、一般公共预算财政拨款基本支出决算表</w:t>
      </w:r>
      <w:bookmarkEnd w:id="92"/>
    </w:p>
    <w:p w14:paraId="479365F5">
      <w:pPr>
        <w:rPr>
          <w:rFonts w:ascii="仿宋" w:hAnsi="仿宋" w:eastAsia="仿宋"/>
          <w:sz w:val="32"/>
          <w:szCs w:val="32"/>
        </w:rPr>
      </w:pPr>
      <w:bookmarkStart w:id="93" w:name="_Toc21319_WPSOffice_Level2"/>
      <w:r>
        <w:rPr>
          <w:rFonts w:hint="eastAsia" w:ascii="仿宋" w:hAnsi="仿宋" w:eastAsia="仿宋"/>
          <w:sz w:val="32"/>
          <w:szCs w:val="32"/>
        </w:rPr>
        <w:t>九、一般公共预算财政拨款项目支出决算表</w:t>
      </w:r>
      <w:bookmarkEnd w:id="93"/>
    </w:p>
    <w:p w14:paraId="34925C1B">
      <w:pPr>
        <w:rPr>
          <w:rFonts w:ascii="仿宋" w:hAnsi="仿宋" w:eastAsia="仿宋"/>
          <w:sz w:val="32"/>
          <w:szCs w:val="32"/>
        </w:rPr>
      </w:pPr>
      <w:bookmarkStart w:id="94" w:name="_Toc17858_WPSOffice_Level2"/>
      <w:r>
        <w:rPr>
          <w:rFonts w:hint="eastAsia" w:ascii="仿宋" w:hAnsi="仿宋" w:eastAsia="仿宋"/>
          <w:sz w:val="32"/>
          <w:szCs w:val="32"/>
        </w:rPr>
        <w:t>十、政府性基金预算财政拨款收入支出决算表</w:t>
      </w:r>
      <w:bookmarkEnd w:id="94"/>
    </w:p>
    <w:p w14:paraId="640860AE">
      <w:pPr>
        <w:rPr>
          <w:rFonts w:ascii="仿宋" w:hAnsi="仿宋" w:eastAsia="仿宋"/>
          <w:sz w:val="32"/>
          <w:szCs w:val="32"/>
        </w:rPr>
      </w:pPr>
      <w:bookmarkStart w:id="95" w:name="_Toc17609_WPSOffice_Level2"/>
      <w:r>
        <w:rPr>
          <w:rFonts w:hint="eastAsia" w:ascii="仿宋" w:hAnsi="仿宋" w:eastAsia="仿宋"/>
          <w:sz w:val="32"/>
          <w:szCs w:val="32"/>
        </w:rPr>
        <w:t>十一、国有资本经营预算财政拨款收入支出决算表</w:t>
      </w:r>
      <w:bookmarkEnd w:id="95"/>
    </w:p>
    <w:p w14:paraId="7DFE491C">
      <w:pPr>
        <w:rPr>
          <w:rFonts w:ascii="仿宋" w:hAnsi="仿宋" w:eastAsia="仿宋"/>
          <w:sz w:val="32"/>
          <w:szCs w:val="32"/>
        </w:rPr>
      </w:pPr>
      <w:bookmarkStart w:id="96" w:name="_Toc5948_WPSOffice_Level2"/>
      <w:r>
        <w:rPr>
          <w:rFonts w:hint="eastAsia" w:ascii="仿宋" w:hAnsi="仿宋" w:eastAsia="仿宋"/>
          <w:sz w:val="32"/>
          <w:szCs w:val="32"/>
        </w:rPr>
        <w:t>十二、国有资本经营预算财政拨款支出决算表</w:t>
      </w:r>
      <w:bookmarkEnd w:id="96"/>
    </w:p>
    <w:p w14:paraId="0E28FC7F">
      <w:pPr>
        <w:rPr>
          <w:rFonts w:ascii="仿宋" w:hAnsi="仿宋" w:eastAsia="仿宋"/>
          <w:sz w:val="32"/>
          <w:szCs w:val="32"/>
        </w:rPr>
      </w:pPr>
      <w:bookmarkStart w:id="97" w:name="_Toc30845_WPSOffice_Level2"/>
      <w:r>
        <w:rPr>
          <w:rFonts w:hint="eastAsia" w:ascii="仿宋" w:hAnsi="仿宋" w:eastAsia="仿宋"/>
          <w:sz w:val="32"/>
          <w:szCs w:val="32"/>
        </w:rPr>
        <w:t>十三、财政拨款“三公”经费支出决算表</w:t>
      </w:r>
      <w:bookmarkEnd w:id="97"/>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06664F4A-962A-4683-9B33-7E08B541B569}"/>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embedRegular r:id="rId2" w:fontKey="{E076C36A-DF2A-4E40-A06F-0DC5BB583127}"/>
  </w:font>
  <w:font w:name="仿宋_GB2312">
    <w:panose1 w:val="02010609030101010101"/>
    <w:charset w:val="86"/>
    <w:family w:val="modern"/>
    <w:pitch w:val="default"/>
    <w:sig w:usb0="00000001" w:usb1="080E0000" w:usb2="00000000" w:usb3="00000000" w:csb0="00040000" w:csb1="00000000"/>
    <w:embedRegular r:id="rId3" w:fontKey="{83214BAB-EABA-4AB2-88E6-F57041FD0133}"/>
  </w:font>
  <w:font w:name="仿宋">
    <w:panose1 w:val="02010609060101010101"/>
    <w:charset w:val="86"/>
    <w:family w:val="modern"/>
    <w:pitch w:val="default"/>
    <w:sig w:usb0="800002BF" w:usb1="38CF7CFA" w:usb2="00000016" w:usb3="00000000" w:csb0="00040001" w:csb1="00000000"/>
    <w:embedRegular r:id="rId4" w:fontKey="{B2998B7C-1AA1-4B40-B2F8-442AFEFB553F}"/>
  </w:font>
  <w:font w:name="??">
    <w:altName w:val="Times New Roman"/>
    <w:panose1 w:val="00000000000000000000"/>
    <w:charset w:val="00"/>
    <w:family w:val="roman"/>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embedRegular r:id="rId5" w:fontKey="{BA3A4993-DB41-4E61-BACA-ED5D14DDBD76}"/>
  </w:font>
  <w:font w:name="方正黑体_GBK">
    <w:panose1 w:val="03000509000000000000"/>
    <w:charset w:val="86"/>
    <w:family w:val="auto"/>
    <w:pitch w:val="default"/>
    <w:sig w:usb0="00000001" w:usb1="080E0000" w:usb2="00000000" w:usb3="00000000" w:csb0="00040000" w:csb1="00000000"/>
    <w:embedRegular r:id="rId6" w:fontKey="{3B8E2B53-5AD3-4140-9C9B-B97F32B1A115}"/>
  </w:font>
  <w:font w:name="Lucida Sans">
    <w:altName w:val="Lucida Sans Unicode"/>
    <w:panose1 w:val="00000000000000000000"/>
    <w:charset w:val="01"/>
    <w:family w:val="auto"/>
    <w:pitch w:val="default"/>
    <w:sig w:usb0="00000000" w:usb1="00000000" w:usb2="00000000" w:usb3="00000000" w:csb0="00000000" w:csb1="00000000"/>
  </w:font>
  <w:font w:name="方正小标宋_GBK">
    <w:panose1 w:val="02000000000000000000"/>
    <w:charset w:val="86"/>
    <w:family w:val="auto"/>
    <w:pitch w:val="default"/>
    <w:sig w:usb0="00000001" w:usb1="080E0000" w:usb2="00000000" w:usb3="00000000" w:csb0="00040000" w:csb1="00000000"/>
    <w:embedRegular r:id="rId7" w:fontKey="{2D795AF4-8C58-4386-B6C3-0104F05EC942}"/>
  </w:font>
  <w:font w:name="方正楷体_GBK">
    <w:panose1 w:val="03000509000000000000"/>
    <w:charset w:val="86"/>
    <w:family w:val="auto"/>
    <w:pitch w:val="default"/>
    <w:sig w:usb0="00000001" w:usb1="080E0000" w:usb2="00000000" w:usb3="00000000" w:csb0="00040000" w:csb1="00000000"/>
    <w:embedRegular r:id="rId8" w:fontKey="{FECD6661-1624-4046-AD6F-08F19892BA0C}"/>
  </w:font>
  <w:font w:name="方正仿宋_GBK">
    <w:panose1 w:val="02000000000000000000"/>
    <w:charset w:val="86"/>
    <w:family w:val="script"/>
    <w:pitch w:val="default"/>
    <w:sig w:usb0="00000001" w:usb1="080E0000" w:usb2="00000000" w:usb3="00000000" w:csb0="00040000" w:csb1="00000000"/>
    <w:embedRegular r:id="rId9" w:fontKey="{3336F93C-44FA-4D09-969A-5DB55445815C}"/>
  </w:font>
  <w:font w:name="WPSEMBED1">
    <w:panose1 w:val="02010609030101010101"/>
    <w:charset w:val="86"/>
    <w:family w:val="auto"/>
    <w:pitch w:val="default"/>
    <w:sig w:usb0="00000001" w:usb1="080E0000" w:usb2="00000000" w:usb3="00000000" w:csb0="00040000" w:csb1="00000000"/>
  </w:font>
  <w:font w:name="Tahoma">
    <w:panose1 w:val="020B0604030504040204"/>
    <w:charset w:val="00"/>
    <w:family w:val="auto"/>
    <w:pitch w:val="default"/>
    <w:sig w:usb0="E1002EFF" w:usb1="C000605B" w:usb2="00000029" w:usb3="00000000" w:csb0="200101FF" w:csb1="20280000"/>
  </w:font>
  <w:font w:name="Lucida Sans Unicode">
    <w:panose1 w:val="020B0602030504020204"/>
    <w:charset w:val="00"/>
    <w:family w:val="auto"/>
    <w:pitch w:val="default"/>
    <w:sig w:usb0="80001AFF" w:usb1="0000396B" w:usb2="00000000" w:usb3="00000000" w:csb0="200000BF" w:csb1="D7F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14:paraId="6140AC85">
        <w:pPr>
          <w:pStyle w:val="11"/>
          <w:jc w:val="center"/>
        </w:pPr>
        <w:r>
          <w:fldChar w:fldCharType="begin"/>
        </w:r>
        <w:r>
          <w:instrText xml:space="preserve">PAGE   \* MERGEFORMAT</w:instrText>
        </w:r>
        <w:r>
          <w:fldChar w:fldCharType="separate"/>
        </w:r>
        <w:r>
          <w:rPr>
            <w:lang w:val="zh-CN"/>
          </w:rPr>
          <w:t>23</w:t>
        </w:r>
        <w:r>
          <w:fldChar w:fldCharType="end"/>
        </w:r>
      </w:p>
    </w:sdtContent>
  </w:sdt>
  <w:p w14:paraId="4A810A54">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E237A1">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8BA9D0D"/>
    <w:multiLevelType w:val="singleLevel"/>
    <w:tmpl w:val="88BA9D0D"/>
    <w:lvl w:ilvl="0" w:tentative="0">
      <w:start w:val="1"/>
      <w:numFmt w:val="chineseCounting"/>
      <w:suff w:val="nothing"/>
      <w:lvlText w:val="%1、"/>
      <w:lvlJc w:val="left"/>
      <w:rPr>
        <w:rFonts w:hint="eastAsia"/>
      </w:rPr>
    </w:lvl>
  </w:abstractNum>
  <w:abstractNum w:abstractNumId="1">
    <w:nsid w:val="CF652CEC"/>
    <w:multiLevelType w:val="singleLevel"/>
    <w:tmpl w:val="CF652CEC"/>
    <w:lvl w:ilvl="0" w:tentative="0">
      <w:start w:val="9"/>
      <w:numFmt w:val="chineseCounting"/>
      <w:suff w:val="nothing"/>
      <w:lvlText w:val="%1、"/>
      <w:lvlJc w:val="left"/>
      <w:rPr>
        <w:rFonts w:hint="eastAsia"/>
      </w:rPr>
    </w:lvl>
  </w:abstractNum>
  <w:abstractNum w:abstractNumId="2">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3">
    <w:nsid w:val="4F4784CD"/>
    <w:multiLevelType w:val="singleLevel"/>
    <w:tmpl w:val="4F4784CD"/>
    <w:lvl w:ilvl="0" w:tentative="0">
      <w:start w:val="3"/>
      <w:numFmt w:val="chineseCounting"/>
      <w:suff w:val="nothing"/>
      <w:lvlText w:val="（%1）"/>
      <w:lvlJc w:val="left"/>
      <w:rPr>
        <w:rFonts w:hint="eastAsia"/>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361C"/>
    <w:rsid w:val="000048B7"/>
    <w:rsid w:val="00014A1C"/>
    <w:rsid w:val="000222C6"/>
    <w:rsid w:val="0002549F"/>
    <w:rsid w:val="00035392"/>
    <w:rsid w:val="000468DB"/>
    <w:rsid w:val="0006487A"/>
    <w:rsid w:val="00065F8F"/>
    <w:rsid w:val="00070A43"/>
    <w:rsid w:val="000768F2"/>
    <w:rsid w:val="00082EAC"/>
    <w:rsid w:val="0009184B"/>
    <w:rsid w:val="00094236"/>
    <w:rsid w:val="0009593C"/>
    <w:rsid w:val="00097322"/>
    <w:rsid w:val="00097358"/>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30E5"/>
    <w:rsid w:val="00174518"/>
    <w:rsid w:val="0018106D"/>
    <w:rsid w:val="001877A7"/>
    <w:rsid w:val="00191536"/>
    <w:rsid w:val="00196687"/>
    <w:rsid w:val="001C0962"/>
    <w:rsid w:val="001C2738"/>
    <w:rsid w:val="001D7531"/>
    <w:rsid w:val="001E737D"/>
    <w:rsid w:val="001F0592"/>
    <w:rsid w:val="001F6419"/>
    <w:rsid w:val="001F7506"/>
    <w:rsid w:val="002006CD"/>
    <w:rsid w:val="00202B36"/>
    <w:rsid w:val="00204B7A"/>
    <w:rsid w:val="00204CDE"/>
    <w:rsid w:val="0021101A"/>
    <w:rsid w:val="00220536"/>
    <w:rsid w:val="00235629"/>
    <w:rsid w:val="00260289"/>
    <w:rsid w:val="00260C38"/>
    <w:rsid w:val="002616C0"/>
    <w:rsid w:val="002643DB"/>
    <w:rsid w:val="00265372"/>
    <w:rsid w:val="002662AA"/>
    <w:rsid w:val="00280496"/>
    <w:rsid w:val="00283D47"/>
    <w:rsid w:val="00294DC9"/>
    <w:rsid w:val="00295495"/>
    <w:rsid w:val="002A31DE"/>
    <w:rsid w:val="002A62F7"/>
    <w:rsid w:val="002B2613"/>
    <w:rsid w:val="002C1468"/>
    <w:rsid w:val="002D6D05"/>
    <w:rsid w:val="002F1818"/>
    <w:rsid w:val="002F5109"/>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2919"/>
    <w:rsid w:val="003D66DA"/>
    <w:rsid w:val="003E1310"/>
    <w:rsid w:val="003E2E6A"/>
    <w:rsid w:val="003E6F55"/>
    <w:rsid w:val="00406254"/>
    <w:rsid w:val="00410559"/>
    <w:rsid w:val="0041585D"/>
    <w:rsid w:val="00420B47"/>
    <w:rsid w:val="004223DE"/>
    <w:rsid w:val="00434489"/>
    <w:rsid w:val="00437085"/>
    <w:rsid w:val="00443880"/>
    <w:rsid w:val="004464F4"/>
    <w:rsid w:val="00447329"/>
    <w:rsid w:val="00471401"/>
    <w:rsid w:val="00473F31"/>
    <w:rsid w:val="0048263A"/>
    <w:rsid w:val="004826A2"/>
    <w:rsid w:val="00487E5D"/>
    <w:rsid w:val="004A711F"/>
    <w:rsid w:val="004B199D"/>
    <w:rsid w:val="004B4690"/>
    <w:rsid w:val="004E0A2D"/>
    <w:rsid w:val="004E206B"/>
    <w:rsid w:val="004E3607"/>
    <w:rsid w:val="004E6DF7"/>
    <w:rsid w:val="004F0FBD"/>
    <w:rsid w:val="00505A47"/>
    <w:rsid w:val="00512FDA"/>
    <w:rsid w:val="00520DA0"/>
    <w:rsid w:val="005664BB"/>
    <w:rsid w:val="00566FFA"/>
    <w:rsid w:val="0057481D"/>
    <w:rsid w:val="0058486E"/>
    <w:rsid w:val="00585B33"/>
    <w:rsid w:val="0059014D"/>
    <w:rsid w:val="005A09FD"/>
    <w:rsid w:val="005B0198"/>
    <w:rsid w:val="005B321C"/>
    <w:rsid w:val="005B5C64"/>
    <w:rsid w:val="005C5337"/>
    <w:rsid w:val="005C6BD0"/>
    <w:rsid w:val="005D1C8B"/>
    <w:rsid w:val="005D468D"/>
    <w:rsid w:val="005D5CED"/>
    <w:rsid w:val="005F1A4C"/>
    <w:rsid w:val="00605688"/>
    <w:rsid w:val="006070AF"/>
    <w:rsid w:val="00607E6C"/>
    <w:rsid w:val="006101B1"/>
    <w:rsid w:val="00614E44"/>
    <w:rsid w:val="00620030"/>
    <w:rsid w:val="0062270A"/>
    <w:rsid w:val="00622830"/>
    <w:rsid w:val="00623DA0"/>
    <w:rsid w:val="00630AEF"/>
    <w:rsid w:val="006325F8"/>
    <w:rsid w:val="00633463"/>
    <w:rsid w:val="00634C9A"/>
    <w:rsid w:val="00640417"/>
    <w:rsid w:val="00641F56"/>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516B"/>
    <w:rsid w:val="00746F48"/>
    <w:rsid w:val="0075404D"/>
    <w:rsid w:val="0076182A"/>
    <w:rsid w:val="00762406"/>
    <w:rsid w:val="0076493D"/>
    <w:rsid w:val="00767B7E"/>
    <w:rsid w:val="007770C3"/>
    <w:rsid w:val="00784D24"/>
    <w:rsid w:val="00785FBA"/>
    <w:rsid w:val="00786E4A"/>
    <w:rsid w:val="007875EB"/>
    <w:rsid w:val="0079426B"/>
    <w:rsid w:val="007D1682"/>
    <w:rsid w:val="007D312A"/>
    <w:rsid w:val="007D3F19"/>
    <w:rsid w:val="007E23B0"/>
    <w:rsid w:val="007E23E5"/>
    <w:rsid w:val="007E6A82"/>
    <w:rsid w:val="007F1991"/>
    <w:rsid w:val="007F2C2F"/>
    <w:rsid w:val="007F55FC"/>
    <w:rsid w:val="007F5665"/>
    <w:rsid w:val="007F7385"/>
    <w:rsid w:val="00800112"/>
    <w:rsid w:val="00813348"/>
    <w:rsid w:val="008253BB"/>
    <w:rsid w:val="0083706E"/>
    <w:rsid w:val="008408F6"/>
    <w:rsid w:val="008423A5"/>
    <w:rsid w:val="00850625"/>
    <w:rsid w:val="00853718"/>
    <w:rsid w:val="00855221"/>
    <w:rsid w:val="00860645"/>
    <w:rsid w:val="00871F71"/>
    <w:rsid w:val="00872FD8"/>
    <w:rsid w:val="00875641"/>
    <w:rsid w:val="00885AF4"/>
    <w:rsid w:val="00887F08"/>
    <w:rsid w:val="008914B9"/>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34F0"/>
    <w:rsid w:val="00935C98"/>
    <w:rsid w:val="00946945"/>
    <w:rsid w:val="00951248"/>
    <w:rsid w:val="0095152F"/>
    <w:rsid w:val="009546E4"/>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E50C8"/>
    <w:rsid w:val="009F1185"/>
    <w:rsid w:val="009F18CD"/>
    <w:rsid w:val="009F2A13"/>
    <w:rsid w:val="009F7527"/>
    <w:rsid w:val="00A04EB0"/>
    <w:rsid w:val="00A13CC1"/>
    <w:rsid w:val="00A16847"/>
    <w:rsid w:val="00A237D8"/>
    <w:rsid w:val="00A25C9F"/>
    <w:rsid w:val="00A268C4"/>
    <w:rsid w:val="00A27C77"/>
    <w:rsid w:val="00A307CD"/>
    <w:rsid w:val="00A331C8"/>
    <w:rsid w:val="00A40A00"/>
    <w:rsid w:val="00A4142F"/>
    <w:rsid w:val="00A422EB"/>
    <w:rsid w:val="00A45BB7"/>
    <w:rsid w:val="00A56DF2"/>
    <w:rsid w:val="00A56E6E"/>
    <w:rsid w:val="00A67AB5"/>
    <w:rsid w:val="00A733B2"/>
    <w:rsid w:val="00A741C2"/>
    <w:rsid w:val="00A74A9E"/>
    <w:rsid w:val="00A91760"/>
    <w:rsid w:val="00A93B00"/>
    <w:rsid w:val="00A93C21"/>
    <w:rsid w:val="00AB64C9"/>
    <w:rsid w:val="00AC2E50"/>
    <w:rsid w:val="00AC3C6A"/>
    <w:rsid w:val="00AD5620"/>
    <w:rsid w:val="00AD656B"/>
    <w:rsid w:val="00AD7C1B"/>
    <w:rsid w:val="00AE16BA"/>
    <w:rsid w:val="00AE1EBE"/>
    <w:rsid w:val="00B03C9D"/>
    <w:rsid w:val="00B060AE"/>
    <w:rsid w:val="00B10517"/>
    <w:rsid w:val="00B12E8B"/>
    <w:rsid w:val="00B14E76"/>
    <w:rsid w:val="00B161B8"/>
    <w:rsid w:val="00B2048C"/>
    <w:rsid w:val="00B310B9"/>
    <w:rsid w:val="00B35F3F"/>
    <w:rsid w:val="00B36CBB"/>
    <w:rsid w:val="00B411A6"/>
    <w:rsid w:val="00B425E0"/>
    <w:rsid w:val="00B440AA"/>
    <w:rsid w:val="00B44B70"/>
    <w:rsid w:val="00B53C56"/>
    <w:rsid w:val="00B57DAF"/>
    <w:rsid w:val="00B76F9D"/>
    <w:rsid w:val="00B77EA6"/>
    <w:rsid w:val="00B81598"/>
    <w:rsid w:val="00B841F1"/>
    <w:rsid w:val="00B944D6"/>
    <w:rsid w:val="00BA579E"/>
    <w:rsid w:val="00BB4DF0"/>
    <w:rsid w:val="00BC289F"/>
    <w:rsid w:val="00BC2D50"/>
    <w:rsid w:val="00BC5361"/>
    <w:rsid w:val="00BC5460"/>
    <w:rsid w:val="00BC6B50"/>
    <w:rsid w:val="00BD0E25"/>
    <w:rsid w:val="00BF5BD6"/>
    <w:rsid w:val="00C03E31"/>
    <w:rsid w:val="00C33E72"/>
    <w:rsid w:val="00C354B2"/>
    <w:rsid w:val="00C35554"/>
    <w:rsid w:val="00C42709"/>
    <w:rsid w:val="00C46119"/>
    <w:rsid w:val="00C533CC"/>
    <w:rsid w:val="00C5751C"/>
    <w:rsid w:val="00C61BFC"/>
    <w:rsid w:val="00C62B85"/>
    <w:rsid w:val="00C65438"/>
    <w:rsid w:val="00C860D5"/>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950A1"/>
    <w:rsid w:val="00DA634F"/>
    <w:rsid w:val="00DA65AC"/>
    <w:rsid w:val="00DB1913"/>
    <w:rsid w:val="00DC410D"/>
    <w:rsid w:val="00DC5A81"/>
    <w:rsid w:val="00DC68CA"/>
    <w:rsid w:val="00DC7CBA"/>
    <w:rsid w:val="00DD73B7"/>
    <w:rsid w:val="00DF24DF"/>
    <w:rsid w:val="00DF28BC"/>
    <w:rsid w:val="00DF34B9"/>
    <w:rsid w:val="00E01053"/>
    <w:rsid w:val="00E01B70"/>
    <w:rsid w:val="00E07ACF"/>
    <w:rsid w:val="00E11813"/>
    <w:rsid w:val="00E331A1"/>
    <w:rsid w:val="00E33202"/>
    <w:rsid w:val="00E336A9"/>
    <w:rsid w:val="00E472B1"/>
    <w:rsid w:val="00E50624"/>
    <w:rsid w:val="00E568DF"/>
    <w:rsid w:val="00E64269"/>
    <w:rsid w:val="00E82267"/>
    <w:rsid w:val="00E853CE"/>
    <w:rsid w:val="00E867B6"/>
    <w:rsid w:val="00EA010F"/>
    <w:rsid w:val="00EB0FAE"/>
    <w:rsid w:val="00ED1B63"/>
    <w:rsid w:val="00ED3C1F"/>
    <w:rsid w:val="00ED4085"/>
    <w:rsid w:val="00ED420E"/>
    <w:rsid w:val="00ED6FBE"/>
    <w:rsid w:val="00EE2F57"/>
    <w:rsid w:val="00EF4C34"/>
    <w:rsid w:val="00EF77C6"/>
    <w:rsid w:val="00F03938"/>
    <w:rsid w:val="00F05438"/>
    <w:rsid w:val="00F1361C"/>
    <w:rsid w:val="00F156F0"/>
    <w:rsid w:val="00F160C7"/>
    <w:rsid w:val="00F2408F"/>
    <w:rsid w:val="00F240E9"/>
    <w:rsid w:val="00F36D8F"/>
    <w:rsid w:val="00F417B1"/>
    <w:rsid w:val="00F45853"/>
    <w:rsid w:val="00F5561B"/>
    <w:rsid w:val="00F602DF"/>
    <w:rsid w:val="00F754A1"/>
    <w:rsid w:val="00F81FD9"/>
    <w:rsid w:val="00F841AA"/>
    <w:rsid w:val="00F84A94"/>
    <w:rsid w:val="00F87E96"/>
    <w:rsid w:val="00FA23E8"/>
    <w:rsid w:val="00FA789D"/>
    <w:rsid w:val="00FC7DA4"/>
    <w:rsid w:val="00FD3CC1"/>
    <w:rsid w:val="00FF1E02"/>
    <w:rsid w:val="00FF30B4"/>
    <w:rsid w:val="015975B8"/>
    <w:rsid w:val="01B36BD0"/>
    <w:rsid w:val="01D85DCB"/>
    <w:rsid w:val="028415AA"/>
    <w:rsid w:val="02FEBE30"/>
    <w:rsid w:val="031A5719"/>
    <w:rsid w:val="03373831"/>
    <w:rsid w:val="0361265C"/>
    <w:rsid w:val="036D53D0"/>
    <w:rsid w:val="036F8141"/>
    <w:rsid w:val="03D60954"/>
    <w:rsid w:val="066E0107"/>
    <w:rsid w:val="06CD59E4"/>
    <w:rsid w:val="071C6FC5"/>
    <w:rsid w:val="07996F6E"/>
    <w:rsid w:val="07DFD8BA"/>
    <w:rsid w:val="07F12200"/>
    <w:rsid w:val="07FC2953"/>
    <w:rsid w:val="09184D5A"/>
    <w:rsid w:val="0931388D"/>
    <w:rsid w:val="0935611C"/>
    <w:rsid w:val="0A183EA3"/>
    <w:rsid w:val="0A2032A3"/>
    <w:rsid w:val="0AF713C4"/>
    <w:rsid w:val="0BDE0CED"/>
    <w:rsid w:val="0CEA4413"/>
    <w:rsid w:val="0D222E5C"/>
    <w:rsid w:val="0D35B1ED"/>
    <w:rsid w:val="0DCB13F4"/>
    <w:rsid w:val="0E7ED1F5"/>
    <w:rsid w:val="0F531B42"/>
    <w:rsid w:val="0F98263C"/>
    <w:rsid w:val="101860EC"/>
    <w:rsid w:val="10AC7484"/>
    <w:rsid w:val="10BC3CC8"/>
    <w:rsid w:val="10C055FF"/>
    <w:rsid w:val="11087186"/>
    <w:rsid w:val="117E0224"/>
    <w:rsid w:val="118107EC"/>
    <w:rsid w:val="12071BEC"/>
    <w:rsid w:val="12CA3C78"/>
    <w:rsid w:val="13D50BC4"/>
    <w:rsid w:val="13F5616D"/>
    <w:rsid w:val="142474B9"/>
    <w:rsid w:val="14733F9D"/>
    <w:rsid w:val="149A777C"/>
    <w:rsid w:val="14C47D3C"/>
    <w:rsid w:val="16451401"/>
    <w:rsid w:val="16BB723D"/>
    <w:rsid w:val="174F0CF1"/>
    <w:rsid w:val="17555BDC"/>
    <w:rsid w:val="17685054"/>
    <w:rsid w:val="17F9714D"/>
    <w:rsid w:val="180E4708"/>
    <w:rsid w:val="18A213C6"/>
    <w:rsid w:val="1918F934"/>
    <w:rsid w:val="195E6FCA"/>
    <w:rsid w:val="19E641F5"/>
    <w:rsid w:val="1A73561D"/>
    <w:rsid w:val="1AF061FA"/>
    <w:rsid w:val="1B9273FE"/>
    <w:rsid w:val="1BE8440E"/>
    <w:rsid w:val="1CA14B49"/>
    <w:rsid w:val="1D022362"/>
    <w:rsid w:val="1D155CEE"/>
    <w:rsid w:val="1D237FD2"/>
    <w:rsid w:val="1DFBC4B3"/>
    <w:rsid w:val="1E740ACF"/>
    <w:rsid w:val="1F19C781"/>
    <w:rsid w:val="1F33FCE5"/>
    <w:rsid w:val="1F7F7398"/>
    <w:rsid w:val="1FB72A96"/>
    <w:rsid w:val="1FD2DB6F"/>
    <w:rsid w:val="1FF35744"/>
    <w:rsid w:val="1FF6BC77"/>
    <w:rsid w:val="1FF9236D"/>
    <w:rsid w:val="203E5DA7"/>
    <w:rsid w:val="20970180"/>
    <w:rsid w:val="20AA7EAF"/>
    <w:rsid w:val="20D64DA4"/>
    <w:rsid w:val="21690C01"/>
    <w:rsid w:val="216D06F2"/>
    <w:rsid w:val="21EC2543"/>
    <w:rsid w:val="229C7850"/>
    <w:rsid w:val="22ED2A96"/>
    <w:rsid w:val="2333840E"/>
    <w:rsid w:val="235651B5"/>
    <w:rsid w:val="23860B96"/>
    <w:rsid w:val="240371BF"/>
    <w:rsid w:val="240F045D"/>
    <w:rsid w:val="257C638F"/>
    <w:rsid w:val="275A338E"/>
    <w:rsid w:val="27BC1E12"/>
    <w:rsid w:val="281F201A"/>
    <w:rsid w:val="283006CB"/>
    <w:rsid w:val="29906F40"/>
    <w:rsid w:val="29FD04D3"/>
    <w:rsid w:val="2A0B0AA8"/>
    <w:rsid w:val="2ADB00E5"/>
    <w:rsid w:val="2ADE61BC"/>
    <w:rsid w:val="2B8C5C18"/>
    <w:rsid w:val="2BFF7BC6"/>
    <w:rsid w:val="2C8A61B5"/>
    <w:rsid w:val="2CD59C95"/>
    <w:rsid w:val="2DF04E50"/>
    <w:rsid w:val="2EFD05E5"/>
    <w:rsid w:val="2F040D46"/>
    <w:rsid w:val="2F4F95CE"/>
    <w:rsid w:val="2FACAFDD"/>
    <w:rsid w:val="2FAE5751"/>
    <w:rsid w:val="2FB1A395"/>
    <w:rsid w:val="2FCF0B76"/>
    <w:rsid w:val="2FD9A7D8"/>
    <w:rsid w:val="30073BA1"/>
    <w:rsid w:val="303C338D"/>
    <w:rsid w:val="30A077FF"/>
    <w:rsid w:val="30C769D7"/>
    <w:rsid w:val="319F7F4E"/>
    <w:rsid w:val="32A06E51"/>
    <w:rsid w:val="32FA2ADB"/>
    <w:rsid w:val="3304709D"/>
    <w:rsid w:val="33CE610B"/>
    <w:rsid w:val="33E04D53"/>
    <w:rsid w:val="33E87093"/>
    <w:rsid w:val="35361CED"/>
    <w:rsid w:val="35B67EA7"/>
    <w:rsid w:val="363F7524"/>
    <w:rsid w:val="36AA5135"/>
    <w:rsid w:val="36BE0DA7"/>
    <w:rsid w:val="37263333"/>
    <w:rsid w:val="376B6AA6"/>
    <w:rsid w:val="376D39B2"/>
    <w:rsid w:val="377D1FF4"/>
    <w:rsid w:val="378123A9"/>
    <w:rsid w:val="37AC1AEB"/>
    <w:rsid w:val="37E16F03"/>
    <w:rsid w:val="37F53A3B"/>
    <w:rsid w:val="3808426D"/>
    <w:rsid w:val="38D469F0"/>
    <w:rsid w:val="38F78389"/>
    <w:rsid w:val="397BAF1F"/>
    <w:rsid w:val="398E6CC1"/>
    <w:rsid w:val="39E7B272"/>
    <w:rsid w:val="39F7642F"/>
    <w:rsid w:val="39FF7B37"/>
    <w:rsid w:val="3A5124ED"/>
    <w:rsid w:val="3AB79AF3"/>
    <w:rsid w:val="3ADE5A24"/>
    <w:rsid w:val="3AFDCB77"/>
    <w:rsid w:val="3B7EF35A"/>
    <w:rsid w:val="3B9FDB6C"/>
    <w:rsid w:val="3BF5BC2F"/>
    <w:rsid w:val="3BF7C23A"/>
    <w:rsid w:val="3BFF223E"/>
    <w:rsid w:val="3C667DC0"/>
    <w:rsid w:val="3C6EC0A1"/>
    <w:rsid w:val="3CB02E28"/>
    <w:rsid w:val="3CC1149A"/>
    <w:rsid w:val="3CDB0824"/>
    <w:rsid w:val="3CEBA265"/>
    <w:rsid w:val="3D6A7F9F"/>
    <w:rsid w:val="3D7E7F4D"/>
    <w:rsid w:val="3D98207C"/>
    <w:rsid w:val="3D9CF30A"/>
    <w:rsid w:val="3DC7281A"/>
    <w:rsid w:val="3DFF5A3E"/>
    <w:rsid w:val="3E78745D"/>
    <w:rsid w:val="3EBE2135"/>
    <w:rsid w:val="3EEE77E9"/>
    <w:rsid w:val="3F381F8B"/>
    <w:rsid w:val="3F394AF5"/>
    <w:rsid w:val="3FB34302"/>
    <w:rsid w:val="3FBB0B9A"/>
    <w:rsid w:val="3FBE5714"/>
    <w:rsid w:val="3FDD8615"/>
    <w:rsid w:val="3FDFB2FF"/>
    <w:rsid w:val="3FF4CAE0"/>
    <w:rsid w:val="3FF75FAF"/>
    <w:rsid w:val="3FF7B227"/>
    <w:rsid w:val="40204729"/>
    <w:rsid w:val="41674EF3"/>
    <w:rsid w:val="420A743F"/>
    <w:rsid w:val="42425BDF"/>
    <w:rsid w:val="429D02B3"/>
    <w:rsid w:val="43140575"/>
    <w:rsid w:val="43370708"/>
    <w:rsid w:val="436A63E7"/>
    <w:rsid w:val="436D5ED7"/>
    <w:rsid w:val="43B14858"/>
    <w:rsid w:val="44D15A1D"/>
    <w:rsid w:val="44E268DA"/>
    <w:rsid w:val="452151CC"/>
    <w:rsid w:val="457F4F6B"/>
    <w:rsid w:val="46040D75"/>
    <w:rsid w:val="465C3A6A"/>
    <w:rsid w:val="4737FB58"/>
    <w:rsid w:val="4760647F"/>
    <w:rsid w:val="478B56C8"/>
    <w:rsid w:val="47ECCB02"/>
    <w:rsid w:val="47ED280A"/>
    <w:rsid w:val="47FA6A3F"/>
    <w:rsid w:val="495A61FC"/>
    <w:rsid w:val="49D7AE48"/>
    <w:rsid w:val="4A0656A1"/>
    <w:rsid w:val="4A3F6C7E"/>
    <w:rsid w:val="4A627F82"/>
    <w:rsid w:val="4B0E749A"/>
    <w:rsid w:val="4B4F25DA"/>
    <w:rsid w:val="4B6E4849"/>
    <w:rsid w:val="4B727570"/>
    <w:rsid w:val="4B857CAD"/>
    <w:rsid w:val="4BBB4781"/>
    <w:rsid w:val="4BD709A5"/>
    <w:rsid w:val="4BDD9BFF"/>
    <w:rsid w:val="4BE068DB"/>
    <w:rsid w:val="4BE8259F"/>
    <w:rsid w:val="4CA24E44"/>
    <w:rsid w:val="4CAC5CC3"/>
    <w:rsid w:val="4D3B6BB3"/>
    <w:rsid w:val="4D577224"/>
    <w:rsid w:val="4DBF1CEB"/>
    <w:rsid w:val="4DBF6A6B"/>
    <w:rsid w:val="4DE80F7C"/>
    <w:rsid w:val="4DF6A672"/>
    <w:rsid w:val="4EAB630A"/>
    <w:rsid w:val="4EC15C1A"/>
    <w:rsid w:val="4ECE2238"/>
    <w:rsid w:val="4F134E39"/>
    <w:rsid w:val="4F376CDC"/>
    <w:rsid w:val="4F490422"/>
    <w:rsid w:val="4F7EA413"/>
    <w:rsid w:val="4FAB812F"/>
    <w:rsid w:val="4FB55E05"/>
    <w:rsid w:val="4FE9BD67"/>
    <w:rsid w:val="4FEE4C07"/>
    <w:rsid w:val="4FFB052F"/>
    <w:rsid w:val="51363DAD"/>
    <w:rsid w:val="52AA3856"/>
    <w:rsid w:val="53166C8E"/>
    <w:rsid w:val="537E6D0A"/>
    <w:rsid w:val="53AB6B88"/>
    <w:rsid w:val="53F74C96"/>
    <w:rsid w:val="54D66B5C"/>
    <w:rsid w:val="54F2623D"/>
    <w:rsid w:val="5583522D"/>
    <w:rsid w:val="565343AE"/>
    <w:rsid w:val="57212E09"/>
    <w:rsid w:val="57BD3DD4"/>
    <w:rsid w:val="57F9CD1E"/>
    <w:rsid w:val="5A0013FC"/>
    <w:rsid w:val="5AF92295"/>
    <w:rsid w:val="5AF9D8E9"/>
    <w:rsid w:val="5B3C70FF"/>
    <w:rsid w:val="5B8B1199"/>
    <w:rsid w:val="5B921FB4"/>
    <w:rsid w:val="5BDD38BD"/>
    <w:rsid w:val="5BDD79E6"/>
    <w:rsid w:val="5BEFC772"/>
    <w:rsid w:val="5BF62AB6"/>
    <w:rsid w:val="5BFF5DFC"/>
    <w:rsid w:val="5C0E3A0F"/>
    <w:rsid w:val="5C734107"/>
    <w:rsid w:val="5CD71FC4"/>
    <w:rsid w:val="5D1F11B5"/>
    <w:rsid w:val="5D3647F9"/>
    <w:rsid w:val="5D6453EC"/>
    <w:rsid w:val="5D6B5E04"/>
    <w:rsid w:val="5DA644D4"/>
    <w:rsid w:val="5DAE1B18"/>
    <w:rsid w:val="5DE7D9E5"/>
    <w:rsid w:val="5ECEC941"/>
    <w:rsid w:val="5EFF8FC6"/>
    <w:rsid w:val="5F5BA39A"/>
    <w:rsid w:val="5F7D3B79"/>
    <w:rsid w:val="5F7F4610"/>
    <w:rsid w:val="5FBF9FF3"/>
    <w:rsid w:val="5FCD4E2C"/>
    <w:rsid w:val="5FEF394A"/>
    <w:rsid w:val="5FF67715"/>
    <w:rsid w:val="61CA71D5"/>
    <w:rsid w:val="625247BE"/>
    <w:rsid w:val="627EE9EA"/>
    <w:rsid w:val="62DE6052"/>
    <w:rsid w:val="63610257"/>
    <w:rsid w:val="63B23AA5"/>
    <w:rsid w:val="63CE4319"/>
    <w:rsid w:val="63FF44D2"/>
    <w:rsid w:val="6477050C"/>
    <w:rsid w:val="647E5D3F"/>
    <w:rsid w:val="647F5392"/>
    <w:rsid w:val="64BA7DE2"/>
    <w:rsid w:val="64E322C4"/>
    <w:rsid w:val="655559FF"/>
    <w:rsid w:val="659F5F6D"/>
    <w:rsid w:val="65FB93B9"/>
    <w:rsid w:val="6633C463"/>
    <w:rsid w:val="67D55B77"/>
    <w:rsid w:val="67EE7F84"/>
    <w:rsid w:val="686F5F53"/>
    <w:rsid w:val="687F015B"/>
    <w:rsid w:val="693867EF"/>
    <w:rsid w:val="693F6D5B"/>
    <w:rsid w:val="69944F9A"/>
    <w:rsid w:val="69B86D95"/>
    <w:rsid w:val="6A3A57CE"/>
    <w:rsid w:val="6AFFCEAF"/>
    <w:rsid w:val="6B210FDB"/>
    <w:rsid w:val="6B96E9E6"/>
    <w:rsid w:val="6BCE57B5"/>
    <w:rsid w:val="6BF23772"/>
    <w:rsid w:val="6BFEA4DB"/>
    <w:rsid w:val="6BFFB662"/>
    <w:rsid w:val="6C4A05C8"/>
    <w:rsid w:val="6C4E3D3A"/>
    <w:rsid w:val="6CF05300"/>
    <w:rsid w:val="6CFF4FB8"/>
    <w:rsid w:val="6D3026B2"/>
    <w:rsid w:val="6D6BD6E0"/>
    <w:rsid w:val="6D77E73C"/>
    <w:rsid w:val="6DBF5E93"/>
    <w:rsid w:val="6DFF077E"/>
    <w:rsid w:val="6E155830"/>
    <w:rsid w:val="6E7E3605"/>
    <w:rsid w:val="6E7FDCC7"/>
    <w:rsid w:val="6EBF31DC"/>
    <w:rsid w:val="6EC145AA"/>
    <w:rsid w:val="6ED1025D"/>
    <w:rsid w:val="6ED6A62E"/>
    <w:rsid w:val="6EE00B15"/>
    <w:rsid w:val="6EE737B2"/>
    <w:rsid w:val="6EEB2329"/>
    <w:rsid w:val="6EECE67A"/>
    <w:rsid w:val="6F3327B4"/>
    <w:rsid w:val="6F6F90A8"/>
    <w:rsid w:val="6F6FB3EB"/>
    <w:rsid w:val="6F8731EA"/>
    <w:rsid w:val="6FBC2ADD"/>
    <w:rsid w:val="6FD57C00"/>
    <w:rsid w:val="6FE02FA3"/>
    <w:rsid w:val="6FEFFFD8"/>
    <w:rsid w:val="6FF5CC65"/>
    <w:rsid w:val="6FFB47EC"/>
    <w:rsid w:val="6FFF034A"/>
    <w:rsid w:val="71275CE8"/>
    <w:rsid w:val="712A28F1"/>
    <w:rsid w:val="715C0E4B"/>
    <w:rsid w:val="716F2C97"/>
    <w:rsid w:val="71FE04BF"/>
    <w:rsid w:val="71FFD401"/>
    <w:rsid w:val="72233669"/>
    <w:rsid w:val="72734D90"/>
    <w:rsid w:val="7332FE48"/>
    <w:rsid w:val="735759D8"/>
    <w:rsid w:val="73880603"/>
    <w:rsid w:val="73AD73D5"/>
    <w:rsid w:val="73AE37E3"/>
    <w:rsid w:val="73B6EB34"/>
    <w:rsid w:val="73FA497D"/>
    <w:rsid w:val="744731E5"/>
    <w:rsid w:val="74A626EA"/>
    <w:rsid w:val="74BBD01D"/>
    <w:rsid w:val="74ED5379"/>
    <w:rsid w:val="74F11DAB"/>
    <w:rsid w:val="75DEEEC2"/>
    <w:rsid w:val="767F479D"/>
    <w:rsid w:val="76E3355F"/>
    <w:rsid w:val="76F742AF"/>
    <w:rsid w:val="76F7BE7D"/>
    <w:rsid w:val="76FF5125"/>
    <w:rsid w:val="773570D3"/>
    <w:rsid w:val="77597F31"/>
    <w:rsid w:val="776F6FFA"/>
    <w:rsid w:val="7777A522"/>
    <w:rsid w:val="77858688"/>
    <w:rsid w:val="778769C8"/>
    <w:rsid w:val="77BF6EF6"/>
    <w:rsid w:val="77CB741A"/>
    <w:rsid w:val="77D7BE3A"/>
    <w:rsid w:val="77DC22F5"/>
    <w:rsid w:val="781400F4"/>
    <w:rsid w:val="782D565A"/>
    <w:rsid w:val="78574485"/>
    <w:rsid w:val="797E3A6C"/>
    <w:rsid w:val="79CF70E2"/>
    <w:rsid w:val="79D7FD79"/>
    <w:rsid w:val="79E75806"/>
    <w:rsid w:val="79EE5BA4"/>
    <w:rsid w:val="7A641148"/>
    <w:rsid w:val="7A6A0C7F"/>
    <w:rsid w:val="7A6F8BF5"/>
    <w:rsid w:val="7A894339"/>
    <w:rsid w:val="7ACF82B5"/>
    <w:rsid w:val="7AFF28C9"/>
    <w:rsid w:val="7AFF72A0"/>
    <w:rsid w:val="7AFF7572"/>
    <w:rsid w:val="7B6C7DFB"/>
    <w:rsid w:val="7B7D76A7"/>
    <w:rsid w:val="7B8609E6"/>
    <w:rsid w:val="7BA1460B"/>
    <w:rsid w:val="7BAE2FE2"/>
    <w:rsid w:val="7BAF6951"/>
    <w:rsid w:val="7BBFBED0"/>
    <w:rsid w:val="7BC3E394"/>
    <w:rsid w:val="7BF3FE4C"/>
    <w:rsid w:val="7BFB5035"/>
    <w:rsid w:val="7BFDE17E"/>
    <w:rsid w:val="7C561A37"/>
    <w:rsid w:val="7CBFC87B"/>
    <w:rsid w:val="7CFE0F48"/>
    <w:rsid w:val="7D3DE31C"/>
    <w:rsid w:val="7D7EC23E"/>
    <w:rsid w:val="7D7F8A13"/>
    <w:rsid w:val="7DBBCB01"/>
    <w:rsid w:val="7DC765D0"/>
    <w:rsid w:val="7DDB0EE0"/>
    <w:rsid w:val="7DFF51D8"/>
    <w:rsid w:val="7E634199"/>
    <w:rsid w:val="7E8ADEBF"/>
    <w:rsid w:val="7EEF11D3"/>
    <w:rsid w:val="7EF78C20"/>
    <w:rsid w:val="7F3F679B"/>
    <w:rsid w:val="7F4FC4EF"/>
    <w:rsid w:val="7F5E4D54"/>
    <w:rsid w:val="7F6B75FA"/>
    <w:rsid w:val="7F713E60"/>
    <w:rsid w:val="7F9F518D"/>
    <w:rsid w:val="7FA30C79"/>
    <w:rsid w:val="7FAF8ABF"/>
    <w:rsid w:val="7FB7269E"/>
    <w:rsid w:val="7FBD6753"/>
    <w:rsid w:val="7FBFABB4"/>
    <w:rsid w:val="7FC65084"/>
    <w:rsid w:val="7FC96657"/>
    <w:rsid w:val="7FD72595"/>
    <w:rsid w:val="7FDA9588"/>
    <w:rsid w:val="7FDF220F"/>
    <w:rsid w:val="7FDF4542"/>
    <w:rsid w:val="7FDF5405"/>
    <w:rsid w:val="7FEDC251"/>
    <w:rsid w:val="7FEDC5F7"/>
    <w:rsid w:val="7FEDD9DE"/>
    <w:rsid w:val="7FEFCDB9"/>
    <w:rsid w:val="7FF5890D"/>
    <w:rsid w:val="7FF5EB09"/>
    <w:rsid w:val="7FF89B92"/>
    <w:rsid w:val="7FF8F2E7"/>
    <w:rsid w:val="7FF93490"/>
    <w:rsid w:val="7FFA6237"/>
    <w:rsid w:val="7FFB5275"/>
    <w:rsid w:val="7FFD14DE"/>
    <w:rsid w:val="7FFFF783"/>
    <w:rsid w:val="93F70A9E"/>
    <w:rsid w:val="997D060E"/>
    <w:rsid w:val="99FF2014"/>
    <w:rsid w:val="9E59F895"/>
    <w:rsid w:val="9E7DEDC1"/>
    <w:rsid w:val="9EEF2B0D"/>
    <w:rsid w:val="9FF6F2A6"/>
    <w:rsid w:val="9FFE4AD9"/>
    <w:rsid w:val="9FFF61B9"/>
    <w:rsid w:val="A6DD0D7F"/>
    <w:rsid w:val="A7955197"/>
    <w:rsid w:val="A7FE5E0E"/>
    <w:rsid w:val="ADC6F725"/>
    <w:rsid w:val="AF0FFA84"/>
    <w:rsid w:val="AF9F0A5E"/>
    <w:rsid w:val="AFEF7964"/>
    <w:rsid w:val="B27A6F28"/>
    <w:rsid w:val="B35F0D5A"/>
    <w:rsid w:val="B3F7F693"/>
    <w:rsid w:val="B3FBBB6C"/>
    <w:rsid w:val="B5FFE407"/>
    <w:rsid w:val="B7CF06AB"/>
    <w:rsid w:val="B7CFA926"/>
    <w:rsid w:val="B7F8786B"/>
    <w:rsid w:val="B9EF5647"/>
    <w:rsid w:val="BABB6AA1"/>
    <w:rsid w:val="BAFCD398"/>
    <w:rsid w:val="BAFFDA0F"/>
    <w:rsid w:val="BB2F4199"/>
    <w:rsid w:val="BBFBD24E"/>
    <w:rsid w:val="BD079C78"/>
    <w:rsid w:val="BD2DD278"/>
    <w:rsid w:val="BD733540"/>
    <w:rsid w:val="BDF7970E"/>
    <w:rsid w:val="BDFE68BD"/>
    <w:rsid w:val="BE6FC990"/>
    <w:rsid w:val="BEBE9537"/>
    <w:rsid w:val="BEFF0D62"/>
    <w:rsid w:val="BEFF90EF"/>
    <w:rsid w:val="BF3735D5"/>
    <w:rsid w:val="BF7F09AC"/>
    <w:rsid w:val="BFB3380D"/>
    <w:rsid w:val="BFB7E7A2"/>
    <w:rsid w:val="BFC2F103"/>
    <w:rsid w:val="BFD475C3"/>
    <w:rsid w:val="BFDE5EA6"/>
    <w:rsid w:val="BFEF99E9"/>
    <w:rsid w:val="BFF9E564"/>
    <w:rsid w:val="BFFF3A69"/>
    <w:rsid w:val="C7BFEF9C"/>
    <w:rsid w:val="C8BD8F25"/>
    <w:rsid w:val="C94DA72E"/>
    <w:rsid w:val="CBEEAA00"/>
    <w:rsid w:val="CC7E9ECE"/>
    <w:rsid w:val="CDBFF9FF"/>
    <w:rsid w:val="CDF78664"/>
    <w:rsid w:val="CE3FF57E"/>
    <w:rsid w:val="CF3AB4AC"/>
    <w:rsid w:val="CF6FC6F3"/>
    <w:rsid w:val="CFD3D3D7"/>
    <w:rsid w:val="CFDF1009"/>
    <w:rsid w:val="D6B7E4F6"/>
    <w:rsid w:val="D6CB2739"/>
    <w:rsid w:val="D776A8DB"/>
    <w:rsid w:val="D7B6B268"/>
    <w:rsid w:val="D7D7B16A"/>
    <w:rsid w:val="D7EF2E2A"/>
    <w:rsid w:val="D8D6DB89"/>
    <w:rsid w:val="DB6F4CAB"/>
    <w:rsid w:val="DB777682"/>
    <w:rsid w:val="DBDDA52A"/>
    <w:rsid w:val="DCFFC0D1"/>
    <w:rsid w:val="DD1FB521"/>
    <w:rsid w:val="DDCB2E5E"/>
    <w:rsid w:val="DDFE75CA"/>
    <w:rsid w:val="DEFBBE33"/>
    <w:rsid w:val="DEFBFEAE"/>
    <w:rsid w:val="DF1F3B80"/>
    <w:rsid w:val="DF6F9789"/>
    <w:rsid w:val="DF9B8D55"/>
    <w:rsid w:val="DF9D198A"/>
    <w:rsid w:val="DFDF1D8E"/>
    <w:rsid w:val="DFEFC58B"/>
    <w:rsid w:val="DFF5F241"/>
    <w:rsid w:val="DFFFA9E8"/>
    <w:rsid w:val="E37D5D3F"/>
    <w:rsid w:val="E3FFE98D"/>
    <w:rsid w:val="E5F4E9DC"/>
    <w:rsid w:val="E67FF583"/>
    <w:rsid w:val="E70FE695"/>
    <w:rsid w:val="E7676621"/>
    <w:rsid w:val="E76B2B9A"/>
    <w:rsid w:val="E7AB7A34"/>
    <w:rsid w:val="E7DF1E20"/>
    <w:rsid w:val="E7FF6381"/>
    <w:rsid w:val="E9A30291"/>
    <w:rsid w:val="EBBF924C"/>
    <w:rsid w:val="ECFED1BC"/>
    <w:rsid w:val="ED1D69BB"/>
    <w:rsid w:val="ED2C2584"/>
    <w:rsid w:val="ED7FD312"/>
    <w:rsid w:val="EDBE03E0"/>
    <w:rsid w:val="EDD1A84A"/>
    <w:rsid w:val="EDFF8263"/>
    <w:rsid w:val="EE1FA0C7"/>
    <w:rsid w:val="EF53993F"/>
    <w:rsid w:val="EF7B8152"/>
    <w:rsid w:val="EF8E27E2"/>
    <w:rsid w:val="EFBFB2F4"/>
    <w:rsid w:val="EFBFFA21"/>
    <w:rsid w:val="EFDF4337"/>
    <w:rsid w:val="EFF7097E"/>
    <w:rsid w:val="F2BEBCB8"/>
    <w:rsid w:val="F36FB518"/>
    <w:rsid w:val="F3DE1A04"/>
    <w:rsid w:val="F3E244FA"/>
    <w:rsid w:val="F3EFB7CA"/>
    <w:rsid w:val="F3F722E5"/>
    <w:rsid w:val="F699BB1A"/>
    <w:rsid w:val="F6DEABFE"/>
    <w:rsid w:val="F7B650C7"/>
    <w:rsid w:val="F7EF9033"/>
    <w:rsid w:val="F7FDC2B1"/>
    <w:rsid w:val="F8DDDAC6"/>
    <w:rsid w:val="F96B55C8"/>
    <w:rsid w:val="FA2F5BEB"/>
    <w:rsid w:val="FA5F1E70"/>
    <w:rsid w:val="FA5FDB97"/>
    <w:rsid w:val="FB1BB959"/>
    <w:rsid w:val="FB75E3C8"/>
    <w:rsid w:val="FB7F461B"/>
    <w:rsid w:val="FB7F486A"/>
    <w:rsid w:val="FB7F6E28"/>
    <w:rsid w:val="FB8778F4"/>
    <w:rsid w:val="FBB61866"/>
    <w:rsid w:val="FBEE055A"/>
    <w:rsid w:val="FBF91527"/>
    <w:rsid w:val="FBFD1260"/>
    <w:rsid w:val="FBFF5B2E"/>
    <w:rsid w:val="FC833EBB"/>
    <w:rsid w:val="FCFE0B49"/>
    <w:rsid w:val="FD4B388D"/>
    <w:rsid w:val="FD77A83C"/>
    <w:rsid w:val="FD7FFE2B"/>
    <w:rsid w:val="FDADA43D"/>
    <w:rsid w:val="FDBDC432"/>
    <w:rsid w:val="FDEB412A"/>
    <w:rsid w:val="FDEE196B"/>
    <w:rsid w:val="FDEF50BC"/>
    <w:rsid w:val="FDFD5EC3"/>
    <w:rsid w:val="FDFE6575"/>
    <w:rsid w:val="FE9E11AB"/>
    <w:rsid w:val="FEBF38CD"/>
    <w:rsid w:val="FEDFDDC2"/>
    <w:rsid w:val="FEEB4E4D"/>
    <w:rsid w:val="FEED32F6"/>
    <w:rsid w:val="FEF781DD"/>
    <w:rsid w:val="FEF9D8C4"/>
    <w:rsid w:val="FF3F7E3F"/>
    <w:rsid w:val="FF3FF759"/>
    <w:rsid w:val="FF4749A3"/>
    <w:rsid w:val="FF4D3A28"/>
    <w:rsid w:val="FF5913BC"/>
    <w:rsid w:val="FF7F1E7E"/>
    <w:rsid w:val="FF9BAA5C"/>
    <w:rsid w:val="FFA57884"/>
    <w:rsid w:val="FFB513DD"/>
    <w:rsid w:val="FFBA12D7"/>
    <w:rsid w:val="FFBFE8C6"/>
    <w:rsid w:val="FFCF2925"/>
    <w:rsid w:val="FFD33B6C"/>
    <w:rsid w:val="FFDAD824"/>
    <w:rsid w:val="FFDE4064"/>
    <w:rsid w:val="FFDEA9D8"/>
    <w:rsid w:val="FFDF2DEC"/>
    <w:rsid w:val="FFDF624E"/>
    <w:rsid w:val="FFDF6BC0"/>
    <w:rsid w:val="FFDFFAEE"/>
    <w:rsid w:val="FFE3BA41"/>
    <w:rsid w:val="FFE3BED4"/>
    <w:rsid w:val="FFF316C1"/>
    <w:rsid w:val="FFF63ECC"/>
    <w:rsid w:val="FFF9B57B"/>
    <w:rsid w:val="FFFD61D9"/>
    <w:rsid w:val="FFFD8F59"/>
    <w:rsid w:val="FFFF2BB1"/>
    <w:rsid w:val="FFFFB04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qFormat="1" w:unhideWhenUsed="0" w:uiPriority="0"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0"/>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31"/>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34"/>
    <w:unhideWhenUsed/>
    <w:qFormat/>
    <w:uiPriority w:val="9"/>
    <w:pPr>
      <w:keepNext/>
      <w:keepLines/>
      <w:spacing w:before="260" w:after="260" w:line="416" w:lineRule="auto"/>
      <w:outlineLvl w:val="2"/>
    </w:pPr>
    <w:rPr>
      <w:b/>
      <w:bCs/>
      <w:sz w:val="32"/>
      <w:szCs w:val="32"/>
    </w:rPr>
  </w:style>
  <w:style w:type="character" w:default="1" w:styleId="18">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5">
    <w:name w:val="Normal Indent"/>
    <w:basedOn w:val="1"/>
    <w:next w:val="1"/>
    <w:qFormat/>
    <w:uiPriority w:val="0"/>
    <w:pPr>
      <w:ind w:firstLine="200" w:firstLineChars="200"/>
    </w:pPr>
  </w:style>
  <w:style w:type="paragraph" w:styleId="6">
    <w:name w:val="Body Text"/>
    <w:basedOn w:val="1"/>
    <w:next w:val="7"/>
    <w:link w:val="27"/>
    <w:qFormat/>
    <w:uiPriority w:val="99"/>
    <w:pPr>
      <w:spacing w:beforeLines="30"/>
    </w:pPr>
    <w:rPr>
      <w:rFonts w:ascii="仿宋_GB2312" w:eastAsia="仿宋_GB2312"/>
      <w:kern w:val="0"/>
      <w:sz w:val="30"/>
    </w:rPr>
  </w:style>
  <w:style w:type="paragraph" w:styleId="7">
    <w:name w:val="Body Text First Indent"/>
    <w:basedOn w:val="1"/>
    <w:qFormat/>
    <w:uiPriority w:val="0"/>
    <w:pPr>
      <w:tabs>
        <w:tab w:val="left" w:pos="2160"/>
      </w:tabs>
      <w:ind w:firstLine="420" w:firstLineChars="100"/>
    </w:pPr>
    <w:rPr>
      <w:rFonts w:ascii="Times New Roman" w:hAnsi="Times New Roman" w:eastAsia="宋体" w:cs="Times New Roman"/>
      <w:sz w:val="18"/>
      <w:szCs w:val="18"/>
    </w:rPr>
  </w:style>
  <w:style w:type="paragraph" w:styleId="8">
    <w:name w:val="Body Text Indent"/>
    <w:basedOn w:val="1"/>
    <w:qFormat/>
    <w:uiPriority w:val="0"/>
    <w:pPr>
      <w:spacing w:after="120"/>
      <w:ind w:left="200" w:leftChars="200"/>
    </w:pPr>
    <w:rPr>
      <w:rFonts w:ascii="仿宋_GB2312"/>
      <w:szCs w:val="32"/>
    </w:rPr>
  </w:style>
  <w:style w:type="paragraph" w:styleId="9">
    <w:name w:val="toc 3"/>
    <w:basedOn w:val="1"/>
    <w:next w:val="1"/>
    <w:unhideWhenUsed/>
    <w:qFormat/>
    <w:uiPriority w:val="39"/>
    <w:pPr>
      <w:tabs>
        <w:tab w:val="right" w:leader="dot" w:pos="8296"/>
      </w:tabs>
      <w:ind w:left="840" w:leftChars="400"/>
    </w:pPr>
  </w:style>
  <w:style w:type="paragraph" w:styleId="10">
    <w:name w:val="Balloon Text"/>
    <w:basedOn w:val="1"/>
    <w:link w:val="33"/>
    <w:semiHidden/>
    <w:unhideWhenUsed/>
    <w:qFormat/>
    <w:uiPriority w:val="99"/>
    <w:rPr>
      <w:sz w:val="18"/>
      <w:szCs w:val="18"/>
    </w:rPr>
  </w:style>
  <w:style w:type="paragraph" w:styleId="11">
    <w:name w:val="footer"/>
    <w:basedOn w:val="1"/>
    <w:link w:val="25"/>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23"/>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4">
    <w:name w:val="table of figures"/>
    <w:basedOn w:val="1"/>
    <w:next w:val="1"/>
    <w:qFormat/>
    <w:uiPriority w:val="0"/>
    <w:pPr>
      <w:ind w:left="200" w:leftChars="200" w:hanging="200" w:hangingChars="200"/>
    </w:pPr>
  </w:style>
  <w:style w:type="paragraph" w:styleId="15">
    <w:name w:val="toc 2"/>
    <w:basedOn w:val="1"/>
    <w:next w:val="1"/>
    <w:unhideWhenUsed/>
    <w:qFormat/>
    <w:uiPriority w:val="39"/>
    <w:pPr>
      <w:tabs>
        <w:tab w:val="right" w:leader="dot" w:pos="8296"/>
      </w:tabs>
      <w:ind w:left="420" w:leftChars="200"/>
    </w:pPr>
  </w:style>
  <w:style w:type="paragraph" w:styleId="16">
    <w:name w:val="Body Text First Indent 2"/>
    <w:basedOn w:val="8"/>
    <w:unhideWhenUsed/>
    <w:qFormat/>
    <w:uiPriority w:val="99"/>
    <w:pPr>
      <w:ind w:firstLine="420" w:firstLineChars="200"/>
    </w:pPr>
  </w:style>
  <w:style w:type="character" w:styleId="19">
    <w:name w:val="Strong"/>
    <w:basedOn w:val="18"/>
    <w:qFormat/>
    <w:uiPriority w:val="99"/>
    <w:rPr>
      <w:b/>
    </w:rPr>
  </w:style>
  <w:style w:type="character" w:styleId="20">
    <w:name w:val="Hyperlink"/>
    <w:basedOn w:val="18"/>
    <w:unhideWhenUsed/>
    <w:qFormat/>
    <w:uiPriority w:val="99"/>
    <w:rPr>
      <w:color w:val="0000FF" w:themeColor="hyperlink"/>
      <w:u w:val="single"/>
      <w14:textFill>
        <w14:solidFill>
          <w14:schemeClr w14:val="hlink"/>
        </w14:solidFill>
      </w14:textFill>
    </w:rPr>
  </w:style>
  <w:style w:type="paragraph" w:customStyle="1" w:styleId="21">
    <w:name w:val="标题 5（有编号）（绿盟科技）"/>
    <w:next w:val="1"/>
    <w:qFormat/>
    <w:uiPriority w:val="99"/>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character" w:customStyle="1" w:styleId="22">
    <w:name w:val="Header Char"/>
    <w:basedOn w:val="18"/>
    <w:semiHidden/>
    <w:qFormat/>
    <w:uiPriority w:val="99"/>
    <w:rPr>
      <w:rFonts w:ascii="Times New Roman" w:hAnsi="Times New Roman"/>
      <w:sz w:val="18"/>
      <w:szCs w:val="18"/>
    </w:rPr>
  </w:style>
  <w:style w:type="character" w:customStyle="1" w:styleId="23">
    <w:name w:val="页眉 字符"/>
    <w:link w:val="12"/>
    <w:semiHidden/>
    <w:qFormat/>
    <w:locked/>
    <w:uiPriority w:val="99"/>
    <w:rPr>
      <w:sz w:val="18"/>
    </w:rPr>
  </w:style>
  <w:style w:type="character" w:customStyle="1" w:styleId="24">
    <w:name w:val="Footer Char"/>
    <w:basedOn w:val="18"/>
    <w:semiHidden/>
    <w:qFormat/>
    <w:uiPriority w:val="99"/>
    <w:rPr>
      <w:rFonts w:ascii="Times New Roman" w:hAnsi="Times New Roman"/>
      <w:sz w:val="18"/>
      <w:szCs w:val="18"/>
    </w:rPr>
  </w:style>
  <w:style w:type="character" w:customStyle="1" w:styleId="25">
    <w:name w:val="页脚 字符"/>
    <w:link w:val="11"/>
    <w:qFormat/>
    <w:locked/>
    <w:uiPriority w:val="99"/>
    <w:rPr>
      <w:sz w:val="18"/>
    </w:rPr>
  </w:style>
  <w:style w:type="character" w:customStyle="1" w:styleId="26">
    <w:name w:val="Body Text Char"/>
    <w:basedOn w:val="18"/>
    <w:semiHidden/>
    <w:qFormat/>
    <w:uiPriority w:val="99"/>
    <w:rPr>
      <w:rFonts w:ascii="Times New Roman" w:hAnsi="Times New Roman"/>
      <w:szCs w:val="24"/>
    </w:rPr>
  </w:style>
  <w:style w:type="character" w:customStyle="1" w:styleId="27">
    <w:name w:val="正文文本 字符"/>
    <w:link w:val="6"/>
    <w:qFormat/>
    <w:locked/>
    <w:uiPriority w:val="99"/>
    <w:rPr>
      <w:rFonts w:ascii="仿宋_GB2312" w:hAnsi="Times New Roman" w:eastAsia="仿宋_GB2312"/>
      <w:sz w:val="24"/>
    </w:rPr>
  </w:style>
  <w:style w:type="paragraph" w:customStyle="1" w:styleId="28">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9">
    <w:name w:val="List Paragraph"/>
    <w:basedOn w:val="1"/>
    <w:qFormat/>
    <w:uiPriority w:val="34"/>
    <w:pPr>
      <w:ind w:firstLine="420" w:firstLineChars="200"/>
    </w:pPr>
  </w:style>
  <w:style w:type="character" w:customStyle="1" w:styleId="30">
    <w:name w:val="标题 1 字符"/>
    <w:basedOn w:val="18"/>
    <w:link w:val="2"/>
    <w:qFormat/>
    <w:uiPriority w:val="9"/>
    <w:rPr>
      <w:rFonts w:ascii="Times New Roman" w:hAnsi="Times New Roman"/>
      <w:b/>
      <w:bCs/>
      <w:kern w:val="44"/>
      <w:sz w:val="44"/>
      <w:szCs w:val="44"/>
    </w:rPr>
  </w:style>
  <w:style w:type="character" w:customStyle="1" w:styleId="31">
    <w:name w:val="标题 2 字符"/>
    <w:basedOn w:val="18"/>
    <w:link w:val="3"/>
    <w:qFormat/>
    <w:uiPriority w:val="9"/>
    <w:rPr>
      <w:rFonts w:asciiTheme="majorHAnsi" w:hAnsiTheme="majorHAnsi" w:eastAsiaTheme="majorEastAsia" w:cstheme="majorBidi"/>
      <w:b/>
      <w:bCs/>
      <w:kern w:val="2"/>
      <w:sz w:val="32"/>
      <w:szCs w:val="32"/>
    </w:rPr>
  </w:style>
  <w:style w:type="paragraph" w:customStyle="1" w:styleId="32">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3">
    <w:name w:val="批注框文本 字符"/>
    <w:basedOn w:val="18"/>
    <w:link w:val="10"/>
    <w:semiHidden/>
    <w:qFormat/>
    <w:uiPriority w:val="99"/>
    <w:rPr>
      <w:rFonts w:ascii="Times New Roman" w:hAnsi="Times New Roman"/>
      <w:kern w:val="2"/>
      <w:sz w:val="18"/>
      <w:szCs w:val="18"/>
    </w:rPr>
  </w:style>
  <w:style w:type="character" w:customStyle="1" w:styleId="34">
    <w:name w:val="标题 3 字符"/>
    <w:basedOn w:val="18"/>
    <w:link w:val="4"/>
    <w:qFormat/>
    <w:uiPriority w:val="9"/>
    <w:rPr>
      <w:rFonts w:ascii="Times New Roman" w:hAnsi="Times New Roman"/>
      <w:b/>
      <w:bCs/>
      <w:kern w:val="2"/>
      <w:sz w:val="32"/>
      <w:szCs w:val="32"/>
    </w:rPr>
  </w:style>
  <w:style w:type="paragraph" w:customStyle="1" w:styleId="35">
    <w:name w:val="TOC 标题2"/>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6">
    <w:name w:val="四号正文"/>
    <w:basedOn w:val="1"/>
    <w:qFormat/>
    <w:uiPriority w:val="0"/>
    <w:pPr>
      <w:spacing w:line="360" w:lineRule="auto"/>
    </w:pPr>
    <w:rPr>
      <w:rFonts w:ascii="??" w:hAnsi="??"/>
      <w:color w:val="000000"/>
      <w:kern w:val="0"/>
      <w:sz w:val="28"/>
      <w:szCs w:val="21"/>
      <w:lang w:val="zh-CN"/>
    </w:rPr>
  </w:style>
  <w:style w:type="paragraph" w:customStyle="1" w:styleId="37">
    <w:name w:val="NormalIndent"/>
    <w:next w:val="12"/>
    <w:qFormat/>
    <w:uiPriority w:val="0"/>
    <w:pPr>
      <w:widowControl w:val="0"/>
      <w:ind w:firstLine="200" w:firstLineChars="200"/>
      <w:jc w:val="both"/>
    </w:pPr>
    <w:rPr>
      <w:rFonts w:ascii="Times New Roman" w:hAnsi="Times New Roman" w:eastAsia="仿宋_GB2312" w:cs="Times New Roman"/>
      <w:kern w:val="2"/>
      <w:sz w:val="32"/>
      <w:szCs w:val="32"/>
      <w:lang w:val="en-US" w:eastAsia="zh-CN" w:bidi="ar-SA"/>
    </w:rPr>
  </w:style>
  <w:style w:type="paragraph" w:customStyle="1" w:styleId="38">
    <w:name w:val="WPSOffice手动目录 1"/>
    <w:qFormat/>
    <w:uiPriority w:val="0"/>
    <w:pPr>
      <w:ind w:leftChars="0"/>
    </w:pPr>
    <w:rPr>
      <w:rFonts w:ascii="Times New Roman" w:hAnsi="Times New Roman" w:eastAsia="宋体" w:cs="Times New Roman"/>
      <w:sz w:val="20"/>
      <w:szCs w:val="20"/>
    </w:rPr>
  </w:style>
  <w:style w:type="paragraph" w:customStyle="1" w:styleId="39">
    <w:name w:val="WPSOffice手动目录 2"/>
    <w:qFormat/>
    <w:uiPriority w:val="0"/>
    <w:pPr>
      <w:ind w:leftChars="2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glossaryDocument" Target="glossary/document.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charts/_rels/chart1.xml.rels><?xml version="1.0" encoding="UTF-8" standalone="yes"?>
<Relationships xmlns="http://schemas.openxmlformats.org/package/2006/relationships"><Relationship Id="rId1" Type="http://schemas.openxmlformats.org/officeDocument/2006/relationships/oleObject" Target="file:///I:\2024&#24180;&#20915;&#31639;&#20844;&#24320;\2024&#24180;&#20915;&#31639;&#22270;.xlsx"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I:\2024&#24180;&#20915;&#31639;&#20844;&#24320;\2024&#24180;&#20915;&#31639;&#22270;.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I:\2024&#24180;&#20915;&#31639;&#20844;&#24320;\2024&#24180;&#20915;&#31639;&#22270;.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I:\2024&#24180;&#20915;&#31639;&#20844;&#24320;\2024&#24180;&#20915;&#31639;&#22270;.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I:\2024&#24180;&#20915;&#31639;&#20844;&#24320;\2024&#24180;&#20915;&#31639;&#22270;.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I:\2024&#24180;&#20915;&#31639;&#20844;&#24320;\2024&#24180;&#20915;&#31639;&#22270;.xlsx" TargetMode="External"/></Relationships>
</file>

<file path=word/charts/_rels/chart7.xml.rels><?xml version="1.0" encoding="UTF-8" standalone="yes"?>
<Relationships xmlns="http://schemas.openxmlformats.org/package/2006/relationships"><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r>
              <a:rPr lang="zh-CN" altLang="en-US"/>
              <a:t>收、支决算结构图</a:t>
            </a:r>
            <a:endParaRPr lang="zh-CN" altLang="en-US"/>
          </a:p>
        </c:rich>
      </c:tx>
      <c:layout/>
      <c:overlay val="0"/>
    </c:title>
    <c:autoTitleDeleted val="0"/>
    <c:plotArea>
      <c:layout/>
      <c:barChart>
        <c:barDir val="col"/>
        <c:grouping val="clustered"/>
        <c:varyColors val="0"/>
        <c:ser>
          <c:idx val="0"/>
          <c:order val="0"/>
          <c:tx>
            <c:strRef>
              <c:f>[2024年决算图.xlsx]Sheet1!$A$5</c:f>
              <c:strCache>
                <c:ptCount val="1"/>
                <c:pt idx="0">
                  <c:v>收入</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[2024年决算图.xlsx]Sheet1!$B$4:$C$4</c:f>
              <c:strCache>
                <c:ptCount val="2"/>
                <c:pt idx="0">
                  <c:v>2024年</c:v>
                </c:pt>
                <c:pt idx="1">
                  <c:v>2025年</c:v>
                </c:pt>
              </c:strCache>
            </c:strRef>
          </c:cat>
          <c:val>
            <c:numRef>
              <c:f>[2024年决算图.xlsx]Sheet1!$B$5:$C$5</c:f>
              <c:numCache>
                <c:formatCode>General</c:formatCode>
                <c:ptCount val="2"/>
                <c:pt idx="0">
                  <c:v>3023.28</c:v>
                </c:pt>
                <c:pt idx="1">
                  <c:v>16650.06</c:v>
                </c:pt>
              </c:numCache>
            </c:numRef>
          </c:val>
        </c:ser>
        <c:ser>
          <c:idx val="1"/>
          <c:order val="1"/>
          <c:tx>
            <c:strRef>
              <c:f>[2024年决算图.xlsx]Sheet1!$A$6</c:f>
              <c:strCache>
                <c:ptCount val="1"/>
                <c:pt idx="0">
                  <c:v>支出</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[2024年决算图.xlsx]Sheet1!$B$4:$C$4</c:f>
              <c:strCache>
                <c:ptCount val="2"/>
                <c:pt idx="0">
                  <c:v>2024年</c:v>
                </c:pt>
                <c:pt idx="1">
                  <c:v>2025年</c:v>
                </c:pt>
              </c:strCache>
            </c:strRef>
          </c:cat>
          <c:val>
            <c:numRef>
              <c:f>[2024年决算图.xlsx]Sheet1!$B$6:$C$6</c:f>
              <c:numCache>
                <c:formatCode>General</c:formatCode>
                <c:ptCount val="2"/>
                <c:pt idx="0">
                  <c:v>3023.28</c:v>
                </c:pt>
                <c:pt idx="1">
                  <c:v>16650.06</c:v>
                </c:pt>
              </c:numCache>
            </c:numRef>
          </c:val>
        </c:ser>
        <c:dLbls>
          <c:showLegendKey val="0"/>
          <c:showVal val="0"/>
          <c:showCatName val="0"/>
          <c:showSerName val="0"/>
          <c:showPercent val="0"/>
          <c:showBubbleSize val="0"/>
        </c:dLbls>
        <c:gapWidth val="150"/>
        <c:axId val="101989760"/>
        <c:axId val="102007936"/>
      </c:barChart>
      <c:catAx>
        <c:axId val="101989760"/>
        <c:scaling>
          <c:orientation val="minMax"/>
        </c:scaling>
        <c:delete val="0"/>
        <c:axPos val="b"/>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02007936"/>
        <c:crosses val="autoZero"/>
        <c:auto val="1"/>
        <c:lblAlgn val="ctr"/>
        <c:lblOffset val="100"/>
        <c:noMultiLvlLbl val="0"/>
      </c:catAx>
      <c:valAx>
        <c:axId val="102007936"/>
        <c:scaling>
          <c:orientation val="minMax"/>
        </c:scaling>
        <c:delete val="0"/>
        <c:axPos val="l"/>
        <c:majorGridlines/>
        <c:numFmt formatCode="General"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01989760"/>
        <c:crosses val="autoZero"/>
        <c:crossBetween val="between"/>
      </c:valAx>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extLst>
      <c:ext uri="{0b15fc19-7d7d-44ad-8c2d-2c3a37ce22c3}">
        <chartProps xmlns="https://web.wps.cn/et/2018/main" chartId="{ef6cdcf7-9f32-45de-b606-fa49b248bec7}"/>
      </c:ext>
    </c:extLst>
  </c:chart>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1" i="0" u="none" strike="noStrike" kern="1200" baseline="0">
              <a:solidFill>
                <a:schemeClr val="tx1">
                  <a:lumMod val="75000"/>
                  <a:lumOff val="25000"/>
                </a:schemeClr>
              </a:solidFill>
              <a:latin typeface="+mn-lt"/>
              <a:ea typeface="+mn-ea"/>
              <a:cs typeface="+mn-cs"/>
            </a:defRPr>
          </a:pPr>
        </a:p>
      </c:txPr>
    </c:title>
    <c:autoTitleDeleted val="0"/>
    <c:plotArea>
      <c:layout/>
      <c:pieChart>
        <c:varyColors val="1"/>
        <c:ser>
          <c:idx val="0"/>
          <c:order val="0"/>
          <c:tx>
            <c:strRef>
              <c:f>[2024年决算图.xlsx]Sheet1!$B$28</c:f>
              <c:strCache>
                <c:ptCount val="1"/>
                <c:pt idx="0">
                  <c:v>总收入结构图</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Pt>
            <c:idx val="3"/>
            <c:bubble3D val="0"/>
            <c:spPr>
              <a:solidFill>
                <a:schemeClr val="accent4"/>
              </a:solidFill>
              <a:ln>
                <a:solidFill>
                  <a:schemeClr val="bg1"/>
                </a:solidFill>
              </a:ln>
              <a:effectLst/>
            </c:spPr>
          </c:dPt>
          <c:dPt>
            <c:idx val="4"/>
            <c:bubble3D val="0"/>
            <c:spPr>
              <a:solidFill>
                <a:schemeClr val="accent5"/>
              </a:solidFill>
              <a:ln>
                <a:solidFill>
                  <a:schemeClr val="bg1"/>
                </a:solidFill>
              </a:ln>
              <a:effectLst/>
            </c:spPr>
          </c:dPt>
          <c:dPt>
            <c:idx val="5"/>
            <c:bubble3D val="0"/>
            <c:spPr>
              <a:solidFill>
                <a:schemeClr val="accent6"/>
              </a:solidFill>
              <a:ln>
                <a:solidFill>
                  <a:schemeClr val="bg1"/>
                </a:solidFill>
              </a:ln>
              <a:effectLst/>
            </c:spPr>
          </c:dPt>
          <c:dPt>
            <c:idx val="6"/>
            <c:bubble3D val="0"/>
            <c:spPr>
              <a:solidFill>
                <a:schemeClr val="accent1">
                  <a:lumMod val="60000"/>
                </a:schemeClr>
              </a:solidFill>
              <a:ln>
                <a:solidFill>
                  <a:schemeClr val="bg1"/>
                </a:solidFill>
              </a:ln>
              <a:effectLst/>
            </c:spPr>
          </c:dPt>
          <c:dLbls>
            <c:delete val="1"/>
          </c:dLbls>
          <c:cat>
            <c:strRef>
              <c:f>[2024年决算图.xlsx]Sheet1!$A$29:$A$35</c:f>
              <c:strCache>
                <c:ptCount val="7"/>
                <c:pt idx="0">
                  <c:v>一般公共预算财政拨款收入</c:v>
                </c:pt>
                <c:pt idx="1">
                  <c:v>政府性基金预算财政拨款收入</c:v>
                </c:pt>
                <c:pt idx="2">
                  <c:v>国有资本经营预算财政拨款收入</c:v>
                </c:pt>
                <c:pt idx="3">
                  <c:v>事业收入</c:v>
                </c:pt>
                <c:pt idx="4">
                  <c:v>经营收入</c:v>
                </c:pt>
                <c:pt idx="5">
                  <c:v>附属单位上缴收入</c:v>
                </c:pt>
                <c:pt idx="6">
                  <c:v>其他收入</c:v>
                </c:pt>
              </c:strCache>
            </c:strRef>
          </c:cat>
          <c:val>
            <c:numRef>
              <c:f>[2024年决算图.xlsx]Sheet1!$B$29:$B$35</c:f>
              <c:numCache>
                <c:formatCode>General</c:formatCode>
                <c:ptCount val="7"/>
                <c:pt idx="0">
                  <c:v>16516.25</c:v>
                </c:pt>
                <c:pt idx="1">
                  <c:v>133.81</c:v>
                </c:pt>
                <c:pt idx="2">
                  <c:v>0</c:v>
                </c:pt>
                <c:pt idx="3">
                  <c:v>0</c:v>
                </c:pt>
                <c:pt idx="4">
                  <c:v>0</c:v>
                </c:pt>
                <c:pt idx="5">
                  <c:v>0</c:v>
                </c:pt>
                <c:pt idx="6">
                  <c:v>0</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0.133618421052632"/>
          <c:y val="0.700462962962963"/>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8281b0b9-4bb2-44b5-aa79-96ec56c9e9c5}"/>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view3D>
      <c:rotX val="30"/>
      <c:rotY val="0"/>
      <c:depthPercent val="100"/>
      <c:rAngAx val="0"/>
      <c:perspective val="30"/>
    </c:view3D>
    <c:floor>
      <c:thickness val="0"/>
    </c:floor>
    <c:sideWall>
      <c:thickness val="0"/>
    </c:sideWall>
    <c:backWall>
      <c:thickness val="0"/>
    </c:backWall>
    <c:plotArea>
      <c:layout/>
      <c:pie3DChart>
        <c:varyColors val="1"/>
        <c:ser>
          <c:idx val="0"/>
          <c:order val="0"/>
          <c:tx>
            <c:strRef>
              <c:f>[2024年决算图.xlsx]Sheet1!$B$39</c:f>
              <c:strCache>
                <c:ptCount val="1"/>
                <c:pt idx="0">
                  <c:v>支出决算结构图</c:v>
                </c:pt>
              </c:strCache>
            </c:strRef>
          </c:tx>
          <c:explosion val="0"/>
          <c:dPt>
            <c:idx val="0"/>
            <c:bubble3D val="0"/>
          </c:dPt>
          <c:dPt>
            <c:idx val="1"/>
            <c:bubble3D val="0"/>
          </c:dPt>
          <c:dLbls>
            <c:delete val="1"/>
          </c:dLbls>
          <c:cat>
            <c:strRef>
              <c:f>[2024年决算图.xlsx]Sheet1!$A$40:$A$41</c:f>
              <c:strCache>
                <c:ptCount val="2"/>
                <c:pt idx="0">
                  <c:v>基本支出</c:v>
                </c:pt>
                <c:pt idx="1">
                  <c:v>项目支出</c:v>
                </c:pt>
              </c:strCache>
            </c:strRef>
          </c:cat>
          <c:val>
            <c:numRef>
              <c:f>[2024年决算图.xlsx]Sheet1!$B$40:$B$41</c:f>
              <c:numCache>
                <c:formatCode>General</c:formatCode>
                <c:ptCount val="2"/>
                <c:pt idx="0">
                  <c:v>653.67</c:v>
                </c:pt>
                <c:pt idx="1">
                  <c:v>15996.39</c:v>
                </c:pt>
              </c:numCache>
            </c:numRef>
          </c:val>
        </c:ser>
        <c:dLbls>
          <c:showLegendKey val="0"/>
          <c:showVal val="1"/>
          <c:showCatName val="0"/>
          <c:showSerName val="0"/>
          <c:showPercent val="0"/>
          <c:showBubbleSize val="0"/>
        </c:dLbls>
      </c:pie3D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extLst>
      <c:ext uri="{0b15fc19-7d7d-44ad-8c2d-2c3a37ce22c3}">
        <chartProps xmlns="https://web.wps.cn/et/2018/main" chartId="{467fce48-96a9-44ef-a237-fab2c80a0902}"/>
      </c:ext>
    </c:extLst>
  </c:chart>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r>
              <a:rPr lang="zh-CN" altLang="en-US" sz="1700"/>
              <a:t>财政拨款收、支决算总计变动情况</a:t>
            </a:r>
            <a:endParaRPr lang="zh-CN" altLang="en-US" sz="1700"/>
          </a:p>
        </c:rich>
      </c:tx>
      <c:layout/>
      <c:overlay val="0"/>
    </c:title>
    <c:autoTitleDeleted val="0"/>
    <c:plotArea>
      <c:layout/>
      <c:barChart>
        <c:barDir val="col"/>
        <c:grouping val="clustered"/>
        <c:varyColors val="0"/>
        <c:ser>
          <c:idx val="0"/>
          <c:order val="0"/>
          <c:tx>
            <c:strRef>
              <c:f>[2024年决算图.xlsx]Sheet1!$A$59</c:f>
              <c:strCache>
                <c:ptCount val="1"/>
                <c:pt idx="0">
                  <c:v>收入</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[2024年决算图.xlsx]Sheet1!$B$58:$C$58</c:f>
              <c:strCache>
                <c:ptCount val="2"/>
                <c:pt idx="0">
                  <c:v>2023年</c:v>
                </c:pt>
                <c:pt idx="1">
                  <c:v>2024年</c:v>
                </c:pt>
              </c:strCache>
            </c:strRef>
          </c:cat>
          <c:val>
            <c:numRef>
              <c:f>[2024年决算图.xlsx]Sheet1!$B$59:$C$59</c:f>
              <c:numCache>
                <c:formatCode>General</c:formatCode>
                <c:ptCount val="2"/>
                <c:pt idx="0">
                  <c:v>3023.28</c:v>
                </c:pt>
                <c:pt idx="1">
                  <c:v>16650.06</c:v>
                </c:pt>
              </c:numCache>
            </c:numRef>
          </c:val>
        </c:ser>
        <c:ser>
          <c:idx val="1"/>
          <c:order val="1"/>
          <c:tx>
            <c:strRef>
              <c:f>[2024年决算图.xlsx]Sheet1!$A$60</c:f>
              <c:strCache>
                <c:ptCount val="1"/>
                <c:pt idx="0">
                  <c:v>支出</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[2024年决算图.xlsx]Sheet1!$B$58:$C$58</c:f>
              <c:strCache>
                <c:ptCount val="2"/>
                <c:pt idx="0">
                  <c:v>2023年</c:v>
                </c:pt>
                <c:pt idx="1">
                  <c:v>2024年</c:v>
                </c:pt>
              </c:strCache>
            </c:strRef>
          </c:cat>
          <c:val>
            <c:numRef>
              <c:f>[2024年决算图.xlsx]Sheet1!$B$60:$C$60</c:f>
              <c:numCache>
                <c:formatCode>General</c:formatCode>
                <c:ptCount val="2"/>
                <c:pt idx="0">
                  <c:v>3023.28</c:v>
                </c:pt>
                <c:pt idx="1">
                  <c:v>16650.06</c:v>
                </c:pt>
              </c:numCache>
            </c:numRef>
          </c:val>
        </c:ser>
        <c:dLbls>
          <c:showLegendKey val="0"/>
          <c:showVal val="0"/>
          <c:showCatName val="0"/>
          <c:showSerName val="0"/>
          <c:showPercent val="0"/>
          <c:showBubbleSize val="0"/>
        </c:dLbls>
        <c:gapWidth val="150"/>
        <c:axId val="103416576"/>
        <c:axId val="103418112"/>
      </c:barChart>
      <c:catAx>
        <c:axId val="103416576"/>
        <c:scaling>
          <c:orientation val="minMax"/>
        </c:scaling>
        <c:delete val="0"/>
        <c:axPos val="b"/>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03418112"/>
        <c:crosses val="autoZero"/>
        <c:auto val="1"/>
        <c:lblAlgn val="ctr"/>
        <c:lblOffset val="100"/>
        <c:noMultiLvlLbl val="0"/>
      </c:catAx>
      <c:valAx>
        <c:axId val="103418112"/>
        <c:scaling>
          <c:orientation val="minMax"/>
        </c:scaling>
        <c:delete val="0"/>
        <c:axPos val="l"/>
        <c:majorGridlines/>
        <c:numFmt formatCode="General"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03416576"/>
        <c:crosses val="autoZero"/>
        <c:crossBetween val="between"/>
      </c:valAx>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extLst>
      <c:ext uri="{0b15fc19-7d7d-44ad-8c2d-2c3a37ce22c3}">
        <chartProps xmlns="https://web.wps.cn/et/2018/main" chartId="{d60a79dc-8e8b-42d0-a906-a6d011ba279d}"/>
      </c:ext>
    </c:extLst>
  </c:chart>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600" b="1" i="0" u="none" strike="noStrike" kern="1200" cap="none" spc="0" normalizeH="0" baseline="0">
                <a:solidFill>
                  <a:schemeClr val="tx1"/>
                </a:solidFill>
                <a:uFill>
                  <a:solidFill>
                    <a:schemeClr val="tx1"/>
                  </a:solidFill>
                </a:uFill>
                <a:latin typeface="+mn-lt"/>
                <a:ea typeface="+mn-ea"/>
                <a:cs typeface="+mn-cs"/>
              </a:defRPr>
            </a:pPr>
            <a:r>
              <a:rPr altLang="en-US" sz="1400">
                <a:solidFill>
                  <a:schemeClr val="tx1"/>
                </a:solidFill>
                <a:uFill>
                  <a:solidFill>
                    <a:schemeClr val="tx1"/>
                  </a:solidFill>
                </a:uFill>
              </a:rPr>
              <a:t>一般公共预算财政拨款支出决算变动情况</a:t>
            </a:r>
            <a:endParaRPr altLang="en-US" sz="1400">
              <a:solidFill>
                <a:schemeClr val="tx1"/>
              </a:solidFill>
              <a:uFill>
                <a:solidFill>
                  <a:schemeClr val="tx1"/>
                </a:solidFill>
              </a:uFill>
            </a:endParaRPr>
          </a:p>
        </c:rich>
      </c:tx>
      <c:layout/>
      <c:overlay val="0"/>
    </c:title>
    <c:autoTitleDeleted val="0"/>
    <c:plotArea>
      <c:layout/>
      <c:barChart>
        <c:barDir val="col"/>
        <c:grouping val="clustered"/>
        <c:varyColors val="0"/>
        <c:ser>
          <c:idx val="0"/>
          <c:order val="0"/>
          <c:tx>
            <c:strRef>
              <c:f>[2024年决算图.xlsx]Sheet1!$B$81</c:f>
              <c:strCache>
                <c:ptCount val="1"/>
                <c:pt idx="0">
                  <c:v>一般公共预算财政拨款支出决算变动情况</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[2024年决算图.xlsx]Sheet1!$A$82:$A$83</c:f>
              <c:strCache>
                <c:ptCount val="2"/>
                <c:pt idx="0">
                  <c:v>2023年</c:v>
                </c:pt>
                <c:pt idx="1">
                  <c:v>2024年</c:v>
                </c:pt>
              </c:strCache>
            </c:strRef>
          </c:cat>
          <c:val>
            <c:numRef>
              <c:f>[2024年决算图.xlsx]Sheet1!$B$82:$B$83</c:f>
              <c:numCache>
                <c:formatCode>General</c:formatCode>
                <c:ptCount val="2"/>
                <c:pt idx="0">
                  <c:v>2791.62</c:v>
                </c:pt>
                <c:pt idx="1">
                  <c:v>16516.24</c:v>
                </c:pt>
              </c:numCache>
            </c:numRef>
          </c:val>
        </c:ser>
        <c:dLbls>
          <c:showLegendKey val="0"/>
          <c:showVal val="1"/>
          <c:showCatName val="0"/>
          <c:showSerName val="0"/>
          <c:showPercent val="0"/>
          <c:showBubbleSize val="0"/>
        </c:dLbls>
        <c:gapWidth val="150"/>
        <c:axId val="103442688"/>
        <c:axId val="103456768"/>
      </c:barChart>
      <c:catAx>
        <c:axId val="103442688"/>
        <c:scaling>
          <c:orientation val="minMax"/>
        </c:scaling>
        <c:delete val="0"/>
        <c:axPos val="b"/>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03456768"/>
        <c:crosses val="autoZero"/>
        <c:auto val="1"/>
        <c:lblAlgn val="ctr"/>
        <c:lblOffset val="100"/>
        <c:noMultiLvlLbl val="0"/>
      </c:catAx>
      <c:valAx>
        <c:axId val="103456768"/>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03442688"/>
        <c:crosses val="autoZero"/>
        <c:crossBetween val="between"/>
      </c:valAx>
    </c:plotArea>
    <c:plotVisOnly val="1"/>
    <c:dispBlanksAs val="gap"/>
    <c:showDLblsOverMax val="0"/>
    <c:extLst>
      <c:ext uri="{0b15fc19-7d7d-44ad-8c2d-2c3a37ce22c3}">
        <chartProps xmlns="https://web.wps.cn/et/2018/main" chartId="{d581000e-1f18-452a-9548-e3739c5e4fff}"/>
      </c:ext>
    </c:extLst>
  </c:chart>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r>
              <a:rPr altLang="en-US" sz="1700"/>
              <a:t>一般公共预算财政拨款支出决算结构</a:t>
            </a:r>
            <a:endParaRPr altLang="en-US" sz="1700"/>
          </a:p>
        </c:rich>
      </c:tx>
      <c:layout>
        <c:manualLayout>
          <c:xMode val="edge"/>
          <c:yMode val="edge"/>
          <c:x val="0.118"/>
          <c:y val="0.0864197530864197"/>
        </c:manualLayout>
      </c:layout>
      <c:overlay val="0"/>
    </c:title>
    <c:autoTitleDeleted val="0"/>
    <c:view3D>
      <c:rotX val="30"/>
      <c:rotY val="0"/>
      <c:depthPercent val="100"/>
      <c:rAngAx val="0"/>
      <c:perspective val="30"/>
    </c:view3D>
    <c:floor>
      <c:thickness val="0"/>
    </c:floor>
    <c:sideWall>
      <c:thickness val="0"/>
    </c:sideWall>
    <c:backWall>
      <c:thickness val="0"/>
    </c:backWall>
    <c:plotArea>
      <c:layout/>
      <c:pie3DChart>
        <c:varyColors val="1"/>
        <c:ser>
          <c:idx val="0"/>
          <c:order val="0"/>
          <c:tx>
            <c:strRef>
              <c:f>[2024年决算图.xlsx]Sheet1!$B$100</c:f>
              <c:strCache>
                <c:ptCount val="1"/>
                <c:pt idx="0">
                  <c:v>一般公共预算财政拨款支出决算结构</c:v>
                </c:pt>
              </c:strCache>
            </c:strRef>
          </c:tx>
          <c:explosion val="0"/>
          <c:dPt>
            <c:idx val="0"/>
            <c:bubble3D val="0"/>
          </c:dPt>
          <c:dPt>
            <c:idx val="1"/>
            <c:bubble3D val="0"/>
          </c:dPt>
          <c:dPt>
            <c:idx val="2"/>
            <c:bubble3D val="0"/>
          </c:dPt>
          <c:dPt>
            <c:idx val="3"/>
            <c:bubble3D val="0"/>
          </c:dPt>
          <c:dPt>
            <c:idx val="4"/>
            <c:bubble3D val="0"/>
          </c:dPt>
          <c:dPt>
            <c:idx val="5"/>
            <c:bubble3D val="0"/>
          </c:dPt>
          <c:dPt>
            <c:idx val="6"/>
            <c:bubble3D val="0"/>
          </c:dPt>
          <c:dPt>
            <c:idx val="7"/>
            <c:bubble3D val="0"/>
          </c:dPt>
          <c:dLbls>
            <c:dLbl>
              <c:idx val="0"/>
              <c:layout>
                <c:manualLayout>
                  <c:x val="-0.0395833333333333"/>
                  <c:y val="-0.115473441108545"/>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114048775153106"/>
                  <c:y val="-0.0704818086393935"/>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0706052055993001"/>
                  <c:y val="-0.11633056958142"/>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0.203167104111986"/>
                  <c:y val="-0.0874249170066213"/>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0.152083333333333"/>
                  <c:y val="0.0046189376443418"/>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[2024年决算图.xlsx]Sheet1!$A$101:$A$108</c:f>
              <c:strCache>
                <c:ptCount val="8"/>
                <c:pt idx="0">
                  <c:v>一般公共服务支出</c:v>
                </c:pt>
                <c:pt idx="1">
                  <c:v>教育支出</c:v>
                </c:pt>
                <c:pt idx="2">
                  <c:v>社会保障和就业支出</c:v>
                </c:pt>
                <c:pt idx="3">
                  <c:v>卫生健康支出</c:v>
                </c:pt>
                <c:pt idx="4">
                  <c:v>农林水支出</c:v>
                </c:pt>
                <c:pt idx="5">
                  <c:v>自然资源海洋气象等支出</c:v>
                </c:pt>
                <c:pt idx="6">
                  <c:v>灾害防治及应急管理支出</c:v>
                </c:pt>
                <c:pt idx="7">
                  <c:v>住房保障支出</c:v>
                </c:pt>
              </c:strCache>
            </c:strRef>
          </c:cat>
          <c:val>
            <c:numRef>
              <c:f>[2024年决算图.xlsx]Sheet1!$B$101:$B$108</c:f>
              <c:numCache>
                <c:formatCode>General</c:formatCode>
                <c:ptCount val="8"/>
                <c:pt idx="1">
                  <c:v>0.48</c:v>
                </c:pt>
                <c:pt idx="2">
                  <c:v>89.66</c:v>
                </c:pt>
                <c:pt idx="3">
                  <c:v>36.95</c:v>
                </c:pt>
                <c:pt idx="4">
                  <c:v>408.57</c:v>
                </c:pt>
                <c:pt idx="5">
                  <c:v>3155.4</c:v>
                </c:pt>
                <c:pt idx="6">
                  <c:v>11384.98</c:v>
                </c:pt>
                <c:pt idx="7">
                  <c:v>1440.21</c:v>
                </c:pt>
              </c:numCache>
            </c:numRef>
          </c:val>
        </c:ser>
        <c:dLbls>
          <c:showLegendKey val="0"/>
          <c:showVal val="1"/>
          <c:showCatName val="0"/>
          <c:showSerName val="0"/>
          <c:showPercent val="0"/>
          <c:showBubbleSize val="0"/>
        </c:dLbls>
      </c:pie3D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extLst>
      <c:ext uri="{0b15fc19-7d7d-44ad-8c2d-2c3a37ce22c3}">
        <chartProps xmlns="https://web.wps.cn/et/2018/main" chartId="{1e540117-211a-4df9-aab6-09f41c6b997a}"/>
      </c:ext>
    </c:extLst>
  </c:chart>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spPr>
            <a:ln>
              <a:noFill/>
            </a:ln>
          </c:spPr>
          <c:explosion val="0"/>
          <c:dPt>
            <c:idx val="0"/>
            <c:bubble3D val="0"/>
            <c:spPr>
              <a:solidFill>
                <a:srgbClr val="4F81BD"/>
              </a:solidFill>
              <a:ln>
                <a:noFill/>
              </a:ln>
            </c:spPr>
          </c:dPt>
          <c:dPt>
            <c:idx val="1"/>
            <c:bubble3D val="0"/>
            <c:spPr>
              <a:solidFill>
                <a:srgbClr val="C0504D"/>
              </a:solidFill>
              <a:ln>
                <a:noFill/>
              </a:ln>
            </c:spPr>
          </c:dPt>
          <c:dPt>
            <c:idx val="2"/>
            <c:bubble3D val="0"/>
            <c:spPr>
              <a:solidFill>
                <a:srgbClr val="9BBB59"/>
              </a:solidFill>
              <a:ln>
                <a:noFill/>
              </a:ln>
            </c:spPr>
          </c:dPt>
          <c:dLbls>
            <c:dLbl>
              <c:idx val="0"/>
              <c:delete val="1"/>
            </c:dLbl>
            <c:dLbl>
              <c:idx val="1"/>
              <c:delete val="1"/>
            </c:dLbl>
            <c:dLbl>
              <c:idx val="2"/>
              <c:delete val="1"/>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panose="02010600030101010101" charset="-122"/>
                    <a:cs typeface="Lucida Sans"/>
                  </a:defRPr>
                </a:pPr>
              </a:p>
            </c:txPr>
            <c:dLblPos val="bestFit"/>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{"因公出国（境）费","公务用车购置及运行维护费","公务接待费"}</c:f>
              <c:strCache>
                <c:ptCount val="3"/>
                <c:pt idx="0">
                  <c:v>因公出国（境）费</c:v>
                </c:pt>
                <c:pt idx="1">
                  <c:v>公务用车购置及运行维护费</c:v>
                </c:pt>
                <c:pt idx="2">
                  <c:v>公务接待费</c:v>
                </c:pt>
              </c:strCache>
            </c:strRef>
          </c:cat>
          <c:val>
            <c:numRef>
              <c:f>{#N/A,1,0}</c:f>
              <c:numCache>
                <c:formatCode>General</c:formatCode>
                <c:ptCount val="3"/>
                <c:pt idx="1">
                  <c:v>1</c:v>
                </c:pt>
                <c:pt idx="2">
                  <c:v>0</c:v>
                </c:pt>
              </c:numCache>
            </c:numRef>
          </c:val>
        </c:ser>
        <c:dLbls>
          <c:showLegendKey val="0"/>
          <c:showVal val="0"/>
          <c:showCatName val="0"/>
          <c:showSerName val="0"/>
          <c:showPercent val="0"/>
          <c:showBubbleSize val="0"/>
          <c:showLeaderLines val="1"/>
        </c:dLbls>
        <c:firstSliceAng val="15"/>
      </c:pieChart>
      <c:spPr>
        <a:noFill/>
        <a:ln>
          <a:noFill/>
        </a:ln>
      </c:spPr>
    </c:plotArea>
    <c:legend>
      <c:legendPos val="r"/>
      <c:layout>
        <c:manualLayout>
          <c:xMode val="edge"/>
          <c:yMode val="edge"/>
          <c:x val="0.6583347"/>
          <c:y val="0.29513988"/>
          <c:w val="0.3229173"/>
          <c:h val="0.4166681"/>
        </c:manualLayout>
      </c:layout>
      <c:overlay val="0"/>
      <c:spPr>
        <a:noFill/>
        <a:ln>
          <a:noFill/>
        </a:ln>
      </c:spPr>
      <c:txPr>
        <a:bodyPr rot="0" spcFirstLastPara="0" vertOverflow="ellipsis" vert="horz" wrap="square" anchor="ctr" anchorCtr="1"/>
        <a:lstStyle/>
        <a:p>
          <a:pPr>
            <a:defRPr lang="zh-CN" sz="1000" b="0" i="0" u="none" strike="noStrike" kern="1200" baseline="0">
              <a:solidFill>
                <a:srgbClr val="000000"/>
              </a:solidFill>
              <a:latin typeface="Times New Roman" panose="02020603050405020304"/>
              <a:ea typeface="宋体" panose="02010600030101010101" charset="-122"/>
              <a:cs typeface="Lucida Sans"/>
            </a:defRPr>
          </a:pPr>
        </a:p>
      </c:txPr>
    </c:legend>
    <c:plotVisOnly val="1"/>
    <c:dispBlanksAs val="zero"/>
    <c:showDLblsOverMax val="0"/>
    <c:extLst>
      <c:ext uri="{0b15fc19-7d7d-44ad-8c2d-2c3a37ce22c3}">
        <chartProps xmlns="https://web.wps.cn/et/2018/main" chartId="{27bde51e-fee1-4ade-80f5-69f40f612246}"/>
      </c:ext>
    </c:extLst>
  </c:chart>
  <c:txPr>
    <a:bodyPr/>
    <a:lstStyle/>
    <a:p>
      <a:pPr>
        <a:defRPr lang="zh-CN" sz="1000" b="0" i="0" u="none" strike="noStrike" baseline="0">
          <a:solidFill>
            <a:srgbClr val="000000"/>
          </a:solidFill>
          <a:latin typeface="Times New Roman" panose="02020603050405020304"/>
          <a:ea typeface="宋体" panose="02010600030101010101" charset="-122"/>
          <a:cs typeface="Lucida Sans"/>
        </a:defRPr>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83">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212d6326-61f8-4684-b722-23d92b90c7dc}"/>
        <w:style w:val=""/>
        <w:category>
          <w:name w:val="常规"/>
          <w:gallery w:val="placeholder"/>
        </w:category>
        <w:types>
          <w:type w:val="bbPlcHdr"/>
        </w:types>
        <w:behaviors>
          <w:behavior w:val="content"/>
        </w:behaviors>
        <w:description w:val=""/>
        <w:guid w:val="{212d6326-61f8-4684-b722-23d92b90c7dc}"/>
      </w:docPartPr>
      <w:docPartBody>
        <w:p w14:paraId="7A86D0F1">
          <w:r>
            <w:rPr>
              <w:color w:val="808080"/>
            </w:rPr>
            <w:t>单击此处输入文字。</w:t>
          </w:r>
        </w:p>
      </w:docPartBody>
    </w:docPart>
    <w:docPart>
      <w:docPartPr>
        <w:name w:val="{978bb783-76da-4bf3-8534-ea0d51127530}"/>
        <w:style w:val=""/>
        <w:category>
          <w:name w:val="常规"/>
          <w:gallery w:val="placeholder"/>
        </w:category>
        <w:types>
          <w:type w:val="bbPlcHdr"/>
        </w:types>
        <w:behaviors>
          <w:behavior w:val="content"/>
        </w:behaviors>
        <w:description w:val=""/>
        <w:guid w:val="{978bb783-76da-4bf3-8534-ea0d51127530}"/>
      </w:docPartPr>
      <w:docPartBody>
        <w:p w14:paraId="41FA45B2">
          <w:r>
            <w:rPr>
              <w:color w:val="808080"/>
            </w:rPr>
            <w:t>单击此处输入文字。</w:t>
          </w:r>
        </w:p>
      </w:docPartBody>
    </w:docPart>
    <w:docPart>
      <w:docPartPr>
        <w:name w:val="{3add2ee3-7776-4b6f-90c7-337eec2ae5c1}"/>
        <w:style w:val=""/>
        <w:category>
          <w:name w:val="常规"/>
          <w:gallery w:val="placeholder"/>
        </w:category>
        <w:types>
          <w:type w:val="bbPlcHdr"/>
        </w:types>
        <w:behaviors>
          <w:behavior w:val="content"/>
        </w:behaviors>
        <w:description w:val=""/>
        <w:guid w:val="{3add2ee3-7776-4b6f-90c7-337eec2ae5c1}"/>
      </w:docPartPr>
      <w:docPartBody>
        <w:p w14:paraId="745E2032">
          <w:r>
            <w:rPr>
              <w:color w:val="808080"/>
            </w:rPr>
            <w:t>单击此处输入文字。</w:t>
          </w:r>
        </w:p>
      </w:docPartBody>
    </w:docPart>
    <w:docPart>
      <w:docPartPr>
        <w:name w:val="{76b71ce0-2d55-4c97-80ae-e79bbcde89bd}"/>
        <w:style w:val=""/>
        <w:category>
          <w:name w:val="常规"/>
          <w:gallery w:val="placeholder"/>
        </w:category>
        <w:types>
          <w:type w:val="bbPlcHdr"/>
        </w:types>
        <w:behaviors>
          <w:behavior w:val="content"/>
        </w:behaviors>
        <w:description w:val=""/>
        <w:guid w:val="{76b71ce0-2d55-4c97-80ae-e79bbcde89bd}"/>
      </w:docPartPr>
      <w:docPartBody>
        <w:p w14:paraId="5AD1D184">
          <w:r>
            <w:rPr>
              <w:color w:val="808080"/>
            </w:rPr>
            <w:t>单击此处输入文字。</w:t>
          </w:r>
        </w:p>
      </w:docPartBody>
    </w:docPart>
    <w:docPart>
      <w:docPartPr>
        <w:name w:val="{922dd4a5-fd7a-4793-bdf7-74f255e9e0fa}"/>
        <w:style w:val=""/>
        <w:category>
          <w:name w:val="常规"/>
          <w:gallery w:val="placeholder"/>
        </w:category>
        <w:types>
          <w:type w:val="bbPlcHdr"/>
        </w:types>
        <w:behaviors>
          <w:behavior w:val="content"/>
        </w:behaviors>
        <w:description w:val=""/>
        <w:guid w:val="{922dd4a5-fd7a-4793-bdf7-74f255e9e0fa}"/>
      </w:docPartPr>
      <w:docPartBody>
        <w:p w14:paraId="10C9004A">
          <w:r>
            <w:rPr>
              <w:color w:val="808080"/>
            </w:rPr>
            <w:t>单击此处输入文字。</w:t>
          </w:r>
        </w:p>
      </w:docPartBody>
    </w:docPart>
    <w:docPart>
      <w:docPartPr>
        <w:name w:val="{4190efa9-37a6-45f6-80db-9d9268ff0242}"/>
        <w:style w:val=""/>
        <w:category>
          <w:name w:val="常规"/>
          <w:gallery w:val="placeholder"/>
        </w:category>
        <w:types>
          <w:type w:val="bbPlcHdr"/>
        </w:types>
        <w:behaviors>
          <w:behavior w:val="content"/>
        </w:behaviors>
        <w:description w:val=""/>
        <w:guid w:val="{4190efa9-37a6-45f6-80db-9d9268ff0242}"/>
      </w:docPartPr>
      <w:docPartBody>
        <w:p w14:paraId="7D933DEB">
          <w:r>
            <w:rPr>
              <w:color w:val="808080"/>
            </w:rPr>
            <w:t>单击此处输入文字。</w:t>
          </w:r>
        </w:p>
      </w:docPartBody>
    </w:docPart>
    <w:docPart>
      <w:docPartPr>
        <w:name w:val="{8af3b4ff-a045-4ffe-be98-523b9396d676}"/>
        <w:style w:val=""/>
        <w:category>
          <w:name w:val="常规"/>
          <w:gallery w:val="placeholder"/>
        </w:category>
        <w:types>
          <w:type w:val="bbPlcHdr"/>
        </w:types>
        <w:behaviors>
          <w:behavior w:val="content"/>
        </w:behaviors>
        <w:description w:val=""/>
        <w:guid w:val="{8af3b4ff-a045-4ffe-be98-523b9396d676}"/>
      </w:docPartPr>
      <w:docPartBody>
        <w:p w14:paraId="278417F7">
          <w:r>
            <w:rPr>
              <w:color w:val="808080"/>
            </w:rPr>
            <w:t>单击此处输入文字。</w:t>
          </w:r>
        </w:p>
      </w:docPartBody>
    </w:docPart>
    <w:docPart>
      <w:docPartPr>
        <w:name w:val="{e0bfe996-4b05-4d3c-a2a1-36759673036f}"/>
        <w:style w:val=""/>
        <w:category>
          <w:name w:val="常规"/>
          <w:gallery w:val="placeholder"/>
        </w:category>
        <w:types>
          <w:type w:val="bbPlcHdr"/>
        </w:types>
        <w:behaviors>
          <w:behavior w:val="content"/>
        </w:behaviors>
        <w:description w:val=""/>
        <w:guid w:val="{e0bfe996-4b05-4d3c-a2a1-36759673036f}"/>
      </w:docPartPr>
      <w:docPartBody>
        <w:p w14:paraId="37307A22">
          <w:r>
            <w:rPr>
              <w:color w:val="808080"/>
            </w:rPr>
            <w:t>单击此处输入文字。</w:t>
          </w:r>
        </w:p>
      </w:docPartBody>
    </w:docPart>
    <w:docPart>
      <w:docPartPr>
        <w:name w:val="{1511e3f9-40ca-40f2-bab5-13a2a8706bb2}"/>
        <w:style w:val=""/>
        <w:category>
          <w:name w:val="常规"/>
          <w:gallery w:val="placeholder"/>
        </w:category>
        <w:types>
          <w:type w:val="bbPlcHdr"/>
        </w:types>
        <w:behaviors>
          <w:behavior w:val="content"/>
        </w:behaviors>
        <w:description w:val=""/>
        <w:guid w:val="{1511e3f9-40ca-40f2-bab5-13a2a8706bb2}"/>
      </w:docPartPr>
      <w:docPartBody>
        <w:p w14:paraId="2361A616">
          <w:r>
            <w:rPr>
              <w:color w:val="808080"/>
            </w:rPr>
            <w:t>单击此处输入文字。</w:t>
          </w:r>
        </w:p>
      </w:docPartBody>
    </w:docPart>
    <w:docPart>
      <w:docPartPr>
        <w:name w:val="{16754835-1264-4e3d-89dc-e051cfe96b9a}"/>
        <w:style w:val=""/>
        <w:category>
          <w:name w:val="常规"/>
          <w:gallery w:val="placeholder"/>
        </w:category>
        <w:types>
          <w:type w:val="bbPlcHdr"/>
        </w:types>
        <w:behaviors>
          <w:behavior w:val="content"/>
        </w:behaviors>
        <w:description w:val=""/>
        <w:guid w:val="{16754835-1264-4e3d-89dc-e051cfe96b9a}"/>
      </w:docPartPr>
      <w:docPartBody>
        <w:p w14:paraId="4ADC11D7">
          <w:r>
            <w:rPr>
              <w:color w:val="808080"/>
            </w:rPr>
            <w:t>单击此处输入文字。</w:t>
          </w:r>
        </w:p>
      </w:docPartBody>
    </w:docPart>
    <w:docPart>
      <w:docPartPr>
        <w:name w:val="{853a3ee3-bd28-4877-99b9-43f80775e27d}"/>
        <w:style w:val=""/>
        <w:category>
          <w:name w:val="常规"/>
          <w:gallery w:val="placeholder"/>
        </w:category>
        <w:types>
          <w:type w:val="bbPlcHdr"/>
        </w:types>
        <w:behaviors>
          <w:behavior w:val="content"/>
        </w:behaviors>
        <w:description w:val=""/>
        <w:guid w:val="{853a3ee3-bd28-4877-99b9-43f80775e27d}"/>
      </w:docPartPr>
      <w:docPartBody>
        <w:p w14:paraId="7203511C">
          <w:r>
            <w:rPr>
              <w:color w:val="808080"/>
            </w:rPr>
            <w:t>单击此处输入文字。</w:t>
          </w:r>
        </w:p>
      </w:docPartBody>
    </w:docPart>
    <w:docPart>
      <w:docPartPr>
        <w:name w:val="{83131f29-8fac-4c95-a935-4d00d189b07d}"/>
        <w:style w:val=""/>
        <w:category>
          <w:name w:val="常规"/>
          <w:gallery w:val="placeholder"/>
        </w:category>
        <w:types>
          <w:type w:val="bbPlcHdr"/>
        </w:types>
        <w:behaviors>
          <w:behavior w:val="content"/>
        </w:behaviors>
        <w:description w:val=""/>
        <w:guid w:val="{83131f29-8fac-4c95-a935-4d00d189b07d}"/>
      </w:docPartPr>
      <w:docPartBody>
        <w:p w14:paraId="39AF51B9">
          <w:r>
            <w:rPr>
              <w:color w:val="808080"/>
            </w:rPr>
            <w:t>单击此处输入文字。</w:t>
          </w:r>
        </w:p>
      </w:docPartBody>
    </w:docPart>
    <w:docPart>
      <w:docPartPr>
        <w:name w:val="{df0c68da-1dea-47e4-a1ff-ea6ced8e230e}"/>
        <w:style w:val=""/>
        <w:category>
          <w:name w:val="常规"/>
          <w:gallery w:val="placeholder"/>
        </w:category>
        <w:types>
          <w:type w:val="bbPlcHdr"/>
        </w:types>
        <w:behaviors>
          <w:behavior w:val="content"/>
        </w:behaviors>
        <w:description w:val=""/>
        <w:guid w:val="{df0c68da-1dea-47e4-a1ff-ea6ced8e230e}"/>
      </w:docPartPr>
      <w:docPartBody>
        <w:p w14:paraId="78BB5340">
          <w:r>
            <w:rPr>
              <w:color w:val="808080"/>
            </w:rPr>
            <w:t>单击此处输入文字。</w:t>
          </w:r>
        </w:p>
      </w:docPartBody>
    </w:docPart>
    <w:docPart>
      <w:docPartPr>
        <w:name w:val="{8c94ce60-84a4-428f-811e-4cbe687724f2}"/>
        <w:style w:val=""/>
        <w:category>
          <w:name w:val="常规"/>
          <w:gallery w:val="placeholder"/>
        </w:category>
        <w:types>
          <w:type w:val="bbPlcHdr"/>
        </w:types>
        <w:behaviors>
          <w:behavior w:val="content"/>
        </w:behaviors>
        <w:description w:val=""/>
        <w:guid w:val="{8c94ce60-84a4-428f-811e-4cbe687724f2}"/>
      </w:docPartPr>
      <w:docPartBody>
        <w:p w14:paraId="1B5512AC">
          <w:r>
            <w:rPr>
              <w:color w:val="808080"/>
            </w:rPr>
            <w:t>单击此处输入文字。</w:t>
          </w:r>
        </w:p>
      </w:docPartBody>
    </w:docPart>
    <w:docPart>
      <w:docPartPr>
        <w:name w:val="{087b45b4-279d-471c-b6e6-1aca82128cc0}"/>
        <w:style w:val=""/>
        <w:category>
          <w:name w:val="常规"/>
          <w:gallery w:val="placeholder"/>
        </w:category>
        <w:types>
          <w:type w:val="bbPlcHdr"/>
        </w:types>
        <w:behaviors>
          <w:behavior w:val="content"/>
        </w:behaviors>
        <w:description w:val=""/>
        <w:guid w:val="{087b45b4-279d-471c-b6e6-1aca82128cc0}"/>
      </w:docPartPr>
      <w:docPartBody>
        <w:p w14:paraId="1A50BE50">
          <w:r>
            <w:rPr>
              <w:color w:val="808080"/>
            </w:rPr>
            <w:t>单击此处输入文字。</w:t>
          </w:r>
        </w:p>
      </w:docPartBody>
    </w:docPart>
    <w:docPart>
      <w:docPartPr>
        <w:name w:val="{14e6872c-dfa9-4760-8dab-e2dedf9de8ac}"/>
        <w:style w:val=""/>
        <w:category>
          <w:name w:val="常规"/>
          <w:gallery w:val="placeholder"/>
        </w:category>
        <w:types>
          <w:type w:val="bbPlcHdr"/>
        </w:types>
        <w:behaviors>
          <w:behavior w:val="content"/>
        </w:behaviors>
        <w:description w:val=""/>
        <w:guid w:val="{14e6872c-dfa9-4760-8dab-e2dedf9de8ac}"/>
      </w:docPartPr>
      <w:docPartBody>
        <w:p w14:paraId="020D0A73">
          <w:r>
            <w:rPr>
              <w:color w:val="808080"/>
            </w:rPr>
            <w:t>单击此处输入文字。</w:t>
          </w:r>
        </w:p>
      </w:docPartBody>
    </w:docPart>
    <w:docPart>
      <w:docPartPr>
        <w:name w:val="{7a1105fe-c2a5-4d2f-a57d-5d60f33d1552}"/>
        <w:style w:val=""/>
        <w:category>
          <w:name w:val="常规"/>
          <w:gallery w:val="placeholder"/>
        </w:category>
        <w:types>
          <w:type w:val="bbPlcHdr"/>
        </w:types>
        <w:behaviors>
          <w:behavior w:val="content"/>
        </w:behaviors>
        <w:description w:val=""/>
        <w:guid w:val="{7a1105fe-c2a5-4d2f-a57d-5d60f33d1552}"/>
      </w:docPartPr>
      <w:docPartBody>
        <w:p w14:paraId="53CDAA0D">
          <w:r>
            <w:rPr>
              <w:color w:val="808080"/>
            </w:rPr>
            <w:t>单击此处输入文字。</w:t>
          </w:r>
        </w:p>
      </w:docPartBody>
    </w:docPart>
    <w:docPart>
      <w:docPartPr>
        <w:name w:val="{8f56b225-8e7a-4baf-aab6-422176be3380}"/>
        <w:style w:val=""/>
        <w:category>
          <w:name w:val="常规"/>
          <w:gallery w:val="placeholder"/>
        </w:category>
        <w:types>
          <w:type w:val="bbPlcHdr"/>
        </w:types>
        <w:behaviors>
          <w:behavior w:val="content"/>
        </w:behaviors>
        <w:description w:val=""/>
        <w:guid w:val="{8f56b225-8e7a-4baf-aab6-422176be3380}"/>
      </w:docPartPr>
      <w:docPartBody>
        <w:p w14:paraId="67192303">
          <w:r>
            <w:rPr>
              <w:color w:val="808080"/>
            </w:rPr>
            <w:t>单击此处输入文字。</w:t>
          </w:r>
        </w:p>
      </w:docPartBody>
    </w:docPart>
    <w:docPart>
      <w:docPartPr>
        <w:name w:val="{f69ac00e-be89-49ea-8595-9820787cd833}"/>
        <w:style w:val=""/>
        <w:category>
          <w:name w:val="常规"/>
          <w:gallery w:val="placeholder"/>
        </w:category>
        <w:types>
          <w:type w:val="bbPlcHdr"/>
        </w:types>
        <w:behaviors>
          <w:behavior w:val="content"/>
        </w:behaviors>
        <w:description w:val=""/>
        <w:guid w:val="{f69ac00e-be89-49ea-8595-9820787cd833}"/>
      </w:docPartPr>
      <w:docPartBody>
        <w:p w14:paraId="7859FE46">
          <w:r>
            <w:rPr>
              <w:color w:val="808080"/>
            </w:rPr>
            <w:t>单击此处输入文字。</w:t>
          </w:r>
        </w:p>
      </w:docPartBody>
    </w:docPart>
    <w:docPart>
      <w:docPartPr>
        <w:name w:val="{ef8322b0-bb82-49ed-9909-fab2c6a70652}"/>
        <w:style w:val=""/>
        <w:category>
          <w:name w:val="常规"/>
          <w:gallery w:val="placeholder"/>
        </w:category>
        <w:types>
          <w:type w:val="bbPlcHdr"/>
        </w:types>
        <w:behaviors>
          <w:behavior w:val="content"/>
        </w:behaviors>
        <w:description w:val=""/>
        <w:guid w:val="{ef8322b0-bb82-49ed-9909-fab2c6a70652}"/>
      </w:docPartPr>
      <w:docPartBody>
        <w:p w14:paraId="2463AF05">
          <w:r>
            <w:rPr>
              <w:color w:val="808080"/>
            </w:rPr>
            <w:t>单击此处输入文字。</w:t>
          </w:r>
        </w:p>
      </w:docPartBody>
    </w:docPart>
    <w:docPart>
      <w:docPartPr>
        <w:name w:val="{9ffbb2e9-e991-4f3d-a271-99a6b906c367}"/>
        <w:style w:val=""/>
        <w:category>
          <w:name w:val="常规"/>
          <w:gallery w:val="placeholder"/>
        </w:category>
        <w:types>
          <w:type w:val="bbPlcHdr"/>
        </w:types>
        <w:behaviors>
          <w:behavior w:val="content"/>
        </w:behaviors>
        <w:description w:val=""/>
        <w:guid w:val="{9ffbb2e9-e991-4f3d-a271-99a6b906c367}"/>
      </w:docPartPr>
      <w:docPartBody>
        <w:p w14:paraId="6F860CF4">
          <w:r>
            <w:rPr>
              <w:color w:val="808080"/>
            </w:rPr>
            <w:t>单击此处输入文字。</w:t>
          </w:r>
        </w:p>
      </w:docPartBody>
    </w:docPart>
    <w:docPart>
      <w:docPartPr>
        <w:name w:val="{26430d99-8c44-4447-a125-9677054e4a04}"/>
        <w:style w:val=""/>
        <w:category>
          <w:name w:val="常规"/>
          <w:gallery w:val="placeholder"/>
        </w:category>
        <w:types>
          <w:type w:val="bbPlcHdr"/>
        </w:types>
        <w:behaviors>
          <w:behavior w:val="content"/>
        </w:behaviors>
        <w:description w:val=""/>
        <w:guid w:val="{26430d99-8c44-4447-a125-9677054e4a04}"/>
      </w:docPartPr>
      <w:docPartBody>
        <w:p w14:paraId="5E5D7184">
          <w:r>
            <w:rPr>
              <w:color w:val="808080"/>
            </w:rPr>
            <w:t>单击此处输入文字。</w:t>
          </w:r>
        </w:p>
      </w:docPartBody>
    </w:docPart>
    <w:docPart>
      <w:docPartPr>
        <w:name w:val="{0ed9bf6b-7618-4b09-ae61-120c75638ec2}"/>
        <w:style w:val=""/>
        <w:category>
          <w:name w:val="常规"/>
          <w:gallery w:val="placeholder"/>
        </w:category>
        <w:types>
          <w:type w:val="bbPlcHdr"/>
        </w:types>
        <w:behaviors>
          <w:behavior w:val="content"/>
        </w:behaviors>
        <w:description w:val=""/>
        <w:guid w:val="{0ed9bf6b-7618-4b09-ae61-120c75638ec2}"/>
      </w:docPartPr>
      <w:docPartBody>
        <w:p w14:paraId="3593494D">
          <w:r>
            <w:rPr>
              <w:color w:val="808080"/>
            </w:rPr>
            <w:t>单击此处输入文字。</w:t>
          </w:r>
        </w:p>
      </w:docPartBody>
    </w:docPart>
    <w:docPart>
      <w:docPartPr>
        <w:name w:val="{e03d4ba9-ca02-4d84-81a0-aef7fe147b45}"/>
        <w:style w:val=""/>
        <w:category>
          <w:name w:val="常规"/>
          <w:gallery w:val="placeholder"/>
        </w:category>
        <w:types>
          <w:type w:val="bbPlcHdr"/>
        </w:types>
        <w:behaviors>
          <w:behavior w:val="content"/>
        </w:behaviors>
        <w:description w:val=""/>
        <w:guid w:val="{e03d4ba9-ca02-4d84-81a0-aef7fe147b45}"/>
      </w:docPartPr>
      <w:docPartBody>
        <w:p w14:paraId="5B2FBBA9">
          <w:r>
            <w:rPr>
              <w:color w:val="808080"/>
            </w:rPr>
            <w:t>单击此处输入文字。</w:t>
          </w:r>
        </w:p>
      </w:docPartBody>
    </w:docPart>
    <w:docPart>
      <w:docPartPr>
        <w:name w:val="{8362c71c-3ae9-4199-bdc3-20a85a4d5e29}"/>
        <w:style w:val=""/>
        <w:category>
          <w:name w:val="常规"/>
          <w:gallery w:val="placeholder"/>
        </w:category>
        <w:types>
          <w:type w:val="bbPlcHdr"/>
        </w:types>
        <w:behaviors>
          <w:behavior w:val="content"/>
        </w:behaviors>
        <w:description w:val=""/>
        <w:guid w:val="{8362c71c-3ae9-4199-bdc3-20a85a4d5e29}"/>
      </w:docPartPr>
      <w:docPartBody>
        <w:p w14:paraId="05531FC2">
          <w:r>
            <w:rPr>
              <w:color w:val="808080"/>
            </w:rPr>
            <w:t>单击此处输入文字。</w:t>
          </w:r>
        </w:p>
      </w:docPartBody>
    </w:docPart>
    <w:docPart>
      <w:docPartPr>
        <w:name w:val="{2880b0e1-f19e-40e5-9b3f-0e64f633c8ae}"/>
        <w:style w:val=""/>
        <w:category>
          <w:name w:val="常规"/>
          <w:gallery w:val="placeholder"/>
        </w:category>
        <w:types>
          <w:type w:val="bbPlcHdr"/>
        </w:types>
        <w:behaviors>
          <w:behavior w:val="content"/>
        </w:behaviors>
        <w:description w:val=""/>
        <w:guid w:val="{2880b0e1-f19e-40e5-9b3f-0e64f633c8ae}"/>
      </w:docPartPr>
      <w:docPartBody>
        <w:p w14:paraId="31D04E46">
          <w:r>
            <w:rPr>
              <w:color w:val="808080"/>
            </w:rPr>
            <w:t>单击此处输入文字。</w:t>
          </w:r>
        </w:p>
      </w:docPartBody>
    </w:docPart>
    <w:docPart>
      <w:docPartPr>
        <w:name w:val="{b253bc6c-9e86-4361-a4fd-3f1100c6eab3}"/>
        <w:style w:val=""/>
        <w:category>
          <w:name w:val="常规"/>
          <w:gallery w:val="placeholder"/>
        </w:category>
        <w:types>
          <w:type w:val="bbPlcHdr"/>
        </w:types>
        <w:behaviors>
          <w:behavior w:val="content"/>
        </w:behaviors>
        <w:description w:val=""/>
        <w:guid w:val="{b253bc6c-9e86-4361-a4fd-3f1100c6eab3}"/>
      </w:docPartPr>
      <w:docPartBody>
        <w:p w14:paraId="476AC138">
          <w:r>
            <w:rPr>
              <w:color w:val="808080"/>
            </w:rPr>
            <w:t>单击此处输入文字。</w:t>
          </w:r>
        </w:p>
      </w:docPartBody>
    </w:docPart>
    <w:docPart>
      <w:docPartPr>
        <w:name w:val="{71a63554-e119-4412-ac24-de618943e762}"/>
        <w:style w:val=""/>
        <w:category>
          <w:name w:val="常规"/>
          <w:gallery w:val="placeholder"/>
        </w:category>
        <w:types>
          <w:type w:val="bbPlcHdr"/>
        </w:types>
        <w:behaviors>
          <w:behavior w:val="content"/>
        </w:behaviors>
        <w:description w:val=""/>
        <w:guid w:val="{71a63554-e119-4412-ac24-de618943e762}"/>
      </w:docPartPr>
      <w:docPartBody>
        <w:p w14:paraId="51BFB259">
          <w:r>
            <w:rPr>
              <w:color w:val="808080"/>
            </w:rPr>
            <w:t>单击此处输入文字。</w:t>
          </w:r>
        </w:p>
      </w:docPartBody>
    </w:docPart>
    <w:docPart>
      <w:docPartPr>
        <w:name w:val="{dd71b175-274e-432f-8a72-05b2f939023a}"/>
        <w:style w:val=""/>
        <w:category>
          <w:name w:val="常规"/>
          <w:gallery w:val="placeholder"/>
        </w:category>
        <w:types>
          <w:type w:val="bbPlcHdr"/>
        </w:types>
        <w:behaviors>
          <w:behavior w:val="content"/>
        </w:behaviors>
        <w:description w:val=""/>
        <w:guid w:val="{dd71b175-274e-432f-8a72-05b2f939023a}"/>
      </w:docPartPr>
      <w:docPartBody>
        <w:p w14:paraId="4CB9FD02">
          <w:r>
            <w:rPr>
              <w:color w:val="808080"/>
            </w:rPr>
            <w:t>单击此处输入文字。</w:t>
          </w:r>
        </w:p>
      </w:docPartBody>
    </w:docPart>
    <w:docPart>
      <w:docPartPr>
        <w:name w:val="{b4470713-681f-460e-bc5d-4002950debe8}"/>
        <w:style w:val=""/>
        <w:category>
          <w:name w:val="常规"/>
          <w:gallery w:val="placeholder"/>
        </w:category>
        <w:types>
          <w:type w:val="bbPlcHdr"/>
        </w:types>
        <w:behaviors>
          <w:behavior w:val="content"/>
        </w:behaviors>
        <w:description w:val=""/>
        <w:guid w:val="{b4470713-681f-460e-bc5d-4002950debe8}"/>
      </w:docPartPr>
      <w:docPartBody>
        <w:p w14:paraId="139A1419">
          <w:r>
            <w:rPr>
              <w:color w:val="808080"/>
            </w:rPr>
            <w:t>单击此处输入文字。</w:t>
          </w:r>
        </w:p>
      </w:docPartBody>
    </w:docPart>
    <w:docPart>
      <w:docPartPr>
        <w:name w:val="{7fba4d30-7c31-4aa6-8d28-b1d54be0b9ad}"/>
        <w:style w:val=""/>
        <w:category>
          <w:name w:val="常规"/>
          <w:gallery w:val="placeholder"/>
        </w:category>
        <w:types>
          <w:type w:val="bbPlcHdr"/>
        </w:types>
        <w:behaviors>
          <w:behavior w:val="content"/>
        </w:behaviors>
        <w:description w:val=""/>
        <w:guid w:val="{7fba4d30-7c31-4aa6-8d28-b1d54be0b9ad}"/>
      </w:docPartPr>
      <w:docPartBody>
        <w:p w14:paraId="18BEA974">
          <w:r>
            <w:rPr>
              <w:color w:val="808080"/>
            </w:rPr>
            <w:t>单击此处输入文字。</w:t>
          </w:r>
        </w:p>
      </w:docPartBody>
    </w:docPart>
    <w:docPart>
      <w:docPartPr>
        <w:name w:val="{9c7b975b-09c6-473b-a5f0-9e883cd409f2}"/>
        <w:style w:val=""/>
        <w:category>
          <w:name w:val="常规"/>
          <w:gallery w:val="placeholder"/>
        </w:category>
        <w:types>
          <w:type w:val="bbPlcHdr"/>
        </w:types>
        <w:behaviors>
          <w:behavior w:val="content"/>
        </w:behaviors>
        <w:description w:val=""/>
        <w:guid w:val="{9c7b975b-09c6-473b-a5f0-9e883cd409f2}"/>
      </w:docPartPr>
      <w:docPartBody>
        <w:p w14:paraId="78614F57">
          <w:r>
            <w:rPr>
              <w:color w:val="808080"/>
            </w:rPr>
            <w:t>单击此处输入文字。</w:t>
          </w:r>
        </w:p>
      </w:docPartBody>
    </w:docPart>
    <w:docPart>
      <w:docPartPr>
        <w:name w:val="{75000ade-d3f1-414d-bed4-a47ae76c6c2a}"/>
        <w:style w:val=""/>
        <w:category>
          <w:name w:val="常规"/>
          <w:gallery w:val="placeholder"/>
        </w:category>
        <w:types>
          <w:type w:val="bbPlcHdr"/>
        </w:types>
        <w:behaviors>
          <w:behavior w:val="content"/>
        </w:behaviors>
        <w:description w:val=""/>
        <w:guid w:val="{75000ade-d3f1-414d-bed4-a47ae76c6c2a}"/>
      </w:docPartPr>
      <w:docPartBody>
        <w:p w14:paraId="16DF1BCA">
          <w:r>
            <w:rPr>
              <w:color w:val="808080"/>
            </w:rPr>
            <w:t>单击此处输入文字。</w:t>
          </w:r>
        </w:p>
      </w:docPartBody>
    </w:docPart>
    <w:docPart>
      <w:docPartPr>
        <w:name w:val="{4e74be7e-2543-4081-a598-0a6106e01513}"/>
        <w:style w:val=""/>
        <w:category>
          <w:name w:val="常规"/>
          <w:gallery w:val="placeholder"/>
        </w:category>
        <w:types>
          <w:type w:val="bbPlcHdr"/>
        </w:types>
        <w:behaviors>
          <w:behavior w:val="content"/>
        </w:behaviors>
        <w:description w:val=""/>
        <w:guid w:val="{4e74be7e-2543-4081-a598-0a6106e01513}"/>
      </w:docPartPr>
      <w:docPartBody>
        <w:p w14:paraId="722092F8">
          <w:r>
            <w:rPr>
              <w:color w:val="808080"/>
            </w:rPr>
            <w:t>单击此处输入文字。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compat>
    <w:useFELayout/>
    <w:splitPgBreakAndParaMark/>
    <w:compatSetting w:name="compatibilityMode" w:uri="http://schemas.microsoft.com/office/word" w:val="15"/>
  </w:compat>
  <w:rsids>
    <w:rsidRoot w:val="0000000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styl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四川省财政厅</Company>
  <Pages>35</Pages>
  <Words>13766</Words>
  <Characters>14799</Characters>
  <Lines>72</Lines>
  <Paragraphs>20</Paragraphs>
  <TotalTime>5</TotalTime>
  <ScaleCrop>false</ScaleCrop>
  <LinksUpToDate>false</LinksUpToDate>
  <CharactersWithSpaces>14947</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2024-08-05T07:12:00Z</dcterms:created>
  <dc:creator>曹颖</dc:creator>
  <cp:lastModifiedBy>俯仰的大宝A</cp:lastModifiedBy>
  <cp:lastPrinted>2023-08-03T10:35:00Z</cp:lastPrinted>
  <dcterms:modified xsi:type="dcterms:W3CDTF">2025-08-26T09:44:36Z</dcterms:modified>
  <dc:title>四川省***</dc:title>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KSOTemplateDocerSaveRecord">
    <vt:lpwstr>eyJoZGlkIjoiNWU0ODU5NWNjMTUyZDUzMWViZmI4NDQ3ZDQ2OGQ0ZmMiLCJ1c2VySWQiOiIyMDgxODYwNzIifQ==</vt:lpwstr>
  </property>
  <property fmtid="{D5CDD505-2E9C-101B-9397-08002B2CF9AE}" pid="4" name="ICV">
    <vt:lpwstr>609B6EC928D84A389EB96CF9EE09609B_12</vt:lpwstr>
  </property>
</Properties>
</file>