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自然资源局2024年部门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>
      <w:pPr>
        <w:pStyle w:val="7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635.96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，均严格按绩效管理要求实现项目绩效目标管理，其中重点项目预算1个，现将情况说明如下：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（一）做好国土空间编制工作，一是2024年将按照按需编制、应编尽编，启动12个村级片区国土空间总体规划编制工作；二是做好“两证一书”和宅基地、设施农用地审批工作。   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（二）扎实开展土地供应工作，根据相关规定做好土地供应、资产清查、集体土地所有权确权登记成果更新汇交、2023年度国土变更调查工作； 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（三）持续跟进地灾治理工作，进一步加快地质灾害防治项目进度，加快完成2024年项目建设内容，确保项目顺利实施。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（四）依法开展矿产资源工作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（五）有序推动征地拆迁工作，开展金江移民安置点、大渡河金川水电站金川县勒乌官寨居住区市政基础设施工程、安宁镇综合服务设施建设的征地工作。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（六）加大力度推进执法工作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（七）全力推动不动产登记工作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重点项目：不动产登记平台运行维护技术服务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pStyle w:val="12"/>
        <w:spacing w:line="560" w:lineRule="exact"/>
        <w:ind w:left="0" w:firstLine="640" w:firstLineChars="200"/>
        <w:jc w:val="center"/>
        <w:rPr>
          <w:rFonts w:hint="eastAsia" w:ascii="仿宋_GB2312"/>
          <w:u w:val="none"/>
          <w:lang w:val="en-US" w:eastAsia="zh-CN"/>
        </w:rPr>
      </w:pPr>
      <w:r>
        <w:rPr>
          <w:rFonts w:hint="eastAsia" w:ascii="仿宋_GB2312"/>
          <w:u w:val="none"/>
          <w:lang w:val="en-US" w:eastAsia="zh-CN"/>
        </w:rPr>
        <w:t>不动产登记平台运行维护相关服务</w:t>
      </w:r>
    </w:p>
    <w:p>
      <w:pPr>
        <w:pStyle w:val="12"/>
        <w:spacing w:line="560" w:lineRule="exact"/>
        <w:ind w:left="0" w:firstLine="640" w:firstLineChars="200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项目绩效目标表</w:t>
      </w:r>
    </w:p>
    <w:tbl>
      <w:tblPr>
        <w:tblStyle w:val="10"/>
        <w:tblpPr w:leftFromText="180" w:rightFromText="180" w:vertAnchor="text" w:horzAnchor="page" w:tblpX="1905" w:tblpY="112"/>
        <w:tblW w:w="8280" w:type="dxa"/>
        <w:tblInd w:w="-4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498"/>
        <w:gridCol w:w="3467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2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一级指标</w:t>
            </w:r>
          </w:p>
        </w:tc>
        <w:tc>
          <w:tcPr>
            <w:tcW w:w="149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二级指标</w:t>
            </w:r>
          </w:p>
        </w:tc>
        <w:tc>
          <w:tcPr>
            <w:tcW w:w="34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三级指标</w:t>
            </w:r>
          </w:p>
        </w:tc>
        <w:tc>
          <w:tcPr>
            <w:tcW w:w="1963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统一业务流程完成时限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统一登记平台完成时限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质量指标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不动产数据质量通过率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效益指标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社会效益指标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不动产登记数据对于群众的受益度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满意度指标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服务对象满意度指标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群众满意度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成本指标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经济成本指标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投入成本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≤6万元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数量指标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规划覆盖村数量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≤85个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4480" w:firstLineChars="14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方正仿宋_GBK"/>
          <w:color w:val="auto"/>
          <w:sz w:val="32"/>
          <w:szCs w:val="32"/>
          <w:lang w:val="en-US" w:eastAsia="zh-CN"/>
        </w:rPr>
        <w:t>2024年2月19日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4C041D25"/>
    <w:rsid w:val="622177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小标宋简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6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640" w:firstLineChars="200"/>
    </w:pPr>
    <w:rPr>
      <w:rFonts w:ascii="Times New Roman" w:hAnsi="Times New Roman" w:eastAsia="宋体" w:cs="Times New Roman"/>
      <w:color w:val="000000"/>
      <w:sz w:val="32"/>
      <w:szCs w:val="22"/>
    </w:rPr>
  </w:style>
  <w:style w:type="paragraph" w:styleId="3">
    <w:name w:val="Body Text Indent"/>
    <w:basedOn w:val="1"/>
    <w:qFormat/>
    <w:uiPriority w:val="0"/>
    <w:pPr>
      <w:adjustRightInd w:val="0"/>
      <w:snapToGrid w:val="0"/>
      <w:spacing w:line="360" w:lineRule="auto"/>
      <w:ind w:firstLine="560" w:firstLineChars="200"/>
    </w:pPr>
    <w:rPr>
      <w:rFonts w:ascii="仿宋_GB2312" w:eastAsia="仿宋_GB2312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2">
    <w:name w:val="NormalIndent"/>
    <w:next w:val="8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0</TotalTime>
  <ScaleCrop>false</ScaleCrop>
  <LinksUpToDate>false</LinksUpToDate>
  <CharactersWithSpaces>356</CharactersWithSpaces>
  <Application>WPS Office_11.1.0.8799_F1E327BC-269C-435d-A152-05C5408002CA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2024-03-08T03:20:52Z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