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b/>
          <w:sz w:val="72"/>
          <w:szCs w:val="72"/>
        </w:rPr>
      </w:pPr>
      <w:bookmarkStart w:id="0" w:name="_Toc15396475"/>
      <w:bookmarkStart w:id="1" w:name="_Toc15396597"/>
      <w:bookmarkStart w:id="2" w:name="_Toc15377193"/>
      <w:bookmarkStart w:id="3" w:name="_Toc15378441"/>
      <w:bookmarkStart w:id="4" w:name="_Toc15377425"/>
      <w:bookmarkStart w:id="5" w:name="_Toc15306267"/>
    </w:p>
    <w:p>
      <w:pPr>
        <w:pStyle w:val="2"/>
        <w:ind w:firstLine="0"/>
      </w:pPr>
    </w:p>
    <w:p>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2022</w:t>
      </w:r>
      <w:r>
        <w:rPr>
          <w:b/>
          <w:sz w:val="72"/>
          <w:u w:color="auto"/>
        </w:rPr>
        <w:t>年度</w:t>
      </w:r>
      <w:bookmarkEnd w:id="0"/>
      <w:bookmarkEnd w:id="1"/>
      <w:bookmarkEnd w:id="2"/>
      <w:bookmarkEnd w:id="3"/>
      <w:bookmarkEnd w:id="4"/>
    </w:p>
    <w:bookmarkEnd w:id="5"/>
    <w:p>
      <w:pPr>
        <w:jc w:val="center"/>
        <w:outlineLvl w:val="0"/>
        <w:rPr>
          <w:rFonts w:asciiTheme="minorEastAsia" w:hAnsiTheme="minorEastAsia" w:eastAsiaTheme="minorEastAsia"/>
          <w:b/>
          <w:sz w:val="72"/>
          <w:szCs w:val="72"/>
        </w:rPr>
      </w:pPr>
      <w:bookmarkStart w:id="6" w:name="_Toc15377194"/>
      <w:bookmarkStart w:id="7" w:name="_Toc15396598"/>
      <w:bookmarkStart w:id="8" w:name="_Toc15378442"/>
      <w:bookmarkStart w:id="9" w:name="_Toc15396476"/>
      <w:bookmarkStart w:id="10" w:name="_Toc15306268"/>
      <w:bookmarkStart w:id="11" w:name="_Toc15377426"/>
      <w:bookmarkStart w:id="12" w:name="_Toc16239"/>
      <w:r>
        <w:rPr>
          <w:rFonts w:asciiTheme="minorEastAsia" w:hAnsiTheme="minorEastAsia" w:eastAsiaTheme="minorEastAsia"/>
          <w:b/>
          <w:sz w:val="72"/>
          <w:szCs w:val="72"/>
        </w:rPr>
        <w:t>阿坝州金川县自然资源局</w:t>
      </w:r>
      <w:r>
        <w:rPr>
          <w:rFonts w:hint="eastAsia" w:asciiTheme="minorEastAsia" w:hAnsiTheme="minorEastAsia" w:eastAsiaTheme="minorEastAsia"/>
          <w:b/>
          <w:sz w:val="72"/>
          <w:szCs w:val="72"/>
        </w:rPr>
        <w:t>部门决算</w:t>
      </w:r>
      <w:bookmarkEnd w:id="6"/>
      <w:bookmarkEnd w:id="7"/>
      <w:bookmarkEnd w:id="8"/>
      <w:bookmarkEnd w:id="9"/>
      <w:bookmarkEnd w:id="10"/>
      <w:bookmarkEnd w:id="11"/>
      <w:r>
        <w:rPr>
          <w:rFonts w:hint="eastAsia" w:asciiTheme="minorEastAsia" w:hAnsiTheme="minorEastAsia" w:eastAsiaTheme="minorEastAsia"/>
          <w:b/>
          <w:sz w:val="72"/>
          <w:szCs w:val="72"/>
        </w:rPr>
        <w:t>编制说明</w:t>
      </w:r>
      <w:bookmarkEnd w:id="12"/>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tabs>
          <w:tab w:val="left" w:pos="3600"/>
        </w:tabs>
      </w:pPr>
      <w:r>
        <w:tab/>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保密审查情况：已审查，内容审定</w:t>
      </w:r>
    </w:p>
    <w:p>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部门主要负责人审签情况：已审签，同意对外公开</w:t>
      </w:r>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bookmarkStart w:id="13" w:name="_Toc15377196"/>
    </w:p>
    <w:p>
      <w:pPr>
        <w:pStyle w:val="12"/>
        <w:tabs>
          <w:tab w:val="right" w:leader="dot" w:pos="8306"/>
          <w:tab w:val="clear" w:pos="8296"/>
        </w:tabs>
      </w:pPr>
      <w:r>
        <w:rPr>
          <w:smallCaps/>
          <w:sz w:val="20"/>
          <w:szCs w:val="20"/>
        </w:rPr>
        <w:fldChar w:fldCharType="begin"/>
      </w:r>
      <w:r>
        <w:rPr>
          <w:smallCaps/>
          <w:sz w:val="20"/>
          <w:szCs w:val="20"/>
        </w:rPr>
        <w:instrText xml:space="preserve"> TOC \o "1-2" \h \z \u </w:instrText>
      </w:r>
      <w:r>
        <w:rPr>
          <w:smallCaps/>
          <w:sz w:val="20"/>
          <w:szCs w:val="20"/>
        </w:rPr>
        <w:fldChar w:fldCharType="separate"/>
      </w:r>
      <w:r>
        <w:rPr>
          <w:smallCaps/>
          <w:szCs w:val="20"/>
        </w:rPr>
        <w:fldChar w:fldCharType="begin"/>
      </w:r>
      <w:r>
        <w:rPr>
          <w:smallCaps/>
          <w:szCs w:val="20"/>
        </w:rPr>
        <w:instrText xml:space="preserve"> HYPERLINK \l _Toc16239 </w:instrText>
      </w:r>
      <w:r>
        <w:rPr>
          <w:smallCaps/>
          <w:szCs w:val="20"/>
        </w:rPr>
        <w:fldChar w:fldCharType="separate"/>
      </w:r>
      <w:r>
        <w:rPr>
          <w:rFonts w:asciiTheme="minorEastAsia" w:hAnsiTheme="minorEastAsia" w:eastAsiaTheme="minorEastAsia"/>
          <w:szCs w:val="72"/>
        </w:rPr>
        <w:t>阿坝州金川县自然资源局</w:t>
      </w:r>
      <w:r>
        <w:rPr>
          <w:rFonts w:hint="eastAsia" w:asciiTheme="minorEastAsia" w:hAnsiTheme="minorEastAsia" w:eastAsiaTheme="minorEastAsia"/>
          <w:szCs w:val="72"/>
        </w:rPr>
        <w:t>部门决算编制说明</w:t>
      </w:r>
      <w:r>
        <w:tab/>
      </w:r>
      <w:r>
        <w:fldChar w:fldCharType="begin"/>
      </w:r>
      <w:r>
        <w:instrText xml:space="preserve"> PAGEREF _Toc16239 \h </w:instrText>
      </w:r>
      <w:r>
        <w:fldChar w:fldCharType="separate"/>
      </w:r>
      <w:r>
        <w:t>1</w:t>
      </w:r>
      <w:r>
        <w:fldChar w:fldCharType="end"/>
      </w:r>
      <w:r>
        <w:rPr>
          <w:smallCaps/>
          <w:szCs w:val="20"/>
        </w:rPr>
        <w:fldChar w:fldCharType="end"/>
      </w:r>
    </w:p>
    <w:p>
      <w:pPr>
        <w:pStyle w:val="12"/>
        <w:tabs>
          <w:tab w:val="right" w:leader="dot" w:pos="8306"/>
          <w:tab w:val="clear" w:pos="8296"/>
        </w:tabs>
      </w:pPr>
      <w:r>
        <w:rPr>
          <w:smallCaps/>
          <w:szCs w:val="20"/>
        </w:rPr>
        <w:fldChar w:fldCharType="begin"/>
      </w:r>
      <w:r>
        <w:rPr>
          <w:smallCaps/>
          <w:szCs w:val="20"/>
        </w:rPr>
        <w:instrText xml:space="preserve"> HYPERLINK \l _Toc7925 </w:instrText>
      </w:r>
      <w:r>
        <w:rPr>
          <w:smallCaps/>
          <w:szCs w:val="20"/>
        </w:rPr>
        <w:fldChar w:fldCharType="separate"/>
      </w:r>
      <w:r>
        <w:rPr>
          <w:rFonts w:hint="eastAsia" w:ascii="黑体" w:hAnsi="黑体" w:eastAsia="黑体" w:cs="黑体"/>
        </w:rPr>
        <w:t xml:space="preserve">第一部分 </w:t>
      </w:r>
      <w:r>
        <w:rPr>
          <w:rFonts w:hint="eastAsia" w:ascii="黑体" w:hAnsi="黑体" w:eastAsia="黑体" w:cs="黑体"/>
          <w:bCs w:val="0"/>
        </w:rPr>
        <w:t>部门概况</w:t>
      </w:r>
      <w:r>
        <w:tab/>
      </w:r>
      <w:r>
        <w:fldChar w:fldCharType="begin"/>
      </w:r>
      <w:r>
        <w:instrText xml:space="preserve"> PAGEREF _Toc7925 \h </w:instrText>
      </w:r>
      <w:r>
        <w:fldChar w:fldCharType="separate"/>
      </w:r>
      <w:r>
        <w:t>3</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_Toc12118 </w:instrText>
      </w:r>
      <w:r>
        <w:rPr>
          <w:smallCaps/>
          <w:szCs w:val="20"/>
        </w:rPr>
        <w:fldChar w:fldCharType="separate"/>
      </w:r>
      <w:r>
        <w:rPr>
          <w:rFonts w:hint="eastAsia" w:ascii="黑体" w:eastAsia="黑体" w:cs="Times New Roman"/>
          <w:bCs w:val="0"/>
        </w:rPr>
        <w:t>一、部门职责</w:t>
      </w:r>
      <w:r>
        <w:tab/>
      </w:r>
      <w:r>
        <w:fldChar w:fldCharType="begin"/>
      </w:r>
      <w:r>
        <w:instrText xml:space="preserve"> PAGEREF _Toc12118 \h </w:instrText>
      </w:r>
      <w:r>
        <w:fldChar w:fldCharType="separate"/>
      </w:r>
      <w:r>
        <w:t>3</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_Toc1995 </w:instrText>
      </w:r>
      <w:r>
        <w:rPr>
          <w:smallCaps/>
          <w:szCs w:val="20"/>
        </w:rPr>
        <w:fldChar w:fldCharType="separate"/>
      </w:r>
      <w:r>
        <w:rPr>
          <w:rFonts w:hint="eastAsia" w:ascii="黑体" w:eastAsia="黑体" w:cs="Times New Roman"/>
          <w:bCs w:val="0"/>
        </w:rPr>
        <w:t>二、机构设置</w:t>
      </w:r>
      <w:r>
        <w:tab/>
      </w:r>
      <w:r>
        <w:fldChar w:fldCharType="begin"/>
      </w:r>
      <w:r>
        <w:instrText xml:space="preserve"> PAGEREF _Toc1995 \h </w:instrText>
      </w:r>
      <w:r>
        <w:fldChar w:fldCharType="separate"/>
      </w:r>
      <w:r>
        <w:t>7</w:t>
      </w:r>
      <w:r>
        <w:fldChar w:fldCharType="end"/>
      </w:r>
      <w:r>
        <w:rPr>
          <w:smallCaps/>
          <w:szCs w:val="20"/>
        </w:rPr>
        <w:fldChar w:fldCharType="end"/>
      </w:r>
    </w:p>
    <w:p>
      <w:pPr>
        <w:pStyle w:val="12"/>
        <w:tabs>
          <w:tab w:val="right" w:leader="dot" w:pos="8306"/>
          <w:tab w:val="clear" w:pos="8296"/>
        </w:tabs>
      </w:pPr>
      <w:r>
        <w:rPr>
          <w:smallCaps/>
          <w:szCs w:val="20"/>
        </w:rPr>
        <w:fldChar w:fldCharType="begin"/>
      </w:r>
      <w:r>
        <w:rPr>
          <w:smallCaps/>
          <w:szCs w:val="20"/>
        </w:rPr>
        <w:instrText xml:space="preserve"> HYPERLINK \l _Toc24149 </w:instrText>
      </w:r>
      <w:r>
        <w:rPr>
          <w:smallCaps/>
          <w:szCs w:val="20"/>
        </w:rPr>
        <w:fldChar w:fldCharType="separate"/>
      </w:r>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2022</w:t>
      </w:r>
      <w:r>
        <w:rPr>
          <w:rFonts w:ascii="黑体" w:hAnsi="黑体" w:eastAsia="黑体" w:cs="黑体"/>
        </w:rPr>
        <w:t>年度部门决算情况说明</w:t>
      </w:r>
      <w:r>
        <w:tab/>
      </w:r>
      <w:r>
        <w:fldChar w:fldCharType="begin"/>
      </w:r>
      <w:r>
        <w:instrText xml:space="preserve"> PAGEREF _Toc24149 \h </w:instrText>
      </w:r>
      <w:r>
        <w:fldChar w:fldCharType="separate"/>
      </w:r>
      <w:r>
        <w:t>8</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_Toc1257 </w:instrText>
      </w:r>
      <w:r>
        <w:rPr>
          <w:smallCaps/>
          <w:szCs w:val="20"/>
        </w:rPr>
        <w:fldChar w:fldCharType="separate"/>
      </w:r>
      <w:r>
        <w:rPr>
          <w:rFonts w:hint="eastAsia" w:ascii="黑体" w:eastAsia="黑体" w:cs="Times New Roman"/>
          <w:bCs w:val="0"/>
        </w:rPr>
        <w:t>一、收入支出决算总体情况说明</w:t>
      </w:r>
      <w:r>
        <w:tab/>
      </w:r>
      <w:r>
        <w:fldChar w:fldCharType="begin"/>
      </w:r>
      <w:r>
        <w:instrText xml:space="preserve"> PAGEREF _Toc1257 \h </w:instrText>
      </w:r>
      <w:r>
        <w:fldChar w:fldCharType="separate"/>
      </w:r>
      <w:r>
        <w:t>8</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_Toc29894 </w:instrText>
      </w:r>
      <w:r>
        <w:rPr>
          <w:smallCaps/>
          <w:szCs w:val="20"/>
        </w:rPr>
        <w:fldChar w:fldCharType="separate"/>
      </w:r>
      <w:r>
        <w:rPr>
          <w:rFonts w:hint="eastAsia" w:ascii="黑体" w:eastAsia="黑体" w:cs="Times New Roman"/>
          <w:bCs w:val="0"/>
        </w:rPr>
        <w:t>二、收入决算情况说明</w:t>
      </w:r>
      <w:r>
        <w:tab/>
      </w:r>
      <w:r>
        <w:fldChar w:fldCharType="begin"/>
      </w:r>
      <w:r>
        <w:instrText xml:space="preserve"> PAGEREF _Toc29894 \h </w:instrText>
      </w:r>
      <w:r>
        <w:fldChar w:fldCharType="separate"/>
      </w:r>
      <w:r>
        <w:t>8</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_Toc5079 </w:instrText>
      </w:r>
      <w:r>
        <w:rPr>
          <w:smallCaps/>
          <w:szCs w:val="20"/>
        </w:rPr>
        <w:fldChar w:fldCharType="separate"/>
      </w:r>
      <w:r>
        <w:rPr>
          <w:rFonts w:hint="eastAsia" w:ascii="黑体" w:eastAsia="黑体" w:cs="Times New Roman"/>
          <w:bCs w:val="0"/>
        </w:rPr>
        <w:t>三、支出决算情况说明</w:t>
      </w:r>
      <w:r>
        <w:tab/>
      </w:r>
      <w:r>
        <w:fldChar w:fldCharType="begin"/>
      </w:r>
      <w:r>
        <w:instrText xml:space="preserve"> PAGEREF _Toc5079 \h </w:instrText>
      </w:r>
      <w:r>
        <w:fldChar w:fldCharType="separate"/>
      </w:r>
      <w:r>
        <w:t>9</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_Toc24152 </w:instrText>
      </w:r>
      <w:r>
        <w:rPr>
          <w:smallCaps/>
          <w:szCs w:val="20"/>
        </w:rPr>
        <w:fldChar w:fldCharType="separate"/>
      </w:r>
      <w:r>
        <w:rPr>
          <w:rFonts w:hint="eastAsia" w:ascii="黑体" w:eastAsia="黑体" w:cs="Times New Roman"/>
          <w:bCs w:val="0"/>
        </w:rPr>
        <w:t>四、财政拨款收入支出决算总体情况说明</w:t>
      </w:r>
      <w:r>
        <w:tab/>
      </w:r>
      <w:r>
        <w:fldChar w:fldCharType="begin"/>
      </w:r>
      <w:r>
        <w:instrText xml:space="preserve"> PAGEREF _Toc24152 \h </w:instrText>
      </w:r>
      <w:r>
        <w:fldChar w:fldCharType="separate"/>
      </w:r>
      <w:r>
        <w:t>10</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_Toc27815 </w:instrText>
      </w:r>
      <w:r>
        <w:rPr>
          <w:smallCaps/>
          <w:szCs w:val="20"/>
        </w:rPr>
        <w:fldChar w:fldCharType="separate"/>
      </w:r>
      <w:r>
        <w:rPr>
          <w:rFonts w:hint="eastAsia" w:ascii="黑体" w:eastAsia="黑体" w:cs="Times New Roman"/>
          <w:bCs w:val="0"/>
        </w:rPr>
        <w:t>五、一般公共预算财政拨款支出决算情况说明</w:t>
      </w:r>
      <w:r>
        <w:tab/>
      </w:r>
      <w:r>
        <w:fldChar w:fldCharType="begin"/>
      </w:r>
      <w:r>
        <w:instrText xml:space="preserve"> PAGEREF _Toc27815 \h </w:instrText>
      </w:r>
      <w:r>
        <w:fldChar w:fldCharType="separate"/>
      </w:r>
      <w:r>
        <w:t>11</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_Toc2420 </w:instrText>
      </w:r>
      <w:r>
        <w:rPr>
          <w:smallCaps/>
          <w:szCs w:val="20"/>
        </w:rPr>
        <w:fldChar w:fldCharType="separate"/>
      </w:r>
      <w:r>
        <w:rPr>
          <w:rFonts w:hint="eastAsia" w:ascii="黑体" w:eastAsia="黑体" w:cs="Times New Roman"/>
          <w:bCs w:val="0"/>
        </w:rPr>
        <w:t>六、一般公共预算财政拨款基本支出决算情况说明</w:t>
      </w:r>
      <w:r>
        <w:tab/>
      </w:r>
      <w:r>
        <w:fldChar w:fldCharType="begin"/>
      </w:r>
      <w:r>
        <w:instrText xml:space="preserve"> PAGEREF _Toc2420 \h </w:instrText>
      </w:r>
      <w:r>
        <w:fldChar w:fldCharType="separate"/>
      </w:r>
      <w:r>
        <w:t>15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_Toc26708 </w:instrText>
      </w:r>
      <w:r>
        <w:rPr>
          <w:smallCaps/>
          <w:szCs w:val="20"/>
        </w:rPr>
        <w:fldChar w:fldCharType="separate"/>
      </w:r>
      <w:r>
        <w:rPr>
          <w:rFonts w:hint="eastAsia" w:ascii="黑体" w:eastAsia="黑体" w:cs="Times New Roman"/>
          <w:bCs w:val="0"/>
        </w:rPr>
        <w:t>七、“三公”经费财政拨款支出决算情况说明</w:t>
      </w:r>
      <w:r>
        <w:tab/>
      </w:r>
      <w:r>
        <w:fldChar w:fldCharType="begin"/>
      </w:r>
      <w:r>
        <w:instrText xml:space="preserve"> PAGEREF _Toc26708 \h </w:instrText>
      </w:r>
      <w:r>
        <w:fldChar w:fldCharType="separate"/>
      </w:r>
      <w:r>
        <w:t>15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_Toc18063 </w:instrText>
      </w:r>
      <w:r>
        <w:rPr>
          <w:smallCaps/>
          <w:szCs w:val="20"/>
        </w:rPr>
        <w:fldChar w:fldCharType="separate"/>
      </w:r>
      <w:r>
        <w:rPr>
          <w:rFonts w:hint="eastAsia" w:ascii="黑体" w:eastAsia="黑体" w:cs="Times New Roman"/>
          <w:bCs w:val="0"/>
        </w:rPr>
        <w:t>八、政府性基金预算支出决算情况说明</w:t>
      </w:r>
      <w:r>
        <w:tab/>
      </w:r>
      <w:r>
        <w:fldChar w:fldCharType="begin"/>
      </w:r>
      <w:r>
        <w:instrText xml:space="preserve"> PAGEREF _Toc18063 \h </w:instrText>
      </w:r>
      <w:r>
        <w:fldChar w:fldCharType="separate"/>
      </w:r>
      <w:r>
        <w:t>17</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_Toc11069 </w:instrText>
      </w:r>
      <w:r>
        <w:rPr>
          <w:smallCaps/>
          <w:szCs w:val="20"/>
        </w:rPr>
        <w:fldChar w:fldCharType="separate"/>
      </w:r>
      <w:r>
        <w:rPr>
          <w:rFonts w:hint="eastAsia" w:ascii="黑体" w:eastAsia="黑体" w:cs="Times New Roman"/>
          <w:bCs w:val="0"/>
        </w:rPr>
        <w:t>九、国有资本经营预算支出决算情况说明</w:t>
      </w:r>
      <w:r>
        <w:tab/>
      </w:r>
      <w:r>
        <w:fldChar w:fldCharType="begin"/>
      </w:r>
      <w:r>
        <w:instrText xml:space="preserve"> PAGEREF _Toc11069 \h </w:instrText>
      </w:r>
      <w:r>
        <w:fldChar w:fldCharType="separate"/>
      </w:r>
      <w:r>
        <w:t>17</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_Toc28488 </w:instrText>
      </w:r>
      <w:r>
        <w:rPr>
          <w:smallCaps/>
          <w:szCs w:val="20"/>
        </w:rPr>
        <w:fldChar w:fldCharType="separate"/>
      </w:r>
      <w:r>
        <w:rPr>
          <w:rFonts w:hint="eastAsia" w:ascii="黑体" w:eastAsia="黑体" w:cs="Times New Roman"/>
          <w:bCs w:val="0"/>
        </w:rPr>
        <w:t>十、其他重要事项的情况说明</w:t>
      </w:r>
      <w:r>
        <w:tab/>
      </w:r>
      <w:r>
        <w:fldChar w:fldCharType="begin"/>
      </w:r>
      <w:r>
        <w:instrText xml:space="preserve"> PAGEREF _Toc28488 \h </w:instrText>
      </w:r>
      <w:r>
        <w:fldChar w:fldCharType="separate"/>
      </w:r>
      <w:r>
        <w:t>17</w:t>
      </w:r>
      <w:r>
        <w:fldChar w:fldCharType="end"/>
      </w:r>
      <w:r>
        <w:rPr>
          <w:smallCaps/>
          <w:szCs w:val="20"/>
        </w:rPr>
        <w:fldChar w:fldCharType="end"/>
      </w:r>
    </w:p>
    <w:p>
      <w:pPr>
        <w:pStyle w:val="12"/>
        <w:tabs>
          <w:tab w:val="right" w:leader="dot" w:pos="8306"/>
          <w:tab w:val="clear" w:pos="8296"/>
        </w:tabs>
      </w:pPr>
      <w:r>
        <w:rPr>
          <w:smallCaps/>
          <w:szCs w:val="20"/>
        </w:rPr>
        <w:fldChar w:fldCharType="begin"/>
      </w:r>
      <w:r>
        <w:rPr>
          <w:smallCaps/>
          <w:szCs w:val="20"/>
        </w:rPr>
        <w:instrText xml:space="preserve"> HYPERLINK \l _Toc15447 </w:instrText>
      </w:r>
      <w:r>
        <w:rPr>
          <w:smallCaps/>
          <w:szCs w:val="20"/>
        </w:rPr>
        <w:fldChar w:fldCharType="separate"/>
      </w:r>
      <w:r>
        <w:rPr>
          <w:rFonts w:hint="eastAsia" w:ascii="黑体" w:hAnsi="黑体" w:eastAsia="黑体" w:cs="黑体"/>
        </w:rPr>
        <w:t>第三部分 名词解释</w:t>
      </w:r>
      <w:r>
        <w:tab/>
      </w:r>
      <w:r>
        <w:fldChar w:fldCharType="begin"/>
      </w:r>
      <w:r>
        <w:instrText xml:space="preserve"> PAGEREF _Toc15447 \h </w:instrText>
      </w:r>
      <w:r>
        <w:fldChar w:fldCharType="separate"/>
      </w:r>
      <w:r>
        <w:t>19</w:t>
      </w:r>
      <w:r>
        <w:fldChar w:fldCharType="end"/>
      </w:r>
      <w:r>
        <w:rPr>
          <w:smallCaps/>
          <w:szCs w:val="20"/>
        </w:rPr>
        <w:fldChar w:fldCharType="end"/>
      </w:r>
    </w:p>
    <w:p>
      <w:pPr>
        <w:pStyle w:val="12"/>
        <w:tabs>
          <w:tab w:val="right" w:leader="dot" w:pos="8306"/>
          <w:tab w:val="clear" w:pos="8296"/>
        </w:tabs>
      </w:pPr>
      <w:r>
        <w:rPr>
          <w:smallCaps/>
          <w:szCs w:val="20"/>
        </w:rPr>
        <w:fldChar w:fldCharType="begin"/>
      </w:r>
      <w:r>
        <w:rPr>
          <w:smallCaps/>
          <w:szCs w:val="20"/>
        </w:rPr>
        <w:instrText xml:space="preserve"> HYPERLINK \l _Toc31561 </w:instrText>
      </w:r>
      <w:r>
        <w:rPr>
          <w:smallCaps/>
          <w:szCs w:val="20"/>
        </w:rPr>
        <w:fldChar w:fldCharType="separate"/>
      </w:r>
      <w:r>
        <w:rPr>
          <w:rFonts w:hint="eastAsia" w:ascii="黑体" w:hAnsi="黑体" w:eastAsia="黑体" w:cs="黑体"/>
        </w:rPr>
        <w:t>第四部分 附件</w:t>
      </w:r>
      <w:r>
        <w:tab/>
      </w:r>
      <w:r>
        <w:fldChar w:fldCharType="begin"/>
      </w:r>
      <w:r>
        <w:instrText xml:space="preserve"> PAGEREF _Toc31561 \h </w:instrText>
      </w:r>
      <w:r>
        <w:fldChar w:fldCharType="separate"/>
      </w:r>
      <w:r>
        <w:t>24</w:t>
      </w:r>
      <w:r>
        <w:fldChar w:fldCharType="end"/>
      </w:r>
      <w:r>
        <w:rPr>
          <w:smallCaps/>
          <w:szCs w:val="20"/>
        </w:rPr>
        <w:fldChar w:fldCharType="end"/>
      </w:r>
    </w:p>
    <w:p>
      <w:pPr>
        <w:pStyle w:val="12"/>
        <w:tabs>
          <w:tab w:val="right" w:leader="dot" w:pos="8306"/>
          <w:tab w:val="clear" w:pos="8296"/>
        </w:tabs>
      </w:pPr>
      <w:r>
        <w:rPr>
          <w:smallCaps/>
          <w:szCs w:val="20"/>
        </w:rPr>
        <w:fldChar w:fldCharType="begin"/>
      </w:r>
      <w:r>
        <w:rPr>
          <w:smallCaps/>
          <w:szCs w:val="20"/>
        </w:rPr>
        <w:instrText xml:space="preserve"> HYPERLINK \l _Toc14088 </w:instrText>
      </w:r>
      <w:r>
        <w:rPr>
          <w:smallCaps/>
          <w:szCs w:val="20"/>
        </w:rPr>
        <w:fldChar w:fldCharType="separate"/>
      </w:r>
      <w:r>
        <w:rPr>
          <w:rFonts w:hint="eastAsia" w:ascii="黑体" w:hAnsi="黑体" w:eastAsia="黑体" w:cs="黑体"/>
        </w:rPr>
        <w:t>第五部分 附表</w:t>
      </w:r>
      <w:r>
        <w:tab/>
      </w:r>
      <w:r>
        <w:fldChar w:fldCharType="begin"/>
      </w:r>
      <w:r>
        <w:instrText xml:space="preserve"> PAGEREF _Toc14088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_Toc6456 </w:instrText>
      </w:r>
      <w:r>
        <w:rPr>
          <w:smallCaps/>
          <w:szCs w:val="20"/>
        </w:rPr>
        <w:fldChar w:fldCharType="separate"/>
      </w:r>
      <w:r>
        <w:rPr>
          <w:rFonts w:hint="eastAsia" w:ascii="黑体" w:eastAsia="黑体" w:cs="Times New Roman"/>
          <w:bCs w:val="0"/>
        </w:rPr>
        <w:t>一、收入支出决算总表</w:t>
      </w:r>
      <w:r>
        <w:tab/>
      </w:r>
      <w:r>
        <w:fldChar w:fldCharType="begin"/>
      </w:r>
      <w:r>
        <w:instrText xml:space="preserve"> PAGEREF _Toc6456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_Toc29903 </w:instrText>
      </w:r>
      <w:r>
        <w:rPr>
          <w:smallCaps/>
          <w:szCs w:val="20"/>
        </w:rPr>
        <w:fldChar w:fldCharType="separate"/>
      </w:r>
      <w:r>
        <w:rPr>
          <w:rFonts w:hint="eastAsia" w:ascii="黑体" w:eastAsia="黑体" w:cs="Times New Roman"/>
          <w:bCs w:val="0"/>
        </w:rPr>
        <w:t>二、收入决算表</w:t>
      </w:r>
      <w:r>
        <w:tab/>
      </w:r>
      <w:r>
        <w:fldChar w:fldCharType="begin"/>
      </w:r>
      <w:r>
        <w:instrText xml:space="preserve"> PAGEREF _Toc29903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_Toc21573 </w:instrText>
      </w:r>
      <w:r>
        <w:rPr>
          <w:smallCaps/>
          <w:szCs w:val="20"/>
        </w:rPr>
        <w:fldChar w:fldCharType="separate"/>
      </w:r>
      <w:r>
        <w:rPr>
          <w:rFonts w:hint="eastAsia" w:ascii="黑体" w:eastAsia="黑体" w:cs="Times New Roman"/>
          <w:bCs w:val="0"/>
        </w:rPr>
        <w:t>三、支出决算表</w:t>
      </w:r>
      <w:r>
        <w:tab/>
      </w:r>
      <w:r>
        <w:fldChar w:fldCharType="begin"/>
      </w:r>
      <w:r>
        <w:instrText xml:space="preserve"> PAGEREF _Toc21573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_Toc13597 </w:instrText>
      </w:r>
      <w:r>
        <w:rPr>
          <w:smallCaps/>
          <w:szCs w:val="20"/>
        </w:rPr>
        <w:fldChar w:fldCharType="separate"/>
      </w:r>
      <w:r>
        <w:rPr>
          <w:rFonts w:hint="eastAsia" w:ascii="黑体" w:eastAsia="黑体" w:cs="Times New Roman"/>
          <w:bCs w:val="0"/>
        </w:rPr>
        <w:t>四、财政拨款收入支出决算总表</w:t>
      </w:r>
      <w:r>
        <w:tab/>
      </w:r>
      <w:r>
        <w:fldChar w:fldCharType="begin"/>
      </w:r>
      <w:r>
        <w:instrText xml:space="preserve"> PAGEREF _Toc13597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_Toc21273 </w:instrText>
      </w:r>
      <w:r>
        <w:rPr>
          <w:smallCaps/>
          <w:szCs w:val="20"/>
        </w:rPr>
        <w:fldChar w:fldCharType="separate"/>
      </w:r>
      <w:r>
        <w:rPr>
          <w:rFonts w:hint="eastAsia" w:ascii="黑体" w:eastAsia="黑体" w:cs="Times New Roman"/>
          <w:bCs w:val="0"/>
        </w:rPr>
        <w:t>五、财政拨款支出决算明细表</w:t>
      </w:r>
      <w:r>
        <w:tab/>
      </w:r>
      <w:r>
        <w:fldChar w:fldCharType="begin"/>
      </w:r>
      <w:r>
        <w:instrText xml:space="preserve"> PAGEREF _Toc21273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_Toc15630 </w:instrText>
      </w:r>
      <w:r>
        <w:rPr>
          <w:smallCaps/>
          <w:szCs w:val="20"/>
        </w:rPr>
        <w:fldChar w:fldCharType="separate"/>
      </w:r>
      <w:r>
        <w:rPr>
          <w:rFonts w:hint="eastAsia" w:ascii="黑体" w:eastAsia="黑体" w:cs="Times New Roman"/>
          <w:bCs w:val="0"/>
        </w:rPr>
        <w:t>六、一般公共预算财政拨款支出决算表</w:t>
      </w:r>
      <w:r>
        <w:tab/>
      </w:r>
      <w:r>
        <w:fldChar w:fldCharType="begin"/>
      </w:r>
      <w:r>
        <w:instrText xml:space="preserve"> PAGEREF _Toc15630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_Toc25382 </w:instrText>
      </w:r>
      <w:r>
        <w:rPr>
          <w:smallCaps/>
          <w:szCs w:val="20"/>
        </w:rPr>
        <w:fldChar w:fldCharType="separate"/>
      </w:r>
      <w:r>
        <w:rPr>
          <w:rFonts w:hint="eastAsia" w:ascii="黑体" w:eastAsia="黑体" w:cs="Times New Roman"/>
          <w:bCs w:val="0"/>
        </w:rPr>
        <w:t>七、一般公共预算财政拨款支出决算明细表</w:t>
      </w:r>
      <w:r>
        <w:tab/>
      </w:r>
      <w:r>
        <w:fldChar w:fldCharType="begin"/>
      </w:r>
      <w:r>
        <w:instrText xml:space="preserve"> PAGEREF _Toc25382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_Toc30184 </w:instrText>
      </w:r>
      <w:r>
        <w:rPr>
          <w:smallCaps/>
          <w:szCs w:val="20"/>
        </w:rPr>
        <w:fldChar w:fldCharType="separate"/>
      </w:r>
      <w:r>
        <w:rPr>
          <w:rFonts w:hint="eastAsia" w:ascii="黑体" w:eastAsia="黑体" w:cs="Times New Roman"/>
          <w:bCs w:val="0"/>
        </w:rPr>
        <w:t>八、一般公共预算财政拨款基本支出决算表</w:t>
      </w:r>
      <w:r>
        <w:tab/>
      </w:r>
      <w:r>
        <w:fldChar w:fldCharType="begin"/>
      </w:r>
      <w:r>
        <w:instrText xml:space="preserve"> PAGEREF _Toc30184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_Toc23476 </w:instrText>
      </w:r>
      <w:r>
        <w:rPr>
          <w:smallCaps/>
          <w:szCs w:val="20"/>
        </w:rPr>
        <w:fldChar w:fldCharType="separate"/>
      </w:r>
      <w:r>
        <w:rPr>
          <w:rFonts w:hint="eastAsia" w:ascii="黑体" w:eastAsia="黑体" w:cs="Times New Roman"/>
          <w:bCs w:val="0"/>
        </w:rPr>
        <w:t>九、一般公共预算财政拨款项目支出决算表</w:t>
      </w:r>
      <w:r>
        <w:tab/>
      </w:r>
      <w:r>
        <w:fldChar w:fldCharType="begin"/>
      </w:r>
      <w:r>
        <w:instrText xml:space="preserve"> PAGEREF _Toc23476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_Toc2181 </w:instrText>
      </w:r>
      <w:r>
        <w:rPr>
          <w:smallCaps/>
          <w:szCs w:val="20"/>
        </w:rPr>
        <w:fldChar w:fldCharType="separate"/>
      </w:r>
      <w:r>
        <w:rPr>
          <w:rFonts w:hint="eastAsia" w:ascii="黑体" w:eastAsia="黑体" w:cs="Times New Roman"/>
          <w:bCs w:val="0"/>
        </w:rPr>
        <w:t>十、一般公共预算财政拨款“三公”经费支出决算表</w:t>
      </w:r>
      <w:r>
        <w:tab/>
      </w:r>
      <w:r>
        <w:fldChar w:fldCharType="begin"/>
      </w:r>
      <w:r>
        <w:instrText xml:space="preserve"> PAGEREF _Toc2181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_Toc32289 </w:instrText>
      </w:r>
      <w:r>
        <w:rPr>
          <w:smallCaps/>
          <w:szCs w:val="20"/>
        </w:rPr>
        <w:fldChar w:fldCharType="separate"/>
      </w:r>
      <w:r>
        <w:rPr>
          <w:rFonts w:hint="eastAsia" w:ascii="黑体" w:eastAsia="黑体" w:cs="Times New Roman"/>
          <w:bCs w:val="0"/>
        </w:rPr>
        <w:t>十一、政府性基金预算财政拨款收入支出决算表</w:t>
      </w:r>
      <w:r>
        <w:tab/>
      </w:r>
      <w:r>
        <w:fldChar w:fldCharType="begin"/>
      </w:r>
      <w:r>
        <w:instrText xml:space="preserve"> PAGEREF _Toc32289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_Toc9491 </w:instrText>
      </w:r>
      <w:r>
        <w:rPr>
          <w:smallCaps/>
          <w:szCs w:val="20"/>
        </w:rPr>
        <w:fldChar w:fldCharType="separate"/>
      </w:r>
      <w:r>
        <w:rPr>
          <w:rFonts w:hint="eastAsia" w:ascii="黑体" w:eastAsia="黑体" w:cs="Times New Roman"/>
          <w:bCs w:val="0"/>
        </w:rPr>
        <w:t>十二、政府性基金预算财政拨款“三公”经费支出决算表</w:t>
      </w:r>
      <w:r>
        <w:tab/>
      </w:r>
      <w:r>
        <w:fldChar w:fldCharType="begin"/>
      </w:r>
      <w:r>
        <w:instrText xml:space="preserve"> PAGEREF _Toc9491 \h </w:instrText>
      </w:r>
      <w:r>
        <w:fldChar w:fldCharType="separate"/>
      </w:r>
      <w:r>
        <w:t>25</w:t>
      </w:r>
      <w:r>
        <w:fldChar w:fldCharType="end"/>
      </w:r>
      <w:r>
        <w:rPr>
          <w:smallCaps/>
          <w:szCs w:val="20"/>
        </w:rPr>
        <w:fldChar w:fldCharType="end"/>
      </w:r>
    </w:p>
    <w:p>
      <w:pPr>
        <w:pStyle w:val="14"/>
        <w:tabs>
          <w:tab w:val="right" w:leader="dot" w:pos="8306"/>
          <w:tab w:val="clear" w:pos="8296"/>
        </w:tabs>
      </w:pPr>
      <w:r>
        <w:rPr>
          <w:smallCaps/>
          <w:szCs w:val="20"/>
        </w:rPr>
        <w:fldChar w:fldCharType="begin"/>
      </w:r>
      <w:r>
        <w:rPr>
          <w:smallCaps/>
          <w:szCs w:val="20"/>
        </w:rPr>
        <w:instrText xml:space="preserve"> HYPERLINK \l _Toc25885 </w:instrText>
      </w:r>
      <w:r>
        <w:rPr>
          <w:smallCaps/>
          <w:szCs w:val="20"/>
        </w:rPr>
        <w:fldChar w:fldCharType="separate"/>
      </w:r>
      <w:r>
        <w:rPr>
          <w:rFonts w:hint="eastAsia" w:ascii="黑体" w:eastAsia="黑体" w:cs="Times New Roman"/>
          <w:bCs w:val="0"/>
        </w:rPr>
        <w:t>十三、国有资本经营预算财政拨款收入支出决算表</w:t>
      </w:r>
      <w:bookmarkStart w:id="129" w:name="_GoBack"/>
      <w:bookmarkEnd w:id="129"/>
      <w:r>
        <w:tab/>
      </w:r>
      <w:r>
        <w:fldChar w:fldCharType="begin"/>
      </w:r>
      <w:r>
        <w:instrText xml:space="preserve"> PAGEREF _Toc25885 \h </w:instrText>
      </w:r>
      <w:r>
        <w:fldChar w:fldCharType="separate"/>
      </w:r>
      <w:r>
        <w:t>25</w:t>
      </w:r>
      <w:r>
        <w:fldChar w:fldCharType="end"/>
      </w:r>
      <w:r>
        <w:rPr>
          <w:smallCaps/>
          <w:szCs w:val="20"/>
        </w:rPr>
        <w:fldChar w:fldCharType="end"/>
      </w:r>
    </w:p>
    <w:p>
      <w:pPr>
        <w:pStyle w:val="2"/>
      </w:pPr>
      <w:r>
        <w:rPr>
          <w:smallCaps/>
          <w:szCs w:val="20"/>
        </w:rPr>
        <w:fldChar w:fldCharType="end"/>
      </w:r>
    </w:p>
    <w:p>
      <w:pPr>
        <w:pStyle w:val="3"/>
        <w:jc w:val="center"/>
        <w:rPr>
          <w:rFonts w:ascii="黑体" w:hAnsi="黑体" w:eastAsia="黑体" w:cs="黑体"/>
          <w:b w:val="0"/>
          <w:bCs w:val="0"/>
        </w:rPr>
      </w:pPr>
      <w:bookmarkStart w:id="14" w:name="_Toc111208495"/>
      <w:bookmarkStart w:id="15" w:name="_Toc7925"/>
      <w:r>
        <w:rPr>
          <w:rFonts w:hint="eastAsia" w:ascii="黑体" w:hAnsi="黑体" w:eastAsia="黑体" w:cs="黑体"/>
        </w:rPr>
        <w:t xml:space="preserve">第一部分 </w:t>
      </w:r>
      <w:r>
        <w:rPr>
          <w:rStyle w:val="28"/>
          <w:rFonts w:hint="eastAsia" w:ascii="黑体" w:hAnsi="黑体" w:eastAsia="黑体" w:cs="黑体"/>
          <w:b/>
          <w:bCs w:val="0"/>
        </w:rPr>
        <w:t>部门概况</w:t>
      </w:r>
      <w:bookmarkEnd w:id="13"/>
      <w:bookmarkEnd w:id="14"/>
      <w:bookmarkEnd w:id="15"/>
    </w:p>
    <w:p>
      <w:pPr>
        <w:pStyle w:val="4"/>
        <w:ind w:firstLine="643" w:firstLineChars="200"/>
        <w:rPr>
          <w:rFonts w:ascii="黑体" w:eastAsia="黑体" w:cs="Times New Roman"/>
          <w:bCs w:val="0"/>
          <w:color w:val="000000"/>
        </w:rPr>
      </w:pPr>
      <w:bookmarkStart w:id="16" w:name="_Toc15377197"/>
      <w:bookmarkStart w:id="17" w:name="_Toc111208496"/>
      <w:bookmarkStart w:id="18" w:name="_Toc12118"/>
      <w:r>
        <w:rPr>
          <w:rFonts w:hint="eastAsia" w:ascii="黑体" w:eastAsia="黑体" w:cs="Times New Roman"/>
          <w:bCs w:val="0"/>
          <w:color w:val="000000"/>
        </w:rPr>
        <w:t>一、</w:t>
      </w:r>
      <w:bookmarkEnd w:id="16"/>
      <w:bookmarkEnd w:id="17"/>
      <w:bookmarkStart w:id="19" w:name="_Toc15377198"/>
      <w:bookmarkStart w:id="20" w:name="_Toc15378445"/>
      <w:r>
        <w:rPr>
          <w:rFonts w:hint="eastAsia" w:ascii="黑体" w:eastAsia="黑体" w:cs="Times New Roman"/>
          <w:bCs w:val="0"/>
          <w:color w:val="000000"/>
        </w:rPr>
        <w:t>部门职责</w:t>
      </w:r>
      <w:bookmarkEnd w:id="18"/>
    </w:p>
    <w:bookmarkEnd w:id="19"/>
    <w:bookmarkEnd w:id="20"/>
    <w:p>
      <w:pPr>
        <w:rPr>
          <w:rFonts w:ascii="仿宋" w:hAnsi="仿宋" w:eastAsia="仿宋"/>
          <w:color w:val="000000"/>
          <w:sz w:val="32"/>
          <w:szCs w:val="32"/>
        </w:rPr>
      </w:pPr>
      <w:r>
        <w:rPr>
          <w:rFonts w:ascii="仿宋" w:hAnsi="仿宋" w:eastAsia="仿宋"/>
          <w:color w:val="000000"/>
          <w:sz w:val="32"/>
          <w:szCs w:val="32"/>
        </w:rPr>
        <w:cr/>
      </w:r>
      <w:r>
        <w:rPr>
          <w:rFonts w:ascii="仿宋" w:hAnsi="仿宋" w:eastAsia="仿宋"/>
          <w:color w:val="000000"/>
          <w:sz w:val="32"/>
          <w:szCs w:val="32"/>
        </w:rPr>
        <w:t>金川县自然资源局主要职能有：</w:t>
      </w:r>
      <w:r>
        <w:rPr>
          <w:rFonts w:ascii="仿宋" w:hAnsi="仿宋" w:eastAsia="仿宋"/>
          <w:color w:val="000000"/>
          <w:sz w:val="32"/>
          <w:szCs w:val="32"/>
        </w:rPr>
        <w:cr/>
      </w:r>
      <w:r>
        <w:rPr>
          <w:rFonts w:ascii="仿宋" w:hAnsi="仿宋" w:eastAsia="仿宋"/>
          <w:color w:val="000000"/>
          <w:sz w:val="32"/>
          <w:szCs w:val="32"/>
        </w:rPr>
        <w:t>(1)贯彻执行国家、省、州有关国土资源的调控政策、措施和法律、法规，承担保护与合理利用土地资源、矿产资源及地质灾害防治的责任。编制全县国土资源发展战略和规划并组织实施，研究提出全县国土资源供需总量平衡的政策建议，编制并组织实施全县国土规划和国土资源领域资源节约集约利用、循环经济的政策措施。</w:t>
      </w:r>
      <w:r>
        <w:rPr>
          <w:rFonts w:ascii="仿宋" w:hAnsi="仿宋" w:eastAsia="仿宋"/>
          <w:color w:val="000000"/>
          <w:sz w:val="32"/>
          <w:szCs w:val="32"/>
        </w:rPr>
        <w:cr/>
      </w:r>
      <w:r>
        <w:rPr>
          <w:rFonts w:ascii="仿宋" w:hAnsi="仿宋" w:eastAsia="仿宋"/>
          <w:color w:val="000000"/>
          <w:sz w:val="32"/>
          <w:szCs w:val="32"/>
        </w:rPr>
        <w:t>(2)承担规范国土资源管理秩序的责任。拟定并监督实施本县土地、矿产等自然资源管理和地质灾害防治的规章制度，制定地质环境保护的政策、规章制度，组织实施国土资源调查评价技术规程、国土资源开发利用标准。负责本系统、本部门依法行政工作， 监督检查各乡镇人民政府及其国土资源管理所执行和遵守国土资源管理法律、法规及土地、矿产资源规划、计划的执行情况。加强对基层国土资源管理所履行职责的管理监督，直接查处 全县辖区内违反国土资源管理法律、法规的行为。调查处理国土资源违法案件。</w:t>
      </w:r>
      <w:r>
        <w:rPr>
          <w:rFonts w:ascii="仿宋" w:hAnsi="仿宋" w:eastAsia="仿宋"/>
          <w:color w:val="000000"/>
          <w:sz w:val="32"/>
          <w:szCs w:val="32"/>
        </w:rPr>
        <w:cr/>
      </w:r>
      <w:r>
        <w:rPr>
          <w:rFonts w:ascii="仿宋" w:hAnsi="仿宋" w:eastAsia="仿宋"/>
          <w:color w:val="000000"/>
          <w:sz w:val="32"/>
          <w:szCs w:val="32"/>
        </w:rPr>
        <w:t>(3)承担优化配置国土资源的责任。编制和组织实施全县土地利用总体规划、土地利用年度计划、土地整理复垦开发规划和其他专项规划、计划。参与审核报国务院、省、州政府审批的涉及土地、矿产、地质灾害防治的相关规划及其调整。</w:t>
      </w:r>
      <w:r>
        <w:rPr>
          <w:rFonts w:ascii="仿宋" w:hAnsi="仿宋" w:eastAsia="仿宋"/>
          <w:color w:val="000000"/>
          <w:sz w:val="32"/>
          <w:szCs w:val="32"/>
        </w:rPr>
        <w:cr/>
      </w:r>
      <w:r>
        <w:rPr>
          <w:rFonts w:ascii="仿宋" w:hAnsi="仿宋" w:eastAsia="仿宋"/>
          <w:color w:val="000000"/>
          <w:sz w:val="32"/>
          <w:szCs w:val="32"/>
        </w:rPr>
        <w:t>(4)负责规范国土资源权属管理。依法保护土地资源、矿产资源等自然资源所有者和使用者的合法权益，组织调处重大权属纠纷，负责土地确权调查，负责各类土地登记资料的收集、整理、共享和汇交管理，提供社会查询服务。</w:t>
      </w:r>
      <w:r>
        <w:rPr>
          <w:rFonts w:ascii="仿宋" w:hAnsi="仿宋" w:eastAsia="仿宋"/>
          <w:color w:val="000000"/>
          <w:sz w:val="32"/>
          <w:szCs w:val="32"/>
        </w:rPr>
        <w:cr/>
      </w:r>
      <w:r>
        <w:rPr>
          <w:rFonts w:ascii="仿宋" w:hAnsi="仿宋" w:eastAsia="仿宋"/>
          <w:color w:val="000000"/>
          <w:sz w:val="32"/>
          <w:szCs w:val="32"/>
        </w:rPr>
        <w:t>(5)承担全县耕地保护的责任，确保规划确定的耕地保有量和基本农田面积不减少。牵头拟订并组织实施耕地保护措施，组织实施基本农田保护，监督占用耕地补偿制度执行情况。指导未利用土地开发、土地整理、土地复垦和耕地开发的监督工作。组织实施土地用途管制、农用地转用和土地征收征用，承担报国土资源部和省政府审批的各类用地的审核、报批工作。</w:t>
      </w:r>
      <w:r>
        <w:rPr>
          <w:rFonts w:ascii="仿宋" w:hAnsi="仿宋" w:eastAsia="仿宋"/>
          <w:color w:val="000000"/>
          <w:sz w:val="32"/>
          <w:szCs w:val="32"/>
        </w:rPr>
        <w:cr/>
      </w:r>
      <w:r>
        <w:rPr>
          <w:rFonts w:ascii="仿宋" w:hAnsi="仿宋" w:eastAsia="仿宋"/>
          <w:color w:val="000000"/>
          <w:sz w:val="32"/>
          <w:szCs w:val="32"/>
        </w:rPr>
        <w:t xml:space="preserve"> (6)承担及时准确提供全县土地利用各种数据的责任。拟定和贯彻实施地籍管理办法，组织土地资源调查、地籍调查、土地统计和动态监测，组织实施重大土地专项调查，组织全县地籍调查、登记和土地分等定级工作。</w:t>
      </w:r>
      <w:r>
        <w:rPr>
          <w:rFonts w:ascii="仿宋" w:hAnsi="仿宋" w:eastAsia="仿宋"/>
          <w:color w:val="000000"/>
          <w:sz w:val="32"/>
          <w:szCs w:val="32"/>
        </w:rPr>
        <w:cr/>
      </w:r>
      <w:r>
        <w:rPr>
          <w:rFonts w:ascii="仿宋" w:hAnsi="仿宋" w:eastAsia="仿宋"/>
          <w:color w:val="000000"/>
          <w:sz w:val="32"/>
          <w:szCs w:val="32"/>
        </w:rPr>
        <w:t xml:space="preserve"> (7)承担节约集约利用土地资源的责任。拟订并实施土地开发利用标准，管理和监督城乡建设用地供应、政府土地储备、土地开发和节约集约利用。拟订并组织实施土地使用权出让、租赁、作价出资、转让等管理办法，建立基准地价、标定地价等政府公示地价制度，会同农业部门监督管理农村集体建设用地使用权的流转。组织实施禁止和限制供地目录、划拨用地目录等，承担审核报县政府审批的改制企业的国有土地资产的处置。</w:t>
      </w:r>
      <w:r>
        <w:rPr>
          <w:rFonts w:ascii="仿宋" w:hAnsi="仿宋" w:eastAsia="仿宋"/>
          <w:color w:val="000000"/>
          <w:sz w:val="32"/>
          <w:szCs w:val="32"/>
        </w:rPr>
        <w:cr/>
      </w:r>
      <w:r>
        <w:rPr>
          <w:rFonts w:ascii="仿宋" w:hAnsi="仿宋" w:eastAsia="仿宋"/>
          <w:color w:val="000000"/>
          <w:sz w:val="32"/>
          <w:szCs w:val="32"/>
        </w:rPr>
        <w:t>(8)承担规范国土资源市场秩序的责任。监测土地市场和建设用地利用情况，监管地价，规范和监管土地市场。规范和监管矿业权市场，组织对矿业权人勘查、开采活动进行监督管理。规范和监管国土资源相关社会中介组织和行为，依法查处违法行为。</w:t>
      </w:r>
      <w:r>
        <w:rPr>
          <w:rFonts w:ascii="仿宋" w:hAnsi="仿宋" w:eastAsia="仿宋"/>
          <w:color w:val="000000"/>
          <w:sz w:val="32"/>
          <w:szCs w:val="32"/>
        </w:rPr>
        <w:cr/>
      </w:r>
      <w:r>
        <w:rPr>
          <w:rFonts w:ascii="仿宋" w:hAnsi="仿宋" w:eastAsia="仿宋"/>
          <w:color w:val="000000"/>
          <w:sz w:val="32"/>
          <w:szCs w:val="32"/>
        </w:rPr>
        <w:t>(9)负责矿产资源开发的管理，依法管理矿业权的审批登记发证和转让审批登记；负责县规划矿区对国民经济具有重要价值的矿区的管理，承担保护性开采的特定矿种、优势矿产的开采总量控制及相关管理工作，组织编制实施矿业权设置方案。</w:t>
      </w:r>
      <w:r>
        <w:rPr>
          <w:rFonts w:ascii="仿宋" w:hAnsi="仿宋" w:eastAsia="仿宋"/>
          <w:color w:val="000000"/>
          <w:sz w:val="32"/>
          <w:szCs w:val="32"/>
        </w:rPr>
        <w:cr/>
      </w:r>
      <w:r>
        <w:rPr>
          <w:rFonts w:ascii="仿宋" w:hAnsi="仿宋" w:eastAsia="仿宋"/>
          <w:color w:val="000000"/>
          <w:sz w:val="32"/>
          <w:szCs w:val="32"/>
        </w:rPr>
        <w:t>(10)负责地质勘查行业和矿产资源储量管理。组织实施地质调查评价、矿产资源勘查，管理县级地质勘查项目，组织实施县级重大地质勘查专项，管理地质勘查资质、地质资料、地质勘查成果，统一管理公益性地质调查和战略性矿产勘查工作。管理矿产资源评审、登记、统计，组织实施矿山储量动态监督管理，组织实施矿产资源储量调查，承担压覆矿产资源管理工作。</w:t>
      </w:r>
      <w:r>
        <w:rPr>
          <w:rFonts w:ascii="仿宋" w:hAnsi="仿宋" w:eastAsia="仿宋"/>
          <w:color w:val="000000"/>
          <w:sz w:val="32"/>
          <w:szCs w:val="32"/>
        </w:rPr>
        <w:cr/>
      </w:r>
      <w:r>
        <w:rPr>
          <w:rFonts w:ascii="仿宋" w:hAnsi="仿宋" w:eastAsia="仿宋"/>
          <w:color w:val="000000"/>
          <w:sz w:val="32"/>
          <w:szCs w:val="32"/>
        </w:rPr>
        <w:t>(11)承担地质环境保护的责任，组织、协调、指导和监督地质灾害防治工作。指导重大地质灾害应急处置，组织拟订、实施全县突发重大地质灾害应急预案。组织实施矿山地质环境、地质遗迹保护，监督管理古生物化石、地质遗迹、矿业遗迹等重要保护区、保护地，依法管理水文地质、工程地质、环境地质勘查和评价工作，监测、监督防止地下水过量开采和污染，承担城市地质、农业地质、旅游地质的勘查与评价工作。</w:t>
      </w:r>
      <w:r>
        <w:rPr>
          <w:rFonts w:ascii="仿宋" w:hAnsi="仿宋" w:eastAsia="仿宋"/>
          <w:color w:val="000000"/>
          <w:sz w:val="32"/>
          <w:szCs w:val="32"/>
        </w:rPr>
        <w:cr/>
      </w:r>
      <w:r>
        <w:rPr>
          <w:rFonts w:ascii="仿宋" w:hAnsi="仿宋" w:eastAsia="仿宋"/>
          <w:color w:val="000000"/>
          <w:sz w:val="32"/>
          <w:szCs w:val="32"/>
        </w:rPr>
        <w:t>(12)依法征收土地、矿产资源收益，规范、监督资金使用，拟订土地、矿产资源参与经济调控的政策措施。依法组织土地、矿产资源专项收入的征管，配合有关部门拟订收益分配制度，配合有关部门指导、监督全县土地整理复垦开发资金的收取和使用。参与管理土地、矿产等资源性资产，参与管理国家、省、州、县出资形成的矿业权权益，负责有关资金、基金的预算和财务、资产管理与监督。</w:t>
      </w:r>
      <w:r>
        <w:rPr>
          <w:rFonts w:ascii="仿宋" w:hAnsi="仿宋" w:eastAsia="仿宋"/>
          <w:color w:val="000000"/>
          <w:sz w:val="32"/>
          <w:szCs w:val="32"/>
        </w:rPr>
        <w:cr/>
      </w:r>
      <w:r>
        <w:rPr>
          <w:rFonts w:ascii="仿宋" w:hAnsi="仿宋" w:eastAsia="仿宋"/>
          <w:color w:val="000000"/>
          <w:sz w:val="32"/>
          <w:szCs w:val="32"/>
        </w:rPr>
        <w:t>(13)推进国土资源科技进步，组织开展对外合作与交流。组织制订、实施国土资源科技发展、人才培养规划和计划，组织实施重大科技专项，推进国土资源信息化和信息资料公共服务。协调境外矿产资源勘查，参与矿产资源开发工作，依法审批或审核对外合作区块，监督对外合作勘查开采行为。</w:t>
      </w:r>
      <w:r>
        <w:rPr>
          <w:rFonts w:ascii="仿宋" w:hAnsi="仿宋" w:eastAsia="仿宋"/>
          <w:color w:val="000000"/>
          <w:sz w:val="32"/>
          <w:szCs w:val="32"/>
        </w:rPr>
        <w:cr/>
      </w:r>
      <w:r>
        <w:rPr>
          <w:rFonts w:ascii="仿宋" w:hAnsi="仿宋" w:eastAsia="仿宋"/>
          <w:color w:val="000000"/>
          <w:sz w:val="32"/>
          <w:szCs w:val="32"/>
        </w:rPr>
        <w:t>以及承担县政府公布的有关行政审批事项。承担县委、县政府交办的其他事项。</w:t>
      </w:r>
      <w:bookmarkStart w:id="21" w:name="_Toc15377200"/>
    </w:p>
    <w:p>
      <w:pPr>
        <w:pStyle w:val="4"/>
        <w:ind w:firstLine="643" w:firstLineChars="200"/>
        <w:rPr>
          <w:rFonts w:ascii="黑体" w:eastAsia="黑体" w:cs="Times New Roman"/>
          <w:bCs w:val="0"/>
          <w:color w:val="000000"/>
        </w:rPr>
      </w:pPr>
      <w:bookmarkStart w:id="22" w:name="_Toc111208497"/>
      <w:bookmarkStart w:id="23" w:name="_Toc1995"/>
      <w:r>
        <w:rPr>
          <w:rFonts w:hint="eastAsia" w:ascii="黑体" w:eastAsia="黑体" w:cs="Times New Roman"/>
          <w:bCs w:val="0"/>
          <w:color w:val="000000"/>
        </w:rPr>
        <w:t>二、机构设置</w:t>
      </w:r>
      <w:bookmarkEnd w:id="21"/>
      <w:bookmarkEnd w:id="22"/>
      <w:bookmarkEnd w:id="23"/>
    </w:p>
    <w:p>
      <w:pPr>
        <w:rPr>
          <w:rFonts w:ascii="仿宋" w:hAnsi="仿宋" w:eastAsia="仿宋"/>
          <w:color w:val="000000"/>
          <w:sz w:val="32"/>
          <w:szCs w:val="32"/>
        </w:rPr>
      </w:pPr>
      <w:r>
        <w:rPr>
          <w:rFonts w:ascii="仿宋" w:hAnsi="仿宋" w:eastAsia="仿宋"/>
          <w:color w:val="000000"/>
          <w:sz w:val="32"/>
          <w:szCs w:val="32"/>
        </w:rPr>
        <w:cr/>
      </w:r>
      <w:r>
        <w:rPr>
          <w:rFonts w:ascii="仿宋" w:hAnsi="仿宋" w:eastAsia="仿宋"/>
          <w:color w:val="000000"/>
          <w:sz w:val="32"/>
          <w:szCs w:val="32"/>
        </w:rPr>
        <w:t>金川县自然资源局为财政全额拨款的行政单位，预算层级为县级，国有资产管理层级为县级。内设独立编制机构3个，分别是金川县自然资源局、金川县自然资源综合行政执法中队、金川县不动产登记中心。</w:t>
      </w:r>
      <w:r>
        <w:rPr>
          <w:rFonts w:ascii="仿宋" w:hAnsi="仿宋" w:eastAsia="仿宋"/>
          <w:color w:val="000000"/>
          <w:sz w:val="32"/>
          <w:szCs w:val="32"/>
        </w:rPr>
        <w:cr/>
      </w:r>
      <w:r>
        <w:rPr>
          <w:rFonts w:ascii="仿宋" w:hAnsi="仿宋" w:eastAsia="仿宋"/>
          <w:color w:val="000000"/>
          <w:sz w:val="32"/>
          <w:szCs w:val="32"/>
        </w:rPr>
        <w:t>截止2022年12月31日，金川县自然资源局实有编制内人员32人，其中行政人员7人，参公人员11人，事业人员13人，行政工勤1人。</w:t>
      </w:r>
    </w:p>
    <w:p>
      <w:pPr>
        <w:widowControl/>
        <w:jc w:val="left"/>
        <w:rPr>
          <w:rFonts w:ascii="仿宋_GB2312" w:hAnsi="黑体" w:eastAsia="仿宋_GB2312"/>
          <w:b/>
          <w:bCs/>
          <w:color w:val="000000"/>
          <w:kern w:val="44"/>
          <w:sz w:val="44"/>
          <w:szCs w:val="44"/>
        </w:rPr>
      </w:pPr>
      <w:bookmarkStart w:id="24" w:name="_Toc15377204"/>
      <w:r>
        <w:rPr>
          <w:rFonts w:ascii="仿宋_GB2312" w:hAnsi="黑体" w:eastAsia="仿宋_GB2312"/>
          <w:color w:val="000000"/>
        </w:rPr>
        <w:br w:type="page"/>
      </w:r>
    </w:p>
    <w:p>
      <w:pPr>
        <w:pStyle w:val="3"/>
        <w:jc w:val="center"/>
        <w:rPr>
          <w:rFonts w:ascii="黑体" w:hAnsi="黑体" w:eastAsia="黑体" w:cs="黑体"/>
        </w:rPr>
      </w:pPr>
      <w:bookmarkStart w:id="25" w:name="_Toc111208498"/>
      <w:bookmarkStart w:id="26" w:name="_Toc24149"/>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2022</w:t>
      </w:r>
      <w:r>
        <w:rPr>
          <w:rFonts w:ascii="黑体" w:hAnsi="黑体" w:eastAsia="黑体" w:cs="黑体"/>
          <w:u w:color="auto"/>
        </w:rPr>
        <w:t>年度部门决算情况说明</w:t>
      </w:r>
      <w:bookmarkEnd w:id="24"/>
      <w:bookmarkEnd w:id="25"/>
      <w:bookmarkEnd w:id="26"/>
    </w:p>
    <w:p>
      <w:pPr>
        <w:pStyle w:val="4"/>
        <w:ind w:firstLine="643" w:firstLineChars="200"/>
        <w:rPr>
          <w:rFonts w:ascii="黑体" w:eastAsia="黑体" w:cs="Times New Roman"/>
          <w:bCs w:val="0"/>
          <w:color w:val="000000"/>
        </w:rPr>
      </w:pPr>
      <w:bookmarkStart w:id="27" w:name="_Toc15377205"/>
      <w:bookmarkStart w:id="28" w:name="_Toc111208499"/>
      <w:bookmarkStart w:id="29" w:name="_Toc1257"/>
      <w:r>
        <w:rPr>
          <w:rFonts w:hint="eastAsia" w:ascii="黑体" w:eastAsia="黑体" w:cs="Times New Roman"/>
          <w:bCs w:val="0"/>
          <w:color w:val="000000"/>
        </w:rPr>
        <w:t>一、收入支出决算总体情况说</w:t>
      </w:r>
      <w:bookmarkEnd w:id="27"/>
      <w:r>
        <w:rPr>
          <w:rFonts w:hint="eastAsia" w:ascii="黑体" w:eastAsia="黑体" w:cs="Times New Roman"/>
          <w:bCs w:val="0"/>
          <w:color w:val="000000"/>
        </w:rPr>
        <w:t>明</w:t>
      </w:r>
      <w:bookmarkEnd w:id="28"/>
      <w:bookmarkEnd w:id="29"/>
    </w:p>
    <w:p>
      <w:pPr>
        <w:spacing w:line="600" w:lineRule="exact"/>
        <w:ind w:firstLine="640" w:firstLineChars="200"/>
        <w:rPr>
          <w:rFonts w:ascii="仿宋_GB2312" w:hAnsi="仿宋" w:eastAsia="仿宋_GB2312"/>
          <w:color w:val="00B0F0"/>
          <w:sz w:val="32"/>
          <w:szCs w:val="32"/>
        </w:rPr>
      </w:pPr>
      <w:r>
        <w:rPr>
          <w:rFonts w:ascii="仿宋" w:hAnsi="仿宋" w:eastAsia="仿宋"/>
          <w:color w:val="000000"/>
          <w:sz w:val="32"/>
          <w:szCs w:val="32"/>
        </w:rPr>
        <w:t>2022</w:t>
      </w:r>
      <w:r>
        <w:rPr>
          <w:rFonts w:hint="eastAsia" w:ascii="仿宋" w:hAnsi="仿宋" w:eastAsia="仿宋"/>
          <w:color w:val="000000"/>
          <w:sz w:val="32"/>
          <w:szCs w:val="32"/>
        </w:rPr>
        <w:t>年度收、支总计</w:t>
      </w:r>
      <w:r>
        <w:rPr>
          <w:rFonts w:ascii="仿宋" w:hAnsi="仿宋" w:eastAsia="仿宋"/>
          <w:color w:val="000000"/>
          <w:sz w:val="32"/>
          <w:szCs w:val="32"/>
        </w:rPr>
        <w:t>2735.42</w:t>
      </w:r>
      <w:r>
        <w:rPr>
          <w:rFonts w:hint="eastAsia" w:ascii="仿宋" w:hAnsi="仿宋" w:eastAsia="仿宋"/>
          <w:color w:val="000000"/>
          <w:sz w:val="32"/>
          <w:szCs w:val="32"/>
        </w:rPr>
        <w:t>万元。与</w:t>
      </w:r>
      <w:r>
        <w:rPr>
          <w:rFonts w:ascii="仿宋" w:hAnsi="仿宋" w:eastAsia="仿宋"/>
          <w:color w:val="000000"/>
          <w:sz w:val="32"/>
          <w:szCs w:val="32"/>
        </w:rPr>
        <w:t>2021</w:t>
      </w:r>
      <w:r>
        <w:rPr>
          <w:rFonts w:hint="eastAsia" w:ascii="仿宋" w:hAnsi="仿宋" w:eastAsia="仿宋"/>
          <w:color w:val="000000"/>
          <w:sz w:val="32"/>
          <w:szCs w:val="32"/>
        </w:rPr>
        <w:t>年相比，收、支总计各</w:t>
      </w:r>
      <w:r>
        <w:rPr>
          <w:rFonts w:ascii="仿宋" w:hAnsi="仿宋" w:eastAsia="仿宋"/>
          <w:color w:val="000000"/>
          <w:sz w:val="32"/>
          <w:szCs w:val="32"/>
        </w:rPr>
        <w:t>减少3469.17</w:t>
      </w:r>
      <w:r>
        <w:rPr>
          <w:rFonts w:hint="eastAsia" w:ascii="仿宋" w:hAnsi="仿宋" w:eastAsia="仿宋"/>
          <w:color w:val="000000"/>
          <w:sz w:val="32"/>
          <w:szCs w:val="32"/>
        </w:rPr>
        <w:t>万元，</w:t>
      </w:r>
      <w:r>
        <w:rPr>
          <w:rFonts w:ascii="仿宋" w:hAnsi="仿宋" w:eastAsia="仿宋"/>
          <w:color w:val="000000"/>
          <w:sz w:val="32"/>
          <w:szCs w:val="32"/>
        </w:rPr>
        <w:t>减少55.91</w:t>
      </w:r>
      <w:r>
        <w:rPr>
          <w:rFonts w:hint="eastAsia" w:ascii="仿宋" w:hAnsi="仿宋" w:eastAsia="仿宋"/>
          <w:color w:val="000000"/>
          <w:sz w:val="32"/>
          <w:szCs w:val="32"/>
        </w:rPr>
        <w:t xml:space="preserve"> %。</w:t>
      </w:r>
      <w:r>
        <w:rPr>
          <w:rFonts w:ascii="仿宋" w:hAnsi="仿宋" w:eastAsia="仿宋"/>
          <w:color w:val="000000"/>
          <w:sz w:val="32"/>
          <w:u w:color="auto"/>
        </w:rPr>
        <w:t xml:space="preserve"> </w:t>
      </w:r>
    </w:p>
    <w:p>
      <w:pPr>
        <w:spacing w:line="600" w:lineRule="exact"/>
        <w:ind w:firstLine="640" w:firstLineChars="200"/>
        <w:jc w:val="right"/>
        <w:rPr>
          <w:rFonts w:ascii="仿宋_GB2312" w:hAnsi="仿宋" w:eastAsia="仿宋_GB2312"/>
          <w:color w:val="000000" w:themeColor="text1"/>
          <w:sz w:val="28"/>
          <w:szCs w:val="28"/>
          <w14:textFill>
            <w14:solidFill>
              <w14:schemeClr w14:val="tx1"/>
            </w14:solidFill>
          </w14:textFill>
        </w:rPr>
      </w:pPr>
      <w:r>
        <w:rPr>
          <w:rFonts w:hint="eastAsia" w:ascii="仿宋" w:hAnsi="仿宋" w:eastAsia="仿宋"/>
          <w:color w:val="000000"/>
          <w:sz w:val="32"/>
          <w:szCs w:val="32"/>
        </w:rPr>
        <w:t>（图1：收、支决算总计变动情况图）</w:t>
      </w:r>
    </w:p>
    <w:p>
      <w:pPr>
        <w:spacing w:line="600" w:lineRule="exact"/>
        <w:ind w:firstLine="560" w:firstLineChars="200"/>
        <w:jc w:val="center"/>
        <w:rPr>
          <w:rFonts w:ascii="仿宋_GB2312" w:eastAsia="仿宋_GB2312"/>
          <w:color w:val="000000"/>
          <w:sz w:val="28"/>
          <w:szCs w:val="28"/>
        </w:rPr>
      </w:pPr>
    </w:p>
    <w:p>
      <w:pPr>
        <w:pStyle w:val="2"/>
      </w:pPr>
      <w:r>
        <w:drawing>
          <wp:inline distT="0" distB="0" distL="114300" distR="114300">
            <wp:extent cx="5343525" cy="2933700"/>
            <wp:effectExtent l="0" t="0" r="9525" b="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4"/>
        <w:ind w:firstLine="643" w:firstLineChars="200"/>
        <w:rPr>
          <w:rFonts w:ascii="黑体" w:eastAsia="黑体" w:cs="Times New Roman"/>
          <w:bCs w:val="0"/>
          <w:color w:val="000000"/>
        </w:rPr>
      </w:pPr>
      <w:bookmarkStart w:id="30" w:name="_Toc15377206"/>
      <w:bookmarkStart w:id="31" w:name="_Toc111208500"/>
      <w:bookmarkStart w:id="32" w:name="_Toc29894"/>
      <w:r>
        <w:rPr>
          <w:rFonts w:hint="eastAsia" w:ascii="黑体" w:eastAsia="黑体" w:cs="Times New Roman"/>
          <w:bCs w:val="0"/>
          <w:color w:val="000000"/>
        </w:rPr>
        <w:t>二、收入决算情况说明</w:t>
      </w:r>
      <w:bookmarkEnd w:id="30"/>
      <w:bookmarkEnd w:id="31"/>
      <w:bookmarkEnd w:id="32"/>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本年收入合计2735.42万元，其中：一般公共预算财政拨款收入2735.42万元，占100.00%；政府性基金预算财政拨款收入0.00万元，占0.00%；国有资本经营预算财政拨款收入0.00万元，占0.00%；上级补助收入0.00万元，占0.00%；事业收入0.00万元，占%；经营收入0.00万元，占0.00%；附属单位上缴收入0.00万元，占0.00%；其他收入0.00万元，占0.00%。</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（图2：收入决算结构图）</w:t>
      </w:r>
    </w:p>
    <w:p>
      <w:pPr>
        <w:pStyle w:val="13"/>
        <w:ind w:left="1060" w:hanging="640"/>
        <w:jc w:val="center"/>
      </w:pPr>
      <w:r>
        <w:rPr>
          <w:rFonts w:hint="eastAsia" w:ascii="仿宋_GB2312" w:eastAsia="仿宋_GB2312"/>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4"/>
        <w:ind w:firstLine="643" w:firstLineChars="200"/>
        <w:rPr>
          <w:rFonts w:ascii="黑体" w:eastAsia="黑体" w:cs="Times New Roman"/>
          <w:bCs w:val="0"/>
          <w:color w:val="000000"/>
        </w:rPr>
      </w:pPr>
      <w:bookmarkStart w:id="33" w:name="_Toc15377207"/>
      <w:bookmarkStart w:id="34" w:name="_Toc111208501"/>
      <w:bookmarkStart w:id="35" w:name="_Toc5079"/>
      <w:r>
        <w:rPr>
          <w:rFonts w:hint="eastAsia" w:ascii="黑体" w:eastAsia="黑体" w:cs="Times New Roman"/>
          <w:bCs w:val="0"/>
          <w:color w:val="000000"/>
        </w:rPr>
        <w:t>三、支出决算情况说明</w:t>
      </w:r>
      <w:bookmarkEnd w:id="33"/>
      <w:bookmarkEnd w:id="34"/>
      <w:bookmarkEnd w:id="35"/>
    </w:p>
    <w:p>
      <w:pPr>
        <w:pStyle w:val="2"/>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szCs w:val="32"/>
        </w:rPr>
        <w:t>年本年支出合计</w:t>
      </w:r>
      <w:r>
        <w:rPr>
          <w:rFonts w:hint="eastAsia" w:ascii="仿宋" w:hAnsi="仿宋" w:eastAsia="仿宋"/>
          <w:color w:val="000000"/>
          <w:sz w:val="32"/>
          <w:szCs w:val="32"/>
        </w:rPr>
        <w:t>2735.42</w:t>
      </w:r>
      <w:r>
        <w:rPr>
          <w:rFonts w:ascii="仿宋" w:hAnsi="仿宋" w:eastAsia="仿宋"/>
          <w:color w:val="000000"/>
          <w:sz w:val="32"/>
          <w:szCs w:val="32"/>
        </w:rPr>
        <w:t>万元，其中：基本支出</w:t>
      </w:r>
      <w:r>
        <w:rPr>
          <w:rFonts w:hint="eastAsia" w:ascii="仿宋" w:hAnsi="仿宋" w:eastAsia="仿宋"/>
          <w:color w:val="000000"/>
          <w:sz w:val="32"/>
          <w:szCs w:val="32"/>
        </w:rPr>
        <w:t>696.55</w:t>
      </w:r>
      <w:r>
        <w:rPr>
          <w:rFonts w:ascii="仿宋" w:hAnsi="仿宋" w:eastAsia="仿宋"/>
          <w:color w:val="000000"/>
          <w:sz w:val="32"/>
          <w:szCs w:val="32"/>
        </w:rPr>
        <w:t>万元，占</w:t>
      </w:r>
      <w:r>
        <w:rPr>
          <w:rFonts w:hint="eastAsia" w:ascii="仿宋" w:hAnsi="仿宋" w:eastAsia="仿宋"/>
          <w:color w:val="000000"/>
          <w:sz w:val="32"/>
          <w:szCs w:val="32"/>
        </w:rPr>
        <w:t>25.46</w:t>
      </w:r>
      <w:r>
        <w:rPr>
          <w:rFonts w:ascii="仿宋" w:hAnsi="仿宋" w:eastAsia="仿宋"/>
          <w:color w:val="000000"/>
          <w:sz w:val="32"/>
          <w:szCs w:val="32"/>
        </w:rPr>
        <w:t>%；项目支出</w:t>
      </w:r>
      <w:r>
        <w:rPr>
          <w:rFonts w:hint="eastAsia" w:ascii="仿宋" w:hAnsi="仿宋" w:eastAsia="仿宋"/>
          <w:color w:val="000000"/>
          <w:sz w:val="32"/>
          <w:szCs w:val="32"/>
        </w:rPr>
        <w:t>2038.88</w:t>
      </w:r>
      <w:r>
        <w:rPr>
          <w:rFonts w:ascii="仿宋" w:hAnsi="仿宋" w:eastAsia="仿宋"/>
          <w:color w:val="000000"/>
          <w:sz w:val="32"/>
          <w:szCs w:val="32"/>
        </w:rPr>
        <w:t>万元，占</w:t>
      </w:r>
      <w:r>
        <w:rPr>
          <w:rFonts w:hint="eastAsia" w:ascii="仿宋" w:hAnsi="仿宋" w:eastAsia="仿宋"/>
          <w:color w:val="000000"/>
          <w:sz w:val="32"/>
          <w:szCs w:val="32"/>
        </w:rPr>
        <w:t>74.54</w:t>
      </w:r>
      <w:r>
        <w:rPr>
          <w:rFonts w:ascii="仿宋" w:hAnsi="仿宋" w:eastAsia="仿宋"/>
          <w:color w:val="000000"/>
          <w:sz w:val="32"/>
          <w:szCs w:val="32"/>
        </w:rPr>
        <w:t>%；上缴上级支出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%；经营支出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%；对附属单位补助支出</w:t>
      </w:r>
      <w:r>
        <w:rPr>
          <w:rFonts w:hint="eastAsia" w:ascii="仿宋" w:hAnsi="仿宋" w:eastAsia="仿宋"/>
          <w:color w:val="000000"/>
          <w:sz w:val="32"/>
          <w:szCs w:val="32"/>
        </w:rPr>
        <w:t>0.00</w:t>
      </w:r>
      <w:r>
        <w:rPr>
          <w:rFonts w:ascii="仿宋" w:hAnsi="仿宋" w:eastAsia="仿宋"/>
          <w:color w:val="000000"/>
          <w:sz w:val="32"/>
          <w:szCs w:val="32"/>
        </w:rPr>
        <w:t>万元，占</w:t>
      </w:r>
      <w:r>
        <w:rPr>
          <w:rFonts w:hint="eastAsia" w:ascii="仿宋" w:hAnsi="仿宋" w:eastAsia="仿宋"/>
          <w:color w:val="000000"/>
          <w:sz w:val="32"/>
          <w:szCs w:val="32"/>
        </w:rPr>
        <w:t>0.00</w:t>
      </w:r>
      <w:r>
        <w:rPr>
          <w:rFonts w:ascii="仿宋" w:hAnsi="仿宋" w:eastAsia="仿宋"/>
          <w:color w:val="000000"/>
          <w:sz w:val="32"/>
          <w:szCs w:val="32"/>
        </w:rPr>
        <w:t>%。</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（图3：支出决算结构图）</w:t>
      </w:r>
    </w:p>
    <w:p>
      <w:pPr>
        <w:jc w:val="center"/>
        <w:rPr>
          <w:rFonts w:ascii="仿宋_GB2312" w:eastAsia="仿宋_GB2312"/>
          <w:color w:val="FF0000"/>
          <w:sz w:val="32"/>
          <w:szCs w:val="32"/>
        </w:rPr>
      </w:pPr>
      <w:r>
        <w:rPr>
          <w:rFonts w:hint="eastAsia" w:ascii="仿宋_GB2312" w:eastAsia="仿宋_GB2312"/>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2"/>
      </w:pPr>
    </w:p>
    <w:p>
      <w:pPr>
        <w:pStyle w:val="4"/>
        <w:ind w:firstLine="643" w:firstLineChars="200"/>
        <w:rPr>
          <w:rFonts w:ascii="黑体" w:eastAsia="黑体" w:cs="Times New Roman"/>
          <w:bCs w:val="0"/>
          <w:color w:val="000000"/>
        </w:rPr>
      </w:pPr>
      <w:bookmarkStart w:id="36" w:name="_Toc15377208"/>
      <w:bookmarkStart w:id="37" w:name="_Toc111208502"/>
      <w:bookmarkStart w:id="38" w:name="_Toc24152"/>
      <w:r>
        <w:rPr>
          <w:rFonts w:hint="eastAsia" w:ascii="黑体" w:eastAsia="黑体" w:cs="Times New Roman"/>
          <w:bCs w:val="0"/>
          <w:color w:val="000000"/>
        </w:rPr>
        <w:t>四、财政拨款收入支出决算总体情况说明</w:t>
      </w:r>
      <w:bookmarkEnd w:id="36"/>
      <w:bookmarkEnd w:id="37"/>
      <w:bookmarkEnd w:id="38"/>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 xml:space="preserve">年财政拨款收、支总计2735.42万元。与2021年相比，财政拨款收、支总计各减少3469.17万元，减少55.91 %。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（图4：财政拨款收、支决算总计变动情况）</w:t>
      </w:r>
    </w:p>
    <w:p>
      <w:pPr>
        <w:pStyle w:val="2"/>
        <w:ind w:firstLine="0"/>
      </w:pPr>
    </w:p>
    <w:p>
      <w:pPr>
        <w:pStyle w:val="2"/>
        <w:jc w:val="left"/>
      </w:pPr>
      <w:r>
        <w:rPr>
          <w:rFonts w:hint="eastAsia" w:ascii="仿宋_GB2312" w:hAnsi="仿宋" w:eastAsia="仿宋_GB2312"/>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2"/>
        <w:jc w:val="center"/>
      </w:pPr>
    </w:p>
    <w:p>
      <w:pPr>
        <w:pStyle w:val="4"/>
        <w:ind w:firstLine="643" w:firstLineChars="200"/>
        <w:rPr>
          <w:rFonts w:ascii="黑体" w:eastAsia="黑体" w:cs="Times New Roman"/>
          <w:bCs w:val="0"/>
          <w:color w:val="000000"/>
        </w:rPr>
      </w:pPr>
      <w:bookmarkStart w:id="39" w:name="_Toc15377209"/>
      <w:bookmarkStart w:id="40" w:name="_Toc111208503"/>
      <w:bookmarkStart w:id="41" w:name="_Toc27815"/>
      <w:r>
        <w:rPr>
          <w:rFonts w:hint="eastAsia" w:ascii="黑体" w:eastAsia="黑体" w:cs="Times New Roman"/>
          <w:bCs w:val="0"/>
          <w:color w:val="000000"/>
        </w:rPr>
        <w:t>五、一般公共预算财政拨款支出决算情况说</w:t>
      </w:r>
      <w:bookmarkEnd w:id="39"/>
      <w:r>
        <w:rPr>
          <w:rFonts w:hint="eastAsia" w:ascii="黑体" w:eastAsia="黑体" w:cs="Times New Roman"/>
          <w:bCs w:val="0"/>
          <w:color w:val="000000"/>
        </w:rPr>
        <w:t>明</w:t>
      </w:r>
      <w:bookmarkEnd w:id="40"/>
      <w:bookmarkEnd w:id="41"/>
    </w:p>
    <w:p>
      <w:pPr>
        <w:spacing w:line="600" w:lineRule="exact"/>
        <w:ind w:firstLine="643" w:firstLineChars="200"/>
        <w:outlineLvl w:val="2"/>
        <w:rPr>
          <w:rFonts w:ascii="仿宋" w:hAnsi="仿宋" w:eastAsia="仿宋"/>
          <w:b/>
          <w:color w:val="000000"/>
          <w:sz w:val="32"/>
          <w:szCs w:val="32"/>
        </w:rPr>
      </w:pPr>
      <w:bookmarkStart w:id="42" w:name="_Toc15377210"/>
      <w:r>
        <w:rPr>
          <w:rFonts w:hint="eastAsia" w:ascii="仿宋" w:hAnsi="仿宋" w:eastAsia="仿宋"/>
          <w:b/>
          <w:color w:val="000000"/>
          <w:sz w:val="32"/>
          <w:szCs w:val="32"/>
        </w:rPr>
        <w:t>（一）一般公共预算财政拨款支出决算总体情况</w:t>
      </w:r>
      <w:bookmarkEnd w:id="42"/>
    </w:p>
    <w:p>
      <w:pPr>
        <w:spacing w:line="600" w:lineRule="exact"/>
        <w:ind w:firstLine="640" w:firstLineChars="200"/>
        <w:rPr>
          <w:rFonts w:ascii="仿宋_GB2312" w:hAnsi="仿宋" w:eastAsia="仿宋_GB2312"/>
          <w:color w:val="000000"/>
          <w:sz w:val="32"/>
          <w:szCs w:val="32"/>
        </w:rPr>
      </w:pPr>
      <w:bookmarkStart w:id="43" w:name="_Toc15377211"/>
      <w:r>
        <w:rPr>
          <w:rFonts w:hint="eastAsia" w:ascii="仿宋" w:hAnsi="仿宋" w:eastAsia="仿宋"/>
          <w:color w:val="000000"/>
          <w:sz w:val="32"/>
          <w:szCs w:val="32"/>
        </w:rPr>
        <w:t>2022</w:t>
      </w:r>
      <w:r>
        <w:rPr>
          <w:rFonts w:ascii="仿宋" w:hAnsi="仿宋" w:eastAsia="仿宋"/>
          <w:color w:val="000000"/>
          <w:sz w:val="32"/>
          <w:u w:color="auto"/>
        </w:rPr>
        <w:t>年一般公共预算财政拨款支出2735.42</w:t>
      </w:r>
      <w:r>
        <w:rPr>
          <w:rFonts w:hint="eastAsia" w:ascii="仿宋" w:hAnsi="仿宋" w:eastAsia="仿宋"/>
          <w:color w:val="000000"/>
          <w:sz w:val="32"/>
          <w:szCs w:val="32"/>
        </w:rPr>
        <w:t>万元，占本年支出合计的</w:t>
      </w:r>
      <w:r>
        <w:rPr>
          <w:rFonts w:ascii="仿宋" w:hAnsi="仿宋" w:eastAsia="仿宋"/>
          <w:color w:val="000000"/>
          <w:sz w:val="32"/>
          <w:u w:color="auto"/>
        </w:rPr>
        <w:t>100.00</w:t>
      </w:r>
      <w:r>
        <w:rPr>
          <w:rFonts w:hint="eastAsia" w:ascii="仿宋" w:hAnsi="仿宋" w:eastAsia="仿宋"/>
          <w:color w:val="000000"/>
          <w:sz w:val="32"/>
          <w:szCs w:val="32"/>
        </w:rPr>
        <w:t>%。与</w:t>
      </w:r>
      <w:r>
        <w:rPr>
          <w:rFonts w:ascii="仿宋" w:hAnsi="仿宋" w:eastAsia="仿宋"/>
          <w:color w:val="000000"/>
          <w:sz w:val="32"/>
          <w:u w:color="auto"/>
        </w:rPr>
        <w:t>2021相比，一般公共预算财政拨款减少2046.00</w:t>
      </w:r>
      <w:r>
        <w:rPr>
          <w:rFonts w:hint="eastAsia" w:ascii="仿宋" w:hAnsi="仿宋" w:eastAsia="仿宋"/>
          <w:color w:val="000000"/>
          <w:sz w:val="32"/>
          <w:szCs w:val="32"/>
        </w:rPr>
        <w:t>万元，</w:t>
      </w:r>
      <w:r>
        <w:rPr>
          <w:rFonts w:ascii="仿宋" w:hAnsi="仿宋" w:eastAsia="仿宋"/>
          <w:color w:val="000000"/>
          <w:sz w:val="32"/>
          <w:u w:color="auto"/>
        </w:rPr>
        <w:t>减少42.79</w:t>
      </w:r>
      <w:r>
        <w:rPr>
          <w:rFonts w:hint="eastAsia" w:ascii="仿宋" w:hAnsi="仿宋" w:eastAsia="仿宋"/>
          <w:color w:val="000000"/>
          <w:sz w:val="32"/>
          <w:szCs w:val="32"/>
        </w:rPr>
        <w:t xml:space="preserve"> %。</w:t>
      </w:r>
      <w:r>
        <w:rPr>
          <w:rFonts w:ascii="仿宋" w:hAnsi="仿宋" w:eastAsia="仿宋"/>
          <w:color w:val="000000"/>
          <w:sz w:val="32"/>
          <w:u w:color="auto"/>
        </w:rPr>
        <w:t xml:space="preserve">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（图5：一般公共预算财政拨款支出决算变动情况）</w:t>
      </w:r>
    </w:p>
    <w:p>
      <w:pPr>
        <w:pStyle w:val="2"/>
        <w:ind w:firstLine="0"/>
        <w:rPr>
          <w:rFonts w:ascii="仿宋_GB2312" w:hAnsi="仿宋" w:eastAsia="仿宋_GB2312"/>
          <w:b/>
          <w:color w:val="000000"/>
          <w:sz w:val="32"/>
          <w:szCs w:val="32"/>
        </w:rPr>
      </w:pPr>
    </w:p>
    <w:p>
      <w:pPr>
        <w:pStyle w:val="2"/>
        <w:ind w:firstLine="0"/>
        <w:rPr>
          <w:rFonts w:ascii="仿宋_GB2312" w:hAnsi="仿宋" w:eastAsia="仿宋_GB2312"/>
          <w:b/>
          <w:color w:val="000000"/>
          <w:sz w:val="32"/>
          <w:szCs w:val="32"/>
        </w:rPr>
      </w:pPr>
      <w:r>
        <w:rPr>
          <w:rFonts w:hint="eastAsia" w:ascii="仿宋_GB2312" w:hAnsi="仿宋" w:eastAsia="仿宋_GB2312"/>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2"/>
        <w:ind w:firstLine="0"/>
        <w:rPr>
          <w:rFonts w:ascii="仿宋_GB2312" w:hAnsi="仿宋" w:eastAsia="仿宋_GB2312"/>
          <w:b/>
          <w:color w:val="000000"/>
          <w:sz w:val="32"/>
          <w:szCs w:val="32"/>
        </w:rPr>
      </w:pP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43"/>
      <w:r>
        <w:rPr>
          <w:rFonts w:hint="eastAsia" w:ascii="仿宋" w:hAnsi="仿宋" w:eastAsia="仿宋"/>
          <w:b/>
          <w:color w:val="000000"/>
          <w:sz w:val="32"/>
          <w:szCs w:val="32"/>
        </w:rPr>
        <w:t>（一般公共预算收支表）</w:t>
      </w:r>
    </w:p>
    <w:p>
      <w:pPr>
        <w:spacing w:line="6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 w:hAnsi="仿宋" w:eastAsia="仿宋"/>
          <w:color w:val="000000"/>
          <w:sz w:val="32"/>
          <w:szCs w:val="32"/>
        </w:rPr>
        <w:t>2022</w:t>
      </w:r>
      <w:r>
        <w:rPr>
          <w:rFonts w:ascii="仿宋" w:hAnsi="仿宋" w:eastAsia="仿宋"/>
          <w:color w:val="000000"/>
          <w:sz w:val="32"/>
          <w:u w:color="auto"/>
        </w:rPr>
        <w:t>年一般公共预算财政拨款支出2735.42</w:t>
      </w:r>
      <w:r>
        <w:rPr>
          <w:rFonts w:hint="eastAsia" w:ascii="仿宋" w:hAnsi="仿宋" w:eastAsia="仿宋"/>
          <w:color w:val="000000"/>
          <w:sz w:val="32"/>
          <w:szCs w:val="32"/>
        </w:rPr>
        <w:t xml:space="preserve">万元，主要用于以下方面: </w:t>
      </w:r>
      <w:r>
        <w:rPr>
          <w:rFonts w:ascii="仿宋" w:hAnsi="仿宋" w:eastAsia="仿宋"/>
          <w:color w:val="000000"/>
          <w:sz w:val="32"/>
          <w:u w:color="auto"/>
        </w:rPr>
        <w:t>社会保障和就业支出75.85万元，占2.77%；卫生健康支出30.04万元，占1.10%；城乡社区支出120.72万元，占4.41%；农林水支出20.00万元，占0.73%；自然资源海洋气象等支出799.88万元，占29.24%；住房保障支出42.94万元，占1.57%；灾害防治及应急管理支出1646.00万元，占60.18%。</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w:t>
      </w:r>
      <w:bookmarkStart w:id="44" w:name="_Toc15377212"/>
    </w:p>
    <w:p>
      <w:pPr>
        <w:pStyle w:val="2"/>
      </w:pPr>
      <w:r>
        <w:drawing>
          <wp:inline distT="0" distB="0" distL="0" distR="0">
            <wp:extent cx="4333240" cy="2886075"/>
            <wp:effectExtent l="0" t="0" r="10160" b="952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（三）一般公共预算财政拨款支出决算具体情况</w:t>
      </w:r>
      <w:bookmarkEnd w:id="44"/>
    </w:p>
    <w:p>
      <w:pPr>
        <w:spacing w:line="600" w:lineRule="exact"/>
        <w:ind w:firstLine="640"/>
        <w:rPr>
          <w:rFonts w:ascii="仿宋" w:hAnsi="仿宋" w:eastAsia="仿宋"/>
          <w:color w:val="000000"/>
          <w:sz w:val="32"/>
          <w:szCs w:val="32"/>
        </w:rPr>
      </w:pPr>
      <w:bookmarkStart w:id="45" w:name="_Toc15377213"/>
      <w:bookmarkStart w:id="46" w:name="_Toc15377444"/>
      <w:bookmarkStart w:id="47" w:name="_Toc15378460"/>
      <w:r>
        <w:rPr>
          <w:rFonts w:hint="eastAsia" w:ascii="仿宋" w:hAnsi="仿宋" w:eastAsia="仿宋"/>
          <w:color w:val="000000"/>
          <w:sz w:val="32"/>
          <w:szCs w:val="32"/>
        </w:rPr>
        <w:t>2022</w:t>
      </w:r>
      <w:r>
        <w:rPr>
          <w:rFonts w:ascii="仿宋" w:hAnsi="仿宋" w:eastAsia="仿宋"/>
          <w:color w:val="000000"/>
          <w:sz w:val="32"/>
          <w:u w:color="auto"/>
        </w:rPr>
        <w:t>年一般公共预算支出决算数为2735.42</w:t>
      </w:r>
      <w:r>
        <w:rPr>
          <w:rFonts w:hint="eastAsia" w:ascii="仿宋" w:hAnsi="仿宋" w:eastAsia="仿宋"/>
          <w:color w:val="000000"/>
          <w:sz w:val="32"/>
          <w:szCs w:val="32"/>
        </w:rPr>
        <w:t>万，完成预算100%。其中：</w:t>
      </w:r>
      <w:bookmarkEnd w:id="45"/>
      <w:bookmarkEnd w:id="46"/>
      <w:bookmarkEnd w:id="47"/>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1.社会保障和就业支出（208）行政事业单位养老支出（20805）机关事业单位基本养老保险缴费支出（2080505）支出决算50.57万元，完成预算100%。</w:t>
      </w:r>
      <w:r>
        <w:rPr>
          <w:rFonts w:hint="eastAsia" w:ascii="仿宋" w:hAnsi="仿宋" w:eastAsia="仿宋"/>
          <w:color w:val="000000"/>
          <w:sz w:val="32"/>
          <w:szCs w:val="32"/>
        </w:rPr>
        <w:cr/>
      </w:r>
      <w:r>
        <w:rPr>
          <w:rFonts w:hint="eastAsia" w:ascii="仿宋" w:hAnsi="仿宋" w:eastAsia="仿宋"/>
          <w:color w:val="000000"/>
          <w:sz w:val="32"/>
          <w:szCs w:val="32"/>
        </w:rPr>
        <w:t>2.社会保障和就业支出（208）行政事业单位养老支出（20805）机关事业单位职业年金缴费支出（2080506）支出决算25.28万元，完成预算100%。</w:t>
      </w:r>
      <w:r>
        <w:rPr>
          <w:rFonts w:hint="eastAsia" w:ascii="仿宋" w:hAnsi="仿宋" w:eastAsia="仿宋"/>
          <w:color w:val="000000"/>
          <w:sz w:val="32"/>
          <w:szCs w:val="32"/>
        </w:rPr>
        <w:cr/>
      </w:r>
      <w:r>
        <w:rPr>
          <w:rFonts w:hint="eastAsia" w:ascii="仿宋" w:hAnsi="仿宋" w:eastAsia="仿宋"/>
          <w:color w:val="000000"/>
          <w:sz w:val="32"/>
          <w:szCs w:val="32"/>
        </w:rPr>
        <w:t>3.卫生健康支出（210）行政事业单位医疗（21011）行政单位医疗（2101101）支出决算15.18万元，完成预算100%。</w:t>
      </w:r>
      <w:r>
        <w:rPr>
          <w:rFonts w:hint="eastAsia" w:ascii="仿宋" w:hAnsi="仿宋" w:eastAsia="仿宋"/>
          <w:color w:val="000000"/>
          <w:sz w:val="32"/>
          <w:szCs w:val="32"/>
        </w:rPr>
        <w:cr/>
      </w:r>
      <w:r>
        <w:rPr>
          <w:rFonts w:hint="eastAsia" w:ascii="仿宋" w:hAnsi="仿宋" w:eastAsia="仿宋"/>
          <w:color w:val="000000"/>
          <w:sz w:val="32"/>
          <w:szCs w:val="32"/>
        </w:rPr>
        <w:t>4.卫生健康支出（210）行政事业单位医疗（21011）事业单位医疗（2101102）支出决算8.04万元，完成预算100%。</w:t>
      </w:r>
      <w:r>
        <w:rPr>
          <w:rFonts w:hint="eastAsia" w:ascii="仿宋" w:hAnsi="仿宋" w:eastAsia="仿宋"/>
          <w:color w:val="000000"/>
          <w:sz w:val="32"/>
          <w:szCs w:val="32"/>
        </w:rPr>
        <w:cr/>
      </w:r>
      <w:r>
        <w:rPr>
          <w:rFonts w:hint="eastAsia" w:ascii="仿宋" w:hAnsi="仿宋" w:eastAsia="仿宋"/>
          <w:color w:val="000000"/>
          <w:sz w:val="32"/>
          <w:szCs w:val="32"/>
        </w:rPr>
        <w:t>5.卫生健康支出（210）行政事业单位医疗（21011）公务员医疗补助（2101103）支出决算4.59万元，完成预算100%。</w:t>
      </w:r>
      <w:r>
        <w:rPr>
          <w:rFonts w:hint="eastAsia" w:ascii="仿宋" w:hAnsi="仿宋" w:eastAsia="仿宋"/>
          <w:color w:val="000000"/>
          <w:sz w:val="32"/>
          <w:szCs w:val="32"/>
        </w:rPr>
        <w:cr/>
      </w:r>
      <w:r>
        <w:rPr>
          <w:rFonts w:hint="eastAsia" w:ascii="仿宋" w:hAnsi="仿宋" w:eastAsia="仿宋"/>
          <w:color w:val="000000"/>
          <w:sz w:val="32"/>
          <w:szCs w:val="32"/>
        </w:rPr>
        <w:t>6.卫生健康支出（210）行政事业单位医疗（21011）其他行政事业单位医疗支出（2101199）支出决算2.23万元，完成预算100%。</w:t>
      </w:r>
      <w:r>
        <w:rPr>
          <w:rFonts w:hint="eastAsia" w:ascii="仿宋" w:hAnsi="仿宋" w:eastAsia="仿宋"/>
          <w:color w:val="000000"/>
          <w:sz w:val="32"/>
          <w:szCs w:val="32"/>
        </w:rPr>
        <w:cr/>
      </w:r>
      <w:r>
        <w:rPr>
          <w:rFonts w:hint="eastAsia" w:ascii="仿宋" w:hAnsi="仿宋" w:eastAsia="仿宋"/>
          <w:color w:val="000000"/>
          <w:sz w:val="32"/>
          <w:szCs w:val="32"/>
        </w:rPr>
        <w:t>7.城乡社区支出（212）其他城乡社区支出（21299）其他城乡社区支出（2129999）支出决算120.72万元，完成预算100%。</w:t>
      </w:r>
      <w:r>
        <w:rPr>
          <w:rFonts w:hint="eastAsia" w:ascii="仿宋" w:hAnsi="仿宋" w:eastAsia="仿宋"/>
          <w:color w:val="000000"/>
          <w:sz w:val="32"/>
          <w:szCs w:val="32"/>
        </w:rPr>
        <w:cr/>
      </w:r>
      <w:r>
        <w:rPr>
          <w:rFonts w:hint="eastAsia" w:ascii="仿宋" w:hAnsi="仿宋" w:eastAsia="仿宋"/>
          <w:color w:val="000000"/>
          <w:sz w:val="32"/>
          <w:szCs w:val="32"/>
        </w:rPr>
        <w:t>8.农林水支出（213）巩固脱贫衔接乡村振兴（21305）农村基础设施建设（2130504）支出决算20.00万元，完成预算100%。</w:t>
      </w:r>
      <w:r>
        <w:rPr>
          <w:rFonts w:hint="eastAsia" w:ascii="仿宋" w:hAnsi="仿宋" w:eastAsia="仿宋"/>
          <w:color w:val="000000"/>
          <w:sz w:val="32"/>
          <w:szCs w:val="32"/>
        </w:rPr>
        <w:cr/>
      </w:r>
      <w:r>
        <w:rPr>
          <w:rFonts w:hint="eastAsia" w:ascii="仿宋" w:hAnsi="仿宋" w:eastAsia="仿宋"/>
          <w:color w:val="000000"/>
          <w:sz w:val="32"/>
          <w:szCs w:val="32"/>
        </w:rPr>
        <w:t>9.自然资源海洋气象等支出（220）自然资源事务（22001）行政运行（2200101）支出决算359.95万元，完成预算100%。</w:t>
      </w:r>
      <w:r>
        <w:rPr>
          <w:rFonts w:hint="eastAsia" w:ascii="仿宋" w:hAnsi="仿宋" w:eastAsia="仿宋"/>
          <w:color w:val="000000"/>
          <w:sz w:val="32"/>
          <w:szCs w:val="32"/>
        </w:rPr>
        <w:cr/>
      </w:r>
      <w:r>
        <w:rPr>
          <w:rFonts w:hint="eastAsia" w:ascii="仿宋" w:hAnsi="仿宋" w:eastAsia="仿宋"/>
          <w:color w:val="000000"/>
          <w:sz w:val="32"/>
          <w:szCs w:val="32"/>
        </w:rPr>
        <w:t>10.自然资源海洋气象等支出（220）自然资源事务（22001）自然资源规划及管理（2200104）支出决算202.99万元，完成预算100%。</w:t>
      </w:r>
      <w:r>
        <w:rPr>
          <w:rFonts w:hint="eastAsia" w:ascii="仿宋" w:hAnsi="仿宋" w:eastAsia="仿宋"/>
          <w:color w:val="000000"/>
          <w:sz w:val="32"/>
          <w:szCs w:val="32"/>
        </w:rPr>
        <w:cr/>
      </w:r>
      <w:r>
        <w:rPr>
          <w:rFonts w:hint="eastAsia" w:ascii="仿宋" w:hAnsi="仿宋" w:eastAsia="仿宋"/>
          <w:color w:val="000000"/>
          <w:sz w:val="32"/>
          <w:szCs w:val="32"/>
        </w:rPr>
        <w:t>11.自然资源海洋气象等支出（220）自然资源事务（22001）自然资源调查与确权登记（2200109）支出决算49.17万元，完成预算100%。</w:t>
      </w:r>
      <w:r>
        <w:rPr>
          <w:rFonts w:hint="eastAsia" w:ascii="仿宋" w:hAnsi="仿宋" w:eastAsia="仿宋"/>
          <w:color w:val="000000"/>
          <w:sz w:val="32"/>
          <w:szCs w:val="32"/>
        </w:rPr>
        <w:cr/>
      </w:r>
      <w:r>
        <w:rPr>
          <w:rFonts w:hint="eastAsia" w:ascii="仿宋" w:hAnsi="仿宋" w:eastAsia="仿宋"/>
          <w:color w:val="000000"/>
          <w:sz w:val="32"/>
          <w:szCs w:val="32"/>
        </w:rPr>
        <w:t>12.自然资源海洋气象等支出（220）自然资源事务（22001）事业运行（2200150）支出决算187.77万元，完成预算100%。</w:t>
      </w:r>
      <w:r>
        <w:rPr>
          <w:rFonts w:hint="eastAsia" w:ascii="仿宋" w:hAnsi="仿宋" w:eastAsia="仿宋"/>
          <w:color w:val="000000"/>
          <w:sz w:val="32"/>
          <w:szCs w:val="32"/>
        </w:rPr>
        <w:cr/>
      </w:r>
      <w:r>
        <w:rPr>
          <w:rFonts w:hint="eastAsia" w:ascii="仿宋" w:hAnsi="仿宋" w:eastAsia="仿宋"/>
          <w:color w:val="000000"/>
          <w:sz w:val="32"/>
          <w:szCs w:val="32"/>
        </w:rPr>
        <w:t>13.住房保障支出（221）住房改革支出（22102）住房公积金（2210201）支出决算42.94万元，完成预算100%。</w:t>
      </w:r>
      <w:r>
        <w:rPr>
          <w:rFonts w:hint="eastAsia" w:ascii="仿宋" w:hAnsi="仿宋" w:eastAsia="仿宋"/>
          <w:color w:val="000000"/>
          <w:sz w:val="32"/>
          <w:szCs w:val="32"/>
        </w:rPr>
        <w:cr/>
      </w:r>
      <w:r>
        <w:rPr>
          <w:rFonts w:hint="eastAsia" w:ascii="仿宋" w:hAnsi="仿宋" w:eastAsia="仿宋"/>
          <w:color w:val="000000"/>
          <w:sz w:val="32"/>
          <w:szCs w:val="32"/>
        </w:rPr>
        <w:t>14.灾害防治及应急管理支出（224）自然灾害防治（22406）地质灾害防治（2240601）支出决算1646.00万元，完成预算100%。</w:t>
      </w:r>
    </w:p>
    <w:p>
      <w:pPr>
        <w:pStyle w:val="4"/>
        <w:ind w:firstLine="643" w:firstLineChars="200"/>
        <w:rPr>
          <w:rFonts w:ascii="黑体" w:eastAsia="黑体" w:cs="Times New Roman"/>
          <w:b w:val="0"/>
          <w:color w:val="000000"/>
        </w:rPr>
      </w:pPr>
      <w:bookmarkStart w:id="48" w:name="_Toc15377214"/>
      <w:bookmarkStart w:id="49" w:name="_Toc111208504"/>
      <w:bookmarkStart w:id="50" w:name="_Toc2420"/>
      <w:r>
        <w:rPr>
          <w:rFonts w:hint="eastAsia" w:ascii="黑体" w:eastAsia="黑体" w:cs="Times New Roman"/>
          <w:bCs w:val="0"/>
          <w:color w:val="000000"/>
        </w:rPr>
        <w:t>六、一般公共预算财政拨款基本支出决算情况说</w:t>
      </w:r>
      <w:bookmarkEnd w:id="48"/>
      <w:r>
        <w:rPr>
          <w:rFonts w:hint="eastAsia" w:ascii="黑体" w:eastAsia="黑体" w:cs="Times New Roman"/>
          <w:bCs w:val="0"/>
          <w:color w:val="000000"/>
        </w:rPr>
        <w:t>明</w:t>
      </w:r>
      <w:bookmarkEnd w:id="49"/>
      <w:bookmarkEnd w:id="50"/>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年一般公共预算财政拨款基本支出696.55</w:t>
      </w:r>
      <w:r>
        <w:rPr>
          <w:rFonts w:hint="eastAsia" w:ascii="仿宋" w:hAnsi="仿宋" w:eastAsia="仿宋"/>
          <w:color w:val="000000"/>
          <w:sz w:val="32"/>
          <w:szCs w:val="32"/>
        </w:rPr>
        <w:t>万元，其中：</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人员经费</w:t>
      </w:r>
      <w:r>
        <w:rPr>
          <w:rFonts w:ascii="仿宋" w:hAnsi="仿宋" w:eastAsia="仿宋"/>
          <w:color w:val="000000"/>
          <w:sz w:val="32"/>
          <w:u w:color="auto"/>
        </w:rPr>
        <w:t>622.31</w:t>
      </w:r>
      <w:r>
        <w:rPr>
          <w:rFonts w:hint="eastAsia" w:ascii="仿宋" w:hAnsi="仿宋" w:eastAsia="仿宋"/>
          <w:color w:val="000000"/>
          <w:sz w:val="32"/>
          <w:szCs w:val="32"/>
        </w:rPr>
        <w:t>万元，主要包括：</w:t>
      </w:r>
      <w:r>
        <w:rPr>
          <w:rFonts w:ascii="仿宋" w:hAnsi="仿宋" w:eastAsia="仿宋"/>
          <w:color w:val="000000"/>
          <w:sz w:val="32"/>
          <w:u w:color="auto"/>
        </w:rPr>
        <w:t>基本工资128.06万元、津贴补贴115.51万元、奖金104.16万元、绩效工资40.40万元、机关事业单位基本养老保险缴费50.57万元、职业年金缴费25.28万元、职工基本医疗保险缴费23.22万元、公务员医疗补助缴费6.82万元、其他社会保障缴费5.61万元、住房公积金42.94万元、生活补助6.40万元、奖励金73.34万元。</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公用经费</w:t>
      </w:r>
      <w:r>
        <w:rPr>
          <w:rFonts w:ascii="仿宋" w:hAnsi="仿宋" w:eastAsia="仿宋"/>
          <w:color w:val="000000"/>
          <w:sz w:val="32"/>
          <w:u w:color="auto"/>
        </w:rPr>
        <w:t>74.23</w:t>
      </w:r>
      <w:r>
        <w:rPr>
          <w:rFonts w:hint="eastAsia" w:ascii="仿宋" w:hAnsi="仿宋" w:eastAsia="仿宋"/>
          <w:color w:val="000000"/>
          <w:sz w:val="32"/>
          <w:szCs w:val="32"/>
        </w:rPr>
        <w:t>万元，主要包括：</w:t>
      </w:r>
      <w:r>
        <w:rPr>
          <w:rFonts w:ascii="仿宋" w:hAnsi="仿宋" w:eastAsia="仿宋"/>
          <w:color w:val="000000"/>
          <w:sz w:val="32"/>
          <w:u w:color="auto"/>
        </w:rPr>
        <w:t>办公费5.49万元、水费0.20万元、电费1.50万元、邮电费5.20万元、差旅费9.57万元、维修（护）费0.19万元、会议费1.74万元、劳务费3.91万元、公务用车运行维护费1.43万元、其他交通费用6.37万元</w:t>
      </w:r>
      <w:r>
        <w:rPr>
          <w:rFonts w:hint="eastAsia" w:ascii="仿宋" w:hAnsi="仿宋" w:eastAsia="仿宋"/>
          <w:color w:val="000000"/>
          <w:sz w:val="32"/>
          <w:szCs w:val="32"/>
        </w:rPr>
        <w:t>。</w:t>
      </w:r>
    </w:p>
    <w:p>
      <w:pPr>
        <w:pStyle w:val="4"/>
        <w:ind w:firstLine="643" w:firstLineChars="200"/>
        <w:rPr>
          <w:rFonts w:ascii="黑体" w:eastAsia="黑体" w:cs="Times New Roman"/>
          <w:bCs w:val="0"/>
          <w:color w:val="000000"/>
        </w:rPr>
      </w:pPr>
      <w:bookmarkStart w:id="51" w:name="_Toc111208505"/>
      <w:bookmarkStart w:id="52" w:name="_Toc15377215"/>
      <w:bookmarkStart w:id="53" w:name="_Toc26708"/>
      <w:r>
        <w:rPr>
          <w:rFonts w:hint="eastAsia" w:ascii="黑体" w:eastAsia="黑体" w:cs="Times New Roman"/>
          <w:bCs w:val="0"/>
          <w:color w:val="000000"/>
        </w:rPr>
        <w:t>七、“三公”经费财政拨款支出决算情况说明</w:t>
      </w:r>
      <w:bookmarkEnd w:id="51"/>
      <w:bookmarkEnd w:id="52"/>
      <w:bookmarkEnd w:id="53"/>
    </w:p>
    <w:p>
      <w:pPr>
        <w:spacing w:line="600" w:lineRule="exact"/>
        <w:ind w:firstLine="643" w:firstLineChars="200"/>
        <w:outlineLvl w:val="2"/>
        <w:rPr>
          <w:rFonts w:ascii="仿宋" w:hAnsi="仿宋" w:eastAsia="仿宋"/>
          <w:b/>
          <w:color w:val="000000"/>
          <w:sz w:val="32"/>
          <w:szCs w:val="32"/>
        </w:rPr>
      </w:pPr>
      <w:bookmarkStart w:id="54" w:name="_Toc15377216"/>
      <w:r>
        <w:rPr>
          <w:rFonts w:hint="eastAsia" w:ascii="仿宋" w:hAnsi="仿宋" w:eastAsia="仿宋"/>
          <w:b/>
          <w:color w:val="000000"/>
          <w:sz w:val="32"/>
          <w:szCs w:val="32"/>
        </w:rPr>
        <w:t>（一）“三公”经费财政拨款支出决算总体情况说明</w:t>
      </w:r>
      <w:bookmarkEnd w:id="54"/>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年“三公”经费财政拨款支出决算为40.07</w:t>
      </w:r>
      <w:r>
        <w:rPr>
          <w:rFonts w:hint="eastAsia" w:ascii="仿宋" w:hAnsi="仿宋" w:eastAsia="仿宋"/>
          <w:color w:val="000000"/>
          <w:sz w:val="32"/>
          <w:szCs w:val="32"/>
        </w:rPr>
        <w:t>万元，完成预算</w:t>
      </w:r>
      <w:r>
        <w:rPr>
          <w:rFonts w:ascii="仿宋" w:hAnsi="仿宋" w:eastAsia="仿宋"/>
          <w:color w:val="000000"/>
          <w:sz w:val="32"/>
          <w:u w:color="auto"/>
        </w:rPr>
        <w:t>100.00</w:t>
      </w:r>
      <w:r>
        <w:rPr>
          <w:rFonts w:hint="eastAsia" w:ascii="仿宋" w:hAnsi="仿宋" w:eastAsia="仿宋"/>
          <w:color w:val="000000"/>
          <w:sz w:val="32"/>
          <w:szCs w:val="32"/>
        </w:rPr>
        <w:t>%。</w:t>
      </w:r>
      <w:bookmarkStart w:id="55" w:name="_Toc15377217"/>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bookmarkEnd w:id="55"/>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年“三公”经费财政拨款支出40.07</w:t>
      </w:r>
      <w:r>
        <w:rPr>
          <w:rFonts w:hint="eastAsia" w:ascii="仿宋" w:hAnsi="仿宋" w:eastAsia="仿宋"/>
          <w:color w:val="000000"/>
          <w:sz w:val="32"/>
          <w:szCs w:val="32"/>
        </w:rPr>
        <w:t>万，因公出国（境）费支出决算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%；公务用车购置及运行维护费支出决算</w:t>
      </w:r>
      <w:r>
        <w:rPr>
          <w:rFonts w:ascii="仿宋" w:hAnsi="仿宋" w:eastAsia="仿宋"/>
          <w:color w:val="000000"/>
          <w:sz w:val="32"/>
          <w:u w:color="auto"/>
        </w:rPr>
        <w:t>40.07</w:t>
      </w:r>
      <w:r>
        <w:rPr>
          <w:rFonts w:hint="eastAsia" w:ascii="仿宋" w:hAnsi="仿宋" w:eastAsia="仿宋"/>
          <w:color w:val="000000"/>
          <w:sz w:val="32"/>
          <w:szCs w:val="32"/>
        </w:rPr>
        <w:t>万元，占</w:t>
      </w:r>
      <w:r>
        <w:rPr>
          <w:rFonts w:ascii="仿宋" w:hAnsi="仿宋" w:eastAsia="仿宋"/>
          <w:color w:val="000000"/>
          <w:sz w:val="32"/>
          <w:u w:color="auto"/>
        </w:rPr>
        <w:t>100.00</w:t>
      </w:r>
      <w:r>
        <w:rPr>
          <w:rFonts w:hint="eastAsia" w:ascii="仿宋" w:hAnsi="仿宋" w:eastAsia="仿宋"/>
          <w:color w:val="000000"/>
          <w:sz w:val="32"/>
          <w:szCs w:val="32"/>
        </w:rPr>
        <w:t>%；公务接待费支出决算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%。具体情况如下：</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（图7：“三公”经费财政拨款支出结构）</w:t>
      </w:r>
    </w:p>
    <w:p>
      <w:pPr>
        <w:pStyle w:val="2"/>
        <w:rPr>
          <w:rFonts w:ascii="仿宋_GB2312" w:hAnsi="仿宋" w:eastAsia="仿宋_GB2312"/>
          <w:color w:val="000000"/>
          <w:sz w:val="32"/>
          <w:szCs w:val="32"/>
        </w:rPr>
      </w:pPr>
      <w:r>
        <w:drawing>
          <wp:inline distT="0" distB="0" distL="0" distR="0">
            <wp:extent cx="4333240" cy="2886075"/>
            <wp:effectExtent l="0" t="0" r="10160" b="952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1.因公出国（境）经费支出</w:t>
      </w:r>
      <w:r>
        <w:rPr>
          <w:rFonts w:ascii="仿宋" w:hAnsi="仿宋" w:eastAsia="仿宋"/>
          <w:color w:val="000000"/>
          <w:sz w:val="32"/>
          <w:u w:color="auto"/>
        </w:rPr>
        <w:t>0.00</w:t>
      </w:r>
      <w:r>
        <w:rPr>
          <w:rFonts w:hint="eastAsia" w:ascii="仿宋" w:hAnsi="仿宋" w:eastAsia="仿宋"/>
          <w:color w:val="000000"/>
          <w:sz w:val="32"/>
          <w:szCs w:val="32"/>
        </w:rPr>
        <w:t>万元,完成预算100%。全年安排因公出国（境）团组</w:t>
      </w:r>
      <w:r>
        <w:rPr>
          <w:rFonts w:ascii="仿宋" w:hAnsi="仿宋" w:eastAsia="仿宋"/>
          <w:color w:val="000000"/>
          <w:sz w:val="32"/>
          <w:u w:color="auto"/>
        </w:rPr>
        <w:t>0</w:t>
      </w:r>
      <w:r>
        <w:rPr>
          <w:rFonts w:hint="eastAsia" w:ascii="仿宋" w:hAnsi="仿宋" w:eastAsia="仿宋"/>
          <w:color w:val="000000"/>
          <w:sz w:val="32"/>
          <w:szCs w:val="32"/>
        </w:rPr>
        <w:t>次，出国（境）</w:t>
      </w:r>
      <w:r>
        <w:rPr>
          <w:rFonts w:ascii="仿宋" w:hAnsi="仿宋" w:eastAsia="仿宋"/>
          <w:color w:val="000000"/>
          <w:sz w:val="32"/>
          <w:u w:color="auto"/>
        </w:rPr>
        <w:t>0</w:t>
      </w:r>
      <w:r>
        <w:rPr>
          <w:rFonts w:hint="eastAsia" w:ascii="仿宋" w:hAnsi="仿宋" w:eastAsia="仿宋"/>
          <w:color w:val="000000"/>
          <w:sz w:val="32"/>
          <w:szCs w:val="32"/>
        </w:rPr>
        <w:t>人。因公出国（境）支出决算比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增加100.00</w:t>
      </w:r>
      <w:r>
        <w:rPr>
          <w:rFonts w:hint="eastAsia" w:ascii="仿宋" w:hAnsi="仿宋" w:eastAsia="仿宋"/>
          <w:color w:val="000000"/>
          <w:sz w:val="32"/>
          <w:szCs w:val="32"/>
        </w:rPr>
        <w:t xml:space="preserve"> %。</w:t>
      </w:r>
      <w:r>
        <w:rPr>
          <w:rFonts w:ascii="仿宋" w:hAnsi="仿宋" w:eastAsia="仿宋"/>
          <w:color w:val="000000"/>
          <w:sz w:val="32"/>
          <w:u w:color="auto"/>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2.公务用车购置及运行维护费支出</w:t>
      </w:r>
      <w:r>
        <w:rPr>
          <w:rFonts w:ascii="仿宋" w:hAnsi="仿宋" w:eastAsia="仿宋"/>
          <w:color w:val="000000"/>
          <w:sz w:val="32"/>
          <w:u w:color="auto"/>
        </w:rPr>
        <w:t>40.07</w:t>
      </w:r>
      <w:r>
        <w:rPr>
          <w:rFonts w:hint="eastAsia" w:ascii="仿宋" w:hAnsi="仿宋" w:eastAsia="仿宋"/>
          <w:color w:val="000000"/>
          <w:sz w:val="32"/>
          <w:szCs w:val="32"/>
        </w:rPr>
        <w:t>万元,完成预算</w:t>
      </w:r>
      <w:r>
        <w:rPr>
          <w:rFonts w:ascii="仿宋" w:hAnsi="仿宋" w:eastAsia="仿宋"/>
          <w:color w:val="000000"/>
          <w:sz w:val="32"/>
          <w:u w:color="auto"/>
        </w:rPr>
        <w:t>100.00</w:t>
      </w:r>
      <w:r>
        <w:rPr>
          <w:rFonts w:hint="eastAsia" w:ascii="仿宋" w:hAnsi="仿宋" w:eastAsia="仿宋"/>
          <w:color w:val="000000"/>
          <w:sz w:val="32"/>
          <w:szCs w:val="32"/>
        </w:rPr>
        <w:t>%。公务用车购置及运行维护费支出决算比</w:t>
      </w:r>
      <w:r>
        <w:rPr>
          <w:rFonts w:ascii="仿宋" w:hAnsi="仿宋" w:eastAsia="仿宋"/>
          <w:color w:val="000000"/>
          <w:sz w:val="32"/>
          <w:u w:color="auto"/>
        </w:rPr>
        <w:t>2021年增加33.07</w:t>
      </w:r>
      <w:r>
        <w:rPr>
          <w:rFonts w:hint="eastAsia" w:ascii="仿宋" w:hAnsi="仿宋" w:eastAsia="仿宋"/>
          <w:color w:val="000000"/>
          <w:sz w:val="32"/>
          <w:szCs w:val="32"/>
        </w:rPr>
        <w:t>万元，</w:t>
      </w:r>
      <w:r>
        <w:rPr>
          <w:rFonts w:ascii="仿宋" w:hAnsi="仿宋" w:eastAsia="仿宋"/>
          <w:color w:val="000000"/>
          <w:sz w:val="32"/>
          <w:u w:color="auto"/>
        </w:rPr>
        <w:t>增加472.49</w:t>
      </w:r>
      <w:r>
        <w:rPr>
          <w:rFonts w:hint="eastAsia" w:ascii="仿宋" w:hAnsi="仿宋" w:eastAsia="仿宋"/>
          <w:color w:val="000000"/>
          <w:sz w:val="32"/>
          <w:szCs w:val="32"/>
        </w:rPr>
        <w:t>%。</w:t>
      </w:r>
      <w:r>
        <w:rPr>
          <w:rFonts w:ascii="仿宋" w:hAnsi="仿宋" w:eastAsia="仿宋"/>
          <w:color w:val="000000"/>
          <w:sz w:val="32"/>
          <w:u w:color="auto"/>
        </w:rPr>
        <w:t xml:space="preserve">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其中：公务用车购置支出</w:t>
      </w:r>
      <w:r>
        <w:rPr>
          <w:rFonts w:ascii="仿宋" w:hAnsi="仿宋" w:eastAsia="仿宋"/>
          <w:color w:val="000000"/>
          <w:sz w:val="32"/>
          <w:u w:color="auto"/>
        </w:rPr>
        <w:t>38.64万元。全年按规定更新购置公务用车1辆，其中：轿车0辆、金额0.00万元，越野车386415辆、金额0.00万元，载客汽车0辆、金额0.00万元。截至</w:t>
      </w:r>
      <w:r>
        <w:rPr>
          <w:rFonts w:ascii="仿宋" w:hAnsi="仿宋" w:eastAsia="仿宋"/>
          <w:color w:val="000000"/>
          <w:sz w:val="32"/>
          <w:szCs w:val="32"/>
        </w:rPr>
        <w:t>20</w:t>
      </w:r>
      <w:r>
        <w:rPr>
          <w:rFonts w:hint="eastAsia" w:ascii="仿宋" w:hAnsi="仿宋" w:eastAsia="仿宋"/>
          <w:color w:val="000000"/>
          <w:sz w:val="32"/>
          <w:szCs w:val="32"/>
        </w:rPr>
        <w:t>21年</w:t>
      </w:r>
      <w:r>
        <w:rPr>
          <w:rFonts w:ascii="仿宋" w:hAnsi="仿宋" w:eastAsia="仿宋"/>
          <w:color w:val="000000"/>
          <w:sz w:val="32"/>
          <w:szCs w:val="32"/>
        </w:rPr>
        <w:t>12</w:t>
      </w:r>
      <w:r>
        <w:rPr>
          <w:rFonts w:hint="eastAsia" w:ascii="仿宋" w:hAnsi="仿宋" w:eastAsia="仿宋"/>
          <w:color w:val="000000"/>
          <w:sz w:val="32"/>
          <w:szCs w:val="32"/>
        </w:rPr>
        <w:t>月底，单位共有公务用车</w:t>
      </w:r>
      <w:r>
        <w:rPr>
          <w:rFonts w:ascii="仿宋" w:hAnsi="仿宋" w:eastAsia="仿宋"/>
          <w:color w:val="000000"/>
          <w:sz w:val="32"/>
          <w:u w:color="auto"/>
        </w:rPr>
        <w:t>2</w:t>
      </w:r>
      <w:r>
        <w:rPr>
          <w:rFonts w:hint="eastAsia" w:ascii="仿宋" w:hAnsi="仿宋" w:eastAsia="仿宋"/>
          <w:color w:val="000000"/>
          <w:sz w:val="32"/>
          <w:szCs w:val="32"/>
        </w:rPr>
        <w:t>辆，其中：轿车</w:t>
      </w:r>
      <w:r>
        <w:rPr>
          <w:rFonts w:ascii="仿宋" w:hAnsi="仿宋" w:eastAsia="仿宋"/>
          <w:color w:val="000000"/>
          <w:sz w:val="32"/>
          <w:u w:color="auto"/>
        </w:rPr>
        <w:t>0辆、越野车2辆、载客汽车0辆。</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公务用车运行维护费支出</w:t>
      </w:r>
      <w:r>
        <w:rPr>
          <w:rFonts w:ascii="仿宋" w:hAnsi="仿宋" w:eastAsia="仿宋"/>
          <w:color w:val="000000"/>
          <w:sz w:val="32"/>
          <w:u w:color="auto"/>
        </w:rPr>
        <w:t>1.43</w:t>
      </w:r>
      <w:r>
        <w:rPr>
          <w:rFonts w:hint="eastAsia" w:ascii="仿宋" w:hAnsi="仿宋" w:eastAsia="仿宋"/>
          <w:color w:val="000000"/>
          <w:sz w:val="32"/>
          <w:szCs w:val="32"/>
        </w:rPr>
        <w:t>万元。</w:t>
      </w:r>
      <w:r>
        <w:rPr>
          <w:rFonts w:ascii="仿宋" w:hAnsi="仿宋" w:eastAsia="仿宋"/>
          <w:color w:val="000000"/>
          <w:sz w:val="32"/>
          <w:u w:color="auto"/>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3.公务接待费支出</w:t>
      </w:r>
      <w:r>
        <w:rPr>
          <w:rFonts w:ascii="仿宋" w:hAnsi="仿宋" w:eastAsia="仿宋"/>
          <w:color w:val="000000"/>
          <w:sz w:val="32"/>
          <w:u w:color="auto"/>
        </w:rPr>
        <w:t>0.00万元，完成预算0.00</w:t>
      </w:r>
      <w:r>
        <w:rPr>
          <w:rFonts w:hint="eastAsia" w:ascii="仿宋" w:hAnsi="仿宋" w:eastAsia="仿宋"/>
          <w:color w:val="000000"/>
          <w:sz w:val="32"/>
          <w:szCs w:val="32"/>
        </w:rPr>
        <w:t>%。公务接待费支出决算比</w:t>
      </w:r>
      <w:r>
        <w:rPr>
          <w:rFonts w:ascii="仿宋" w:hAnsi="仿宋" w:eastAsia="仿宋"/>
          <w:color w:val="000000"/>
          <w:sz w:val="32"/>
          <w:u w:color="auto"/>
        </w:rPr>
        <w:t>2021年增加0.00</w:t>
      </w:r>
      <w:r>
        <w:rPr>
          <w:rFonts w:hint="eastAsia" w:ascii="仿宋" w:hAnsi="仿宋" w:eastAsia="仿宋"/>
          <w:color w:val="000000"/>
          <w:sz w:val="32"/>
          <w:szCs w:val="32"/>
        </w:rPr>
        <w:t>万元，</w:t>
      </w:r>
      <w:r>
        <w:rPr>
          <w:rFonts w:ascii="仿宋" w:hAnsi="仿宋" w:eastAsia="仿宋"/>
          <w:color w:val="000000"/>
          <w:sz w:val="32"/>
          <w:u w:color="auto"/>
        </w:rPr>
        <w:t>增加0.00</w:t>
      </w:r>
      <w:r>
        <w:rPr>
          <w:rFonts w:ascii="仿宋" w:hAnsi="仿宋" w:eastAsia="仿宋"/>
          <w:color w:val="000000"/>
          <w:sz w:val="32"/>
          <w:szCs w:val="32"/>
        </w:rPr>
        <w:t>%</w:t>
      </w:r>
      <w:r>
        <w:rPr>
          <w:rFonts w:hint="eastAsia" w:ascii="仿宋" w:hAnsi="仿宋" w:eastAsia="仿宋"/>
          <w:color w:val="000000"/>
          <w:sz w:val="32"/>
          <w:szCs w:val="32"/>
        </w:rPr>
        <w:t>。</w:t>
      </w:r>
      <w:bookmarkStart w:id="56" w:name="_Toc15377218"/>
      <w:r>
        <w:rPr>
          <w:rFonts w:hint="eastAsia"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国内公务接待支出</w:t>
      </w:r>
      <w:r>
        <w:rPr>
          <w:rFonts w:ascii="仿宋" w:hAnsi="仿宋" w:eastAsia="仿宋"/>
          <w:color w:val="000000"/>
          <w:sz w:val="32"/>
          <w:u w:color="auto"/>
        </w:rPr>
        <w:t>0.00万元。国内公务接待0批次，0人次（不包括陪同人员），共计支出0.00万元。</w:t>
      </w:r>
    </w:p>
    <w:p>
      <w:pPr>
        <w:pStyle w:val="2"/>
        <w:rPr>
          <w:rFonts w:ascii="仿宋" w:hAnsi="仿宋" w:eastAsia="仿宋"/>
          <w:color w:val="000000"/>
          <w:sz w:val="32"/>
          <w:szCs w:val="32"/>
        </w:rPr>
      </w:pPr>
      <w:r>
        <w:rPr>
          <w:rFonts w:hint="eastAsia" w:ascii="仿宋" w:hAnsi="仿宋" w:eastAsia="仿宋"/>
          <w:color w:val="000000"/>
          <w:sz w:val="32"/>
          <w:szCs w:val="32"/>
        </w:rPr>
        <w:t>外事接待支出</w:t>
      </w:r>
      <w:r>
        <w:rPr>
          <w:rFonts w:ascii="仿宋" w:hAnsi="仿宋" w:eastAsia="仿宋"/>
          <w:color w:val="000000"/>
          <w:sz w:val="32"/>
          <w:u w:color="auto"/>
        </w:rPr>
        <w:t>0.00万元，外事接待0批次，0人，共计支出0.00万元。</w:t>
      </w:r>
    </w:p>
    <w:p>
      <w:pPr>
        <w:pStyle w:val="4"/>
        <w:ind w:firstLine="643" w:firstLineChars="200"/>
        <w:rPr>
          <w:rFonts w:ascii="黑体" w:eastAsia="黑体" w:cs="Times New Roman"/>
          <w:bCs w:val="0"/>
          <w:color w:val="000000"/>
        </w:rPr>
      </w:pPr>
      <w:bookmarkStart w:id="57" w:name="_Toc111208506"/>
      <w:bookmarkStart w:id="58" w:name="_Toc18063"/>
      <w:r>
        <w:rPr>
          <w:rFonts w:hint="eastAsia" w:ascii="黑体" w:eastAsia="黑体" w:cs="Times New Roman"/>
          <w:bCs w:val="0"/>
          <w:color w:val="000000"/>
        </w:rPr>
        <w:t>八、政府性基金预算支出决算情况说明</w:t>
      </w:r>
      <w:bookmarkEnd w:id="56"/>
      <w:bookmarkEnd w:id="57"/>
      <w:bookmarkEnd w:id="58"/>
    </w:p>
    <w:p>
      <w:pPr>
        <w:spacing w:line="600" w:lineRule="exact"/>
        <w:ind w:firstLine="640"/>
        <w:rPr>
          <w:rFonts w:ascii="仿宋" w:hAnsi="仿宋" w:eastAsia="仿宋"/>
        </w:rPr>
      </w:pPr>
      <w:r>
        <w:rPr>
          <w:rFonts w:hint="eastAsia" w:ascii="仿宋" w:hAnsi="仿宋" w:eastAsia="仿宋"/>
          <w:color w:val="000000"/>
          <w:sz w:val="32"/>
          <w:szCs w:val="32"/>
        </w:rPr>
        <w:t>2022</w:t>
      </w:r>
      <w:r>
        <w:rPr>
          <w:rFonts w:ascii="仿宋" w:hAnsi="仿宋" w:eastAsia="仿宋"/>
          <w:color w:val="000000"/>
          <w:sz w:val="32"/>
          <w:u w:color="auto"/>
        </w:rPr>
        <w:t>年政府性基金预算拨款支出0.00</w:t>
      </w:r>
      <w:r>
        <w:rPr>
          <w:rFonts w:hint="eastAsia" w:ascii="仿宋" w:hAnsi="仿宋" w:eastAsia="仿宋"/>
          <w:color w:val="000000"/>
          <w:sz w:val="32"/>
          <w:szCs w:val="32"/>
        </w:rPr>
        <w:t>万元。</w:t>
      </w:r>
      <w:bookmarkStart w:id="59" w:name="_Toc15377219"/>
    </w:p>
    <w:p>
      <w:pPr>
        <w:pStyle w:val="4"/>
        <w:ind w:firstLine="643" w:firstLineChars="200"/>
        <w:rPr>
          <w:rFonts w:ascii="黑体" w:eastAsia="黑体" w:cs="Times New Roman"/>
          <w:bCs w:val="0"/>
          <w:color w:val="000000"/>
        </w:rPr>
      </w:pPr>
      <w:bookmarkStart w:id="60" w:name="_Toc111208507"/>
      <w:bookmarkStart w:id="61" w:name="_Toc11069"/>
      <w:r>
        <w:rPr>
          <w:rFonts w:hint="eastAsia" w:ascii="黑体" w:eastAsia="黑体" w:cs="Times New Roman"/>
          <w:bCs w:val="0"/>
          <w:color w:val="000000"/>
        </w:rPr>
        <w:t>九、国有资本经营预算支出决算情况说明</w:t>
      </w:r>
      <w:bookmarkEnd w:id="59"/>
      <w:bookmarkEnd w:id="60"/>
      <w:bookmarkEnd w:id="61"/>
    </w:p>
    <w:p>
      <w:pPr>
        <w:spacing w:line="600" w:lineRule="exact"/>
        <w:ind w:firstLine="640"/>
        <w:rPr>
          <w:rFonts w:ascii="仿宋" w:hAnsi="仿宋" w:eastAsia="仿宋"/>
        </w:rPr>
      </w:pPr>
      <w:r>
        <w:rPr>
          <w:rFonts w:hint="eastAsia" w:ascii="仿宋" w:hAnsi="仿宋" w:eastAsia="仿宋"/>
          <w:color w:val="000000"/>
          <w:sz w:val="32"/>
          <w:szCs w:val="32"/>
        </w:rPr>
        <w:t>2022</w:t>
      </w:r>
      <w:r>
        <w:rPr>
          <w:rFonts w:ascii="仿宋" w:hAnsi="仿宋" w:eastAsia="仿宋"/>
          <w:color w:val="000000"/>
          <w:sz w:val="32"/>
          <w:u w:color="auto"/>
        </w:rPr>
        <w:t>年国有资本经营预算拨款支出0.00</w:t>
      </w:r>
      <w:r>
        <w:rPr>
          <w:rFonts w:hint="eastAsia" w:ascii="仿宋" w:hAnsi="仿宋" w:eastAsia="仿宋"/>
          <w:color w:val="000000"/>
          <w:sz w:val="32"/>
          <w:szCs w:val="32"/>
        </w:rPr>
        <w:t>万元。</w:t>
      </w:r>
    </w:p>
    <w:p>
      <w:pPr>
        <w:pStyle w:val="4"/>
        <w:ind w:firstLine="643" w:firstLineChars="200"/>
        <w:rPr>
          <w:rFonts w:ascii="黑体" w:eastAsia="黑体" w:cs="Times New Roman"/>
          <w:bCs w:val="0"/>
          <w:color w:val="000000"/>
        </w:rPr>
      </w:pPr>
      <w:bookmarkStart w:id="62" w:name="_Toc15377221"/>
      <w:bookmarkStart w:id="63" w:name="_Toc111208508"/>
      <w:bookmarkStart w:id="64" w:name="_Toc28488"/>
      <w:r>
        <w:rPr>
          <w:rFonts w:hint="eastAsia" w:ascii="黑体" w:eastAsia="黑体" w:cs="Times New Roman"/>
          <w:bCs w:val="0"/>
          <w:color w:val="000000"/>
        </w:rPr>
        <w:t>十、其他重要事项的情况说明</w:t>
      </w:r>
      <w:bookmarkEnd w:id="62"/>
      <w:bookmarkEnd w:id="63"/>
      <w:bookmarkEnd w:id="64"/>
    </w:p>
    <w:p>
      <w:pPr>
        <w:spacing w:line="600" w:lineRule="exact"/>
        <w:ind w:firstLine="643" w:firstLineChars="200"/>
        <w:outlineLvl w:val="2"/>
        <w:rPr>
          <w:rFonts w:ascii="仿宋" w:hAnsi="仿宋" w:eastAsia="仿宋"/>
          <w:b/>
          <w:color w:val="000000"/>
          <w:sz w:val="32"/>
          <w:szCs w:val="32"/>
        </w:rPr>
      </w:pPr>
      <w:bookmarkStart w:id="65" w:name="_Toc15377222"/>
      <w:r>
        <w:rPr>
          <w:rFonts w:hint="eastAsia" w:ascii="仿宋" w:hAnsi="仿宋" w:eastAsia="仿宋"/>
          <w:b/>
          <w:color w:val="000000"/>
          <w:sz w:val="32"/>
          <w:szCs w:val="32"/>
        </w:rPr>
        <w:t>（一）机关运行经费支出情况</w:t>
      </w:r>
      <w:bookmarkEnd w:id="65"/>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年，机关运行经费支出63.30</w:t>
      </w:r>
      <w:r>
        <w:rPr>
          <w:rFonts w:hint="eastAsia" w:ascii="仿宋" w:hAnsi="仿宋" w:eastAsia="仿宋"/>
          <w:color w:val="000000"/>
          <w:sz w:val="32"/>
          <w:szCs w:val="32"/>
        </w:rPr>
        <w:t>万元，比</w:t>
      </w:r>
      <w:r>
        <w:rPr>
          <w:rFonts w:ascii="仿宋" w:hAnsi="仿宋" w:eastAsia="仿宋"/>
          <w:color w:val="000000"/>
          <w:sz w:val="32"/>
          <w:u w:color="auto"/>
        </w:rPr>
        <w:t>2021年增加35.62</w:t>
      </w:r>
      <w:r>
        <w:rPr>
          <w:rFonts w:hint="eastAsia" w:ascii="仿宋" w:hAnsi="仿宋" w:eastAsia="仿宋"/>
          <w:color w:val="000000"/>
          <w:sz w:val="32"/>
          <w:szCs w:val="32"/>
        </w:rPr>
        <w:t>万元，</w:t>
      </w:r>
      <w:r>
        <w:rPr>
          <w:rFonts w:ascii="仿宋" w:hAnsi="仿宋" w:eastAsia="仿宋"/>
          <w:color w:val="000000"/>
          <w:sz w:val="32"/>
          <w:u w:color="auto"/>
        </w:rPr>
        <w:t xml:space="preserve">增加128.72 %。 </w:t>
      </w:r>
    </w:p>
    <w:p>
      <w:pPr>
        <w:spacing w:line="600" w:lineRule="exact"/>
        <w:ind w:firstLine="643" w:firstLineChars="200"/>
        <w:outlineLvl w:val="2"/>
        <w:rPr>
          <w:rFonts w:ascii="仿宋" w:hAnsi="仿宋" w:eastAsia="仿宋"/>
          <w:b/>
          <w:color w:val="000000"/>
          <w:sz w:val="32"/>
          <w:szCs w:val="32"/>
        </w:rPr>
      </w:pPr>
      <w:bookmarkStart w:id="66" w:name="_Toc15377223"/>
      <w:r>
        <w:rPr>
          <w:rFonts w:hint="eastAsia" w:ascii="仿宋" w:hAnsi="仿宋" w:eastAsia="仿宋"/>
          <w:b/>
          <w:color w:val="000000"/>
          <w:sz w:val="32"/>
          <w:szCs w:val="32"/>
        </w:rPr>
        <w:t>（二）政府采购支出情况</w:t>
      </w:r>
      <w:bookmarkEnd w:id="66"/>
      <w:r>
        <w:rPr>
          <w:rFonts w:hint="eastAsia" w:ascii="仿宋" w:hAnsi="仿宋" w:eastAsia="仿宋"/>
          <w:b/>
          <w:color w:val="000000"/>
          <w:sz w:val="32"/>
          <w:szCs w:val="32"/>
        </w:rPr>
        <w:t>(机构运行信息表)</w:t>
      </w:r>
    </w:p>
    <w:p>
      <w:pPr>
        <w:spacing w:line="600" w:lineRule="exact"/>
        <w:ind w:firstLine="640"/>
        <w:rPr>
          <w:rFonts w:ascii="仿宋_GB2312" w:eastAsia="仿宋_GB2312"/>
          <w:color w:val="000000"/>
          <w:sz w:val="32"/>
          <w:szCs w:val="32"/>
        </w:rPr>
      </w:pPr>
      <w:r>
        <w:rPr>
          <w:rFonts w:hint="eastAsia" w:ascii="仿宋" w:hAnsi="仿宋" w:eastAsia="仿宋"/>
          <w:color w:val="000000"/>
          <w:sz w:val="32"/>
          <w:szCs w:val="32"/>
        </w:rPr>
        <w:t>2022</w:t>
      </w:r>
      <w:r>
        <w:rPr>
          <w:rFonts w:ascii="仿宋" w:hAnsi="仿宋" w:eastAsia="仿宋"/>
          <w:color w:val="000000"/>
          <w:sz w:val="32"/>
          <w:u w:color="auto"/>
        </w:rPr>
        <w:t>年，政府采购支出总额909.29</w:t>
      </w:r>
      <w:r>
        <w:rPr>
          <w:rFonts w:hint="eastAsia" w:ascii="仿宋" w:hAnsi="仿宋" w:eastAsia="仿宋"/>
          <w:color w:val="000000"/>
          <w:sz w:val="32"/>
          <w:szCs w:val="32"/>
        </w:rPr>
        <w:t>万元，其中：政府采购货物支出</w:t>
      </w:r>
      <w:r>
        <w:rPr>
          <w:rFonts w:ascii="仿宋" w:hAnsi="仿宋" w:eastAsia="仿宋"/>
          <w:color w:val="000000"/>
          <w:sz w:val="32"/>
          <w:u w:color="auto"/>
        </w:rPr>
        <w:t>0.00</w:t>
      </w:r>
      <w:r>
        <w:rPr>
          <w:rFonts w:hint="eastAsia" w:ascii="仿宋" w:hAnsi="仿宋" w:eastAsia="仿宋"/>
          <w:color w:val="000000"/>
          <w:sz w:val="32"/>
          <w:szCs w:val="32"/>
        </w:rPr>
        <w:t>万元、政府采购工程支出</w:t>
      </w:r>
      <w:r>
        <w:rPr>
          <w:rFonts w:ascii="仿宋" w:hAnsi="仿宋" w:eastAsia="仿宋"/>
          <w:color w:val="000000"/>
          <w:sz w:val="32"/>
          <w:u w:color="auto"/>
        </w:rPr>
        <w:t>0.00</w:t>
      </w:r>
      <w:r>
        <w:rPr>
          <w:rFonts w:hint="eastAsia" w:ascii="仿宋" w:hAnsi="仿宋" w:eastAsia="仿宋"/>
          <w:color w:val="000000"/>
          <w:sz w:val="32"/>
          <w:szCs w:val="32"/>
        </w:rPr>
        <w:t>万元、政府采购服务支出</w:t>
      </w:r>
      <w:r>
        <w:rPr>
          <w:rFonts w:ascii="仿宋" w:hAnsi="仿宋" w:eastAsia="仿宋"/>
          <w:color w:val="000000"/>
          <w:sz w:val="32"/>
          <w:u w:color="auto"/>
        </w:rPr>
        <w:t>909.29</w:t>
      </w:r>
      <w:r>
        <w:rPr>
          <w:rFonts w:hint="eastAsia" w:ascii="仿宋" w:hAnsi="仿宋" w:eastAsia="仿宋"/>
          <w:color w:val="000000"/>
          <w:sz w:val="32"/>
          <w:szCs w:val="32"/>
        </w:rPr>
        <w:t>万元。授予中小企业合同金额</w:t>
      </w:r>
      <w:r>
        <w:rPr>
          <w:rFonts w:ascii="仿宋" w:hAnsi="仿宋" w:eastAsia="仿宋"/>
          <w:color w:val="000000"/>
          <w:sz w:val="32"/>
          <w:u w:color="auto"/>
        </w:rPr>
        <w:t>909.29</w:t>
      </w:r>
      <w:r>
        <w:rPr>
          <w:rFonts w:hint="eastAsia" w:ascii="仿宋" w:hAnsi="仿宋" w:eastAsia="仿宋"/>
          <w:color w:val="000000"/>
          <w:sz w:val="32"/>
          <w:szCs w:val="32"/>
        </w:rPr>
        <w:t>万元，其中：授予小微企业合同金额</w:t>
      </w:r>
      <w:r>
        <w:rPr>
          <w:rFonts w:ascii="仿宋" w:hAnsi="仿宋" w:eastAsia="仿宋"/>
          <w:color w:val="000000"/>
          <w:sz w:val="32"/>
          <w:u w:color="auto"/>
        </w:rPr>
        <w:t>0.00</w:t>
      </w:r>
      <w:r>
        <w:rPr>
          <w:rFonts w:hint="eastAsia" w:ascii="仿宋" w:hAnsi="仿宋" w:eastAsia="仿宋"/>
          <w:color w:val="000000"/>
          <w:sz w:val="32"/>
          <w:szCs w:val="32"/>
        </w:rPr>
        <w:t>万元，占总合同的</w:t>
      </w:r>
      <w:r>
        <w:rPr>
          <w:rFonts w:ascii="仿宋" w:hAnsi="仿宋" w:eastAsia="仿宋"/>
          <w:color w:val="000000"/>
          <w:sz w:val="32"/>
          <w:u w:color="auto"/>
        </w:rPr>
        <w:t>0.00</w:t>
      </w:r>
      <w:r>
        <w:rPr>
          <w:rFonts w:hint="eastAsia" w:ascii="仿宋" w:hAnsi="仿宋" w:eastAsia="仿宋"/>
          <w:color w:val="000000"/>
          <w:sz w:val="32"/>
          <w:szCs w:val="32"/>
        </w:rPr>
        <w:t>%。</w:t>
      </w:r>
    </w:p>
    <w:p>
      <w:pPr>
        <w:spacing w:line="600" w:lineRule="exact"/>
        <w:ind w:firstLine="643" w:firstLineChars="200"/>
        <w:outlineLvl w:val="2"/>
        <w:rPr>
          <w:rFonts w:ascii="仿宋" w:hAnsi="仿宋" w:eastAsia="仿宋"/>
          <w:b/>
          <w:color w:val="000000"/>
          <w:sz w:val="32"/>
          <w:szCs w:val="32"/>
        </w:rPr>
      </w:pPr>
      <w:bookmarkStart w:id="67" w:name="_Toc15377224"/>
      <w:r>
        <w:rPr>
          <w:rFonts w:hint="eastAsia" w:ascii="仿宋" w:hAnsi="仿宋" w:eastAsia="仿宋"/>
          <w:b/>
          <w:color w:val="000000"/>
          <w:sz w:val="32"/>
          <w:szCs w:val="32"/>
        </w:rPr>
        <w:t>（三）国有资产占有使用情况</w:t>
      </w:r>
      <w:bookmarkEnd w:id="67"/>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截至</w:t>
      </w:r>
      <w:r>
        <w:rPr>
          <w:rFonts w:ascii="仿宋" w:hAnsi="仿宋" w:eastAsia="仿宋"/>
          <w:color w:val="000000"/>
          <w:sz w:val="32"/>
          <w:u w:color="auto"/>
        </w:rPr>
        <w:t>2022年</w:t>
      </w:r>
      <w:r>
        <w:rPr>
          <w:rFonts w:ascii="仿宋" w:hAnsi="仿宋" w:eastAsia="仿宋"/>
          <w:color w:val="000000"/>
          <w:sz w:val="32"/>
          <w:szCs w:val="32"/>
        </w:rPr>
        <w:t>12</w:t>
      </w:r>
      <w:r>
        <w:rPr>
          <w:rFonts w:hint="eastAsia" w:ascii="仿宋" w:hAnsi="仿宋" w:eastAsia="仿宋"/>
          <w:color w:val="000000"/>
          <w:sz w:val="32"/>
          <w:szCs w:val="32"/>
        </w:rPr>
        <w:t>月</w:t>
      </w:r>
      <w:r>
        <w:rPr>
          <w:rFonts w:ascii="仿宋" w:hAnsi="仿宋" w:eastAsia="仿宋"/>
          <w:color w:val="000000"/>
          <w:sz w:val="32"/>
          <w:szCs w:val="32"/>
        </w:rPr>
        <w:t>31</w:t>
      </w:r>
      <w:r>
        <w:rPr>
          <w:rFonts w:hint="eastAsia" w:ascii="仿宋" w:hAnsi="仿宋" w:eastAsia="仿宋"/>
          <w:color w:val="000000"/>
          <w:sz w:val="32"/>
          <w:szCs w:val="32"/>
        </w:rPr>
        <w:t>日，共有车辆</w:t>
      </w:r>
      <w:r>
        <w:rPr>
          <w:rFonts w:ascii="仿宋" w:hAnsi="仿宋" w:eastAsia="仿宋"/>
          <w:color w:val="000000"/>
          <w:sz w:val="32"/>
          <w:u w:color="auto"/>
        </w:rPr>
        <w:t>2辆，其中：主要领导干部用车0</w:t>
      </w:r>
      <w:r>
        <w:rPr>
          <w:rFonts w:hint="eastAsia" w:ascii="仿宋" w:hAnsi="仿宋" w:eastAsia="仿宋"/>
          <w:color w:val="000000"/>
          <w:sz w:val="32"/>
          <w:szCs w:val="32"/>
        </w:rPr>
        <w:t>辆、机要通信用车</w:t>
      </w:r>
      <w:r>
        <w:rPr>
          <w:rFonts w:ascii="仿宋" w:hAnsi="仿宋" w:eastAsia="仿宋"/>
          <w:color w:val="000000"/>
          <w:sz w:val="32"/>
          <w:u w:color="auto"/>
        </w:rPr>
        <w:t>0</w:t>
      </w:r>
      <w:r>
        <w:rPr>
          <w:rFonts w:hint="eastAsia" w:ascii="仿宋" w:hAnsi="仿宋" w:eastAsia="仿宋"/>
          <w:color w:val="000000"/>
          <w:sz w:val="32"/>
          <w:szCs w:val="32"/>
        </w:rPr>
        <w:t>辆、应急保障用车</w:t>
      </w:r>
      <w:r>
        <w:rPr>
          <w:rFonts w:ascii="仿宋" w:hAnsi="仿宋" w:eastAsia="仿宋"/>
          <w:color w:val="000000"/>
          <w:sz w:val="32"/>
          <w:u w:color="auto"/>
        </w:rPr>
        <w:t>2</w:t>
      </w:r>
      <w:r>
        <w:rPr>
          <w:rFonts w:hint="eastAsia" w:ascii="仿宋" w:hAnsi="仿宋" w:eastAsia="仿宋"/>
          <w:color w:val="000000"/>
          <w:sz w:val="32"/>
          <w:szCs w:val="32"/>
        </w:rPr>
        <w:t>辆、其他用车</w:t>
      </w:r>
      <w:r>
        <w:rPr>
          <w:rFonts w:ascii="仿宋" w:hAnsi="仿宋" w:eastAsia="仿宋"/>
          <w:color w:val="000000"/>
          <w:sz w:val="32"/>
          <w:u w:color="auto"/>
        </w:rPr>
        <w:t>0</w:t>
      </w:r>
      <w:r>
        <w:rPr>
          <w:rFonts w:hint="eastAsia" w:ascii="仿宋" w:hAnsi="仿宋" w:eastAsia="仿宋"/>
          <w:color w:val="000000"/>
          <w:sz w:val="32"/>
          <w:szCs w:val="32"/>
        </w:rPr>
        <w:t>辆。单价</w:t>
      </w:r>
      <w:r>
        <w:rPr>
          <w:rFonts w:ascii="仿宋" w:hAnsi="仿宋" w:eastAsia="仿宋"/>
          <w:color w:val="000000"/>
          <w:sz w:val="32"/>
          <w:szCs w:val="32"/>
        </w:rPr>
        <w:t>50</w:t>
      </w:r>
      <w:r>
        <w:rPr>
          <w:rFonts w:hint="eastAsia" w:ascii="仿宋" w:hAnsi="仿宋" w:eastAsia="仿宋"/>
          <w:color w:val="000000"/>
          <w:sz w:val="32"/>
          <w:szCs w:val="32"/>
        </w:rPr>
        <w:t>万元以上通用设备</w:t>
      </w:r>
      <w:r>
        <w:rPr>
          <w:rFonts w:ascii="仿宋" w:hAnsi="仿宋" w:eastAsia="仿宋"/>
          <w:color w:val="000000"/>
          <w:sz w:val="32"/>
          <w:u w:color="auto"/>
        </w:rPr>
        <w:t>0</w:t>
      </w:r>
      <w:r>
        <w:rPr>
          <w:rFonts w:hint="eastAsia" w:ascii="仿宋" w:hAnsi="仿宋" w:eastAsia="仿宋"/>
          <w:color w:val="000000"/>
          <w:sz w:val="32"/>
          <w:szCs w:val="32"/>
        </w:rPr>
        <w:t>台（套），单价</w:t>
      </w:r>
      <w:r>
        <w:rPr>
          <w:rFonts w:ascii="仿宋" w:hAnsi="仿宋" w:eastAsia="仿宋"/>
          <w:color w:val="000000"/>
          <w:sz w:val="32"/>
          <w:szCs w:val="32"/>
        </w:rPr>
        <w:t>100</w:t>
      </w:r>
      <w:r>
        <w:rPr>
          <w:rFonts w:hint="eastAsia" w:ascii="仿宋" w:hAnsi="仿宋" w:eastAsia="仿宋"/>
          <w:color w:val="000000"/>
          <w:sz w:val="32"/>
          <w:szCs w:val="32"/>
        </w:rPr>
        <w:t>万元以上专用设备</w:t>
      </w:r>
      <w:r>
        <w:rPr>
          <w:rFonts w:ascii="仿宋" w:hAnsi="仿宋" w:eastAsia="仿宋"/>
          <w:color w:val="000000"/>
          <w:sz w:val="32"/>
          <w:u w:color="auto"/>
        </w:rPr>
        <w:t>—</w:t>
      </w:r>
      <w:r>
        <w:rPr>
          <w:rFonts w:hint="eastAsia" w:ascii="仿宋" w:hAnsi="仿宋" w:eastAsia="仿宋"/>
          <w:color w:val="000000"/>
          <w:sz w:val="32"/>
          <w:szCs w:val="32"/>
        </w:rPr>
        <w:t>台（套）。</w:t>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（四）预算绩效管理情况</w:t>
      </w:r>
    </w:p>
    <w:p>
      <w:pPr>
        <w:pStyle w:val="2"/>
      </w:pPr>
      <w:r>
        <w:rPr>
          <w:rFonts w:hint="eastAsia"/>
        </w:rPr>
        <w:t xml:space="preserve"> </w:t>
      </w: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pStyle w:val="3"/>
        <w:jc w:val="center"/>
        <w:rPr>
          <w:rFonts w:ascii="黑体" w:hAnsi="黑体" w:eastAsia="黑体" w:cs="黑体"/>
        </w:rPr>
      </w:pPr>
      <w:bookmarkStart w:id="68" w:name="_Toc15377225"/>
      <w:bookmarkStart w:id="69" w:name="_Toc111208509"/>
      <w:bookmarkStart w:id="70" w:name="_Toc15447"/>
      <w:r>
        <w:rPr>
          <w:rFonts w:hint="eastAsia" w:ascii="黑体" w:hAnsi="黑体" w:eastAsia="黑体" w:cs="黑体"/>
        </w:rPr>
        <w:t>第三部分 名词解释</w:t>
      </w:r>
      <w:bookmarkEnd w:id="68"/>
      <w:bookmarkEnd w:id="69"/>
      <w:bookmarkEnd w:id="70"/>
    </w:p>
    <w:p>
      <w:pPr>
        <w:spacing w:line="600" w:lineRule="exact"/>
        <w:ind w:firstLine="640"/>
        <w:rPr>
          <w:rFonts w:ascii="仿宋" w:hAnsi="仿宋" w:eastAsia="仿宋"/>
          <w:color w:val="000000"/>
          <w:sz w:val="32"/>
          <w:szCs w:val="32"/>
        </w:rPr>
      </w:pPr>
      <w:r>
        <w:rPr>
          <w:rFonts w:ascii="仿宋" w:hAnsi="仿宋" w:eastAsia="仿宋"/>
          <w:color w:val="000000"/>
          <w:sz w:val="32"/>
          <w:szCs w:val="32"/>
        </w:rPr>
        <w:t>1.</w:t>
      </w:r>
      <w:r>
        <w:rPr>
          <w:rFonts w:hint="eastAsia" w:ascii="仿宋" w:hAnsi="仿宋" w:eastAsia="仿宋"/>
          <w:color w:val="000000"/>
          <w:sz w:val="32"/>
          <w:szCs w:val="32"/>
        </w:rPr>
        <w:t>财政拨款收入：指单位从同级财政部门取得的财政预算资金。</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2.</w:t>
      </w:r>
      <w:r>
        <w:rPr>
          <w:rFonts w:hint="eastAsia" w:ascii="仿宋" w:hAnsi="仿宋" w:eastAsia="仿宋"/>
          <w:color w:val="000000"/>
          <w:sz w:val="32"/>
          <w:szCs w:val="32"/>
        </w:rPr>
        <w:t>事业收入：指事业单位开展专业业务活动及辅助活动取得的收入。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3.</w:t>
      </w:r>
      <w:r>
        <w:rPr>
          <w:rFonts w:hint="eastAsia" w:ascii="仿宋" w:hAnsi="仿宋" w:eastAsia="仿宋"/>
          <w:color w:val="000000"/>
          <w:sz w:val="32"/>
          <w:szCs w:val="32"/>
        </w:rPr>
        <w:t>经营收入：指事业单位在专业业务活动及其辅助活动之外开展非独立核算经营活动取得的收入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4.</w:t>
      </w:r>
      <w:r>
        <w:rPr>
          <w:rFonts w:hint="eastAsia" w:ascii="仿宋" w:hAnsi="仿宋" w:eastAsia="仿宋"/>
          <w:color w:val="000000"/>
          <w:sz w:val="32"/>
          <w:szCs w:val="32"/>
        </w:rPr>
        <w:t>其他收入：指单位取得的除上述收入以外的各项收入。</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5.</w:t>
      </w:r>
      <w:r>
        <w:rPr>
          <w:rFonts w:hint="eastAsia" w:ascii="仿宋" w:hAnsi="仿宋" w:eastAsia="仿宋"/>
          <w:color w:val="000000"/>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6.</w:t>
      </w:r>
      <w:r>
        <w:rPr>
          <w:rFonts w:hint="eastAsia" w:ascii="仿宋" w:hAnsi="仿宋" w:eastAsia="仿宋"/>
          <w:color w:val="000000"/>
          <w:sz w:val="32"/>
          <w:szCs w:val="32"/>
        </w:rPr>
        <w:t>年初结转和结余：指以前年度尚未完成、结转到本年按有关规定继续使用的资金。</w:t>
      </w:r>
      <w:r>
        <w:rPr>
          <w:rFonts w:ascii="仿宋" w:hAnsi="仿宋" w:eastAsia="仿宋"/>
          <w:color w:val="000000"/>
          <w:sz w:val="32"/>
          <w:szCs w:val="32"/>
        </w:rPr>
        <w:t xml:space="preserve"> </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7.</w:t>
      </w:r>
      <w:r>
        <w:rPr>
          <w:rFonts w:hint="eastAsia" w:ascii="仿宋" w:hAnsi="仿宋" w:eastAsia="仿宋"/>
          <w:color w:val="000000"/>
          <w:sz w:val="32"/>
          <w:szCs w:val="32"/>
        </w:rPr>
        <w:t>结余分配：指事业单位按照事业单位会计制度的规定从非财政补助结余中分配的事业基金和职工福利基金等。</w:t>
      </w:r>
    </w:p>
    <w:p>
      <w:pPr>
        <w:spacing w:line="600" w:lineRule="exact"/>
        <w:ind w:firstLine="640"/>
        <w:rPr>
          <w:rFonts w:ascii="仿宋" w:hAnsi="仿宋" w:eastAsia="仿宋"/>
          <w:color w:val="000000"/>
          <w:sz w:val="32"/>
          <w:szCs w:val="32"/>
        </w:rPr>
      </w:pPr>
      <w:r>
        <w:rPr>
          <w:rFonts w:ascii="仿宋" w:hAnsi="仿宋" w:eastAsia="仿宋"/>
          <w:color w:val="000000"/>
          <w:sz w:val="32"/>
          <w:szCs w:val="32"/>
        </w:rPr>
        <w:t>8</w:t>
      </w:r>
      <w:r>
        <w:rPr>
          <w:rFonts w:hint="eastAsia" w:ascii="仿宋" w:hAnsi="仿宋" w:eastAsia="仿宋"/>
          <w:color w:val="000000"/>
          <w:sz w:val="32"/>
          <w:szCs w:val="32"/>
        </w:rPr>
        <w:t>.年末结转和结余：指单位按有关规定结转到下年或以后年度继续使用的资金。</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9.社会保障和就业支出（208）行政事业单位养老支出（20805）机关事业单位基本养老保险缴费支出（2080505）：反映机关事业单位实施养老保险制度由单位缴纳的基本养老保险费支出。</w:t>
      </w:r>
      <w:r>
        <w:rPr>
          <w:rFonts w:hint="eastAsia" w:ascii="仿宋" w:hAnsi="仿宋" w:eastAsia="仿宋"/>
          <w:color w:val="000000"/>
          <w:sz w:val="32"/>
          <w:szCs w:val="32"/>
        </w:rPr>
        <w:cr/>
      </w:r>
      <w:r>
        <w:rPr>
          <w:rFonts w:hint="eastAsia" w:ascii="仿宋" w:hAnsi="仿宋" w:eastAsia="仿宋"/>
          <w:color w:val="000000"/>
          <w:sz w:val="32"/>
          <w:szCs w:val="32"/>
        </w:rPr>
        <w:t>10.社会保障和就业支出（208）行政事业单位养老支出（20805）机关事业单位职业年金缴费支出（2080506）：反映机关事业单位实施养老保险制度由单位实际缴纳的职业年金支出。</w:t>
      </w:r>
      <w:r>
        <w:rPr>
          <w:rFonts w:hint="eastAsia" w:ascii="仿宋" w:hAnsi="仿宋" w:eastAsia="仿宋"/>
          <w:color w:val="000000"/>
          <w:sz w:val="32"/>
          <w:szCs w:val="32"/>
        </w:rPr>
        <w:cr/>
      </w:r>
      <w:r>
        <w:rPr>
          <w:rFonts w:hint="eastAsia" w:ascii="仿宋" w:hAnsi="仿宋" w:eastAsia="仿宋"/>
          <w:color w:val="000000"/>
          <w:sz w:val="32"/>
          <w:szCs w:val="32"/>
        </w:rPr>
        <w:t>11.卫生健康支出（210）行政事业单位医疗（21011）行政单位医疗（2101101）：反映财政部门安排的行政单位（包括实行公务员管理的事业单位，下同）基本医疗保险缴费经费，未参加医疗保险的行政单位的公费医疗经费，按国家规定享受离休人员、红军老战士待遇人员的医疗经费。</w:t>
      </w:r>
      <w:r>
        <w:rPr>
          <w:rFonts w:hint="eastAsia" w:ascii="仿宋" w:hAnsi="仿宋" w:eastAsia="仿宋"/>
          <w:color w:val="000000"/>
          <w:sz w:val="32"/>
          <w:szCs w:val="32"/>
        </w:rPr>
        <w:cr/>
      </w:r>
      <w:r>
        <w:rPr>
          <w:rFonts w:hint="eastAsia" w:ascii="仿宋" w:hAnsi="仿宋" w:eastAsia="仿宋"/>
          <w:color w:val="000000"/>
          <w:sz w:val="32"/>
          <w:szCs w:val="32"/>
        </w:rPr>
        <w:t>12.卫生健康支出（210）行政事业单位医疗（21011）事业单位医疗（2101102）：反映财政部门安排的事业单位基本医疗保险缴费经费，未参加医疗保险的事业单位的公费医疗经费，按国家规定享受离休人员待遇的医疗经费。</w:t>
      </w:r>
      <w:r>
        <w:rPr>
          <w:rFonts w:hint="eastAsia" w:ascii="仿宋" w:hAnsi="仿宋" w:eastAsia="仿宋"/>
          <w:color w:val="000000"/>
          <w:sz w:val="32"/>
          <w:szCs w:val="32"/>
        </w:rPr>
        <w:cr/>
      </w:r>
      <w:r>
        <w:rPr>
          <w:rFonts w:hint="eastAsia" w:ascii="仿宋" w:hAnsi="仿宋" w:eastAsia="仿宋"/>
          <w:color w:val="000000"/>
          <w:sz w:val="32"/>
          <w:szCs w:val="32"/>
        </w:rPr>
        <w:t>13.卫生健康支出（210）行政事业单位医疗（21011）公务员医疗补助（2101103）：反映财政部门安排的公务员医疗补助经费。</w:t>
      </w:r>
      <w:r>
        <w:rPr>
          <w:rFonts w:hint="eastAsia" w:ascii="仿宋" w:hAnsi="仿宋" w:eastAsia="仿宋"/>
          <w:color w:val="000000"/>
          <w:sz w:val="32"/>
          <w:szCs w:val="32"/>
        </w:rPr>
        <w:cr/>
      </w:r>
      <w:r>
        <w:rPr>
          <w:rFonts w:hint="eastAsia" w:ascii="仿宋" w:hAnsi="仿宋" w:eastAsia="仿宋"/>
          <w:color w:val="000000"/>
          <w:sz w:val="32"/>
          <w:szCs w:val="32"/>
        </w:rPr>
        <w:t>14.卫生健康支出（210）行政事业单位医疗（21011）其他行政事业单位医疗支出（2101199）：反映除上述项目以外的其他用于行政事业单位医疗方面的支出。</w:t>
      </w:r>
      <w:r>
        <w:rPr>
          <w:rFonts w:hint="eastAsia" w:ascii="仿宋" w:hAnsi="仿宋" w:eastAsia="仿宋"/>
          <w:color w:val="000000"/>
          <w:sz w:val="32"/>
          <w:szCs w:val="32"/>
        </w:rPr>
        <w:cr/>
      </w:r>
      <w:r>
        <w:rPr>
          <w:rFonts w:hint="eastAsia" w:ascii="仿宋" w:hAnsi="仿宋" w:eastAsia="仿宋"/>
          <w:color w:val="000000"/>
          <w:sz w:val="32"/>
          <w:szCs w:val="32"/>
        </w:rPr>
        <w:t>15.城乡社区支出（212）其他城乡社区支出（21299）其他城乡社区支出（2129999）：反映除上述项目以外其他用于城乡社区方面的支出。</w:t>
      </w:r>
      <w:r>
        <w:rPr>
          <w:rFonts w:hint="eastAsia" w:ascii="仿宋" w:hAnsi="仿宋" w:eastAsia="仿宋"/>
          <w:color w:val="000000"/>
          <w:sz w:val="32"/>
          <w:szCs w:val="32"/>
        </w:rPr>
        <w:cr/>
      </w:r>
      <w:r>
        <w:rPr>
          <w:rFonts w:hint="eastAsia" w:ascii="仿宋" w:hAnsi="仿宋" w:eastAsia="仿宋"/>
          <w:color w:val="000000"/>
          <w:sz w:val="32"/>
          <w:szCs w:val="32"/>
        </w:rPr>
        <w:t>16.农林水支出（213）巩固脱贫衔接乡村振兴（21305）农村基础设施建设（2130504）：反映用于农村贫困地区乡村道路、住房、基本农田、水利设施、人畜饮水、生态环境保护等生产生活条件改善方面的支出。</w:t>
      </w:r>
      <w:r>
        <w:rPr>
          <w:rFonts w:hint="eastAsia" w:ascii="仿宋" w:hAnsi="仿宋" w:eastAsia="仿宋"/>
          <w:color w:val="000000"/>
          <w:sz w:val="32"/>
          <w:szCs w:val="32"/>
        </w:rPr>
        <w:cr/>
      </w:r>
      <w:r>
        <w:rPr>
          <w:rFonts w:hint="eastAsia" w:ascii="仿宋" w:hAnsi="仿宋" w:eastAsia="仿宋"/>
          <w:color w:val="000000"/>
          <w:sz w:val="32"/>
          <w:szCs w:val="32"/>
        </w:rPr>
        <w:t>17.自然资源海洋气象等支出（220）自然资源事务（22001）行政运行（2200101）：反映行政单位（包括实行公务员管理的事业单位）的基本支出。</w:t>
      </w:r>
      <w:r>
        <w:rPr>
          <w:rFonts w:hint="eastAsia" w:ascii="仿宋" w:hAnsi="仿宋" w:eastAsia="仿宋"/>
          <w:color w:val="000000"/>
          <w:sz w:val="32"/>
          <w:szCs w:val="32"/>
        </w:rPr>
        <w:cr/>
      </w:r>
      <w:r>
        <w:rPr>
          <w:rFonts w:hint="eastAsia" w:ascii="仿宋" w:hAnsi="仿宋" w:eastAsia="仿宋"/>
          <w:color w:val="000000"/>
          <w:sz w:val="32"/>
          <w:szCs w:val="32"/>
        </w:rPr>
        <w:t>18.自然资源海洋气象等支出（220）自然资源事务（22001）自然资源规划及管理（2200104）：反映用于国土空间规划、国土空间开发适宜性评价等方面的支出。</w:t>
      </w:r>
      <w:r>
        <w:rPr>
          <w:rFonts w:hint="eastAsia" w:ascii="仿宋" w:hAnsi="仿宋" w:eastAsia="仿宋"/>
          <w:color w:val="000000"/>
          <w:sz w:val="32"/>
          <w:szCs w:val="32"/>
        </w:rPr>
        <w:cr/>
      </w:r>
      <w:r>
        <w:rPr>
          <w:rFonts w:hint="eastAsia" w:ascii="仿宋" w:hAnsi="仿宋" w:eastAsia="仿宋"/>
          <w:color w:val="000000"/>
          <w:sz w:val="32"/>
          <w:szCs w:val="32"/>
        </w:rPr>
        <w:t>19.自然资源海洋气象等支出（220）自然资源事务（22001）自然资源调查与确权登记（2200109）：反映自然资源部门用于自然资源调査监测评价，自然资源统一确权登记等方面的支出。</w:t>
      </w:r>
      <w:r>
        <w:rPr>
          <w:rFonts w:hint="eastAsia" w:ascii="仿宋" w:hAnsi="仿宋" w:eastAsia="仿宋"/>
          <w:color w:val="000000"/>
          <w:sz w:val="32"/>
          <w:szCs w:val="32"/>
        </w:rPr>
        <w:cr/>
      </w:r>
      <w:r>
        <w:rPr>
          <w:rFonts w:hint="eastAsia" w:ascii="仿宋" w:hAnsi="仿宋" w:eastAsia="仿宋"/>
          <w:color w:val="000000"/>
          <w:sz w:val="32"/>
          <w:szCs w:val="32"/>
        </w:rPr>
        <w:t>20.自然资源海洋气象等支出（220）自然资源事务（22001）事业运行（2200150）：反映事业单位的基本支岀，不包括行政单位（包括实行公务员管理的事业单位）后勤服务中心、医务室等附属事业单位。</w:t>
      </w:r>
      <w:r>
        <w:rPr>
          <w:rFonts w:hint="eastAsia" w:ascii="仿宋" w:hAnsi="仿宋" w:eastAsia="仿宋"/>
          <w:color w:val="000000"/>
          <w:sz w:val="32"/>
          <w:szCs w:val="32"/>
        </w:rPr>
        <w:cr/>
      </w:r>
      <w:r>
        <w:rPr>
          <w:rFonts w:hint="eastAsia" w:ascii="仿宋" w:hAnsi="仿宋" w:eastAsia="仿宋"/>
          <w:color w:val="000000"/>
          <w:sz w:val="32"/>
          <w:szCs w:val="32"/>
        </w:rPr>
        <w:t>21.住房保障支出（221）住房改革支出（22102）住房公积金（2210201）：反映行政事业单位按人力资源和社会保障部、财政部规定的基本工资和津贴补贴以及规定比例为职工缴纳的住房公积金。</w:t>
      </w:r>
      <w:r>
        <w:rPr>
          <w:rFonts w:hint="eastAsia" w:ascii="仿宋" w:hAnsi="仿宋" w:eastAsia="仿宋"/>
          <w:color w:val="000000"/>
          <w:sz w:val="32"/>
          <w:szCs w:val="32"/>
        </w:rPr>
        <w:cr/>
      </w:r>
      <w:r>
        <w:rPr>
          <w:rFonts w:hint="eastAsia" w:ascii="仿宋" w:hAnsi="仿宋" w:eastAsia="仿宋"/>
          <w:color w:val="000000"/>
          <w:sz w:val="32"/>
          <w:szCs w:val="32"/>
        </w:rPr>
        <w:t>22.灾害防治及应急管理支出（224）自然灾害防治（22406）地质灾害防治（2240601）：反映防治地质灾害方面的支出。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23.基本支出：指为保障机构正常运转、完成日常工作任务而发生的人员支出和公用支出。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 xml:space="preserve">25.项目支出：指在基本支出之外为完成特定行政任务和事业发展目标所发生的支出。 </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24.经营支出：指事业单位在专业业务活动及其辅助活动之外开展非独立核算经营活动发生的支出。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25.“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ascii="仿宋_GB2312" w:eastAsia="仿宋_GB2312" w:cs="黑体"/>
          <w:sz w:val="32"/>
          <w:szCs w:val="32"/>
        </w:rPr>
      </w:pPr>
      <w:r>
        <w:rPr>
          <w:rFonts w:hint="eastAsia" w:ascii="仿宋" w:hAnsi="仿宋" w:eastAsia="仿宋"/>
          <w:color w:val="000000"/>
          <w:sz w:val="32"/>
          <w:szCs w:val="32"/>
        </w:rPr>
        <w:t>27.财政应返还额度：为行政事业单位会计核算科目，用于核算实行国库集中支付的行政事业单位应收财政返还的资金额度。</w:t>
      </w:r>
    </w:p>
    <w:p>
      <w:pPr>
        <w:widowControl/>
        <w:jc w:val="left"/>
        <w:rPr>
          <w:rStyle w:val="28"/>
          <w:rFonts w:ascii="黑体" w:hAnsi="黑体" w:eastAsia="黑体"/>
        </w:rPr>
      </w:pPr>
      <w:r>
        <w:rPr>
          <w:rStyle w:val="28"/>
          <w:rFonts w:ascii="黑体" w:hAnsi="黑体" w:eastAsia="黑体"/>
        </w:rPr>
        <w:br w:type="page"/>
      </w:r>
    </w:p>
    <w:p>
      <w:pPr>
        <w:pStyle w:val="3"/>
        <w:jc w:val="center"/>
        <w:rPr>
          <w:rFonts w:ascii="黑体" w:hAnsi="黑体" w:eastAsia="黑体" w:cs="黑体"/>
        </w:rPr>
      </w:pPr>
      <w:bookmarkStart w:id="71" w:name="_Toc111208510"/>
      <w:bookmarkStart w:id="72" w:name="_Toc31561"/>
      <w:r>
        <w:rPr>
          <w:rFonts w:hint="eastAsia" w:ascii="黑体" w:hAnsi="黑体" w:eastAsia="黑体" w:cs="黑体"/>
        </w:rPr>
        <w:t>第四部分 附件</w:t>
      </w:r>
      <w:bookmarkEnd w:id="71"/>
      <w:bookmarkEnd w:id="72"/>
    </w:p>
    <w:p>
      <w:pPr>
        <w:pStyle w:val="2"/>
      </w:pPr>
      <w:r>
        <w:rPr>
          <w:rFonts w:hint="eastAsia"/>
        </w:rPr>
        <w:t xml:space="preserve"> </w:t>
      </w:r>
    </w:p>
    <w:p>
      <w:pPr>
        <w:pStyle w:val="3"/>
        <w:jc w:val="center"/>
        <w:rPr>
          <w:rFonts w:ascii="黑体" w:hAnsi="黑体" w:eastAsia="黑体" w:cs="黑体"/>
        </w:rPr>
      </w:pPr>
      <w:bookmarkStart w:id="73" w:name="_Toc111208512"/>
      <w:bookmarkStart w:id="74" w:name="_Toc79163635"/>
      <w:bookmarkStart w:id="75" w:name="_Toc79163885"/>
      <w:bookmarkStart w:id="76" w:name="_Toc14088"/>
      <w:r>
        <w:rPr>
          <w:rFonts w:hint="eastAsia" w:ascii="黑体" w:hAnsi="黑体" w:eastAsia="黑体" w:cs="黑体"/>
        </w:rPr>
        <w:t>第五部分 附表</w:t>
      </w:r>
      <w:bookmarkEnd w:id="73"/>
      <w:bookmarkEnd w:id="74"/>
      <w:bookmarkEnd w:id="75"/>
      <w:bookmarkEnd w:id="76"/>
    </w:p>
    <w:p>
      <w:pPr>
        <w:pStyle w:val="4"/>
        <w:ind w:firstLine="643" w:firstLineChars="200"/>
        <w:rPr>
          <w:rFonts w:ascii="黑体" w:eastAsia="黑体" w:cs="Times New Roman"/>
          <w:bCs w:val="0"/>
          <w:color w:val="000000"/>
        </w:rPr>
      </w:pPr>
      <w:bookmarkStart w:id="77" w:name="_Toc111208513"/>
      <w:bookmarkStart w:id="78" w:name="_Toc79163886"/>
      <w:bookmarkStart w:id="79" w:name="_Toc79163636"/>
      <w:bookmarkStart w:id="80" w:name="_Toc6456"/>
      <w:r>
        <w:rPr>
          <w:rFonts w:hint="eastAsia" w:ascii="黑体" w:eastAsia="黑体" w:cs="Times New Roman"/>
          <w:bCs w:val="0"/>
          <w:color w:val="000000"/>
        </w:rPr>
        <w:t>一、收入支出决算总表</w:t>
      </w:r>
      <w:bookmarkEnd w:id="77"/>
      <w:bookmarkEnd w:id="78"/>
      <w:bookmarkEnd w:id="79"/>
      <w:bookmarkEnd w:id="80"/>
    </w:p>
    <w:p>
      <w:pPr>
        <w:pStyle w:val="4"/>
        <w:ind w:firstLine="643" w:firstLineChars="200"/>
        <w:rPr>
          <w:rFonts w:ascii="黑体" w:eastAsia="黑体" w:cs="Times New Roman"/>
          <w:bCs w:val="0"/>
          <w:color w:val="000000"/>
        </w:rPr>
      </w:pPr>
      <w:bookmarkStart w:id="81" w:name="_Toc79163887"/>
      <w:bookmarkStart w:id="82" w:name="_Toc111208514"/>
      <w:bookmarkStart w:id="83" w:name="_Toc79163637"/>
      <w:bookmarkStart w:id="84" w:name="_Toc29903"/>
      <w:r>
        <w:rPr>
          <w:rFonts w:hint="eastAsia" w:ascii="黑体" w:eastAsia="黑体" w:cs="Times New Roman"/>
          <w:bCs w:val="0"/>
          <w:color w:val="000000"/>
        </w:rPr>
        <w:t>二、收入决算表</w:t>
      </w:r>
      <w:bookmarkEnd w:id="81"/>
      <w:bookmarkEnd w:id="82"/>
      <w:bookmarkEnd w:id="83"/>
      <w:bookmarkEnd w:id="84"/>
    </w:p>
    <w:p>
      <w:pPr>
        <w:pStyle w:val="4"/>
        <w:ind w:firstLine="643" w:firstLineChars="200"/>
        <w:rPr>
          <w:rFonts w:ascii="黑体" w:eastAsia="黑体" w:cs="Times New Roman"/>
          <w:b w:val="0"/>
          <w:color w:val="000000"/>
        </w:rPr>
      </w:pPr>
      <w:bookmarkStart w:id="85" w:name="_Toc79163888"/>
      <w:bookmarkStart w:id="86" w:name="_Toc79163638"/>
      <w:bookmarkStart w:id="87" w:name="_Toc111208515"/>
      <w:bookmarkStart w:id="88" w:name="_Toc21573"/>
      <w:r>
        <w:rPr>
          <w:rFonts w:hint="eastAsia" w:ascii="黑体" w:eastAsia="黑体" w:cs="Times New Roman"/>
          <w:bCs w:val="0"/>
          <w:color w:val="000000"/>
        </w:rPr>
        <w:t>三、支出决算表</w:t>
      </w:r>
      <w:bookmarkEnd w:id="85"/>
      <w:bookmarkEnd w:id="86"/>
      <w:bookmarkEnd w:id="87"/>
      <w:bookmarkEnd w:id="88"/>
    </w:p>
    <w:p>
      <w:pPr>
        <w:pStyle w:val="4"/>
        <w:ind w:firstLine="643" w:firstLineChars="200"/>
        <w:rPr>
          <w:rFonts w:ascii="黑体" w:eastAsia="黑体" w:cs="Times New Roman"/>
          <w:bCs w:val="0"/>
          <w:color w:val="000000"/>
        </w:rPr>
      </w:pPr>
      <w:bookmarkStart w:id="89" w:name="_Toc79163889"/>
      <w:bookmarkStart w:id="90" w:name="_Toc79163639"/>
      <w:bookmarkStart w:id="91" w:name="_Toc111208516"/>
      <w:bookmarkStart w:id="92" w:name="_Toc13597"/>
      <w:r>
        <w:rPr>
          <w:rFonts w:hint="eastAsia" w:ascii="黑体" w:eastAsia="黑体" w:cs="Times New Roman"/>
          <w:bCs w:val="0"/>
          <w:color w:val="000000"/>
        </w:rPr>
        <w:t>四、财政拨款收入支出决算总表</w:t>
      </w:r>
      <w:bookmarkEnd w:id="89"/>
      <w:bookmarkEnd w:id="90"/>
      <w:bookmarkEnd w:id="91"/>
      <w:bookmarkEnd w:id="92"/>
    </w:p>
    <w:p>
      <w:pPr>
        <w:pStyle w:val="4"/>
        <w:ind w:firstLine="643" w:firstLineChars="200"/>
        <w:rPr>
          <w:rFonts w:ascii="黑体" w:eastAsia="黑体" w:cs="Times New Roman"/>
          <w:bCs w:val="0"/>
          <w:color w:val="000000"/>
        </w:rPr>
      </w:pPr>
      <w:bookmarkStart w:id="93" w:name="_Toc79163890"/>
      <w:bookmarkStart w:id="94" w:name="_Toc79163640"/>
      <w:bookmarkStart w:id="95" w:name="_Toc111208517"/>
      <w:bookmarkStart w:id="96" w:name="_Toc21273"/>
      <w:r>
        <w:rPr>
          <w:rFonts w:hint="eastAsia" w:ascii="黑体" w:eastAsia="黑体" w:cs="Times New Roman"/>
          <w:bCs w:val="0"/>
          <w:color w:val="000000"/>
        </w:rPr>
        <w:t>五、财政拨款支出决算明细表</w:t>
      </w:r>
      <w:bookmarkEnd w:id="93"/>
      <w:bookmarkEnd w:id="94"/>
      <w:bookmarkEnd w:id="95"/>
      <w:bookmarkEnd w:id="96"/>
    </w:p>
    <w:p>
      <w:pPr>
        <w:pStyle w:val="4"/>
        <w:ind w:firstLine="643" w:firstLineChars="200"/>
        <w:rPr>
          <w:rFonts w:ascii="黑体" w:eastAsia="黑体" w:cs="Times New Roman"/>
          <w:bCs w:val="0"/>
          <w:color w:val="000000"/>
        </w:rPr>
      </w:pPr>
      <w:bookmarkStart w:id="97" w:name="_Toc111208518"/>
      <w:bookmarkStart w:id="98" w:name="_Toc79163641"/>
      <w:bookmarkStart w:id="99" w:name="_Toc79163891"/>
      <w:bookmarkStart w:id="100" w:name="_Toc15630"/>
      <w:r>
        <w:rPr>
          <w:rFonts w:hint="eastAsia" w:ascii="黑体" w:eastAsia="黑体" w:cs="Times New Roman"/>
          <w:bCs w:val="0"/>
          <w:color w:val="000000"/>
        </w:rPr>
        <w:t>六、一般公共预算财政拨款支出决算表</w:t>
      </w:r>
      <w:bookmarkEnd w:id="97"/>
      <w:bookmarkEnd w:id="98"/>
      <w:bookmarkEnd w:id="99"/>
      <w:bookmarkEnd w:id="100"/>
    </w:p>
    <w:p>
      <w:pPr>
        <w:pStyle w:val="4"/>
        <w:ind w:firstLine="643" w:firstLineChars="200"/>
        <w:rPr>
          <w:rFonts w:ascii="黑体" w:eastAsia="黑体" w:cs="Times New Roman"/>
          <w:bCs w:val="0"/>
          <w:color w:val="000000"/>
        </w:rPr>
      </w:pPr>
      <w:bookmarkStart w:id="101" w:name="_Toc79163642"/>
      <w:bookmarkStart w:id="102" w:name="_Toc111208519"/>
      <w:bookmarkStart w:id="103" w:name="_Toc79163892"/>
      <w:bookmarkStart w:id="104" w:name="_Toc25382"/>
      <w:r>
        <w:rPr>
          <w:rFonts w:hint="eastAsia" w:ascii="黑体" w:eastAsia="黑体" w:cs="Times New Roman"/>
          <w:bCs w:val="0"/>
          <w:color w:val="000000"/>
        </w:rPr>
        <w:t>七、一般公共预算财政拨款支出决算明细表</w:t>
      </w:r>
      <w:bookmarkEnd w:id="101"/>
      <w:bookmarkEnd w:id="102"/>
      <w:bookmarkEnd w:id="103"/>
      <w:bookmarkEnd w:id="104"/>
    </w:p>
    <w:p>
      <w:pPr>
        <w:pStyle w:val="4"/>
        <w:ind w:firstLine="643" w:firstLineChars="200"/>
        <w:rPr>
          <w:rFonts w:ascii="黑体" w:eastAsia="黑体" w:cs="Times New Roman"/>
          <w:bCs w:val="0"/>
          <w:color w:val="000000"/>
        </w:rPr>
      </w:pPr>
      <w:bookmarkStart w:id="105" w:name="_Toc79163643"/>
      <w:bookmarkStart w:id="106" w:name="_Toc79163893"/>
      <w:bookmarkStart w:id="107" w:name="_Toc111208520"/>
      <w:bookmarkStart w:id="108" w:name="_Toc30184"/>
      <w:r>
        <w:rPr>
          <w:rFonts w:hint="eastAsia" w:ascii="黑体" w:eastAsia="黑体" w:cs="Times New Roman"/>
          <w:bCs w:val="0"/>
          <w:color w:val="000000"/>
        </w:rPr>
        <w:t>八、一般公共预算财政拨款基本支出决算表</w:t>
      </w:r>
      <w:bookmarkEnd w:id="105"/>
      <w:bookmarkEnd w:id="106"/>
      <w:bookmarkEnd w:id="107"/>
      <w:bookmarkEnd w:id="108"/>
    </w:p>
    <w:p>
      <w:pPr>
        <w:pStyle w:val="4"/>
        <w:ind w:firstLine="643" w:firstLineChars="200"/>
        <w:rPr>
          <w:rFonts w:ascii="黑体" w:eastAsia="黑体" w:cs="Times New Roman"/>
          <w:bCs w:val="0"/>
          <w:color w:val="000000"/>
        </w:rPr>
      </w:pPr>
      <w:bookmarkStart w:id="109" w:name="_Toc79163894"/>
      <w:bookmarkStart w:id="110" w:name="_Toc79163644"/>
      <w:bookmarkStart w:id="111" w:name="_Toc111208521"/>
      <w:bookmarkStart w:id="112" w:name="_Toc23476"/>
      <w:r>
        <w:rPr>
          <w:rFonts w:hint="eastAsia" w:ascii="黑体" w:eastAsia="黑体" w:cs="Times New Roman"/>
          <w:bCs w:val="0"/>
          <w:color w:val="000000"/>
        </w:rPr>
        <w:t>九、一般公共预算财政拨款项目支出决算表</w:t>
      </w:r>
      <w:bookmarkEnd w:id="109"/>
      <w:bookmarkEnd w:id="110"/>
      <w:bookmarkEnd w:id="111"/>
      <w:bookmarkEnd w:id="112"/>
    </w:p>
    <w:p>
      <w:pPr>
        <w:pStyle w:val="4"/>
        <w:ind w:firstLine="643" w:firstLineChars="200"/>
        <w:rPr>
          <w:rFonts w:ascii="黑体" w:eastAsia="黑体" w:cs="Times New Roman"/>
          <w:bCs w:val="0"/>
          <w:color w:val="000000"/>
        </w:rPr>
      </w:pPr>
      <w:bookmarkStart w:id="113" w:name="_Toc79163895"/>
      <w:bookmarkStart w:id="114" w:name="_Toc111208522"/>
      <w:bookmarkStart w:id="115" w:name="_Toc79163645"/>
      <w:bookmarkStart w:id="116" w:name="_Toc2181"/>
      <w:r>
        <w:rPr>
          <w:rFonts w:hint="eastAsia" w:ascii="黑体" w:eastAsia="黑体" w:cs="Times New Roman"/>
          <w:bCs w:val="0"/>
          <w:color w:val="000000"/>
        </w:rPr>
        <w:t>十、一般公共预算财政拨款“三公”经费支出决算表</w:t>
      </w:r>
      <w:bookmarkEnd w:id="113"/>
      <w:bookmarkEnd w:id="114"/>
      <w:bookmarkEnd w:id="115"/>
      <w:bookmarkEnd w:id="116"/>
    </w:p>
    <w:p>
      <w:pPr>
        <w:pStyle w:val="4"/>
        <w:ind w:firstLine="643" w:firstLineChars="200"/>
        <w:rPr>
          <w:rFonts w:ascii="黑体" w:eastAsia="黑体" w:cs="Times New Roman"/>
          <w:bCs w:val="0"/>
          <w:color w:val="000000"/>
        </w:rPr>
      </w:pPr>
      <w:bookmarkStart w:id="117" w:name="_Toc79163646"/>
      <w:bookmarkStart w:id="118" w:name="_Toc79163896"/>
      <w:bookmarkStart w:id="119" w:name="_Toc111208523"/>
      <w:bookmarkStart w:id="120" w:name="_Toc32289"/>
      <w:r>
        <w:rPr>
          <w:rFonts w:hint="eastAsia" w:ascii="黑体" w:eastAsia="黑体" w:cs="Times New Roman"/>
          <w:bCs w:val="0"/>
          <w:color w:val="000000"/>
        </w:rPr>
        <w:t>十一、政府性基金预算财政拨款收入支出决算表</w:t>
      </w:r>
      <w:bookmarkEnd w:id="117"/>
      <w:bookmarkEnd w:id="118"/>
      <w:bookmarkEnd w:id="119"/>
      <w:bookmarkEnd w:id="120"/>
    </w:p>
    <w:p>
      <w:pPr>
        <w:pStyle w:val="4"/>
        <w:ind w:firstLine="643" w:firstLineChars="200"/>
        <w:rPr>
          <w:rFonts w:ascii="黑体" w:eastAsia="黑体" w:cs="Times New Roman"/>
          <w:bCs w:val="0"/>
          <w:color w:val="000000"/>
        </w:rPr>
      </w:pPr>
      <w:bookmarkStart w:id="121" w:name="_Toc111208524"/>
      <w:bookmarkStart w:id="122" w:name="_Toc79163647"/>
      <w:bookmarkStart w:id="123" w:name="_Toc79163897"/>
      <w:bookmarkStart w:id="124" w:name="_Toc9491"/>
      <w:r>
        <w:rPr>
          <w:rFonts w:hint="eastAsia" w:ascii="黑体" w:eastAsia="黑体" w:cs="Times New Roman"/>
          <w:bCs w:val="0"/>
          <w:color w:val="000000"/>
        </w:rPr>
        <w:t>十二、政府性基金预算财政拨款“三公”经费支出决算表</w:t>
      </w:r>
      <w:bookmarkEnd w:id="121"/>
      <w:bookmarkEnd w:id="122"/>
      <w:bookmarkEnd w:id="123"/>
      <w:bookmarkEnd w:id="124"/>
    </w:p>
    <w:p>
      <w:pPr>
        <w:pStyle w:val="4"/>
        <w:ind w:firstLine="643" w:firstLineChars="200"/>
        <w:rPr>
          <w:rFonts w:ascii="黑体" w:eastAsia="黑体" w:cs="Times New Roman"/>
          <w:bCs w:val="0"/>
          <w:color w:val="000000"/>
        </w:rPr>
      </w:pPr>
      <w:bookmarkStart w:id="125" w:name="_Toc79163648"/>
      <w:bookmarkStart w:id="126" w:name="_Toc79163898"/>
      <w:bookmarkStart w:id="127" w:name="_Toc111208525"/>
      <w:bookmarkStart w:id="128" w:name="_Toc25885"/>
      <w:r>
        <w:rPr>
          <w:rFonts w:hint="eastAsia" w:ascii="黑体" w:eastAsia="黑体" w:cs="Times New Roman"/>
          <w:bCs w:val="0"/>
          <w:color w:val="000000"/>
        </w:rPr>
        <w:t>十三、</w:t>
      </w:r>
      <w:bookmarkEnd w:id="125"/>
      <w:bookmarkEnd w:id="126"/>
      <w:r>
        <w:rPr>
          <w:rFonts w:hint="eastAsia" w:ascii="黑体" w:eastAsia="黑体" w:cs="Times New Roman"/>
          <w:bCs w:val="0"/>
          <w:color w:val="000000"/>
        </w:rPr>
        <w:t>国有资本经营预算财政拨款收入支出决算表</w:t>
      </w:r>
      <w:bookmarkEnd w:id="127"/>
      <w:bookmarkEnd w:id="128"/>
    </w:p>
    <w:p>
      <w:pPr>
        <w:pStyle w:val="4"/>
        <w:ind w:firstLine="640" w:firstLineChars="200"/>
        <w:outlineLvl w:val="9"/>
        <w:rPr>
          <w:rFonts w:ascii="黑体" w:eastAsia="黑体" w:cs="Times New Roman"/>
          <w:b w:val="0"/>
          <w:color w:val="000000"/>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F29677C-1345-4917-9C24-61929052520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2" w:fontKey="{C093BBD6-DB80-4D02-8A6C-E0E86C563EED}"/>
  </w:font>
  <w:font w:name="仿宋">
    <w:panose1 w:val="02010609060101010101"/>
    <w:charset w:val="86"/>
    <w:family w:val="modern"/>
    <w:pitch w:val="default"/>
    <w:sig w:usb0="800002BF" w:usb1="38CF7CFA" w:usb2="00000016" w:usb3="00000000" w:csb0="00040001" w:csb1="00000000"/>
    <w:embedRegular r:id="rId3" w:fontKey="{CF4CEEF2-7C97-4FD6-B9F6-9F3E666FB115}"/>
  </w:font>
  <w:font w:name="方正小标宋简体">
    <w:panose1 w:val="02000000000000000000"/>
    <w:charset w:val="86"/>
    <w:family w:val="script"/>
    <w:pitch w:val="default"/>
    <w:sig w:usb0="00000001" w:usb1="08000000" w:usb2="00000000" w:usb3="00000000" w:csb0="00040000" w:csb1="00000000"/>
    <w:embedRegular r:id="rId4" w:fontKey="{F1211DF1-4EEA-43CB-9D94-2C62A4F9426A}"/>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jc w:val="center"/>
        </w:pPr>
        <w:r>
          <w:fldChar w:fldCharType="begin"/>
        </w:r>
        <w:r>
          <w:instrText xml:space="preserve">PAGE   \* MERGEFORMAT</w:instrText>
        </w:r>
        <w:r>
          <w:fldChar w:fldCharType="separate"/>
        </w:r>
        <w:r>
          <w:rPr>
            <w:lang w:val="zh-CN"/>
          </w:rPr>
          <w:t>4</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U0ODU5NWNjMTUyZDUzMWViZmI4NDQ3ZDQ2OGQ0ZmM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54D1"/>
    <w:rsid w:val="00166A14"/>
    <w:rsid w:val="00166F25"/>
    <w:rsid w:val="0016730C"/>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8122F"/>
    <w:rsid w:val="00885AF4"/>
    <w:rsid w:val="00886435"/>
    <w:rsid w:val="008875FA"/>
    <w:rsid w:val="00887A58"/>
    <w:rsid w:val="008918AA"/>
    <w:rsid w:val="008918C9"/>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CF32DE"/>
    <w:rsid w:val="01D74DB7"/>
    <w:rsid w:val="01D86637"/>
    <w:rsid w:val="01F04616"/>
    <w:rsid w:val="03F359AA"/>
    <w:rsid w:val="0463543B"/>
    <w:rsid w:val="04A56E6E"/>
    <w:rsid w:val="051A6F96"/>
    <w:rsid w:val="06951176"/>
    <w:rsid w:val="07001BE1"/>
    <w:rsid w:val="07267DE7"/>
    <w:rsid w:val="089C4B49"/>
    <w:rsid w:val="09081517"/>
    <w:rsid w:val="091B747D"/>
    <w:rsid w:val="0A19737C"/>
    <w:rsid w:val="0B7218AA"/>
    <w:rsid w:val="0B99373B"/>
    <w:rsid w:val="0BA37CB5"/>
    <w:rsid w:val="0D0429D6"/>
    <w:rsid w:val="0D093B48"/>
    <w:rsid w:val="0D322E51"/>
    <w:rsid w:val="0D6C338E"/>
    <w:rsid w:val="0DB37F58"/>
    <w:rsid w:val="0F5E6610"/>
    <w:rsid w:val="10C055FF"/>
    <w:rsid w:val="10DE1D3B"/>
    <w:rsid w:val="11D56DF6"/>
    <w:rsid w:val="11ED6591"/>
    <w:rsid w:val="13367661"/>
    <w:rsid w:val="16BB723D"/>
    <w:rsid w:val="17BC7656"/>
    <w:rsid w:val="17EA348C"/>
    <w:rsid w:val="1840212F"/>
    <w:rsid w:val="19943114"/>
    <w:rsid w:val="1AB026BC"/>
    <w:rsid w:val="1ABB32B6"/>
    <w:rsid w:val="1BF70747"/>
    <w:rsid w:val="1C06153F"/>
    <w:rsid w:val="1C986C96"/>
    <w:rsid w:val="1D7371C3"/>
    <w:rsid w:val="1DDC2BB3"/>
    <w:rsid w:val="1E34479D"/>
    <w:rsid w:val="1EF81F78"/>
    <w:rsid w:val="1F620905"/>
    <w:rsid w:val="201A6AB0"/>
    <w:rsid w:val="203B66A0"/>
    <w:rsid w:val="211A679A"/>
    <w:rsid w:val="23902475"/>
    <w:rsid w:val="240371BF"/>
    <w:rsid w:val="2435534E"/>
    <w:rsid w:val="24534F10"/>
    <w:rsid w:val="24DF6C66"/>
    <w:rsid w:val="253D03DB"/>
    <w:rsid w:val="25A20B86"/>
    <w:rsid w:val="25B1070F"/>
    <w:rsid w:val="25DD571A"/>
    <w:rsid w:val="265C1D1F"/>
    <w:rsid w:val="26BB36DB"/>
    <w:rsid w:val="271C5A93"/>
    <w:rsid w:val="276F1834"/>
    <w:rsid w:val="27B459F9"/>
    <w:rsid w:val="27C51E91"/>
    <w:rsid w:val="28513369"/>
    <w:rsid w:val="28BF6D42"/>
    <w:rsid w:val="29FD04D3"/>
    <w:rsid w:val="2CAE1BBE"/>
    <w:rsid w:val="2CCF04B2"/>
    <w:rsid w:val="2E4C04E0"/>
    <w:rsid w:val="2F803D16"/>
    <w:rsid w:val="31810DA9"/>
    <w:rsid w:val="31903F88"/>
    <w:rsid w:val="319F7F4E"/>
    <w:rsid w:val="329448A6"/>
    <w:rsid w:val="32F45598"/>
    <w:rsid w:val="35244754"/>
    <w:rsid w:val="364D41F6"/>
    <w:rsid w:val="36FD0156"/>
    <w:rsid w:val="38F8371D"/>
    <w:rsid w:val="39226F5F"/>
    <w:rsid w:val="39902098"/>
    <w:rsid w:val="3A3A0F35"/>
    <w:rsid w:val="3A4E1148"/>
    <w:rsid w:val="3C8D2F9D"/>
    <w:rsid w:val="3CE0510E"/>
    <w:rsid w:val="3D1927CA"/>
    <w:rsid w:val="3D1E4B3E"/>
    <w:rsid w:val="3D8344ED"/>
    <w:rsid w:val="3E03620E"/>
    <w:rsid w:val="3E343C22"/>
    <w:rsid w:val="3F512FA9"/>
    <w:rsid w:val="3FAC4683"/>
    <w:rsid w:val="3FEA5DFB"/>
    <w:rsid w:val="401C35B7"/>
    <w:rsid w:val="4119235A"/>
    <w:rsid w:val="41677310"/>
    <w:rsid w:val="422C2C46"/>
    <w:rsid w:val="4251506E"/>
    <w:rsid w:val="43684120"/>
    <w:rsid w:val="444F07DA"/>
    <w:rsid w:val="44601E28"/>
    <w:rsid w:val="475E72DC"/>
    <w:rsid w:val="47F514AF"/>
    <w:rsid w:val="4839282C"/>
    <w:rsid w:val="48FD75BD"/>
    <w:rsid w:val="4A745623"/>
    <w:rsid w:val="4D135D42"/>
    <w:rsid w:val="4D846266"/>
    <w:rsid w:val="4D8D78A2"/>
    <w:rsid w:val="4DF123A8"/>
    <w:rsid w:val="4E832A53"/>
    <w:rsid w:val="4F6F7A34"/>
    <w:rsid w:val="4FD74194"/>
    <w:rsid w:val="4FDA49F5"/>
    <w:rsid w:val="50AE413E"/>
    <w:rsid w:val="51E1640E"/>
    <w:rsid w:val="51EE42CA"/>
    <w:rsid w:val="52302EF2"/>
    <w:rsid w:val="52ED6284"/>
    <w:rsid w:val="5322283B"/>
    <w:rsid w:val="532B0C13"/>
    <w:rsid w:val="53BE2B80"/>
    <w:rsid w:val="541505F1"/>
    <w:rsid w:val="54992FD0"/>
    <w:rsid w:val="55872E29"/>
    <w:rsid w:val="56D0674C"/>
    <w:rsid w:val="58BA52C3"/>
    <w:rsid w:val="59E11CD3"/>
    <w:rsid w:val="5BE202EA"/>
    <w:rsid w:val="5CFA7F1D"/>
    <w:rsid w:val="5E2506F8"/>
    <w:rsid w:val="5EA316D6"/>
    <w:rsid w:val="5F3A07D2"/>
    <w:rsid w:val="5F593A88"/>
    <w:rsid w:val="60651EAC"/>
    <w:rsid w:val="60BB3927"/>
    <w:rsid w:val="62A42EE2"/>
    <w:rsid w:val="630D013F"/>
    <w:rsid w:val="63347FC4"/>
    <w:rsid w:val="63604CB9"/>
    <w:rsid w:val="64A36D0B"/>
    <w:rsid w:val="64C656C1"/>
    <w:rsid w:val="65DF63C9"/>
    <w:rsid w:val="662A7F2C"/>
    <w:rsid w:val="68DA2DB6"/>
    <w:rsid w:val="69725134"/>
    <w:rsid w:val="6B4666B6"/>
    <w:rsid w:val="6CC85DA9"/>
    <w:rsid w:val="6D8F2D6B"/>
    <w:rsid w:val="6DC31436"/>
    <w:rsid w:val="6ECB49CF"/>
    <w:rsid w:val="6ECB5A2B"/>
    <w:rsid w:val="70202A42"/>
    <w:rsid w:val="718637E7"/>
    <w:rsid w:val="72227D09"/>
    <w:rsid w:val="72E476B5"/>
    <w:rsid w:val="73BE3A62"/>
    <w:rsid w:val="746C7E4B"/>
    <w:rsid w:val="750E6C6B"/>
    <w:rsid w:val="755E374E"/>
    <w:rsid w:val="76377F56"/>
    <w:rsid w:val="764B35A7"/>
    <w:rsid w:val="78A4106B"/>
    <w:rsid w:val="79975481"/>
    <w:rsid w:val="79F60BE5"/>
    <w:rsid w:val="7A1B4027"/>
    <w:rsid w:val="7A965738"/>
    <w:rsid w:val="7ABC1C9C"/>
    <w:rsid w:val="7B022DCE"/>
    <w:rsid w:val="7B272834"/>
    <w:rsid w:val="7B8F71DF"/>
    <w:rsid w:val="7CB2612E"/>
    <w:rsid w:val="7CC25607"/>
    <w:rsid w:val="7DE859ED"/>
    <w:rsid w:val="7E4C610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680"/>
    </w:pPr>
  </w:style>
  <w:style w:type="paragraph" w:styleId="6">
    <w:name w:val="annotation text"/>
    <w:basedOn w:val="1"/>
    <w:semiHidden/>
    <w:unhideWhenUsed/>
    <w:qFormat/>
    <w:uiPriority w:val="99"/>
    <w:pPr>
      <w:jc w:val="left"/>
    </w:p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able of figures"/>
    <w:basedOn w:val="1"/>
    <w:next w:val="1"/>
    <w:qFormat/>
    <w:uiPriority w:val="0"/>
    <w:pPr>
      <w:ind w:left="200" w:leftChars="200" w:hanging="200" w:hangingChars="200"/>
    </w:p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character" w:styleId="19">
    <w:name w:val="annotation reference"/>
    <w:basedOn w:val="16"/>
    <w:semiHidden/>
    <w:unhideWhenUsed/>
    <w:qFormat/>
    <w:uiPriority w:val="99"/>
    <w:rPr>
      <w:sz w:val="21"/>
      <w:szCs w:val="21"/>
    </w:rPr>
  </w:style>
  <w:style w:type="paragraph" w:customStyle="1" w:styleId="20">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字符"/>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字符"/>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字符"/>
    <w:link w:val="7"/>
    <w:qFormat/>
    <w:locked/>
    <w:uiPriority w:val="99"/>
    <w:rPr>
      <w:rFonts w:ascii="仿宋_GB2312" w:hAnsi="Times New Roman" w:eastAsia="仿宋_GB2312"/>
      <w:sz w:val="24"/>
    </w:rPr>
  </w:style>
  <w:style w:type="paragraph" w:styleId="27">
    <w:name w:val="List Paragraph"/>
    <w:basedOn w:val="1"/>
    <w:qFormat/>
    <w:uiPriority w:val="34"/>
    <w:pPr>
      <w:ind w:firstLine="420" w:firstLineChars="200"/>
    </w:pPr>
  </w:style>
  <w:style w:type="character" w:customStyle="1" w:styleId="28">
    <w:name w:val="标题 1 字符"/>
    <w:basedOn w:val="16"/>
    <w:link w:val="3"/>
    <w:qFormat/>
    <w:uiPriority w:val="9"/>
    <w:rPr>
      <w:rFonts w:ascii="Times New Roman" w:hAnsi="Times New Roman"/>
      <w:b/>
      <w:bCs/>
      <w:kern w:val="44"/>
      <w:sz w:val="44"/>
      <w:szCs w:val="44"/>
    </w:rPr>
  </w:style>
  <w:style w:type="character" w:customStyle="1" w:styleId="29">
    <w:name w:val="标题 2 字符"/>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9"/>
    <w:semiHidden/>
    <w:qFormat/>
    <w:uiPriority w:val="99"/>
    <w:rPr>
      <w:rFonts w:ascii="Times New Roman" w:hAnsi="Times New Roman"/>
      <w:kern w:val="2"/>
      <w:sz w:val="18"/>
      <w:szCs w:val="18"/>
    </w:rPr>
  </w:style>
  <w:style w:type="character" w:customStyle="1" w:styleId="32">
    <w:name w:val="标题 3 字符"/>
    <w:basedOn w:val="16"/>
    <w:link w:val="5"/>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{6204.59,2735.42}</c:f>
              <c:numCache>
                <c:formatCode>General</c:formatCode>
                <c:ptCount val="2"/>
                <c:pt idx="0">
                  <c:v>6204.59</c:v>
                </c:pt>
                <c:pt idx="1">
                  <c:v>2735.42</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{6204.59,2735.42}</c:f>
              <c:numCache>
                <c:formatCode>General</c:formatCode>
                <c:ptCount val="2"/>
                <c:pt idx="0">
                  <c:v>6204.59</c:v>
                </c:pt>
                <c:pt idx="1">
                  <c:v>2735.42</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{"一般公共预算财政拨款收入","政府性基金预算财政拨款收入","国有资本经营预算财政拨款收入","上级补助收入","事业收入","经营收入","附属单位上缴收入","其他收入"}</c:f>
              <c:strCache>
                <c:ptCount val="8"/>
                <c:pt idx="0">
                  <c:v>一般公共预算财政拨款收入</c:v>
                </c:pt>
                <c:pt idx="1">
                  <c:v>政府性基金预算财政拨款收入</c:v>
                </c:pt>
                <c:pt idx="2">
                  <c:v>国有资本经营预算财政拨款收入</c:v>
                </c:pt>
                <c:pt idx="3">
                  <c:v>上级补助收入</c:v>
                </c:pt>
                <c:pt idx="4">
                  <c:v>事业收入</c:v>
                </c:pt>
                <c:pt idx="5">
                  <c:v>经营收入</c:v>
                </c:pt>
                <c:pt idx="6">
                  <c:v>附属单位上缴收入</c:v>
                </c:pt>
                <c:pt idx="7">
                  <c:v>其他收入</c:v>
                </c:pt>
              </c:strCache>
            </c:strRef>
          </c:cat>
          <c:val>
            <c:numRef>
              <c:f>{27354245.73,0,0,0,0,0,0,0}</c:f>
              <c:numCache>
                <c:formatCode>General</c:formatCode>
                <c:ptCount val="8"/>
                <c:pt idx="0">
                  <c:v>27354245.73</c:v>
                </c:pt>
                <c:pt idx="1">
                  <c:v>0</c:v>
                </c:pt>
                <c:pt idx="2">
                  <c:v>0</c:v>
                </c:pt>
                <c:pt idx="3">
                  <c:v>0</c:v>
                </c:pt>
                <c:pt idx="4">
                  <c:v>0</c:v>
                </c:pt>
                <c:pt idx="5">
                  <c:v>0</c:v>
                </c:pt>
                <c:pt idx="6">
                  <c:v>0</c:v>
                </c:pt>
                <c:pt idx="7">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Pt>
            <c:idx val="3"/>
            <c:bubble3D val="0"/>
          </c:dPt>
          <c:dPt>
            <c:idx val="4"/>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{"基本支出","项目支出","上缴上级支出","经营支出","对附属单位补助支出"}</c:f>
              <c:strCache>
                <c:ptCount val="5"/>
                <c:pt idx="0">
                  <c:v>基本支出</c:v>
                </c:pt>
                <c:pt idx="1">
                  <c:v>项目支出</c:v>
                </c:pt>
                <c:pt idx="2">
                  <c:v>上缴上级支出</c:v>
                </c:pt>
                <c:pt idx="3">
                  <c:v>经营支出</c:v>
                </c:pt>
                <c:pt idx="4">
                  <c:v>对附属单位补助支出</c:v>
                </c:pt>
              </c:strCache>
            </c:strRef>
          </c:cat>
          <c:val>
            <c:numRef>
              <c:f>{6965462.11,20388783.62,0,0,0}</c:f>
              <c:numCache>
                <c:formatCode>General</c:formatCode>
                <c:ptCount val="5"/>
                <c:pt idx="0">
                  <c:v>6965462.11</c:v>
                </c:pt>
                <c:pt idx="1">
                  <c:v>20388783.62</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{6204.59,2735.42}</c:f>
              <c:numCache>
                <c:formatCode>General</c:formatCode>
                <c:ptCount val="2"/>
                <c:pt idx="0">
                  <c:v>6204.59</c:v>
                </c:pt>
                <c:pt idx="1">
                  <c:v>2735.42</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{"2021","2022"}</c:f>
              <c:strCache>
                <c:ptCount val="2"/>
                <c:pt idx="0">
                  <c:v>2021</c:v>
                </c:pt>
                <c:pt idx="1">
                  <c:v>2022</c:v>
                </c:pt>
              </c:strCache>
            </c:strRef>
          </c:cat>
          <c:val>
            <c:numRef>
              <c:f>{6204.59,2735.42}</c:f>
              <c:numCache>
                <c:formatCode>General</c:formatCode>
                <c:ptCount val="2"/>
                <c:pt idx="0">
                  <c:v>6204.59</c:v>
                </c:pt>
                <c:pt idx="1">
                  <c:v>2735.42</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2021</c:f>
              <c:strCache>
                <c:ptCount val="1"/>
                <c:pt idx="0">
                  <c:v>2021</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{4781.43}</c:f>
              <c:numCache>
                <c:formatCode>General</c:formatCode>
                <c:ptCount val="1"/>
                <c:pt idx="0">
                  <c:v>4781.43</c:v>
                </c:pt>
              </c:numCache>
            </c:numRef>
          </c:val>
        </c:ser>
        <c:ser>
          <c:idx val="2"/>
          <c:order val="1"/>
          <c:tx>
            <c:strRef>
              <c:f>2022</c:f>
              <c:strCache>
                <c:ptCount val="1"/>
                <c:pt idx="0">
                  <c:v>2022</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{2735.42}</c:f>
              <c:numCache>
                <c:formatCode>General</c:formatCode>
                <c:ptCount val="1"/>
                <c:pt idx="0">
                  <c:v>2735.42</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Pt>
            <c:idx val="3"/>
            <c:bubble3D val="0"/>
          </c:dPt>
          <c:dPt>
            <c:idx val="4"/>
            <c:bubble3D val="0"/>
          </c:dPt>
          <c:dPt>
            <c:idx val="5"/>
            <c:bubble3D val="0"/>
          </c:dPt>
          <c:dPt>
            <c:idx val="6"/>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{"社会保障和就业支出","卫生健康支出","城乡社区支出","农林水支出","自然资源海洋气象等支出","住房保障支出","灾害防治及应急管理支出"}</c:f>
              <c:strCache>
                <c:ptCount val="7"/>
                <c:pt idx="0">
                  <c:v>社会保障和就业支出</c:v>
                </c:pt>
                <c:pt idx="1">
                  <c:v>卫生健康支出</c:v>
                </c:pt>
                <c:pt idx="2">
                  <c:v>城乡社区支出</c:v>
                </c:pt>
                <c:pt idx="3">
                  <c:v>农林水支出</c:v>
                </c:pt>
                <c:pt idx="4">
                  <c:v>自然资源海洋气象等支出</c:v>
                </c:pt>
                <c:pt idx="5">
                  <c:v>住房保障支出</c:v>
                </c:pt>
                <c:pt idx="6">
                  <c:v>灾害防治及应急管理支出</c:v>
                </c:pt>
              </c:strCache>
            </c:strRef>
          </c:cat>
          <c:val>
            <c:numRef>
              <c:f>{75.85,30.04,120.72,20,799.88,42.94,1646}</c:f>
              <c:numCache>
                <c:formatCode>General</c:formatCode>
                <c:ptCount val="7"/>
                <c:pt idx="0">
                  <c:v>75.85</c:v>
                </c:pt>
                <c:pt idx="1">
                  <c:v>30.04</c:v>
                </c:pt>
                <c:pt idx="2">
                  <c:v>120.72</c:v>
                </c:pt>
                <c:pt idx="3">
                  <c:v>20</c:v>
                </c:pt>
                <c:pt idx="4">
                  <c:v>799.88</c:v>
                </c:pt>
                <c:pt idx="5">
                  <c:v>42.94</c:v>
                </c:pt>
                <c:pt idx="6">
                  <c:v>1646</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{0,40.07,0}</c:f>
              <c:numCache>
                <c:formatCode>General</c:formatCode>
                <c:ptCount val="3"/>
                <c:pt idx="0">
                  <c:v>0</c:v>
                </c:pt>
                <c:pt idx="1">
                  <c:v>40.07</c:v>
                </c:pt>
                <c:pt idx="2">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7404</Words>
  <Characters>8556</Characters>
  <Lines>51</Lines>
  <Paragraphs>14</Paragraphs>
  <TotalTime>1</TotalTime>
  <ScaleCrop>false</ScaleCrop>
  <LinksUpToDate>false</LinksUpToDate>
  <CharactersWithSpaces>8807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俯仰的大宝A</cp:lastModifiedBy>
  <cp:lastPrinted>2023-08-30T00:44:27Z</cp:lastPrinted>
  <dcterms:modified xsi:type="dcterms:W3CDTF">2023-08-30T01:20:58Z</dcterms:modified>
  <dc:title>四川省决算编制说明</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B93CA6F4BEAD4F359769D1203595D585</vt:lpwstr>
  </property>
</Properties>
</file>