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8441"/>
      <w:bookmarkStart w:id="2" w:name="_Toc15396597"/>
      <w:bookmarkStart w:id="3" w:name="_Toc15377193"/>
      <w:bookmarkStart w:id="4" w:name="_Toc15377425"/>
      <w:bookmarkStart w:id="5" w:name="_Toc15396475"/>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8442"/>
      <w:bookmarkStart w:id="7" w:name="_Toc15306268"/>
      <w:bookmarkStart w:id="8" w:name="_Toc15396476"/>
      <w:bookmarkStart w:id="9" w:name="_Toc15377426"/>
      <w:bookmarkStart w:id="10" w:name="_Toc15396598"/>
      <w:bookmarkStart w:id="11" w:name="_Toc15377194"/>
      <w:r>
        <w:rPr>
          <w:rFonts w:hint="eastAsia" w:ascii="方正小标宋简体" w:eastAsia="方正小标宋简体"/>
          <w:color w:val="000000"/>
          <w:sz w:val="72"/>
          <w:szCs w:val="72"/>
          <w:lang w:val="en-US" w:eastAsia="zh-CN"/>
        </w:rPr>
        <w:t xml:space="preserve">  金川县自然资源局</w:t>
      </w: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9"/>
        <w:rPr>
          <w:rFonts w:hint="eastAsia"/>
        </w:rPr>
      </w:pPr>
      <w:r>
        <w:rPr>
          <w:rFonts w:hint="eastAsia"/>
        </w:rPr>
        <w:t>公开时间：</w:t>
      </w:r>
      <w:r>
        <w:rPr>
          <w:rFonts w:hint="eastAsia"/>
          <w:lang w:val="en-US" w:eastAsia="zh-CN"/>
        </w:rPr>
        <w:t>2022</w:t>
      </w:r>
      <w:r>
        <w:rPr>
          <w:rFonts w:hint="eastAsia"/>
        </w:rPr>
        <w:t>年</w:t>
      </w:r>
      <w:r>
        <w:rPr>
          <w:rFonts w:hint="eastAsia"/>
          <w:lang w:val="en-US" w:eastAsia="zh-CN"/>
        </w:rPr>
        <w:t>8</w:t>
      </w:r>
      <w:r>
        <w:rPr>
          <w:rFonts w:hint="eastAsia"/>
        </w:rPr>
        <w:t>月</w:t>
      </w:r>
      <w:r>
        <w:rPr>
          <w:rFonts w:hint="eastAsia"/>
          <w:lang w:val="en-US" w:eastAsia="zh-CN"/>
        </w:rPr>
        <w:t>25</w:t>
      </w:r>
      <w:r>
        <w:rPr>
          <w:rFonts w:hint="eastAsia"/>
        </w:rPr>
        <w:t>日</w:t>
      </w:r>
    </w:p>
    <w:p>
      <w:pPr>
        <w:rPr>
          <w:rFonts w:hint="eastAsia"/>
        </w:rPr>
      </w:pPr>
    </w:p>
    <w:p>
      <w:pPr>
        <w:rPr>
          <w:rFonts w:hint="eastAsia"/>
        </w:rPr>
      </w:pPr>
    </w:p>
    <w:p>
      <w:pPr>
        <w:rPr>
          <w:rFonts w:hint="eastAsia"/>
        </w:rPr>
      </w:pPr>
    </w:p>
    <w:p/>
    <w:p>
      <w:pPr>
        <w:pStyle w:val="9"/>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4</w:t>
      </w:r>
      <w:r>
        <w:rPr>
          <w:rFonts w:hint="eastAsia"/>
        </w:rPr>
        <w:fldChar w:fldCharType="end"/>
      </w:r>
    </w:p>
    <w:p>
      <w:pPr>
        <w:pStyle w:val="14"/>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lang w:val="en-US" w:eastAsia="zh-CN"/>
        </w:rPr>
        <w:t>4</w:t>
      </w:r>
      <w:r>
        <w:rPr>
          <w:rFonts w:hint="eastAsia" w:ascii="仿宋" w:eastAsia="仿宋"/>
          <w:sz w:val="28"/>
          <w:szCs w:val="28"/>
        </w:rPr>
        <w:fldChar w:fldCharType="end"/>
      </w:r>
    </w:p>
    <w:p>
      <w:pPr>
        <w:pStyle w:val="14"/>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9"/>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8</w:t>
      </w:r>
      <w:r>
        <w:fldChar w:fldCharType="end"/>
      </w:r>
    </w:p>
    <w:p>
      <w:pPr>
        <w:pStyle w:val="14"/>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cs="Times New Roman"/>
          <w:bCs/>
          <w:sz w:val="28"/>
          <w:szCs w:val="28"/>
        </w:rPr>
        <w:t>一、</w:t>
      </w:r>
      <w:r>
        <w:rPr>
          <w:rFonts w:hint="eastAsia" w:ascii="仿宋" w:eastAsia="仿宋"/>
          <w:sz w:val="28"/>
          <w:szCs w:val="28"/>
        </w:rPr>
        <w:t>收</w:t>
      </w:r>
      <w:r>
        <w:rPr>
          <w:rFonts w:hint="eastAsia" w:ascii="仿宋" w:eastAsia="仿宋" w:cs="Times New Roman"/>
          <w:bCs/>
          <w:sz w:val="28"/>
          <w:szCs w:val="28"/>
        </w:rPr>
        <w:t>入支出决算总体情况说明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4"/>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cs="Times New Roman"/>
          <w:bCs/>
          <w:sz w:val="28"/>
          <w:szCs w:val="28"/>
        </w:rPr>
        <w:t>二、</w:t>
      </w:r>
      <w:r>
        <w:rPr>
          <w:rFonts w:hint="eastAsia" w:ascii="仿宋" w:eastAsia="仿宋"/>
          <w:sz w:val="28"/>
          <w:szCs w:val="28"/>
        </w:rPr>
        <w:t>收</w:t>
      </w:r>
      <w:r>
        <w:rPr>
          <w:rFonts w:hint="eastAsia" w:ascii="仿宋" w:eastAsia="仿宋" w:cs="Times New Roman"/>
          <w:bCs/>
          <w:sz w:val="28"/>
          <w:szCs w:val="28"/>
        </w:rPr>
        <w:t>入决算情况说明</w:t>
      </w:r>
      <w:r>
        <w:rPr>
          <w:rFonts w:ascii="仿宋" w:eastAsia="仿宋"/>
          <w:sz w:val="28"/>
          <w:szCs w:val="28"/>
        </w:rPr>
        <w:tab/>
      </w:r>
      <w:r>
        <w:rPr>
          <w:rFonts w:hint="eastAsia" w:ascii="仿宋" w:eastAsia="仿宋"/>
          <w:sz w:val="28"/>
          <w:szCs w:val="28"/>
          <w:lang w:val="en-US" w:eastAsia="zh-CN"/>
        </w:rPr>
        <w:t>8</w:t>
      </w:r>
      <w:r>
        <w:rPr>
          <w:rFonts w:ascii="仿宋" w:eastAsia="仿宋"/>
          <w:sz w:val="28"/>
          <w:szCs w:val="28"/>
        </w:rPr>
        <w:fldChar w:fldCharType="end"/>
      </w:r>
    </w:p>
    <w:p>
      <w:pPr>
        <w:pStyle w:val="14"/>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cs="Times New Roman"/>
          <w:bCs/>
          <w:sz w:val="28"/>
          <w:szCs w:val="28"/>
        </w:rPr>
        <w:t>三、</w:t>
      </w:r>
      <w:r>
        <w:rPr>
          <w:rFonts w:hint="eastAsia" w:ascii="仿宋" w:eastAsia="仿宋"/>
          <w:sz w:val="28"/>
          <w:szCs w:val="28"/>
        </w:rPr>
        <w:t>支</w:t>
      </w:r>
      <w:r>
        <w:rPr>
          <w:rFonts w:hint="eastAsia" w:ascii="仿宋" w:eastAsia="仿宋" w:cs="Times New Roman"/>
          <w:bCs/>
          <w:sz w:val="28"/>
          <w:szCs w:val="28"/>
        </w:rPr>
        <w:t>出决算情况说明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4"/>
        <w:rPr>
          <w:rFonts w:hint="eastAsia" w:ascii="仿宋" w:eastAsia="仿宋" w:cs="Arial"/>
          <w:sz w:val="28"/>
          <w:szCs w:val="28"/>
          <w:lang w:val="en-US" w:eastAsia="zh-CN"/>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cs="Times New Roman"/>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9</w:t>
      </w:r>
      <w:r>
        <w:rPr>
          <w:rFonts w:ascii="仿宋" w:eastAsia="仿宋"/>
          <w:sz w:val="28"/>
          <w:szCs w:val="28"/>
        </w:rPr>
        <w:fldChar w:fldCharType="end"/>
      </w:r>
    </w:p>
    <w:p>
      <w:pPr>
        <w:pStyle w:val="14"/>
        <w:rPr>
          <w:rFonts w:hint="eastAsia" w:ascii="仿宋" w:eastAsia="仿宋" w:cs="Arial"/>
          <w:sz w:val="28"/>
          <w:szCs w:val="28"/>
          <w:lang w:val="en-US" w:eastAsia="zh-CN"/>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cs="Times New Roman"/>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cs="Times New Roman"/>
          <w:bCs/>
          <w:sz w:val="28"/>
          <w:szCs w:val="28"/>
        </w:rPr>
        <w:t>般公共预算财政拨款基本支出决算情况说明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2</w:t>
      </w:r>
    </w:p>
    <w:p>
      <w:pPr>
        <w:pStyle w:val="14"/>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cs="Times New Roman"/>
          <w:bCs/>
          <w:sz w:val="28"/>
          <w:szCs w:val="28"/>
        </w:rPr>
        <w:t>三公”经费财政拨款支出决算情况说明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3</w:t>
      </w:r>
    </w:p>
    <w:p>
      <w:pPr>
        <w:pStyle w:val="14"/>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cs="Times New Roman"/>
          <w:bCs/>
          <w:sz w:val="28"/>
          <w:szCs w:val="28"/>
        </w:rPr>
        <w:t>政府性基金预算支出决算情况说明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4</w:t>
      </w:r>
    </w:p>
    <w:p>
      <w:pPr>
        <w:pStyle w:val="14"/>
        <w:rPr>
          <w:rFonts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cs="Times New Roman"/>
          <w:bCs/>
          <w:sz w:val="28"/>
          <w:szCs w:val="28"/>
        </w:rPr>
        <w:t>九、</w:t>
      </w:r>
      <w:r>
        <w:rPr>
          <w:rFonts w:hint="eastAsia" w:ascii="仿宋" w:eastAsia="仿宋"/>
          <w:sz w:val="28"/>
          <w:szCs w:val="28"/>
        </w:rPr>
        <w:t xml:space="preserve"> 国</w:t>
      </w:r>
      <w:r>
        <w:rPr>
          <w:rFonts w:hint="eastAsia" w:ascii="仿宋" w:eastAsia="仿宋" w:cs="Times New Roman"/>
          <w:bCs/>
          <w:sz w:val="28"/>
          <w:szCs w:val="28"/>
        </w:rPr>
        <w:t>有资本经营预算支出决算情况说明</w:t>
      </w:r>
      <w:r>
        <w:rPr>
          <w:rFonts w:ascii="仿宋" w:eastAsia="仿宋"/>
          <w:sz w:val="28"/>
          <w:szCs w:val="28"/>
        </w:rPr>
        <w:tab/>
      </w:r>
      <w:r>
        <w:rPr>
          <w:rFonts w:hint="eastAsia" w:ascii="仿宋" w:eastAsia="仿宋"/>
          <w:sz w:val="28"/>
          <w:szCs w:val="28"/>
          <w:lang w:val="en-US" w:eastAsia="zh-CN"/>
        </w:rPr>
        <w:t>1</w:t>
      </w:r>
      <w:r>
        <w:rPr>
          <w:rFonts w:ascii="仿宋" w:eastAsia="仿宋"/>
          <w:sz w:val="28"/>
          <w:szCs w:val="28"/>
        </w:rPr>
        <w:fldChar w:fldCharType="end"/>
      </w:r>
      <w:r>
        <w:rPr>
          <w:rFonts w:hint="eastAsia" w:ascii="仿宋" w:eastAsia="仿宋"/>
          <w:sz w:val="28"/>
          <w:szCs w:val="28"/>
          <w:lang w:val="en-US" w:eastAsia="zh-CN"/>
        </w:rPr>
        <w:t>5</w:t>
      </w:r>
    </w:p>
    <w:p>
      <w:pPr>
        <w:pStyle w:val="14"/>
        <w:rPr>
          <w:rStyle w:val="18"/>
          <w:rFonts w:hint="default" w:ascii="仿宋" w:eastAsia="仿宋" w:cs="Times New Roman"/>
          <w:bCs/>
          <w:kern w:val="2"/>
          <w:sz w:val="28"/>
          <w:szCs w:val="28"/>
          <w:lang w:val="en-US" w:eastAsia="zh-CN" w:bidi="ar-SA"/>
        </w:rPr>
      </w:pPr>
      <w:r>
        <w:rPr>
          <w:rStyle w:val="18"/>
          <w:rFonts w:hint="eastAsia" w:ascii="仿宋" w:eastAsia="仿宋" w:cs="Times New Roman"/>
          <w:bCs/>
          <w:kern w:val="2"/>
          <w:sz w:val="28"/>
          <w:szCs w:val="28"/>
          <w:lang w:val="en-US" w:eastAsia="zh-CN" w:bidi="ar-SA"/>
        </w:rPr>
        <w:t>十、其他重要事项的情况说明</w:t>
      </w:r>
      <w:r>
        <w:rPr>
          <w:rStyle w:val="18"/>
          <w:rFonts w:hint="eastAsia" w:ascii="仿宋" w:eastAsia="仿宋" w:cs="Times New Roman"/>
          <w:bCs/>
          <w:kern w:val="2"/>
          <w:sz w:val="28"/>
          <w:szCs w:val="28"/>
          <w:lang w:val="en-US" w:eastAsia="zh-CN" w:bidi="ar-SA"/>
        </w:rPr>
        <w:tab/>
      </w:r>
      <w:r>
        <w:rPr>
          <w:rStyle w:val="18"/>
          <w:rFonts w:hint="eastAsia" w:ascii="仿宋" w:eastAsia="仿宋" w:cs="Times New Roman"/>
          <w:bCs/>
          <w:kern w:val="2"/>
          <w:sz w:val="28"/>
          <w:szCs w:val="28"/>
          <w:lang w:val="en-US" w:eastAsia="zh-CN" w:bidi="ar-SA"/>
        </w:rPr>
        <w:t>15</w:t>
      </w:r>
    </w:p>
    <w:p>
      <w:pPr>
        <w:pStyle w:val="14"/>
        <w:tabs>
          <w:tab w:val="left" w:pos="201"/>
          <w:tab w:val="clear" w:pos="8296"/>
        </w:tabs>
        <w:rPr>
          <w:rStyle w:val="18"/>
          <w:rFonts w:hint="eastAsia" w:ascii="仿宋" w:eastAsia="仿宋" w:cs="Times New Roman"/>
          <w:bCs/>
          <w:kern w:val="2"/>
          <w:sz w:val="24"/>
          <w:szCs w:val="24"/>
          <w:lang w:val="en-US" w:eastAsia="zh-CN" w:bidi="ar-SA"/>
        </w:rPr>
      </w:pPr>
      <w:r>
        <w:rPr>
          <w:rStyle w:val="18"/>
          <w:rFonts w:hint="eastAsia" w:ascii="仿宋" w:eastAsia="仿宋" w:cs="Times New Roman"/>
          <w:bCs/>
          <w:kern w:val="2"/>
          <w:sz w:val="24"/>
          <w:szCs w:val="24"/>
          <w:lang w:val="en-US" w:eastAsia="zh-CN" w:bidi="ar-SA"/>
        </w:rPr>
        <w:t>（一）机关运行经费支出情况......................................</w:t>
      </w:r>
      <w:r>
        <w:rPr>
          <w:rStyle w:val="18"/>
          <w:rFonts w:hint="eastAsia" w:ascii="仿宋" w:eastAsia="仿宋" w:cs="Times New Roman"/>
          <w:bCs/>
          <w:kern w:val="2"/>
          <w:sz w:val="24"/>
          <w:szCs w:val="24"/>
          <w:lang w:val="en-US" w:eastAsia="zh-CN" w:bidi="ar-SA"/>
        </w:rPr>
        <w:fldChar w:fldCharType="begin"/>
      </w:r>
      <w:r>
        <w:rPr>
          <w:rStyle w:val="18"/>
          <w:rFonts w:hint="eastAsia" w:ascii="仿宋" w:eastAsia="仿宋" w:cs="Times New Roman"/>
          <w:bCs/>
          <w:kern w:val="2"/>
          <w:sz w:val="24"/>
          <w:szCs w:val="24"/>
          <w:lang w:val="en-US" w:eastAsia="zh-CN" w:bidi="ar-SA"/>
        </w:rPr>
        <w:instrText xml:space="preserve"> PAGEREF _Toc79163876 \h </w:instrText>
      </w:r>
      <w:r>
        <w:rPr>
          <w:rStyle w:val="18"/>
          <w:rFonts w:hint="eastAsia" w:ascii="仿宋" w:eastAsia="仿宋" w:cs="Times New Roman"/>
          <w:bCs/>
          <w:kern w:val="2"/>
          <w:sz w:val="24"/>
          <w:szCs w:val="24"/>
          <w:lang w:val="en-US" w:eastAsia="zh-CN" w:bidi="ar-SA"/>
        </w:rPr>
        <w:fldChar w:fldCharType="separate"/>
      </w:r>
      <w:r>
        <w:rPr>
          <w:rStyle w:val="18"/>
          <w:rFonts w:hint="eastAsia" w:ascii="仿宋" w:eastAsia="仿宋" w:cs="Times New Roman"/>
          <w:bCs/>
          <w:kern w:val="2"/>
          <w:sz w:val="24"/>
          <w:szCs w:val="24"/>
          <w:lang w:val="en-US" w:eastAsia="zh-CN" w:bidi="ar-SA"/>
        </w:rPr>
        <w:t>15</w:t>
      </w:r>
      <w:r>
        <w:rPr>
          <w:rStyle w:val="18"/>
          <w:rFonts w:hint="eastAsia" w:ascii="仿宋" w:eastAsia="仿宋" w:cs="Times New Roman"/>
          <w:bCs/>
          <w:kern w:val="2"/>
          <w:sz w:val="24"/>
          <w:szCs w:val="24"/>
          <w:lang w:val="en-US" w:eastAsia="zh-CN" w:bidi="ar-SA"/>
        </w:rPr>
        <w:fldChar w:fldCharType="end"/>
      </w:r>
    </w:p>
    <w:p>
      <w:pPr>
        <w:pStyle w:val="14"/>
        <w:rPr>
          <w:rStyle w:val="18"/>
          <w:rFonts w:hint="eastAsia" w:ascii="仿宋" w:eastAsia="仿宋" w:cs="Times New Roman"/>
          <w:bCs/>
          <w:kern w:val="2"/>
          <w:sz w:val="24"/>
          <w:szCs w:val="24"/>
          <w:lang w:val="en-US" w:eastAsia="zh-CN" w:bidi="ar-SA"/>
        </w:rPr>
      </w:pPr>
      <w:r>
        <w:rPr>
          <w:rStyle w:val="18"/>
          <w:rFonts w:hint="eastAsia" w:ascii="仿宋" w:eastAsia="仿宋" w:cs="Times New Roman"/>
          <w:bCs/>
          <w:kern w:val="2"/>
          <w:sz w:val="24"/>
          <w:szCs w:val="24"/>
          <w:lang w:val="en-US" w:eastAsia="zh-CN" w:bidi="ar-SA"/>
        </w:rPr>
        <w:t>（二）政府采购支出情况........................................15（三）国有资产占有使用情况......................................</w:t>
      </w:r>
      <w:r>
        <w:rPr>
          <w:rStyle w:val="18"/>
          <w:rFonts w:hint="eastAsia" w:ascii="仿宋" w:eastAsia="仿宋" w:cs="Times New Roman"/>
          <w:bCs/>
          <w:kern w:val="2"/>
          <w:sz w:val="24"/>
          <w:szCs w:val="24"/>
          <w:lang w:val="en-US" w:eastAsia="zh-CN" w:bidi="ar-SA"/>
        </w:rPr>
        <w:fldChar w:fldCharType="begin"/>
      </w:r>
      <w:r>
        <w:rPr>
          <w:rStyle w:val="18"/>
          <w:rFonts w:hint="eastAsia" w:ascii="仿宋" w:eastAsia="仿宋" w:cs="Times New Roman"/>
          <w:bCs/>
          <w:kern w:val="2"/>
          <w:sz w:val="24"/>
          <w:szCs w:val="24"/>
          <w:lang w:val="en-US" w:eastAsia="zh-CN" w:bidi="ar-SA"/>
        </w:rPr>
        <w:instrText xml:space="preserve"> PAGEREF _Toc79163877 \h </w:instrText>
      </w:r>
      <w:r>
        <w:rPr>
          <w:rStyle w:val="18"/>
          <w:rFonts w:hint="eastAsia" w:ascii="仿宋" w:eastAsia="仿宋" w:cs="Times New Roman"/>
          <w:bCs/>
          <w:kern w:val="2"/>
          <w:sz w:val="24"/>
          <w:szCs w:val="24"/>
          <w:lang w:val="en-US" w:eastAsia="zh-CN" w:bidi="ar-SA"/>
        </w:rPr>
        <w:fldChar w:fldCharType="separate"/>
      </w:r>
      <w:r>
        <w:rPr>
          <w:rStyle w:val="18"/>
          <w:rFonts w:hint="eastAsia" w:ascii="仿宋" w:eastAsia="仿宋" w:cs="Times New Roman"/>
          <w:bCs/>
          <w:kern w:val="2"/>
          <w:sz w:val="24"/>
          <w:szCs w:val="24"/>
          <w:lang w:val="en-US" w:eastAsia="zh-CN" w:bidi="ar-SA"/>
        </w:rPr>
        <w:t>15</w:t>
      </w:r>
      <w:r>
        <w:rPr>
          <w:rStyle w:val="18"/>
          <w:rFonts w:hint="eastAsia" w:ascii="仿宋" w:eastAsia="仿宋" w:cs="Times New Roman"/>
          <w:bCs/>
          <w:kern w:val="2"/>
          <w:sz w:val="24"/>
          <w:szCs w:val="24"/>
          <w:lang w:val="en-US" w:eastAsia="zh-CN" w:bidi="ar-SA"/>
        </w:rPr>
        <w:fldChar w:fldCharType="end"/>
      </w:r>
    </w:p>
    <w:p>
      <w:pPr>
        <w:pStyle w:val="14"/>
        <w:rPr>
          <w:rStyle w:val="18"/>
          <w:rFonts w:hint="eastAsia" w:ascii="仿宋" w:eastAsia="仿宋" w:cs="Times New Roman"/>
          <w:bCs/>
          <w:kern w:val="2"/>
          <w:sz w:val="24"/>
          <w:szCs w:val="24"/>
          <w:lang w:val="en-US" w:eastAsia="zh-CN" w:bidi="ar-SA"/>
        </w:rPr>
      </w:pPr>
      <w:r>
        <w:rPr>
          <w:rStyle w:val="18"/>
          <w:rFonts w:hint="eastAsia" w:ascii="仿宋" w:eastAsia="仿宋" w:cs="Times New Roman"/>
          <w:bCs/>
          <w:kern w:val="2"/>
          <w:sz w:val="24"/>
          <w:szCs w:val="24"/>
          <w:lang w:val="en-US" w:eastAsia="zh-CN" w:bidi="ar-SA"/>
        </w:rPr>
        <w:t>（四）预算绩效管理情况..........................................</w:t>
      </w:r>
      <w:r>
        <w:rPr>
          <w:rStyle w:val="18"/>
          <w:rFonts w:hint="eastAsia" w:ascii="仿宋" w:eastAsia="仿宋" w:cs="Times New Roman"/>
          <w:bCs/>
          <w:kern w:val="2"/>
          <w:sz w:val="24"/>
          <w:szCs w:val="24"/>
          <w:lang w:val="en-US" w:eastAsia="zh-CN" w:bidi="ar-SA"/>
        </w:rPr>
        <w:fldChar w:fldCharType="begin"/>
      </w:r>
      <w:r>
        <w:rPr>
          <w:rStyle w:val="18"/>
          <w:rFonts w:hint="eastAsia" w:ascii="仿宋" w:eastAsia="仿宋" w:cs="Times New Roman"/>
          <w:bCs/>
          <w:kern w:val="2"/>
          <w:sz w:val="24"/>
          <w:szCs w:val="24"/>
          <w:lang w:val="en-US" w:eastAsia="zh-CN" w:bidi="ar-SA"/>
        </w:rPr>
        <w:instrText xml:space="preserve"> PAGEREF _Toc79163878 \h </w:instrText>
      </w:r>
      <w:r>
        <w:rPr>
          <w:rStyle w:val="18"/>
          <w:rFonts w:hint="eastAsia" w:ascii="仿宋" w:eastAsia="仿宋" w:cs="Times New Roman"/>
          <w:bCs/>
          <w:kern w:val="2"/>
          <w:sz w:val="24"/>
          <w:szCs w:val="24"/>
          <w:lang w:val="en-US" w:eastAsia="zh-CN" w:bidi="ar-SA"/>
        </w:rPr>
        <w:fldChar w:fldCharType="separate"/>
      </w:r>
      <w:r>
        <w:rPr>
          <w:rStyle w:val="18"/>
          <w:rFonts w:hint="eastAsia" w:ascii="仿宋" w:eastAsia="仿宋" w:cs="Times New Roman"/>
          <w:bCs/>
          <w:kern w:val="2"/>
          <w:sz w:val="24"/>
          <w:szCs w:val="24"/>
          <w:lang w:val="en-US" w:eastAsia="zh-CN" w:bidi="ar-SA"/>
        </w:rPr>
        <w:t>15</w:t>
      </w:r>
      <w:r>
        <w:rPr>
          <w:rStyle w:val="18"/>
          <w:rFonts w:hint="eastAsia" w:ascii="仿宋" w:eastAsia="仿宋" w:cs="Times New Roman"/>
          <w:bCs/>
          <w:kern w:val="2"/>
          <w:sz w:val="24"/>
          <w:szCs w:val="24"/>
          <w:lang w:val="en-US" w:eastAsia="zh-CN" w:bidi="ar-SA"/>
        </w:rPr>
        <w:fldChar w:fldCharType="end"/>
      </w:r>
    </w:p>
    <w:p>
      <w:pPr>
        <w:pStyle w:val="9"/>
        <w:jc w:val="both"/>
        <w:rPr>
          <w:rFonts w:hint="eastAsia"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fldChar w:fldCharType="end"/>
      </w:r>
      <w:r>
        <w:rPr>
          <w:rFonts w:hint="eastAsia"/>
          <w:lang w:val="en-US" w:eastAsia="zh-CN"/>
        </w:rPr>
        <w:t>9</w:t>
      </w:r>
    </w:p>
    <w:p>
      <w:pPr>
        <w:pStyle w:val="9"/>
        <w:rPr>
          <w:rFonts w:hint="eastAsia"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lang w:val="en-US" w:eastAsia="zh-CN"/>
        </w:rPr>
        <w:t>2</w:t>
      </w:r>
      <w:r>
        <w:fldChar w:fldCharType="end"/>
      </w:r>
      <w:r>
        <w:rPr>
          <w:rFonts w:hint="eastAsia"/>
          <w:lang w:val="en-US" w:eastAsia="zh-CN"/>
        </w:rPr>
        <w:t>1</w:t>
      </w:r>
    </w:p>
    <w:p>
      <w:pPr>
        <w:pStyle w:val="14"/>
        <w:rPr>
          <w:rFonts w:hint="eastAsia" w:ascii="仿宋" w:eastAsia="仿宋" w:cs="Arial"/>
          <w:sz w:val="28"/>
          <w:szCs w:val="28"/>
          <w:lang w:val="en-US" w:eastAsia="zh-CN"/>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lang w:val="en-US" w:eastAsia="zh-CN"/>
        </w:rPr>
        <w:t>2</w:t>
      </w:r>
      <w:r>
        <w:rPr>
          <w:rFonts w:ascii="仿宋" w:eastAsia="仿宋"/>
          <w:sz w:val="28"/>
          <w:szCs w:val="28"/>
        </w:rPr>
        <w:fldChar w:fldCharType="end"/>
      </w:r>
      <w:r>
        <w:rPr>
          <w:rFonts w:hint="eastAsia" w:ascii="仿宋" w:eastAsia="仿宋"/>
          <w:sz w:val="28"/>
          <w:szCs w:val="28"/>
          <w:lang w:val="en-US" w:eastAsia="zh-CN"/>
        </w:rPr>
        <w:t>2</w:t>
      </w:r>
    </w:p>
    <w:p>
      <w:pPr>
        <w:pStyle w:val="9"/>
        <w:rPr>
          <w:rFonts w:hint="eastAsia"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lang w:val="en-US" w:eastAsia="zh-CN"/>
        </w:rPr>
        <w:t>3</w:t>
      </w:r>
      <w:r>
        <w:fldChar w:fldCharType="end"/>
      </w:r>
      <w:r>
        <w:rPr>
          <w:rFonts w:hint="eastAsia"/>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w:t>
      </w:r>
      <w:r>
        <w:rPr>
          <w:rFonts w:hint="eastAsia" w:ascii="仿宋" w:eastAsia="仿宋"/>
          <w:sz w:val="28"/>
          <w:szCs w:val="28"/>
          <w:lang w:val="en-US" w:eastAsia="zh-CN"/>
        </w:rPr>
        <w:t>决算</w:t>
      </w:r>
      <w:r>
        <w:rPr>
          <w:rFonts w:hint="eastAsia" w:ascii="仿宋" w:eastAsia="仿宋"/>
          <w:sz w:val="28"/>
          <w:szCs w:val="28"/>
        </w:rPr>
        <w:t>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w:t>
      </w:r>
      <w:r>
        <w:rPr>
          <w:rFonts w:hint="eastAsia" w:ascii="仿宋" w:eastAsia="仿宋"/>
          <w:sz w:val="28"/>
          <w:szCs w:val="28"/>
          <w:lang w:val="en-US" w:eastAsia="zh-CN"/>
        </w:rPr>
        <w:t>决算</w:t>
      </w:r>
      <w:r>
        <w:rPr>
          <w:rFonts w:hint="eastAsia" w:ascii="仿宋" w:eastAsia="仿宋"/>
          <w:sz w:val="28"/>
          <w:szCs w:val="28"/>
        </w:rPr>
        <w:t>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sz w:val="28"/>
          <w:szCs w:val="28"/>
          <w:lang w:val="en-US" w:eastAsia="zh-CN"/>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十一、</w:t>
      </w:r>
      <w:r>
        <w:rPr>
          <w:rFonts w:hint="eastAsia" w:ascii="仿宋" w:eastAsia="仿宋"/>
          <w:sz w:val="28"/>
          <w:szCs w:val="28"/>
        </w:rPr>
        <w:fldChar w:fldCharType="begin"/>
      </w:r>
      <w:r>
        <w:rPr>
          <w:rFonts w:hint="eastAsia" w:ascii="仿宋" w:eastAsia="仿宋"/>
          <w:sz w:val="28"/>
          <w:szCs w:val="28"/>
        </w:rPr>
        <w:instrText xml:space="preserve"> HYPERLINK \l "_Toc15396629" </w:instrText>
      </w:r>
      <w:r>
        <w:rPr>
          <w:rFonts w:hint="eastAsia" w:ascii="仿宋" w:eastAsia="仿宋"/>
          <w:sz w:val="28"/>
          <w:szCs w:val="28"/>
        </w:rPr>
        <w:fldChar w:fldCharType="separate"/>
      </w:r>
      <w:r>
        <w:rPr>
          <w:rFonts w:hint="eastAsia" w:ascii="仿宋" w:eastAsia="仿宋"/>
          <w:sz w:val="28"/>
          <w:szCs w:val="28"/>
          <w:lang w:val="en-US" w:eastAsia="zh-CN"/>
        </w:rPr>
        <w:t>政府性基金预算财政拨款收入支出决算表</w:t>
      </w:r>
      <w:r>
        <w:rPr>
          <w:rFonts w:ascii="仿宋" w:eastAsia="仿宋"/>
          <w:sz w:val="28"/>
          <w:szCs w:val="28"/>
        </w:rPr>
        <w:tab/>
      </w:r>
      <w:r>
        <w:rPr>
          <w:rStyle w:val="18"/>
          <w:rFonts w:hint="eastAsia" w:ascii="仿宋" w:eastAsia="仿宋" w:cs="Times New Roman"/>
          <w:bCs/>
          <w:kern w:val="2"/>
          <w:sz w:val="24"/>
          <w:szCs w:val="24"/>
          <w:lang w:val="en-US" w:eastAsia="zh-CN" w:bidi="ar-SA"/>
        </w:rPr>
        <w:t>..............</w:t>
      </w:r>
      <w:r>
        <w:rPr>
          <w:rFonts w:hint="eastAsia" w:ascii="仿宋" w:eastAsia="仿宋"/>
          <w:sz w:val="28"/>
          <w:szCs w:val="28"/>
          <w:lang w:val="en-US" w:eastAsia="zh-CN"/>
        </w:rPr>
        <w:t>3</w:t>
      </w:r>
      <w:r>
        <w:rPr>
          <w:rFonts w:hint="eastAsia" w:ascii="仿宋" w:eastAsia="仿宋"/>
          <w:sz w:val="28"/>
          <w:szCs w:val="28"/>
        </w:rPr>
        <w:fldChar w:fldCharType="end"/>
      </w:r>
      <w:r>
        <w:rPr>
          <w:rFonts w:hint="eastAsia" w:ascii="仿宋" w:eastAsia="仿宋"/>
          <w:sz w:val="28"/>
          <w:szCs w:val="28"/>
          <w:lang w:val="en-US" w:eastAsia="zh-CN"/>
        </w:rPr>
        <w:t>0</w:t>
      </w:r>
      <w:r>
        <w:rPr>
          <w:rFonts w:hint="eastAsia" w:ascii="仿宋" w:eastAsia="仿宋"/>
          <w:sz w:val="28"/>
          <w:szCs w:val="28"/>
        </w:rPr>
        <w:t>十</w:t>
      </w:r>
      <w:r>
        <w:rPr>
          <w:rFonts w:hint="eastAsia" w:ascii="仿宋" w:eastAsia="仿宋"/>
          <w:sz w:val="28"/>
          <w:szCs w:val="28"/>
          <w:lang w:val="en-US" w:eastAsia="zh-CN"/>
        </w:rPr>
        <w:t>二</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政府性基金预算财政拨款</w:t>
      </w:r>
      <w:r>
        <w:rPr>
          <w:rFonts w:hint="eastAsia" w:ascii="仿宋" w:eastAsia="仿宋"/>
          <w:sz w:val="28"/>
          <w:szCs w:val="28"/>
        </w:rPr>
        <w:t>“三公”经费支出决算表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十</w:t>
      </w:r>
      <w:r>
        <w:rPr>
          <w:rFonts w:hint="eastAsia" w:ascii="仿宋" w:eastAsia="仿宋"/>
          <w:sz w:val="28"/>
          <w:szCs w:val="28"/>
          <w:lang w:val="en-US" w:eastAsia="zh-CN"/>
        </w:rPr>
        <w:t>三</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国有资本经营预算财政拨款支出决算表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r>
        <w:rPr>
          <w:rFonts w:hint="eastAsia" w:ascii="仿宋" w:eastAsia="仿宋"/>
          <w:sz w:val="28"/>
          <w:szCs w:val="28"/>
        </w:rPr>
        <w:t>十</w:t>
      </w:r>
      <w:r>
        <w:rPr>
          <w:rFonts w:hint="eastAsia" w:ascii="仿宋" w:eastAsia="仿宋"/>
          <w:sz w:val="28"/>
          <w:szCs w:val="28"/>
          <w:lang w:val="en-US" w:eastAsia="zh-CN"/>
        </w:rPr>
        <w:t>四</w:t>
      </w:r>
      <w:r>
        <w:rPr>
          <w:rFonts w:hint="eastAsia" w:ascii="仿宋" w:eastAsia="仿宋"/>
          <w:sz w:val="28"/>
          <w:szCs w:val="28"/>
        </w:rPr>
        <w:t>、</w:t>
      </w:r>
      <w:r>
        <w:fldChar w:fldCharType="begin"/>
      </w:r>
      <w:r>
        <w:instrText xml:space="preserve"> HYPERLINK \l "_Toc15396629" </w:instrText>
      </w:r>
      <w:r>
        <w:fldChar w:fldCharType="separate"/>
      </w:r>
      <w:r>
        <w:rPr>
          <w:rFonts w:hint="eastAsia" w:ascii="仿宋" w:eastAsia="仿宋"/>
          <w:sz w:val="28"/>
          <w:szCs w:val="28"/>
          <w:lang w:val="en-US" w:eastAsia="zh-CN"/>
        </w:rPr>
        <w:t>国有资金经营预算财政拨款支出决算表</w:t>
      </w:r>
      <w:r>
        <w:rPr>
          <w:rFonts w:ascii="仿宋" w:eastAsia="仿宋"/>
          <w:sz w:val="28"/>
          <w:szCs w:val="28"/>
        </w:rPr>
        <w:tab/>
      </w:r>
      <w:r>
        <w:rPr>
          <w:rFonts w:hint="eastAsia" w:ascii="仿宋" w:eastAsia="仿宋"/>
          <w:sz w:val="28"/>
          <w:szCs w:val="28"/>
          <w:lang w:val="en-US" w:eastAsia="zh-CN"/>
        </w:rPr>
        <w:t>3</w:t>
      </w:r>
      <w:r>
        <w:rPr>
          <w:rFonts w:ascii="仿宋" w:eastAsia="仿宋"/>
          <w:sz w:val="28"/>
          <w:szCs w:val="28"/>
        </w:rPr>
        <w:fldChar w:fldCharType="end"/>
      </w:r>
      <w:r>
        <w:rPr>
          <w:rFonts w:hint="eastAsia" w:ascii="仿宋" w:eastAsia="仿宋"/>
          <w:sz w:val="28"/>
          <w:szCs w:val="28"/>
          <w:lang w:val="en-US" w:eastAsia="zh-CN"/>
        </w:rPr>
        <w:t>0</w:t>
      </w:r>
    </w:p>
    <w:p>
      <w:pPr>
        <w:pStyle w:val="14"/>
        <w:rPr>
          <w:rFonts w:hint="eastAsia" w:ascii="仿宋" w:eastAsia="仿宋" w:cs="Arial"/>
          <w:sz w:val="28"/>
          <w:szCs w:val="28"/>
          <w:lang w:val="en-US" w:eastAsia="zh-CN"/>
        </w:rPr>
      </w:pP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hint="eastAsia" w:ascii="黑体" w:eastAsia="黑体"/>
          <w:b/>
          <w:lang w:val="en-US" w:eastAsia="zh-CN"/>
        </w:rPr>
        <w:t xml:space="preserve"> </w:t>
      </w:r>
      <w:r>
        <w:rPr>
          <w:rFonts w:ascii="黑体" w:eastAsia="黑体"/>
          <w:b/>
        </w:rPr>
        <w:br w:type="page"/>
      </w:r>
    </w:p>
    <w:p>
      <w:pPr>
        <w:pStyle w:val="5"/>
        <w:jc w:val="center"/>
        <w:rPr>
          <w:rFonts w:ascii="黑体" w:eastAsia="黑体"/>
          <w:color w:val="000000"/>
          <w:sz w:val="32"/>
          <w:szCs w:val="32"/>
        </w:rPr>
      </w:pPr>
      <w:r>
        <w:rPr>
          <w:rFonts w:hint="eastAsia" w:ascii="黑体" w:eastAsia="黑体"/>
          <w:b w:val="0"/>
        </w:rPr>
        <w:t xml:space="preserve">第一部分 </w:t>
      </w:r>
      <w:r>
        <w:rPr>
          <w:rStyle w:val="20"/>
          <w:rFonts w:hint="eastAsia" w:ascii="黑体" w:eastAsia="黑体"/>
          <w:b w:val="0"/>
          <w:bCs w:val="0"/>
        </w:rPr>
        <w:t>部门概况</w:t>
      </w:r>
      <w:bookmarkEnd w:id="12"/>
      <w:bookmarkEnd w:id="13"/>
    </w:p>
    <w:p>
      <w:pPr>
        <w:pStyle w:val="6"/>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21"/>
          <w:rFonts w:hint="eastAsia" w:ascii="黑体" w:eastAsia="黑体"/>
          <w:b w:val="0"/>
          <w:bCs w:val="0"/>
        </w:rPr>
      </w:pPr>
      <w:bookmarkStart w:id="14" w:name="_Toc15377197"/>
      <w:bookmarkStart w:id="15" w:name="_Toc15396600"/>
      <w:r>
        <w:rPr>
          <w:rFonts w:hint="eastAsia" w:ascii="黑体" w:eastAsia="黑体"/>
          <w:b w:val="0"/>
          <w:color w:val="000000"/>
        </w:rPr>
        <w:t>一、基</w:t>
      </w:r>
      <w:r>
        <w:rPr>
          <w:rStyle w:val="21"/>
          <w:rFonts w:hint="eastAsia" w:ascii="黑体" w:eastAsia="黑体"/>
          <w:b w:val="0"/>
          <w:bCs w:val="0"/>
        </w:rPr>
        <w:t>本职能及主要工作</w:t>
      </w:r>
      <w:bookmarkEnd w:id="14"/>
      <w:bookmarkEnd w:id="15"/>
      <w:bookmarkStart w:id="16" w:name="_Toc15377198"/>
      <w:bookmarkStart w:id="17" w:name="_Toc15378445"/>
    </w:p>
    <w:p>
      <w:pPr>
        <w:pStyle w:val="6"/>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8446"/>
      <w:bookmarkStart w:id="19" w:name="_Toc15377199"/>
    </w:p>
    <w:p>
      <w:pPr>
        <w:snapToGrid w:val="0"/>
        <w:spacing w:line="360" w:lineRule="auto"/>
        <w:ind w:firstLine="643" w:firstLineChars="200"/>
        <w:rPr>
          <w:rFonts w:hint="eastAsia" w:ascii="仿宋_GB2312" w:eastAsia="仿宋_GB2312"/>
          <w:sz w:val="32"/>
          <w:szCs w:val="32"/>
        </w:rPr>
      </w:pPr>
      <w:r>
        <w:rPr>
          <w:rFonts w:hint="eastAsia" w:ascii="仿宋_GB2312" w:eastAsia="仿宋_GB2312"/>
          <w:b/>
          <w:bCs/>
          <w:color w:val="000000"/>
          <w:sz w:val="32"/>
          <w:szCs w:val="32"/>
          <w:lang w:val="en-US" w:eastAsia="zh-CN"/>
        </w:rPr>
        <w:t>1.</w:t>
      </w:r>
      <w:r>
        <w:rPr>
          <w:rFonts w:hint="eastAsia" w:ascii="仿宋_GB2312" w:eastAsia="仿宋_GB2312"/>
          <w:sz w:val="32"/>
          <w:szCs w:val="32"/>
        </w:rPr>
        <w:t>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snapToGrid w:val="0"/>
        <w:spacing w:line="360" w:lineRule="auto"/>
        <w:ind w:firstLine="643" w:firstLineChars="200"/>
        <w:rPr>
          <w:rFonts w:hint="eastAsia" w:ascii="仿宋_GB2312" w:hAnsi="Verdana" w:eastAsia="仿宋_GB2312" w:cs="Arial"/>
          <w:color w:val="000000"/>
          <w:sz w:val="32"/>
          <w:szCs w:val="32"/>
        </w:rPr>
      </w:pPr>
      <w:r>
        <w:rPr>
          <w:rFonts w:hint="eastAsia" w:ascii="仿宋_GB2312" w:eastAsia="仿宋_GB2312"/>
          <w:b/>
          <w:color w:val="000000"/>
          <w:sz w:val="32"/>
          <w:szCs w:val="32"/>
          <w:lang w:val="en-US" w:eastAsia="zh-CN"/>
        </w:rPr>
        <w:t>2.</w:t>
      </w:r>
      <w:r>
        <w:rPr>
          <w:rFonts w:hint="eastAsia" w:ascii="仿宋_GB2312" w:hAnsi="Verdana" w:eastAsia="仿宋_GB2312" w:cs="Arial"/>
          <w:color w:val="000000"/>
          <w:sz w:val="32"/>
          <w:szCs w:val="32"/>
        </w:rPr>
        <w:t>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pPr>
        <w:snapToGrid w:val="0"/>
        <w:spacing w:line="360" w:lineRule="auto"/>
        <w:ind w:firstLine="643" w:firstLineChars="200"/>
        <w:rPr>
          <w:rFonts w:hint="eastAsia" w:ascii="仿宋_GB2312" w:hAnsi="Verdana" w:eastAsia="仿宋_GB2312" w:cs="Arial"/>
          <w:color w:val="000000"/>
          <w:sz w:val="32"/>
          <w:szCs w:val="32"/>
        </w:rPr>
      </w:pPr>
      <w:r>
        <w:rPr>
          <w:rFonts w:hint="eastAsia" w:ascii="仿宋_GB2312" w:eastAsia="仿宋_GB2312"/>
          <w:b/>
          <w:bCs/>
          <w:sz w:val="32"/>
          <w:szCs w:val="32"/>
          <w:lang w:val="en-US" w:eastAsia="zh-CN"/>
        </w:rPr>
        <w:t>3.</w:t>
      </w:r>
      <w:r>
        <w:rPr>
          <w:rFonts w:hint="eastAsia" w:ascii="仿宋_GB2312" w:hAnsi="Verdana" w:eastAsia="仿宋_GB2312" w:cs="Arial"/>
          <w:color w:val="000000"/>
          <w:sz w:val="32"/>
          <w:szCs w:val="32"/>
        </w:rPr>
        <w:t>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4.</w:t>
      </w:r>
      <w:r>
        <w:rPr>
          <w:rFonts w:hint="eastAsia" w:ascii="仿宋_GB2312" w:hAnsi="Verdana" w:eastAsia="仿宋_GB2312" w:cs="Arial"/>
          <w:color w:val="000000"/>
          <w:sz w:val="32"/>
          <w:szCs w:val="32"/>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w:t>
      </w:r>
      <w:r>
        <w:rPr>
          <w:rFonts w:hint="eastAsia" w:ascii="仿宋_GB2312" w:eastAsia="仿宋_GB2312"/>
          <w:b/>
          <w:bCs/>
          <w:sz w:val="32"/>
          <w:szCs w:val="32"/>
          <w:lang w:val="en-US" w:eastAsia="zh-CN"/>
        </w:rPr>
        <w:t>5.</w:t>
      </w:r>
      <w:r>
        <w:rPr>
          <w:rFonts w:hint="eastAsia" w:ascii="仿宋_GB2312" w:hAnsi="Verdana" w:eastAsia="仿宋_GB2312" w:cs="Arial"/>
          <w:color w:val="000000"/>
          <w:sz w:val="32"/>
          <w:szCs w:val="32"/>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6.</w:t>
      </w:r>
      <w:r>
        <w:rPr>
          <w:rFonts w:hint="eastAsia" w:ascii="仿宋_GB2312" w:hAnsi="Verdana" w:eastAsia="仿宋_GB2312" w:cs="Arial"/>
          <w:color w:val="000000"/>
          <w:sz w:val="32"/>
          <w:szCs w:val="32"/>
        </w:rPr>
        <w:t>承担及时准确提供全县土地利用各种数据的责任。拟定和贯彻实施地籍管理办法，组织土地资源调查、地籍调查、土地统计和动态监测，组织实施重大土地专项调查，组织全县地籍调查、登记和土地分等定级工作。</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7.</w:t>
      </w:r>
      <w:r>
        <w:rPr>
          <w:rFonts w:hint="eastAsia" w:ascii="仿宋_GB2312" w:hAnsi="Verdana" w:eastAsia="仿宋_GB2312" w:cs="Arial"/>
          <w:color w:val="000000"/>
          <w:sz w:val="32"/>
          <w:szCs w:val="32"/>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eastAsia="仿宋_GB2312"/>
          <w:sz w:val="32"/>
          <w:szCs w:val="32"/>
        </w:rPr>
        <w:t>　</w:t>
      </w:r>
      <w:r>
        <w:rPr>
          <w:rFonts w:hint="eastAsia" w:ascii="仿宋_GB2312" w:hAnsi="Verdana" w:eastAsia="仿宋_GB2312" w:cs="Arial"/>
          <w:color w:val="000000"/>
          <w:sz w:val="32"/>
          <w:szCs w:val="32"/>
        </w:rPr>
        <w:t xml:space="preserve">  </w:t>
      </w:r>
      <w:r>
        <w:rPr>
          <w:rFonts w:hint="eastAsia" w:ascii="仿宋_GB2312" w:eastAsia="仿宋_GB2312"/>
          <w:b/>
          <w:bCs/>
          <w:sz w:val="32"/>
          <w:szCs w:val="32"/>
          <w:lang w:val="en-US" w:eastAsia="zh-CN"/>
        </w:rPr>
        <w:t>8.</w:t>
      </w:r>
      <w:r>
        <w:rPr>
          <w:rFonts w:hint="eastAsia" w:ascii="仿宋_GB2312" w:hAnsi="Verdana" w:eastAsia="仿宋_GB2312" w:cs="Arial"/>
          <w:color w:val="000000"/>
          <w:sz w:val="32"/>
          <w:szCs w:val="32"/>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spacing w:line="560" w:lineRule="exact"/>
        <w:ind w:firstLine="643" w:firstLineChars="200"/>
        <w:rPr>
          <w:rFonts w:hint="eastAsia" w:ascii="仿宋_GB2312" w:hAnsi="Verdana" w:eastAsia="仿宋_GB2312" w:cs="Arial"/>
          <w:color w:val="000000"/>
          <w:sz w:val="32"/>
          <w:szCs w:val="32"/>
        </w:rPr>
      </w:pPr>
      <w:r>
        <w:rPr>
          <w:rFonts w:hint="eastAsia" w:ascii="仿宋_GB2312" w:eastAsia="仿宋_GB2312"/>
          <w:b/>
          <w:bCs/>
          <w:sz w:val="32"/>
          <w:szCs w:val="32"/>
          <w:lang w:val="en-US" w:eastAsia="zh-CN"/>
        </w:rPr>
        <w:t>9.</w:t>
      </w:r>
      <w:r>
        <w:rPr>
          <w:rFonts w:hint="eastAsia" w:ascii="仿宋_GB2312" w:eastAsia="仿宋_GB2312"/>
          <w:sz w:val="32"/>
          <w:szCs w:val="32"/>
        </w:rPr>
        <w:t>负责矿产资源开发的管理，依法管理矿业权的审批登记发证和转让审批登记；</w:t>
      </w:r>
      <w:r>
        <w:rPr>
          <w:rFonts w:hint="eastAsia" w:ascii="仿宋_GB2312" w:hAnsi="Verdana" w:eastAsia="仿宋_GB2312" w:cs="Arial"/>
          <w:color w:val="000000"/>
          <w:sz w:val="32"/>
          <w:szCs w:val="32"/>
        </w:rPr>
        <w:t>负责县规划矿区对国民经济具有重要价值的矿区的管理，承担保护性开采的特定矿种、优势矿产的开采总量控制及相关管理工作，组织编制实施矿业权设置方案。</w:t>
      </w:r>
    </w:p>
    <w:p>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10.</w:t>
      </w:r>
      <w:r>
        <w:rPr>
          <w:rFonts w:hint="eastAsia" w:ascii="仿宋_GB2312" w:hAnsi="Arial" w:eastAsia="仿宋_GB2312" w:cs="Arial"/>
          <w:color w:val="000000"/>
          <w:kern w:val="0"/>
          <w:sz w:val="32"/>
          <w:szCs w:val="32"/>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11.</w:t>
      </w:r>
      <w:r>
        <w:rPr>
          <w:rFonts w:hint="eastAsia" w:ascii="仿宋_GB2312" w:hAnsi="Arial" w:eastAsia="仿宋_GB2312" w:cs="Arial"/>
          <w:color w:val="000000"/>
          <w:kern w:val="0"/>
          <w:sz w:val="32"/>
          <w:szCs w:val="32"/>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12.</w:t>
      </w:r>
      <w:r>
        <w:rPr>
          <w:rFonts w:hint="eastAsia" w:ascii="仿宋_GB2312" w:hAnsi="Arial" w:eastAsia="仿宋_GB2312" w:cs="Arial"/>
          <w:color w:val="000000"/>
          <w:kern w:val="0"/>
          <w:sz w:val="32"/>
          <w:szCs w:val="32"/>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ind w:firstLine="643" w:firstLineChars="200"/>
        <w:rPr>
          <w:rFonts w:hint="eastAsia" w:ascii="仿宋_GB2312" w:hAnsi="Arial" w:eastAsia="仿宋_GB2312" w:cs="Arial"/>
          <w:color w:val="000000"/>
          <w:kern w:val="0"/>
          <w:sz w:val="32"/>
          <w:szCs w:val="32"/>
        </w:rPr>
      </w:pPr>
      <w:r>
        <w:rPr>
          <w:rFonts w:hint="eastAsia" w:ascii="仿宋_GB2312" w:eastAsia="仿宋_GB2312"/>
          <w:b/>
          <w:bCs/>
          <w:sz w:val="32"/>
          <w:szCs w:val="32"/>
          <w:lang w:val="en-US" w:eastAsia="zh-CN"/>
        </w:rPr>
        <w:t>13.</w:t>
      </w:r>
      <w:r>
        <w:rPr>
          <w:rFonts w:hint="eastAsia" w:ascii="仿宋_GB2312" w:hAnsi="Arial" w:eastAsia="仿宋_GB2312" w:cs="Arial"/>
          <w:color w:val="000000"/>
          <w:kern w:val="0"/>
          <w:sz w:val="32"/>
          <w:szCs w:val="32"/>
        </w:rPr>
        <w:t>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14.</w:t>
      </w:r>
      <w:r>
        <w:rPr>
          <w:rFonts w:hint="eastAsia" w:ascii="仿宋_GB2312" w:eastAsia="仿宋_GB2312"/>
          <w:sz w:val="32"/>
          <w:szCs w:val="32"/>
        </w:rPr>
        <w:t>承担县政府公布的有关行政审批事项。</w:t>
      </w:r>
    </w:p>
    <w:p>
      <w:pPr>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15.</w:t>
      </w:r>
      <w:r>
        <w:rPr>
          <w:rFonts w:hint="eastAsia" w:ascii="仿宋_GB2312" w:eastAsia="仿宋_GB2312"/>
          <w:sz w:val="32"/>
          <w:szCs w:val="32"/>
        </w:rPr>
        <w:t>承担县委、县政府交办的其他事项。</w:t>
      </w:r>
    </w:p>
    <w:p>
      <w:pPr>
        <w:keepNext w:val="0"/>
        <w:keepLines w:val="0"/>
        <w:pageBreakBefore w:val="0"/>
        <w:widowControl w:val="0"/>
        <w:kinsoku/>
        <w:wordWrap/>
        <w:overflowPunct/>
        <w:topLinePunct w:val="0"/>
        <w:autoSpaceDE/>
        <w:autoSpaceDN/>
        <w:bidi w:val="0"/>
        <w:adjustRightInd/>
        <w:snapToGrid/>
        <w:spacing w:line="560" w:lineRule="exact"/>
        <w:ind w:right="0" w:firstLine="420" w:firstLineChars="200"/>
        <w:textAlignment w:val="auto"/>
        <w:outlineLvl w:val="9"/>
        <w:rPr>
          <w:rFonts w:hint="eastAsia" w:ascii="仿宋_GB2312" w:hAnsi="仿宋_GB2312"/>
          <w:szCs w:val="32"/>
        </w:rPr>
      </w:pPr>
    </w:p>
    <w:p>
      <w:pPr>
        <w:pStyle w:val="6"/>
        <w:spacing w:before="0" w:after="0" w:line="240" w:lineRule="auto"/>
        <w:ind w:firstLine="321" w:firstLineChars="100"/>
        <w:rPr>
          <w:rFonts w:hint="eastAsia" w:ascii="楷体" w:eastAsia="楷体" w:cs="楷体"/>
          <w:bCs/>
          <w:color w:val="000000"/>
          <w:sz w:val="32"/>
          <w:szCs w:val="32"/>
        </w:rPr>
      </w:pPr>
      <w:r>
        <w:rPr>
          <w:rFonts w:hint="eastAsia" w:ascii="楷体" w:eastAsia="楷体" w:cs="楷体"/>
          <w:bCs/>
          <w:color w:val="000000"/>
          <w:sz w:val="32"/>
          <w:szCs w:val="32"/>
        </w:rPr>
        <w:t>（二）20</w:t>
      </w:r>
      <w:r>
        <w:rPr>
          <w:rFonts w:hint="eastAsia" w:ascii="楷体" w:eastAsia="楷体" w:cs="楷体"/>
          <w:bCs/>
          <w:color w:val="000000"/>
          <w:sz w:val="32"/>
          <w:szCs w:val="32"/>
          <w:lang w:val="en-US" w:eastAsia="zh-CN"/>
        </w:rPr>
        <w:t>21</w:t>
      </w:r>
      <w:r>
        <w:rPr>
          <w:rFonts w:hint="eastAsia" w:ascii="楷体" w:eastAsia="楷体" w:cs="楷体"/>
          <w:bCs/>
          <w:color w:val="000000"/>
          <w:sz w:val="32"/>
          <w:szCs w:val="32"/>
        </w:rPr>
        <w:t>年重点工作完成情况</w:t>
      </w:r>
      <w:bookmarkEnd w:id="18"/>
      <w:bookmarkEnd w:id="19"/>
    </w:p>
    <w:p>
      <w:pPr>
        <w:pStyle w:val="8"/>
        <w:numPr>
          <w:ilvl w:val="0"/>
          <w:numId w:val="0"/>
        </w:numPr>
        <w:adjustRightInd w:val="0"/>
        <w:snapToGrid w:val="0"/>
        <w:spacing w:before="0" w:beforeLines="0" w:line="560" w:lineRule="exact"/>
        <w:ind w:firstLine="600" w:firstLineChars="200"/>
        <w:outlineLvl w:val="2"/>
        <w:rPr>
          <w:rFonts w:hint="eastAsia" w:ascii="仿宋_GB2312" w:hAnsi="宋体" w:eastAsia="仿宋_GB2312"/>
          <w:bCs/>
          <w:sz w:val="30"/>
          <w:szCs w:val="30"/>
        </w:rPr>
      </w:pPr>
      <w:bookmarkStart w:id="20" w:name="_Toc15377200"/>
      <w:bookmarkStart w:id="21" w:name="_Toc15396601"/>
      <w:r>
        <w:rPr>
          <w:rFonts w:hint="eastAsia" w:ascii="仿宋_GB2312" w:eastAsia="仿宋_GB2312"/>
          <w:bCs/>
          <w:sz w:val="30"/>
          <w:szCs w:val="30"/>
          <w:lang w:val="en-US" w:eastAsia="zh-CN"/>
        </w:rPr>
        <w:t>1.</w:t>
      </w:r>
      <w:r>
        <w:rPr>
          <w:rFonts w:hint="eastAsia" w:ascii="仿宋_GB2312" w:hAnsi="宋体" w:eastAsia="仿宋_GB2312"/>
          <w:bCs/>
          <w:sz w:val="30"/>
          <w:szCs w:val="30"/>
        </w:rPr>
        <w:t>全面完成</w:t>
      </w:r>
      <w:r>
        <w:rPr>
          <w:rFonts w:hint="eastAsia" w:ascii="仿宋_GB2312" w:hAnsi="宋体" w:eastAsia="仿宋_GB2312"/>
          <w:bCs/>
          <w:sz w:val="30"/>
          <w:szCs w:val="30"/>
          <w:lang w:val="en-US" w:eastAsia="zh-CN"/>
        </w:rPr>
        <w:t>暴雨洪灾后应急排查</w:t>
      </w:r>
      <w:r>
        <w:rPr>
          <w:rFonts w:hint="eastAsia" w:ascii="仿宋_GB2312" w:hAnsi="宋体" w:eastAsia="仿宋_GB2312"/>
          <w:bCs/>
          <w:sz w:val="30"/>
          <w:szCs w:val="30"/>
        </w:rPr>
        <w:t>工作；</w:t>
      </w:r>
    </w:p>
    <w:p>
      <w:pPr>
        <w:pStyle w:val="8"/>
        <w:numPr>
          <w:ilvl w:val="0"/>
          <w:numId w:val="0"/>
        </w:numPr>
        <w:adjustRightInd w:val="0"/>
        <w:snapToGrid w:val="0"/>
        <w:spacing w:before="0" w:beforeLines="0" w:line="560" w:lineRule="exact"/>
        <w:ind w:firstLine="600" w:firstLineChars="200"/>
        <w:outlineLvl w:val="2"/>
        <w:rPr>
          <w:rFonts w:hint="eastAsia" w:ascii="仿宋_GB2312" w:hAnsi="宋体" w:eastAsia="仿宋_GB2312"/>
          <w:bCs/>
          <w:sz w:val="30"/>
          <w:szCs w:val="30"/>
        </w:rPr>
      </w:pPr>
      <w:r>
        <w:rPr>
          <w:rFonts w:ascii="仿宋_GB2312" w:hAnsi="宋体" w:eastAsia="仿宋_GB2312"/>
          <w:bCs/>
          <w:sz w:val="30"/>
          <w:szCs w:val="30"/>
        </w:rPr>
        <w:t>2.</w:t>
      </w:r>
      <w:r>
        <w:rPr>
          <w:rFonts w:hint="eastAsia" w:ascii="仿宋_GB2312" w:hAnsi="宋体" w:eastAsia="仿宋_GB2312"/>
          <w:bCs/>
          <w:sz w:val="30"/>
          <w:szCs w:val="30"/>
        </w:rPr>
        <w:t>完成</w:t>
      </w:r>
      <w:r>
        <w:rPr>
          <w:rFonts w:hint="eastAsia" w:ascii="仿宋_GB2312" w:hAnsi="宋体" w:eastAsia="仿宋_GB2312"/>
          <w:bCs/>
          <w:sz w:val="30"/>
          <w:szCs w:val="30"/>
          <w:lang w:val="en-US" w:eastAsia="zh-CN"/>
        </w:rPr>
        <w:t>2021年地质灾害群专结合专职监测项目实施</w:t>
      </w:r>
      <w:r>
        <w:rPr>
          <w:rFonts w:hint="eastAsia" w:ascii="仿宋_GB2312" w:hAnsi="宋体" w:eastAsia="仿宋_GB2312"/>
          <w:bCs/>
          <w:sz w:val="30"/>
          <w:szCs w:val="30"/>
        </w:rPr>
        <w:t>；</w:t>
      </w:r>
    </w:p>
    <w:p>
      <w:pPr>
        <w:pStyle w:val="8"/>
        <w:numPr>
          <w:ilvl w:val="0"/>
          <w:numId w:val="0"/>
        </w:numPr>
        <w:adjustRightInd w:val="0"/>
        <w:snapToGrid w:val="0"/>
        <w:spacing w:before="0" w:beforeLines="0" w:line="560" w:lineRule="exact"/>
        <w:ind w:firstLine="600" w:firstLineChars="200"/>
        <w:outlineLvl w:val="2"/>
        <w:rPr>
          <w:rFonts w:hint="eastAsia" w:ascii="仿宋_GB2312" w:hAnsi="宋体" w:eastAsia="仿宋_GB2312"/>
          <w:bCs/>
          <w:sz w:val="30"/>
          <w:szCs w:val="30"/>
        </w:rPr>
      </w:pPr>
      <w:r>
        <w:rPr>
          <w:rFonts w:ascii="仿宋_GB2312" w:hAnsi="宋体" w:eastAsia="仿宋_GB2312"/>
          <w:bCs/>
          <w:sz w:val="30"/>
          <w:szCs w:val="30"/>
        </w:rPr>
        <w:t>3.</w:t>
      </w:r>
      <w:r>
        <w:rPr>
          <w:rFonts w:hint="eastAsia" w:ascii="仿宋_GB2312" w:hAnsi="宋体" w:eastAsia="仿宋_GB2312"/>
          <w:bCs/>
          <w:sz w:val="30"/>
          <w:szCs w:val="30"/>
        </w:rPr>
        <w:t>完成</w:t>
      </w:r>
      <w:r>
        <w:rPr>
          <w:rFonts w:hint="eastAsia" w:ascii="仿宋_GB2312" w:hAnsi="宋体" w:eastAsia="仿宋_GB2312"/>
          <w:bCs/>
          <w:sz w:val="30"/>
          <w:szCs w:val="30"/>
          <w:lang w:val="en-US" w:eastAsia="zh-CN"/>
        </w:rPr>
        <w:t>曾达乡曾达村土地整理项目资金拨付</w:t>
      </w:r>
      <w:r>
        <w:rPr>
          <w:rFonts w:hint="eastAsia" w:ascii="仿宋_GB2312" w:hAnsi="宋体" w:eastAsia="仿宋_GB2312"/>
          <w:bCs/>
          <w:sz w:val="30"/>
          <w:szCs w:val="30"/>
        </w:rPr>
        <w:t>；</w:t>
      </w:r>
    </w:p>
    <w:p>
      <w:pPr>
        <w:pStyle w:val="8"/>
        <w:numPr>
          <w:ilvl w:val="0"/>
          <w:numId w:val="0"/>
        </w:numPr>
        <w:adjustRightInd w:val="0"/>
        <w:snapToGrid w:val="0"/>
        <w:spacing w:before="0" w:beforeLines="0" w:line="560" w:lineRule="exact"/>
        <w:ind w:firstLine="600" w:firstLineChars="200"/>
        <w:outlineLvl w:val="2"/>
        <w:rPr>
          <w:rFonts w:ascii="仿宋_GB2312" w:hAnsi="宋体" w:eastAsia="仿宋_GB2312"/>
          <w:bCs/>
          <w:sz w:val="30"/>
          <w:szCs w:val="30"/>
        </w:rPr>
      </w:pPr>
      <w:r>
        <w:rPr>
          <w:rFonts w:ascii="仿宋_GB2312" w:hAnsi="宋体" w:eastAsia="仿宋_GB2312"/>
          <w:bCs/>
          <w:sz w:val="30"/>
          <w:szCs w:val="30"/>
        </w:rPr>
        <w:t>4.</w:t>
      </w:r>
      <w:r>
        <w:rPr>
          <w:rFonts w:hint="eastAsia" w:ascii="仿宋_GB2312" w:hAnsi="宋体" w:eastAsia="仿宋_GB2312"/>
          <w:bCs/>
          <w:sz w:val="30"/>
          <w:szCs w:val="30"/>
        </w:rPr>
        <w:t>完成</w:t>
      </w:r>
      <w:r>
        <w:rPr>
          <w:rFonts w:hint="eastAsia" w:ascii="仿宋_GB2312" w:hAnsi="宋体" w:eastAsia="仿宋_GB2312"/>
          <w:bCs/>
          <w:sz w:val="30"/>
          <w:szCs w:val="30"/>
          <w:lang w:val="en-US" w:eastAsia="zh-CN"/>
        </w:rPr>
        <w:t>卡撒中梁子杨家老房子避险搬迁</w:t>
      </w:r>
      <w:r>
        <w:rPr>
          <w:rFonts w:hint="eastAsia" w:ascii="仿宋_GB2312" w:hAnsi="宋体" w:eastAsia="仿宋_GB2312"/>
          <w:bCs/>
          <w:sz w:val="30"/>
          <w:szCs w:val="30"/>
        </w:rPr>
        <w:t>；</w:t>
      </w:r>
    </w:p>
    <w:p>
      <w:pPr>
        <w:snapToGrid w:val="0"/>
        <w:spacing w:line="520" w:lineRule="exact"/>
        <w:ind w:firstLine="600" w:firstLineChars="200"/>
        <w:rPr>
          <w:rFonts w:hint="eastAsia" w:ascii="仿宋_GB2312" w:hAnsi="宋体" w:eastAsia="仿宋_GB2312"/>
          <w:bCs/>
          <w:sz w:val="30"/>
          <w:szCs w:val="30"/>
        </w:rPr>
      </w:pPr>
      <w:r>
        <w:rPr>
          <w:rFonts w:ascii="仿宋_GB2312" w:hAnsi="宋体" w:eastAsia="仿宋_GB2312"/>
          <w:bCs/>
          <w:sz w:val="30"/>
          <w:szCs w:val="30"/>
        </w:rPr>
        <w:t>5.</w:t>
      </w:r>
      <w:r>
        <w:rPr>
          <w:rFonts w:hint="eastAsia" w:ascii="仿宋_GB2312" w:hAnsi="宋体" w:eastAsia="仿宋_GB2312"/>
          <w:bCs/>
          <w:sz w:val="30"/>
          <w:szCs w:val="30"/>
        </w:rPr>
        <w:t>做好年度汛期地质灾害防治工作。</w:t>
      </w:r>
    </w:p>
    <w:p>
      <w:pPr>
        <w:snapToGrid w:val="0"/>
        <w:spacing w:line="520" w:lineRule="exact"/>
        <w:rPr>
          <w:rStyle w:val="21"/>
          <w:rFonts w:hint="eastAsia" w:ascii="黑体" w:eastAsia="黑体"/>
          <w:b w:val="0"/>
          <w:bCs w:val="0"/>
        </w:rPr>
      </w:pPr>
      <w:r>
        <w:rPr>
          <w:rStyle w:val="21"/>
          <w:rFonts w:hint="eastAsia" w:ascii="黑体" w:eastAsia="黑体"/>
          <w:b w:val="0"/>
          <w:bCs w:val="0"/>
        </w:rPr>
        <w:t>二、机构设置</w:t>
      </w:r>
      <w:bookmarkEnd w:id="20"/>
      <w:bookmarkEnd w:id="21"/>
    </w:p>
    <w:p>
      <w:pPr>
        <w:snapToGrid w:val="0"/>
        <w:spacing w:line="360" w:lineRule="auto"/>
        <w:ind w:firstLine="640" w:firstLineChars="200"/>
        <w:rPr>
          <w:rFonts w:hint="eastAsia" w:ascii="仿宋_GB2312" w:hAnsi="宋体" w:eastAsia="仿宋_GB2312"/>
          <w:bCs/>
          <w:sz w:val="30"/>
          <w:szCs w:val="30"/>
        </w:rPr>
      </w:pPr>
      <w:r>
        <w:rPr>
          <w:rFonts w:hint="eastAsia" w:ascii="仿宋_GB2312" w:eastAsia="仿宋_GB2312"/>
          <w:color w:val="000000"/>
          <w:sz w:val="32"/>
          <w:szCs w:val="32"/>
          <w:lang w:eastAsia="zh-CN"/>
        </w:rPr>
        <w:t>金川县自然资源局</w:t>
      </w:r>
      <w:r>
        <w:rPr>
          <w:rFonts w:hint="eastAsia" w:ascii="仿宋_GB2312" w:eastAsia="仿宋_GB2312"/>
          <w:bCs/>
          <w:color w:val="000000"/>
          <w:sz w:val="32"/>
          <w:szCs w:val="32"/>
          <w:lang w:val="en-US" w:eastAsia="zh-CN"/>
        </w:rPr>
        <w:t>由局办公室、生态保护股、开发利用股、国土空间规划股、确权登记股、行政审批股、不动产登记中心组成，</w:t>
      </w:r>
      <w:r>
        <w:rPr>
          <w:rFonts w:hint="eastAsia" w:ascii="仿宋_GB2312" w:eastAsia="仿宋_GB2312"/>
          <w:bCs/>
          <w:color w:val="000000"/>
          <w:sz w:val="32"/>
          <w:szCs w:val="32"/>
        </w:rPr>
        <w:t>设</w:t>
      </w:r>
      <w:r>
        <w:rPr>
          <w:rFonts w:hint="eastAsia" w:ascii="仿宋_GB2312" w:eastAsia="仿宋_GB2312"/>
          <w:color w:val="000000"/>
          <w:sz w:val="32"/>
          <w:szCs w:val="32"/>
        </w:rPr>
        <w:t>统一核算机构为1个，</w:t>
      </w:r>
      <w:r>
        <w:rPr>
          <w:rFonts w:hint="eastAsia" w:ascii="仿宋_GB2312" w:hAnsi="宋体" w:eastAsia="仿宋_GB2312"/>
          <w:bCs/>
          <w:sz w:val="30"/>
          <w:szCs w:val="30"/>
        </w:rPr>
        <w:t>202</w:t>
      </w: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年年末在职人</w:t>
      </w:r>
      <w:r>
        <w:rPr>
          <w:rFonts w:hint="eastAsia" w:ascii="仿宋_GB2312" w:hAnsi="宋体" w:eastAsia="仿宋_GB2312"/>
          <w:bCs/>
          <w:sz w:val="30"/>
          <w:szCs w:val="30"/>
          <w:lang w:val="en-US" w:eastAsia="zh-CN"/>
        </w:rPr>
        <w:t>32</w:t>
      </w:r>
      <w:r>
        <w:rPr>
          <w:rFonts w:hint="eastAsia" w:ascii="仿宋_GB2312" w:hAnsi="宋体" w:eastAsia="仿宋_GB2312"/>
          <w:bCs/>
          <w:sz w:val="30"/>
          <w:szCs w:val="30"/>
        </w:rPr>
        <w:t>（行政人员</w:t>
      </w: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人，行政工勤</w:t>
      </w: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人，参公人员1</w:t>
      </w:r>
      <w:r>
        <w:rPr>
          <w:rFonts w:hint="eastAsia" w:ascii="仿宋_GB2312" w:hAnsi="宋体" w:eastAsia="仿宋_GB2312"/>
          <w:bCs/>
          <w:sz w:val="30"/>
          <w:szCs w:val="30"/>
          <w:lang w:val="en-US" w:eastAsia="zh-CN"/>
        </w:rPr>
        <w:t>0</w:t>
      </w:r>
      <w:r>
        <w:rPr>
          <w:rFonts w:hint="eastAsia" w:ascii="仿宋_GB2312" w:hAnsi="宋体" w:eastAsia="仿宋_GB2312"/>
          <w:bCs/>
          <w:sz w:val="30"/>
          <w:szCs w:val="30"/>
        </w:rPr>
        <w:t>人</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事业管理12人</w:t>
      </w:r>
      <w:r>
        <w:rPr>
          <w:rFonts w:hint="eastAsia" w:ascii="仿宋_GB2312" w:hAnsi="宋体" w:eastAsia="仿宋_GB2312"/>
          <w:bCs/>
          <w:sz w:val="30"/>
          <w:szCs w:val="30"/>
        </w:rPr>
        <w:t>），退休5人。202</w:t>
      </w: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年总人</w:t>
      </w:r>
      <w:r>
        <w:rPr>
          <w:rFonts w:hint="eastAsia" w:ascii="仿宋_GB2312" w:hAnsi="宋体" w:eastAsia="仿宋_GB2312"/>
          <w:bCs/>
          <w:sz w:val="30"/>
          <w:szCs w:val="30"/>
          <w:lang w:val="en-US" w:eastAsia="zh-CN"/>
        </w:rPr>
        <w:t>减少3</w:t>
      </w:r>
      <w:r>
        <w:rPr>
          <w:rFonts w:hint="eastAsia" w:ascii="仿宋_GB2312" w:hAnsi="宋体" w:eastAsia="仿宋_GB2312"/>
          <w:bCs/>
          <w:sz w:val="30"/>
          <w:szCs w:val="30"/>
        </w:rPr>
        <w:t>人，其中：主要为调出</w:t>
      </w:r>
      <w:r>
        <w:rPr>
          <w:rFonts w:hint="eastAsia" w:ascii="仿宋_GB2312" w:hAnsi="宋体" w:eastAsia="仿宋_GB2312"/>
          <w:bCs/>
          <w:sz w:val="30"/>
          <w:szCs w:val="30"/>
          <w:lang w:val="en-US" w:eastAsia="zh-CN"/>
        </w:rPr>
        <w:t>3</w:t>
      </w:r>
      <w:r>
        <w:rPr>
          <w:rFonts w:hint="eastAsia" w:ascii="仿宋_GB2312" w:hAnsi="宋体" w:eastAsia="仿宋_GB2312"/>
          <w:bCs/>
          <w:sz w:val="30"/>
          <w:szCs w:val="30"/>
        </w:rPr>
        <w:t>人。</w:t>
      </w:r>
      <w:bookmarkStart w:id="22" w:name="_Toc15396602"/>
      <w:bookmarkStart w:id="23" w:name="_Toc15377204"/>
    </w:p>
    <w:p>
      <w:pPr>
        <w:pStyle w:val="2"/>
        <w:rPr>
          <w:rFonts w:hint="eastAsia"/>
        </w:rPr>
      </w:pPr>
    </w:p>
    <w:p>
      <w:pPr>
        <w:numPr>
          <w:ilvl w:val="0"/>
          <w:numId w:val="1"/>
        </w:numPr>
        <w:snapToGrid w:val="0"/>
        <w:spacing w:line="520" w:lineRule="exact"/>
        <w:ind w:firstLine="880" w:firstLineChars="200"/>
        <w:rPr>
          <w:rStyle w:val="20"/>
          <w:rFonts w:hint="eastAsia" w:ascii="黑体" w:eastAsia="黑体"/>
          <w:b w:val="0"/>
          <w:bCs w:val="0"/>
        </w:rPr>
      </w:pPr>
      <w:r>
        <w:rPr>
          <w:rStyle w:val="20"/>
          <w:rFonts w:hint="eastAsia" w:ascii="黑体" w:eastAsia="黑体"/>
          <w:b w:val="0"/>
          <w:bCs w:val="0"/>
        </w:rPr>
        <w:t>20</w:t>
      </w:r>
      <w:r>
        <w:rPr>
          <w:rStyle w:val="20"/>
          <w:rFonts w:hint="eastAsia" w:ascii="黑体" w:eastAsia="黑体"/>
          <w:b w:val="0"/>
          <w:bCs w:val="0"/>
          <w:lang w:val="en-US"/>
        </w:rPr>
        <w:t>21</w:t>
      </w:r>
      <w:r>
        <w:rPr>
          <w:rStyle w:val="20"/>
          <w:rFonts w:hint="eastAsia" w:ascii="黑体" w:eastAsia="黑体"/>
          <w:b w:val="0"/>
          <w:bCs w:val="0"/>
        </w:rPr>
        <w:t>年度部门决算情况说明</w:t>
      </w:r>
      <w:bookmarkEnd w:id="22"/>
      <w:bookmarkEnd w:id="23"/>
    </w:p>
    <w:p>
      <w:pPr>
        <w:pStyle w:val="4"/>
      </w:pPr>
    </w:p>
    <w:p>
      <w:pPr>
        <w:pStyle w:val="26"/>
        <w:numPr>
          <w:ilvl w:val="0"/>
          <w:numId w:val="2"/>
        </w:numPr>
        <w:spacing w:line="240" w:lineRule="auto"/>
        <w:ind w:left="0" w:firstLine="0" w:firstLineChars="0"/>
        <w:outlineLvl w:val="1"/>
        <w:rPr>
          <w:rStyle w:val="21"/>
          <w:rFonts w:ascii="黑体" w:eastAsia="黑体"/>
          <w:b w:val="0"/>
        </w:rPr>
      </w:pPr>
      <w:bookmarkStart w:id="24" w:name="_Toc15396603"/>
      <w:bookmarkStart w:id="25" w:name="_Toc15377205"/>
      <w:r>
        <w:rPr>
          <w:rFonts w:hint="eastAsia" w:ascii="黑体" w:eastAsia="黑体"/>
          <w:color w:val="000000"/>
          <w:sz w:val="32"/>
          <w:szCs w:val="32"/>
        </w:rPr>
        <w:t>收</w:t>
      </w:r>
      <w:r>
        <w:rPr>
          <w:rStyle w:val="21"/>
          <w:rFonts w:hint="eastAsia" w:ascii="黑体" w:eastAsia="黑体"/>
          <w:b w:val="0"/>
        </w:rPr>
        <w:t>入支出决算总体情况说明</w:t>
      </w:r>
      <w:bookmarkEnd w:id="24"/>
      <w:bookmarkEnd w:id="25"/>
    </w:p>
    <w:p>
      <w:pPr>
        <w:snapToGrid w:val="0"/>
        <w:spacing w:line="520" w:lineRule="exact"/>
        <w:ind w:firstLine="632" w:firstLineChars="200"/>
        <w:rPr>
          <w:rFonts w:ascii="仿宋" w:eastAsia="仿宋"/>
          <w:color w:val="auto"/>
          <w:sz w:val="32"/>
          <w:szCs w:val="32"/>
          <w:lang w:val="en-US" w:eastAsia="zh-CN"/>
        </w:rPr>
      </w:pPr>
      <w:r>
        <w:rPr>
          <w:rFonts w:hint="eastAsia" w:ascii="仿宋_GB2312" w:eastAsia="仿宋_GB2312"/>
          <w:color w:val="000000"/>
          <w:spacing w:val="-2"/>
          <w:kern w:val="2"/>
          <w:sz w:val="32"/>
          <w:szCs w:val="32"/>
          <w:lang w:val="en-US" w:eastAsia="zh-CN" w:bidi="ar-SA"/>
        </w:rPr>
        <w:t>2021年度总收入</w:t>
      </w:r>
      <w:r>
        <w:rPr>
          <w:rFonts w:hint="eastAsia" w:ascii="仿宋_GB2312" w:hAnsi="仿宋" w:eastAsia="仿宋_GB2312" w:cs="Times New Roman"/>
          <w:kern w:val="2"/>
          <w:sz w:val="32"/>
          <w:szCs w:val="32"/>
          <w:lang w:val="en-US" w:eastAsia="zh-CN"/>
        </w:rPr>
        <w:t>3753.42</w:t>
      </w:r>
      <w:r>
        <w:rPr>
          <w:rFonts w:hint="eastAsia" w:ascii="仿宋_GB2312" w:eastAsia="仿宋_GB2312"/>
          <w:color w:val="000000"/>
          <w:spacing w:val="-2"/>
          <w:kern w:val="2"/>
          <w:sz w:val="32"/>
          <w:szCs w:val="32"/>
          <w:lang w:val="en-US" w:eastAsia="zh-CN" w:bidi="ar-SA"/>
        </w:rPr>
        <w:t>万元，较上年收入增加1916.75万元，增加104%。增加的主要原因是2021年</w:t>
      </w:r>
      <w:r>
        <w:rPr>
          <w:rFonts w:hint="eastAsia" w:ascii="Times New Roman" w:eastAsia="仿宋_GB2312"/>
          <w:color w:val="000000"/>
          <w:kern w:val="2"/>
          <w:sz w:val="32"/>
          <w:szCs w:val="30"/>
        </w:rPr>
        <w:t>上级安排项目资金在近几年中相对较多，</w:t>
      </w:r>
      <w:r>
        <w:rPr>
          <w:rFonts w:hint="eastAsia" w:eastAsia="仿宋_GB2312"/>
          <w:color w:val="000000"/>
          <w:kern w:val="2"/>
          <w:sz w:val="32"/>
          <w:szCs w:val="30"/>
          <w:lang w:val="en-US" w:eastAsia="zh-CN"/>
        </w:rPr>
        <w:t>2020</w:t>
      </w:r>
      <w:r>
        <w:rPr>
          <w:rFonts w:hint="eastAsia" w:ascii="Times New Roman" w:eastAsia="仿宋_GB2312"/>
          <w:color w:val="000000"/>
          <w:kern w:val="2"/>
          <w:sz w:val="32"/>
          <w:szCs w:val="30"/>
        </w:rPr>
        <w:t>年上级安排项目资金</w:t>
      </w:r>
      <w:r>
        <w:rPr>
          <w:rFonts w:hint="eastAsia" w:ascii="Times New Roman" w:hAnsi="Times New Roman" w:eastAsia="仿宋_GB2312"/>
          <w:color w:val="000000"/>
          <w:kern w:val="2"/>
          <w:sz w:val="32"/>
          <w:szCs w:val="30"/>
        </w:rPr>
        <w:t>1368.36</w:t>
      </w:r>
      <w:r>
        <w:rPr>
          <w:rFonts w:hint="eastAsia" w:ascii="仿宋_GB2312" w:hAnsi="Times New Roman" w:eastAsia="仿宋_GB2312" w:cs="Times New Roman"/>
          <w:sz w:val="32"/>
          <w:szCs w:val="32"/>
          <w:lang w:val="en-US" w:eastAsia="zh-CN"/>
        </w:rPr>
        <w:t>万元</w:t>
      </w:r>
      <w:r>
        <w:rPr>
          <w:rFonts w:hint="eastAsia" w:ascii="仿宋_GB2312" w:eastAsia="仿宋_GB2312" w:cs="Times New Roman"/>
          <w:sz w:val="32"/>
          <w:szCs w:val="32"/>
          <w:lang w:val="en-US" w:eastAsia="zh-CN"/>
        </w:rPr>
        <w:t>，</w:t>
      </w:r>
      <w:r>
        <w:rPr>
          <w:rFonts w:hint="eastAsia" w:ascii="Times New Roman" w:eastAsia="仿宋_GB2312"/>
          <w:color w:val="000000"/>
          <w:kern w:val="2"/>
          <w:sz w:val="32"/>
          <w:szCs w:val="30"/>
        </w:rPr>
        <w:t>今年安排项目资金</w:t>
      </w:r>
      <w:r>
        <w:rPr>
          <w:rFonts w:hint="eastAsia" w:eastAsia="仿宋_GB2312"/>
          <w:color w:val="000000"/>
          <w:kern w:val="2"/>
          <w:sz w:val="32"/>
          <w:szCs w:val="30"/>
          <w:lang w:val="en-US" w:eastAsia="zh-CN"/>
        </w:rPr>
        <w:t>4172.5</w:t>
      </w:r>
      <w:r>
        <w:rPr>
          <w:rFonts w:hint="eastAsia" w:ascii="Times New Roman" w:eastAsia="仿宋_GB2312"/>
          <w:color w:val="000000"/>
          <w:kern w:val="2"/>
          <w:sz w:val="32"/>
          <w:szCs w:val="30"/>
        </w:rPr>
        <w:t>万元</w:t>
      </w:r>
      <w:r>
        <w:rPr>
          <w:rFonts w:ascii="Times New Roman" w:eastAsia="仿宋_GB2312"/>
          <w:color w:val="000000"/>
          <w:kern w:val="2"/>
          <w:sz w:val="32"/>
          <w:szCs w:val="30"/>
        </w:rPr>
        <w:t>；</w:t>
      </w:r>
      <w:r>
        <w:rPr>
          <w:rFonts w:hint="eastAsia" w:eastAsia="仿宋_GB2312"/>
          <w:color w:val="000000"/>
          <w:kern w:val="2"/>
          <w:sz w:val="32"/>
          <w:szCs w:val="30"/>
          <w:lang w:val="en-US" w:eastAsia="zh-CN"/>
        </w:rPr>
        <w:t>2021年总支出6204.59万元，</w:t>
      </w:r>
      <w:r>
        <w:rPr>
          <w:rFonts w:hint="eastAsia" w:ascii="仿宋_GB2312" w:eastAsia="仿宋_GB2312"/>
          <w:color w:val="auto"/>
          <w:spacing w:val="-2"/>
          <w:kern w:val="2"/>
          <w:sz w:val="32"/>
          <w:szCs w:val="32"/>
          <w:lang w:val="en-US" w:eastAsia="zh-CN" w:bidi="ar-SA"/>
        </w:rPr>
        <w:t>较上年支出增加3774.08万元，增加155%。主要原因是当年部门项目安排资金和项目支出较上年有所增加。</w:t>
      </w:r>
    </w:p>
    <w:p>
      <w:pPr>
        <w:spacing w:line="600" w:lineRule="exact"/>
        <w:rPr>
          <w:rStyle w:val="21"/>
          <w:rFonts w:ascii="黑体" w:eastAsia="黑体"/>
          <w:b w:val="0"/>
        </w:rPr>
      </w:pP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314960</wp:posOffset>
            </wp:positionH>
            <wp:positionV relativeFrom="paragraph">
              <wp:posOffset>45720</wp:posOffset>
            </wp:positionV>
            <wp:extent cx="4718685" cy="1925955"/>
            <wp:effectExtent l="4445" t="4445" r="20320" b="1270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s="Times New Roman"/>
          <w:color w:val="000000"/>
          <w:kern w:val="2"/>
          <w:sz w:val="32"/>
          <w:szCs w:val="32"/>
          <w:lang w:val="en-US" w:eastAsia="zh-CN" w:bidi="ar-SA"/>
        </w:rPr>
        <w:t>二、收入决</w:t>
      </w:r>
      <w:r>
        <w:rPr>
          <w:rStyle w:val="21"/>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val="en-US" w:eastAsia="zh-CN"/>
        </w:rPr>
        <w:t>2021年总收入3753.42万元</w:t>
      </w:r>
      <w:r>
        <w:rPr>
          <w:rFonts w:hint="eastAsia" w:ascii="仿宋" w:eastAsia="仿宋"/>
          <w:color w:val="000000"/>
          <w:sz w:val="32"/>
          <w:szCs w:val="32"/>
        </w:rPr>
        <w:t>其中：一般公共预算财政拨</w:t>
      </w:r>
      <w:r>
        <w:rPr>
          <w:rFonts w:hint="eastAsia" w:ascii="黑体" w:eastAsia="黑体" w:cs="Times New Roman"/>
          <w:color w:val="000000"/>
          <w:kern w:val="2"/>
          <w:sz w:val="32"/>
          <w:szCs w:val="32"/>
          <w:lang w:val="en-US" w:eastAsia="zh-CN" w:bidi="ar-SA"/>
        </w:rPr>
        <w:drawing>
          <wp:anchor distT="0" distB="0" distL="114300" distR="114300" simplePos="0" relativeHeight="251659264" behindDoc="0" locked="0" layoutInCell="1" allowOverlap="1">
            <wp:simplePos x="0" y="0"/>
            <wp:positionH relativeFrom="column">
              <wp:posOffset>234315</wp:posOffset>
            </wp:positionH>
            <wp:positionV relativeFrom="paragraph">
              <wp:posOffset>1490345</wp:posOffset>
            </wp:positionV>
            <wp:extent cx="4973320" cy="2267585"/>
            <wp:effectExtent l="4445" t="4445" r="13335" b="1397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ascii="仿宋" w:eastAsia="仿宋"/>
          <w:color w:val="000000"/>
          <w:sz w:val="32"/>
          <w:szCs w:val="32"/>
        </w:rPr>
        <w:t>款收入</w:t>
      </w:r>
      <w:r>
        <w:rPr>
          <w:rFonts w:hint="eastAsia" w:ascii="仿宋" w:eastAsia="仿宋"/>
          <w:color w:val="000000"/>
          <w:sz w:val="32"/>
          <w:szCs w:val="32"/>
          <w:lang w:val="en-US" w:eastAsia="zh-CN"/>
        </w:rPr>
        <w:t>3753.42</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21"/>
          <w:rFonts w:ascii="黑体" w:eastAsia="黑体"/>
          <w:b w:val="0"/>
        </w:rPr>
      </w:pPr>
      <w:bookmarkStart w:id="28" w:name="_Toc15396605"/>
      <w:bookmarkStart w:id="29" w:name="_Toc15377207"/>
      <w:r>
        <w:rPr>
          <w:rFonts w:hint="eastAsia" w:ascii="黑体" w:eastAsia="黑体" w:cs="Times New Roman"/>
          <w:color w:val="000000"/>
          <w:kern w:val="2"/>
          <w:sz w:val="32"/>
          <w:szCs w:val="32"/>
          <w:lang w:val="en-US" w:eastAsia="zh-CN" w:bidi="ar-SA"/>
        </w:rPr>
        <w:t>三、支出决</w:t>
      </w:r>
      <w:r>
        <w:rPr>
          <w:rStyle w:val="21"/>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6204.59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609.03</w:t>
      </w:r>
      <w:r>
        <w:rPr>
          <w:rFonts w:hint="eastAsia" w:ascii="仿宋" w:eastAsia="仿宋"/>
          <w:color w:val="000000"/>
          <w:sz w:val="32"/>
          <w:szCs w:val="32"/>
        </w:rPr>
        <w:t>万元，占</w:t>
      </w:r>
      <w:r>
        <w:rPr>
          <w:rFonts w:hint="eastAsia" w:ascii="仿宋" w:eastAsia="仿宋"/>
          <w:color w:val="000000"/>
          <w:sz w:val="32"/>
          <w:szCs w:val="32"/>
          <w:lang w:val="en-US" w:eastAsia="zh-CN"/>
        </w:rPr>
        <w:t>9.8</w:t>
      </w:r>
      <w:r>
        <w:rPr>
          <w:rFonts w:hint="eastAsia" w:ascii="仿宋" w:eastAsia="仿宋"/>
          <w:color w:val="000000"/>
          <w:sz w:val="32"/>
          <w:szCs w:val="32"/>
        </w:rPr>
        <w:t>%；项目支出</w:t>
      </w:r>
      <w:r>
        <w:rPr>
          <w:rFonts w:hint="eastAsia" w:ascii="仿宋" w:eastAsia="仿宋"/>
          <w:color w:val="000000"/>
          <w:sz w:val="32"/>
          <w:szCs w:val="32"/>
          <w:lang w:val="en-US" w:eastAsia="zh-CN"/>
        </w:rPr>
        <w:t>5595.55</w:t>
      </w:r>
      <w:r>
        <w:rPr>
          <w:rFonts w:hint="eastAsia" w:ascii="仿宋" w:eastAsia="仿宋"/>
          <w:color w:val="000000"/>
          <w:sz w:val="32"/>
          <w:szCs w:val="32"/>
        </w:rPr>
        <w:t>万元，占</w:t>
      </w:r>
      <w:r>
        <w:rPr>
          <w:rFonts w:hint="eastAsia" w:ascii="仿宋" w:eastAsia="仿宋"/>
          <w:color w:val="000000"/>
          <w:sz w:val="32"/>
          <w:szCs w:val="32"/>
          <w:lang w:val="en-US" w:eastAsia="zh-CN"/>
        </w:rPr>
        <w:t>90.2</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rPr>
          <w:rStyle w:val="21"/>
          <w:rFonts w:ascii="黑体" w:eastAsia="黑体"/>
          <w:b w:val="0"/>
        </w:rPr>
      </w:pPr>
      <w:bookmarkStart w:id="30" w:name="_Toc15377208"/>
      <w:bookmarkStart w:id="31" w:name="_Toc15396606"/>
      <w:r>
        <w:rPr>
          <w:rFonts w:hint="eastAsia" w:ascii="仿宋_GB2312" w:eastAsia="仿宋_GB2312"/>
          <w:color w:val="FF0000"/>
          <w:sz w:val="32"/>
          <w:szCs w:val="32"/>
          <w:lang w:eastAsia="zh-CN"/>
        </w:rPr>
        <w:drawing>
          <wp:anchor distT="0" distB="0" distL="114300" distR="114300" simplePos="0" relativeHeight="251659264" behindDoc="0" locked="0" layoutInCell="1" allowOverlap="1">
            <wp:simplePos x="0" y="0"/>
            <wp:positionH relativeFrom="column">
              <wp:posOffset>373380</wp:posOffset>
            </wp:positionH>
            <wp:positionV relativeFrom="paragraph">
              <wp:posOffset>127000</wp:posOffset>
            </wp:positionV>
            <wp:extent cx="4262120" cy="2232025"/>
            <wp:effectExtent l="5080" t="4445" r="19050" b="1143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黑体" w:eastAsia="黑体"/>
          <w:color w:val="000000"/>
          <w:sz w:val="32"/>
          <w:szCs w:val="32"/>
        </w:rPr>
        <w:t>四、财</w:t>
      </w:r>
      <w:r>
        <w:rPr>
          <w:rStyle w:val="21"/>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仿宋" w:eastAsia="仿宋_GB2312"/>
          <w:color w:val="FF0000"/>
          <w:sz w:val="32"/>
          <w:szCs w:val="32"/>
          <w:lang w:val="en-US" w:eastAsia="zh-CN"/>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173355</wp:posOffset>
            </wp:positionH>
            <wp:positionV relativeFrom="paragraph">
              <wp:posOffset>186055</wp:posOffset>
            </wp:positionV>
            <wp:extent cx="4776470" cy="2172970"/>
            <wp:effectExtent l="4445" t="4445" r="19685" b="13335"/>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 w:eastAsia="仿宋"/>
          <w:color w:val="000000"/>
          <w:sz w:val="32"/>
          <w:szCs w:val="32"/>
          <w:lang w:val="en-US" w:eastAsia="zh-CN"/>
        </w:rPr>
        <w:t>2021</w:t>
      </w:r>
      <w:r>
        <w:rPr>
          <w:rFonts w:ascii="Times New Roman" w:eastAsia="仿宋_GB2312"/>
          <w:color w:val="000000"/>
          <w:kern w:val="2"/>
          <w:sz w:val="32"/>
          <w:szCs w:val="30"/>
        </w:rPr>
        <w:t>年</w:t>
      </w:r>
      <w:r>
        <w:rPr>
          <w:rFonts w:hint="eastAsia" w:eastAsia="仿宋_GB2312"/>
          <w:color w:val="000000"/>
          <w:kern w:val="2"/>
          <w:sz w:val="32"/>
          <w:szCs w:val="30"/>
          <w:lang w:val="en-US" w:eastAsia="zh-CN"/>
        </w:rPr>
        <w:t>部门总</w:t>
      </w:r>
      <w:r>
        <w:rPr>
          <w:rFonts w:ascii="Times New Roman" w:eastAsia="仿宋_GB2312"/>
          <w:color w:val="000000"/>
          <w:kern w:val="2"/>
          <w:sz w:val="32"/>
          <w:szCs w:val="30"/>
        </w:rPr>
        <w:t>收入</w:t>
      </w:r>
      <w:r>
        <w:rPr>
          <w:rFonts w:hint="eastAsia" w:eastAsia="仿宋_GB2312"/>
          <w:color w:val="000000"/>
          <w:kern w:val="2"/>
          <w:sz w:val="32"/>
          <w:szCs w:val="30"/>
          <w:lang w:val="en-US" w:eastAsia="zh-CN"/>
        </w:rPr>
        <w:t>3753.42万元，</w:t>
      </w:r>
      <w:r>
        <w:rPr>
          <w:rFonts w:ascii="Times New Roman" w:eastAsia="仿宋_GB2312"/>
          <w:color w:val="000000"/>
          <w:kern w:val="2"/>
          <w:sz w:val="32"/>
          <w:szCs w:val="30"/>
        </w:rPr>
        <w:t>相比上年度</w:t>
      </w:r>
      <w:r>
        <w:rPr>
          <w:rFonts w:hint="eastAsia" w:eastAsia="仿宋_GB2312"/>
          <w:color w:val="000000"/>
          <w:kern w:val="2"/>
          <w:sz w:val="32"/>
          <w:szCs w:val="30"/>
          <w:lang w:val="en-US" w:eastAsia="zh-CN"/>
        </w:rPr>
        <w:t>增加</w:t>
      </w:r>
      <w:r>
        <w:rPr>
          <w:rFonts w:hint="eastAsia" w:ascii="仿宋_GB2312" w:eastAsia="仿宋_GB2312"/>
          <w:color w:val="000000"/>
          <w:spacing w:val="-2"/>
          <w:kern w:val="2"/>
          <w:sz w:val="32"/>
          <w:szCs w:val="32"/>
          <w:lang w:val="en-US" w:eastAsia="zh-CN" w:bidi="ar-SA"/>
        </w:rPr>
        <w:t>1916.75万元，增加104%。增加的主要原因是2021年</w:t>
      </w:r>
      <w:r>
        <w:rPr>
          <w:rFonts w:hint="eastAsia" w:ascii="Times New Roman" w:eastAsia="仿宋_GB2312"/>
          <w:color w:val="000000"/>
          <w:kern w:val="2"/>
          <w:sz w:val="32"/>
          <w:szCs w:val="30"/>
        </w:rPr>
        <w:t>上级安排项目</w:t>
      </w:r>
      <w:r>
        <w:rPr>
          <w:rFonts w:hint="eastAsia" w:eastAsia="仿宋_GB2312"/>
          <w:color w:val="000000"/>
          <w:kern w:val="2"/>
          <w:sz w:val="32"/>
          <w:szCs w:val="30"/>
          <w:lang w:val="en-US" w:eastAsia="zh-CN"/>
        </w:rPr>
        <w:t>资金增加</w:t>
      </w:r>
      <w:r>
        <w:rPr>
          <w:rFonts w:hint="eastAsia" w:ascii="仿宋" w:eastAsia="仿宋"/>
          <w:color w:val="000000"/>
          <w:sz w:val="32"/>
          <w:szCs w:val="32"/>
          <w:lang w:val="en-US" w:eastAsia="zh-CN"/>
        </w:rPr>
        <w:t>。2021</w:t>
      </w:r>
      <w:r>
        <w:rPr>
          <w:rFonts w:ascii="Times New Roman" w:eastAsia="仿宋_GB2312"/>
          <w:color w:val="000000"/>
          <w:kern w:val="2"/>
          <w:sz w:val="32"/>
          <w:szCs w:val="30"/>
        </w:rPr>
        <w:t>年</w:t>
      </w:r>
      <w:r>
        <w:rPr>
          <w:rFonts w:hint="eastAsia" w:eastAsia="仿宋_GB2312"/>
          <w:color w:val="000000"/>
          <w:kern w:val="2"/>
          <w:sz w:val="32"/>
          <w:szCs w:val="30"/>
          <w:lang w:val="en-US" w:eastAsia="zh-CN"/>
        </w:rPr>
        <w:t>部门总支出6204.59万元，比上年增加3774.08万元，</w:t>
      </w:r>
      <w:r>
        <w:rPr>
          <w:rFonts w:ascii="Times New Roman" w:eastAsia="仿宋_GB2312"/>
          <w:color w:val="000000"/>
          <w:kern w:val="2"/>
          <w:sz w:val="32"/>
          <w:szCs w:val="30"/>
        </w:rPr>
        <w:t>主要原因为</w:t>
      </w:r>
      <w:r>
        <w:rPr>
          <w:rFonts w:hint="eastAsia" w:eastAsia="仿宋_GB2312"/>
          <w:color w:val="000000"/>
          <w:kern w:val="2"/>
          <w:sz w:val="32"/>
          <w:szCs w:val="30"/>
          <w:lang w:eastAsia="zh-CN"/>
        </w:rPr>
        <w:t>：</w:t>
      </w:r>
      <w:r>
        <w:rPr>
          <w:rFonts w:hint="eastAsia" w:eastAsia="仿宋_GB2312"/>
          <w:color w:val="000000"/>
          <w:kern w:val="2"/>
          <w:sz w:val="32"/>
          <w:szCs w:val="30"/>
          <w:lang w:val="en-US" w:eastAsia="zh-CN"/>
        </w:rPr>
        <w:t>一、2021年项目资金支出较大，其中包含上年财反资金1035.44万元中的支出，二、</w:t>
      </w:r>
      <w:r>
        <w:rPr>
          <w:rFonts w:ascii="Times New Roman" w:eastAsia="仿宋_GB2312"/>
          <w:color w:val="000000"/>
          <w:kern w:val="2"/>
          <w:sz w:val="32"/>
          <w:szCs w:val="30"/>
        </w:rPr>
        <w:t>政府性基金预算财政拨款收入</w:t>
      </w:r>
      <w:r>
        <w:rPr>
          <w:rFonts w:hint="eastAsia" w:eastAsia="仿宋_GB2312"/>
          <w:color w:val="000000"/>
          <w:kern w:val="2"/>
          <w:sz w:val="32"/>
          <w:szCs w:val="30"/>
          <w:lang w:val="en-US" w:eastAsia="zh-CN"/>
        </w:rPr>
        <w:t>支出</w:t>
      </w:r>
      <w:r>
        <w:rPr>
          <w:rFonts w:ascii="Times New Roman" w:eastAsia="仿宋_GB2312"/>
          <w:color w:val="000000"/>
          <w:kern w:val="2"/>
          <w:sz w:val="32"/>
          <w:szCs w:val="30"/>
        </w:rPr>
        <w:t>相比上年度</w:t>
      </w:r>
      <w:r>
        <w:rPr>
          <w:rFonts w:hint="eastAsia" w:ascii="Times New Roman" w:eastAsia="仿宋_GB2312"/>
          <w:color w:val="000000"/>
          <w:kern w:val="2"/>
          <w:sz w:val="32"/>
          <w:szCs w:val="30"/>
        </w:rPr>
        <w:t>增加</w:t>
      </w:r>
      <w:r>
        <w:rPr>
          <w:rFonts w:hint="eastAsia" w:eastAsia="仿宋_GB2312"/>
          <w:color w:val="000000"/>
          <w:kern w:val="2"/>
          <w:sz w:val="32"/>
          <w:szCs w:val="30"/>
          <w:lang w:val="en-US" w:eastAsia="zh-CN"/>
        </w:rPr>
        <w:t>1328.37</w:t>
      </w:r>
      <w:r>
        <w:rPr>
          <w:rFonts w:ascii="Times New Roman" w:eastAsia="仿宋_GB2312"/>
          <w:color w:val="000000"/>
          <w:kern w:val="2"/>
          <w:sz w:val="32"/>
          <w:szCs w:val="30"/>
        </w:rPr>
        <w:t>万元</w:t>
      </w:r>
      <w:r>
        <w:rPr>
          <w:rFonts w:hint="eastAsia" w:eastAsia="仿宋_GB2312"/>
          <w:color w:val="000000"/>
          <w:kern w:val="2"/>
          <w:sz w:val="32"/>
          <w:szCs w:val="30"/>
          <w:lang w:eastAsia="zh-CN"/>
        </w:rPr>
        <w:t>。</w:t>
      </w:r>
    </w:p>
    <w:p>
      <w:pPr>
        <w:spacing w:line="600" w:lineRule="exact"/>
        <w:ind w:firstLine="640" w:firstLineChars="200"/>
        <w:rPr>
          <w:rStyle w:val="21"/>
          <w:rFonts w:ascii="黑体" w:eastAsia="黑体"/>
          <w:b w:val="0"/>
        </w:rPr>
      </w:pP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21"/>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pacing w:line="560" w:lineRule="exact"/>
        <w:ind w:firstLine="640" w:firstLineChars="200"/>
        <w:rPr>
          <w:rFonts w:hint="eastAsia" w:ascii="仿宋" w:eastAsia="仿宋"/>
          <w:color w:val="0000FF"/>
          <w:sz w:val="32"/>
          <w:szCs w:val="32"/>
        </w:rPr>
      </w:pPr>
      <w:r>
        <w:rPr>
          <w:rFonts w:hint="eastAsia" w:ascii="仿宋" w:eastAsia="仿宋"/>
          <w:color w:val="000000"/>
          <w:sz w:val="32"/>
          <w:szCs w:val="32"/>
          <w:lang w:val="en-US" w:eastAsia="zh-CN"/>
        </w:rPr>
        <w:t>2021年</w:t>
      </w:r>
      <w:r>
        <w:rPr>
          <w:rFonts w:hint="eastAsia" w:ascii="仿宋_GB2312" w:eastAsia="仿宋_GB2312"/>
          <w:spacing w:val="-2"/>
          <w:kern w:val="2"/>
          <w:sz w:val="32"/>
          <w:szCs w:val="32"/>
          <w:lang w:val="en-US" w:eastAsia="zh-CN" w:bidi="ar-SA"/>
        </w:rPr>
        <w:t>一般公共预算财政拨款支出</w:t>
      </w:r>
      <w:r>
        <w:rPr>
          <w:rFonts w:hint="eastAsia" w:ascii="仿宋" w:hAnsi="仿宋" w:eastAsia="仿宋" w:cs="仿宋"/>
          <w:color w:val="000000"/>
          <w:sz w:val="32"/>
          <w:szCs w:val="32"/>
          <w:lang w:val="en-US" w:eastAsia="zh-CN"/>
        </w:rPr>
        <w:t>4781.42</w:t>
      </w:r>
      <w:r>
        <w:rPr>
          <w:rFonts w:hint="eastAsia" w:ascii="仿宋_GB2312" w:eastAsia="仿宋_GB2312"/>
          <w:spacing w:val="-2"/>
          <w:kern w:val="2"/>
          <w:sz w:val="32"/>
          <w:szCs w:val="32"/>
          <w:lang w:val="en-US" w:eastAsia="zh-CN" w:bidi="ar-SA"/>
        </w:rPr>
        <w:t>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的77</w:t>
      </w:r>
      <w:r>
        <w:rPr>
          <w:rFonts w:ascii="仿宋" w:eastAsia="仿宋"/>
          <w:color w:val="000000"/>
          <w:sz w:val="32"/>
          <w:szCs w:val="32"/>
        </w:rPr>
        <w:t>%</w:t>
      </w:r>
      <w:r>
        <w:rPr>
          <w:rFonts w:hint="eastAsia" w:ascii="仿宋" w:eastAsia="仿宋"/>
          <w:color w:val="000000"/>
          <w:sz w:val="32"/>
          <w:szCs w:val="32"/>
          <w:lang w:eastAsia="zh-CN"/>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支出增加2460.26万元，增加106%。</w:t>
      </w:r>
      <w:r>
        <w:rPr>
          <w:rFonts w:hint="eastAsia" w:ascii="仿宋_GB2312" w:eastAsia="仿宋_GB2312"/>
          <w:color w:val="auto"/>
          <w:spacing w:val="-2"/>
          <w:kern w:val="2"/>
          <w:sz w:val="32"/>
          <w:szCs w:val="32"/>
          <w:lang w:val="en-US" w:eastAsia="zh-CN" w:bidi="ar-SA"/>
        </w:rPr>
        <w:t>主要原因一是当年安排部门预算项目经费较上年有所增加；二是2021年财政拨款支出包含了上年结转项目。</w:t>
      </w: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501015</wp:posOffset>
            </wp:positionH>
            <wp:positionV relativeFrom="paragraph">
              <wp:posOffset>160020</wp:posOffset>
            </wp:positionV>
            <wp:extent cx="4646295" cy="1942465"/>
            <wp:effectExtent l="4445" t="4445" r="16510" b="1524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color w:val="000000"/>
          <w:sz w:val="32"/>
          <w:szCs w:val="32"/>
          <w:lang w:val="en-US" w:eastAsia="zh-CN"/>
        </w:rPr>
        <w:t xml:space="preserve">  </w:t>
      </w:r>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546100</wp:posOffset>
            </wp:positionH>
            <wp:positionV relativeFrom="paragraph">
              <wp:posOffset>2099310</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4781.42</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hAnsi="仿宋" w:eastAsia="仿宋" w:cs="仿宋"/>
          <w:color w:val="auto"/>
          <w:kern w:val="0"/>
          <w:sz w:val="32"/>
          <w:szCs w:val="32"/>
          <w:shd w:val="clear" w:color="auto" w:fill="FFFFFF"/>
          <w:lang w:val="en-US" w:eastAsia="zh-CN"/>
        </w:rPr>
        <w:t>4172.39</w:t>
      </w:r>
      <w:r>
        <w:rPr>
          <w:rFonts w:hint="eastAsia" w:ascii="仿宋" w:eastAsia="仿宋"/>
          <w:color w:val="000000"/>
          <w:sz w:val="32"/>
          <w:szCs w:val="32"/>
        </w:rPr>
        <w:t>万元，占</w:t>
      </w:r>
      <w:r>
        <w:rPr>
          <w:rFonts w:hint="eastAsia" w:ascii="仿宋" w:eastAsia="仿宋"/>
          <w:color w:val="000000"/>
          <w:sz w:val="32"/>
          <w:szCs w:val="32"/>
          <w:lang w:val="en-US" w:eastAsia="zh-CN"/>
        </w:rPr>
        <w:t>87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68.04</w:t>
      </w:r>
      <w:r>
        <w:rPr>
          <w:rFonts w:hint="eastAsia" w:ascii="仿宋" w:eastAsia="仿宋"/>
          <w:color w:val="000000"/>
          <w:sz w:val="32"/>
          <w:szCs w:val="32"/>
        </w:rPr>
        <w:t>万元，占</w:t>
      </w:r>
      <w:r>
        <w:rPr>
          <w:rFonts w:hint="eastAsia" w:ascii="仿宋" w:eastAsia="仿宋"/>
          <w:color w:val="000000"/>
          <w:sz w:val="32"/>
          <w:szCs w:val="32"/>
          <w:lang w:val="en-US" w:eastAsia="zh-CN"/>
        </w:rPr>
        <w:t>1.4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w:t>
      </w:r>
      <w:r>
        <w:rPr>
          <w:rFonts w:hint="eastAsia" w:ascii="仿宋" w:eastAsia="仿宋"/>
          <w:b/>
          <w:bCs/>
          <w:color w:val="000000"/>
          <w:sz w:val="32"/>
          <w:szCs w:val="32"/>
          <w:lang w:eastAsia="zh-CN"/>
        </w:rPr>
        <w:t>健康</w:t>
      </w:r>
      <w:r>
        <w:rPr>
          <w:rFonts w:hint="eastAsia" w:ascii="仿宋" w:eastAsia="仿宋"/>
          <w:b/>
          <w:bCs/>
          <w:color w:val="000000"/>
          <w:sz w:val="32"/>
          <w:szCs w:val="32"/>
        </w:rPr>
        <w:t>支出</w:t>
      </w:r>
      <w:r>
        <w:rPr>
          <w:rFonts w:hint="eastAsia" w:ascii="仿宋" w:hAnsi="仿宋" w:eastAsia="仿宋" w:cs="仿宋"/>
          <w:color w:val="auto"/>
          <w:kern w:val="0"/>
          <w:sz w:val="32"/>
          <w:szCs w:val="32"/>
          <w:shd w:val="clear" w:color="auto" w:fill="FFFFFF"/>
          <w:lang w:val="en-US" w:eastAsia="zh-CN"/>
        </w:rPr>
        <w:t>27.48</w:t>
      </w:r>
      <w:r>
        <w:rPr>
          <w:rFonts w:hint="eastAsia" w:ascii="仿宋" w:eastAsia="仿宋"/>
          <w:color w:val="000000"/>
          <w:sz w:val="32"/>
          <w:szCs w:val="32"/>
        </w:rPr>
        <w:t>万元，占</w:t>
      </w:r>
      <w:r>
        <w:rPr>
          <w:rFonts w:hint="eastAsia" w:ascii="仿宋" w:eastAsia="仿宋"/>
          <w:color w:val="000000"/>
          <w:sz w:val="32"/>
          <w:szCs w:val="32"/>
          <w:lang w:val="en-US" w:eastAsia="zh-CN"/>
        </w:rPr>
        <w:t>0.6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住房保障支出</w:t>
      </w:r>
      <w:r>
        <w:rPr>
          <w:rFonts w:hint="eastAsia" w:ascii="仿宋" w:hAnsi="仿宋" w:eastAsia="仿宋" w:cs="仿宋"/>
          <w:color w:val="auto"/>
          <w:kern w:val="0"/>
          <w:sz w:val="32"/>
          <w:szCs w:val="32"/>
          <w:shd w:val="clear" w:color="auto" w:fill="FFFFFF"/>
          <w:lang w:val="en-US" w:eastAsia="zh-CN"/>
        </w:rPr>
        <w:t>44.07</w:t>
      </w:r>
      <w:r>
        <w:rPr>
          <w:rFonts w:hint="eastAsia" w:ascii="仿宋" w:eastAsia="仿宋"/>
          <w:color w:val="000000"/>
          <w:sz w:val="32"/>
          <w:szCs w:val="32"/>
        </w:rPr>
        <w:t>万元，占</w:t>
      </w:r>
      <w:r>
        <w:rPr>
          <w:rFonts w:hint="eastAsia" w:ascii="仿宋" w:eastAsia="仿宋"/>
          <w:color w:val="000000"/>
          <w:sz w:val="32"/>
          <w:szCs w:val="32"/>
          <w:lang w:val="en-US" w:eastAsia="zh-CN"/>
        </w:rPr>
        <w:t>0.9</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hAnsi="仿宋" w:eastAsia="仿宋" w:cs="仿宋"/>
          <w:color w:val="auto"/>
          <w:kern w:val="0"/>
          <w:sz w:val="32"/>
          <w:szCs w:val="32"/>
          <w:shd w:val="clear" w:color="auto" w:fill="FFFFFF"/>
          <w:lang w:eastAsia="zh-CN"/>
        </w:rPr>
        <w:t>行政运行：</w:t>
      </w:r>
      <w:r>
        <w:rPr>
          <w:rFonts w:hint="eastAsia" w:ascii="仿宋" w:hAnsi="仿宋" w:eastAsia="仿宋" w:cs="仿宋"/>
          <w:color w:val="auto"/>
          <w:kern w:val="0"/>
          <w:sz w:val="32"/>
          <w:szCs w:val="32"/>
          <w:shd w:val="clear" w:color="auto" w:fill="FFFFFF"/>
          <w:lang w:val="en-US" w:eastAsia="zh-CN"/>
        </w:rPr>
        <w:t>271.08万元，事业运行：198.37万元;占9.8%</w:t>
      </w:r>
      <w:r>
        <w:rPr>
          <w:rFonts w:hint="eastAsia" w:ascii="仿宋" w:eastAsia="仿宋"/>
          <w:color w:val="000000"/>
          <w:sz w:val="32"/>
          <w:szCs w:val="32"/>
        </w:rPr>
        <w:t>。</w:t>
      </w:r>
    </w:p>
    <w:p>
      <w:pPr>
        <w:spacing w:line="600" w:lineRule="exact"/>
        <w:ind w:firstLine="321" w:firstLineChars="100"/>
        <w:outlineLvl w:val="2"/>
        <w:rPr>
          <w:rFonts w:hint="eastAsia" w:ascii="仿宋" w:eastAsia="仿宋"/>
          <w:b/>
          <w:color w:val="000000"/>
          <w:sz w:val="32"/>
          <w:szCs w:val="32"/>
          <w:lang w:val="en-US" w:eastAsia="zh-CN"/>
        </w:rPr>
      </w:pPr>
      <w:bookmarkStart w:id="36" w:name="_Toc15377212"/>
      <w:bookmarkStart w:id="37" w:name="_Toc15378460"/>
      <w:bookmarkStart w:id="38" w:name="_Toc15377213"/>
      <w:bookmarkStart w:id="39" w:name="_Toc15377444"/>
      <w:r>
        <w:rPr>
          <w:rFonts w:hint="eastAsia" w:ascii="仿宋" w:eastAsia="仿宋"/>
          <w:b/>
          <w:color w:val="000000"/>
          <w:sz w:val="32"/>
          <w:szCs w:val="32"/>
        </w:rPr>
        <w:t>（三）一般公共预算财政拨款支出决算具体情况</w:t>
      </w:r>
      <w:bookmarkEnd w:id="36"/>
    </w:p>
    <w:p>
      <w:pPr>
        <w:spacing w:line="600" w:lineRule="exact"/>
        <w:ind w:firstLine="640" w:firstLineChars="200"/>
        <w:outlineLvl w:val="2"/>
        <w:rPr>
          <w:rFonts w:hint="eastAsia" w:ascii="仿宋" w:eastAsia="仿宋"/>
          <w:b w:val="0"/>
          <w:bCs/>
          <w:color w:val="000000"/>
          <w:sz w:val="32"/>
          <w:szCs w:val="32"/>
          <w:lang w:val="en-US" w:eastAsia="zh-CN"/>
        </w:rPr>
      </w:pPr>
      <w:r>
        <w:rPr>
          <w:rFonts w:hint="eastAsia" w:ascii="仿宋" w:eastAsia="仿宋"/>
          <w:b w:val="0"/>
          <w:bCs/>
          <w:color w:val="000000"/>
          <w:sz w:val="32"/>
          <w:szCs w:val="32"/>
          <w:lang w:val="en-US" w:eastAsia="zh-CN"/>
        </w:rPr>
        <w:t>2021年一般公共预算支出决算数为</w:t>
      </w:r>
      <w:r>
        <w:rPr>
          <w:rFonts w:hint="eastAsia" w:ascii="仿宋" w:eastAsia="仿宋"/>
          <w:color w:val="000000"/>
          <w:sz w:val="32"/>
          <w:szCs w:val="32"/>
          <w:lang w:val="en-US" w:eastAsia="zh-CN"/>
        </w:rPr>
        <w:t>4781.42</w:t>
      </w:r>
      <w:r>
        <w:rPr>
          <w:rFonts w:hint="eastAsia" w:ascii="仿宋" w:eastAsia="仿宋"/>
          <w:color w:val="000000"/>
          <w:sz w:val="32"/>
          <w:szCs w:val="32"/>
        </w:rPr>
        <w:t>万元</w:t>
      </w:r>
      <w:r>
        <w:rPr>
          <w:rFonts w:hint="eastAsia" w:ascii="仿宋" w:eastAsia="仿宋"/>
          <w:b w:val="0"/>
          <w:bCs/>
          <w:color w:val="000000"/>
          <w:sz w:val="32"/>
          <w:szCs w:val="32"/>
          <w:lang w:val="en-US" w:eastAsia="zh-CN"/>
        </w:rPr>
        <w:t>，完成预算100%。其中：</w:t>
      </w:r>
      <w:bookmarkEnd w:id="37"/>
      <w:bookmarkEnd w:id="38"/>
      <w:bookmarkEnd w:id="39"/>
    </w:p>
    <w:p>
      <w:pPr>
        <w:spacing w:line="600" w:lineRule="exact"/>
        <w:ind w:left="0" w:firstLine="643" w:firstLineChars="200"/>
        <w:rPr>
          <w:rStyle w:val="17"/>
          <w:rFonts w:hint="eastAsia" w:ascii="仿宋" w:eastAsia="仿宋"/>
          <w:b w:val="0"/>
          <w:bCs/>
          <w:color w:val="000000"/>
          <w:sz w:val="32"/>
          <w:szCs w:val="32"/>
          <w:lang w:eastAsia="zh-CN"/>
        </w:rPr>
      </w:pPr>
      <w:r>
        <w:rPr>
          <w:rStyle w:val="17"/>
          <w:rFonts w:hint="eastAsia" w:ascii="仿宋" w:eastAsia="仿宋"/>
          <w:bCs/>
          <w:color w:val="000000"/>
          <w:sz w:val="32"/>
          <w:szCs w:val="32"/>
          <w:lang w:val="en-US" w:eastAsia="zh-CN"/>
        </w:rPr>
        <w:t>1.</w:t>
      </w:r>
      <w:r>
        <w:rPr>
          <w:rStyle w:val="17"/>
          <w:rFonts w:hint="eastAsia" w:ascii="仿宋" w:eastAsia="仿宋"/>
          <w:bCs/>
          <w:color w:val="000000"/>
          <w:sz w:val="32"/>
          <w:szCs w:val="32"/>
        </w:rPr>
        <w:t>一般公共服务（类）</w:t>
      </w:r>
      <w:r>
        <w:rPr>
          <w:rStyle w:val="17"/>
          <w:rFonts w:hint="eastAsia" w:ascii="仿宋" w:eastAsia="仿宋"/>
          <w:bCs/>
          <w:color w:val="000000"/>
          <w:sz w:val="32"/>
          <w:szCs w:val="32"/>
          <w:lang w:val="en-US" w:eastAsia="zh-CN"/>
        </w:rPr>
        <w:t>及相关机构事务</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行政运行</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Fonts w:hint="eastAsia" w:ascii="仿宋" w:hAnsi="仿宋" w:eastAsia="仿宋" w:cs="仿宋"/>
          <w:color w:val="auto"/>
          <w:kern w:val="0"/>
          <w:sz w:val="32"/>
          <w:szCs w:val="32"/>
          <w:shd w:val="clear" w:color="auto" w:fill="FFFFFF"/>
          <w:lang w:val="en-US" w:eastAsia="zh-CN"/>
        </w:rPr>
        <w:t>271.08</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lang w:eastAsia="zh-CN"/>
        </w:rPr>
        <w:t>。</w:t>
      </w:r>
    </w:p>
    <w:p>
      <w:pPr>
        <w:spacing w:line="600" w:lineRule="exact"/>
        <w:ind w:firstLine="643" w:firstLineChars="200"/>
        <w:rPr>
          <w:rStyle w:val="17"/>
          <w:rFonts w:hint="eastAsia" w:ascii="仿宋" w:eastAsia="仿宋"/>
          <w:b w:val="0"/>
          <w:bCs/>
          <w:color w:val="000000"/>
          <w:sz w:val="32"/>
          <w:szCs w:val="32"/>
        </w:rPr>
      </w:pPr>
      <w:r>
        <w:rPr>
          <w:rStyle w:val="17"/>
          <w:rFonts w:hint="eastAsia" w:ascii="仿宋" w:eastAsia="仿宋"/>
          <w:bCs/>
          <w:color w:val="000000"/>
          <w:sz w:val="32"/>
          <w:szCs w:val="32"/>
          <w:lang w:val="en-US" w:eastAsia="zh-CN"/>
        </w:rPr>
        <w:t>2</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一般公共服务（类）</w:t>
      </w:r>
      <w:r>
        <w:rPr>
          <w:rStyle w:val="17"/>
          <w:rFonts w:hint="eastAsia" w:ascii="仿宋" w:eastAsia="仿宋"/>
          <w:bCs/>
          <w:color w:val="000000"/>
          <w:sz w:val="32"/>
          <w:szCs w:val="32"/>
          <w:lang w:val="en-US" w:eastAsia="zh-CN"/>
        </w:rPr>
        <w:t>及相关机构事务</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一般行政管理事务</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3135.9</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3.</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val="en-US" w:eastAsia="zh-CN"/>
        </w:rPr>
        <w:t>行政事业单位离退休</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机关事业单位基本养老保险缴费支出</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45.36</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lang w:val="en-US" w:eastAsia="zh-CN"/>
        </w:rPr>
        <w:t>4</w:t>
      </w:r>
      <w:r>
        <w:rPr>
          <w:rStyle w:val="17"/>
          <w:rFonts w:ascii="仿宋" w:eastAsia="仿宋"/>
          <w:bCs/>
          <w:color w:val="000000"/>
          <w:sz w:val="32"/>
          <w:szCs w:val="32"/>
        </w:rPr>
        <w:t>.</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val="en-US" w:eastAsia="zh-CN"/>
        </w:rPr>
        <w:t>行政事业单位离退休</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机关事业单位基本职业年金缴费支出</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22.68</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lang w:val="en-US" w:eastAsia="zh-CN"/>
        </w:rPr>
        <w:t>5.</w:t>
      </w:r>
      <w:r>
        <w:rPr>
          <w:rStyle w:val="17"/>
          <w:rFonts w:hint="eastAsia" w:ascii="仿宋" w:eastAsia="仿宋"/>
          <w:bCs/>
          <w:color w:val="000000"/>
          <w:sz w:val="32"/>
          <w:szCs w:val="32"/>
          <w:lang w:eastAsia="zh-CN"/>
        </w:rPr>
        <w:t>卫生健康支出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行政事业单位医疗</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行政单位医疗</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20.34</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lang w:val="en-US" w:eastAsia="zh-CN"/>
        </w:rPr>
        <w:t>6.</w:t>
      </w:r>
      <w:r>
        <w:rPr>
          <w:rStyle w:val="17"/>
          <w:rFonts w:hint="eastAsia" w:ascii="仿宋" w:eastAsia="仿宋"/>
          <w:bCs/>
          <w:color w:val="000000"/>
          <w:sz w:val="32"/>
          <w:szCs w:val="32"/>
          <w:lang w:eastAsia="zh-CN"/>
        </w:rPr>
        <w:t>卫生健康支出</w:t>
      </w:r>
      <w:r>
        <w:rPr>
          <w:rStyle w:val="17"/>
          <w:rFonts w:hint="eastAsia" w:ascii="仿宋" w:eastAsia="仿宋"/>
          <w:bCs/>
          <w:color w:val="000000"/>
          <w:sz w:val="32"/>
          <w:szCs w:val="32"/>
        </w:rPr>
        <w:t>（类）</w:t>
      </w:r>
      <w:r>
        <w:rPr>
          <w:rStyle w:val="17"/>
          <w:rFonts w:hint="eastAsia" w:ascii="仿宋" w:eastAsia="仿宋"/>
          <w:bCs/>
          <w:color w:val="000000"/>
          <w:sz w:val="32"/>
          <w:szCs w:val="32"/>
          <w:lang w:val="en-US" w:eastAsia="zh-CN"/>
        </w:rPr>
        <w:t>行政事业单位医疗</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公务员医疗补助</w:t>
      </w:r>
      <w:r>
        <w:rPr>
          <w:rStyle w:val="17"/>
          <w:rFonts w:hint="eastAsia" w:ascii="仿宋" w:eastAsia="仿宋"/>
          <w:bCs/>
          <w:color w:val="000000"/>
          <w:sz w:val="32"/>
          <w:szCs w:val="32"/>
        </w:rPr>
        <w:t>（项）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7.14</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3" w:firstLineChars="200"/>
        <w:rPr>
          <w:rStyle w:val="17"/>
          <w:rFonts w:ascii="仿宋" w:eastAsia="仿宋"/>
          <w:bCs/>
          <w:color w:val="000000"/>
          <w:sz w:val="32"/>
          <w:szCs w:val="32"/>
          <w:lang w:val="en-US" w:eastAsia="zh-CN"/>
        </w:rPr>
      </w:pPr>
      <w:bookmarkStart w:id="40" w:name="_Toc15377214"/>
      <w:bookmarkStart w:id="41" w:name="_Toc15396608"/>
      <w:r>
        <w:rPr>
          <w:rStyle w:val="17"/>
          <w:rFonts w:hint="eastAsia" w:ascii="仿宋" w:eastAsia="仿宋"/>
          <w:bCs/>
          <w:color w:val="000000"/>
          <w:sz w:val="32"/>
          <w:szCs w:val="32"/>
          <w:lang w:val="en-US" w:eastAsia="zh-CN"/>
        </w:rPr>
        <w:t>7.住房保障（类）住房改革支出（款）住房公积金（项）：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44.07</w:t>
      </w:r>
      <w:r>
        <w:rPr>
          <w:rStyle w:val="17"/>
          <w:rFonts w:hint="eastAsia" w:ascii="仿宋" w:eastAsia="仿宋"/>
          <w:b w:val="0"/>
          <w:bCs/>
          <w:color w:val="000000"/>
          <w:sz w:val="32"/>
          <w:szCs w:val="32"/>
        </w:rPr>
        <w:t>万元，完成预算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pPr>
        <w:spacing w:line="600" w:lineRule="exact"/>
        <w:ind w:firstLine="640"/>
        <w:rPr>
          <w:rStyle w:val="21"/>
        </w:rPr>
      </w:pPr>
      <w:r>
        <w:rPr>
          <w:rFonts w:hint="eastAsia" w:ascii="黑体" w:eastAsia="黑体"/>
          <w:color w:val="000000"/>
          <w:sz w:val="32"/>
          <w:szCs w:val="32"/>
        </w:rPr>
        <w:t>六</w:t>
      </w:r>
      <w:r>
        <w:rPr>
          <w:rFonts w:hint="eastAsia" w:ascii="黑体" w:eastAsia="黑体"/>
          <w:b/>
          <w:color w:val="000000"/>
          <w:sz w:val="32"/>
          <w:szCs w:val="32"/>
        </w:rPr>
        <w:t>、一</w:t>
      </w:r>
      <w:r>
        <w:rPr>
          <w:rStyle w:val="21"/>
          <w:rFonts w:hint="eastAsia" w:ascii="黑体" w:eastAsia="黑体"/>
          <w:b w:val="0"/>
        </w:rPr>
        <w:t>般公共预算财政拨款基本支出决算情况说明</w:t>
      </w:r>
      <w:bookmarkEnd w:id="40"/>
      <w:bookmarkEnd w:id="41"/>
      <w:r>
        <w:rPr>
          <w:rStyle w:val="21"/>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609.03</w:t>
      </w:r>
      <w:r>
        <w:rPr>
          <w:rFonts w:hint="eastAsia" w:ascii="仿宋" w:eastAsia="仿宋"/>
          <w:color w:val="000000"/>
          <w:sz w:val="32"/>
          <w:szCs w:val="32"/>
        </w:rPr>
        <w:t>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w:t>
      </w:r>
      <w:r>
        <w:rPr>
          <w:rFonts w:hint="eastAsia" w:ascii="仿宋" w:eastAsia="仿宋"/>
          <w:color w:val="000000"/>
          <w:sz w:val="32"/>
          <w:szCs w:val="32"/>
          <w:lang w:val="en-US" w:eastAsia="zh-CN"/>
        </w:rPr>
        <w:t>573.1</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119.96万元</w:t>
      </w:r>
      <w:r>
        <w:rPr>
          <w:rFonts w:hint="eastAsia" w:ascii="仿宋" w:eastAsia="仿宋"/>
          <w:color w:val="000000"/>
          <w:sz w:val="32"/>
          <w:szCs w:val="32"/>
        </w:rPr>
        <w:t>、津贴补贴</w:t>
      </w:r>
      <w:r>
        <w:rPr>
          <w:rFonts w:hint="eastAsia" w:ascii="仿宋" w:eastAsia="仿宋"/>
          <w:color w:val="000000"/>
          <w:sz w:val="32"/>
          <w:szCs w:val="32"/>
          <w:lang w:val="en-US" w:eastAsia="zh-CN"/>
        </w:rPr>
        <w:t>124.4万元</w:t>
      </w:r>
      <w:r>
        <w:rPr>
          <w:rFonts w:hint="eastAsia" w:ascii="仿宋" w:eastAsia="仿宋"/>
          <w:color w:val="000000"/>
          <w:sz w:val="32"/>
          <w:szCs w:val="32"/>
        </w:rPr>
        <w:t>、奖金</w:t>
      </w:r>
      <w:r>
        <w:rPr>
          <w:rFonts w:hint="eastAsia" w:ascii="仿宋" w:eastAsia="仿宋"/>
          <w:color w:val="000000"/>
          <w:sz w:val="32"/>
          <w:szCs w:val="32"/>
          <w:lang w:val="en-US" w:eastAsia="zh-CN"/>
        </w:rPr>
        <w:t>6.04万元</w:t>
      </w:r>
      <w:r>
        <w:rPr>
          <w:rFonts w:hint="eastAsia" w:ascii="仿宋" w:eastAsia="仿宋"/>
          <w:color w:val="000000"/>
          <w:sz w:val="32"/>
          <w:szCs w:val="32"/>
        </w:rPr>
        <w:t>、伙食补助费</w:t>
      </w:r>
      <w:r>
        <w:rPr>
          <w:rFonts w:hint="eastAsia" w:ascii="仿宋" w:eastAsia="仿宋"/>
          <w:color w:val="000000"/>
          <w:sz w:val="32"/>
          <w:szCs w:val="32"/>
          <w:lang w:val="en-US" w:eastAsia="zh-CN"/>
        </w:rPr>
        <w:t>0万元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45.36万元</w:t>
      </w:r>
      <w:r>
        <w:rPr>
          <w:rFonts w:hint="eastAsia" w:ascii="仿宋" w:eastAsia="仿宋"/>
          <w:color w:val="000000"/>
          <w:sz w:val="32"/>
          <w:szCs w:val="32"/>
        </w:rPr>
        <w:t>、职业年金缴费</w:t>
      </w:r>
      <w:r>
        <w:rPr>
          <w:rStyle w:val="17"/>
          <w:rFonts w:hint="eastAsia" w:ascii="仿宋" w:eastAsia="仿宋"/>
          <w:b w:val="0"/>
          <w:bCs/>
          <w:color w:val="000000"/>
          <w:sz w:val="32"/>
          <w:szCs w:val="32"/>
          <w:lang w:val="en-US" w:eastAsia="zh-CN"/>
        </w:rPr>
        <w:t>22.68</w:t>
      </w:r>
      <w:r>
        <w:rPr>
          <w:rFonts w:hint="eastAsia" w:ascii="仿宋" w:eastAsia="仿宋"/>
          <w:color w:val="000000"/>
          <w:sz w:val="32"/>
          <w:szCs w:val="32"/>
          <w:lang w:val="en-US" w:eastAsia="zh-CN"/>
        </w:rPr>
        <w:t>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职工基本医疗保险缴费20.34万元、公务员医疗补助缴费7.14万元、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4.41万元</w:t>
      </w:r>
      <w:r>
        <w:rPr>
          <w:rFonts w:hint="eastAsia" w:ascii="仿宋" w:eastAsia="仿宋"/>
          <w:color w:val="000000"/>
          <w:sz w:val="32"/>
          <w:szCs w:val="32"/>
        </w:rPr>
        <w:t>、其他工资福利支出</w:t>
      </w:r>
      <w:r>
        <w:rPr>
          <w:rFonts w:hint="eastAsia" w:ascii="仿宋" w:eastAsia="仿宋"/>
          <w:color w:val="000000"/>
          <w:sz w:val="32"/>
          <w:szCs w:val="32"/>
          <w:lang w:val="en-US" w:eastAsia="zh-CN"/>
        </w:rPr>
        <w:t>0万元</w:t>
      </w:r>
      <w:r>
        <w:rPr>
          <w:rFonts w:hint="eastAsia" w:ascii="仿宋" w:eastAsia="仿宋"/>
          <w:color w:val="000000"/>
          <w:sz w:val="32"/>
          <w:szCs w:val="32"/>
        </w:rPr>
        <w:t>、生活补助</w:t>
      </w:r>
      <w:r>
        <w:rPr>
          <w:rFonts w:hint="eastAsia" w:ascii="仿宋" w:eastAsia="仿宋"/>
          <w:color w:val="000000"/>
          <w:sz w:val="32"/>
          <w:szCs w:val="32"/>
          <w:lang w:val="en-US" w:eastAsia="zh-CN"/>
        </w:rPr>
        <w:t>2.89万元</w:t>
      </w:r>
      <w:r>
        <w:rPr>
          <w:rFonts w:hint="eastAsia" w:ascii="仿宋" w:eastAsia="仿宋"/>
          <w:color w:val="000000"/>
          <w:sz w:val="32"/>
          <w:szCs w:val="32"/>
        </w:rPr>
        <w:t>、</w:t>
      </w:r>
      <w:r>
        <w:rPr>
          <w:rFonts w:hint="eastAsia" w:ascii="仿宋" w:eastAsia="仿宋"/>
          <w:color w:val="000000"/>
          <w:sz w:val="32"/>
          <w:szCs w:val="32"/>
          <w:lang w:eastAsia="zh-CN"/>
        </w:rPr>
        <w:t>抚恤金</w:t>
      </w:r>
      <w:r>
        <w:rPr>
          <w:rFonts w:hint="eastAsia" w:ascii="仿宋" w:eastAsia="仿宋"/>
          <w:color w:val="000000"/>
          <w:sz w:val="32"/>
          <w:szCs w:val="32"/>
          <w:lang w:val="en-US" w:eastAsia="zh-CN"/>
        </w:rPr>
        <w:t>0万元、</w:t>
      </w:r>
      <w:r>
        <w:rPr>
          <w:rFonts w:hint="eastAsia" w:ascii="仿宋" w:eastAsia="仿宋"/>
          <w:color w:val="000000"/>
          <w:sz w:val="32"/>
          <w:szCs w:val="32"/>
        </w:rPr>
        <w:t>住房公积金</w:t>
      </w:r>
      <w:r>
        <w:rPr>
          <w:rFonts w:hint="eastAsia" w:ascii="仿宋" w:eastAsia="仿宋"/>
          <w:color w:val="000000"/>
          <w:sz w:val="32"/>
          <w:szCs w:val="32"/>
          <w:lang w:val="en-US" w:eastAsia="zh-CN"/>
        </w:rPr>
        <w:t>44.07万元</w:t>
      </w:r>
      <w:r>
        <w:rPr>
          <w:rFonts w:hint="eastAsia" w:ascii="仿宋" w:eastAsia="仿宋"/>
          <w:color w:val="000000"/>
          <w:sz w:val="32"/>
          <w:szCs w:val="32"/>
        </w:rPr>
        <w:t>、其他对个人和家庭的补助支出</w:t>
      </w:r>
      <w:r>
        <w:rPr>
          <w:rFonts w:hint="eastAsia" w:ascii="仿宋" w:eastAsia="仿宋"/>
          <w:color w:val="000000"/>
          <w:sz w:val="32"/>
          <w:szCs w:val="32"/>
          <w:lang w:val="en-US" w:eastAsia="zh-CN"/>
        </w:rPr>
        <w:t>0万元</w:t>
      </w:r>
      <w:r>
        <w:rPr>
          <w:rFonts w:hint="eastAsia" w:ascii="仿宋" w:eastAsia="仿宋"/>
          <w:color w:val="000000"/>
          <w:sz w:val="32"/>
          <w:szCs w:val="32"/>
        </w:rPr>
        <w:t>等。</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35.93</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5.5万元</w:t>
      </w:r>
      <w:r>
        <w:rPr>
          <w:rFonts w:hint="eastAsia" w:ascii="仿宋" w:eastAsia="仿宋"/>
          <w:color w:val="000000"/>
          <w:sz w:val="32"/>
          <w:szCs w:val="32"/>
        </w:rPr>
        <w:t>、</w:t>
      </w:r>
      <w:r>
        <w:rPr>
          <w:rFonts w:hint="eastAsia" w:ascii="仿宋" w:eastAsia="仿宋"/>
          <w:color w:val="000000"/>
          <w:sz w:val="32"/>
          <w:szCs w:val="32"/>
          <w:lang w:eastAsia="zh-CN"/>
        </w:rPr>
        <w:t>手续费</w:t>
      </w:r>
      <w:r>
        <w:rPr>
          <w:rFonts w:hint="eastAsia" w:ascii="仿宋" w:eastAsia="仿宋"/>
          <w:color w:val="000000"/>
          <w:sz w:val="32"/>
          <w:szCs w:val="32"/>
          <w:lang w:val="en-US" w:eastAsia="zh-CN"/>
        </w:rPr>
        <w:t>0万元、</w:t>
      </w:r>
      <w:r>
        <w:rPr>
          <w:rFonts w:hint="eastAsia" w:ascii="仿宋" w:eastAsia="仿宋"/>
          <w:color w:val="000000"/>
          <w:sz w:val="32"/>
          <w:szCs w:val="32"/>
        </w:rPr>
        <w:t>水费</w:t>
      </w:r>
      <w:r>
        <w:rPr>
          <w:rFonts w:hint="eastAsia" w:ascii="仿宋" w:eastAsia="仿宋"/>
          <w:color w:val="000000"/>
          <w:sz w:val="32"/>
          <w:szCs w:val="32"/>
          <w:lang w:val="en-US" w:eastAsia="zh-CN"/>
        </w:rPr>
        <w:t>0.13万元</w:t>
      </w:r>
      <w:r>
        <w:rPr>
          <w:rFonts w:hint="eastAsia" w:ascii="仿宋" w:eastAsia="仿宋"/>
          <w:color w:val="000000"/>
          <w:sz w:val="32"/>
          <w:szCs w:val="32"/>
        </w:rPr>
        <w:t>、电费</w:t>
      </w:r>
      <w:r>
        <w:rPr>
          <w:rFonts w:hint="eastAsia" w:ascii="仿宋" w:eastAsia="仿宋"/>
          <w:color w:val="000000"/>
          <w:sz w:val="32"/>
          <w:szCs w:val="32"/>
          <w:lang w:val="en-US" w:eastAsia="zh-CN"/>
        </w:rPr>
        <w:t>1.5万元</w:t>
      </w:r>
      <w:r>
        <w:rPr>
          <w:rFonts w:hint="eastAsia" w:ascii="仿宋" w:eastAsia="仿宋"/>
          <w:color w:val="000000"/>
          <w:sz w:val="32"/>
          <w:szCs w:val="32"/>
        </w:rPr>
        <w:t>、邮电费</w:t>
      </w:r>
      <w:r>
        <w:rPr>
          <w:rFonts w:hint="eastAsia" w:ascii="仿宋" w:eastAsia="仿宋"/>
          <w:color w:val="000000"/>
          <w:sz w:val="32"/>
          <w:szCs w:val="32"/>
          <w:lang w:val="en-US" w:eastAsia="zh-CN"/>
        </w:rPr>
        <w:t>5.17万元</w:t>
      </w:r>
      <w:r>
        <w:rPr>
          <w:rFonts w:hint="eastAsia" w:ascii="仿宋" w:eastAsia="仿宋"/>
          <w:color w:val="000000"/>
          <w:sz w:val="32"/>
          <w:szCs w:val="32"/>
        </w:rPr>
        <w:t>、物业管理费</w:t>
      </w:r>
      <w:r>
        <w:rPr>
          <w:rFonts w:hint="eastAsia" w:ascii="仿宋" w:eastAsia="仿宋"/>
          <w:color w:val="000000"/>
          <w:sz w:val="32"/>
          <w:szCs w:val="32"/>
          <w:lang w:val="en-US" w:eastAsia="zh-CN"/>
        </w:rPr>
        <w:t>0万元</w:t>
      </w:r>
      <w:r>
        <w:rPr>
          <w:rFonts w:hint="eastAsia" w:ascii="仿宋" w:eastAsia="仿宋"/>
          <w:color w:val="000000"/>
          <w:sz w:val="32"/>
          <w:szCs w:val="32"/>
        </w:rPr>
        <w:t>、差旅费</w:t>
      </w:r>
      <w:r>
        <w:rPr>
          <w:rFonts w:hint="eastAsia" w:ascii="仿宋" w:eastAsia="仿宋"/>
          <w:color w:val="000000"/>
          <w:sz w:val="32"/>
          <w:szCs w:val="32"/>
          <w:lang w:val="en-US" w:eastAsia="zh-CN"/>
        </w:rPr>
        <w:t>9.61万元</w:t>
      </w:r>
      <w:r>
        <w:rPr>
          <w:rFonts w:hint="eastAsia" w:ascii="仿宋" w:eastAsia="仿宋"/>
          <w:color w:val="000000"/>
          <w:sz w:val="32"/>
          <w:szCs w:val="32"/>
        </w:rPr>
        <w:t>、因公出国（境）费用</w:t>
      </w:r>
      <w:r>
        <w:rPr>
          <w:rFonts w:hint="eastAsia" w:ascii="仿宋" w:eastAsia="仿宋"/>
          <w:color w:val="000000"/>
          <w:sz w:val="32"/>
          <w:szCs w:val="32"/>
          <w:lang w:val="en-US" w:eastAsia="zh-CN"/>
        </w:rPr>
        <w:t>0万元</w:t>
      </w:r>
      <w:r>
        <w:rPr>
          <w:rFonts w:hint="eastAsia" w:ascii="仿宋" w:eastAsia="仿宋"/>
          <w:color w:val="000000"/>
          <w:sz w:val="32"/>
          <w:szCs w:val="32"/>
        </w:rPr>
        <w:t>、维修（护）费</w:t>
      </w:r>
      <w:r>
        <w:rPr>
          <w:rFonts w:hint="eastAsia" w:ascii="仿宋" w:eastAsia="仿宋"/>
          <w:color w:val="000000"/>
          <w:sz w:val="32"/>
          <w:szCs w:val="32"/>
          <w:lang w:val="en-US" w:eastAsia="zh-CN"/>
        </w:rPr>
        <w:t>0.2万元</w:t>
      </w:r>
      <w:r>
        <w:rPr>
          <w:rFonts w:hint="eastAsia" w:ascii="仿宋" w:eastAsia="仿宋"/>
          <w:color w:val="000000"/>
          <w:sz w:val="32"/>
          <w:szCs w:val="32"/>
        </w:rPr>
        <w:t>、租赁费</w:t>
      </w:r>
      <w:r>
        <w:rPr>
          <w:rFonts w:hint="eastAsia" w:ascii="仿宋" w:eastAsia="仿宋"/>
          <w:color w:val="000000"/>
          <w:sz w:val="32"/>
          <w:szCs w:val="32"/>
          <w:lang w:val="en-US" w:eastAsia="zh-CN"/>
        </w:rPr>
        <w:t>0万元</w:t>
      </w:r>
      <w:r>
        <w:rPr>
          <w:rFonts w:hint="eastAsia" w:ascii="仿宋" w:eastAsia="仿宋"/>
          <w:color w:val="000000"/>
          <w:sz w:val="32"/>
          <w:szCs w:val="32"/>
        </w:rPr>
        <w:t>、会议费</w:t>
      </w:r>
      <w:r>
        <w:rPr>
          <w:rFonts w:hint="eastAsia" w:ascii="仿宋" w:eastAsia="仿宋"/>
          <w:color w:val="000000"/>
          <w:sz w:val="32"/>
          <w:szCs w:val="32"/>
          <w:lang w:val="en-US" w:eastAsia="zh-CN"/>
        </w:rPr>
        <w:t>1.9万元</w:t>
      </w:r>
      <w:r>
        <w:rPr>
          <w:rFonts w:hint="eastAsia" w:ascii="仿宋" w:eastAsia="仿宋"/>
          <w:color w:val="000000"/>
          <w:sz w:val="32"/>
          <w:szCs w:val="32"/>
        </w:rPr>
        <w:t>、培训费</w:t>
      </w:r>
      <w:r>
        <w:rPr>
          <w:rFonts w:hint="eastAsia" w:ascii="仿宋" w:eastAsia="仿宋"/>
          <w:color w:val="000000"/>
          <w:sz w:val="32"/>
          <w:szCs w:val="32"/>
          <w:lang w:val="en-US" w:eastAsia="zh-CN"/>
        </w:rPr>
        <w:t>0万元</w:t>
      </w:r>
      <w:r>
        <w:rPr>
          <w:rFonts w:hint="eastAsia" w:ascii="仿宋" w:eastAsia="仿宋"/>
          <w:color w:val="000000"/>
          <w:sz w:val="32"/>
          <w:szCs w:val="32"/>
        </w:rPr>
        <w:t>、</w:t>
      </w:r>
      <w:r>
        <w:rPr>
          <w:rFonts w:hint="eastAsia" w:ascii="仿宋" w:eastAsia="仿宋"/>
          <w:color w:val="000000"/>
          <w:sz w:val="32"/>
          <w:szCs w:val="32"/>
          <w:lang w:val="en-US" w:eastAsia="zh-CN"/>
        </w:rPr>
        <w:t>劳务费3.9万元、</w:t>
      </w:r>
      <w:r>
        <w:rPr>
          <w:rFonts w:hint="eastAsia" w:ascii="仿宋" w:eastAsia="仿宋"/>
          <w:color w:val="000000"/>
          <w:sz w:val="32"/>
          <w:szCs w:val="32"/>
        </w:rPr>
        <w:t>公务接待费</w:t>
      </w:r>
      <w:r>
        <w:rPr>
          <w:rFonts w:hint="eastAsia" w:ascii="仿宋" w:eastAsia="仿宋"/>
          <w:color w:val="000000"/>
          <w:sz w:val="32"/>
          <w:szCs w:val="32"/>
          <w:lang w:val="en-US" w:eastAsia="zh-CN"/>
        </w:rPr>
        <w:t>0万元</w:t>
      </w:r>
      <w:r>
        <w:rPr>
          <w:rFonts w:hint="eastAsia" w:ascii="仿宋" w:eastAsia="仿宋"/>
          <w:color w:val="000000"/>
          <w:sz w:val="32"/>
          <w:szCs w:val="32"/>
        </w:rPr>
        <w:t>、福利费</w:t>
      </w:r>
      <w:r>
        <w:rPr>
          <w:rFonts w:hint="eastAsia" w:ascii="仿宋" w:eastAsia="仿宋"/>
          <w:color w:val="000000"/>
          <w:sz w:val="32"/>
          <w:szCs w:val="32"/>
          <w:lang w:val="en-US" w:eastAsia="zh-CN"/>
        </w:rPr>
        <w:t>0万元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7万元、其他交通费1万元、办公设备购置0万元、无形资产购置0万元</w:t>
      </w:r>
      <w:r>
        <w:rPr>
          <w:rFonts w:hint="eastAsia" w:ascii="仿宋" w:eastAsia="仿宋"/>
          <w:color w:val="000000"/>
          <w:sz w:val="32"/>
          <w:szCs w:val="32"/>
        </w:rPr>
        <w:t>等。</w:t>
      </w:r>
    </w:p>
    <w:p>
      <w:pPr>
        <w:spacing w:line="600" w:lineRule="exact"/>
        <w:ind w:firstLine="640" w:firstLineChars="200"/>
        <w:outlineLvl w:val="1"/>
        <w:rPr>
          <w:rStyle w:val="21"/>
          <w:rFonts w:ascii="黑体" w:eastAsia="黑体"/>
          <w:b w:val="0"/>
        </w:rPr>
      </w:pPr>
      <w:bookmarkStart w:id="42" w:name="_Toc15377215"/>
      <w:bookmarkStart w:id="43" w:name="_Toc15396609"/>
      <w:r>
        <w:rPr>
          <w:rFonts w:hint="eastAsia" w:ascii="黑体" w:eastAsia="黑体"/>
          <w:color w:val="000000"/>
          <w:sz w:val="32"/>
          <w:szCs w:val="32"/>
        </w:rPr>
        <w:t>七、</w:t>
      </w:r>
      <w:r>
        <w:rPr>
          <w:rStyle w:val="21"/>
          <w:rFonts w:hint="eastAsia" w:ascii="黑体" w:eastAsia="黑体"/>
        </w:rPr>
        <w:t>“</w:t>
      </w:r>
      <w:r>
        <w:rPr>
          <w:rStyle w:val="21"/>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left="319" w:leftChars="152" w:firstLine="652" w:firstLineChars="204"/>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7</w:t>
      </w:r>
      <w:r>
        <w:rPr>
          <w:rFonts w:hint="eastAsia" w:ascii="仿宋" w:eastAsia="仿宋"/>
          <w:color w:val="000000"/>
          <w:sz w:val="32"/>
          <w:szCs w:val="32"/>
        </w:rPr>
        <w:t>万元，</w:t>
      </w:r>
      <w:r>
        <w:rPr>
          <w:rFonts w:hint="eastAsia" w:ascii="仿宋" w:eastAsia="仿宋"/>
          <w:color w:val="000000"/>
          <w:sz w:val="32"/>
          <w:szCs w:val="32"/>
          <w:lang w:eastAsia="zh-CN"/>
        </w:rPr>
        <w:t>预算金额</w:t>
      </w:r>
      <w:r>
        <w:rPr>
          <w:rFonts w:hint="eastAsia" w:ascii="仿宋" w:eastAsia="仿宋"/>
          <w:color w:val="000000"/>
          <w:sz w:val="32"/>
          <w:szCs w:val="32"/>
          <w:lang w:val="en-US" w:eastAsia="zh-CN"/>
        </w:rPr>
        <w:t>7万元，</w:t>
      </w:r>
      <w:r>
        <w:rPr>
          <w:rFonts w:hint="eastAsia" w:ascii="仿宋" w:eastAsia="仿宋"/>
          <w:color w:val="000000"/>
          <w:sz w:val="32"/>
          <w:szCs w:val="32"/>
        </w:rPr>
        <w:t>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7万元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229870</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numPr>
          <w:ilvl w:val="0"/>
          <w:numId w:val="3"/>
        </w:numPr>
        <w:spacing w:line="600" w:lineRule="exact"/>
        <w:ind w:firstLine="640"/>
        <w:rPr>
          <w:rFonts w:hint="eastAsia" w:ascii="仿宋_GB2312" w:eastAsia="仿宋_GB2312"/>
          <w:color w:val="auto"/>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w:t>
      </w:r>
    </w:p>
    <w:p>
      <w:pPr>
        <w:numPr>
          <w:ilvl w:val="0"/>
          <w:numId w:val="0"/>
        </w:numPr>
        <w:spacing w:line="600" w:lineRule="exact"/>
        <w:ind w:firstLine="643" w:firstLineChars="200"/>
        <w:rPr>
          <w:rFonts w:ascii="仿宋_GB2312" w:eastAsia="仿宋_GB2312"/>
          <w:b/>
          <w:color w:val="auto"/>
          <w:sz w:val="32"/>
          <w:szCs w:val="32"/>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b w:val="0"/>
          <w:bCs/>
          <w:color w:val="000000"/>
          <w:sz w:val="32"/>
          <w:szCs w:val="32"/>
          <w:lang w:val="en-US" w:eastAsia="zh-CN"/>
        </w:rPr>
        <w:t>7</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hAnsi="仿宋" w:eastAsia="仿宋_GB2312" w:cs="仿宋"/>
          <w:color w:val="000000"/>
          <w:sz w:val="30"/>
          <w:szCs w:val="30"/>
        </w:rPr>
        <w:t>比上年</w:t>
      </w:r>
      <w:r>
        <w:rPr>
          <w:rFonts w:hint="eastAsia" w:ascii="仿宋_GB2312" w:hAnsi="仿宋" w:eastAsia="仿宋_GB2312" w:cs="仿宋"/>
          <w:color w:val="000000"/>
          <w:sz w:val="30"/>
          <w:szCs w:val="30"/>
          <w:lang w:val="en-US" w:eastAsia="zh-CN"/>
        </w:rPr>
        <w:t>增加3.004</w:t>
      </w:r>
      <w:r>
        <w:rPr>
          <w:rFonts w:hint="eastAsia" w:ascii="仿宋_GB2312" w:hAnsi="仿宋" w:eastAsia="仿宋_GB2312" w:cs="仿宋"/>
          <w:color w:val="000000"/>
          <w:sz w:val="30"/>
          <w:szCs w:val="30"/>
        </w:rPr>
        <w:t>万元</w:t>
      </w:r>
      <w:r>
        <w:rPr>
          <w:rFonts w:hint="eastAsia" w:ascii="仿宋_GB2312" w:eastAsia="仿宋_GB2312"/>
          <w:color w:val="auto"/>
          <w:sz w:val="32"/>
          <w:szCs w:val="32"/>
        </w:rPr>
        <w:t>。</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auto"/>
          <w:sz w:val="32"/>
          <w:szCs w:val="32"/>
          <w:lang w:val="en-US" w:eastAsia="zh-CN"/>
        </w:rPr>
        <w:t>7</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spacing w:line="600" w:lineRule="exact"/>
        <w:ind w:firstLine="640"/>
        <w:outlineLvl w:val="1"/>
        <w:rPr>
          <w:rFonts w:hint="eastAsia"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bookmarkStart w:id="46" w:name="_Toc15396610"/>
      <w:bookmarkStart w:id="47" w:name="_Toc15377218"/>
    </w:p>
    <w:p>
      <w:pPr>
        <w:spacing w:line="600" w:lineRule="exact"/>
        <w:ind w:firstLine="640"/>
        <w:outlineLvl w:val="1"/>
        <w:rPr>
          <w:rStyle w:val="21"/>
          <w:rFonts w:ascii="黑体" w:eastAsia="黑体"/>
        </w:rPr>
      </w:pPr>
      <w:r>
        <w:rPr>
          <w:rFonts w:hint="eastAsia" w:ascii="黑体" w:eastAsia="黑体"/>
          <w:color w:val="000000"/>
          <w:sz w:val="32"/>
          <w:szCs w:val="32"/>
        </w:rPr>
        <w:t>八、</w:t>
      </w:r>
      <w:r>
        <w:rPr>
          <w:rStyle w:val="21"/>
          <w:rFonts w:hint="eastAsia" w:ascii="黑体" w:eastAsia="黑体"/>
          <w:b w:val="0"/>
        </w:rPr>
        <w:t>政府性基金预算支出决算情况说明</w:t>
      </w:r>
      <w:bookmarkEnd w:id="46"/>
      <w:bookmarkEnd w:id="47"/>
    </w:p>
    <w:p>
      <w:pPr>
        <w:spacing w:line="600"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1423.17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主要原因为县财政解决</w:t>
      </w:r>
      <w:r>
        <w:rPr>
          <w:rFonts w:hint="eastAsia" w:ascii="仿宋_GB2312" w:eastAsia="仿宋_GB2312"/>
          <w:color w:val="000000"/>
          <w:sz w:val="32"/>
          <w:szCs w:val="32"/>
          <w:lang w:eastAsia="zh-CN"/>
        </w:rPr>
        <w:t>收购双柏树军用土地</w:t>
      </w:r>
      <w:r>
        <w:rPr>
          <w:rFonts w:hint="eastAsia" w:ascii="仿宋_GB2312" w:eastAsia="仿宋_GB2312"/>
          <w:color w:val="000000"/>
          <w:sz w:val="32"/>
          <w:szCs w:val="32"/>
          <w:lang w:val="en-US" w:eastAsia="zh-CN"/>
        </w:rPr>
        <w:t>120.72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勒乌镇龙王庙国有土地使用权收回</w:t>
      </w:r>
      <w:r>
        <w:rPr>
          <w:rFonts w:hint="eastAsia" w:ascii="仿宋_GB2312" w:eastAsia="仿宋_GB2312"/>
          <w:color w:val="000000"/>
          <w:sz w:val="32"/>
          <w:szCs w:val="32"/>
          <w:lang w:val="en-US" w:eastAsia="zh-CN"/>
        </w:rPr>
        <w:t>360.98万元，</w:t>
      </w:r>
      <w:r>
        <w:rPr>
          <w:rFonts w:hint="eastAsia" w:ascii="仿宋_GB2312" w:eastAsia="仿宋_GB2312"/>
          <w:color w:val="000000"/>
          <w:sz w:val="32"/>
          <w:szCs w:val="32"/>
          <w:lang w:eastAsia="zh-CN"/>
        </w:rPr>
        <w:t>金州华府回购款</w:t>
      </w:r>
      <w:r>
        <w:rPr>
          <w:rFonts w:hint="eastAsia" w:ascii="仿宋_GB2312" w:eastAsia="仿宋_GB2312"/>
          <w:color w:val="000000"/>
          <w:sz w:val="32"/>
          <w:szCs w:val="32"/>
          <w:lang w:val="en-US" w:eastAsia="zh-CN"/>
        </w:rPr>
        <w:t>941.47</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numPr>
          <w:ilvl w:val="0"/>
          <w:numId w:val="4"/>
        </w:numPr>
        <w:spacing w:line="600" w:lineRule="exact"/>
        <w:ind w:left="0" w:firstLine="640"/>
        <w:outlineLvl w:val="1"/>
        <w:rPr>
          <w:rStyle w:val="21"/>
          <w:rFonts w:ascii="黑体" w:eastAsia="黑体"/>
          <w:b w:val="0"/>
        </w:rPr>
      </w:pPr>
      <w:bookmarkStart w:id="48" w:name="_Toc15396611"/>
      <w:bookmarkStart w:id="49" w:name="_Toc15377219"/>
      <w:r>
        <w:rPr>
          <w:rStyle w:val="21"/>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Style w:val="26"/>
        <w:numPr>
          <w:ilvl w:val="0"/>
          <w:numId w:val="5"/>
        </w:numPr>
        <w:spacing w:line="580" w:lineRule="exact"/>
        <w:ind w:firstLineChars="0"/>
        <w:rPr>
          <w:rStyle w:val="21"/>
          <w:rFonts w:ascii="黑体" w:eastAsia="黑体"/>
          <w:b w:val="0"/>
        </w:rPr>
      </w:pPr>
      <w:r>
        <w:rPr>
          <w:rStyle w:val="28"/>
          <w:rFonts w:hint="eastAsia" w:ascii="黑体" w:eastAsia="黑体"/>
          <w:b w:val="0"/>
        </w:rPr>
        <w:t>其他重要事项的情况说明</w:t>
      </w:r>
    </w:p>
    <w:p>
      <w:pPr>
        <w:spacing w:line="560" w:lineRule="exact"/>
        <w:ind w:firstLine="643" w:firstLineChars="200"/>
        <w:outlineLvl w:val="2"/>
        <w:rPr>
          <w:rFonts w:hint="eastAsia" w:ascii="仿宋" w:eastAsia="仿宋"/>
          <w:color w:val="000000"/>
          <w:sz w:val="32"/>
          <w:szCs w:val="32"/>
        </w:rPr>
      </w:pPr>
      <w:bookmarkStart w:id="50" w:name="_Toc79163875"/>
      <w:bookmarkStart w:id="51" w:name="_Toc79163625"/>
      <w:r>
        <w:rPr>
          <w:rFonts w:hint="eastAsia" w:ascii="仿宋" w:eastAsia="仿宋"/>
          <w:b/>
          <w:color w:val="000000"/>
          <w:sz w:val="32"/>
          <w:szCs w:val="32"/>
        </w:rPr>
        <w:t>（一）机关运行经费支出情况</w:t>
      </w:r>
      <w:bookmarkEnd w:id="50"/>
      <w:bookmarkEnd w:id="51"/>
    </w:p>
    <w:p>
      <w:pPr>
        <w:autoSpaceDE w:val="0"/>
        <w:autoSpaceDN w:val="0"/>
        <w:adjustRightInd w:val="0"/>
        <w:spacing w:line="560" w:lineRule="exact"/>
        <w:ind w:firstLine="640" w:firstLineChars="200"/>
        <w:jc w:val="left"/>
        <w:outlineLvl w:val="2"/>
        <w:rPr>
          <w:rFonts w:hint="eastAsia" w:ascii="仿宋_GB2312" w:eastAsia="仿宋_GB2312"/>
          <w:color w:val="000000"/>
          <w:sz w:val="32"/>
          <w:szCs w:val="32"/>
          <w:lang w:val="en-US" w:eastAsia="zh-CN"/>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27.68</w:t>
      </w:r>
      <w:r>
        <w:rPr>
          <w:rFonts w:hint="eastAsia" w:ascii="仿宋_GB2312" w:eastAsia="仿宋_GB2312"/>
          <w:color w:val="000000"/>
          <w:sz w:val="32"/>
          <w:szCs w:val="32"/>
        </w:rPr>
        <w:t>万元，比20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增加6.15</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增加28</w:t>
      </w:r>
      <w:bookmarkStart w:id="76" w:name="_GoBack"/>
      <w:bookmarkEnd w:id="76"/>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2021年我单位公务用车减少至1辆，运行维护成本增加，差旅费增加。</w:t>
      </w:r>
      <w:bookmarkStart w:id="52" w:name="_Toc79163876"/>
      <w:bookmarkStart w:id="53" w:name="_Toc79163626"/>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r>
        <w:rPr>
          <w:rFonts w:hint="eastAsia" w:ascii="仿宋" w:eastAsia="仿宋"/>
          <w:b/>
          <w:color w:val="000000"/>
          <w:sz w:val="32"/>
          <w:szCs w:val="32"/>
        </w:rPr>
        <w:t>（二）政府采购支出情况</w:t>
      </w:r>
      <w:bookmarkEnd w:id="52"/>
      <w:bookmarkEnd w:id="53"/>
    </w:p>
    <w:p>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采购支出总额</w:t>
      </w:r>
      <w:r>
        <w:rPr>
          <w:rFonts w:hint="eastAsia" w:ascii="仿宋_GB2312" w:eastAsia="仿宋_GB2312"/>
          <w:color w:val="000000"/>
          <w:sz w:val="32"/>
          <w:szCs w:val="32"/>
          <w:lang w:val="en-US" w:eastAsia="zh-CN"/>
        </w:rPr>
        <w:t>1058.92</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798.71</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260.21</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317.65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317.65</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autoSpaceDE w:val="0"/>
        <w:autoSpaceDN w:val="0"/>
        <w:adjustRightInd w:val="0"/>
        <w:spacing w:line="560" w:lineRule="exact"/>
        <w:ind w:firstLine="643" w:firstLineChars="200"/>
        <w:jc w:val="left"/>
        <w:outlineLvl w:val="2"/>
        <w:rPr>
          <w:rFonts w:hint="eastAsia" w:ascii="仿宋" w:eastAsia="仿宋"/>
          <w:b/>
          <w:color w:val="000000"/>
          <w:sz w:val="32"/>
          <w:szCs w:val="32"/>
        </w:rPr>
      </w:pPr>
      <w:bookmarkStart w:id="54" w:name="_Toc79163627"/>
      <w:bookmarkStart w:id="55" w:name="_Toc79163877"/>
      <w:r>
        <w:rPr>
          <w:rFonts w:hint="eastAsia" w:ascii="仿宋" w:eastAsia="仿宋"/>
          <w:b/>
          <w:color w:val="000000"/>
          <w:sz w:val="32"/>
          <w:szCs w:val="32"/>
        </w:rPr>
        <w:t>（三）国有资产占有使用情况</w:t>
      </w:r>
      <w:bookmarkEnd w:id="54"/>
      <w:bookmarkEnd w:id="55"/>
    </w:p>
    <w:p>
      <w:pPr>
        <w:autoSpaceDE w:val="0"/>
        <w:autoSpaceDN w:val="0"/>
        <w:adjustRightInd w:val="0"/>
        <w:spacing w:line="560" w:lineRule="exact"/>
        <w:ind w:firstLine="640" w:firstLineChars="200"/>
        <w:jc w:val="left"/>
        <w:rPr>
          <w:rFonts w:hint="eastAsia" w:ascii="仿宋" w:eastAsia="仿宋"/>
          <w:b/>
          <w:color w:val="FF0000"/>
          <w:sz w:val="32"/>
          <w:szCs w:val="32"/>
        </w:rPr>
      </w:pPr>
      <w:r>
        <w:rPr>
          <w:rFonts w:hint="eastAsia" w:ascii="仿宋_GB2312" w:eastAsia="仿宋_GB2312"/>
          <w:color w:val="000000"/>
          <w:sz w:val="32"/>
          <w:szCs w:val="32"/>
        </w:rPr>
        <w:t>截至202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年12月31日，</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为</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单价50万元以上通用设备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台，单价100万元以上专用设备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spacing w:line="560" w:lineRule="exact"/>
        <w:ind w:firstLine="643" w:firstLineChars="200"/>
        <w:rPr>
          <w:rFonts w:hint="default" w:ascii="仿宋_GB2312" w:eastAsia="仿宋_GB2312"/>
          <w:color w:val="000000"/>
          <w:sz w:val="32"/>
          <w:szCs w:val="32"/>
          <w:lang w:val="en-US"/>
        </w:rPr>
      </w:pPr>
      <w:bookmarkStart w:id="56" w:name="_Toc79163628"/>
      <w:bookmarkStart w:id="57" w:name="_Toc79163878"/>
      <w:r>
        <w:rPr>
          <w:rFonts w:hint="eastAsia" w:ascii="仿宋" w:eastAsia="仿宋"/>
          <w:b/>
          <w:color w:val="000000"/>
          <w:sz w:val="32"/>
          <w:szCs w:val="32"/>
        </w:rPr>
        <w:t>（四）预算绩效管理情况。</w:t>
      </w:r>
      <w:bookmarkEnd w:id="56"/>
      <w:bookmarkEnd w:id="57"/>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w:t>
      </w:r>
      <w:r>
        <w:rPr>
          <w:rFonts w:hint="eastAsia" w:ascii="仿宋_GB2312" w:eastAsia="仿宋_GB2312" w:cs="仿宋_GB2312"/>
          <w:sz w:val="32"/>
          <w:szCs w:val="32"/>
          <w:lang w:val="en-US" w:eastAsia="zh-CN"/>
        </w:rPr>
        <w:t>我</w:t>
      </w:r>
      <w:r>
        <w:rPr>
          <w:rFonts w:hint="eastAsia" w:ascii="仿宋_GB2312" w:eastAsia="仿宋_GB2312" w:cs="仿宋_GB2312"/>
          <w:sz w:val="32"/>
          <w:szCs w:val="32"/>
        </w:rPr>
        <w:t>单位在年初预算编制阶段，组织对项目开展了预算事前绩效评估，对</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个项目开展了绩效目标完成情况梳理填报。</w:t>
      </w:r>
    </w:p>
    <w:p>
      <w:pPr>
        <w:spacing w:line="580" w:lineRule="exact"/>
        <w:ind w:firstLine="640" w:firstLineChars="200"/>
        <w:rPr>
          <w:rFonts w:ascii="仿宋_GB2312"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w:t>
      </w:r>
      <w:r>
        <w:rPr>
          <w:rFonts w:hint="eastAsia" w:ascii="仿宋_GB2312" w:eastAsia="仿宋_GB2312"/>
          <w:sz w:val="32"/>
          <w:szCs w:val="32"/>
        </w:rPr>
        <w:t>经全面综合评价，我</w:t>
      </w:r>
      <w:r>
        <w:rPr>
          <w:rFonts w:hint="eastAsia" w:ascii="仿宋_GB2312" w:eastAsia="仿宋_GB2312"/>
          <w:sz w:val="32"/>
          <w:szCs w:val="32"/>
          <w:lang w:val="en-US" w:eastAsia="zh-CN"/>
        </w:rPr>
        <w:t>单位</w:t>
      </w:r>
      <w:r>
        <w:rPr>
          <w:rFonts w:hint="eastAsia" w:ascii="仿宋_GB2312" w:eastAsia="仿宋_GB2312"/>
          <w:sz w:val="32"/>
          <w:szCs w:val="32"/>
          <w:lang w:eastAsia="zh-CN"/>
        </w:rPr>
        <w:t>预算</w:t>
      </w:r>
      <w:r>
        <w:rPr>
          <w:rFonts w:hint="eastAsia" w:ascii="仿宋_GB2312" w:eastAsia="仿宋_GB2312"/>
          <w:sz w:val="32"/>
          <w:szCs w:val="32"/>
        </w:rPr>
        <w:t>支出绩效自评得分</w:t>
      </w:r>
      <w:r>
        <w:rPr>
          <w:rFonts w:hint="eastAsia" w:ascii="仿宋_GB2312" w:eastAsia="仿宋_GB2312"/>
          <w:sz w:val="32"/>
          <w:szCs w:val="32"/>
          <w:lang w:val="en-US" w:eastAsia="zh-CN"/>
        </w:rPr>
        <w:t>95</w:t>
      </w:r>
      <w:r>
        <w:rPr>
          <w:rFonts w:hint="eastAsia" w:ascii="仿宋_GB2312" w:eastAsia="仿宋_GB2312"/>
          <w:color w:val="000000"/>
          <w:sz w:val="32"/>
          <w:szCs w:val="32"/>
        </w:rPr>
        <w:t>分</w:t>
      </w:r>
      <w:r>
        <w:rPr>
          <w:rFonts w:hint="eastAsia" w:ascii="仿宋_GB2312" w:eastAsia="仿宋_GB2312"/>
          <w:sz w:val="32"/>
          <w:szCs w:val="32"/>
        </w:rPr>
        <w:t>。</w:t>
      </w:r>
      <w:r>
        <w:rPr>
          <w:rFonts w:hint="eastAsia" w:ascii="仿宋_GB2312" w:eastAsia="仿宋_GB2312"/>
          <w:sz w:val="32"/>
          <w:szCs w:val="32"/>
          <w:lang w:eastAsia="zh-CN"/>
        </w:rPr>
        <w:t>我单位深入贯彻落实十九大关于“全面实施绩效管理”的要求，努力提升本单位绩效预算管理业务水平。主动公开绩效结果，加大资金使用效率，提升政府管理水平。及时告知</w:t>
      </w:r>
      <w:r>
        <w:rPr>
          <w:rFonts w:hint="eastAsia" w:ascii="仿宋_GB2312" w:eastAsia="仿宋_GB2312"/>
          <w:sz w:val="32"/>
          <w:szCs w:val="32"/>
        </w:rPr>
        <w:t>各部门（科室）部门预算及</w:t>
      </w:r>
      <w:r>
        <w:rPr>
          <w:rFonts w:hint="eastAsia" w:ascii="仿宋_GB2312" w:eastAsia="仿宋_GB2312"/>
          <w:sz w:val="32"/>
          <w:szCs w:val="32"/>
          <w:lang w:eastAsia="zh-CN"/>
        </w:rPr>
        <w:t>项目支出进度</w:t>
      </w:r>
      <w:r>
        <w:rPr>
          <w:rFonts w:hint="eastAsia" w:ascii="仿宋_GB2312" w:eastAsia="仿宋_GB2312" w:cs="仿宋_GB2312"/>
          <w:sz w:val="32"/>
          <w:szCs w:val="32"/>
        </w:rPr>
        <w:t>。本</w:t>
      </w:r>
      <w:r>
        <w:rPr>
          <w:rFonts w:hint="eastAsia" w:ascii="仿宋_GB2312" w:eastAsia="仿宋_GB2312" w:cs="仿宋_GB2312"/>
          <w:sz w:val="32"/>
          <w:szCs w:val="32"/>
          <w:lang w:val="en-US" w:eastAsia="zh-CN"/>
        </w:rPr>
        <w:t>单位</w:t>
      </w:r>
      <w:r>
        <w:rPr>
          <w:rFonts w:hint="eastAsia" w:ascii="仿宋_GB2312" w:eastAsia="仿宋_GB2312" w:cs="仿宋_GB2312"/>
          <w:sz w:val="32"/>
          <w:szCs w:val="32"/>
        </w:rPr>
        <w:t>还自行组织了</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个项目绩效评价，从评价情况来看</w:t>
      </w:r>
      <w:r>
        <w:rPr>
          <w:rFonts w:hint="eastAsia" w:ascii="仿宋_GB2312" w:eastAsia="仿宋_GB2312" w:cs="仿宋_GB2312"/>
          <w:sz w:val="32"/>
          <w:szCs w:val="32"/>
          <w:lang w:val="en-US" w:eastAsia="zh-CN"/>
        </w:rPr>
        <w:t>我单位年初预算项目基本按照绩效目标完成支付，有部分项目资金在下年质保期后进行支付。</w:t>
      </w:r>
    </w:p>
    <w:p>
      <w:pPr>
        <w:numPr>
          <w:ilvl w:val="0"/>
          <w:numId w:val="0"/>
        </w:numPr>
        <w:tabs>
          <w:tab w:val="left" w:pos="0"/>
        </w:tabs>
        <w:spacing w:line="580" w:lineRule="exact"/>
        <w:ind w:firstLine="640" w:firstLineChars="200"/>
        <w:jc w:val="left"/>
        <w:rPr>
          <w:rFonts w:hint="eastAsia" w:ascii="仿宋_GB2312" w:eastAsia="仿宋_GB2312" w:cs="仿宋_GB2312"/>
          <w:sz w:val="32"/>
          <w:szCs w:val="32"/>
        </w:rPr>
      </w:pPr>
      <w:r>
        <w:rPr>
          <w:rFonts w:hint="eastAsia" w:ascii="仿宋" w:eastAsia="仿宋" w:cs="楷体_GB2312"/>
          <w:b w:val="0"/>
          <w:bCs w:val="0"/>
          <w:sz w:val="32"/>
          <w:szCs w:val="32"/>
          <w:lang w:eastAsia="zh-CN"/>
        </w:rPr>
        <w:t>（</w:t>
      </w:r>
      <w:r>
        <w:rPr>
          <w:rFonts w:hint="eastAsia" w:ascii="仿宋" w:eastAsia="仿宋" w:cs="楷体_GB2312"/>
          <w:b w:val="0"/>
          <w:bCs w:val="0"/>
          <w:sz w:val="32"/>
          <w:szCs w:val="32"/>
          <w:lang w:val="en-US" w:eastAsia="zh-CN"/>
        </w:rPr>
        <w:t>1</w:t>
      </w:r>
      <w:r>
        <w:rPr>
          <w:rFonts w:hint="eastAsia" w:ascii="仿宋" w:eastAsia="仿宋" w:cs="楷体_GB2312"/>
          <w:b w:val="0"/>
          <w:bCs w:val="0"/>
          <w:sz w:val="32"/>
          <w:szCs w:val="32"/>
          <w:lang w:eastAsia="zh-CN"/>
        </w:rPr>
        <w:t>）</w:t>
      </w:r>
      <w:r>
        <w:rPr>
          <w:rFonts w:hint="eastAsia" w:ascii="仿宋" w:eastAsia="仿宋" w:cs="楷体_GB2312"/>
          <w:b w:val="0"/>
          <w:bCs w:val="0"/>
          <w:sz w:val="32"/>
          <w:szCs w:val="32"/>
        </w:rPr>
        <w:t>项目绩效目标完成情况。</w:t>
      </w:r>
    </w:p>
    <w:p>
      <w:pPr>
        <w:numPr>
          <w:ilvl w:val="0"/>
          <w:numId w:val="0"/>
        </w:numPr>
        <w:tabs>
          <w:tab w:val="left" w:pos="0"/>
        </w:tabs>
        <w:spacing w:line="580" w:lineRule="exact"/>
        <w:ind w:firstLine="640" w:firstLineChars="200"/>
        <w:jc w:val="left"/>
        <w:rPr>
          <w:rFonts w:hint="eastAsia" w:ascii="仿宋_GB2312" w:eastAsia="仿宋_GB2312" w:cs="仿宋_GB2312"/>
          <w:sz w:val="32"/>
          <w:szCs w:val="32"/>
        </w:rPr>
      </w:pPr>
      <w:r>
        <w:rPr>
          <w:rFonts w:hint="eastAsia" w:ascii="仿宋_GB2312" w:eastAsia="仿宋_GB2312" w:cs="仿宋_GB2312"/>
          <w:sz w:val="32"/>
          <w:szCs w:val="32"/>
        </w:rPr>
        <w:t>本部门在20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val="en-US" w:eastAsia="zh-CN"/>
        </w:rPr>
        <w:t>金川县59处地质灾害群专结合项目</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等3个项目绩效目标实</w:t>
      </w:r>
      <w:r>
        <w:rPr>
          <w:rFonts w:hint="eastAsia" w:ascii="仿宋_GB2312" w:eastAsia="仿宋_GB2312" w:cs="仿宋_GB2312"/>
          <w:sz w:val="32"/>
          <w:szCs w:val="32"/>
        </w:rPr>
        <w:t>际完成情况。</w:t>
      </w:r>
    </w:p>
    <w:p>
      <w:pPr>
        <w:adjustRightInd w:val="0"/>
        <w:snapToGrid w:val="0"/>
        <w:spacing w:line="600" w:lineRule="exact"/>
        <w:ind w:firstLine="320" w:firstLineChars="100"/>
        <w:rPr>
          <w:rFonts w:ascii="仿宋_GB2312" w:eastAsia="仿宋_GB2312" w:cs="仿宋_GB2312"/>
          <w:sz w:val="32"/>
          <w:szCs w:val="32"/>
          <w:lang w:val="en-US" w:eastAsia="zh-CN"/>
        </w:rPr>
      </w:pPr>
      <w:r>
        <w:rPr>
          <w:rFonts w:hint="eastAsia" w:ascii="仿宋_GB2312" w:eastAsia="仿宋_GB2312" w:cs="仿宋_GB2312"/>
          <w:sz w:val="32"/>
          <w:szCs w:val="32"/>
          <w:lang w:val="en-US" w:eastAsia="zh-CN"/>
        </w:rPr>
        <w:t>1.“金川县59处地质灾害群专结合及3处地质灾害治理项目”项目绩效目标完成</w:t>
      </w:r>
      <w:r>
        <w:rPr>
          <w:rFonts w:hint="eastAsia" w:ascii="仿宋_GB2312" w:eastAsia="仿宋_GB2312" w:cs="仿宋_GB2312"/>
          <w:sz w:val="32"/>
          <w:szCs w:val="32"/>
        </w:rPr>
        <w:t>情况综述。</w:t>
      </w:r>
      <w:r>
        <w:rPr>
          <w:rFonts w:hint="eastAsia" w:ascii="仿宋_GB2312" w:hAnsi="Times New Roman" w:eastAsia="仿宋_GB2312" w:cs="仿宋_GB2312"/>
          <w:sz w:val="32"/>
          <w:szCs w:val="32"/>
          <w:lang w:val="en-US" w:eastAsia="zh-CN"/>
        </w:rPr>
        <w:t>项目计划投资</w:t>
      </w:r>
      <w:r>
        <w:rPr>
          <w:rFonts w:hint="eastAsia" w:ascii="仿宋_GB2312" w:eastAsia="仿宋_GB2312" w:cs="仿宋_GB2312"/>
          <w:sz w:val="32"/>
          <w:szCs w:val="32"/>
          <w:lang w:val="en-US" w:eastAsia="zh-CN"/>
        </w:rPr>
        <w:t>462</w:t>
      </w:r>
      <w:r>
        <w:rPr>
          <w:rFonts w:hint="eastAsia" w:ascii="仿宋_GB2312" w:hAnsi="Times New Roman" w:eastAsia="仿宋_GB2312" w:cs="仿宋_GB2312"/>
          <w:sz w:val="32"/>
          <w:szCs w:val="32"/>
          <w:lang w:val="en-US" w:eastAsia="zh-CN"/>
        </w:rPr>
        <w:t>万元，资金来源</w:t>
      </w:r>
      <w:r>
        <w:rPr>
          <w:rFonts w:hint="eastAsia" w:ascii="仿宋_GB2312" w:eastAsia="仿宋_GB2312" w:cs="仿宋_GB2312"/>
          <w:sz w:val="32"/>
          <w:szCs w:val="32"/>
          <w:lang w:val="en-US" w:eastAsia="zh-CN"/>
        </w:rPr>
        <w:t>省级专项</w:t>
      </w:r>
      <w:r>
        <w:rPr>
          <w:rFonts w:hint="eastAsia" w:ascii="仿宋_GB2312" w:hAnsi="Times New Roman" w:eastAsia="仿宋_GB2312" w:cs="仿宋_GB2312"/>
          <w:sz w:val="32"/>
          <w:szCs w:val="32"/>
          <w:lang w:val="en-US" w:eastAsia="zh-CN"/>
        </w:rPr>
        <w:t>资金。</w:t>
      </w:r>
      <w:r>
        <w:rPr>
          <w:rFonts w:hint="eastAsia" w:ascii="仿宋_GB2312" w:eastAsia="仿宋_GB2312" w:cs="仿宋_GB2312"/>
          <w:sz w:val="32"/>
          <w:szCs w:val="32"/>
        </w:rPr>
        <w:t>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tbl>
      <w:tblPr>
        <w:tblStyle w:val="19"/>
        <w:tblpPr w:leftFromText="180" w:rightFromText="180" w:vertAnchor="text" w:horzAnchor="page" w:tblpX="1452" w:tblpY="-10378"/>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6"/>
            <w:tcMar>
              <w:top w:w="15" w:type="dxa"/>
              <w:left w:w="15" w:type="dxa"/>
              <w:right w:w="15" w:type="dxa"/>
            </w:tcMar>
            <w:vAlign w:val="center"/>
          </w:tcPr>
          <w:p>
            <w:pPr>
              <w:pStyle w:val="26"/>
              <w:widowControl/>
              <w:ind w:left="4173" w:leftChars="1310" w:hanging="1422" w:hangingChars="395"/>
              <w:textAlignment w:val="center"/>
              <w:rPr>
                <w:rFonts w:ascii="宋体" w:cs="宋体"/>
                <w:color w:val="000000"/>
                <w:sz w:val="36"/>
                <w:szCs w:val="36"/>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val="en-US" w:eastAsia="zh-CN"/>
              </w:rPr>
              <w:t>金川县59处地质灾害群专结合及3处地质灾害治理项目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金川县自然资源局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462万元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382.21万元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462万元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382.21万元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both"/>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仿宋_GB2312" w:eastAsia="仿宋_GB2312" w:cs="仿宋_GB2312"/>
                <w:sz w:val="32"/>
                <w:szCs w:val="32"/>
                <w:lang w:val="en-US" w:eastAsia="zh-CN"/>
              </w:rPr>
              <w:t>59处地质灾害群专结合及3处地质灾害治理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基本实现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完成3处泥石流治理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宋体"/>
                <w:lang w:val="en-US" w:eastAsia="zh-CN"/>
              </w:rPr>
              <w:t>＞1500平方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color w:val="000000"/>
                <w:sz w:val="24"/>
                <w:lang w:val="en-US"/>
              </w:rPr>
            </w:pPr>
            <w:r>
              <w:rPr>
                <w:rFonts w:hint="eastAsia" w:ascii="仿宋_GB2312" w:hAnsi="宋体"/>
                <w:lang w:val="en-US" w:eastAsia="zh-CN"/>
              </w:rPr>
              <w:t>＞1500平方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2021年12月31日前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rPr>
            </w:pPr>
            <w:r>
              <w:rPr>
                <w:rFonts w:hint="eastAsia" w:ascii="仿宋_GB2312" w:hAnsi="宋体"/>
                <w:lang w:val="en-US" w:eastAsia="zh-CN"/>
              </w:rPr>
              <w:t>＞1500平方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rPr>
            </w:pPr>
            <w:r>
              <w:rPr>
                <w:rFonts w:hint="eastAsia" w:ascii="宋体" w:cs="宋体"/>
                <w:color w:val="000000"/>
                <w:sz w:val="24"/>
                <w:lang w:val="en-US" w:eastAsia="zh-CN"/>
              </w:rPr>
              <w:t>控制成本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材料、人工等费用控制在462万元以内</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lang w:val="en-US"/>
              </w:rPr>
            </w:pPr>
            <w:r>
              <w:rPr>
                <w:rFonts w:hint="eastAsia" w:ascii="宋体" w:cs="宋体"/>
                <w:color w:val="000000"/>
                <w:sz w:val="24"/>
                <w:lang w:val="en-US" w:eastAsia="zh-CN"/>
              </w:rPr>
              <w:t>≤462万元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val="en-US" w:eastAsia="zh-CN"/>
              </w:rPr>
              <w:t>满意</w:t>
            </w:r>
          </w:p>
        </w:tc>
      </w:tr>
    </w:tbl>
    <w:p>
      <w:pPr>
        <w:spacing w:line="580" w:lineRule="exact"/>
        <w:ind w:left="0" w:firstLine="640" w:firstLineChars="200"/>
        <w:rPr>
          <w:rFonts w:hint="eastAsia" w:ascii="仿宋_GB2312" w:eastAsia="仿宋_GB2312" w:cs="仿宋_GB2312"/>
          <w:sz w:val="32"/>
          <w:szCs w:val="32"/>
          <w:lang w:val="en-US" w:eastAsia="zh-CN"/>
        </w:rPr>
      </w:pPr>
    </w:p>
    <w:p>
      <w:pPr>
        <w:numPr>
          <w:ilvl w:val="0"/>
          <w:numId w:val="0"/>
        </w:numPr>
        <w:adjustRightInd w:val="0"/>
        <w:snapToGrid w:val="0"/>
        <w:spacing w:line="600" w:lineRule="exact"/>
        <w:ind w:firstLine="320" w:firstLineChars="100"/>
        <w:rPr>
          <w:rFonts w:hint="eastAsia" w:ascii="仿宋_GB2312" w:hAnsi="Times New Roman" w:eastAsia="仿宋_GB2312" w:cs="仿宋_GB2312"/>
          <w:sz w:val="32"/>
          <w:szCs w:val="32"/>
          <w:lang w:val="en-US" w:eastAsia="zh-CN"/>
        </w:rPr>
      </w:pPr>
      <w:r>
        <w:rPr>
          <w:rFonts w:hint="eastAsia" w:ascii="仿宋_GB2312" w:eastAsia="仿宋_GB2312" w:cs="仿宋_GB2312"/>
          <w:sz w:val="32"/>
          <w:szCs w:val="32"/>
          <w:lang w:val="en-US" w:eastAsia="zh-CN"/>
        </w:rPr>
        <w:t>2.“550处群专结合专职监测、卡拉脚乡玛目都村地质灾害治理、卡撒猫碉排危除险项目”</w:t>
      </w:r>
      <w:r>
        <w:rPr>
          <w:rFonts w:hint="eastAsia" w:ascii="仿宋_GB2312" w:hAnsi="Times New Roman" w:eastAsia="仿宋_GB2312" w:cs="仿宋_GB2312"/>
          <w:sz w:val="32"/>
          <w:szCs w:val="32"/>
          <w:lang w:val="en-US" w:eastAsia="zh-CN"/>
        </w:rPr>
        <w:t>项目计划投资</w:t>
      </w:r>
      <w:r>
        <w:rPr>
          <w:rFonts w:hint="eastAsia" w:ascii="仿宋_GB2312" w:eastAsia="仿宋_GB2312" w:cs="仿宋_GB2312"/>
          <w:sz w:val="32"/>
          <w:szCs w:val="32"/>
          <w:lang w:val="en-US" w:eastAsia="zh-CN"/>
        </w:rPr>
        <w:t>602</w:t>
      </w:r>
      <w:r>
        <w:rPr>
          <w:rFonts w:hint="eastAsia" w:ascii="仿宋_GB2312" w:hAnsi="Times New Roman" w:eastAsia="仿宋_GB2312" w:cs="仿宋_GB2312"/>
          <w:sz w:val="32"/>
          <w:szCs w:val="32"/>
          <w:lang w:val="en-US" w:eastAsia="zh-CN"/>
        </w:rPr>
        <w:t>万元，资金来源</w:t>
      </w:r>
      <w:r>
        <w:rPr>
          <w:rFonts w:hint="eastAsia" w:ascii="仿宋_GB2312" w:eastAsia="仿宋_GB2312" w:cs="仿宋_GB2312"/>
          <w:sz w:val="32"/>
          <w:szCs w:val="32"/>
          <w:lang w:val="en-US" w:eastAsia="zh-CN"/>
        </w:rPr>
        <w:t>省级专项</w:t>
      </w:r>
      <w:r>
        <w:rPr>
          <w:rFonts w:hint="eastAsia" w:ascii="仿宋_GB2312" w:hAnsi="Times New Roman" w:eastAsia="仿宋_GB2312" w:cs="仿宋_GB2312"/>
          <w:sz w:val="32"/>
          <w:szCs w:val="32"/>
          <w:lang w:val="en-US" w:eastAsia="zh-CN"/>
        </w:rPr>
        <w:t>资金。</w:t>
      </w:r>
      <w:r>
        <w:rPr>
          <w:rFonts w:hint="eastAsia" w:ascii="仿宋_GB2312" w:eastAsia="仿宋_GB2312" w:cs="仿宋_GB2312"/>
          <w:sz w:val="32"/>
          <w:szCs w:val="32"/>
        </w:rPr>
        <w:t>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r>
        <w:rPr>
          <w:rFonts w:hint="eastAsia" w:ascii="仿宋_GB2312" w:hAnsi="Times New Roman" w:eastAsia="仿宋_GB2312" w:cs="仿宋_GB2312"/>
          <w:sz w:val="32"/>
          <w:szCs w:val="32"/>
          <w:lang w:val="en-US" w:eastAsia="zh-CN"/>
        </w:rPr>
        <w:t>项目计划工期两年。</w:t>
      </w:r>
    </w:p>
    <w:tbl>
      <w:tblPr>
        <w:tblStyle w:val="19"/>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56"/>
        <w:gridCol w:w="2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tcMar>
              <w:top w:w="15" w:type="dxa"/>
              <w:left w:w="15" w:type="dxa"/>
              <w:right w:w="15" w:type="dxa"/>
            </w:tcMar>
            <w:vAlign w:val="center"/>
          </w:tcPr>
          <w:p>
            <w:pPr>
              <w:pStyle w:val="26"/>
              <w:widowControl/>
              <w:ind w:left="4173" w:leftChars="1310" w:hanging="1422" w:hangingChars="395"/>
              <w:textAlignment w:val="center"/>
              <w:rPr>
                <w:rFonts w:hint="eastAsia" w:ascii="宋体" w:cs="宋体"/>
                <w:color w:val="000000"/>
                <w:sz w:val="36"/>
                <w:szCs w:val="36"/>
                <w:lang w:bidi="ar-SA"/>
              </w:rPr>
            </w:pPr>
            <w:r>
              <w:rPr>
                <w:rFonts w:hint="eastAsia" w:ascii="黑体" w:eastAsia="黑体" w:cs="宋体"/>
                <w:bCs/>
                <w:color w:val="000000"/>
                <w:kern w:val="0"/>
                <w:sz w:val="36"/>
                <w:szCs w:val="36"/>
              </w:rPr>
              <w:t>项目支出绩效目标完成情况表</w:t>
            </w:r>
            <w:r>
              <w:rPr>
                <w:rFonts w:hint="eastAsia" w:ascii="宋体" w:cs="宋体"/>
                <w:b/>
                <w:bCs/>
                <w:color w:val="000000"/>
                <w:kern w:val="0"/>
                <w:sz w:val="36"/>
                <w:szCs w:val="36"/>
              </w:rPr>
              <w:br w:type="textWrapping"/>
            </w:r>
            <w:r>
              <w:rPr>
                <w:rFonts w:hint="eastAsia" w:ascii="宋体" w:cs="宋体"/>
                <w:color w:val="000000"/>
                <w:kern w:val="0"/>
                <w:sz w:val="36"/>
                <w:szCs w:val="36"/>
              </w:rPr>
              <w:t>(20</w:t>
            </w:r>
            <w:r>
              <w:rPr>
                <w:rFonts w:hint="eastAsia" w:ascii="宋体" w:cs="宋体"/>
                <w:color w:val="000000"/>
                <w:kern w:val="0"/>
                <w:sz w:val="36"/>
                <w:szCs w:val="36"/>
                <w:lang w:val="en-US" w:eastAsia="zh-CN"/>
              </w:rPr>
              <w:t>21</w:t>
            </w:r>
            <w:r>
              <w:rPr>
                <w:rFonts w:hint="eastAsia" w:ascii="宋体" w:cs="宋体"/>
                <w:color w:val="000000"/>
                <w:kern w:val="0"/>
                <w:sz w:val="36"/>
                <w:szCs w:val="36"/>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仿宋_GB2312" w:eastAsia="仿宋_GB2312" w:cs="仿宋_GB2312"/>
                <w:sz w:val="32"/>
                <w:szCs w:val="32"/>
                <w:lang w:val="en-US" w:eastAsia="zh-CN"/>
              </w:rPr>
              <w:t>550处群专结合专职监测、卡拉脚乡玛目都村地质灾害治理、卡撒猫碉排危除险项目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hint="eastAsia" w:ascii="宋体" w:cs="宋体"/>
                <w:color w:val="000000"/>
                <w:sz w:val="24"/>
                <w:lang w:val="en-US" w:eastAsia="zh-CN" w:bidi="ar-SA"/>
              </w:rPr>
              <w:t>金川县自然资源局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仿宋_GB2312" w:hAnsi="宋体"/>
                <w:lang w:val="en-US" w:eastAsia="zh-CN"/>
              </w:rPr>
              <w:t>602</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hAnsi="宋体"/>
                <w:sz w:val="18"/>
                <w:szCs w:val="18"/>
                <w:lang w:val="en-US" w:eastAsia="zh-CN"/>
              </w:rPr>
              <w:t>552.94万元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仿宋_GB2312" w:hAnsi="宋体"/>
                <w:lang w:val="en-US" w:eastAsia="zh-CN"/>
              </w:rPr>
              <w:t>602</w:t>
            </w:r>
            <w:r>
              <w:rPr>
                <w:rFonts w:hint="eastAsia" w:ascii="宋体" w:cs="宋体"/>
                <w:color w:val="000000"/>
                <w:sz w:val="24"/>
                <w:lang w:bidi="ar-SA"/>
              </w:rPr>
              <w:t>万</w:t>
            </w:r>
            <w:r>
              <w:rPr>
                <w:rFonts w:hint="eastAsia" w:ascii="宋体" w:cs="宋体"/>
                <w:color w:val="000000"/>
                <w:sz w:val="24"/>
                <w:lang w:val="en-US" w:eastAsia="zh-CN" w:bidi="ar-SA"/>
              </w:rPr>
              <w:t>元</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552.94</w:t>
            </w:r>
            <w:r>
              <w:rPr>
                <w:rFonts w:hint="eastAsia" w:ascii="宋体" w:cs="宋体"/>
                <w:color w:val="000000"/>
                <w:sz w:val="24"/>
                <w:lang w:bidi="ar-SA"/>
              </w:rPr>
              <w:t>万</w:t>
            </w:r>
            <w:r>
              <w:rPr>
                <w:rFonts w:hint="eastAsia" w:ascii="宋体" w:cs="宋体"/>
                <w:color w:val="000000"/>
                <w:sz w:val="24"/>
                <w:lang w:val="en-US" w:eastAsia="zh-CN" w:bidi="ar-SA"/>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其它资金:</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hint="eastAsia" w:ascii="宋体" w:cs="宋体"/>
                <w:color w:val="000000"/>
                <w:sz w:val="24"/>
                <w:lang w:bidi="ar-SA"/>
              </w:rPr>
            </w:pPr>
            <w:r>
              <w:rPr>
                <w:rFonts w:hint="eastAsia" w:ascii="宋体" w:cs="宋体"/>
                <w:color w:val="000000"/>
                <w:sz w:val="24"/>
                <w:lang w:bidi="ar-SA"/>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完成我县550处群专结合专职监测、卡拉脚乡玛目都村地质灾害治理、卡撒猫碉三组滑坡排危除险。</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eastAsia="zh-CN" w:bidi="ar-SA"/>
              </w:rPr>
              <w:t>按计划保质保量完</w:t>
            </w:r>
            <w:r>
              <w:rPr>
                <w:rFonts w:hint="eastAsia" w:ascii="宋体" w:hAnsi="Times New Roman" w:cs="宋体"/>
                <w:color w:val="000000"/>
                <w:sz w:val="24"/>
                <w:lang w:eastAsia="zh-CN" w:bidi="ar-SA"/>
              </w:rPr>
              <w:t>成</w:t>
            </w:r>
            <w:r>
              <w:rPr>
                <w:rFonts w:hint="eastAsia" w:ascii="宋体" w:hAnsi="Times New Roman" w:cs="宋体"/>
                <w:color w:val="000000"/>
                <w:sz w:val="24"/>
                <w:lang w:val="en-US" w:eastAsia="zh-CN" w:bidi="ar-SA"/>
              </w:rPr>
              <w:t>了</w:t>
            </w:r>
            <w:r>
              <w:rPr>
                <w:rFonts w:hint="eastAsia" w:ascii="宋体" w:cs="宋体"/>
                <w:color w:val="000000"/>
                <w:sz w:val="24"/>
                <w:lang w:val="en-US" w:eastAsia="zh-CN" w:bidi="ar-SA"/>
              </w:rPr>
              <w:t>次三个地质灾害项目，</w:t>
            </w:r>
            <w:r>
              <w:rPr>
                <w:rFonts w:hint="eastAsia" w:ascii="宋体" w:hAnsi="Times New Roman" w:cs="宋体"/>
                <w:color w:val="000000"/>
                <w:sz w:val="24"/>
                <w:lang w:val="en-US" w:eastAsia="zh-CN" w:bidi="ar-SA"/>
              </w:rPr>
              <w:t>质量为合格</w:t>
            </w:r>
            <w:r>
              <w:rPr>
                <w:rFonts w:hint="eastAsia" w:ascii="宋体" w:hAnsi="Times New Roman" w:cs="宋体"/>
                <w:color w:val="000000"/>
                <w:sz w:val="24"/>
                <w:lang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eastAsia="zh-CN" w:bidi="ar-SA"/>
              </w:rPr>
            </w:pPr>
            <w:r>
              <w:rPr>
                <w:rFonts w:hint="eastAsia" w:ascii="宋体" w:cs="宋体"/>
                <w:color w:val="000000"/>
                <w:sz w:val="24"/>
                <w:lang w:val="en-US" w:eastAsia="zh-CN" w:bidi="ar-SA"/>
              </w:rPr>
              <w:t>群专结合专职监测</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550处</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eastAsia="zh-CN" w:bidi="ar-SA"/>
              </w:rPr>
              <w:t>质量</w:t>
            </w:r>
            <w:r>
              <w:rPr>
                <w:rFonts w:hint="eastAsia" w:ascii="宋体" w:cs="宋体"/>
                <w:color w:val="000000"/>
                <w:sz w:val="24"/>
                <w:lang w:bidi="ar-SA"/>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验收合格率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cs="宋体"/>
                <w:b/>
                <w:bCs/>
                <w:color w:val="000000"/>
                <w:sz w:val="24"/>
                <w:lang w:val="en-US" w:bidi="ar-SA"/>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社会效益指标</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bidi w:val="0"/>
              <w:ind w:firstLine="420" w:firstLineChars="200"/>
            </w:pPr>
            <w:r>
              <w:rPr>
                <w:rFonts w:hint="eastAsia"/>
                <w:lang w:val="en-US" w:eastAsia="zh-CN"/>
              </w:rPr>
              <w:t>治理泥石流带来的地质灾害</w:t>
            </w:r>
            <w:r>
              <w:t>，</w:t>
            </w:r>
            <w:r>
              <w:rPr>
                <w:rFonts w:hint="eastAsia"/>
                <w:lang w:val="en-US" w:eastAsia="zh-CN"/>
              </w:rPr>
              <w:t>遏制水土流失，</w:t>
            </w:r>
            <w:r>
              <w:t>积极</w:t>
            </w:r>
            <w:r>
              <w:rPr>
                <w:rFonts w:hint="eastAsia"/>
                <w:lang w:val="en-US" w:eastAsia="zh-CN"/>
              </w:rPr>
              <w:t>恢复</w:t>
            </w:r>
            <w:r>
              <w:t>，提高环境容量，促进生态良性循环。</w:t>
            </w:r>
          </w:p>
          <w:p>
            <w:pPr>
              <w:widowControl/>
              <w:jc w:val="center"/>
              <w:textAlignment w:val="center"/>
              <w:rPr>
                <w:rFonts w:hint="eastAsia" w:ascii="宋体" w:cs="宋体"/>
                <w:color w:val="000000"/>
                <w:sz w:val="24"/>
                <w:lang w:bidi="ar-SA"/>
              </w:rPr>
            </w:pP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lang w:val="en-US" w:eastAsia="zh-CN"/>
              </w:rPr>
              <w:t>治理泥石流带来的地质灾害</w:t>
            </w:r>
            <w:r>
              <w:t>，</w:t>
            </w:r>
            <w:r>
              <w:rPr>
                <w:rFonts w:hint="eastAsia"/>
                <w:lang w:val="en-US" w:eastAsia="zh-CN"/>
              </w:rPr>
              <w:t>遏制水土流失，</w:t>
            </w:r>
            <w:r>
              <w:t>积极</w:t>
            </w:r>
            <w:r>
              <w:rPr>
                <w:rFonts w:hint="eastAsia"/>
                <w:lang w:val="en-US" w:eastAsia="zh-CN"/>
              </w:rPr>
              <w:t>恢复</w:t>
            </w:r>
            <w:r>
              <w:t>，提高环境容量，促进生态良性循环。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bidi="ar-SA"/>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eastAsia="宋体" w:cs="宋体"/>
                <w:color w:val="000000"/>
                <w:sz w:val="24"/>
                <w:lang w:val="en-US" w:eastAsia="zh-CN" w:bidi="ar-SA"/>
              </w:rPr>
            </w:pPr>
            <w:r>
              <w:rPr>
                <w:rFonts w:hint="eastAsia" w:ascii="宋体" w:cs="宋体"/>
                <w:color w:val="000000"/>
                <w:sz w:val="24"/>
                <w:lang w:val="en-US" w:eastAsia="zh-CN" w:bidi="ar-SA"/>
              </w:rPr>
              <w:t>收益群众</w:t>
            </w:r>
            <w:r>
              <w:rPr>
                <w:rFonts w:hint="eastAsia" w:ascii="宋体" w:cs="宋体"/>
                <w:color w:val="000000"/>
                <w:sz w:val="24"/>
                <w:lang w:bidi="ar-SA"/>
              </w:rPr>
              <w:t>满意</w:t>
            </w:r>
            <w:r>
              <w:rPr>
                <w:rFonts w:hint="eastAsia" w:ascii="宋体" w:cs="宋体"/>
                <w:color w:val="000000"/>
                <w:sz w:val="24"/>
                <w:lang w:val="en-US" w:eastAsia="zh-CN" w:bidi="ar-SA"/>
              </w:rPr>
              <w:t>度</w:t>
            </w:r>
          </w:p>
        </w:tc>
        <w:tc>
          <w:tcPr>
            <w:tcW w:w="235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eastAsia="宋体" w:cs="宋体"/>
                <w:color w:val="000000"/>
                <w:sz w:val="24"/>
                <w:lang w:val="en-US" w:eastAsia="zh-CN" w:bidi="ar-SA"/>
              </w:rPr>
            </w:pPr>
            <w:r>
              <w:rPr>
                <w:rFonts w:hint="eastAsia" w:ascii="宋体" w:cs="宋体"/>
                <w:color w:val="000000"/>
                <w:sz w:val="24"/>
                <w:lang w:val="en-US" w:eastAsia="zh-CN" w:bidi="ar-SA"/>
              </w:rPr>
              <w:t>≥100%</w:t>
            </w:r>
          </w:p>
        </w:tc>
        <w:tc>
          <w:tcPr>
            <w:tcW w:w="243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cs="宋体"/>
                <w:color w:val="000000"/>
                <w:sz w:val="24"/>
                <w:lang w:bidi="ar-SA"/>
              </w:rPr>
            </w:pPr>
            <w:r>
              <w:rPr>
                <w:rFonts w:hint="eastAsia" w:ascii="宋体" w:cs="宋体"/>
                <w:color w:val="000000"/>
                <w:sz w:val="24"/>
                <w:lang w:val="en-US" w:eastAsia="zh-CN" w:bidi="ar-SA"/>
              </w:rPr>
              <w:t>≥100%</w:t>
            </w:r>
          </w:p>
        </w:tc>
      </w:tr>
    </w:tbl>
    <w:p>
      <w:pPr>
        <w:spacing w:line="240" w:lineRule="auto"/>
        <w:ind w:left="0" w:firstLine="640" w:firstLineChars="200"/>
        <w:jc w:val="left"/>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 xml:space="preserve">                                                                                                                                                                   3.</w:t>
      </w:r>
      <w:r>
        <w:rPr>
          <w:rFonts w:hint="eastAsia" w:ascii="仿宋_GB2312" w:eastAsia="仿宋_GB2312" w:cs="仿宋_GB2312"/>
          <w:b w:val="0"/>
          <w:bCs w:val="0"/>
          <w:sz w:val="32"/>
          <w:szCs w:val="32"/>
          <w:lang w:val="en-US" w:eastAsia="zh-CN" w:bidi="ar-SA"/>
        </w:rPr>
        <w:t>“</w:t>
      </w:r>
      <w:r>
        <w:rPr>
          <w:rFonts w:hint="eastAsia" w:ascii="仿宋_GB2312" w:eastAsia="仿宋_GB2312" w:cs="仿宋_GB2312"/>
          <w:sz w:val="32"/>
          <w:szCs w:val="32"/>
          <w:lang w:val="en-US" w:eastAsia="zh-CN"/>
        </w:rPr>
        <w:t>8.8九寨沟地震灾后恢复重建中省结余资金</w:t>
      </w:r>
      <w:r>
        <w:rPr>
          <w:rFonts w:hint="default" w:ascii="仿宋_GB2312" w:eastAsia="仿宋_GB2312" w:cs="仿宋_GB2312"/>
          <w:sz w:val="32"/>
          <w:szCs w:val="32"/>
          <w:lang w:val="en-US" w:eastAsia="zh-CN"/>
        </w:rPr>
        <w:t>项</w:t>
      </w:r>
      <w:r>
        <w:rPr>
          <w:rFonts w:hint="eastAsia" w:ascii="仿宋_GB2312" w:eastAsia="仿宋_GB2312" w:cs="仿宋_GB2312"/>
          <w:sz w:val="32"/>
          <w:szCs w:val="32"/>
          <w:lang w:val="en-US" w:eastAsia="zh-CN"/>
        </w:rPr>
        <w:t>目。《阿坝州财政局关于清算下达8.8九寨沟地震灾后恢复重建中省结余资金的通知》（阿州财建〔2021〕115号）下达了我县地质灾害治理工程4处，合计资金1926.24万元。项目立项、资金申报合理，项目资金于2021年11月下达，于2022年开工，目前正在施工中。</w:t>
      </w:r>
    </w:p>
    <w:p>
      <w:pPr>
        <w:rPr>
          <w:rFonts w:ascii="Calibri" w:hAnsi="Calibri"/>
        </w:rPr>
      </w:pPr>
    </w:p>
    <w:p>
      <w:pPr>
        <w:numPr>
          <w:ilvl w:val="0"/>
          <w:numId w:val="0"/>
        </w:numPr>
        <w:tabs>
          <w:tab w:val="left" w:pos="0"/>
        </w:tabs>
        <w:spacing w:line="580" w:lineRule="exact"/>
        <w:ind w:firstLine="640" w:firstLineChars="200"/>
        <w:rPr>
          <w:rFonts w:ascii="仿宋" w:eastAsia="仿宋" w:cs="仿宋_GB2312"/>
          <w:b w:val="0"/>
          <w:bCs w:val="0"/>
          <w:sz w:val="32"/>
          <w:szCs w:val="32"/>
        </w:rPr>
      </w:pPr>
      <w:r>
        <w:rPr>
          <w:rFonts w:hint="eastAsia" w:ascii="仿宋" w:eastAsia="仿宋" w:cs="楷体_GB2312"/>
          <w:b w:val="0"/>
          <w:bCs w:val="0"/>
          <w:sz w:val="32"/>
          <w:szCs w:val="32"/>
          <w:lang w:eastAsia="zh-CN"/>
        </w:rPr>
        <w:t>（</w:t>
      </w:r>
      <w:r>
        <w:rPr>
          <w:rFonts w:hint="eastAsia" w:ascii="仿宋" w:eastAsia="仿宋" w:cs="楷体_GB2312"/>
          <w:b w:val="0"/>
          <w:bCs w:val="0"/>
          <w:sz w:val="32"/>
          <w:szCs w:val="32"/>
          <w:lang w:val="en-US" w:eastAsia="zh-CN"/>
        </w:rPr>
        <w:t>2</w:t>
      </w:r>
      <w:r>
        <w:rPr>
          <w:rFonts w:hint="eastAsia" w:ascii="仿宋" w:eastAsia="仿宋" w:cs="楷体_GB2312"/>
          <w:b w:val="0"/>
          <w:bCs w:val="0"/>
          <w:sz w:val="32"/>
          <w:szCs w:val="32"/>
          <w:lang w:eastAsia="zh-CN"/>
        </w:rPr>
        <w:t>）</w:t>
      </w:r>
      <w:r>
        <w:rPr>
          <w:rFonts w:hint="eastAsia" w:ascii="仿宋" w:eastAsia="仿宋" w:cs="楷体_GB2312"/>
          <w:b w:val="0"/>
          <w:bCs w:val="0"/>
          <w:sz w:val="32"/>
          <w:szCs w:val="32"/>
        </w:rPr>
        <w:t>部门开展绩效评价结果。</w:t>
      </w:r>
    </w:p>
    <w:p>
      <w:pPr>
        <w:spacing w:line="580" w:lineRule="exact"/>
        <w:ind w:firstLine="640" w:firstLineChars="200"/>
        <w:rPr>
          <w:rFonts w:hint="eastAsia" w:ascii="仿宋_GB2312" w:hAnsi="Times New Roman" w:eastAsia="仿宋_GB2312" w:cs="仿宋_GB2312"/>
          <w:sz w:val="32"/>
          <w:szCs w:val="32"/>
          <w:lang w:val="en-US" w:eastAsia="zh-CN"/>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w:t>
      </w:r>
      <w:r>
        <w:rPr>
          <w:rFonts w:hint="eastAsia" w:ascii="仿宋_GB2312" w:hAnsi="Times New Roman" w:eastAsia="仿宋_GB2312" w:cs="仿宋_GB2312"/>
          <w:sz w:val="32"/>
          <w:szCs w:val="32"/>
        </w:rPr>
        <w:t>评</w:t>
      </w:r>
      <w:r>
        <w:rPr>
          <w:rFonts w:hint="eastAsia" w:ascii="仿宋_GB2312" w:hAnsi="Times New Roman" w:eastAsia="仿宋_GB2312" w:cs="仿宋_GB2312"/>
          <w:sz w:val="32"/>
          <w:szCs w:val="32"/>
          <w:lang w:eastAsia="zh-CN"/>
        </w:rPr>
        <w:t>。</w:t>
      </w:r>
      <w:r>
        <w:rPr>
          <w:rFonts w:hint="eastAsia" w:ascii="仿宋_GB2312" w:eastAsia="仿宋_GB2312" w:cs="仿宋_GB2312"/>
          <w:sz w:val="32"/>
          <w:szCs w:val="32"/>
          <w:lang w:bidi="ar-SA"/>
        </w:rPr>
        <w:t>见附件。</w:t>
      </w:r>
    </w:p>
    <w:p>
      <w:pPr>
        <w:numPr>
          <w:ilvl w:val="0"/>
          <w:numId w:val="6"/>
        </w:numPr>
        <w:spacing w:line="600" w:lineRule="exact"/>
        <w:ind w:left="0" w:firstLine="663" w:firstLineChars="150"/>
        <w:jc w:val="center"/>
        <w:outlineLvl w:val="0"/>
        <w:rPr>
          <w:rStyle w:val="20"/>
          <w:rFonts w:ascii="黑体" w:eastAsia="黑体"/>
          <w:b w:val="0"/>
        </w:rPr>
      </w:pPr>
      <w:bookmarkStart w:id="58" w:name="_Toc15396613"/>
      <w:bookmarkStart w:id="59" w:name="_Toc15377225"/>
      <w:r>
        <w:rPr>
          <w:rFonts w:hint="eastAsia" w:ascii="黑体" w:eastAsia="黑体"/>
          <w:b/>
          <w:color w:val="000000"/>
          <w:sz w:val="44"/>
          <w:szCs w:val="44"/>
        </w:rPr>
        <w:t>名</w:t>
      </w:r>
      <w:r>
        <w:rPr>
          <w:rStyle w:val="20"/>
          <w:rFonts w:hint="eastAsia" w:ascii="黑体" w:eastAsia="黑体"/>
          <w:b w:val="0"/>
        </w:rPr>
        <w:t>词解释</w:t>
      </w:r>
      <w:bookmarkEnd w:id="58"/>
      <w:bookmarkEnd w:id="59"/>
    </w:p>
    <w:p>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5"/>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一般公共服务（类）政府办公厅（室）及相关机构事务（款）一般行政管理事务（项）：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反映行政单位未单独设置顶级科目的其他项目支出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教育（类）其他教育支出（款）其他教育支出（项）：</w:t>
      </w:r>
      <w:r>
        <w:rPr>
          <w:rFonts w:hint="eastAsia" w:ascii="仿宋_GB2312" w:eastAsia="仿宋_GB2312"/>
          <w:color w:val="000000"/>
          <w:sz w:val="32"/>
          <w:szCs w:val="32"/>
          <w:lang w:val="en-US" w:eastAsia="zh-CN"/>
        </w:rPr>
        <w:t>除上诉项目以外用于教育管理事务方面的支出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Style w:val="20"/>
          <w:rFonts w:ascii="仿宋" w:eastAsia="仿宋"/>
          <w:b w:val="0"/>
          <w:bCs w:val="0"/>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60" w:name="_Toc15396614"/>
      <w:bookmarkStart w:id="61" w:name="_Toc15377226"/>
    </w:p>
    <w:p>
      <w:pPr>
        <w:numPr>
          <w:ilvl w:val="0"/>
          <w:numId w:val="6"/>
        </w:numPr>
        <w:spacing w:line="600" w:lineRule="exact"/>
        <w:ind w:left="0" w:firstLine="660" w:firstLineChars="150"/>
        <w:jc w:val="center"/>
        <w:outlineLvl w:val="0"/>
        <w:rPr>
          <w:rStyle w:val="20"/>
          <w:rFonts w:hint="eastAsia" w:ascii="黑体" w:eastAsia="黑体"/>
          <w:b w:val="0"/>
        </w:rPr>
      </w:pPr>
      <w:r>
        <w:rPr>
          <w:rStyle w:val="20"/>
          <w:rFonts w:hint="eastAsia" w:ascii="黑体" w:eastAsia="黑体"/>
          <w:b w:val="0"/>
        </w:rPr>
        <w:t>附件</w:t>
      </w:r>
      <w:bookmarkEnd w:id="60"/>
    </w:p>
    <w:p>
      <w:pPr>
        <w:spacing w:line="240" w:lineRule="auto"/>
        <w:jc w:val="both"/>
        <w:outlineLvl w:val="0"/>
        <w:rPr>
          <w:rStyle w:val="20"/>
          <w:rFonts w:hint="eastAsia" w:ascii="黑体" w:eastAsia="黑体"/>
          <w:b w:val="0"/>
        </w:rPr>
      </w:pPr>
    </w:p>
    <w:bookmarkEnd w:id="61"/>
    <w:p>
      <w:pPr>
        <w:widowControl/>
        <w:spacing w:line="580" w:lineRule="exact"/>
        <w:ind w:firstLine="442" w:firstLineChars="100"/>
        <w:contextualSpacing/>
        <w:jc w:val="both"/>
        <w:rPr>
          <w:rFonts w:hint="eastAsia" w:ascii="宋体" w:eastAsia="宋体"/>
          <w:b/>
          <w:sz w:val="44"/>
          <w:szCs w:val="44"/>
          <w:shd w:val="clear" w:color="auto" w:fill="FFFFFF"/>
        </w:rPr>
      </w:pPr>
      <w:r>
        <w:rPr>
          <w:rFonts w:hint="eastAsia" w:ascii="宋体" w:eastAsia="宋体"/>
          <w:b/>
          <w:sz w:val="44"/>
          <w:szCs w:val="44"/>
          <w:shd w:val="clear" w:color="auto" w:fill="FFFFFF"/>
          <w:lang w:eastAsia="zh-CN"/>
        </w:rPr>
        <w:t>金川县自然资源局</w:t>
      </w: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22</w:t>
      </w:r>
      <w:r>
        <w:rPr>
          <w:rFonts w:hint="eastAsia" w:ascii="宋体" w:eastAsia="宋体"/>
          <w:b/>
          <w:sz w:val="44"/>
          <w:szCs w:val="44"/>
          <w:shd w:val="clear" w:color="auto" w:fill="FFFFFF"/>
        </w:rPr>
        <w:t>年</w:t>
      </w:r>
      <w:r>
        <w:rPr>
          <w:rFonts w:hint="eastAsia" w:ascii="宋体"/>
          <w:b/>
          <w:sz w:val="44"/>
          <w:szCs w:val="44"/>
          <w:shd w:val="clear" w:color="auto" w:fill="FFFFFF"/>
          <w:lang w:val="en-US" w:eastAsia="zh-CN"/>
        </w:rPr>
        <w:t>部门</w:t>
      </w:r>
      <w:r>
        <w:rPr>
          <w:rFonts w:hint="eastAsia" w:ascii="宋体" w:eastAsia="宋体"/>
          <w:b/>
          <w:sz w:val="44"/>
          <w:szCs w:val="44"/>
          <w:shd w:val="clear" w:color="auto" w:fill="FFFFFF"/>
        </w:rPr>
        <w:t>整体支出</w:t>
      </w:r>
    </w:p>
    <w:p>
      <w:pPr>
        <w:widowControl/>
        <w:spacing w:line="580" w:lineRule="exact"/>
        <w:contextualSpacing/>
        <w:jc w:val="center"/>
        <w:rPr>
          <w:rFonts w:hint="eastAsia" w:ascii="宋体" w:eastAsia="宋体"/>
          <w:b/>
          <w:sz w:val="44"/>
          <w:szCs w:val="44"/>
          <w:shd w:val="clear" w:color="auto" w:fill="FFFFFF"/>
        </w:rPr>
      </w:pPr>
      <w:r>
        <w:rPr>
          <w:rFonts w:hint="eastAsia" w:ascii="宋体" w:eastAsia="宋体"/>
          <w:b/>
          <w:sz w:val="44"/>
          <w:szCs w:val="44"/>
          <w:shd w:val="clear" w:color="auto" w:fill="FFFFFF"/>
        </w:rPr>
        <w:t>绩效评价报告</w:t>
      </w:r>
    </w:p>
    <w:p>
      <w:pPr>
        <w:widowControl/>
        <w:spacing w:line="580" w:lineRule="exact"/>
        <w:contextualSpacing/>
        <w:jc w:val="center"/>
        <w:rPr>
          <w:rFonts w:hint="eastAsia" w:ascii="宋体" w:eastAsia="宋体"/>
          <w:b/>
          <w:sz w:val="44"/>
          <w:szCs w:val="44"/>
          <w:shd w:val="clear" w:color="auto" w:fill="FFFFFF"/>
        </w:rPr>
      </w:pPr>
    </w:p>
    <w:p>
      <w:pPr>
        <w:widowControl/>
        <w:adjustRightInd w:val="0"/>
        <w:snapToGrid w:val="0"/>
        <w:spacing w:line="600" w:lineRule="exact"/>
        <w:ind w:firstLine="720"/>
        <w:jc w:val="left"/>
        <w:rPr>
          <w:rFonts w:hint="eastAsia" w:ascii="仿宋" w:hAnsi="仿宋" w:eastAsia="仿宋" w:cs="宋体"/>
          <w:color w:val="000000"/>
          <w:kern w:val="0"/>
          <w:sz w:val="28"/>
          <w:szCs w:val="28"/>
        </w:rPr>
      </w:pPr>
      <w:r>
        <w:rPr>
          <w:rFonts w:hint="eastAsia" w:ascii="仿宋" w:hAnsi="仿宋" w:eastAsia="仿宋" w:cs="仿宋"/>
          <w:bCs/>
          <w:sz w:val="32"/>
          <w:szCs w:val="32"/>
        </w:rPr>
        <w:t>根据</w:t>
      </w:r>
      <w:r>
        <w:rPr>
          <w:rFonts w:hint="eastAsia" w:ascii="仿宋" w:hAnsi="仿宋" w:eastAsia="仿宋" w:cs="仿宋"/>
          <w:bCs/>
          <w:sz w:val="32"/>
          <w:szCs w:val="32"/>
          <w:lang w:val="en-US" w:eastAsia="zh-CN"/>
        </w:rPr>
        <w:t>《</w:t>
      </w:r>
      <w:r>
        <w:rPr>
          <w:rFonts w:hint="eastAsia" w:ascii="仿宋" w:hAnsi="仿宋" w:eastAsia="仿宋" w:cs="仿宋"/>
          <w:bCs/>
          <w:sz w:val="32"/>
          <w:szCs w:val="32"/>
        </w:rPr>
        <w:t>金川县财政局关于</w:t>
      </w:r>
      <w:r>
        <w:rPr>
          <w:rFonts w:hint="eastAsia" w:ascii="仿宋" w:hAnsi="仿宋" w:eastAsia="仿宋" w:cs="仿宋"/>
          <w:bCs/>
          <w:sz w:val="32"/>
          <w:szCs w:val="32"/>
          <w:lang w:eastAsia="zh-CN"/>
        </w:rPr>
        <w:t>开展</w:t>
      </w:r>
      <w:r>
        <w:rPr>
          <w:rFonts w:hint="eastAsia" w:ascii="仿宋" w:hAnsi="仿宋" w:eastAsia="仿宋" w:cs="仿宋"/>
          <w:bCs/>
          <w:sz w:val="32"/>
          <w:szCs w:val="32"/>
          <w:lang w:val="en-US" w:eastAsia="zh-CN"/>
        </w:rPr>
        <w:t>2022年部门整体和项目支出绩效评价工作的通知》（</w:t>
      </w:r>
      <w:r>
        <w:rPr>
          <w:rFonts w:hint="eastAsia" w:ascii="仿宋" w:hAnsi="仿宋" w:eastAsia="仿宋" w:cs="仿宋"/>
          <w:bCs/>
          <w:sz w:val="32"/>
          <w:szCs w:val="32"/>
        </w:rPr>
        <w:t>金财</w:t>
      </w:r>
      <w:r>
        <w:rPr>
          <w:rFonts w:hint="eastAsia" w:ascii="仿宋" w:hAnsi="仿宋" w:eastAsia="仿宋" w:cs="仿宋"/>
          <w:bCs/>
          <w:sz w:val="32"/>
          <w:szCs w:val="32"/>
          <w:lang w:val="en-US" w:eastAsia="zh-CN"/>
        </w:rPr>
        <w:t>监绩</w:t>
      </w:r>
      <w:r>
        <w:rPr>
          <w:rFonts w:hint="eastAsia" w:ascii="仿宋" w:hAnsi="仿宋" w:eastAsia="仿宋" w:cs="仿宋"/>
          <w:bCs/>
          <w:sz w:val="32"/>
          <w:szCs w:val="32"/>
        </w:rPr>
        <w:t>﹝20</w:t>
      </w:r>
      <w:r>
        <w:rPr>
          <w:rFonts w:hint="eastAsia" w:ascii="仿宋" w:hAnsi="仿宋" w:eastAsia="仿宋" w:cs="仿宋"/>
          <w:bCs/>
          <w:sz w:val="32"/>
          <w:szCs w:val="32"/>
          <w:lang w:val="en-US" w:eastAsia="zh-CN"/>
        </w:rPr>
        <w:t>22</w:t>
      </w:r>
      <w:r>
        <w:rPr>
          <w:rFonts w:hint="eastAsia" w:ascii="仿宋" w:hAnsi="仿宋" w:eastAsia="仿宋" w:cs="仿宋"/>
          <w:bCs/>
          <w:sz w:val="32"/>
          <w:szCs w:val="32"/>
        </w:rPr>
        <w:t>﹞</w:t>
      </w:r>
      <w:r>
        <w:rPr>
          <w:rFonts w:hint="eastAsia" w:ascii="仿宋" w:hAnsi="仿宋" w:eastAsia="仿宋" w:cs="仿宋"/>
          <w:bCs/>
          <w:sz w:val="32"/>
          <w:szCs w:val="32"/>
          <w:lang w:val="en-US" w:eastAsia="zh-CN"/>
        </w:rPr>
        <w:t>22号）</w:t>
      </w:r>
      <w:r>
        <w:rPr>
          <w:rFonts w:hint="eastAsia" w:ascii="仿宋" w:hAnsi="仿宋" w:eastAsia="仿宋" w:cs="仿宋"/>
          <w:bCs/>
          <w:sz w:val="32"/>
          <w:szCs w:val="32"/>
        </w:rPr>
        <w:t>，</w:t>
      </w:r>
      <w:r>
        <w:rPr>
          <w:rFonts w:hint="eastAsia" w:ascii="仿宋" w:hAnsi="仿宋" w:eastAsia="仿宋" w:cs="仿宋"/>
          <w:color w:val="000000"/>
          <w:kern w:val="0"/>
          <w:sz w:val="32"/>
          <w:szCs w:val="32"/>
          <w:shd w:val="clear" w:color="auto" w:fill="FFFFFF"/>
        </w:rPr>
        <w:t>结合本单位的实际，认真开展部门预算支出绩效自评工作，现将</w:t>
      </w:r>
      <w:r>
        <w:rPr>
          <w:rFonts w:hint="eastAsia" w:ascii="仿宋" w:hAnsi="仿宋" w:eastAsia="仿宋" w:cs="仿宋"/>
          <w:color w:val="000000"/>
          <w:kern w:val="0"/>
          <w:sz w:val="32"/>
          <w:szCs w:val="32"/>
          <w:shd w:val="clear" w:color="auto" w:fill="FFFFFF"/>
          <w:lang w:val="en-US" w:eastAsia="zh-CN"/>
        </w:rPr>
        <w:t>2022年</w:t>
      </w:r>
      <w:r>
        <w:rPr>
          <w:rFonts w:hint="eastAsia" w:ascii="仿宋" w:hAnsi="仿宋" w:eastAsia="仿宋" w:cs="仿宋"/>
          <w:color w:val="000000"/>
          <w:kern w:val="0"/>
          <w:sz w:val="32"/>
          <w:szCs w:val="32"/>
          <w:shd w:val="clear" w:color="auto" w:fill="FFFFFF"/>
        </w:rPr>
        <w:t>部门</w:t>
      </w:r>
      <w:r>
        <w:rPr>
          <w:rFonts w:hint="eastAsia" w:ascii="仿宋" w:hAnsi="仿宋" w:eastAsia="仿宋" w:cs="仿宋"/>
          <w:color w:val="000000"/>
          <w:kern w:val="0"/>
          <w:sz w:val="32"/>
          <w:szCs w:val="32"/>
          <w:shd w:val="clear" w:color="auto" w:fill="FFFFFF"/>
          <w:lang w:val="en-US" w:eastAsia="zh-CN"/>
        </w:rPr>
        <w:t>整体支出</w:t>
      </w:r>
      <w:r>
        <w:rPr>
          <w:rFonts w:hint="eastAsia" w:ascii="仿宋" w:hAnsi="仿宋" w:eastAsia="仿宋" w:cs="仿宋"/>
          <w:color w:val="000000"/>
          <w:kern w:val="0"/>
          <w:sz w:val="32"/>
          <w:szCs w:val="32"/>
          <w:shd w:val="clear" w:color="auto" w:fill="FFFFFF"/>
        </w:rPr>
        <w:t>绩效自评工作报告如下</w:t>
      </w:r>
      <w:r>
        <w:rPr>
          <w:rFonts w:hint="eastAsia" w:ascii="仿宋_GB2312" w:hAnsi="仿宋"/>
          <w:color w:val="000000"/>
          <w:kern w:val="0"/>
          <w:sz w:val="28"/>
          <w:szCs w:val="28"/>
          <w:shd w:val="clear" w:color="auto" w:fill="FFFFFF"/>
        </w:rPr>
        <w:t>：</w:t>
      </w:r>
    </w:p>
    <w:p>
      <w:pPr>
        <w:widowControl/>
        <w:adjustRightInd w:val="0"/>
        <w:snapToGrid w:val="0"/>
        <w:spacing w:line="580" w:lineRule="exact"/>
        <w:ind w:firstLine="640" w:firstLineChars="200"/>
        <w:contextualSpacing/>
        <w:jc w:val="left"/>
        <w:rPr>
          <w:rFonts w:hint="eastAsia"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（一）机构组成。</w:t>
      </w:r>
    </w:p>
    <w:p>
      <w:pPr>
        <w:widowControl/>
        <w:adjustRightInd w:val="0"/>
        <w:snapToGrid w:val="0"/>
        <w:spacing w:line="600" w:lineRule="exact"/>
        <w:ind w:firstLine="720"/>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eastAsia="zh-CN"/>
        </w:rPr>
        <w:t>我单位现有</w:t>
      </w:r>
      <w:r>
        <w:rPr>
          <w:rFonts w:hint="eastAsia" w:ascii="仿宋" w:hAnsi="仿宋" w:eastAsia="仿宋" w:cs="仿宋"/>
          <w:color w:val="000000"/>
          <w:kern w:val="0"/>
          <w:sz w:val="32"/>
          <w:szCs w:val="32"/>
          <w:shd w:val="clear" w:color="auto" w:fill="FFFFFF"/>
        </w:rPr>
        <w:t>独立编制单位机构数为1 个</w:t>
      </w:r>
      <w:r>
        <w:rPr>
          <w:rFonts w:hint="eastAsia" w:ascii="仿宋" w:hAnsi="仿宋" w:eastAsia="仿宋" w:cs="仿宋"/>
          <w:color w:val="000000"/>
          <w:kern w:val="0"/>
          <w:sz w:val="32"/>
          <w:szCs w:val="32"/>
          <w:shd w:val="clear" w:color="auto" w:fill="FFFFFF"/>
          <w:lang w:eastAsia="zh-CN"/>
        </w:rPr>
        <w:t>（金川</w:t>
      </w:r>
      <w:r>
        <w:rPr>
          <w:rFonts w:hint="eastAsia" w:ascii="仿宋" w:hAnsi="仿宋" w:eastAsia="仿宋" w:cs="仿宋"/>
          <w:color w:val="000000"/>
          <w:kern w:val="0"/>
          <w:sz w:val="32"/>
          <w:szCs w:val="32"/>
          <w:shd w:val="clear" w:color="auto" w:fill="FFFFFF"/>
        </w:rPr>
        <w:t>县自然资源局部门本级</w:t>
      </w:r>
      <w:r>
        <w:rPr>
          <w:rFonts w:hint="eastAsia" w:ascii="仿宋" w:hAnsi="仿宋" w:eastAsia="仿宋" w:cs="仿宋"/>
          <w:color w:val="000000"/>
          <w:kern w:val="0"/>
          <w:sz w:val="32"/>
          <w:szCs w:val="32"/>
          <w:shd w:val="clear" w:color="auto" w:fill="FFFFFF"/>
          <w:lang w:eastAsia="zh-CN"/>
        </w:rPr>
        <w:t>）</w:t>
      </w:r>
      <w:r>
        <w:rPr>
          <w:rFonts w:hint="eastAsia" w:ascii="仿宋" w:hAnsi="仿宋" w:eastAsia="仿宋" w:cs="仿宋"/>
          <w:color w:val="000000"/>
          <w:kern w:val="0"/>
          <w:sz w:val="32"/>
          <w:szCs w:val="32"/>
          <w:shd w:val="clear" w:color="auto" w:fill="FFFFFF"/>
        </w:rPr>
        <w:t>，有其他二级预算单位，包括</w:t>
      </w:r>
      <w:r>
        <w:rPr>
          <w:rFonts w:hint="eastAsia" w:ascii="仿宋" w:hAnsi="仿宋" w:eastAsia="仿宋" w:cs="仿宋"/>
          <w:color w:val="000000"/>
          <w:kern w:val="0"/>
          <w:sz w:val="32"/>
          <w:szCs w:val="32"/>
          <w:shd w:val="clear" w:color="auto" w:fill="FFFFFF"/>
          <w:lang w:val="en-US" w:eastAsia="zh-CN"/>
        </w:rPr>
        <w:t>6</w:t>
      </w:r>
      <w:r>
        <w:rPr>
          <w:rFonts w:hint="eastAsia" w:ascii="仿宋" w:hAnsi="仿宋" w:eastAsia="仿宋" w:cs="仿宋"/>
          <w:color w:val="000000"/>
          <w:kern w:val="0"/>
          <w:sz w:val="32"/>
          <w:szCs w:val="32"/>
          <w:shd w:val="clear" w:color="auto" w:fill="FFFFFF"/>
        </w:rPr>
        <w:t>个职能股室</w:t>
      </w:r>
      <w:r>
        <w:rPr>
          <w:rFonts w:hint="eastAsia" w:ascii="仿宋" w:hAnsi="仿宋" w:eastAsia="仿宋" w:cs="仿宋"/>
          <w:color w:val="000000"/>
          <w:kern w:val="0"/>
          <w:sz w:val="32"/>
          <w:szCs w:val="32"/>
          <w:shd w:val="clear" w:color="auto" w:fill="FFFFFF"/>
          <w:lang w:val="en-US" w:eastAsia="zh-CN"/>
        </w:rPr>
        <w:t>(办公室、生态保护股、开发利用股、国土空间规划股、确权登记股、行政审批股）</w:t>
      </w:r>
      <w:r>
        <w:rPr>
          <w:rFonts w:hint="eastAsia" w:ascii="仿宋" w:hAnsi="仿宋" w:eastAsia="仿宋" w:cs="仿宋"/>
          <w:color w:val="000000"/>
          <w:kern w:val="0"/>
          <w:sz w:val="32"/>
          <w:szCs w:val="32"/>
          <w:shd w:val="clear" w:color="auto" w:fill="FFFFFF"/>
        </w:rPr>
        <w:t>，</w:t>
      </w:r>
      <w:r>
        <w:rPr>
          <w:rFonts w:hint="eastAsia" w:ascii="仿宋" w:hAnsi="仿宋" w:eastAsia="仿宋" w:cs="仿宋"/>
          <w:color w:val="000000"/>
          <w:kern w:val="0"/>
          <w:sz w:val="32"/>
          <w:szCs w:val="32"/>
          <w:shd w:val="clear" w:color="auto" w:fill="FFFFFF"/>
          <w:lang w:val="en-US" w:eastAsia="zh-CN"/>
        </w:rPr>
        <w:t>1个中心（不动产登记中心）。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二</w:t>
      </w:r>
      <w:r>
        <w:rPr>
          <w:rFonts w:hint="eastAsia" w:ascii="仿宋_GB2312" w:eastAsia="仿宋_GB2312" w:cs="宋体"/>
          <w:color w:val="000000"/>
          <w:kern w:val="0"/>
          <w:sz w:val="32"/>
          <w:szCs w:val="32"/>
          <w:shd w:val="clear" w:color="auto" w:fill="FFFFFF"/>
          <w:lang w:val="zh-CN"/>
        </w:rPr>
        <w:t>）机构职能。</w:t>
      </w:r>
    </w:p>
    <w:p>
      <w:pPr>
        <w:snapToGrid w:val="0"/>
        <w:spacing w:line="360" w:lineRule="auto"/>
        <w:ind w:firstLine="640" w:firstLineChars="200"/>
        <w:rPr>
          <w:rFonts w:hint="eastAsia" w:ascii="仿宋_GB2312" w:eastAsia="仿宋_GB2312"/>
          <w:sz w:val="32"/>
          <w:szCs w:val="32"/>
        </w:rPr>
      </w:pPr>
      <w:r>
        <w:rPr>
          <w:rFonts w:hint="eastAsia" w:ascii="仿宋_GB2312" w:eastAsia="仿宋_GB2312"/>
          <w:sz w:val="32"/>
          <w:szCs w:val="32"/>
        </w:rPr>
        <w:t>(1)贯彻执行国家、省、州有关国土资源的调控政策、措施和法律、法规，承担保护与合理利用土地资源、矿产资源及地质灾害防治的责任。编制全县国土资源发展战略和规划并组织实施，研究提出全县国土资源供需总量平衡的政策建议，编制并组织实施全县国土规划和国土资源领域资源节约集约利用、循环经济的政策措施。</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(2)</w:t>
      </w:r>
      <w:r>
        <w:rPr>
          <w:rFonts w:hint="eastAsia" w:ascii="仿宋_GB2312" w:hAnsi="Verdana" w:eastAsia="仿宋_GB2312" w:cs="Arial"/>
          <w:color w:val="000000"/>
          <w:sz w:val="32"/>
          <w:szCs w:val="32"/>
        </w:rPr>
        <w:t>承担规范国土资源管理秩序的责任。拟定并监督实施本县土地、矿产等自然资源管理和地质灾害防治的规章制度，制定地质环境保护的政策、规章制度，组织实施国土资源调查评价技术规程、国土资源开发利用标准。负责本系统、本部门依法行政工作， 监督检查各乡镇人民政府及其国土资源管理所执行和遵守国土资源管理法律、法规及土地、矿产资源规划、计划的执行情况。加强对基层国土资源管理所履行职责的管理监督，直接查处 全县辖区内违反国土资源管理法律、法规的行为。调查处理国土资源违法案件。</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(3)</w:t>
      </w:r>
      <w:r>
        <w:rPr>
          <w:rFonts w:hint="eastAsia" w:ascii="仿宋_GB2312" w:hAnsi="Verdana" w:eastAsia="仿宋_GB2312" w:cs="Arial"/>
          <w:color w:val="000000"/>
          <w:sz w:val="32"/>
          <w:szCs w:val="32"/>
        </w:rPr>
        <w:t>承担优化配置国土资源的责任。编制和组织实施全县土地利用总体规划、土地利用年度计划、土地整理复垦开发规划和其他专项规划、计划。参与审核报国务院、省、州政府审批的涉及土地、矿产、地质灾害防治的相关规划及其调整。</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(4)</w:t>
      </w:r>
      <w:r>
        <w:rPr>
          <w:rFonts w:hint="eastAsia" w:ascii="仿宋_GB2312" w:hAnsi="Verdana" w:eastAsia="仿宋_GB2312" w:cs="Arial"/>
          <w:color w:val="000000"/>
          <w:sz w:val="32"/>
          <w:szCs w:val="32"/>
        </w:rPr>
        <w:t>负责规范国土资源权属管理。依法保护土地资源、矿产资源等自然资源所有者和使用者的合法权益，组织调处重大权属纠纷，负责土地确权调查，负责各类土地登记资料的收集、整理、共享和汇交管理，提供社会查询服务。</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w:t>
      </w:r>
      <w:r>
        <w:rPr>
          <w:rFonts w:hint="eastAsia" w:ascii="仿宋_GB2312" w:eastAsia="仿宋_GB2312"/>
          <w:sz w:val="32"/>
          <w:szCs w:val="32"/>
        </w:rPr>
        <w:t>(5)</w:t>
      </w:r>
      <w:r>
        <w:rPr>
          <w:rFonts w:hint="eastAsia" w:ascii="仿宋_GB2312" w:hAnsi="Verdana" w:eastAsia="仿宋_GB2312" w:cs="Arial"/>
          <w:color w:val="000000"/>
          <w:sz w:val="32"/>
          <w:szCs w:val="32"/>
        </w:rPr>
        <w:t>承担全县耕地保护的责任，确保规划确定的耕地保有量和基本农田面积不减少。牵头拟订并组织实施耕地保护措施，组织实施基本农田保护，监督占用耕地补偿制度执行情况。指导未利用土地开发、土地整理、土地复垦和耕地开发的监督工作。组织实施土地用途管制、农用地转用和土地征收征用，承担报国土资源部和省政府审批的各类用地的审核、报批工作。</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(6)</w:t>
      </w:r>
      <w:r>
        <w:rPr>
          <w:rFonts w:hint="eastAsia" w:ascii="仿宋_GB2312" w:hAnsi="Verdana" w:eastAsia="仿宋_GB2312" w:cs="Arial"/>
          <w:color w:val="000000"/>
          <w:sz w:val="32"/>
          <w:szCs w:val="32"/>
        </w:rPr>
        <w:t>承担及时准确提供全县土地利用各种数据的责任。拟定和贯彻实施地籍管理办法，组织土地资源调查、地籍调查、土地统计和动态监测，组织实施重大土地专项调查，组织全县地籍调查、登记和土地分等定级工作。</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hAnsi="Verdana" w:eastAsia="仿宋_GB2312" w:cs="Arial"/>
          <w:color w:val="000000"/>
          <w:sz w:val="32"/>
          <w:szCs w:val="32"/>
        </w:rPr>
        <w:t xml:space="preserve">　 </w:t>
      </w:r>
      <w:r>
        <w:rPr>
          <w:rFonts w:hint="eastAsia" w:ascii="仿宋_GB2312" w:eastAsia="仿宋_GB2312"/>
          <w:sz w:val="32"/>
          <w:szCs w:val="32"/>
        </w:rPr>
        <w:t>(7)</w:t>
      </w:r>
      <w:r>
        <w:rPr>
          <w:rFonts w:hint="eastAsia" w:ascii="仿宋_GB2312" w:hAnsi="Verdana" w:eastAsia="仿宋_GB2312" w:cs="Arial"/>
          <w:color w:val="000000"/>
          <w:sz w:val="32"/>
          <w:szCs w:val="32"/>
        </w:rPr>
        <w:t>承担节约集约利用土地资源的责任。拟订并实施土地开发利用标准，管理和监督城乡建设用地供应、政府土地储备、土地开发和节约集约利用。拟订并组织实施土地使用权出让、租赁、作价出资、转让等管理办法，建立基准地价、标定地价等政府公示地价制度，会同农业部门监督管理农村集体建设用地使用权的流转。组织实施禁止和限制供地目录、划拨用地目录等，承担审核报县政府审批的改制企业的国有土地资产的处置。</w:t>
      </w:r>
    </w:p>
    <w:p>
      <w:pPr>
        <w:pStyle w:val="15"/>
        <w:spacing w:before="0" w:beforeAutospacing="0" w:after="0" w:afterAutospacing="0" w:line="560" w:lineRule="exact"/>
        <w:jc w:val="both"/>
        <w:rPr>
          <w:rFonts w:hint="eastAsia" w:ascii="仿宋_GB2312" w:hAnsi="Verdana" w:eastAsia="仿宋_GB2312" w:cs="Arial"/>
          <w:color w:val="000000"/>
          <w:sz w:val="32"/>
          <w:szCs w:val="32"/>
        </w:rPr>
      </w:pPr>
      <w:r>
        <w:rPr>
          <w:rFonts w:hint="eastAsia" w:ascii="仿宋_GB2312" w:eastAsia="仿宋_GB2312"/>
          <w:sz w:val="32"/>
          <w:szCs w:val="32"/>
        </w:rPr>
        <w:t>　</w:t>
      </w:r>
      <w:r>
        <w:rPr>
          <w:rFonts w:hint="eastAsia" w:ascii="仿宋_GB2312" w:hAnsi="Verdana" w:eastAsia="仿宋_GB2312" w:cs="Arial"/>
          <w:color w:val="000000"/>
          <w:sz w:val="32"/>
          <w:szCs w:val="32"/>
        </w:rPr>
        <w:t xml:space="preserve">  </w:t>
      </w:r>
      <w:r>
        <w:rPr>
          <w:rFonts w:hint="eastAsia" w:ascii="仿宋_GB2312" w:eastAsia="仿宋_GB2312"/>
          <w:sz w:val="32"/>
          <w:szCs w:val="32"/>
        </w:rPr>
        <w:t>(8)</w:t>
      </w:r>
      <w:r>
        <w:rPr>
          <w:rFonts w:hint="eastAsia" w:ascii="仿宋_GB2312" w:hAnsi="Verdana" w:eastAsia="仿宋_GB2312" w:cs="Arial"/>
          <w:color w:val="000000"/>
          <w:sz w:val="32"/>
          <w:szCs w:val="32"/>
        </w:rPr>
        <w:t>承担规范国土资源市场秩序的责任。监测土地市场和建设用地利用情况，监管地价，规范和监管土地市场。规范和监管矿业权市场，组织对矿业权人勘查、开采活动进行监督管理。规范和监管国土资源相关社会中介组织和行为，依法查处违法行为。</w:t>
      </w:r>
    </w:p>
    <w:p>
      <w:pPr>
        <w:spacing w:line="560" w:lineRule="exact"/>
        <w:ind w:firstLine="640" w:firstLineChars="200"/>
        <w:rPr>
          <w:rFonts w:hint="eastAsia" w:ascii="仿宋_GB2312" w:hAnsi="Verdana" w:eastAsia="仿宋_GB2312" w:cs="Arial"/>
          <w:color w:val="000000"/>
          <w:sz w:val="32"/>
          <w:szCs w:val="32"/>
        </w:rPr>
      </w:pPr>
      <w:r>
        <w:rPr>
          <w:rFonts w:hint="eastAsia" w:ascii="仿宋_GB2312" w:eastAsia="仿宋_GB2312"/>
          <w:sz w:val="32"/>
          <w:szCs w:val="32"/>
        </w:rPr>
        <w:t>(9)、负责矿产资源开发的管理，依法管理矿业权的审批登记发证和转让审批登记；</w:t>
      </w:r>
      <w:r>
        <w:rPr>
          <w:rFonts w:hint="eastAsia" w:ascii="仿宋_GB2312" w:hAnsi="Verdana" w:eastAsia="仿宋_GB2312" w:cs="Arial"/>
          <w:color w:val="000000"/>
          <w:sz w:val="32"/>
          <w:szCs w:val="32"/>
        </w:rPr>
        <w:t>负责县规划矿区对国民经济具有重要价值的矿区的管理，承担保护性开采的特定矿种、优势矿产的开采总量控制及相关管理工作，组织编制实施矿业权设置方案。</w:t>
      </w:r>
    </w:p>
    <w:p>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(10)</w:t>
      </w:r>
      <w:r>
        <w:rPr>
          <w:rFonts w:hint="eastAsia" w:ascii="仿宋_GB2312" w:hAnsi="Arial" w:eastAsia="仿宋_GB2312" w:cs="Arial"/>
          <w:color w:val="000000"/>
          <w:kern w:val="0"/>
          <w:sz w:val="32"/>
          <w:szCs w:val="32"/>
        </w:rPr>
        <w:t>负责地质勘查行业和矿产资源储量管理。组织实施地质调查评价、矿产资源勘查，管理县级地质勘查项目，组织实施县级重大地质勘查专项，管理地质勘查资质、地质资料、地质勘查成果，统一管理公益性地质调查和战略性矿产勘查工作。管理矿产资源评审、登记、统计，组织实施矿山储量动态监督管理，组织实施矿产资源储量调查，承担压覆矿产资源管理工作。</w:t>
      </w:r>
    </w:p>
    <w:p>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(11)</w:t>
      </w:r>
      <w:r>
        <w:rPr>
          <w:rFonts w:hint="eastAsia" w:ascii="仿宋_GB2312" w:hAnsi="Arial" w:eastAsia="仿宋_GB2312" w:cs="Arial"/>
          <w:color w:val="000000"/>
          <w:kern w:val="0"/>
          <w:sz w:val="32"/>
          <w:szCs w:val="32"/>
        </w:rPr>
        <w:t>承担地质环境保护的责任，组织、协调、指导和监督地质灾害防治工作。指导重大地质灾害应急处置，组织拟订、实施全县突发重大地质灾害应急预案。组织实施矿山地质环境、地质遗迹保护，监督管理古生物化石、地质遗迹、矿业遗迹等重要保护区、保护地，依法管理水文地质、工程地质、环境地质勘查和评价工作，监测、监督防止地下水过量开采和污染，承担城市地质、农业地质、旅游地质的勘查与评价工作。</w:t>
      </w:r>
    </w:p>
    <w:p>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(12)</w:t>
      </w:r>
      <w:r>
        <w:rPr>
          <w:rFonts w:hint="eastAsia" w:ascii="仿宋_GB2312" w:hAnsi="Arial" w:eastAsia="仿宋_GB2312" w:cs="Arial"/>
          <w:color w:val="000000"/>
          <w:kern w:val="0"/>
          <w:sz w:val="32"/>
          <w:szCs w:val="32"/>
        </w:rPr>
        <w:t>依法征收土地、矿产资源收益，规范、监督资金使用，拟订土地、矿产资源参与经济调控的政策措施。依法组织土地、矿产资源专项收入的征管，配合有关部门拟订收益分配制度，配合有关部门指导、监督全县土地整理复垦开发资金的收取和使用。参与管理土地、矿产等资源性资产，参与管理国家、省、州、县出资形成的矿业权权益，负责有关资金、基金的预算和财务、资产管理与监督。</w:t>
      </w:r>
    </w:p>
    <w:p>
      <w:pPr>
        <w:ind w:firstLine="640" w:firstLineChars="200"/>
        <w:rPr>
          <w:rFonts w:hint="eastAsia" w:ascii="仿宋_GB2312" w:hAnsi="Arial" w:eastAsia="仿宋_GB2312" w:cs="Arial"/>
          <w:color w:val="000000"/>
          <w:kern w:val="0"/>
          <w:sz w:val="32"/>
          <w:szCs w:val="32"/>
        </w:rPr>
      </w:pPr>
      <w:r>
        <w:rPr>
          <w:rFonts w:hint="eastAsia" w:ascii="仿宋_GB2312" w:eastAsia="仿宋_GB2312"/>
          <w:sz w:val="32"/>
          <w:szCs w:val="32"/>
        </w:rPr>
        <w:t>(13)</w:t>
      </w:r>
      <w:r>
        <w:rPr>
          <w:rFonts w:hint="eastAsia" w:ascii="仿宋_GB2312" w:hAnsi="Arial" w:eastAsia="仿宋_GB2312" w:cs="Arial"/>
          <w:color w:val="000000"/>
          <w:kern w:val="0"/>
          <w:sz w:val="32"/>
          <w:szCs w:val="32"/>
        </w:rPr>
        <w:t>推进国土资源科技进步，组织开展对外合作与交流。组织制订、实施国土资源科技发展、人才培养规划和计划，组织实施重大科技专项，推进国土资源信息化和信息资料公共服务。协调境外矿产资源勘查，参与矿产资源开发工作，依法审批或审核对外合作区块，监督对外合作勘查开采行为。</w:t>
      </w:r>
    </w:p>
    <w:p>
      <w:pPr>
        <w:ind w:firstLine="640" w:firstLineChars="200"/>
        <w:rPr>
          <w:rFonts w:hint="eastAsia" w:ascii="仿宋_GB2312" w:eastAsia="仿宋_GB2312"/>
          <w:sz w:val="32"/>
          <w:szCs w:val="32"/>
        </w:rPr>
      </w:pPr>
      <w:r>
        <w:rPr>
          <w:rFonts w:hint="eastAsia" w:ascii="仿宋_GB2312" w:eastAsia="仿宋_GB2312"/>
          <w:sz w:val="32"/>
          <w:szCs w:val="32"/>
        </w:rPr>
        <w:t>(14)承担县政府公布的有关行政审批事项。</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(15)承担县委、县政府交办的其他事项。</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（三）人员概况。</w:t>
      </w:r>
    </w:p>
    <w:p>
      <w:pPr>
        <w:snapToGrid w:val="0"/>
        <w:spacing w:line="360" w:lineRule="auto"/>
        <w:ind w:firstLine="600" w:firstLineChars="200"/>
        <w:rPr>
          <w:rFonts w:hint="eastAsia" w:ascii="仿宋_GB2312" w:hAnsi="宋体" w:eastAsia="仿宋_GB2312"/>
          <w:bCs/>
          <w:sz w:val="30"/>
          <w:szCs w:val="30"/>
        </w:rPr>
      </w:pPr>
      <w:r>
        <w:rPr>
          <w:rFonts w:hint="eastAsia" w:ascii="仿宋_GB2312" w:hAnsi="宋体" w:eastAsia="仿宋_GB2312"/>
          <w:bCs/>
          <w:sz w:val="30"/>
          <w:szCs w:val="30"/>
        </w:rPr>
        <w:t>202</w:t>
      </w: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年年末在职</w:t>
      </w:r>
      <w:r>
        <w:rPr>
          <w:rFonts w:hint="eastAsia" w:ascii="仿宋_GB2312" w:hAnsi="宋体" w:eastAsia="仿宋_GB2312"/>
          <w:bCs/>
          <w:sz w:val="30"/>
          <w:szCs w:val="30"/>
          <w:lang w:val="en-US" w:eastAsia="zh-CN"/>
        </w:rPr>
        <w:t>32</w:t>
      </w:r>
      <w:r>
        <w:rPr>
          <w:rFonts w:hint="eastAsia" w:ascii="仿宋_GB2312" w:hAnsi="宋体" w:eastAsia="仿宋_GB2312"/>
          <w:bCs/>
          <w:sz w:val="30"/>
          <w:szCs w:val="30"/>
        </w:rPr>
        <w:t>人（行政人员</w:t>
      </w: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人，行政工勤</w:t>
      </w: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人，参公人员1</w:t>
      </w:r>
      <w:r>
        <w:rPr>
          <w:rFonts w:hint="eastAsia" w:ascii="仿宋_GB2312" w:hAnsi="宋体" w:eastAsia="仿宋_GB2312"/>
          <w:bCs/>
          <w:sz w:val="30"/>
          <w:szCs w:val="30"/>
          <w:lang w:val="en-US" w:eastAsia="zh-CN"/>
        </w:rPr>
        <w:t>0</w:t>
      </w:r>
      <w:r>
        <w:rPr>
          <w:rFonts w:hint="eastAsia" w:ascii="仿宋_GB2312" w:hAnsi="宋体" w:eastAsia="仿宋_GB2312"/>
          <w:bCs/>
          <w:sz w:val="30"/>
          <w:szCs w:val="30"/>
        </w:rPr>
        <w:t>人</w:t>
      </w:r>
      <w:r>
        <w:rPr>
          <w:rFonts w:hint="eastAsia" w:ascii="仿宋_GB2312" w:hAnsi="宋体" w:eastAsia="仿宋_GB2312"/>
          <w:bCs/>
          <w:sz w:val="30"/>
          <w:szCs w:val="30"/>
          <w:lang w:eastAsia="zh-CN"/>
        </w:rPr>
        <w:t>，事业管理人员</w:t>
      </w:r>
      <w:r>
        <w:rPr>
          <w:rFonts w:hint="eastAsia" w:ascii="仿宋_GB2312" w:hAnsi="宋体" w:eastAsia="仿宋_GB2312"/>
          <w:bCs/>
          <w:sz w:val="30"/>
          <w:szCs w:val="30"/>
          <w:lang w:val="en-US" w:eastAsia="zh-CN"/>
        </w:rPr>
        <w:t>12人</w:t>
      </w:r>
      <w:r>
        <w:rPr>
          <w:rFonts w:hint="eastAsia" w:ascii="仿宋_GB2312" w:hAnsi="宋体" w:eastAsia="仿宋_GB2312"/>
          <w:bCs/>
          <w:sz w:val="30"/>
          <w:szCs w:val="30"/>
        </w:rPr>
        <w:t>），退休5人。</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（一）部门财政资金收入情况。</w:t>
      </w:r>
    </w:p>
    <w:p>
      <w:pPr>
        <w:widowControl/>
        <w:adjustRightInd w:val="0"/>
        <w:snapToGrid w:val="0"/>
        <w:spacing w:line="600" w:lineRule="exact"/>
        <w:ind w:firstLine="720"/>
        <w:jc w:val="left"/>
        <w:rPr>
          <w:rFonts w:hint="default" w:ascii="仿宋_GB2312" w:hAnsi="Arial" w:eastAsia="仿宋_GB2312" w:cs="Arial"/>
          <w:color w:val="000000"/>
          <w:sz w:val="32"/>
          <w:szCs w:val="32"/>
          <w:lang w:val="en-US" w:eastAsia="zh-CN"/>
        </w:rPr>
      </w:pPr>
      <w:r>
        <w:rPr>
          <w:rFonts w:hint="eastAsia" w:ascii="仿宋" w:hAnsi="仿宋" w:eastAsia="仿宋" w:cs="仿宋"/>
          <w:color w:val="auto"/>
          <w:kern w:val="0"/>
          <w:sz w:val="32"/>
          <w:szCs w:val="32"/>
          <w:shd w:val="clear" w:color="auto" w:fill="FFFFFF"/>
          <w:lang w:val="en-US" w:eastAsia="zh-CN"/>
        </w:rPr>
        <w:t>2021年我单位一般公共预算财政拨款收总收入合计609.04万元，其中：财政拨款收入609.04万元。收入预算数总计为609.04万元，分别是社会保障和就业68.04</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卫生健康</w:t>
      </w:r>
      <w:r>
        <w:rPr>
          <w:rFonts w:hint="eastAsia" w:ascii="仿宋" w:hAnsi="仿宋" w:eastAsia="仿宋" w:cs="仿宋"/>
          <w:color w:val="auto"/>
          <w:kern w:val="0"/>
          <w:sz w:val="32"/>
          <w:szCs w:val="32"/>
          <w:shd w:val="clear" w:color="auto" w:fill="FFFFFF"/>
          <w:lang w:val="en-US" w:eastAsia="zh-CN"/>
        </w:rPr>
        <w:t>27.48</w:t>
      </w:r>
      <w:r>
        <w:rPr>
          <w:rFonts w:hint="eastAsia" w:ascii="仿宋" w:hAnsi="仿宋" w:eastAsia="仿宋" w:cs="仿宋"/>
          <w:color w:val="auto"/>
          <w:kern w:val="0"/>
          <w:sz w:val="32"/>
          <w:szCs w:val="32"/>
          <w:shd w:val="clear" w:color="auto" w:fill="FFFFFF"/>
        </w:rPr>
        <w:t>万元，住房</w:t>
      </w:r>
      <w:r>
        <w:rPr>
          <w:rFonts w:hint="eastAsia" w:ascii="仿宋" w:hAnsi="仿宋" w:eastAsia="仿宋" w:cs="仿宋"/>
          <w:color w:val="auto"/>
          <w:kern w:val="0"/>
          <w:sz w:val="32"/>
          <w:szCs w:val="32"/>
          <w:shd w:val="clear" w:color="auto" w:fill="FFFFFF"/>
          <w:lang w:eastAsia="zh-CN"/>
        </w:rPr>
        <w:t>保障</w:t>
      </w:r>
      <w:r>
        <w:rPr>
          <w:rFonts w:hint="eastAsia" w:ascii="仿宋" w:hAnsi="仿宋" w:eastAsia="仿宋" w:cs="仿宋"/>
          <w:color w:val="auto"/>
          <w:kern w:val="0"/>
          <w:sz w:val="32"/>
          <w:szCs w:val="32"/>
          <w:shd w:val="clear" w:color="auto" w:fill="FFFFFF"/>
          <w:lang w:val="en-US" w:eastAsia="zh-CN"/>
        </w:rPr>
        <w:t>44.07</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行政运行：</w:t>
      </w:r>
      <w:r>
        <w:rPr>
          <w:rFonts w:hint="eastAsia" w:ascii="仿宋" w:hAnsi="仿宋" w:eastAsia="仿宋" w:cs="仿宋"/>
          <w:color w:val="auto"/>
          <w:kern w:val="0"/>
          <w:sz w:val="32"/>
          <w:szCs w:val="32"/>
          <w:shd w:val="clear" w:color="auto" w:fill="FFFFFF"/>
          <w:lang w:val="en-US" w:eastAsia="zh-CN"/>
        </w:rPr>
        <w:t>271.08万元，事业运行：198.37万元。</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（二）部门财政资金支出情况。</w:t>
      </w:r>
    </w:p>
    <w:p>
      <w:pPr>
        <w:widowControl/>
        <w:adjustRightInd w:val="0"/>
        <w:snapToGrid w:val="0"/>
        <w:spacing w:line="600" w:lineRule="exact"/>
        <w:ind w:firstLine="720"/>
        <w:jc w:val="left"/>
        <w:rPr>
          <w:rFonts w:hint="default" w:ascii="仿宋" w:hAnsi="仿宋" w:eastAsia="仿宋" w:cs="仿宋"/>
          <w:color w:val="auto"/>
          <w:kern w:val="0"/>
          <w:sz w:val="32"/>
          <w:szCs w:val="32"/>
          <w:shd w:val="clear" w:color="auto" w:fill="FFFFFF"/>
          <w:lang w:val="en-US" w:eastAsia="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年本单位全年支出合计</w:t>
      </w:r>
      <w:r>
        <w:rPr>
          <w:rFonts w:hint="eastAsia" w:ascii="仿宋" w:hAnsi="仿宋" w:eastAsia="仿宋" w:cs="仿宋"/>
          <w:color w:val="000000"/>
          <w:sz w:val="32"/>
          <w:szCs w:val="32"/>
          <w:lang w:val="en-US" w:eastAsia="zh-CN"/>
        </w:rPr>
        <w:t>4781.42</w:t>
      </w:r>
      <w:r>
        <w:rPr>
          <w:rFonts w:hint="eastAsia" w:ascii="仿宋" w:hAnsi="仿宋" w:eastAsia="仿宋" w:cs="仿宋"/>
          <w:color w:val="000000"/>
          <w:sz w:val="32"/>
          <w:szCs w:val="32"/>
        </w:rPr>
        <w:t>万元，其中：基本支出</w:t>
      </w:r>
      <w:r>
        <w:rPr>
          <w:rFonts w:hint="eastAsia" w:ascii="仿宋" w:hAnsi="仿宋" w:eastAsia="仿宋" w:cs="仿宋"/>
          <w:color w:val="000000"/>
          <w:sz w:val="32"/>
          <w:szCs w:val="32"/>
          <w:lang w:val="en-US" w:eastAsia="zh-CN"/>
        </w:rPr>
        <w:t>609.04</w:t>
      </w:r>
      <w:r>
        <w:rPr>
          <w:rFonts w:hint="eastAsia" w:ascii="仿宋" w:hAnsi="仿宋" w:eastAsia="仿宋" w:cs="仿宋"/>
          <w:color w:val="000000"/>
          <w:sz w:val="32"/>
          <w:szCs w:val="32"/>
        </w:rPr>
        <w:t>万元，</w:t>
      </w:r>
      <w:r>
        <w:rPr>
          <w:rFonts w:hint="eastAsia" w:ascii="仿宋" w:hAnsi="仿宋" w:eastAsia="仿宋" w:cs="仿宋"/>
          <w:color w:val="auto"/>
          <w:kern w:val="0"/>
          <w:sz w:val="32"/>
          <w:szCs w:val="32"/>
          <w:shd w:val="clear" w:color="auto" w:fill="FFFFFF"/>
          <w:lang w:val="en-US" w:eastAsia="zh-CN"/>
        </w:rPr>
        <w:t>分别是社会保障和就业68.04</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卫生健康</w:t>
      </w:r>
      <w:r>
        <w:rPr>
          <w:rFonts w:hint="eastAsia" w:ascii="仿宋" w:hAnsi="仿宋" w:eastAsia="仿宋" w:cs="仿宋"/>
          <w:color w:val="auto"/>
          <w:kern w:val="0"/>
          <w:sz w:val="32"/>
          <w:szCs w:val="32"/>
          <w:shd w:val="clear" w:color="auto" w:fill="FFFFFF"/>
          <w:lang w:val="en-US" w:eastAsia="zh-CN"/>
        </w:rPr>
        <w:t>27.48</w:t>
      </w:r>
      <w:r>
        <w:rPr>
          <w:rFonts w:hint="eastAsia" w:ascii="仿宋" w:hAnsi="仿宋" w:eastAsia="仿宋" w:cs="仿宋"/>
          <w:color w:val="auto"/>
          <w:kern w:val="0"/>
          <w:sz w:val="32"/>
          <w:szCs w:val="32"/>
          <w:shd w:val="clear" w:color="auto" w:fill="FFFFFF"/>
        </w:rPr>
        <w:t>万元，住房</w:t>
      </w:r>
      <w:r>
        <w:rPr>
          <w:rFonts w:hint="eastAsia" w:ascii="仿宋" w:hAnsi="仿宋" w:eastAsia="仿宋" w:cs="仿宋"/>
          <w:color w:val="auto"/>
          <w:kern w:val="0"/>
          <w:sz w:val="32"/>
          <w:szCs w:val="32"/>
          <w:shd w:val="clear" w:color="auto" w:fill="FFFFFF"/>
          <w:lang w:eastAsia="zh-CN"/>
        </w:rPr>
        <w:t>保障</w:t>
      </w:r>
      <w:r>
        <w:rPr>
          <w:rFonts w:hint="eastAsia" w:ascii="仿宋" w:hAnsi="仿宋" w:eastAsia="仿宋" w:cs="仿宋"/>
          <w:color w:val="auto"/>
          <w:kern w:val="0"/>
          <w:sz w:val="32"/>
          <w:szCs w:val="32"/>
          <w:shd w:val="clear" w:color="auto" w:fill="FFFFFF"/>
          <w:lang w:val="en-US" w:eastAsia="zh-CN"/>
        </w:rPr>
        <w:t>44.07</w:t>
      </w:r>
      <w:r>
        <w:rPr>
          <w:rFonts w:hint="eastAsia" w:ascii="仿宋" w:hAnsi="仿宋" w:eastAsia="仿宋" w:cs="仿宋"/>
          <w:color w:val="auto"/>
          <w:kern w:val="0"/>
          <w:sz w:val="32"/>
          <w:szCs w:val="32"/>
          <w:shd w:val="clear" w:color="auto" w:fill="FFFFFF"/>
        </w:rPr>
        <w:t>万元，</w:t>
      </w:r>
      <w:r>
        <w:rPr>
          <w:rFonts w:hint="eastAsia" w:ascii="仿宋" w:hAnsi="仿宋" w:eastAsia="仿宋" w:cs="仿宋"/>
          <w:color w:val="auto"/>
          <w:kern w:val="0"/>
          <w:sz w:val="32"/>
          <w:szCs w:val="32"/>
          <w:shd w:val="clear" w:color="auto" w:fill="FFFFFF"/>
          <w:lang w:eastAsia="zh-CN"/>
        </w:rPr>
        <w:t>行政运行：</w:t>
      </w:r>
      <w:r>
        <w:rPr>
          <w:rFonts w:hint="eastAsia" w:ascii="仿宋" w:hAnsi="仿宋" w:eastAsia="仿宋" w:cs="仿宋"/>
          <w:color w:val="auto"/>
          <w:kern w:val="0"/>
          <w:sz w:val="32"/>
          <w:szCs w:val="32"/>
          <w:shd w:val="clear" w:color="auto" w:fill="FFFFFF"/>
          <w:lang w:val="en-US" w:eastAsia="zh-CN"/>
        </w:rPr>
        <w:t>271.08万元，事业运行：198.37万元;灾害防治及应急管理支出：4163.9万元。</w:t>
      </w:r>
    </w:p>
    <w:p>
      <w:pPr>
        <w:widowControl/>
        <w:adjustRightInd w:val="0"/>
        <w:snapToGrid w:val="0"/>
        <w:spacing w:line="580" w:lineRule="exact"/>
        <w:ind w:firstLine="640" w:firstLineChars="200"/>
        <w:contextualSpacing/>
        <w:jc w:val="left"/>
        <w:rPr>
          <w:rFonts w:ascii="仿宋_GB2312" w:cs="宋体"/>
          <w:color w:val="000000"/>
          <w:kern w:val="0"/>
          <w:szCs w:val="32"/>
          <w:shd w:val="clear" w:color="auto" w:fill="FFFFFF"/>
          <w:lang w:val="zh-CN"/>
        </w:rPr>
      </w:pPr>
      <w:r>
        <w:rPr>
          <w:rFonts w:hint="eastAsia" w:ascii="仿宋" w:hAnsi="仿宋" w:eastAsia="仿宋" w:cs="仿宋"/>
          <w:color w:val="000000"/>
          <w:kern w:val="0"/>
          <w:sz w:val="32"/>
          <w:szCs w:val="32"/>
          <w:shd w:val="clear" w:color="auto" w:fill="FFFFFF"/>
        </w:rPr>
        <w:t>财政拨款支出主要用于保障本部门机构正常运转、完成日常工作任务。基本人员支出，是用于本单位人员工资和社保就业保障经费。日常公用支出包括办公费、印刷费、电费、等日常公用经费。</w:t>
      </w:r>
    </w:p>
    <w:p>
      <w:pPr>
        <w:widowControl/>
        <w:adjustRightInd w:val="0"/>
        <w:snapToGrid w:val="0"/>
        <w:spacing w:line="580" w:lineRule="exact"/>
        <w:ind w:firstLine="640" w:firstLineChars="200"/>
        <w:contextualSpacing/>
        <w:jc w:val="left"/>
        <w:rPr>
          <w:rFonts w:ascii="黑体" w:eastAsia="黑体" w:cs="宋体"/>
          <w:color w:val="000000"/>
          <w:kern w:val="0"/>
          <w:szCs w:val="32"/>
          <w:shd w:val="clear" w:color="auto" w:fill="FFFFFF"/>
        </w:rPr>
      </w:pPr>
      <w:r>
        <w:rPr>
          <w:rFonts w:hint="eastAsia" w:ascii="黑体" w:eastAsia="黑体" w:cs="宋体"/>
          <w:color w:val="000000"/>
          <w:kern w:val="0"/>
          <w:sz w:val="32"/>
          <w:szCs w:val="32"/>
          <w:shd w:val="clear" w:color="auto" w:fill="FFFFFF"/>
        </w:rPr>
        <w:t>三、部门整体预算绩效管理情况（根据适用指标体系进行调整</w:t>
      </w:r>
      <w:r>
        <w:rPr>
          <w:rFonts w:hint="eastAsia" w:ascii="黑体" w:eastAsia="黑体" w:cs="宋体"/>
          <w:color w:val="000000"/>
          <w:kern w:val="0"/>
          <w:sz w:val="32"/>
          <w:szCs w:val="32"/>
          <w:shd w:val="clear" w:color="auto" w:fill="FFFFFF"/>
          <w:lang w:eastAsia="zh-CN"/>
        </w:rPr>
        <w:t>，涉及到有专项预算的部门，专项预算项目自评报告根据要求另行单独报送</w:t>
      </w:r>
      <w:r>
        <w:rPr>
          <w:rFonts w:hint="eastAsia" w:ascii="黑体" w:eastAsia="黑体" w:cs="宋体"/>
          <w:color w:val="000000"/>
          <w:kern w:val="0"/>
          <w:sz w:val="32"/>
          <w:szCs w:val="32"/>
          <w:shd w:val="clear" w:color="auto" w:fill="FFFFFF"/>
        </w:rPr>
        <w:t>）</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（一）部门预算管理。</w:t>
      </w:r>
    </w:p>
    <w:p>
      <w:pPr>
        <w:widowControl/>
        <w:adjustRightInd w:val="0"/>
        <w:snapToGrid w:val="0"/>
        <w:spacing w:line="600" w:lineRule="exact"/>
        <w:ind w:firstLine="640" w:firstLineChars="20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严格按照县级部门预算编制通知和有关要求，按时完成各项报送工作，预算编制中，特别注意对预算编制准确性的把握，并严格按照要求进行预算执行调整。按时完成待批复提前细化。20</w:t>
      </w:r>
      <w:r>
        <w:rPr>
          <w:rFonts w:hint="eastAsia" w:ascii="仿宋" w:hAnsi="仿宋" w:eastAsia="仿宋" w:cs="仿宋"/>
          <w:color w:val="000000"/>
          <w:kern w:val="0"/>
          <w:sz w:val="32"/>
          <w:szCs w:val="32"/>
          <w:shd w:val="clear" w:color="auto" w:fill="FFFFFF"/>
          <w:lang w:val="en-US" w:eastAsia="zh-CN"/>
        </w:rPr>
        <w:t>21</w:t>
      </w:r>
      <w:r>
        <w:rPr>
          <w:rFonts w:hint="eastAsia" w:ascii="仿宋" w:hAnsi="仿宋" w:eastAsia="仿宋" w:cs="仿宋"/>
          <w:color w:val="000000"/>
          <w:kern w:val="0"/>
          <w:sz w:val="32"/>
          <w:szCs w:val="32"/>
          <w:shd w:val="clear" w:color="auto" w:fill="FFFFFF"/>
        </w:rPr>
        <w:t>年</w:t>
      </w:r>
      <w:r>
        <w:rPr>
          <w:rFonts w:hint="eastAsia" w:ascii="仿宋" w:hAnsi="仿宋" w:eastAsia="仿宋" w:cs="仿宋"/>
          <w:color w:val="000000"/>
          <w:kern w:val="0"/>
          <w:sz w:val="32"/>
          <w:szCs w:val="32"/>
          <w:shd w:val="clear" w:color="auto" w:fill="FFFFFF"/>
          <w:lang w:eastAsia="zh-CN"/>
        </w:rPr>
        <w:t>年末</w:t>
      </w:r>
      <w:r>
        <w:rPr>
          <w:rFonts w:hint="eastAsia" w:ascii="仿宋" w:hAnsi="仿宋" w:eastAsia="仿宋" w:cs="仿宋"/>
          <w:color w:val="000000"/>
          <w:kern w:val="0"/>
          <w:sz w:val="32"/>
          <w:szCs w:val="32"/>
          <w:shd w:val="clear" w:color="auto" w:fill="FFFFFF"/>
        </w:rPr>
        <w:t>按编制标准我单位</w:t>
      </w:r>
      <w:r>
        <w:rPr>
          <w:rFonts w:hint="eastAsia" w:ascii="仿宋" w:hAnsi="仿宋" w:eastAsia="仿宋" w:cs="仿宋"/>
          <w:color w:val="000000"/>
          <w:sz w:val="32"/>
          <w:szCs w:val="32"/>
        </w:rPr>
        <w:t>在职职工</w:t>
      </w:r>
      <w:r>
        <w:rPr>
          <w:rFonts w:hint="eastAsia" w:ascii="仿宋" w:hAnsi="仿宋" w:eastAsia="仿宋" w:cs="仿宋"/>
          <w:color w:val="000000"/>
          <w:sz w:val="32"/>
          <w:szCs w:val="32"/>
          <w:lang w:val="en-US" w:eastAsia="zh-CN"/>
        </w:rPr>
        <w:t>32</w:t>
      </w:r>
      <w:r>
        <w:rPr>
          <w:rFonts w:hint="eastAsia" w:ascii="仿宋" w:hAnsi="仿宋" w:eastAsia="仿宋" w:cs="仿宋"/>
          <w:color w:val="000000"/>
          <w:sz w:val="32"/>
          <w:szCs w:val="32"/>
        </w:rPr>
        <w:t>人</w:t>
      </w:r>
      <w:r>
        <w:rPr>
          <w:rFonts w:hint="eastAsia" w:ascii="仿宋" w:hAnsi="仿宋" w:eastAsia="仿宋" w:cs="仿宋"/>
          <w:color w:val="000000"/>
          <w:kern w:val="0"/>
          <w:sz w:val="32"/>
          <w:szCs w:val="32"/>
          <w:shd w:val="clear" w:color="auto" w:fill="FFFFFF"/>
        </w:rPr>
        <w:t>，本单位预算在财政部门批复后及时填报预算公示报表报财政审核在政府信息公开网上公示。</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（二）结果应用情况。</w:t>
      </w:r>
    </w:p>
    <w:p>
      <w:pPr>
        <w:numPr>
          <w:ilvl w:val="0"/>
          <w:numId w:val="0"/>
        </w:numPr>
        <w:spacing w:line="560" w:lineRule="exact"/>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对资金进行严格的管理，特别对上级拨付的专项资金做到专款专用，“三公”经费严格按照</w:t>
      </w:r>
      <w:r>
        <w:rPr>
          <w:rFonts w:hint="eastAsia" w:ascii="仿宋" w:hAnsi="仿宋" w:eastAsia="仿宋" w:cs="仿宋"/>
          <w:sz w:val="32"/>
          <w:szCs w:val="32"/>
          <w:lang w:eastAsia="zh-CN"/>
        </w:rPr>
        <w:t>标准</w:t>
      </w:r>
      <w:r>
        <w:rPr>
          <w:rFonts w:hint="eastAsia" w:ascii="仿宋" w:hAnsi="仿宋" w:eastAsia="仿宋" w:cs="仿宋"/>
          <w:sz w:val="32"/>
          <w:szCs w:val="32"/>
        </w:rPr>
        <w:t>执行。</w:t>
      </w:r>
    </w:p>
    <w:p>
      <w:pPr>
        <w:widowControl/>
        <w:spacing w:line="56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shd w:val="clear" w:color="auto" w:fill="FFFFFF"/>
        </w:rPr>
        <w:t>1、执行管理情况：我单位20</w:t>
      </w:r>
      <w:r>
        <w:rPr>
          <w:rFonts w:hint="eastAsia" w:ascii="仿宋" w:hAnsi="仿宋" w:eastAsia="仿宋" w:cs="仿宋"/>
          <w:color w:val="000000"/>
          <w:kern w:val="0"/>
          <w:sz w:val="32"/>
          <w:szCs w:val="32"/>
          <w:shd w:val="clear" w:color="auto" w:fill="FFFFFF"/>
          <w:lang w:val="en-US" w:eastAsia="zh-CN"/>
        </w:rPr>
        <w:t>21</w:t>
      </w:r>
      <w:r>
        <w:rPr>
          <w:rFonts w:hint="eastAsia" w:ascii="仿宋" w:hAnsi="仿宋" w:eastAsia="仿宋" w:cs="仿宋"/>
          <w:color w:val="000000"/>
          <w:kern w:val="0"/>
          <w:sz w:val="32"/>
          <w:szCs w:val="32"/>
          <w:shd w:val="clear" w:color="auto" w:fill="FFFFFF"/>
        </w:rPr>
        <w:t>年执行进度均达到本部门执行进度。</w:t>
      </w:r>
      <w:r>
        <w:rPr>
          <w:rFonts w:hint="eastAsia" w:ascii="仿宋" w:hAnsi="仿宋" w:eastAsia="仿宋" w:cs="仿宋"/>
          <w:sz w:val="32"/>
          <w:szCs w:val="32"/>
        </w:rPr>
        <w:t>预算经费中人员经费是按月拔付，公用经费是按季进行拔付。</w:t>
      </w:r>
    </w:p>
    <w:p>
      <w:pPr>
        <w:widowControl/>
        <w:adjustRightInd w:val="0"/>
        <w:snapToGrid w:val="0"/>
        <w:spacing w:line="600" w:lineRule="exact"/>
        <w:ind w:firstLine="640" w:firstLineChars="20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 xml:space="preserve">2、厉行节约方面。 </w:t>
      </w:r>
    </w:p>
    <w:p>
      <w:pPr>
        <w:widowControl/>
        <w:adjustRightInd w:val="0"/>
        <w:snapToGrid w:val="0"/>
        <w:spacing w:line="600" w:lineRule="exact"/>
        <w:ind w:firstLine="640" w:firstLineChars="200"/>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我单位认真贯彻落实中央和省委省政府相关规定，厉行节约，严格控制因公出国（境）费用、车辆购置及运行费用和公务接待经费。</w:t>
      </w: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7万元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7</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（一）评价结论。</w:t>
      </w:r>
    </w:p>
    <w:p>
      <w:pPr>
        <w:widowControl/>
        <w:adjustRightInd w:val="0"/>
        <w:snapToGrid w:val="0"/>
        <w:spacing w:line="560" w:lineRule="exact"/>
        <w:ind w:firstLine="640" w:firstLineChars="20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按照国家政策法规规定，结合本部门的实际情况，建立健全了财务管理制度和约束机制，依法、有效地使用财政资金，提高财政资金使用效率，合理分配人、财、物，完成了部门职能目标，实现了较高的工作效率和支出绩效。</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（二）存在问题。</w:t>
      </w:r>
    </w:p>
    <w:p>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1</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预算执行存在偏差</w:t>
      </w:r>
    </w:p>
    <w:p>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由于年中部分新项目的启动，编制预算时难以精确预计，在预算执行中造成个别预算项目出现偏差现象。</w:t>
      </w:r>
    </w:p>
    <w:p>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2</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固定资产管理水平有待提高</w:t>
      </w:r>
    </w:p>
    <w:p>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固定资产台账未定期与账面资产金额对账，且未与实物进行清点，导致年末资产台账与账面资产金额存在稍许差异，固定资产管理有待加强。</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宋体"/>
          <w:color w:val="000000"/>
          <w:kern w:val="0"/>
          <w:sz w:val="32"/>
          <w:szCs w:val="32"/>
          <w:shd w:val="clear" w:color="auto" w:fill="FFFFFF"/>
          <w:lang w:val="en-US" w:eastAsia="zh-CN"/>
        </w:rPr>
        <w:t>三</w:t>
      </w:r>
      <w:r>
        <w:rPr>
          <w:rFonts w:hint="eastAsia" w:ascii="仿宋_GB2312" w:eastAsia="仿宋_GB2312" w:cs="宋体"/>
          <w:color w:val="000000"/>
          <w:kern w:val="0"/>
          <w:sz w:val="32"/>
          <w:szCs w:val="32"/>
          <w:shd w:val="clear" w:color="auto" w:fill="FFFFFF"/>
          <w:lang w:val="zh-CN"/>
        </w:rPr>
        <w:t>）改进建议。</w:t>
      </w:r>
    </w:p>
    <w:p>
      <w:pPr>
        <w:widowControl/>
        <w:shd w:val="clear" w:color="auto" w:fill="FFFFFF"/>
        <w:adjustRightInd w:val="0"/>
        <w:snapToGrid w:val="0"/>
        <w:spacing w:line="560" w:lineRule="exact"/>
        <w:ind w:firstLine="640"/>
        <w:jc w:val="left"/>
        <w:rPr>
          <w:rFonts w:hint="eastAsia"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针对上述存在的问题及对外整体支出管理工作的需要，拟实施的改进措施如下：</w:t>
      </w:r>
    </w:p>
    <w:p>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1</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规范账务处理，提高财务信息质量</w:t>
      </w:r>
    </w:p>
    <w:p>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严格按照《会计法》等规定执行财务核算，并结合实际情况，完整、准确地披露相关信息，尽可能地做到决算与预算相衔接。</w:t>
      </w:r>
    </w:p>
    <w:p>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2</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完善管理制度，进一步加强资产管理</w:t>
      </w:r>
    </w:p>
    <w:p>
      <w:pPr>
        <w:widowControl/>
        <w:shd w:val="clear" w:color="auto" w:fill="FFFFFF"/>
        <w:adjustRightInd w:val="0"/>
        <w:snapToGrid w:val="0"/>
        <w:spacing w:line="560" w:lineRule="exact"/>
        <w:ind w:firstLine="640"/>
        <w:jc w:val="left"/>
        <w:rPr>
          <w:rFonts w:hint="default" w:ascii="仿宋_GB2312" w:eastAsia="仿宋_GB2312"/>
          <w:b w:val="0"/>
          <w:bCs/>
          <w:color w:val="000000"/>
          <w:kern w:val="0"/>
          <w:sz w:val="32"/>
          <w:szCs w:val="32"/>
          <w:lang w:val="en-US" w:eastAsia="zh-CN"/>
        </w:rPr>
      </w:pPr>
      <w:r>
        <w:rPr>
          <w:rFonts w:hint="eastAsia" w:ascii="仿宋_GB2312" w:eastAsia="仿宋_GB2312"/>
          <w:b w:val="0"/>
          <w:bCs/>
          <w:color w:val="000000"/>
          <w:kern w:val="0"/>
          <w:sz w:val="32"/>
          <w:szCs w:val="32"/>
          <w:lang w:val="en-US" w:eastAsia="zh-CN"/>
        </w:rPr>
        <w:t>进一步贯彻落实中央</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八项规定</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和湖南省委</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九条规定</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，建立本部门</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三公经费</w:t>
      </w:r>
      <w:r>
        <w:rPr>
          <w:rFonts w:hint="default" w:ascii="仿宋_GB2312" w:eastAsia="仿宋_GB2312"/>
          <w:b w:val="0"/>
          <w:bCs/>
          <w:color w:val="000000"/>
          <w:kern w:val="0"/>
          <w:sz w:val="32"/>
          <w:szCs w:val="32"/>
          <w:lang w:val="en-US" w:eastAsia="zh-CN"/>
        </w:rPr>
        <w:t>”</w:t>
      </w:r>
      <w:r>
        <w:rPr>
          <w:rFonts w:hint="eastAsia" w:ascii="仿宋_GB2312" w:eastAsia="仿宋_GB2312"/>
          <w:b w:val="0"/>
          <w:bCs/>
          <w:color w:val="000000"/>
          <w:kern w:val="0"/>
          <w:sz w:val="32"/>
          <w:szCs w:val="32"/>
          <w:lang w:val="en-US" w:eastAsia="zh-CN"/>
        </w:rPr>
        <w:t>等公务支出管理细则及厉行节约制度，加强经费审批和控制，严格规范支出标准与范围，并严格执行。严格按照《固定资产管理办法》的规定加强固定资产管理，及时登记、更新台账，加强资产卡片管理，年终前对各类实物资产进行全面盘点，确保账账、账实相符。</w:t>
      </w:r>
    </w:p>
    <w:p>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r>
        <w:rPr>
          <w:rFonts w:hint="eastAsia" w:ascii="仿宋_GB2312" w:hAnsi="宋体" w:eastAsia="仿宋_GB2312" w:cs="宋体"/>
          <w:color w:val="000000"/>
          <w:kern w:val="0"/>
          <w:sz w:val="32"/>
          <w:szCs w:val="32"/>
          <w:lang w:val="en-US" w:eastAsia="zh-CN" w:bidi="ar-SA"/>
        </w:rPr>
        <w:t>3</w:t>
      </w:r>
      <w:r>
        <w:rPr>
          <w:rFonts w:hint="eastAsia" w:ascii="仿宋_GB2312" w:eastAsia="仿宋_GB2312" w:cs="宋体"/>
          <w:color w:val="000000"/>
          <w:kern w:val="0"/>
          <w:sz w:val="32"/>
          <w:szCs w:val="32"/>
          <w:lang w:val="en-US" w:eastAsia="zh-CN" w:bidi="ar-SA"/>
        </w:rPr>
        <w:t>.</w:t>
      </w:r>
      <w:r>
        <w:rPr>
          <w:rFonts w:hint="eastAsia" w:ascii="仿宋_GB2312" w:hAnsi="宋体" w:eastAsia="仿宋_GB2312" w:cs="宋体"/>
          <w:color w:val="000000"/>
          <w:kern w:val="0"/>
          <w:sz w:val="32"/>
          <w:szCs w:val="32"/>
          <w:lang w:val="en-US" w:eastAsia="zh-CN" w:bidi="ar-SA"/>
        </w:rPr>
        <w:t>加强新行政单位会计制度和新预算法学习培训</w:t>
      </w: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r>
        <w:rPr>
          <w:rFonts w:hint="eastAsia" w:ascii="仿宋_GB2312" w:eastAsia="仿宋_GB2312"/>
          <w:b w:val="0"/>
          <w:bCs/>
          <w:color w:val="000000"/>
          <w:kern w:val="0"/>
          <w:sz w:val="32"/>
          <w:szCs w:val="32"/>
          <w:lang w:val="en-US" w:eastAsia="zh-CN"/>
        </w:rPr>
        <w:t>加强新《预算法》的学习培训，规范部门预算收支核算，一是制定和完善基本支出、项目支出等各项支出标准，严格按照项目和进度执行预算，增强预算的约束力和严肃性。二是落实预算执行分析，及时了解预算执行差异，合理调整、</w:t>
      </w:r>
      <w:r>
        <w:rPr>
          <w:rFonts w:hint="eastAsia" w:ascii="仿宋_GB2312" w:hAnsi="宋体" w:eastAsia="仿宋_GB2312" w:cs="宋体"/>
          <w:color w:val="000000"/>
          <w:kern w:val="0"/>
          <w:sz w:val="32"/>
          <w:szCs w:val="32"/>
          <w:lang w:val="en-US" w:eastAsia="zh-CN" w:bidi="ar-SA"/>
        </w:rPr>
        <w:t>纠正预算执行偏差，切实提高部门预算收支管理水平。</w:t>
      </w: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eastAsia" w:ascii="仿宋_GB2312" w:hAnsi="宋体" w:eastAsia="仿宋_GB2312" w:cs="宋体"/>
          <w:color w:val="000000"/>
          <w:kern w:val="0"/>
          <w:sz w:val="32"/>
          <w:szCs w:val="32"/>
          <w:lang w:val="en-US" w:eastAsia="zh-CN" w:bidi="ar-SA"/>
        </w:rPr>
      </w:pPr>
    </w:p>
    <w:p>
      <w:pPr>
        <w:pStyle w:val="15"/>
        <w:keepNext w:val="0"/>
        <w:keepLines w:val="0"/>
        <w:widowControl/>
        <w:suppressLineNumbers w:val="0"/>
        <w:spacing w:before="0" w:beforeAutospacing="0" w:after="0" w:afterAutospacing="0" w:line="600" w:lineRule="atLeast"/>
        <w:ind w:left="0" w:right="0" w:firstLine="643"/>
        <w:jc w:val="both"/>
        <w:rPr>
          <w:rFonts w:hint="default" w:ascii="仿宋_GB2312" w:hAnsi="宋体" w:eastAsia="仿宋_GB2312" w:cs="宋体"/>
          <w:color w:val="000000"/>
          <w:kern w:val="0"/>
          <w:sz w:val="32"/>
          <w:szCs w:val="32"/>
          <w:lang w:val="en-US" w:eastAsia="zh-CN" w:bidi="ar-SA"/>
        </w:rPr>
      </w:pPr>
    </w:p>
    <w:p>
      <w:pPr>
        <w:spacing w:line="600" w:lineRule="exact"/>
        <w:ind w:firstLine="2640" w:firstLineChars="600"/>
        <w:jc w:val="both"/>
        <w:outlineLvl w:val="0"/>
        <w:rPr>
          <w:rStyle w:val="20"/>
          <w:rFonts w:hint="eastAsia" w:ascii="黑体" w:eastAsia="黑体"/>
          <w:b w:val="0"/>
        </w:rPr>
      </w:pPr>
      <w:bookmarkStart w:id="62" w:name="_Toc15396618"/>
      <w:bookmarkStart w:id="63" w:name="_Toc15396619"/>
      <w:r>
        <w:rPr>
          <w:rFonts w:hint="eastAsia" w:ascii="黑体" w:eastAsia="黑体"/>
          <w:color w:val="000000"/>
          <w:sz w:val="44"/>
          <w:szCs w:val="44"/>
        </w:rPr>
        <w:t>第</w:t>
      </w:r>
      <w:r>
        <w:rPr>
          <w:rStyle w:val="20"/>
          <w:rFonts w:hint="eastAsia" w:ascii="黑体" w:eastAsia="黑体"/>
          <w:b w:val="0"/>
        </w:rPr>
        <w:t>五部分 附表</w:t>
      </w:r>
      <w:bookmarkEnd w:id="62"/>
    </w:p>
    <w:p>
      <w:pPr>
        <w:spacing w:line="600" w:lineRule="exact"/>
        <w:jc w:val="both"/>
        <w:outlineLvl w:val="0"/>
        <w:rPr>
          <w:rFonts w:ascii="仿宋" w:eastAsia="仿宋"/>
          <w:color w:val="000000"/>
        </w:rPr>
      </w:pPr>
      <w:r>
        <w:rPr>
          <w:rStyle w:val="21"/>
          <w:rFonts w:hint="eastAsia" w:ascii="仿宋" w:eastAsia="仿宋"/>
          <w:b w:val="0"/>
          <w:bCs w:val="0"/>
        </w:rPr>
        <w:t>一、收入支出决算总表</w:t>
      </w:r>
      <w:bookmarkEnd w:id="63"/>
    </w:p>
    <w:p>
      <w:pPr>
        <w:pStyle w:val="6"/>
        <w:rPr>
          <w:rFonts w:ascii="仿宋" w:eastAsia="仿宋"/>
          <w:color w:val="000000"/>
        </w:rPr>
      </w:pPr>
      <w:bookmarkStart w:id="64" w:name="_Toc15396620"/>
      <w:r>
        <w:rPr>
          <w:rFonts w:hint="eastAsia" w:ascii="仿宋" w:eastAsia="仿宋"/>
          <w:b w:val="0"/>
          <w:color w:val="000000"/>
        </w:rPr>
        <w:t>二、收</w:t>
      </w:r>
      <w:r>
        <w:rPr>
          <w:rStyle w:val="21"/>
          <w:rFonts w:hint="eastAsia" w:ascii="仿宋" w:eastAsia="仿宋"/>
          <w:b w:val="0"/>
          <w:bCs w:val="0"/>
        </w:rPr>
        <w:t>入总表</w:t>
      </w:r>
      <w:bookmarkEnd w:id="64"/>
    </w:p>
    <w:p>
      <w:pPr>
        <w:pStyle w:val="6"/>
        <w:rPr>
          <w:rFonts w:ascii="仿宋" w:eastAsia="仿宋"/>
          <w:color w:val="000000"/>
        </w:rPr>
      </w:pPr>
      <w:bookmarkStart w:id="65" w:name="_Toc15396621"/>
      <w:r>
        <w:rPr>
          <w:rStyle w:val="21"/>
          <w:rFonts w:hint="eastAsia" w:ascii="仿宋" w:eastAsia="仿宋"/>
          <w:b w:val="0"/>
          <w:bCs w:val="0"/>
        </w:rPr>
        <w:t>三、</w:t>
      </w:r>
      <w:r>
        <w:rPr>
          <w:rFonts w:hint="eastAsia" w:ascii="仿宋" w:eastAsia="仿宋"/>
          <w:b w:val="0"/>
          <w:color w:val="000000"/>
        </w:rPr>
        <w:t>支</w:t>
      </w:r>
      <w:r>
        <w:rPr>
          <w:rStyle w:val="21"/>
          <w:rFonts w:hint="eastAsia" w:ascii="仿宋" w:eastAsia="仿宋"/>
          <w:b w:val="0"/>
          <w:bCs w:val="0"/>
        </w:rPr>
        <w:t>出总表</w:t>
      </w:r>
      <w:bookmarkEnd w:id="65"/>
    </w:p>
    <w:p>
      <w:pPr>
        <w:pStyle w:val="6"/>
        <w:rPr>
          <w:rFonts w:ascii="仿宋" w:eastAsia="仿宋"/>
          <w:b w:val="0"/>
          <w:color w:val="000000"/>
        </w:rPr>
      </w:pPr>
      <w:bookmarkStart w:id="66" w:name="_Toc15396622"/>
      <w:r>
        <w:rPr>
          <w:rStyle w:val="21"/>
          <w:rFonts w:hint="eastAsia" w:ascii="仿宋" w:eastAsia="仿宋"/>
          <w:b w:val="0"/>
          <w:bCs w:val="0"/>
        </w:rPr>
        <w:t>四、</w:t>
      </w:r>
      <w:r>
        <w:rPr>
          <w:rFonts w:hint="eastAsia" w:ascii="仿宋" w:eastAsia="仿宋"/>
          <w:b w:val="0"/>
          <w:color w:val="000000"/>
        </w:rPr>
        <w:t>财</w:t>
      </w:r>
      <w:r>
        <w:rPr>
          <w:rStyle w:val="21"/>
          <w:rFonts w:hint="eastAsia" w:ascii="仿宋" w:eastAsia="仿宋"/>
          <w:b w:val="0"/>
          <w:bCs w:val="0"/>
        </w:rPr>
        <w:t>政拨款收入支出决算总表</w:t>
      </w:r>
      <w:bookmarkEnd w:id="66"/>
    </w:p>
    <w:p>
      <w:pPr>
        <w:pStyle w:val="6"/>
        <w:rPr>
          <w:rFonts w:ascii="仿宋" w:eastAsia="仿宋"/>
          <w:color w:val="000000"/>
        </w:rPr>
      </w:pPr>
      <w:bookmarkStart w:id="67" w:name="_Toc15396623"/>
      <w:r>
        <w:rPr>
          <w:rStyle w:val="21"/>
          <w:rFonts w:hint="eastAsia" w:ascii="仿宋" w:eastAsia="仿宋"/>
          <w:b w:val="0"/>
          <w:bCs w:val="0"/>
        </w:rPr>
        <w:t>五、</w:t>
      </w:r>
      <w:r>
        <w:rPr>
          <w:rFonts w:hint="eastAsia" w:ascii="仿宋" w:eastAsia="仿宋"/>
          <w:b w:val="0"/>
          <w:color w:val="000000"/>
        </w:rPr>
        <w:t>财</w:t>
      </w:r>
      <w:r>
        <w:rPr>
          <w:rStyle w:val="21"/>
          <w:rFonts w:hint="eastAsia" w:ascii="仿宋" w:eastAsia="仿宋"/>
          <w:b w:val="0"/>
          <w:bCs w:val="0"/>
        </w:rPr>
        <w:t>政拨款支出决算明细表（政府经济分类科目）</w:t>
      </w:r>
      <w:bookmarkEnd w:id="67"/>
    </w:p>
    <w:p>
      <w:pPr>
        <w:pStyle w:val="6"/>
        <w:rPr>
          <w:rFonts w:ascii="仿宋" w:eastAsia="仿宋"/>
          <w:color w:val="000000"/>
        </w:rPr>
      </w:pPr>
      <w:bookmarkStart w:id="68" w:name="_Toc15396624"/>
      <w:r>
        <w:rPr>
          <w:rStyle w:val="21"/>
          <w:rFonts w:hint="eastAsia" w:ascii="仿宋" w:eastAsia="仿宋"/>
          <w:b w:val="0"/>
          <w:bCs w:val="0"/>
        </w:rPr>
        <w:t>六、</w:t>
      </w:r>
      <w:r>
        <w:rPr>
          <w:rFonts w:hint="eastAsia" w:ascii="仿宋" w:eastAsia="仿宋"/>
          <w:b w:val="0"/>
          <w:color w:val="000000"/>
        </w:rPr>
        <w:t>一</w:t>
      </w:r>
      <w:r>
        <w:rPr>
          <w:rStyle w:val="21"/>
          <w:rFonts w:hint="eastAsia" w:ascii="仿宋" w:eastAsia="仿宋"/>
          <w:b w:val="0"/>
          <w:bCs w:val="0"/>
        </w:rPr>
        <w:t>般公共预算财政拨款支出决算表</w:t>
      </w:r>
      <w:bookmarkEnd w:id="68"/>
    </w:p>
    <w:p>
      <w:pPr>
        <w:pStyle w:val="6"/>
        <w:rPr>
          <w:rFonts w:ascii="仿宋" w:eastAsia="仿宋"/>
          <w:color w:val="000000"/>
        </w:rPr>
      </w:pPr>
      <w:bookmarkStart w:id="69" w:name="_Toc15396625"/>
      <w:r>
        <w:rPr>
          <w:rStyle w:val="21"/>
          <w:rFonts w:hint="eastAsia" w:ascii="仿宋" w:eastAsia="仿宋"/>
          <w:b w:val="0"/>
          <w:bCs w:val="0"/>
        </w:rPr>
        <w:t>七、</w:t>
      </w:r>
      <w:r>
        <w:rPr>
          <w:rFonts w:hint="eastAsia" w:ascii="仿宋" w:eastAsia="仿宋"/>
          <w:b w:val="0"/>
          <w:color w:val="000000"/>
        </w:rPr>
        <w:t>一</w:t>
      </w:r>
      <w:r>
        <w:rPr>
          <w:rStyle w:val="21"/>
          <w:rFonts w:hint="eastAsia" w:ascii="仿宋" w:eastAsia="仿宋"/>
          <w:b w:val="0"/>
          <w:bCs w:val="0"/>
        </w:rPr>
        <w:t>般公共预算财政拨款支出决算明细表</w:t>
      </w:r>
      <w:bookmarkEnd w:id="69"/>
    </w:p>
    <w:p>
      <w:pPr>
        <w:pStyle w:val="6"/>
        <w:rPr>
          <w:rFonts w:ascii="仿宋" w:eastAsia="仿宋"/>
          <w:color w:val="000000"/>
        </w:rPr>
      </w:pPr>
      <w:bookmarkStart w:id="70" w:name="_Toc15396626"/>
      <w:r>
        <w:rPr>
          <w:rStyle w:val="21"/>
          <w:rFonts w:hint="eastAsia" w:ascii="仿宋" w:eastAsia="仿宋"/>
          <w:b w:val="0"/>
          <w:bCs w:val="0"/>
        </w:rPr>
        <w:t>八、</w:t>
      </w:r>
      <w:r>
        <w:rPr>
          <w:rFonts w:hint="eastAsia" w:ascii="仿宋" w:eastAsia="仿宋"/>
          <w:b w:val="0"/>
          <w:color w:val="000000"/>
        </w:rPr>
        <w:t>一</w:t>
      </w:r>
      <w:r>
        <w:rPr>
          <w:rStyle w:val="21"/>
          <w:rFonts w:hint="eastAsia" w:ascii="仿宋" w:eastAsia="仿宋"/>
          <w:b w:val="0"/>
          <w:bCs w:val="0"/>
        </w:rPr>
        <w:t>般公共预算财政拨款基本支出决算表</w:t>
      </w:r>
      <w:bookmarkEnd w:id="70"/>
    </w:p>
    <w:p>
      <w:pPr>
        <w:pStyle w:val="6"/>
        <w:rPr>
          <w:rFonts w:ascii="仿宋" w:eastAsia="仿宋"/>
          <w:color w:val="000000"/>
        </w:rPr>
      </w:pPr>
      <w:bookmarkStart w:id="71" w:name="_Toc15396627"/>
      <w:r>
        <w:rPr>
          <w:rStyle w:val="21"/>
          <w:rFonts w:hint="eastAsia" w:ascii="仿宋" w:eastAsia="仿宋"/>
          <w:b w:val="0"/>
          <w:bCs w:val="0"/>
        </w:rPr>
        <w:t>九、</w:t>
      </w:r>
      <w:r>
        <w:rPr>
          <w:rFonts w:hint="eastAsia" w:ascii="仿宋" w:eastAsia="仿宋"/>
          <w:b w:val="0"/>
          <w:color w:val="000000"/>
        </w:rPr>
        <w:t>一</w:t>
      </w:r>
      <w:r>
        <w:rPr>
          <w:rStyle w:val="21"/>
          <w:rFonts w:hint="eastAsia" w:ascii="仿宋" w:eastAsia="仿宋"/>
          <w:b w:val="0"/>
          <w:bCs w:val="0"/>
        </w:rPr>
        <w:t>般公共预算财政拨款项目支出决算表</w:t>
      </w:r>
      <w:bookmarkEnd w:id="71"/>
    </w:p>
    <w:p>
      <w:pPr>
        <w:pStyle w:val="6"/>
        <w:rPr>
          <w:rFonts w:ascii="仿宋" w:eastAsia="仿宋"/>
          <w:color w:val="000000"/>
        </w:rPr>
      </w:pPr>
      <w:bookmarkStart w:id="72" w:name="_Toc15396628"/>
      <w:r>
        <w:rPr>
          <w:rStyle w:val="21"/>
          <w:rFonts w:hint="eastAsia" w:ascii="仿宋" w:eastAsia="仿宋"/>
          <w:b w:val="0"/>
          <w:bCs w:val="0"/>
        </w:rPr>
        <w:t>十、</w:t>
      </w:r>
      <w:r>
        <w:rPr>
          <w:rFonts w:hint="eastAsia" w:ascii="仿宋" w:eastAsia="仿宋"/>
          <w:b w:val="0"/>
          <w:color w:val="000000"/>
        </w:rPr>
        <w:t>一</w:t>
      </w:r>
      <w:r>
        <w:rPr>
          <w:rStyle w:val="21"/>
          <w:rFonts w:hint="eastAsia" w:ascii="仿宋" w:eastAsia="仿宋"/>
          <w:b w:val="0"/>
          <w:bCs w:val="0"/>
        </w:rPr>
        <w:t>般公共预算财政拨款“三公”经费支出决算表</w:t>
      </w:r>
      <w:bookmarkEnd w:id="72"/>
    </w:p>
    <w:p>
      <w:pPr>
        <w:pStyle w:val="6"/>
        <w:rPr>
          <w:rFonts w:ascii="仿宋" w:eastAsia="仿宋"/>
          <w:color w:val="000000"/>
        </w:rPr>
      </w:pPr>
      <w:bookmarkStart w:id="73" w:name="_Toc15396629"/>
      <w:r>
        <w:rPr>
          <w:rStyle w:val="21"/>
          <w:rFonts w:hint="eastAsia" w:ascii="仿宋" w:eastAsia="仿宋"/>
          <w:b w:val="0"/>
          <w:bCs w:val="0"/>
        </w:rPr>
        <w:t>十一、</w:t>
      </w:r>
      <w:r>
        <w:rPr>
          <w:rFonts w:hint="eastAsia" w:ascii="仿宋" w:eastAsia="仿宋"/>
          <w:b w:val="0"/>
          <w:color w:val="000000"/>
        </w:rPr>
        <w:t>政</w:t>
      </w:r>
      <w:r>
        <w:rPr>
          <w:rStyle w:val="21"/>
          <w:rFonts w:hint="eastAsia" w:ascii="仿宋" w:eastAsia="仿宋"/>
          <w:b w:val="0"/>
          <w:bCs w:val="0"/>
        </w:rPr>
        <w:t>府性基金预算财政拨款收入支出决算表</w:t>
      </w:r>
      <w:bookmarkEnd w:id="73"/>
    </w:p>
    <w:p>
      <w:pPr>
        <w:pStyle w:val="6"/>
        <w:rPr>
          <w:rFonts w:ascii="仿宋" w:eastAsia="仿宋"/>
          <w:color w:val="000000"/>
        </w:rPr>
      </w:pPr>
      <w:bookmarkStart w:id="74" w:name="_Toc15396630"/>
      <w:r>
        <w:rPr>
          <w:rStyle w:val="21"/>
          <w:rFonts w:hint="eastAsia" w:ascii="仿宋" w:eastAsia="仿宋"/>
          <w:b w:val="0"/>
          <w:bCs w:val="0"/>
        </w:rPr>
        <w:t>十二、</w:t>
      </w:r>
      <w:r>
        <w:rPr>
          <w:rFonts w:hint="eastAsia" w:ascii="仿宋" w:eastAsia="仿宋"/>
          <w:b w:val="0"/>
          <w:color w:val="000000"/>
        </w:rPr>
        <w:t>政</w:t>
      </w:r>
      <w:r>
        <w:rPr>
          <w:rStyle w:val="21"/>
          <w:rFonts w:hint="eastAsia" w:ascii="仿宋" w:eastAsia="仿宋"/>
          <w:b w:val="0"/>
          <w:bCs w:val="0"/>
        </w:rPr>
        <w:t>府性基金预算财政拨款“三公”经费支出决算表</w:t>
      </w:r>
      <w:bookmarkEnd w:id="74"/>
    </w:p>
    <w:p>
      <w:pPr>
        <w:pStyle w:val="6"/>
        <w:rPr>
          <w:rStyle w:val="21"/>
          <w:rFonts w:hint="eastAsia" w:ascii="仿宋" w:eastAsia="仿宋"/>
          <w:b w:val="0"/>
          <w:bCs w:val="0"/>
        </w:rPr>
      </w:pPr>
      <w:bookmarkStart w:id="75" w:name="_Toc15396631"/>
      <w:r>
        <w:rPr>
          <w:rStyle w:val="21"/>
          <w:rFonts w:hint="eastAsia" w:ascii="仿宋" w:eastAsia="仿宋"/>
          <w:b w:val="0"/>
          <w:bCs w:val="0"/>
        </w:rPr>
        <w:t>十三、</w:t>
      </w:r>
      <w:r>
        <w:rPr>
          <w:rFonts w:hint="eastAsia" w:ascii="仿宋" w:eastAsia="仿宋"/>
          <w:b w:val="0"/>
          <w:color w:val="000000"/>
        </w:rPr>
        <w:t>国</w:t>
      </w:r>
      <w:r>
        <w:rPr>
          <w:rStyle w:val="21"/>
          <w:rFonts w:hint="eastAsia" w:ascii="仿宋" w:eastAsia="仿宋"/>
          <w:b w:val="0"/>
          <w:bCs w:val="0"/>
        </w:rPr>
        <w:t>有资本经营预算支出决算表</w:t>
      </w:r>
      <w:bookmarkEnd w:id="75"/>
    </w:p>
    <w:p>
      <w:pPr>
        <w:pStyle w:val="6"/>
        <w:rPr>
          <w:rStyle w:val="21"/>
          <w:rFonts w:hint="eastAsia" w:ascii="仿宋" w:eastAsia="仿宋"/>
          <w:b w:val="0"/>
          <w:bCs w:val="0"/>
        </w:rPr>
      </w:pPr>
      <w:r>
        <w:rPr>
          <w:rStyle w:val="21"/>
          <w:rFonts w:hint="eastAsia" w:ascii="仿宋" w:eastAsia="仿宋"/>
          <w:b w:val="0"/>
          <w:bCs w:val="0"/>
        </w:rPr>
        <w:t>十</w:t>
      </w:r>
      <w:r>
        <w:rPr>
          <w:rStyle w:val="21"/>
          <w:rFonts w:hint="eastAsia" w:ascii="仿宋" w:eastAsia="仿宋"/>
          <w:b w:val="0"/>
          <w:bCs w:val="0"/>
          <w:lang w:val="en-US" w:eastAsia="zh-CN"/>
        </w:rPr>
        <w:t>四</w:t>
      </w:r>
      <w:r>
        <w:rPr>
          <w:rStyle w:val="21"/>
          <w:rFonts w:hint="eastAsia" w:ascii="仿宋" w:eastAsia="仿宋"/>
          <w:b w:val="0"/>
          <w:bCs w:val="0"/>
        </w:rPr>
        <w:t>、</w:t>
      </w:r>
      <w:r>
        <w:rPr>
          <w:rStyle w:val="21"/>
          <w:rFonts w:hint="eastAsia" w:ascii="仿宋" w:eastAsia="仿宋"/>
          <w:b w:val="0"/>
          <w:bCs w:val="0"/>
        </w:rPr>
        <w:fldChar w:fldCharType="begin"/>
      </w:r>
      <w:r>
        <w:rPr>
          <w:rStyle w:val="21"/>
          <w:rFonts w:hint="eastAsia" w:ascii="仿宋" w:eastAsia="仿宋"/>
          <w:b w:val="0"/>
          <w:bCs w:val="0"/>
        </w:rPr>
        <w:instrText xml:space="preserve"> HYPERLINK \l "_Toc15396629" </w:instrText>
      </w:r>
      <w:r>
        <w:rPr>
          <w:rStyle w:val="21"/>
          <w:rFonts w:hint="eastAsia" w:ascii="仿宋" w:eastAsia="仿宋"/>
          <w:b w:val="0"/>
          <w:bCs w:val="0"/>
        </w:rPr>
        <w:fldChar w:fldCharType="separate"/>
      </w:r>
      <w:r>
        <w:rPr>
          <w:rStyle w:val="21"/>
          <w:rFonts w:hint="eastAsia" w:ascii="仿宋" w:eastAsia="仿宋"/>
          <w:b w:val="0"/>
          <w:bCs w:val="0"/>
          <w:lang w:val="en-US" w:eastAsia="zh-CN"/>
        </w:rPr>
        <w:t>国有资金经营预算财政拨款支出决算表</w:t>
      </w:r>
      <w:r>
        <w:rPr>
          <w:rStyle w:val="21"/>
          <w:rFonts w:hint="eastAsia" w:ascii="仿宋" w:eastAsia="仿宋"/>
          <w:b w:val="0"/>
          <w:bCs w:val="0"/>
        </w:rPr>
        <w:fldChar w:fldCharType="end"/>
      </w:r>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autotext"/>
      </w:docPartList>
    </w:sdtPr>
    <w:sdtContent>
      <w:p>
        <w:pPr>
          <w:pStyle w:val="12"/>
          <w:jc w:val="center"/>
        </w:pPr>
        <w:r>
          <w:fldChar w:fldCharType="begin"/>
        </w:r>
        <w:r>
          <w:instrText xml:space="preserve">PAGE   \* MERGEFORMAT</w:instrText>
        </w:r>
        <w:r>
          <w:fldChar w:fldCharType="separate"/>
        </w:r>
        <w:r>
          <w:rPr>
            <w:lang w:val="zh-CN"/>
          </w:rPr>
          <w:t>10</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4">
    <w:nsid w:val="2E2E0586"/>
    <w:multiLevelType w:val="singleLevel"/>
    <w:tmpl w:val="2E2E0586"/>
    <w:lvl w:ilvl="0" w:tentative="0">
      <w:start w:val="2"/>
      <w:numFmt w:val="chineseCounting"/>
      <w:suff w:val="space"/>
      <w:lvlText w:val="第%1部分"/>
      <w:lvlJc w:val="left"/>
      <w:rPr>
        <w:rFonts w:hint="eastAsia"/>
      </w:rPr>
    </w:lvl>
  </w:abstractNum>
  <w:abstractNum w:abstractNumId="5">
    <w:nsid w:val="3A74A3D9"/>
    <w:multiLevelType w:val="singleLevel"/>
    <w:tmpl w:val="3A74A3D9"/>
    <w:lvl w:ilvl="0" w:tentative="0">
      <w:start w:val="1"/>
      <w:numFmt w:val="decimal"/>
      <w:lvlText w:val="%1."/>
      <w:lvlJc w:val="left"/>
      <w:pPr>
        <w:tabs>
          <w:tab w:val="left" w:pos="312"/>
        </w:tabs>
      </w:p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WU0ODU5NWNjMTUyZDUzMWViZmI4NDQ3ZDQ2OGQ0ZmMifQ=="/>
  </w:docVars>
  <w:rsids>
    <w:rsidRoot w:val="00000000"/>
    <w:rsid w:val="02673BA2"/>
    <w:rsid w:val="0605187D"/>
    <w:rsid w:val="07FE3362"/>
    <w:rsid w:val="081C4DA3"/>
    <w:rsid w:val="09A957CB"/>
    <w:rsid w:val="0AAA4839"/>
    <w:rsid w:val="0D1667F7"/>
    <w:rsid w:val="0D8925DC"/>
    <w:rsid w:val="0ED704C9"/>
    <w:rsid w:val="0EE912AF"/>
    <w:rsid w:val="0FD549DE"/>
    <w:rsid w:val="102E55AB"/>
    <w:rsid w:val="12073153"/>
    <w:rsid w:val="12DB7D35"/>
    <w:rsid w:val="13546258"/>
    <w:rsid w:val="13FC1006"/>
    <w:rsid w:val="14263231"/>
    <w:rsid w:val="16B45C4C"/>
    <w:rsid w:val="17267D50"/>
    <w:rsid w:val="17475425"/>
    <w:rsid w:val="17EA65DF"/>
    <w:rsid w:val="197714CB"/>
    <w:rsid w:val="1A401245"/>
    <w:rsid w:val="1AAD3B01"/>
    <w:rsid w:val="1CF82F92"/>
    <w:rsid w:val="1EE44A31"/>
    <w:rsid w:val="1EE80FE4"/>
    <w:rsid w:val="200D7335"/>
    <w:rsid w:val="22287730"/>
    <w:rsid w:val="22723AE6"/>
    <w:rsid w:val="22BF72ED"/>
    <w:rsid w:val="25744C3D"/>
    <w:rsid w:val="263B0F62"/>
    <w:rsid w:val="26D55877"/>
    <w:rsid w:val="27527589"/>
    <w:rsid w:val="279B05E6"/>
    <w:rsid w:val="282A1DC1"/>
    <w:rsid w:val="29A21016"/>
    <w:rsid w:val="2B066710"/>
    <w:rsid w:val="2C5B3642"/>
    <w:rsid w:val="2DA30EC3"/>
    <w:rsid w:val="2EB462DD"/>
    <w:rsid w:val="303C5B40"/>
    <w:rsid w:val="30990559"/>
    <w:rsid w:val="339F1F8A"/>
    <w:rsid w:val="33A0540B"/>
    <w:rsid w:val="34426B31"/>
    <w:rsid w:val="352A6963"/>
    <w:rsid w:val="35CA1BC5"/>
    <w:rsid w:val="385D4B63"/>
    <w:rsid w:val="39552BB6"/>
    <w:rsid w:val="396A0717"/>
    <w:rsid w:val="39733394"/>
    <w:rsid w:val="3B7C025D"/>
    <w:rsid w:val="3BC41B08"/>
    <w:rsid w:val="40B90063"/>
    <w:rsid w:val="42CC5830"/>
    <w:rsid w:val="45BE082A"/>
    <w:rsid w:val="48BF5E0C"/>
    <w:rsid w:val="4A7D7CE3"/>
    <w:rsid w:val="4B003C16"/>
    <w:rsid w:val="4C79302F"/>
    <w:rsid w:val="4D893E34"/>
    <w:rsid w:val="4FA91EA5"/>
    <w:rsid w:val="51A47C2C"/>
    <w:rsid w:val="5504057B"/>
    <w:rsid w:val="554C5F8B"/>
    <w:rsid w:val="55C74947"/>
    <w:rsid w:val="55D12C70"/>
    <w:rsid w:val="57720D87"/>
    <w:rsid w:val="59587885"/>
    <w:rsid w:val="5CD34BA6"/>
    <w:rsid w:val="5CDF0DCA"/>
    <w:rsid w:val="5DDB1A26"/>
    <w:rsid w:val="60666F9B"/>
    <w:rsid w:val="607035F4"/>
    <w:rsid w:val="640A1B96"/>
    <w:rsid w:val="66E15165"/>
    <w:rsid w:val="67025D5C"/>
    <w:rsid w:val="67980D36"/>
    <w:rsid w:val="67DA5AD5"/>
    <w:rsid w:val="68953657"/>
    <w:rsid w:val="68C93455"/>
    <w:rsid w:val="692E5807"/>
    <w:rsid w:val="698D633C"/>
    <w:rsid w:val="6B3751E1"/>
    <w:rsid w:val="6EE721A3"/>
    <w:rsid w:val="71D51893"/>
    <w:rsid w:val="73F17972"/>
    <w:rsid w:val="7463285B"/>
    <w:rsid w:val="75D06AB2"/>
    <w:rsid w:val="76283F91"/>
    <w:rsid w:val="798E523C"/>
    <w:rsid w:val="79FE511C"/>
    <w:rsid w:val="7CE611E8"/>
    <w:rsid w:val="7CEB2A4A"/>
    <w:rsid w:val="7E154D23"/>
    <w:rsid w:val="7E5D7F31"/>
    <w:rsid w:val="7E7C32E5"/>
    <w:rsid w:val="7EE556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link w:val="28"/>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9">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next w:val="2"/>
    <w:qFormat/>
    <w:uiPriority w:val="99"/>
    <w:pPr>
      <w:spacing w:after="120"/>
      <w:ind w:left="420" w:leftChars="200"/>
    </w:pPr>
  </w:style>
  <w:style w:type="paragraph" w:styleId="4">
    <w:name w:val="Plain Text"/>
    <w:basedOn w:val="1"/>
    <w:qFormat/>
    <w:uiPriority w:val="99"/>
    <w:rPr>
      <w:rFonts w:ascii="宋体" w:hAnsi="Courier New"/>
      <w:szCs w:val="21"/>
    </w:rPr>
  </w:style>
  <w:style w:type="paragraph" w:styleId="8">
    <w:name w:val="Body Text"/>
    <w:basedOn w:val="1"/>
    <w:next w:val="9"/>
    <w:qFormat/>
    <w:uiPriority w:val="0"/>
    <w:pPr>
      <w:spacing w:before="30" w:beforeLines="30"/>
    </w:pPr>
    <w:rPr>
      <w:rFonts w:ascii="仿宋_GB2312" w:eastAsia="仿宋_GB2312"/>
      <w:kern w:val="0"/>
      <w:sz w:val="30"/>
    </w:rPr>
  </w:style>
  <w:style w:type="paragraph" w:styleId="9">
    <w:name w:val="toc 1"/>
    <w:basedOn w:val="1"/>
    <w:next w:val="1"/>
    <w:qFormat/>
    <w:uiPriority w:val="0"/>
    <w:pPr>
      <w:tabs>
        <w:tab w:val="right" w:leader="dot" w:pos="8296"/>
      </w:tabs>
      <w:spacing w:before="93"/>
      <w:jc w:val="center"/>
    </w:pPr>
    <w:rPr>
      <w:rFonts w:ascii="仿宋" w:eastAsia="仿宋"/>
      <w:sz w:val="28"/>
      <w:szCs w:val="28"/>
    </w:r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2"/>
    <w:basedOn w:val="1"/>
    <w:next w:val="1"/>
    <w:qFormat/>
    <w:uiPriority w:val="0"/>
    <w:pPr>
      <w:tabs>
        <w:tab w:val="right" w:leader="dot" w:pos="8296"/>
      </w:tabs>
      <w:ind w:left="200" w:leftChars="200"/>
    </w:pPr>
  </w:style>
  <w:style w:type="paragraph" w:styleId="15">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20">
    <w:name w:val="heading 1 Char"/>
    <w:basedOn w:val="16"/>
    <w:link w:val="5"/>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6"/>
    <w:qFormat/>
    <w:uiPriority w:val="0"/>
    <w:rPr>
      <w:rFonts w:ascii="Cambria" w:hAnsi="Cambria" w:eastAsia="宋体" w:cs="Times New Roman"/>
      <w:b/>
      <w:bCs/>
      <w:kern w:val="2"/>
      <w:sz w:val="32"/>
      <w:szCs w:val="32"/>
      <w:lang w:val="en-US" w:eastAsia="zh-CN" w:bidi="ar-SA"/>
    </w:rPr>
  </w:style>
  <w:style w:type="character" w:customStyle="1" w:styleId="22">
    <w:name w:val="Header Char"/>
    <w:basedOn w:val="16"/>
    <w:qFormat/>
    <w:uiPriority w:val="0"/>
    <w:rPr>
      <w:rFonts w:ascii="Times New Roman" w:hAnsi="Times New Roman"/>
      <w:sz w:val="18"/>
      <w:szCs w:val="18"/>
    </w:rPr>
  </w:style>
  <w:style w:type="character" w:customStyle="1" w:styleId="23">
    <w:name w:val="Footer Char"/>
    <w:basedOn w:val="16"/>
    <w:qFormat/>
    <w:uiPriority w:val="0"/>
    <w:rPr>
      <w:rFonts w:ascii="Times New Roman" w:hAnsi="Times New Roman"/>
      <w:sz w:val="18"/>
      <w:szCs w:val="18"/>
    </w:rPr>
  </w:style>
  <w:style w:type="character" w:customStyle="1" w:styleId="24">
    <w:name w:val="Body Text Char"/>
    <w:basedOn w:val="16"/>
    <w:qFormat/>
    <w:uiPriority w:val="0"/>
    <w:rPr>
      <w:rFonts w:ascii="Times New Roman" w:hAnsi="Times New Roman"/>
      <w:szCs w:val="24"/>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qFormat/>
    <w:uiPriority w:val="0"/>
    <w:pPr>
      <w:ind w:firstLine="200" w:firstLineChars="200"/>
    </w:pPr>
  </w:style>
  <w:style w:type="paragraph" w:customStyle="1" w:styleId="27">
    <w:name w:val="TOC Heading"/>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28">
    <w:name w:val="标题 2 Char"/>
    <w:basedOn w:val="16"/>
    <w:link w:val="6"/>
    <w:qFormat/>
    <w:uiPriority w:val="0"/>
    <w:rPr>
      <w:rFonts w:ascii="Cambria" w:hAnsi="Cambria" w:eastAsia="宋体" w:cs="Times New Roman"/>
      <w:b/>
      <w:bCs/>
      <w:kern w:val="2"/>
      <w:sz w:val="32"/>
      <w:szCs w:val="32"/>
      <w:lang w:val="en-US" w:eastAsia="zh-CN" w:bidi="ar-SA"/>
    </w:rPr>
  </w:style>
  <w:style w:type="paragraph" w:customStyle="1" w:styleId="29">
    <w:name w:val="四号正文"/>
    <w:basedOn w:val="1"/>
    <w:qFormat/>
    <w:uiPriority w:val="0"/>
    <w:pPr>
      <w:spacing w:line="360" w:lineRule="auto"/>
    </w:pPr>
    <w:rPr>
      <w:rFonts w:ascii="??" w:hAnsi="??" w:eastAsia="宋体" w:cs="宋体"/>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Sheet1!$B$2:$B$3</c:f>
              <c:numCache>
                <c:formatCode>General</c:formatCode>
                <c:ptCount val="2"/>
                <c:pt idx="0">
                  <c:v>2025.14</c:v>
                </c:pt>
                <c:pt idx="1">
                  <c:v>3753.42</c:v>
                </c:pt>
              </c:numCache>
            </c:numRef>
          </c:val>
        </c:ser>
        <c:ser>
          <c:idx val="1"/>
          <c:order val="1"/>
          <c:tx>
            <c:strRef>
              <c:f>Sheet1!$C$1</c:f>
              <c:strCache>
                <c:ptCount val="1"/>
                <c:pt idx="0">
                  <c:v>总支出</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2020年 </c:v>
                </c:pt>
                <c:pt idx="1">
                  <c:v>2021年</c:v>
                </c:pt>
              </c:strCache>
            </c:strRef>
          </c:cat>
          <c:val>
            <c:numRef>
              <c:f>Sheet1!$C$2:$C$3</c:f>
              <c:numCache>
                <c:formatCode>General</c:formatCode>
                <c:ptCount val="2"/>
                <c:pt idx="0">
                  <c:v>2430.52</c:v>
                </c:pt>
                <c:pt idx="1">
                  <c:v>6204.6</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c:f>
              <c:strCache>
                <c:ptCount val="1"/>
                <c:pt idx="0">
                  <c:v>一般公共预算财政拨款收入</c:v>
                </c:pt>
              </c:strCache>
            </c:strRef>
          </c:cat>
          <c:val>
            <c:numRef>
              <c:f>'Sheet1 (2)'!$B$2</c:f>
              <c:numCache>
                <c:formatCode>General</c:formatCode>
                <c:ptCount val="1"/>
                <c:pt idx="0">
                  <c:v>3753.42</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 (3)'!$B$1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31990968"/>
                  <c:y val="-0.1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 (3)'!$A$2:$A$3</c:f>
              <c:strCache>
                <c:ptCount val="2"/>
                <c:pt idx="0">
                  <c:v>基本支出</c:v>
                </c:pt>
                <c:pt idx="1">
                  <c:v>项目支出</c:v>
                </c:pt>
              </c:strCache>
            </c:strRef>
          </c:cat>
          <c:val>
            <c:numRef>
              <c:f>'Sheet1 (3)'!$B$2:$B$3</c:f>
              <c:numCache>
                <c:formatCode>General</c:formatCode>
                <c:ptCount val="2"/>
                <c:pt idx="0">
                  <c:v>609.03</c:v>
                </c:pt>
                <c:pt idx="1">
                  <c:v>5595.55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manualLayout>
          <c:layoutTarget val="inner"/>
          <c:xMode val="edge"/>
          <c:yMode val="edge"/>
          <c:x val="0.118931135336347"/>
          <c:y val="0.103594389246055"/>
          <c:w val="0.86578037755916"/>
          <c:h val="0.486236119228521"/>
        </c:manualLayout>
      </c:layout>
      <c:barChart>
        <c:barDir val="col"/>
        <c:grouping val="clustered"/>
        <c:varyColors val="0"/>
        <c:ser>
          <c:idx val="0"/>
          <c:order val="0"/>
          <c:tx>
            <c:strRef>
              <c:f>'Sheet1 (4)'!$A$2</c:f>
              <c:strCache>
                <c:ptCount val="1"/>
                <c:pt idx="0">
                  <c:v>2020年 </c:v>
                </c:pt>
              </c:strCache>
            </c:strRef>
          </c:tx>
          <c:spPr>
            <a:solidFill>
              <a:srgbClr val="4F81BD"/>
            </a:solidFill>
            <a:ln>
              <a:noFill/>
            </a:ln>
          </c:spPr>
          <c:invertIfNegative val="0"/>
          <c:dLbls>
            <c:dLbl>
              <c:idx val="1"/>
              <c:layout>
                <c:manualLayout>
                  <c:x val="0.226164178499421"/>
                  <c:y val="-0.20008817273848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2025.14</c:v>
                </c:pt>
                <c:pt idx="1">
                  <c:v>2430.52</c:v>
                </c:pt>
              </c:numCache>
            </c:numRef>
          </c:val>
        </c:ser>
        <c:ser>
          <c:idx val="1"/>
          <c:order val="1"/>
          <c:tx>
            <c:strRef>
              <c:f>'Sheet1 (4)'!$A$3</c:f>
              <c:strCache>
                <c:ptCount val="1"/>
                <c:pt idx="0">
                  <c:v>2021年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3753.42</c:v>
                </c:pt>
                <c:pt idx="1">
                  <c:v>6204.59</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824054621848739"/>
          <c:y val="0.031841255191509"/>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2020年</c:v>
                </c:pt>
                <c:pt idx="1">
                  <c:v>2021年</c:v>
                </c:pt>
              </c:strCache>
            </c:strRef>
          </c:cat>
          <c:val>
            <c:numRef>
              <c:f>'Sheet1 (5)'!$B$2:$B$3</c:f>
              <c:numCache>
                <c:formatCode>General</c:formatCode>
                <c:ptCount val="2"/>
                <c:pt idx="0">
                  <c:v>2321.16</c:v>
                </c:pt>
                <c:pt idx="1">
                  <c:v>4781.42</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1"/>
              <c:layout>
                <c:manualLayout>
                  <c:x val="-0.020973645"/>
                  <c:y val="0.04419082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3778876"/>
                  <c:y val="0.004965708"/>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27582776"/>
                  <c:y val="-0.04169033"/>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(6)'!$A$2:$A$5</c:f>
              <c:strCache>
                <c:ptCount val="4"/>
                <c:pt idx="0">
                  <c:v>一般公共服务</c:v>
                </c:pt>
                <c:pt idx="1">
                  <c:v>社会保障和就业</c:v>
                </c:pt>
                <c:pt idx="2">
                  <c:v>医疗卫生支出</c:v>
                </c:pt>
                <c:pt idx="3">
                  <c:v>住房保障支出</c:v>
                </c:pt>
              </c:strCache>
            </c:strRef>
          </c:cat>
          <c:val>
            <c:numRef>
              <c:f>'Sheet1 (6)'!$B$2:$B$5</c:f>
              <c:numCache>
                <c:formatCode>General</c:formatCode>
                <c:ptCount val="4"/>
                <c:pt idx="0">
                  <c:v>4172.39</c:v>
                </c:pt>
                <c:pt idx="1">
                  <c:v>68.04</c:v>
                </c:pt>
                <c:pt idx="2">
                  <c:v>27.48</c:v>
                </c:pt>
                <c:pt idx="3">
                  <c:v>44.07</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dLbl>
              <c:idx val="2"/>
              <c:layout>
                <c:manualLayout>
                  <c:x val="-0.07035216"/>
                  <c:y val="0.005202266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70000</c:v>
                </c:pt>
                <c:pt idx="2">
                  <c:v>0</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olors1.xml><?xml version="1.0" encoding="utf-8"?>
<cs:colorStyle xmlns:cs="http://schemas.microsoft.com/office/drawing/2012/chartStyle" xmlns:a="http://schemas.openxmlformats.org/drawingml/2006/main" meth="acrossLinear" id="2">
  <a:schemeClr val="accent1"/>
  <a:schemeClr val="accent2"/>
  <a:schemeClr val="accent3"/>
  <a:schemeClr val="accent4"/>
  <a:schemeClr val="accent5"/>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30</Pages>
  <Words>11728</Words>
  <Characters>12767</Characters>
  <Lines>950</Lines>
  <Paragraphs>413</Paragraphs>
  <TotalTime>0</TotalTime>
  <ScaleCrop>false</ScaleCrop>
  <LinksUpToDate>false</LinksUpToDate>
  <CharactersWithSpaces>13029</CharactersWithSpaces>
  <Application>WPS Office_10.1.0.7224_F1E327BC-269C-435d-A152-05C5408002CA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2022-08-31T02:00:00Z</cp:lastPrinted>
  <dcterms:modified xsi:type="dcterms:W3CDTF">2022-08-31T02:50:43Z</dcterms:modified>
  <dc:title>四川省***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ICV">
    <vt:lpwstr>F46AEE8CB8814EDD931DDB32AACD889C</vt:lpwstr>
  </property>
</Properties>
</file>