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597"/>
      <w:bookmarkStart w:id="3" w:name="_Toc15378441"/>
      <w:bookmarkStart w:id="4" w:name="_Toc15396475"/>
      <w:bookmarkStart w:id="5" w:name="_Toc1537742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06268"/>
      <w:bookmarkStart w:id="7" w:name="_Toc15377426"/>
      <w:bookmarkStart w:id="8" w:name="_Toc15396476"/>
      <w:bookmarkStart w:id="9" w:name="_Toc15378442"/>
      <w:bookmarkStart w:id="10" w:name="_Toc15396598"/>
      <w:bookmarkStart w:id="11" w:name="_Toc15377194"/>
      <w:r>
        <w:rPr>
          <w:rFonts w:hint="eastAsia" w:ascii="方正小标宋简体" w:eastAsia="方正小标宋简体"/>
          <w:color w:val="000000"/>
          <w:sz w:val="72"/>
          <w:szCs w:val="72"/>
        </w:rPr>
        <w:t xml:space="preserve">  金川县自然资源局部门决算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rPr>
          <w:rStyle w:val="16"/>
          <w:rFonts w:hint="eastAsia" w:ascii="仿宋" w:eastAsia="仿宋"/>
          <w:bCs/>
          <w:sz w:val="28"/>
          <w:szCs w:val="28"/>
        </w:rPr>
        <w:t xml:space="preserve"> 十、预算绩效情况说明..................................15</w:t>
      </w:r>
    </w:p>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3"/>
        <w:spacing w:before="0" w:after="0" w:line="240" w:lineRule="auto"/>
        <w:ind w:left="640" w:hanging="640" w:hangingChars="200"/>
        <w:rPr>
          <w:rStyle w:val="18"/>
          <w:rFonts w:ascii="黑体" w:eastAsia="黑体"/>
          <w:b w:val="0"/>
          <w:bCs w:val="0"/>
        </w:rPr>
      </w:pPr>
      <w:bookmarkStart w:id="14" w:name="_Toc15396600"/>
      <w:bookmarkStart w:id="15" w:name="_Toc15377197"/>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snapToGrid w:val="0"/>
        <w:spacing w:line="360" w:lineRule="auto"/>
        <w:ind w:firstLine="643" w:firstLineChars="200"/>
        <w:rPr>
          <w:rFonts w:ascii="仿宋_GB2312" w:eastAsia="仿宋_GB2312"/>
          <w:sz w:val="32"/>
          <w:szCs w:val="32"/>
        </w:rPr>
      </w:pPr>
      <w:r>
        <w:rPr>
          <w:rFonts w:hint="eastAsia" w:ascii="仿宋_GB2312" w:eastAsia="仿宋_GB2312"/>
          <w:b/>
          <w:bCs/>
          <w:color w:val="000000"/>
          <w:sz w:val="32"/>
          <w:szCs w:val="32"/>
        </w:rPr>
        <w:t>1.</w:t>
      </w:r>
      <w:r>
        <w:rPr>
          <w:rFonts w:hint="eastAsia" w:ascii="仿宋_GB2312" w:eastAsia="仿宋_GB2312"/>
          <w:sz w:val="32"/>
          <w:szCs w:val="32"/>
        </w:rPr>
        <w:t>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pPr>
        <w:snapToGrid w:val="0"/>
        <w:spacing w:line="360" w:lineRule="auto"/>
        <w:ind w:firstLine="643" w:firstLineChars="200"/>
        <w:rPr>
          <w:rFonts w:ascii="仿宋_GB2312" w:hAnsi="Verdana" w:eastAsia="仿宋_GB2312" w:cs="Arial"/>
          <w:color w:val="000000"/>
          <w:sz w:val="32"/>
          <w:szCs w:val="32"/>
        </w:rPr>
      </w:pPr>
      <w:r>
        <w:rPr>
          <w:rFonts w:hint="eastAsia" w:ascii="仿宋_GB2312" w:eastAsia="仿宋_GB2312"/>
          <w:b/>
          <w:color w:val="000000"/>
          <w:sz w:val="32"/>
          <w:szCs w:val="32"/>
        </w:rPr>
        <w:t>2.</w:t>
      </w:r>
      <w:r>
        <w:rPr>
          <w:rFonts w:hint="eastAsia" w:ascii="仿宋_GB2312" w:hAnsi="Verdana" w:eastAsia="仿宋_GB2312" w:cs="Arial"/>
          <w:color w:val="000000"/>
          <w:sz w:val="32"/>
          <w:szCs w:val="32"/>
        </w:rPr>
        <w:t>承担规范国土资源管理秩序的责任。拟定并监督实施本县土地、矿产等自然资源管理和地质灾害</w:t>
      </w:r>
      <w:r>
        <w:rPr>
          <w:rFonts w:hint="eastAsia" w:ascii="仿宋_GB2312" w:hAnsi="Verdana" w:eastAsia="仿宋_GB2312" w:cs="Arial"/>
          <w:color w:val="000000"/>
          <w:sz w:val="32"/>
          <w:szCs w:val="32"/>
          <w:lang w:eastAsia="zh-CN"/>
        </w:rPr>
        <w:t>防治地规章制度</w:t>
      </w:r>
      <w:r>
        <w:rPr>
          <w:rFonts w:hint="eastAsia" w:ascii="仿宋_GB2312" w:hAnsi="Verdana" w:eastAsia="仿宋_GB2312" w:cs="Arial"/>
          <w:color w:val="000000"/>
          <w:sz w:val="32"/>
          <w:szCs w:val="32"/>
        </w:rPr>
        <w:t>，制定地质环境保护的政策、规章制度，组织实施国土资源调查评价技术规程、国土资源开发利用标准。负责本系统、本部门依法行政工作， 监督检查各乡镇人民政府及其国土资源管理所执行和遵守国土资源管理法律、法规及土地、矿产资源规划、计划的执行情况。加强对基层国土资源管理所履行职责的管理监督，直接查处 全县辖区内违反国土资源管理法律、法规的行为。调查处理国土资源违法案件。</w:t>
      </w:r>
    </w:p>
    <w:p>
      <w:pPr>
        <w:snapToGrid w:val="0"/>
        <w:spacing w:line="360" w:lineRule="auto"/>
        <w:ind w:firstLine="643" w:firstLineChars="200"/>
        <w:rPr>
          <w:rFonts w:ascii="仿宋_GB2312" w:hAnsi="Verdana" w:eastAsia="仿宋_GB2312" w:cs="Arial"/>
          <w:color w:val="000000"/>
          <w:sz w:val="32"/>
          <w:szCs w:val="32"/>
        </w:rPr>
      </w:pPr>
      <w:r>
        <w:rPr>
          <w:rFonts w:hint="eastAsia" w:ascii="仿宋_GB2312" w:eastAsia="仿宋_GB2312"/>
          <w:b/>
          <w:bCs/>
          <w:sz w:val="32"/>
          <w:szCs w:val="32"/>
        </w:rPr>
        <w:t>3.</w:t>
      </w:r>
      <w:r>
        <w:rPr>
          <w:rFonts w:hint="eastAsia" w:ascii="仿宋_GB2312" w:hAnsi="Verdana" w:eastAsia="仿宋_GB2312" w:cs="Arial"/>
          <w:color w:val="000000"/>
          <w:sz w:val="32"/>
          <w:szCs w:val="32"/>
        </w:rPr>
        <w:t>承担优化配置国土资源的责任。编制和组织实施全县土地利用总体规划、土地利用年度计划、土地整理复垦开发规划和其他专项规划、计划。参与审核报国务院、省、州政府审批的涉及土地、矿产、地质灾害</w:t>
      </w:r>
      <w:r>
        <w:rPr>
          <w:rFonts w:hint="eastAsia" w:ascii="仿宋_GB2312" w:hAnsi="Verdana" w:eastAsia="仿宋_GB2312" w:cs="Arial"/>
          <w:color w:val="000000"/>
          <w:sz w:val="32"/>
          <w:szCs w:val="32"/>
          <w:lang w:eastAsia="zh-CN"/>
        </w:rPr>
        <w:t>防治地相关</w:t>
      </w:r>
      <w:r>
        <w:rPr>
          <w:rFonts w:hint="eastAsia" w:ascii="仿宋_GB2312" w:hAnsi="Verdana" w:eastAsia="仿宋_GB2312" w:cs="Arial"/>
          <w:color w:val="000000"/>
          <w:sz w:val="32"/>
          <w:szCs w:val="32"/>
        </w:rPr>
        <w:t>规划及其调整。</w:t>
      </w:r>
    </w:p>
    <w:p>
      <w:pPr>
        <w:pStyle w:val="12"/>
        <w:spacing w:beforeAutospacing="0" w:afterAutospacing="0" w:line="560" w:lineRule="exact"/>
        <w:jc w:val="both"/>
        <w:rPr>
          <w:rFonts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b/>
          <w:bCs/>
          <w:sz w:val="32"/>
          <w:szCs w:val="32"/>
        </w:rPr>
        <w:t>4.</w:t>
      </w:r>
      <w:r>
        <w:rPr>
          <w:rFonts w:hint="eastAsia" w:ascii="仿宋_GB2312" w:hAnsi="Verdana" w:eastAsia="仿宋_GB2312" w:cs="Arial"/>
          <w:color w:val="000000"/>
          <w:sz w:val="32"/>
          <w:szCs w:val="32"/>
        </w:rPr>
        <w:t>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pPr>
        <w:pStyle w:val="12"/>
        <w:spacing w:beforeAutospacing="0" w:afterAutospacing="0" w:line="560" w:lineRule="exact"/>
        <w:jc w:val="both"/>
        <w:rPr>
          <w:rFonts w:ascii="仿宋_GB2312" w:hAnsi="Verdana" w:eastAsia="仿宋_GB2312" w:cs="Arial"/>
          <w:color w:val="000000"/>
          <w:sz w:val="32"/>
          <w:szCs w:val="32"/>
        </w:rPr>
      </w:pPr>
      <w:r>
        <w:rPr>
          <w:rFonts w:hint="eastAsia" w:ascii="仿宋_GB2312" w:hAnsi="Verdana" w:eastAsia="仿宋_GB2312" w:cs="Arial"/>
          <w:color w:val="000000"/>
          <w:sz w:val="32"/>
          <w:szCs w:val="32"/>
        </w:rPr>
        <w:t>　　</w:t>
      </w:r>
      <w:r>
        <w:rPr>
          <w:rFonts w:hint="eastAsia" w:ascii="仿宋_GB2312" w:eastAsia="仿宋_GB2312"/>
          <w:b/>
          <w:bCs/>
          <w:sz w:val="32"/>
          <w:szCs w:val="32"/>
        </w:rPr>
        <w:t>5.</w:t>
      </w:r>
      <w:r>
        <w:rPr>
          <w:rFonts w:hint="eastAsia" w:ascii="仿宋_GB2312" w:hAnsi="Verdana" w:eastAsia="仿宋_GB2312" w:cs="Arial"/>
          <w:color w:val="000000"/>
          <w:sz w:val="32"/>
          <w:szCs w:val="32"/>
        </w:rPr>
        <w:t>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pPr>
        <w:pStyle w:val="12"/>
        <w:spacing w:beforeAutospacing="0" w:afterAutospacing="0" w:line="560" w:lineRule="exact"/>
        <w:jc w:val="both"/>
        <w:rPr>
          <w:rFonts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b/>
          <w:bCs/>
          <w:sz w:val="32"/>
          <w:szCs w:val="32"/>
        </w:rPr>
        <w:t>6.</w:t>
      </w:r>
      <w:r>
        <w:rPr>
          <w:rFonts w:hint="eastAsia" w:ascii="仿宋_GB2312" w:hAnsi="Verdana" w:eastAsia="仿宋_GB2312" w:cs="Arial"/>
          <w:color w:val="000000"/>
          <w:sz w:val="32"/>
          <w:szCs w:val="32"/>
        </w:rPr>
        <w:t>承担及时准确提供全县土地利用各种数据的责任。拟定和贯彻实施地籍管理办法，组织土地资源调查、地籍调查、土地统计和动态监测，组织实施重大土地专项调查，组织全县地籍调查、登记和土地分等定级工作。</w:t>
      </w:r>
    </w:p>
    <w:p>
      <w:pPr>
        <w:pStyle w:val="12"/>
        <w:spacing w:beforeAutospacing="0" w:afterAutospacing="0" w:line="560" w:lineRule="exact"/>
        <w:jc w:val="both"/>
        <w:rPr>
          <w:rFonts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b/>
          <w:bCs/>
          <w:sz w:val="32"/>
          <w:szCs w:val="32"/>
        </w:rPr>
        <w:t>7.</w:t>
      </w:r>
      <w:r>
        <w:rPr>
          <w:rFonts w:hint="eastAsia" w:ascii="仿宋_GB2312" w:hAnsi="Verdana" w:eastAsia="仿宋_GB2312" w:cs="Arial"/>
          <w:color w:val="000000"/>
          <w:sz w:val="32"/>
          <w:szCs w:val="32"/>
        </w:rPr>
        <w:t>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pPr>
        <w:pStyle w:val="12"/>
        <w:spacing w:beforeAutospacing="0" w:afterAutospacing="0" w:line="560" w:lineRule="exact"/>
        <w:jc w:val="both"/>
        <w:rPr>
          <w:rFonts w:ascii="仿宋_GB2312" w:hAnsi="Verdana" w:eastAsia="仿宋_GB2312" w:cs="Arial"/>
          <w:color w:val="000000"/>
          <w:sz w:val="32"/>
          <w:szCs w:val="32"/>
        </w:rPr>
      </w:pPr>
      <w:r>
        <w:rPr>
          <w:rFonts w:hint="eastAsia" w:ascii="仿宋_GB2312" w:eastAsia="仿宋_GB2312"/>
          <w:sz w:val="32"/>
          <w:szCs w:val="32"/>
        </w:rPr>
        <w:t>　</w:t>
      </w:r>
      <w:r>
        <w:rPr>
          <w:rFonts w:hint="eastAsia" w:ascii="仿宋_GB2312" w:hAnsi="Verdana" w:eastAsia="仿宋_GB2312" w:cs="Arial"/>
          <w:color w:val="000000"/>
          <w:sz w:val="32"/>
          <w:szCs w:val="32"/>
        </w:rPr>
        <w:t xml:space="preserve">  </w:t>
      </w:r>
      <w:r>
        <w:rPr>
          <w:rFonts w:hint="eastAsia" w:ascii="仿宋_GB2312" w:eastAsia="仿宋_GB2312"/>
          <w:b/>
          <w:bCs/>
          <w:sz w:val="32"/>
          <w:szCs w:val="32"/>
        </w:rPr>
        <w:t>8.</w:t>
      </w:r>
      <w:r>
        <w:rPr>
          <w:rFonts w:hint="eastAsia" w:ascii="仿宋_GB2312" w:hAnsi="Verdana" w:eastAsia="仿宋_GB2312" w:cs="Arial"/>
          <w:color w:val="000000"/>
          <w:sz w:val="32"/>
          <w:szCs w:val="32"/>
        </w:rPr>
        <w:t>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w:t>
      </w:r>
    </w:p>
    <w:p>
      <w:pPr>
        <w:spacing w:line="560" w:lineRule="exact"/>
        <w:ind w:firstLine="643" w:firstLineChars="200"/>
        <w:rPr>
          <w:rFonts w:ascii="仿宋_GB2312" w:hAnsi="Verdana" w:eastAsia="仿宋_GB2312" w:cs="Arial"/>
          <w:color w:val="000000"/>
          <w:sz w:val="32"/>
          <w:szCs w:val="32"/>
        </w:rPr>
      </w:pPr>
      <w:r>
        <w:rPr>
          <w:rFonts w:hint="eastAsia" w:ascii="仿宋_GB2312" w:eastAsia="仿宋_GB2312"/>
          <w:b/>
          <w:bCs/>
          <w:sz w:val="32"/>
          <w:szCs w:val="32"/>
        </w:rPr>
        <w:t>9.</w:t>
      </w:r>
      <w:r>
        <w:rPr>
          <w:rFonts w:hint="eastAsia" w:ascii="仿宋_GB2312" w:eastAsia="仿宋_GB2312"/>
          <w:sz w:val="32"/>
          <w:szCs w:val="32"/>
        </w:rPr>
        <w:t>负责矿产资源开发的管理，依法管理矿业权的审批登记发证和转让审批登记；</w:t>
      </w:r>
      <w:r>
        <w:rPr>
          <w:rFonts w:hint="eastAsia" w:ascii="仿宋_GB2312" w:hAnsi="Verdana" w:eastAsia="仿宋_GB2312" w:cs="Arial"/>
          <w:color w:val="000000"/>
          <w:sz w:val="32"/>
          <w:szCs w:val="32"/>
        </w:rPr>
        <w:t>负责县规划矿区对国民经济具有重要价值的矿区的管理，承担保护性开采的特定矿种、优势矿产的开采总量控制及相关管理工作，组织编制实施矿业权设置方案。</w:t>
      </w:r>
    </w:p>
    <w:p>
      <w:pPr>
        <w:ind w:firstLine="643" w:firstLineChars="200"/>
        <w:rPr>
          <w:rFonts w:ascii="仿宋_GB2312" w:hAnsi="Arial" w:eastAsia="仿宋_GB2312" w:cs="Arial"/>
          <w:color w:val="000000"/>
          <w:kern w:val="0"/>
          <w:sz w:val="32"/>
          <w:szCs w:val="32"/>
        </w:rPr>
      </w:pPr>
      <w:r>
        <w:rPr>
          <w:rFonts w:hint="eastAsia" w:ascii="仿宋_GB2312" w:eastAsia="仿宋_GB2312"/>
          <w:b/>
          <w:bCs/>
          <w:sz w:val="32"/>
          <w:szCs w:val="32"/>
        </w:rPr>
        <w:t>10.</w:t>
      </w:r>
      <w:r>
        <w:rPr>
          <w:rFonts w:hint="eastAsia" w:ascii="仿宋_GB2312" w:hAnsi="Arial" w:eastAsia="仿宋_GB2312" w:cs="Arial"/>
          <w:color w:val="000000"/>
          <w:kern w:val="0"/>
          <w:sz w:val="32"/>
          <w:szCs w:val="32"/>
        </w:rPr>
        <w:t>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pPr>
        <w:ind w:firstLine="643" w:firstLineChars="200"/>
        <w:rPr>
          <w:rFonts w:ascii="仿宋_GB2312" w:hAnsi="Arial" w:eastAsia="仿宋_GB2312" w:cs="Arial"/>
          <w:color w:val="000000"/>
          <w:kern w:val="0"/>
          <w:sz w:val="32"/>
          <w:szCs w:val="32"/>
        </w:rPr>
      </w:pPr>
      <w:r>
        <w:rPr>
          <w:rFonts w:hint="eastAsia" w:ascii="仿宋_GB2312" w:eastAsia="仿宋_GB2312"/>
          <w:b/>
          <w:bCs/>
          <w:sz w:val="32"/>
          <w:szCs w:val="32"/>
        </w:rPr>
        <w:t>11.</w:t>
      </w:r>
      <w:r>
        <w:rPr>
          <w:rFonts w:hint="eastAsia" w:ascii="仿宋_GB2312" w:hAnsi="Arial" w:eastAsia="仿宋_GB2312" w:cs="Arial"/>
          <w:color w:val="000000"/>
          <w:kern w:val="0"/>
          <w:sz w:val="32"/>
          <w:szCs w:val="32"/>
        </w:rPr>
        <w:t>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pPr>
        <w:ind w:firstLine="643" w:firstLineChars="200"/>
        <w:rPr>
          <w:rFonts w:ascii="仿宋_GB2312" w:hAnsi="Arial" w:eastAsia="仿宋_GB2312" w:cs="Arial"/>
          <w:color w:val="000000"/>
          <w:kern w:val="0"/>
          <w:sz w:val="32"/>
          <w:szCs w:val="32"/>
        </w:rPr>
      </w:pPr>
      <w:r>
        <w:rPr>
          <w:rFonts w:hint="eastAsia" w:ascii="仿宋_GB2312" w:eastAsia="仿宋_GB2312"/>
          <w:b/>
          <w:bCs/>
          <w:sz w:val="32"/>
          <w:szCs w:val="32"/>
        </w:rPr>
        <w:t>12.</w:t>
      </w:r>
      <w:r>
        <w:rPr>
          <w:rFonts w:hint="eastAsia" w:ascii="仿宋_GB2312" w:hAnsi="Arial" w:eastAsia="仿宋_GB2312" w:cs="Arial"/>
          <w:color w:val="000000"/>
          <w:kern w:val="0"/>
          <w:sz w:val="32"/>
          <w:szCs w:val="32"/>
        </w:rPr>
        <w:t>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pPr>
        <w:ind w:firstLine="643" w:firstLineChars="200"/>
        <w:rPr>
          <w:rFonts w:ascii="仿宋_GB2312" w:hAnsi="Arial" w:eastAsia="仿宋_GB2312" w:cs="Arial"/>
          <w:color w:val="000000"/>
          <w:kern w:val="0"/>
          <w:sz w:val="32"/>
          <w:szCs w:val="32"/>
        </w:rPr>
      </w:pPr>
      <w:r>
        <w:rPr>
          <w:rFonts w:hint="eastAsia" w:ascii="仿宋_GB2312" w:eastAsia="仿宋_GB2312"/>
          <w:b/>
          <w:bCs/>
          <w:sz w:val="32"/>
          <w:szCs w:val="32"/>
        </w:rPr>
        <w:t>13.</w:t>
      </w:r>
      <w:r>
        <w:rPr>
          <w:rFonts w:hint="eastAsia" w:ascii="仿宋_GB2312" w:hAnsi="Arial" w:eastAsia="仿宋_GB2312" w:cs="Arial"/>
          <w:color w:val="000000"/>
          <w:kern w:val="0"/>
          <w:sz w:val="32"/>
          <w:szCs w:val="32"/>
        </w:rPr>
        <w:t>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w:t>
      </w:r>
    </w:p>
    <w:p>
      <w:pPr>
        <w:ind w:firstLine="643" w:firstLineChars="200"/>
        <w:rPr>
          <w:rFonts w:ascii="仿宋_GB2312" w:eastAsia="仿宋_GB2312"/>
          <w:sz w:val="32"/>
          <w:szCs w:val="32"/>
        </w:rPr>
      </w:pPr>
      <w:r>
        <w:rPr>
          <w:rFonts w:hint="eastAsia" w:ascii="仿宋_GB2312" w:eastAsia="仿宋_GB2312"/>
          <w:b/>
          <w:bCs/>
          <w:sz w:val="32"/>
          <w:szCs w:val="32"/>
        </w:rPr>
        <w:t>14.</w:t>
      </w:r>
      <w:r>
        <w:rPr>
          <w:rFonts w:hint="eastAsia" w:ascii="仿宋_GB2312" w:eastAsia="仿宋_GB2312"/>
          <w:sz w:val="32"/>
          <w:szCs w:val="32"/>
        </w:rPr>
        <w:t>承担县政府公布的有关行政审批事项。</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15.</w:t>
      </w:r>
      <w:r>
        <w:rPr>
          <w:rFonts w:hint="eastAsia" w:ascii="仿宋_GB2312" w:eastAsia="仿宋_GB2312"/>
          <w:sz w:val="32"/>
          <w:szCs w:val="32"/>
        </w:rPr>
        <w:t>承担县委、县政府交办的其他事项。</w:t>
      </w:r>
    </w:p>
    <w:p>
      <w:pPr>
        <w:spacing w:line="560" w:lineRule="exact"/>
        <w:ind w:firstLine="420" w:firstLineChars="200"/>
        <w:rPr>
          <w:rFonts w:ascii="仿宋_GB2312" w:hAnsi="仿宋_GB2312"/>
          <w:szCs w:val="32"/>
        </w:rPr>
      </w:pP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60" w:lineRule="exact"/>
        <w:ind w:firstLine="600" w:firstLineChars="200"/>
        <w:jc w:val="left"/>
        <w:rPr>
          <w:rFonts w:ascii="仿宋_GB2312" w:hAnsi="宋体" w:eastAsia="仿宋_GB2312"/>
          <w:bCs/>
          <w:sz w:val="30"/>
          <w:szCs w:val="30"/>
        </w:rPr>
      </w:pPr>
      <w:bookmarkStart w:id="20" w:name="_Toc15377200"/>
      <w:bookmarkStart w:id="21" w:name="_Toc15396601"/>
      <w:r>
        <w:rPr>
          <w:rFonts w:ascii="仿宋_GB2312" w:hAnsi="宋体" w:eastAsia="仿宋_GB2312"/>
          <w:bCs/>
          <w:sz w:val="30"/>
          <w:szCs w:val="30"/>
        </w:rPr>
        <w:t>1.</w:t>
      </w:r>
      <w:r>
        <w:rPr>
          <w:rFonts w:hint="eastAsia" w:ascii="仿宋_GB2312" w:hAnsi="宋体" w:eastAsia="仿宋_GB2312"/>
          <w:bCs/>
          <w:sz w:val="30"/>
          <w:szCs w:val="30"/>
        </w:rPr>
        <w:t>全面完成第三次全国国土调查工作；</w:t>
      </w:r>
    </w:p>
    <w:p>
      <w:pPr>
        <w:spacing w:line="560" w:lineRule="exact"/>
        <w:ind w:firstLine="600" w:firstLineChars="200"/>
        <w:jc w:val="left"/>
        <w:rPr>
          <w:rFonts w:ascii="仿宋_GB2312" w:hAnsi="宋体" w:eastAsia="仿宋_GB2312"/>
          <w:bCs/>
          <w:sz w:val="30"/>
          <w:szCs w:val="30"/>
        </w:rPr>
      </w:pPr>
      <w:r>
        <w:rPr>
          <w:rFonts w:ascii="仿宋_GB2312" w:hAnsi="宋体" w:eastAsia="仿宋_GB2312"/>
          <w:bCs/>
          <w:sz w:val="30"/>
          <w:szCs w:val="30"/>
        </w:rPr>
        <w:t>2.</w:t>
      </w:r>
      <w:r>
        <w:rPr>
          <w:rFonts w:hint="eastAsia" w:ascii="仿宋_GB2312" w:hAnsi="宋体" w:eastAsia="仿宋_GB2312"/>
          <w:bCs/>
          <w:sz w:val="30"/>
          <w:szCs w:val="30"/>
        </w:rPr>
        <w:t>完成沙耳丹扎木村试验田滑坡治理以及竣工结算；</w:t>
      </w:r>
    </w:p>
    <w:p>
      <w:pPr>
        <w:spacing w:line="560" w:lineRule="exact"/>
        <w:ind w:firstLine="600" w:firstLineChars="200"/>
        <w:jc w:val="left"/>
        <w:rPr>
          <w:rFonts w:ascii="仿宋_GB2312" w:hAnsi="宋体" w:eastAsia="仿宋_GB2312"/>
          <w:bCs/>
          <w:sz w:val="30"/>
          <w:szCs w:val="30"/>
        </w:rPr>
      </w:pPr>
      <w:r>
        <w:rPr>
          <w:rFonts w:ascii="仿宋_GB2312" w:hAnsi="宋体" w:eastAsia="仿宋_GB2312"/>
          <w:bCs/>
          <w:sz w:val="30"/>
          <w:szCs w:val="30"/>
        </w:rPr>
        <w:t>3.</w:t>
      </w:r>
      <w:r>
        <w:rPr>
          <w:rFonts w:hint="eastAsia" w:ascii="仿宋_GB2312" w:hAnsi="宋体" w:eastAsia="仿宋_GB2312"/>
          <w:bCs/>
          <w:sz w:val="30"/>
          <w:szCs w:val="30"/>
        </w:rPr>
        <w:t>完成八步里八简沟治理项目以及竣工结算；</w:t>
      </w:r>
    </w:p>
    <w:p>
      <w:pPr>
        <w:spacing w:line="560" w:lineRule="exact"/>
        <w:ind w:firstLine="600" w:firstLineChars="200"/>
        <w:jc w:val="left"/>
        <w:rPr>
          <w:rFonts w:ascii="仿宋_GB2312" w:hAnsi="宋体" w:eastAsia="仿宋_GB2312"/>
          <w:bCs/>
          <w:sz w:val="30"/>
          <w:szCs w:val="30"/>
        </w:rPr>
      </w:pPr>
      <w:r>
        <w:rPr>
          <w:rFonts w:ascii="仿宋_GB2312" w:hAnsi="宋体" w:eastAsia="仿宋_GB2312"/>
          <w:bCs/>
          <w:sz w:val="30"/>
          <w:szCs w:val="30"/>
        </w:rPr>
        <w:t>4.</w:t>
      </w:r>
      <w:r>
        <w:rPr>
          <w:rFonts w:hint="eastAsia" w:ascii="仿宋_GB2312" w:hAnsi="宋体" w:eastAsia="仿宋_GB2312"/>
          <w:bCs/>
          <w:sz w:val="30"/>
          <w:szCs w:val="30"/>
        </w:rPr>
        <w:t>完成独松乡嘎五岭村张家沟治理项目以及竣工结算；</w:t>
      </w:r>
    </w:p>
    <w:p>
      <w:pPr>
        <w:spacing w:line="560" w:lineRule="exact"/>
        <w:ind w:firstLine="600" w:firstLineChars="200"/>
        <w:jc w:val="left"/>
        <w:rPr>
          <w:rFonts w:ascii="仿宋_GB2312" w:eastAsia="仿宋_GB2312"/>
          <w:sz w:val="32"/>
          <w:szCs w:val="32"/>
        </w:rPr>
      </w:pPr>
      <w:r>
        <w:rPr>
          <w:rFonts w:ascii="仿宋_GB2312" w:hAnsi="宋体" w:eastAsia="仿宋_GB2312"/>
          <w:bCs/>
          <w:sz w:val="30"/>
          <w:szCs w:val="30"/>
        </w:rPr>
        <w:t>5.</w:t>
      </w:r>
      <w:r>
        <w:rPr>
          <w:rFonts w:hint="eastAsia" w:ascii="仿宋_GB2312" w:hAnsi="宋体" w:eastAsia="仿宋_GB2312"/>
          <w:bCs/>
          <w:sz w:val="30"/>
          <w:szCs w:val="30"/>
        </w:rPr>
        <w:t>做好年度汛期地质灾害防治工作。</w:t>
      </w:r>
    </w:p>
    <w:p>
      <w:pPr>
        <w:spacing w:line="578" w:lineRule="exact"/>
        <w:ind w:firstLine="640" w:firstLineChars="200"/>
        <w:rPr>
          <w:rStyle w:val="18"/>
          <w:rFonts w:ascii="黑体" w:eastAsia="黑体"/>
          <w:b w:val="0"/>
          <w:bCs w:val="0"/>
        </w:rPr>
      </w:pPr>
      <w:r>
        <w:rPr>
          <w:rStyle w:val="18"/>
          <w:rFonts w:hint="eastAsia" w:ascii="黑体" w:eastAsia="黑体"/>
          <w:b w:val="0"/>
          <w:bCs w:val="0"/>
        </w:rPr>
        <w:t>二、机构设置</w:t>
      </w:r>
      <w:bookmarkEnd w:id="20"/>
      <w:bookmarkEnd w:id="21"/>
    </w:p>
    <w:p>
      <w:pPr>
        <w:spacing w:line="578" w:lineRule="exact"/>
        <w:ind w:firstLine="640" w:firstLineChars="200"/>
        <w:rPr>
          <w:rStyle w:val="18"/>
          <w:rFonts w:ascii="黑体" w:eastAsia="黑体"/>
          <w:b w:val="0"/>
          <w:bCs w:val="0"/>
        </w:rPr>
      </w:pPr>
    </w:p>
    <w:p>
      <w:pPr>
        <w:snapToGrid w:val="0"/>
        <w:spacing w:line="360" w:lineRule="auto"/>
        <w:ind w:firstLine="640" w:firstLineChars="200"/>
        <w:rPr>
          <w:rFonts w:ascii="仿宋_GB2312" w:hAnsi="宋体" w:eastAsia="仿宋_GB2312"/>
          <w:bCs/>
          <w:sz w:val="30"/>
          <w:szCs w:val="30"/>
        </w:rPr>
      </w:pPr>
      <w:r>
        <w:rPr>
          <w:rFonts w:hint="eastAsia" w:ascii="仿宋_GB2312" w:eastAsia="仿宋_GB2312"/>
          <w:color w:val="000000"/>
          <w:sz w:val="32"/>
          <w:szCs w:val="32"/>
        </w:rPr>
        <w:t>金川县自然资源局</w:t>
      </w:r>
      <w:r>
        <w:rPr>
          <w:rFonts w:hint="eastAsia" w:ascii="仿宋_GB2312" w:eastAsia="仿宋_GB2312"/>
          <w:bCs/>
          <w:color w:val="000000"/>
          <w:sz w:val="32"/>
          <w:szCs w:val="32"/>
        </w:rPr>
        <w:t>由局办公室、生态保护股、开发利用股、国土空间规划股、确权登记股、行政审批股、不动产登记中心组成，设</w:t>
      </w:r>
      <w:r>
        <w:rPr>
          <w:rFonts w:hint="eastAsia" w:ascii="仿宋_GB2312" w:eastAsia="仿宋_GB2312"/>
          <w:color w:val="000000"/>
          <w:sz w:val="32"/>
          <w:szCs w:val="32"/>
        </w:rPr>
        <w:t>统一核算机构为1个，</w:t>
      </w:r>
      <w:r>
        <w:rPr>
          <w:rFonts w:hint="eastAsia" w:ascii="仿宋_GB2312" w:hAnsi="宋体" w:eastAsia="仿宋_GB2312"/>
          <w:bCs/>
          <w:sz w:val="30"/>
          <w:szCs w:val="30"/>
        </w:rPr>
        <w:t>2020年年末在职23人（行政人员9人，行政工勤3人，参公人员11人），退休5人。2020年总人增加2人，其中：主要为考入3人，调入1人调出2人。</w:t>
      </w:r>
    </w:p>
    <w:p>
      <w:pPr>
        <w:widowControl/>
        <w:ind w:firstLine="640" w:firstLineChars="200"/>
        <w:jc w:val="left"/>
        <w:rPr>
          <w:rFonts w:ascii="仿宋" w:hAnsi="仿宋" w:eastAsia="仿宋_GB2312"/>
          <w:color w:val="000000"/>
          <w:kern w:val="0"/>
          <w:sz w:val="32"/>
          <w:szCs w:val="32"/>
        </w:rPr>
      </w:pPr>
    </w:p>
    <w:p>
      <w:pPr>
        <w:pStyle w:val="2"/>
        <w:ind w:right="440"/>
        <w:jc w:val="right"/>
      </w:pPr>
      <w:bookmarkStart w:id="22" w:name="_Toc15377204"/>
      <w:bookmarkStart w:id="23" w:name="_Toc15396602"/>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22"/>
      <w:bookmarkEnd w:id="23"/>
    </w:p>
    <w:p>
      <w:pPr>
        <w:pStyle w:val="23"/>
        <w:numPr>
          <w:ilvl w:val="0"/>
          <w:numId w:val="1"/>
        </w:numPr>
        <w:ind w:left="0" w:firstLine="0" w:firstLineChars="0"/>
        <w:outlineLvl w:val="1"/>
        <w:rPr>
          <w:rStyle w:val="18"/>
          <w:rFonts w:ascii="黑体" w:eastAsia="黑体"/>
          <w:b w:val="0"/>
        </w:rPr>
      </w:pPr>
      <w:bookmarkStart w:id="24" w:name="_Toc15396603"/>
      <w:bookmarkStart w:id="25" w:name="_Toc15377205"/>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Fonts w:ascii="仿宋" w:eastAsia="仿宋"/>
          <w:sz w:val="32"/>
          <w:szCs w:val="32"/>
        </w:rPr>
      </w:pPr>
      <w:r>
        <w:rPr>
          <w:rFonts w:hint="eastAsia" w:ascii="仿宋_GB2312" w:eastAsia="仿宋_GB2312"/>
          <w:color w:val="000000"/>
          <w:spacing w:val="-2"/>
          <w:sz w:val="32"/>
          <w:szCs w:val="32"/>
        </w:rPr>
        <w:t>2020年度总收入</w:t>
      </w:r>
      <w:r>
        <w:rPr>
          <w:rFonts w:hint="eastAsia" w:ascii="仿宋_GB2312" w:hAnsi="仿宋" w:eastAsia="仿宋_GB2312"/>
          <w:sz w:val="32"/>
          <w:szCs w:val="32"/>
        </w:rPr>
        <w:t>2,025.14</w:t>
      </w:r>
      <w:r>
        <w:rPr>
          <w:rFonts w:hint="eastAsia" w:ascii="仿宋_GB2312" w:eastAsia="仿宋_GB2312"/>
          <w:color w:val="000000"/>
          <w:spacing w:val="-2"/>
          <w:sz w:val="32"/>
          <w:szCs w:val="32"/>
        </w:rPr>
        <w:t>万元，较上年收入减少6455.06万元，减少318%。减少的主要原因是2019年</w:t>
      </w:r>
      <w:r>
        <w:rPr>
          <w:rFonts w:hint="eastAsia" w:eastAsia="仿宋_GB2312"/>
          <w:color w:val="000000"/>
          <w:sz w:val="32"/>
          <w:szCs w:val="30"/>
        </w:rPr>
        <w:t>上级安排项目资金在近几年中相对较多，2019年上级安排项目资金8058.45</w:t>
      </w:r>
      <w:r>
        <w:rPr>
          <w:rFonts w:hint="eastAsia" w:ascii="仿宋_GB2312" w:eastAsia="仿宋_GB2312"/>
          <w:sz w:val="32"/>
          <w:szCs w:val="32"/>
        </w:rPr>
        <w:t>万元，</w:t>
      </w:r>
      <w:r>
        <w:rPr>
          <w:rFonts w:hint="eastAsia" w:eastAsia="仿宋_GB2312"/>
          <w:color w:val="000000"/>
          <w:sz w:val="32"/>
          <w:szCs w:val="30"/>
        </w:rPr>
        <w:t>今年安排项目资金1368.36万元</w:t>
      </w:r>
      <w:r>
        <w:rPr>
          <w:rFonts w:eastAsia="仿宋_GB2312"/>
          <w:color w:val="000000"/>
          <w:sz w:val="32"/>
          <w:szCs w:val="30"/>
        </w:rPr>
        <w:t>；</w:t>
      </w:r>
      <w:r>
        <w:rPr>
          <w:rFonts w:hint="eastAsia" w:ascii="仿宋_GB2312" w:eastAsia="仿宋_GB2312"/>
          <w:spacing w:val="-2"/>
          <w:sz w:val="32"/>
          <w:szCs w:val="32"/>
        </w:rPr>
        <w:t>2020年总支出</w:t>
      </w:r>
      <w:r>
        <w:rPr>
          <w:rFonts w:hint="eastAsia" w:ascii="仿宋_GB2312" w:hAnsi="仿宋" w:eastAsia="仿宋_GB2312"/>
          <w:sz w:val="32"/>
          <w:szCs w:val="32"/>
        </w:rPr>
        <w:t>2,430.52</w:t>
      </w:r>
      <w:r>
        <w:rPr>
          <w:rFonts w:hint="eastAsia" w:ascii="仿宋_GB2312" w:eastAsia="仿宋_GB2312"/>
          <w:spacing w:val="-2"/>
          <w:sz w:val="32"/>
          <w:szCs w:val="32"/>
        </w:rPr>
        <w:t>万元，较上年支出减少584.22万元，减少19%。主要原因是当年部门预算安排项目经费较上年有所减少。</w:t>
      </w:r>
    </w:p>
    <w:p>
      <w:pPr>
        <w:spacing w:line="600" w:lineRule="exact"/>
        <w:ind w:firstLine="640" w:firstLineChars="200"/>
        <w:rPr>
          <w:rStyle w:val="18"/>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77206"/>
      <w:bookmarkStart w:id="27" w:name="_Toc15396604"/>
      <w:r>
        <w:rPr>
          <w:rFonts w:hint="eastAsia" w:ascii="黑体" w:eastAsia="黑体"/>
          <w:color w:val="000000"/>
          <w:sz w:val="32"/>
          <w:szCs w:val="32"/>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w:t>
      </w:r>
      <w:r>
        <w:rPr>
          <w:rFonts w:hint="eastAsia" w:eastAsia="仿宋_GB2312"/>
          <w:color w:val="000000"/>
          <w:sz w:val="32"/>
        </w:rPr>
        <w:t>2,025.14</w:t>
      </w:r>
      <w:r>
        <w:rPr>
          <w:rFonts w:hint="eastAsia" w:ascii="仿宋" w:eastAsia="仿宋"/>
          <w:color w:val="000000"/>
          <w:sz w:val="32"/>
          <w:szCs w:val="32"/>
        </w:rPr>
        <w:t>万元，其中：一般公共预算财政拨款收入</w:t>
      </w:r>
      <w:r>
        <w:rPr>
          <w:rFonts w:hint="eastAsia" w:eastAsia="仿宋_GB2312"/>
          <w:color w:val="000000"/>
          <w:sz w:val="32"/>
        </w:rPr>
        <w:t>1,930.34</w:t>
      </w:r>
      <w:r>
        <w:rPr>
          <w:rFonts w:hint="eastAsia" w:ascii="仿宋" w:eastAsia="仿宋"/>
          <w:color w:val="000000"/>
          <w:sz w:val="32"/>
          <w:szCs w:val="32"/>
        </w:rPr>
        <w:t>万元，占95.32</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eastAsia="仿宋_GB2312"/>
          <w:color w:val="000000"/>
          <w:sz w:val="32"/>
        </w:rPr>
        <w:t>94.80</w:t>
      </w:r>
      <w:r>
        <w:rPr>
          <w:rFonts w:hint="eastAsia" w:ascii="仿宋" w:eastAsia="仿宋"/>
          <w:color w:val="000000"/>
          <w:sz w:val="32"/>
          <w:szCs w:val="32"/>
        </w:rPr>
        <w:t>万元，占</w:t>
      </w:r>
      <w:r>
        <w:rPr>
          <w:rFonts w:hint="eastAsia" w:eastAsia="仿宋_GB2312"/>
          <w:color w:val="000000"/>
          <w:sz w:val="32"/>
        </w:rPr>
        <w:t>4.68</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olor w:val="000000"/>
          <w:sz w:val="32"/>
          <w:szCs w:val="32"/>
        </w:rPr>
        <w:t>三、支出决</w:t>
      </w:r>
      <w:r>
        <w:rPr>
          <w:rStyle w:val="18"/>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2020年本年总支出2430.52万元，其中：基本支出535.43万元，占22.03%；项目支出1895.09万元，占77.97%；上缴上级支出0万元，占0%；经营支出0万元，占0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 w:eastAsia="仿宋"/>
          <w:color w:val="000000"/>
          <w:sz w:val="32"/>
          <w:szCs w:val="32"/>
          <w:shd w:val="pct10" w:color="auto" w:fill="FFFFFF"/>
        </w:rPr>
      </w:pP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0" w:name="_Toc15396606"/>
      <w:bookmarkStart w:id="31"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w:t>
      </w:r>
      <w:r>
        <w:rPr>
          <w:rFonts w:eastAsia="仿宋_GB2312"/>
          <w:color w:val="000000"/>
          <w:sz w:val="32"/>
          <w:szCs w:val="30"/>
        </w:rPr>
        <w:t>年度一般公共预算财政拨款收入</w:t>
      </w:r>
      <w:r>
        <w:rPr>
          <w:rFonts w:hint="eastAsia" w:eastAsia="仿宋_GB2312"/>
          <w:color w:val="000000"/>
          <w:sz w:val="32"/>
          <w:szCs w:val="30"/>
        </w:rPr>
        <w:t>1930.34万元，</w:t>
      </w:r>
      <w:r>
        <w:rPr>
          <w:rFonts w:eastAsia="仿宋_GB2312"/>
          <w:color w:val="000000"/>
          <w:sz w:val="32"/>
          <w:szCs w:val="30"/>
        </w:rPr>
        <w:t>相比上年度减少</w:t>
      </w:r>
      <w:r>
        <w:rPr>
          <w:rFonts w:hint="eastAsia" w:eastAsia="仿宋_GB2312"/>
          <w:color w:val="000000"/>
          <w:sz w:val="32"/>
          <w:szCs w:val="30"/>
        </w:rPr>
        <w:t>6549.85</w:t>
      </w:r>
      <w:r>
        <w:rPr>
          <w:rFonts w:eastAsia="仿宋_GB2312"/>
          <w:color w:val="000000"/>
          <w:sz w:val="32"/>
          <w:szCs w:val="30"/>
        </w:rPr>
        <w:t>万元，</w:t>
      </w:r>
      <w:r>
        <w:rPr>
          <w:rFonts w:hint="eastAsia" w:ascii="仿宋" w:eastAsia="仿宋"/>
          <w:color w:val="000000"/>
          <w:sz w:val="32"/>
          <w:szCs w:val="32"/>
        </w:rPr>
        <w:t>减少77.24%。</w:t>
      </w:r>
      <w:r>
        <w:rPr>
          <w:rFonts w:eastAsia="仿宋_GB2312"/>
          <w:color w:val="000000"/>
          <w:sz w:val="32"/>
          <w:szCs w:val="30"/>
        </w:rPr>
        <w:t>主要原因为</w:t>
      </w:r>
      <w:r>
        <w:rPr>
          <w:rFonts w:hint="eastAsia" w:eastAsia="仿宋_GB2312"/>
          <w:color w:val="000000"/>
          <w:sz w:val="32"/>
          <w:szCs w:val="30"/>
        </w:rPr>
        <w:t>本年上级项目资金下达较往年少，2019年上级安排项目资金8058.45万元，今年安排项目资金1368.36万元</w:t>
      </w:r>
      <w:r>
        <w:rPr>
          <w:rFonts w:eastAsia="仿宋_GB2312"/>
          <w:color w:val="000000"/>
          <w:sz w:val="32"/>
          <w:szCs w:val="30"/>
        </w:rPr>
        <w:t>；政府性基金预算财政拨款收入相比上年度</w:t>
      </w:r>
      <w:r>
        <w:rPr>
          <w:rFonts w:hint="eastAsia" w:eastAsia="仿宋_GB2312"/>
          <w:color w:val="000000"/>
          <w:sz w:val="32"/>
          <w:szCs w:val="30"/>
        </w:rPr>
        <w:t>增加</w:t>
      </w:r>
      <w:r>
        <w:rPr>
          <w:rFonts w:eastAsia="仿宋_GB2312"/>
          <w:color w:val="000000"/>
          <w:sz w:val="32"/>
          <w:szCs w:val="30"/>
        </w:rPr>
        <w:t>94.80万元，主要原因为</w:t>
      </w:r>
      <w:r>
        <w:rPr>
          <w:rFonts w:hint="eastAsia" w:eastAsia="仿宋_GB2312"/>
          <w:color w:val="000000"/>
          <w:sz w:val="32"/>
          <w:szCs w:val="30"/>
        </w:rPr>
        <w:t>县财政解决国土空间规划编制70.8万元、金川县10个乡镇土地利用总体规划24万元</w:t>
      </w:r>
      <w:r>
        <w:rPr>
          <w:rFonts w:eastAsia="仿宋_GB2312"/>
          <w:color w:val="000000"/>
          <w:sz w:val="32"/>
          <w:szCs w:val="30"/>
        </w:rPr>
        <w:t>；</w:t>
      </w: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一般公共预算财政拨款支出2321.16万元，</w:t>
      </w:r>
      <w:r>
        <w:rPr>
          <w:rFonts w:hint="eastAsia" w:ascii="仿宋" w:eastAsia="仿宋"/>
          <w:color w:val="000000"/>
          <w:sz w:val="32"/>
          <w:szCs w:val="32"/>
        </w:rPr>
        <w:t>占本年总支出的95.5</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rPr>
        <w:t>19年相比，一般公共预算财政拨款</w:t>
      </w:r>
      <w:r>
        <w:rPr>
          <w:rFonts w:hint="eastAsia" w:ascii="仿宋_GB2312" w:eastAsia="仿宋_GB2312"/>
          <w:spacing w:val="-2"/>
          <w:sz w:val="32"/>
          <w:szCs w:val="32"/>
        </w:rPr>
        <w:t>支出减少647.62万元，减少22%。主要原因一是当年安排部门预算项目经费较上年有所减少；二是2019年财政拨款支出包含了上年结转项目。</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w:t>
      </w:r>
      <w:r>
        <w:rPr>
          <w:rFonts w:hint="eastAsia" w:ascii="仿宋_GB2312" w:eastAsia="仿宋_GB2312"/>
          <w:spacing w:val="-2"/>
          <w:sz w:val="32"/>
          <w:szCs w:val="32"/>
        </w:rPr>
        <w:t>2321.16</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支出2190.2831万元，占94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支出63.955万元，占2.8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25.9158万元，占1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41.0048万元，占1.8</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20" w:firstLineChars="2600"/>
        <w:outlineLvl w:val="2"/>
        <w:rPr>
          <w:rFonts w:ascii="仿宋" w:eastAsia="仿宋"/>
          <w:b/>
          <w:color w:val="000000"/>
          <w:sz w:val="32"/>
          <w:szCs w:val="32"/>
        </w:rPr>
      </w:pPr>
      <w:bookmarkStart w:id="36" w:name="_Toc15377213"/>
      <w:bookmarkStart w:id="37" w:name="_Toc15377444"/>
      <w:bookmarkStart w:id="38" w:name="_Toc15378460"/>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w:t>
      </w:r>
      <w:r>
        <w:rPr>
          <w:rFonts w:hint="eastAsia" w:eastAsia="仿宋_GB2312"/>
          <w:color w:val="000000"/>
          <w:sz w:val="32"/>
        </w:rPr>
        <w:t>1,930.34</w:t>
      </w:r>
      <w:r>
        <w:rPr>
          <w:rFonts w:hint="eastAsia" w:ascii="仿宋" w:eastAsia="仿宋"/>
          <w:bCs/>
          <w:color w:val="000000"/>
          <w:sz w:val="32"/>
          <w:szCs w:val="32"/>
        </w:rPr>
        <w:t>万元，支出决算数为</w:t>
      </w:r>
      <w:r>
        <w:rPr>
          <w:rFonts w:hint="eastAsia" w:eastAsia="仿宋_GB2312"/>
          <w:color w:val="000000"/>
          <w:sz w:val="32"/>
          <w:szCs w:val="30"/>
        </w:rPr>
        <w:t>2321.16</w:t>
      </w:r>
      <w:r>
        <w:rPr>
          <w:rFonts w:hint="eastAsia" w:ascii="仿宋" w:eastAsia="仿宋"/>
          <w:bCs/>
          <w:color w:val="000000"/>
          <w:sz w:val="32"/>
          <w:szCs w:val="32"/>
        </w:rPr>
        <w:t>万元，完</w:t>
      </w:r>
      <w:r>
        <w:rPr>
          <w:rStyle w:val="15"/>
          <w:rFonts w:hint="eastAsia" w:ascii="仿宋" w:eastAsia="仿宋"/>
          <w:b w:val="0"/>
          <w:bCs/>
          <w:color w:val="000000"/>
          <w:sz w:val="32"/>
          <w:szCs w:val="32"/>
        </w:rPr>
        <w:t>成预算83</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1.一般公共服务（类）政府办公厅（室）及相关机构事务（款）行政运行（项）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支出决算为284.42万元，完成预算100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2</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社会保障和就业（类）行政事业单位离退休（款）机关事业单位基本养老保险缴费支出（项）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支出决算为42.64万元，完成预算100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4</w:t>
      </w:r>
      <w:r>
        <w:rPr>
          <w:rStyle w:val="15"/>
          <w:rFonts w:ascii="仿宋" w:eastAsia="仿宋"/>
          <w:bCs/>
          <w:color w:val="000000"/>
          <w:sz w:val="32"/>
          <w:szCs w:val="32"/>
        </w:rPr>
        <w:t>.</w:t>
      </w:r>
      <w:r>
        <w:rPr>
          <w:rStyle w:val="15"/>
          <w:rFonts w:hint="eastAsia" w:ascii="仿宋" w:eastAsia="仿宋"/>
          <w:bCs/>
          <w:color w:val="000000"/>
          <w:sz w:val="32"/>
          <w:szCs w:val="32"/>
        </w:rPr>
        <w:t>社会保障和就业（类）行政事业单位离退休（款）机关事业单位基本职业年金缴费支出（项）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支出决算为21.32万元，完成预算100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5.卫生健康支出（类）行政事业单位医疗（款）行政单位医疗（项）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支出决算为25.36万元，完成预算100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6.卫生健康支出（类）行政事业单位医疗（款）公务员医疗补助（项）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支出决算为4.5万元，完成预算100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Cs/>
          <w:color w:val="000000"/>
          <w:sz w:val="32"/>
          <w:szCs w:val="32"/>
        </w:rPr>
      </w:pPr>
      <w:bookmarkStart w:id="40" w:name="_Toc15396608"/>
      <w:bookmarkStart w:id="41" w:name="_Toc15377214"/>
      <w:r>
        <w:rPr>
          <w:rStyle w:val="15"/>
          <w:rFonts w:hint="eastAsia" w:ascii="仿宋" w:eastAsia="仿宋"/>
          <w:bCs/>
          <w:color w:val="000000"/>
          <w:sz w:val="32"/>
          <w:szCs w:val="32"/>
        </w:rPr>
        <w:t>7.住房保障（类）住房改革支出（款）住房公积金（项）：</w:t>
      </w:r>
      <w:r>
        <w:rPr>
          <w:rStyle w:val="15"/>
          <w:rFonts w:hint="eastAsia" w:ascii="仿宋" w:eastAsia="仿宋"/>
          <w:b w:val="0"/>
          <w:bCs/>
          <w:color w:val="000000"/>
          <w:sz w:val="32"/>
          <w:szCs w:val="32"/>
        </w:rPr>
        <w:t>支出决算为41万元，完成预算100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w:t>
      </w:r>
      <w:r>
        <w:rPr>
          <w:rFonts w:hint="eastAsia" w:eastAsia="仿宋_GB2312"/>
          <w:color w:val="000000"/>
          <w:sz w:val="32"/>
          <w:szCs w:val="30"/>
        </w:rPr>
        <w:t>535.43</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502.35万元，主要包括：基本工资115.68万元、津贴补贴121万元、奖金9.2302万元、伙食补助费0万元、机关事业单位基本养老保险缴费42.64万元、职业年金缴费21.32万元、职工基本医疗保险缴费18.93万元、公务员医疗补助缴费45.41万元、其他社会保障缴费3.9万元、其他工资福利支出0万元、生活补助9.15万元、抚恤金0万元、住房公积金41万元、其他对个人和家庭的补助支出0万元等。</w:t>
      </w:r>
      <w:r>
        <w:rPr>
          <w:rFonts w:ascii="仿宋" w:eastAsia="仿宋"/>
          <w:color w:val="000000"/>
          <w:sz w:val="32"/>
          <w:szCs w:val="32"/>
        </w:rPr>
        <w:br w:type="textWrapping"/>
      </w:r>
      <w:r>
        <w:rPr>
          <w:rFonts w:hint="eastAsia" w:ascii="仿宋" w:eastAsia="仿宋"/>
          <w:color w:val="000000"/>
          <w:sz w:val="32"/>
          <w:szCs w:val="32"/>
        </w:rPr>
        <w:t>　　公用经费33.08万元，主要包括：办公费7万元、手续费0万元、水费0.2万元、电费0.6万元、邮电费4.1万元、物业管理费0万元、差旅费10.75万元、因公出国（境）费用0万元、维修（护）费0.6万元、租赁费0万元、会议费0万元、培训费0万元、公务接待费0万元、福利费0万元、公务用车运行维护费3.996万元、其他商品和服务支出0万元、办公设备购置0万元、无形资产购置0万元等。</w:t>
      </w:r>
    </w:p>
    <w:p>
      <w:pPr>
        <w:spacing w:line="600" w:lineRule="exact"/>
        <w:ind w:firstLine="640" w:firstLineChars="200"/>
        <w:outlineLvl w:val="1"/>
        <w:rPr>
          <w:rStyle w:val="18"/>
          <w:rFonts w:ascii="黑体" w:eastAsia="黑体"/>
          <w:b w:val="0"/>
        </w:rPr>
      </w:pPr>
      <w:bookmarkStart w:id="42" w:name="_Toc15377215"/>
      <w:bookmarkStart w:id="43" w:name="_Toc15396609"/>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20年“三公”经费财政拨款支出决算为3.9960万元，完成预算100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决算3.9960万元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；公务用车购置及运行维护费支出决算3.9960万元，占100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numPr>
          <w:ilvl w:val="0"/>
          <w:numId w:val="2"/>
        </w:numPr>
        <w:spacing w:line="600" w:lineRule="exact"/>
        <w:ind w:firstLine="640"/>
        <w:rPr>
          <w:rFonts w:ascii="仿宋_GB2312" w:eastAsia="仿宋_GB2312"/>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sz w:val="32"/>
          <w:szCs w:val="32"/>
        </w:rPr>
        <w:t>全年安排因公出国（境）团组0次，出国（境）0人。</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3.9960万元</w:t>
      </w:r>
      <w:r>
        <w:rPr>
          <w:rFonts w:hint="eastAsia" w:ascii="仿宋_GB2312" w:eastAsia="仿宋_GB2312"/>
          <w:color w:val="000000"/>
          <w:sz w:val="32"/>
          <w:szCs w:val="32"/>
          <w:lang w:eastAsia="zh-CN"/>
        </w:rPr>
        <w:t>，</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19年</w:t>
      </w:r>
      <w:r>
        <w:rPr>
          <w:rFonts w:hint="eastAsia" w:ascii="仿宋_GB2312" w:hAnsi="仿宋" w:eastAsia="仿宋_GB2312" w:cs="仿宋"/>
          <w:color w:val="000000"/>
          <w:sz w:val="30"/>
          <w:szCs w:val="30"/>
        </w:rPr>
        <w:t>比上年减少0.004万元，属基本持平</w:t>
      </w:r>
      <w:r>
        <w:rPr>
          <w:rFonts w:hint="eastAsia" w:ascii="仿宋_GB2312" w:eastAsia="仿宋_GB2312"/>
          <w:sz w:val="32"/>
          <w:szCs w:val="32"/>
        </w:rPr>
        <w:t>。</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日，共有车辆2辆，其中：部级领导干部用车0辆、主要领导干部用车0辆、机要通信用车0辆、应急保障用车2辆、执法执勤用车0辆、特种专业技术用车0辆、离退休干部用车0辆、其他用车0辆；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3.9960万元。</w:t>
      </w:r>
      <w:r>
        <w:rPr>
          <w:rFonts w:hint="eastAsia" w:ascii="仿宋_GB2312" w:eastAsia="仿宋_GB2312"/>
          <w:color w:val="000000"/>
          <w:sz w:val="32"/>
          <w:szCs w:val="32"/>
        </w:rPr>
        <w:t>主要用我单位所需的公务用车燃料费、维修费、过路过桥费、保险费等支出。</w:t>
      </w:r>
    </w:p>
    <w:p>
      <w:pPr>
        <w:spacing w:line="600" w:lineRule="exact"/>
        <w:ind w:firstLine="640"/>
        <w:outlineLvl w:val="1"/>
        <w:rPr>
          <w:rFonts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bookmarkStart w:id="46" w:name="_Toc15377218"/>
      <w:bookmarkStart w:id="47" w:name="_Toc15396610"/>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20年政府性基金预算拨款收入94.8万元，支出109.37万元，</w:t>
      </w:r>
      <w:r>
        <w:rPr>
          <w:rFonts w:eastAsia="仿宋_GB2312"/>
          <w:color w:val="000000"/>
          <w:sz w:val="32"/>
          <w:szCs w:val="30"/>
        </w:rPr>
        <w:t>主要原因为</w:t>
      </w:r>
      <w:r>
        <w:rPr>
          <w:rFonts w:hint="eastAsia" w:eastAsia="仿宋_GB2312"/>
          <w:color w:val="000000"/>
          <w:sz w:val="32"/>
          <w:szCs w:val="30"/>
        </w:rPr>
        <w:t>县财政解决国土空间规划编制70.8万元、金川县10个乡镇土地利用总体规划24万元</w:t>
      </w:r>
      <w:r>
        <w:rPr>
          <w:rFonts w:eastAsia="仿宋_GB2312"/>
          <w:color w:val="000000"/>
          <w:sz w:val="32"/>
          <w:szCs w:val="30"/>
        </w:rPr>
        <w:t>；</w:t>
      </w:r>
    </w:p>
    <w:p>
      <w:pPr>
        <w:numPr>
          <w:ilvl w:val="0"/>
          <w:numId w:val="3"/>
        </w:numPr>
        <w:spacing w:line="600" w:lineRule="exact"/>
        <w:ind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3"/>
        <w:numPr>
          <w:ilvl w:val="0"/>
          <w:numId w:val="4"/>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经全面综合评价，我单位预算支出绩效自评得分93</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w:t>
      </w:r>
      <w:r>
        <w:rPr>
          <w:rFonts w:hint="eastAsia" w:ascii="仿宋_GB2312" w:eastAsia="仿宋_GB2312"/>
          <w:sz w:val="32"/>
          <w:szCs w:val="32"/>
          <w:lang w:eastAsia="zh-CN"/>
        </w:rPr>
        <w:t>，</w:t>
      </w:r>
      <w:r>
        <w:rPr>
          <w:rFonts w:hint="eastAsia" w:ascii="仿宋_GB2312" w:eastAsia="仿宋_GB2312"/>
          <w:sz w:val="32"/>
          <w:szCs w:val="32"/>
        </w:rPr>
        <w:t>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。本单位还自行组织了4个项目绩效评价，从评价情况来看我单位年初预算项目基本按照绩效目标完成支付，有部分项目结转质保金在下年质保期后进行支付。</w:t>
      </w:r>
    </w:p>
    <w:p>
      <w:pPr>
        <w:numPr>
          <w:ilvl w:val="0"/>
          <w:numId w:val="5"/>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本部门在2020年度部门决算中反映“金川县曾达乡2019年度灾后重建土地复垦项目”</w:t>
      </w:r>
      <w:r>
        <w:rPr>
          <w:rFonts w:hint="eastAsia" w:eastAsia="仿宋"/>
          <w:color w:val="333333"/>
          <w:kern w:val="0"/>
          <w:sz w:val="32"/>
          <w:szCs w:val="32"/>
          <w:shd w:val="clear" w:color="auto" w:fill="FFFFFF"/>
        </w:rPr>
        <w:t>等</w:t>
      </w:r>
      <w:r>
        <w:rPr>
          <w:rFonts w:hint="eastAsia" w:ascii="仿宋_GB2312" w:eastAsia="仿宋_GB2312" w:cs="仿宋_GB2312"/>
          <w:sz w:val="32"/>
          <w:szCs w:val="32"/>
        </w:rPr>
        <w:t>4个项目绩效目标实际完成情况。</w:t>
      </w:r>
    </w:p>
    <w:p>
      <w:pPr>
        <w:tabs>
          <w:tab w:val="left" w:pos="0"/>
        </w:tabs>
        <w:spacing w:line="580" w:lineRule="exact"/>
        <w:ind w:left="420" w:leftChars="200"/>
        <w:jc w:val="left"/>
        <w:rPr>
          <w:rFonts w:ascii="仿宋_GB2312" w:eastAsia="仿宋_GB2312" w:cs="仿宋_GB2312"/>
          <w:sz w:val="32"/>
          <w:szCs w:val="32"/>
        </w:rPr>
      </w:pPr>
    </w:p>
    <w:p>
      <w:pPr>
        <w:adjustRightInd w:val="0"/>
        <w:snapToGrid w:val="0"/>
        <w:spacing w:line="600" w:lineRule="exact"/>
        <w:ind w:firstLine="720"/>
        <w:rPr>
          <w:rFonts w:ascii="仿宋_GB2312" w:eastAsia="仿宋_GB2312" w:cs="仿宋_GB2312"/>
          <w:sz w:val="32"/>
          <w:szCs w:val="32"/>
        </w:rPr>
      </w:pPr>
      <w:r>
        <w:rPr>
          <w:rFonts w:hint="eastAsia" w:ascii="仿宋_GB2312" w:eastAsia="仿宋_GB2312" w:cs="仿宋_GB2312"/>
          <w:sz w:val="32"/>
          <w:szCs w:val="32"/>
        </w:rPr>
        <w:t>1.“金川县曾达乡2019年度灾后重建土地复垦项目”项目绩效目标完成情况综述。项目计划投资300万元，资金来源为涉农整合资金。完成预算的100%。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3"/>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曾达乡2019年度灾后重建土地复垦项目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金川县自然资源局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300万元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灾后重建土地复垦</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完成灾毁土地复垦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300亩</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300亩</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2020年8月31日前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300亩</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材料、人工等费用控制在300万元以内</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300万元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adjustRightInd w:val="0"/>
        <w:snapToGrid w:val="0"/>
        <w:spacing w:line="60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2.“曾达乡曾达村、野足沟村、海子坪村、木尔都村城乡建设用地增减挂钩项目”项目绩效目标完成情况综述。</w:t>
      </w:r>
      <w:r>
        <w:rPr>
          <w:rFonts w:hint="eastAsia" w:ascii="仿宋_GB2312" w:eastAsia="仿宋_GB2312" w:cs="仿宋_GB2312"/>
          <w:sz w:val="32"/>
          <w:szCs w:val="32"/>
          <w:lang w:val="zh-CN"/>
        </w:rPr>
        <w:t>项目应实现的具体绩效目标，包括目标的量化、细化情况以及项目实施进度计划等。</w:t>
      </w:r>
      <w:r>
        <w:rPr>
          <w:rFonts w:hint="eastAsia" w:ascii="仿宋_GB2312" w:eastAsia="仿宋_GB2312" w:cs="仿宋_GB2312"/>
          <w:sz w:val="32"/>
          <w:szCs w:val="32"/>
        </w:rPr>
        <w:t>完成农村建设用地复垦223亩。项目计划工期两年。</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3"/>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曾达乡曾达村、野足沟村、海子坪村、木尔都村城乡建设用地增减挂钩项目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金川县自然资源局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1095</w:t>
            </w:r>
            <w:r>
              <w:rPr>
                <w:rFonts w:hint="eastAsia" w:ascii="宋体" w:cs="宋体"/>
                <w:color w:val="00000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1095</w:t>
            </w:r>
            <w:r>
              <w:rPr>
                <w:rFonts w:hint="eastAsia" w:ascii="仿宋_GB2312" w:hAnsi="宋体"/>
                <w:sz w:val="18"/>
                <w:szCs w:val="18"/>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3844</w:t>
            </w:r>
            <w:r>
              <w:rPr>
                <w:rFonts w:hint="eastAsia" w:ascii="宋体" w:cs="宋体"/>
                <w:color w:val="00000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3844万元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napToGrid w:val="0"/>
              <w:spacing w:line="600" w:lineRule="exact"/>
              <w:ind w:firstLine="720"/>
              <w:rPr>
                <w:rFonts w:ascii="仿宋_GB2312" w:hAnsi="宋体"/>
              </w:rPr>
            </w:pPr>
            <w:r>
              <w:rPr>
                <w:rFonts w:hint="eastAsia" w:ascii="仿宋_GB2312" w:hAnsi="宋体"/>
              </w:rPr>
              <w:t>完成农村建设用地复垦223亩，完成时限立项后两年。</w:t>
            </w:r>
          </w:p>
          <w:p>
            <w:pPr>
              <w:widowControl/>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按计划保质保量完成了农村建设用地复垦223亩，质量为合格。</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农村建设用地复垦</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223亩</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保质保量完成质量为合格</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223亩</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ind w:firstLine="420" w:firstLineChars="200"/>
            </w:pPr>
            <w:r>
              <w:t>调整土地利用结构，合理利用土地，积极促进土地的集约节约利用，提高环境容量，促进生态良性循环。</w:t>
            </w:r>
          </w:p>
          <w:p>
            <w:pPr>
              <w:widowControl/>
              <w:jc w:val="center"/>
              <w:textAlignment w:val="center"/>
              <w:rPr>
                <w:rFonts w:ascii="宋体" w:cs="宋体"/>
                <w:color w:val="000000"/>
                <w:sz w:val="24"/>
              </w:rPr>
            </w:pP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ind w:firstLine="420" w:firstLineChars="200"/>
            </w:pPr>
            <w:r>
              <w:t>调整土地利用结构，合理利用土地，积极促进土地的集约节约利用，提高环境容量，促进生态良性循环。</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pStyle w:val="12"/>
        <w:spacing w:beforeAutospacing="0" w:afterAutospacing="0" w:line="64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w:t>
      </w:r>
      <w:r>
        <w:rPr>
          <w:rFonts w:ascii="仿宋_GB2312" w:hAnsi="Times New Roman" w:eastAsia="仿宋_GB2312" w:cs="仿宋_GB2312"/>
          <w:sz w:val="32"/>
          <w:szCs w:val="32"/>
        </w:rPr>
        <w:t>金川县第三次国土调查专项</w:t>
      </w:r>
      <w:r>
        <w:rPr>
          <w:rFonts w:hint="eastAsia" w:ascii="仿宋_GB2312" w:hAnsi="Times New Roman" w:eastAsia="仿宋_GB2312" w:cs="仿宋_GB2312"/>
          <w:sz w:val="32"/>
          <w:szCs w:val="32"/>
        </w:rPr>
        <w:t>目</w:t>
      </w:r>
      <w:r>
        <w:rPr>
          <w:rFonts w:hint="eastAsia" w:ascii="仿宋_GB2312" w:eastAsia="仿宋_GB2312" w:cs="仿宋_GB2312"/>
          <w:sz w:val="32"/>
          <w:szCs w:val="32"/>
        </w:rPr>
        <w:t>”项目绩效目标完成情况综述。</w:t>
      </w:r>
      <w:r>
        <w:rPr>
          <w:rFonts w:ascii="Times New Roman" w:hAnsi="Times New Roman" w:eastAsia="仿宋" w:cs="Times New Roman"/>
          <w:bCs/>
          <w:sz w:val="32"/>
          <w:szCs w:val="32"/>
        </w:rPr>
        <w:t>经县财政局评审批复（金财投</w:t>
      </w:r>
      <w:r>
        <w:rPr>
          <w:rFonts w:ascii="Times New Roman" w:hAnsi="Times New Roman" w:eastAsia="仿宋" w:cs="Times New Roman"/>
          <w:sz w:val="32"/>
          <w:szCs w:val="32"/>
        </w:rPr>
        <w:t>〔2019〕12号</w:t>
      </w:r>
      <w:r>
        <w:rPr>
          <w:rFonts w:ascii="Times New Roman" w:hAnsi="Times New Roman" w:eastAsia="仿宋" w:cs="Times New Roman"/>
          <w:bCs/>
          <w:sz w:val="32"/>
          <w:szCs w:val="32"/>
        </w:rPr>
        <w:t>）该项目控制价为794.5198万元。其中招标控制价为773.35万元，</w:t>
      </w:r>
      <w:r>
        <w:rPr>
          <w:rFonts w:ascii="Times New Roman" w:hAnsi="Times New Roman" w:eastAsia="仿宋" w:cs="Times New Roman"/>
          <w:color w:val="333333"/>
          <w:sz w:val="32"/>
          <w:szCs w:val="32"/>
          <w:shd w:val="clear" w:color="auto" w:fill="FFFFFF"/>
        </w:rPr>
        <w:t>办公经费</w:t>
      </w:r>
      <w:r>
        <w:rPr>
          <w:rFonts w:ascii="Times New Roman" w:hAnsi="Times New Roman" w:eastAsia="仿宋" w:cs="Times New Roman"/>
          <w:sz w:val="32"/>
          <w:szCs w:val="32"/>
          <w:shd w:val="clear" w:color="auto" w:fill="FFFFFF"/>
        </w:rPr>
        <w:t>21.1698万元，并</w:t>
      </w:r>
      <w:r>
        <w:rPr>
          <w:rFonts w:ascii="Times New Roman" w:hAnsi="Times New Roman" w:eastAsia="仿宋" w:cs="Times New Roman"/>
          <w:color w:val="333333"/>
          <w:sz w:val="32"/>
          <w:szCs w:val="32"/>
          <w:shd w:val="clear" w:color="auto" w:fill="FFFFFF"/>
        </w:rPr>
        <w:t>列入财政预算。土地调查是一项重大的国情国力调查， 是查实查清土地资源的重要手段。开展第三次全国土地调查，目的是全面查清当前全国土地利用状况，掌握真实准确的土地基础数据，健全土地调查、监测和统计制度，强化土地资源信息社会化服务，满足经济社会发展和国土资源管理工作需要 。</w:t>
      </w:r>
    </w:p>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(2020 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金川县第三次国土调查专项</w:t>
            </w:r>
            <w:r>
              <w:rPr>
                <w:rFonts w:hint="eastAsia" w:ascii="宋体" w:cs="宋体"/>
                <w:color w:val="000000"/>
                <w:sz w:val="24"/>
              </w:rPr>
              <w:t>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金川县自然资源局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765.48</w:t>
            </w:r>
            <w:r>
              <w:rPr>
                <w:rFonts w:hint="eastAsia" w:ascii="宋体" w:cs="宋体"/>
                <w:color w:val="000000"/>
                <w:kern w:val="0"/>
                <w:sz w:val="24"/>
              </w:rPr>
              <w:t>万</w:t>
            </w:r>
            <w:r>
              <w:rPr>
                <w:rFonts w:hint="eastAsia" w:ascii="宋体" w:cs="宋体"/>
                <w:color w:val="000000"/>
                <w:sz w:val="24"/>
              </w:rPr>
              <w:t>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765.48</w:t>
            </w:r>
            <w:r>
              <w:rPr>
                <w:rFonts w:hint="eastAsia" w:ascii="宋体" w:cs="宋体"/>
                <w:color w:val="000000"/>
                <w:kern w:val="0"/>
                <w:sz w:val="24"/>
              </w:rPr>
              <w:t>万</w:t>
            </w:r>
            <w:r>
              <w:rPr>
                <w:rFonts w:hint="eastAsia" w:ascii="宋体" w:cs="宋体"/>
                <w:color w:val="000000"/>
                <w:sz w:val="24"/>
              </w:rPr>
              <w:t>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765.48</w:t>
            </w:r>
            <w:r>
              <w:rPr>
                <w:rFonts w:hint="eastAsia" w:ascii="宋体" w:cs="宋体"/>
                <w:color w:val="000000"/>
                <w:kern w:val="0"/>
                <w:sz w:val="24"/>
              </w:rPr>
              <w:t>万</w:t>
            </w:r>
            <w:r>
              <w:rPr>
                <w:rFonts w:hint="eastAsia" w:ascii="宋体" w:cs="宋体"/>
                <w:color w:val="000000"/>
                <w:sz w:val="24"/>
              </w:rPr>
              <w:t>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765.48</w:t>
            </w:r>
            <w:r>
              <w:rPr>
                <w:rFonts w:hint="eastAsia" w:ascii="宋体" w:cs="宋体"/>
                <w:color w:val="000000"/>
                <w:kern w:val="0"/>
                <w:sz w:val="24"/>
              </w:rPr>
              <w:t>万</w:t>
            </w:r>
            <w:r>
              <w:rPr>
                <w:rFonts w:hint="eastAsia" w:ascii="宋体" w:cs="宋体"/>
                <w:color w:val="000000"/>
                <w:sz w:val="24"/>
              </w:rPr>
              <w:t>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2"/>
              <w:spacing w:beforeAutospacing="0" w:afterAutospacing="0" w:line="640" w:lineRule="exact"/>
              <w:ind w:firstLine="480" w:firstLineChars="200"/>
              <w:jc w:val="both"/>
              <w:rPr>
                <w:rFonts w:hAnsi="Times New Roman"/>
                <w:color w:val="000000"/>
                <w:kern w:val="2"/>
              </w:rPr>
            </w:pPr>
            <w:r>
              <w:rPr>
                <w:rFonts w:hAnsi="Times New Roman"/>
                <w:color w:val="000000"/>
                <w:kern w:val="2"/>
              </w:rPr>
              <w:t>项目完成后可产生不可估量的经济和社会效益。</w:t>
            </w:r>
          </w:p>
          <w:p>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截至目前金川县第三次全国国土调查初始库完成实地举证地类样本75个、初次举证9109个、补充举证1242个、统一时点国家下发图斑669个，自主提取图斑1730个，总计统一时点更新举证2399个。现已将2019年度第三次国土调查统一时点更新成果提交至全国三调办</w:t>
            </w:r>
            <w:r>
              <w:rPr>
                <w:rFonts w:hint="eastAsia" w:asci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pPr>
            <w:r>
              <w:rPr>
                <w:rFonts w:hint="eastAsia" w:ascii="宋体" w:cs="宋体"/>
                <w:color w:val="000000"/>
                <w:sz w:val="24"/>
              </w:rPr>
              <w:t xml:space="preserve">              完成时限</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2020年7月27日</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2020年7月27日</w:t>
            </w:r>
            <w:r>
              <w:rPr>
                <w:rFonts w:hint="eastAsia" w:ascii="宋体" w:cs="宋体"/>
                <w:color w:val="000000"/>
                <w:sz w:val="24"/>
              </w:rPr>
              <w:t>前提交省数据库</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重大意义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24"/>
              </w:rPr>
            </w:pPr>
            <w:r>
              <w:rPr>
                <w:rFonts w:ascii="宋体" w:cs="宋体"/>
                <w:color w:val="000000"/>
                <w:sz w:val="24"/>
              </w:rPr>
              <w:t>该项目整体发挥的经济效益、社会效益明显，保障了重点项目、民生工程、保障性安居工程以及经济社会可持续发展提供基础支撑。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该项目整体发挥的经济效益、社会效益明显，保障了重点项目、民生工程、保障性安居工程以及经济社会可持续发展提供基础支撑。</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
      <w:pPr>
        <w:spacing w:line="580" w:lineRule="exact"/>
        <w:ind w:firstLine="640" w:firstLineChars="200"/>
        <w:rPr>
          <w:rFonts w:ascii="仿宋_GB2312" w:hAnsi="仿宋_GB2312" w:eastAsia="仿宋_GB2312" w:cs="仿宋_GB2312"/>
          <w:kern w:val="1"/>
          <w:sz w:val="32"/>
          <w:szCs w:val="32"/>
        </w:rPr>
      </w:pPr>
      <w:r>
        <w:rPr>
          <w:rFonts w:hint="eastAsia" w:ascii="仿宋_GB2312" w:eastAsia="仿宋_GB2312" w:cs="仿宋_GB2312"/>
          <w:sz w:val="32"/>
          <w:szCs w:val="32"/>
        </w:rPr>
        <w:t>4 .“</w:t>
      </w:r>
      <w:r>
        <w:rPr>
          <w:rFonts w:hint="eastAsia" w:ascii="仿宋_GB2312" w:hAnsi="仿宋_GB2312" w:eastAsia="仿宋_GB2312" w:cs="仿宋_GB2312"/>
          <w:kern w:val="1"/>
          <w:sz w:val="32"/>
          <w:szCs w:val="32"/>
        </w:rPr>
        <w:t>金川县不动产登记工作数据整合项目</w:t>
      </w:r>
      <w:r>
        <w:rPr>
          <w:rFonts w:hint="eastAsia" w:ascii="仿宋_GB2312" w:eastAsia="仿宋_GB2312" w:cs="仿宋_GB2312"/>
          <w:sz w:val="32"/>
          <w:szCs w:val="32"/>
        </w:rPr>
        <w:t>”绩效目标完成情况综述。项目</w:t>
      </w:r>
      <w:r>
        <w:rPr>
          <w:rFonts w:hint="eastAsia" w:ascii="仿宋_GB2312" w:hAnsi="仿宋_GB2312" w:eastAsia="仿宋_GB2312" w:cs="仿宋_GB2312"/>
          <w:kern w:val="1"/>
          <w:sz w:val="32"/>
          <w:szCs w:val="32"/>
        </w:rPr>
        <w:t>县财政局（金财投〔2017〕76号）评审批复总资金为200.4143万元，其中招标控制价为199.76万元。</w:t>
      </w:r>
      <w:r>
        <w:rPr>
          <w:rFonts w:hint="eastAsia" w:ascii="仿宋_GB2312" w:eastAsia="仿宋_GB2312" w:cs="仿宋_GB2312"/>
          <w:sz w:val="32"/>
          <w:szCs w:val="32"/>
        </w:rPr>
        <w:t>通过项目实施，</w:t>
      </w:r>
      <w:r>
        <w:rPr>
          <w:rFonts w:hint="eastAsia" w:ascii="仿宋_GB2312" w:hAnsi="仿宋_GB2312" w:eastAsia="仿宋_GB2312" w:cs="仿宋_GB2312"/>
          <w:b/>
          <w:bCs/>
          <w:kern w:val="1"/>
          <w:sz w:val="32"/>
          <w:szCs w:val="32"/>
        </w:rPr>
        <w:t>一是</w:t>
      </w:r>
      <w:r>
        <w:rPr>
          <w:rFonts w:hint="eastAsia" w:ascii="仿宋_GB2312" w:hAnsi="仿宋_GB2312" w:eastAsia="仿宋_GB2312" w:cs="仿宋_GB2312"/>
          <w:kern w:val="1"/>
          <w:sz w:val="32"/>
          <w:szCs w:val="32"/>
        </w:rPr>
        <w:t>提升了便民服务水平。</w:t>
      </w:r>
      <w:r>
        <w:rPr>
          <w:rFonts w:hint="eastAsia" w:ascii="仿宋_GB2312" w:hAnsi="仿宋_GB2312" w:eastAsia="仿宋_GB2312" w:cs="仿宋_GB2312"/>
          <w:b/>
          <w:bCs/>
          <w:kern w:val="1"/>
          <w:sz w:val="32"/>
          <w:szCs w:val="32"/>
        </w:rPr>
        <w:t>二是</w:t>
      </w:r>
      <w:r>
        <w:rPr>
          <w:rFonts w:hint="eastAsia" w:ascii="仿宋_GB2312" w:hAnsi="仿宋_GB2312" w:eastAsia="仿宋_GB2312" w:cs="仿宋_GB2312"/>
          <w:kern w:val="1"/>
          <w:sz w:val="32"/>
          <w:szCs w:val="32"/>
        </w:rPr>
        <w:t>保障了不动产权利人的合法权益。</w:t>
      </w:r>
      <w:r>
        <w:rPr>
          <w:rFonts w:hint="eastAsia" w:ascii="仿宋_GB2312" w:hAnsi="仿宋_GB2312" w:eastAsia="仿宋_GB2312" w:cs="仿宋_GB2312"/>
          <w:b/>
          <w:bCs/>
          <w:kern w:val="1"/>
          <w:sz w:val="32"/>
          <w:szCs w:val="32"/>
        </w:rPr>
        <w:t>三是</w:t>
      </w:r>
      <w:r>
        <w:rPr>
          <w:rFonts w:hint="eastAsia" w:ascii="仿宋_GB2312" w:hAnsi="仿宋_GB2312" w:eastAsia="仿宋_GB2312" w:cs="仿宋_GB2312"/>
          <w:kern w:val="1"/>
          <w:sz w:val="32"/>
          <w:szCs w:val="32"/>
        </w:rPr>
        <w:t>减轻群众经济负担。</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(2020 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金川县不动产登记工作数据整合项目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金川县自然资源局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199.76万元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1645345万元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提升便民服务水平，保障不动产权利人的合法权益，减轻群众经济负担</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全部实现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Theme="minorEastAsia" w:hAnsiTheme="minorEastAsia"/>
              </w:rPr>
              <w:t>不动产登记数据整合建库</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sz w:val="24"/>
              </w:rPr>
              <w:t>1个。</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sz w:val="24"/>
              </w:rPr>
              <w:t>1个。</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使用时效</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Theme="minorEastAsia" w:hAnsiTheme="minorEastAsia"/>
              </w:rPr>
              <w:t>2</w:t>
            </w:r>
            <w:r>
              <w:rPr>
                <w:rFonts w:asciiTheme="minorEastAsia" w:hAnsiTheme="minorEastAsia"/>
              </w:rPr>
              <w:t>018</w:t>
            </w:r>
            <w:r>
              <w:rPr>
                <w:rFonts w:hint="eastAsia" w:asciiTheme="minorEastAsia" w:hAnsiTheme="minorEastAsia"/>
              </w:rPr>
              <w:t>年3月初开始</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Theme="minorEastAsia" w:hAnsiTheme="minorEastAsia"/>
              </w:rPr>
              <w:t>2</w:t>
            </w:r>
            <w:r>
              <w:rPr>
                <w:rFonts w:asciiTheme="minorEastAsia" w:hAnsiTheme="minorEastAsia"/>
              </w:rPr>
              <w:t>018</w:t>
            </w:r>
            <w:r>
              <w:rPr>
                <w:rFonts w:hint="eastAsia" w:asciiTheme="minorEastAsia" w:hAnsiTheme="minorEastAsia"/>
              </w:rPr>
              <w:t>年3月初开始</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不动产权利人满意度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rPr>
          <w:rFonts w:ascii="Calibri" w:hAnsi="Calibri"/>
        </w:rPr>
      </w:pPr>
    </w:p>
    <w:p>
      <w:pPr>
        <w:numPr>
          <w:ilvl w:val="0"/>
          <w:numId w:val="5"/>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p>
    <w:p>
      <w:pPr>
        <w:spacing w:line="600" w:lineRule="exact"/>
        <w:ind w:firstLine="640" w:firstLineChars="200"/>
        <w:outlineLvl w:val="1"/>
        <w:rPr>
          <w:rStyle w:val="18"/>
          <w:rFonts w:ascii="黑体" w:eastAsia="黑体"/>
        </w:rPr>
      </w:pPr>
      <w:bookmarkStart w:id="50" w:name="_Toc15377221"/>
      <w:bookmarkStart w:id="51" w:name="_Toc15396612"/>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20年，金川县自然资源局运行经费支出21.54万元，比</w:t>
      </w:r>
      <w:r>
        <w:rPr>
          <w:rFonts w:ascii="仿宋_GB2312" w:eastAsia="仿宋_GB2312"/>
          <w:color w:val="000000"/>
          <w:sz w:val="32"/>
          <w:szCs w:val="32"/>
        </w:rPr>
        <w:t>20</w:t>
      </w:r>
      <w:r>
        <w:rPr>
          <w:rFonts w:hint="eastAsia" w:ascii="仿宋_GB2312" w:eastAsia="仿宋_GB2312"/>
          <w:color w:val="000000"/>
          <w:sz w:val="32"/>
          <w:szCs w:val="32"/>
        </w:rPr>
        <w:t>19年有所下降。</w:t>
      </w:r>
      <w:r>
        <w:rPr>
          <w:rFonts w:hint="eastAsia" w:ascii="仿宋_GB2312" w:eastAsia="仿宋_GB2312"/>
          <w:sz w:val="32"/>
          <w:szCs w:val="32"/>
        </w:rPr>
        <w:t>主要原因为差旅费、公务用车运行费、维修维护费、办公设备购置费经费等有所减少。</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_GB2312"/>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w:t>
      </w:r>
      <w:r>
        <w:rPr>
          <w:rFonts w:hint="eastAsia" w:ascii="仿宋_GB2312" w:hAnsi="仿宋" w:eastAsia="仿宋_GB2312" w:cs="仿宋"/>
          <w:bCs/>
          <w:color w:val="000000"/>
          <w:sz w:val="30"/>
          <w:szCs w:val="30"/>
        </w:rPr>
        <w:t>645.39万元，比上年度增加645.39万元，2019年无政府采购支出</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日，共有车辆2辆，为日常工作及应急保障用车。</w:t>
      </w:r>
      <w:r>
        <w:rPr>
          <w:rFonts w:hint="eastAsia" w:ascii="仿宋_GB2312" w:eastAsia="仿宋_GB2312"/>
          <w:b/>
          <w:color w:val="000000"/>
          <w:sz w:val="32"/>
          <w:szCs w:val="32"/>
        </w:rPr>
        <w:t xml:space="preserve">    </w:t>
      </w:r>
    </w:p>
    <w:p>
      <w:pPr>
        <w:numPr>
          <w:ilvl w:val="0"/>
          <w:numId w:val="6"/>
        </w:numPr>
        <w:spacing w:line="600" w:lineRule="exact"/>
        <w:ind w:firstLine="663" w:firstLineChars="150"/>
        <w:jc w:val="center"/>
        <w:outlineLvl w:val="0"/>
        <w:rPr>
          <w:rStyle w:val="17"/>
          <w:rFonts w:ascii="黑体" w:eastAsia="黑体"/>
          <w:b w:val="0"/>
        </w:rPr>
      </w:pPr>
      <w:bookmarkStart w:id="55" w:name="_Toc15377225"/>
      <w:bookmarkStart w:id="56" w:name="_Toc15396613"/>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3"/>
        <w:rPr>
          <w:rStyle w:val="17"/>
          <w:rFonts w:ascii="仿宋" w:eastAsia="仿宋"/>
          <w:b w:val="0"/>
          <w:bCs w:val="0"/>
          <w:sz w:val="32"/>
          <w:szCs w:val="32"/>
        </w:rPr>
      </w:pPr>
      <w:bookmarkStart w:id="59" w:name="_Toc15396615"/>
      <w:r>
        <w:rPr>
          <w:rStyle w:val="17"/>
          <w:rFonts w:hint="eastAsia" w:ascii="仿宋" w:eastAsia="仿宋"/>
          <w:b w:val="0"/>
          <w:bCs w:val="0"/>
          <w:sz w:val="32"/>
          <w:szCs w:val="32"/>
        </w:rPr>
        <w:t>附件1</w:t>
      </w:r>
      <w:bookmarkEnd w:id="59"/>
    </w:p>
    <w:p>
      <w:pPr>
        <w:numPr>
          <w:ilvl w:val="0"/>
          <w:numId w:val="6"/>
        </w:numPr>
        <w:spacing w:line="600" w:lineRule="exact"/>
        <w:ind w:firstLine="660" w:firstLineChars="150"/>
        <w:jc w:val="center"/>
        <w:outlineLvl w:val="0"/>
        <w:rPr>
          <w:rStyle w:val="17"/>
          <w:rFonts w:ascii="黑体" w:eastAsia="黑体"/>
          <w:b w:val="0"/>
        </w:rPr>
      </w:pPr>
      <w:r>
        <w:rPr>
          <w:rStyle w:val="17"/>
          <w:rFonts w:hint="eastAsia" w:ascii="黑体" w:eastAsia="黑体"/>
          <w:b w:val="0"/>
        </w:rPr>
        <w:t>附件</w:t>
      </w:r>
      <w:bookmarkEnd w:id="57"/>
    </w:p>
    <w:p>
      <w:pPr>
        <w:outlineLvl w:val="0"/>
        <w:rPr>
          <w:rStyle w:val="17"/>
          <w:rFonts w:ascii="黑体" w:eastAsia="黑体"/>
          <w:b w:val="0"/>
        </w:rPr>
      </w:pPr>
    </w:p>
    <w:bookmarkEnd w:id="58"/>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自然资源局</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p>
    <w:p>
      <w:pPr>
        <w:widowControl/>
        <w:adjustRightInd w:val="0"/>
        <w:snapToGrid w:val="0"/>
        <w:spacing w:line="480" w:lineRule="exact"/>
        <w:ind w:firstLine="720"/>
        <w:jc w:val="left"/>
        <w:rPr>
          <w:rFonts w:ascii="黑体" w:hAnsi="宋体" w:eastAsia="黑体" w:cs="宋体"/>
          <w:color w:val="000000"/>
          <w:kern w:val="0"/>
        </w:rPr>
      </w:pPr>
    </w:p>
    <w:p>
      <w:pPr>
        <w:widowControl/>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rPr>
        <w:t>一、</w:t>
      </w:r>
      <w:r>
        <w:rPr>
          <w:rStyle w:val="17"/>
          <w:rFonts w:hint="eastAsia" w:ascii="仿宋" w:eastAsia="仿宋"/>
          <w:b w:val="0"/>
          <w:bCs w:val="0"/>
          <w:sz w:val="32"/>
          <w:szCs w:val="32"/>
          <w:lang w:val="zh-CN"/>
        </w:rPr>
        <w:t>部门（单位）概况</w:t>
      </w:r>
    </w:p>
    <w:p>
      <w:pPr>
        <w:widowControl/>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（一）机构组成。</w:t>
      </w:r>
    </w:p>
    <w:p>
      <w:pPr>
        <w:pStyle w:val="12"/>
        <w:spacing w:beforeAutospacing="0" w:afterAutospacing="0" w:line="560" w:lineRule="atLeast"/>
        <w:ind w:firstLine="600"/>
        <w:jc w:val="both"/>
        <w:rPr>
          <w:rStyle w:val="17"/>
          <w:rFonts w:ascii="仿宋" w:eastAsia="仿宋"/>
          <w:b w:val="0"/>
          <w:bCs w:val="0"/>
          <w:sz w:val="32"/>
          <w:szCs w:val="32"/>
        </w:rPr>
      </w:pPr>
      <w:r>
        <w:rPr>
          <w:rStyle w:val="17"/>
          <w:rFonts w:hint="eastAsia" w:ascii="仿宋" w:eastAsia="仿宋"/>
          <w:b w:val="0"/>
          <w:bCs w:val="0"/>
          <w:sz w:val="32"/>
          <w:szCs w:val="32"/>
        </w:rPr>
        <w:t>纳入2020年预算编制范围的是金川县自然资源局部门本级，有其他二级预算单位，包括6个职能股室（办公室、生态保护股、开发利用股、国土空间规划股、确权登记股、行政审批股），1个中心（不动产登记中心）。</w:t>
      </w:r>
    </w:p>
    <w:p>
      <w:pPr>
        <w:widowControl/>
        <w:numPr>
          <w:ilvl w:val="0"/>
          <w:numId w:val="7"/>
        </w:numPr>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机构职能。</w:t>
      </w:r>
    </w:p>
    <w:p>
      <w:pPr>
        <w:snapToGrid w:val="0"/>
        <w:spacing w:line="360" w:lineRule="auto"/>
        <w:ind w:firstLine="640" w:firstLineChars="200"/>
        <w:rPr>
          <w:rStyle w:val="17"/>
          <w:rFonts w:ascii="仿宋" w:eastAsia="仿宋"/>
          <w:b w:val="0"/>
          <w:bCs w:val="0"/>
          <w:sz w:val="32"/>
          <w:szCs w:val="32"/>
        </w:rPr>
      </w:pPr>
      <w:r>
        <w:rPr>
          <w:rStyle w:val="17"/>
          <w:rFonts w:hint="eastAsia" w:ascii="仿宋" w:eastAsia="仿宋"/>
          <w:b w:val="0"/>
          <w:bCs w:val="0"/>
          <w:sz w:val="32"/>
          <w:szCs w:val="32"/>
        </w:rPr>
        <w:t>1.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pPr>
        <w:pStyle w:val="12"/>
        <w:spacing w:beforeAutospacing="0" w:afterAutospacing="0" w:line="560" w:lineRule="exact"/>
        <w:ind w:firstLine="640" w:firstLineChars="200"/>
        <w:jc w:val="both"/>
        <w:rPr>
          <w:rStyle w:val="17"/>
          <w:rFonts w:ascii="仿宋" w:eastAsia="仿宋"/>
          <w:b w:val="0"/>
          <w:bCs w:val="0"/>
          <w:sz w:val="32"/>
          <w:szCs w:val="32"/>
        </w:rPr>
      </w:pPr>
      <w:r>
        <w:rPr>
          <w:rStyle w:val="17"/>
          <w:rFonts w:hint="eastAsia" w:ascii="仿宋" w:eastAsia="仿宋"/>
          <w:b w:val="0"/>
          <w:bCs w:val="0"/>
          <w:sz w:val="32"/>
          <w:szCs w:val="32"/>
        </w:rPr>
        <w:t>2.承担规范国土资源管理秩序的责任。拟定并监督实施本县土地、矿产等自然资源管理和地质灾害防治地规章制度，制定地质环境保护的政策、规章制度，组织实施国土资源调查评价技术规程、国土资源开发利用标准。负责本系统、本部门依法行政工作， 监督检查各乡镇人民政府及其国土资源管理所执行和遵守国土资源管理法律、法规及土地、矿产资源规划、计划的执行情况。加强对基层国土资源管理所履行职责的管理监督，直接查处 全县辖区内违反国土资源管理法律、法规的行为。调查处理国土资源违法案件。</w:t>
      </w:r>
    </w:p>
    <w:p>
      <w:pPr>
        <w:pStyle w:val="12"/>
        <w:spacing w:beforeAutospacing="0" w:afterAutospacing="0" w:line="560" w:lineRule="exact"/>
        <w:ind w:firstLine="640" w:firstLineChars="200"/>
        <w:jc w:val="both"/>
        <w:rPr>
          <w:rStyle w:val="17"/>
          <w:rFonts w:ascii="仿宋" w:eastAsia="仿宋"/>
          <w:b w:val="0"/>
          <w:bCs w:val="0"/>
          <w:sz w:val="32"/>
          <w:szCs w:val="32"/>
        </w:rPr>
      </w:pPr>
      <w:r>
        <w:rPr>
          <w:rStyle w:val="17"/>
          <w:rFonts w:hint="eastAsia" w:ascii="仿宋" w:eastAsia="仿宋"/>
          <w:b w:val="0"/>
          <w:bCs w:val="0"/>
          <w:sz w:val="32"/>
          <w:szCs w:val="32"/>
        </w:rPr>
        <w:t>3.承担优化配置国土资源的责任。编制和组织实施全县土地利用总体规划、土地利用年度计划、土地整理复垦开发规划和其他专项规划、计划。参与审核报国务院、省、州政府审批的涉及土地、矿产、地质灾害防治地相关规划及其调整。</w:t>
      </w:r>
    </w:p>
    <w:p>
      <w:pPr>
        <w:pStyle w:val="12"/>
        <w:spacing w:beforeAutospacing="0" w:afterAutospacing="0" w:line="560" w:lineRule="exact"/>
        <w:ind w:firstLine="640" w:firstLineChars="200"/>
        <w:jc w:val="both"/>
        <w:rPr>
          <w:rStyle w:val="17"/>
          <w:rFonts w:ascii="仿宋" w:eastAsia="仿宋"/>
          <w:b w:val="0"/>
          <w:bCs w:val="0"/>
          <w:sz w:val="32"/>
          <w:szCs w:val="32"/>
        </w:rPr>
      </w:pPr>
      <w:r>
        <w:rPr>
          <w:rStyle w:val="17"/>
          <w:rFonts w:hint="eastAsia" w:ascii="仿宋" w:eastAsia="仿宋"/>
          <w:b w:val="0"/>
          <w:bCs w:val="0"/>
          <w:sz w:val="32"/>
          <w:szCs w:val="32"/>
        </w:rPr>
        <w:t>4.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pPr>
        <w:pStyle w:val="12"/>
        <w:spacing w:beforeAutospacing="0" w:afterAutospacing="0" w:line="560" w:lineRule="exact"/>
        <w:ind w:firstLine="640" w:firstLineChars="200"/>
        <w:jc w:val="both"/>
        <w:rPr>
          <w:rStyle w:val="17"/>
          <w:rFonts w:ascii="仿宋" w:eastAsia="仿宋"/>
          <w:b w:val="0"/>
          <w:bCs w:val="0"/>
          <w:sz w:val="32"/>
          <w:szCs w:val="32"/>
        </w:rPr>
      </w:pPr>
      <w:r>
        <w:rPr>
          <w:rStyle w:val="17"/>
          <w:rFonts w:hint="eastAsia" w:ascii="仿宋" w:eastAsia="仿宋"/>
          <w:b w:val="0"/>
          <w:bCs w:val="0"/>
          <w:sz w:val="32"/>
          <w:szCs w:val="32"/>
        </w:rPr>
        <w:t>5.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pPr>
        <w:pStyle w:val="12"/>
        <w:spacing w:beforeAutospacing="0" w:afterAutospacing="0" w:line="560" w:lineRule="exact"/>
        <w:ind w:firstLine="640" w:firstLineChars="200"/>
        <w:jc w:val="both"/>
        <w:rPr>
          <w:rStyle w:val="17"/>
          <w:rFonts w:ascii="仿宋" w:eastAsia="仿宋"/>
          <w:b w:val="0"/>
          <w:bCs w:val="0"/>
          <w:sz w:val="32"/>
          <w:szCs w:val="32"/>
        </w:rPr>
      </w:pPr>
      <w:r>
        <w:rPr>
          <w:rStyle w:val="17"/>
          <w:rFonts w:hint="eastAsia" w:ascii="仿宋" w:eastAsia="仿宋"/>
          <w:b w:val="0"/>
          <w:bCs w:val="0"/>
          <w:sz w:val="32"/>
          <w:szCs w:val="32"/>
        </w:rPr>
        <w:t>6.承担及时准确提供全县土地利用各种数据的责任。拟定和贯彻实施地籍管理办法，组织土地资源调查、地籍调查、土地统计和动态监测，组织实施重大土地专项调查，组织全县地籍调查、登记和土地分等定级工作。</w:t>
      </w:r>
    </w:p>
    <w:p>
      <w:pPr>
        <w:pStyle w:val="12"/>
        <w:spacing w:beforeAutospacing="0" w:afterAutospacing="0" w:line="560" w:lineRule="exact"/>
        <w:ind w:firstLine="640" w:firstLineChars="200"/>
        <w:jc w:val="both"/>
        <w:rPr>
          <w:rStyle w:val="17"/>
          <w:rFonts w:ascii="仿宋" w:eastAsia="仿宋"/>
          <w:b w:val="0"/>
          <w:bCs w:val="0"/>
          <w:sz w:val="32"/>
          <w:szCs w:val="32"/>
        </w:rPr>
      </w:pPr>
      <w:r>
        <w:rPr>
          <w:rStyle w:val="17"/>
          <w:rFonts w:hint="eastAsia" w:ascii="仿宋" w:eastAsia="仿宋"/>
          <w:b w:val="0"/>
          <w:bCs w:val="0"/>
          <w:sz w:val="32"/>
          <w:szCs w:val="32"/>
        </w:rPr>
        <w:t>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pPr>
        <w:pStyle w:val="12"/>
        <w:spacing w:beforeAutospacing="0" w:afterAutospacing="0" w:line="560" w:lineRule="exact"/>
        <w:ind w:firstLine="640" w:firstLineChars="200"/>
        <w:jc w:val="both"/>
        <w:rPr>
          <w:rStyle w:val="17"/>
          <w:rFonts w:ascii="仿宋" w:eastAsia="仿宋"/>
          <w:b w:val="0"/>
          <w:bCs w:val="0"/>
          <w:sz w:val="32"/>
          <w:szCs w:val="32"/>
        </w:rPr>
      </w:pPr>
      <w:r>
        <w:rPr>
          <w:rStyle w:val="17"/>
          <w:rFonts w:hint="eastAsia" w:ascii="仿宋" w:eastAsia="仿宋"/>
          <w:b w:val="0"/>
          <w:bCs w:val="0"/>
          <w:sz w:val="32"/>
          <w:szCs w:val="32"/>
        </w:rPr>
        <w:t>8.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w:t>
      </w:r>
    </w:p>
    <w:p>
      <w:pPr>
        <w:spacing w:line="560" w:lineRule="exact"/>
        <w:ind w:firstLine="640" w:firstLineChars="200"/>
        <w:rPr>
          <w:rStyle w:val="17"/>
          <w:rFonts w:ascii="仿宋" w:eastAsia="仿宋"/>
          <w:b w:val="0"/>
          <w:bCs w:val="0"/>
          <w:sz w:val="32"/>
          <w:szCs w:val="32"/>
        </w:rPr>
      </w:pPr>
      <w:r>
        <w:rPr>
          <w:rStyle w:val="17"/>
          <w:rFonts w:hint="eastAsia" w:ascii="仿宋" w:eastAsia="仿宋"/>
          <w:b w:val="0"/>
          <w:bCs w:val="0"/>
          <w:sz w:val="32"/>
          <w:szCs w:val="32"/>
        </w:rPr>
        <w:t>9.负责矿产资源开发的管理，依法管理矿业权的审批登记发证和转让审批登记；负责县规划矿区对国民经济具有重要价值的矿区的管理，承担保护性开采的特定矿种、优势矿产的开采总量控制及相关管理工作，组织编制实施矿业权设置方案。</w:t>
      </w:r>
    </w:p>
    <w:p>
      <w:pPr>
        <w:spacing w:line="560" w:lineRule="exact"/>
        <w:ind w:firstLine="640" w:firstLineChars="200"/>
        <w:rPr>
          <w:rStyle w:val="17"/>
          <w:rFonts w:ascii="仿宋" w:eastAsia="仿宋"/>
          <w:b w:val="0"/>
          <w:bCs w:val="0"/>
          <w:sz w:val="32"/>
          <w:szCs w:val="32"/>
        </w:rPr>
      </w:pPr>
      <w:r>
        <w:rPr>
          <w:rStyle w:val="17"/>
          <w:rFonts w:hint="eastAsia" w:ascii="仿宋" w:eastAsia="仿宋"/>
          <w:b w:val="0"/>
          <w:bCs w:val="0"/>
          <w:sz w:val="32"/>
          <w:szCs w:val="32"/>
        </w:rPr>
        <w:t>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pPr>
        <w:spacing w:line="560" w:lineRule="exact"/>
        <w:ind w:firstLine="640" w:firstLineChars="200"/>
        <w:rPr>
          <w:rStyle w:val="17"/>
          <w:rFonts w:ascii="仿宋" w:eastAsia="仿宋"/>
          <w:b w:val="0"/>
          <w:bCs w:val="0"/>
          <w:sz w:val="32"/>
          <w:szCs w:val="32"/>
        </w:rPr>
      </w:pPr>
      <w:r>
        <w:rPr>
          <w:rStyle w:val="17"/>
          <w:rFonts w:hint="eastAsia" w:ascii="仿宋" w:eastAsia="仿宋"/>
          <w:b w:val="0"/>
          <w:bCs w:val="0"/>
          <w:sz w:val="32"/>
          <w:szCs w:val="32"/>
        </w:rPr>
        <w:t>11.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pPr>
        <w:spacing w:line="560" w:lineRule="exact"/>
        <w:ind w:firstLine="640" w:firstLineChars="200"/>
        <w:rPr>
          <w:rStyle w:val="17"/>
          <w:rFonts w:ascii="仿宋" w:eastAsia="仿宋"/>
          <w:b w:val="0"/>
          <w:bCs w:val="0"/>
          <w:sz w:val="32"/>
          <w:szCs w:val="32"/>
        </w:rPr>
      </w:pPr>
      <w:r>
        <w:rPr>
          <w:rStyle w:val="17"/>
          <w:rFonts w:hint="eastAsia" w:ascii="仿宋" w:eastAsia="仿宋"/>
          <w:b w:val="0"/>
          <w:bCs w:val="0"/>
          <w:sz w:val="32"/>
          <w:szCs w:val="32"/>
        </w:rPr>
        <w:t>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pPr>
        <w:spacing w:line="560" w:lineRule="exact"/>
        <w:ind w:firstLine="640" w:firstLineChars="200"/>
        <w:rPr>
          <w:rStyle w:val="17"/>
          <w:rFonts w:ascii="仿宋" w:eastAsia="仿宋"/>
          <w:b w:val="0"/>
          <w:bCs w:val="0"/>
          <w:sz w:val="32"/>
          <w:szCs w:val="32"/>
        </w:rPr>
      </w:pPr>
      <w:r>
        <w:rPr>
          <w:rStyle w:val="17"/>
          <w:rFonts w:hint="eastAsia" w:ascii="仿宋" w:eastAsia="仿宋"/>
          <w:b w:val="0"/>
          <w:bCs w:val="0"/>
          <w:sz w:val="32"/>
          <w:szCs w:val="32"/>
        </w:rPr>
        <w:t>13.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w:t>
      </w:r>
    </w:p>
    <w:p>
      <w:pPr>
        <w:spacing w:line="560" w:lineRule="exact"/>
        <w:ind w:firstLine="640" w:firstLineChars="200"/>
        <w:rPr>
          <w:rStyle w:val="17"/>
          <w:rFonts w:ascii="仿宋" w:eastAsia="仿宋"/>
          <w:b w:val="0"/>
          <w:bCs w:val="0"/>
          <w:sz w:val="32"/>
          <w:szCs w:val="32"/>
        </w:rPr>
      </w:pPr>
      <w:r>
        <w:rPr>
          <w:rStyle w:val="17"/>
          <w:rFonts w:hint="eastAsia" w:ascii="仿宋" w:eastAsia="仿宋"/>
          <w:b w:val="0"/>
          <w:bCs w:val="0"/>
          <w:sz w:val="32"/>
          <w:szCs w:val="32"/>
        </w:rPr>
        <w:t>14.承担县政府公布的有关行政审批事项。</w:t>
      </w:r>
    </w:p>
    <w:p>
      <w:pPr>
        <w:spacing w:line="560" w:lineRule="exact"/>
        <w:ind w:firstLine="640" w:firstLineChars="200"/>
        <w:rPr>
          <w:rStyle w:val="17"/>
          <w:rFonts w:ascii="仿宋" w:eastAsia="仿宋"/>
          <w:b w:val="0"/>
          <w:bCs w:val="0"/>
          <w:sz w:val="32"/>
          <w:szCs w:val="32"/>
        </w:rPr>
      </w:pPr>
      <w:r>
        <w:rPr>
          <w:rStyle w:val="17"/>
          <w:rFonts w:hint="eastAsia" w:ascii="仿宋" w:eastAsia="仿宋"/>
          <w:b w:val="0"/>
          <w:bCs w:val="0"/>
          <w:sz w:val="32"/>
          <w:szCs w:val="32"/>
        </w:rPr>
        <w:t>15.承担县委、县政府交办的其他事项。</w:t>
      </w:r>
    </w:p>
    <w:p>
      <w:pPr>
        <w:widowControl/>
        <w:adjustRightInd w:val="0"/>
        <w:snapToGrid w:val="0"/>
        <w:spacing w:line="480" w:lineRule="exact"/>
        <w:jc w:val="left"/>
        <w:rPr>
          <w:rStyle w:val="17"/>
          <w:rFonts w:ascii="仿宋" w:eastAsia="仿宋"/>
          <w:b w:val="0"/>
          <w:bCs w:val="0"/>
          <w:sz w:val="32"/>
          <w:szCs w:val="32"/>
          <w:lang w:val="zh-CN"/>
        </w:rPr>
      </w:pPr>
    </w:p>
    <w:p>
      <w:pPr>
        <w:widowControl/>
        <w:numPr>
          <w:ilvl w:val="0"/>
          <w:numId w:val="7"/>
        </w:numPr>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人员概况。</w:t>
      </w:r>
    </w:p>
    <w:p>
      <w:pPr>
        <w:ind w:left="210" w:leftChars="100" w:firstLine="320" w:firstLineChars="100"/>
        <w:rPr>
          <w:rStyle w:val="17"/>
          <w:rFonts w:ascii="仿宋" w:eastAsia="仿宋"/>
          <w:b w:val="0"/>
          <w:bCs w:val="0"/>
          <w:sz w:val="32"/>
          <w:szCs w:val="32"/>
        </w:rPr>
      </w:pPr>
      <w:r>
        <w:rPr>
          <w:rStyle w:val="17"/>
          <w:rFonts w:hint="eastAsia" w:ascii="仿宋" w:eastAsia="仿宋"/>
          <w:b w:val="0"/>
          <w:bCs w:val="0"/>
          <w:sz w:val="32"/>
          <w:szCs w:val="32"/>
        </w:rPr>
        <w:t>我局现有编制35人，在职32人（行政人员8人，行政工勤3人，参公人员10人，事业管理11人），退休5人。</w:t>
      </w:r>
    </w:p>
    <w:p>
      <w:pPr>
        <w:widowControl/>
        <w:adjustRightInd w:val="0"/>
        <w:snapToGrid w:val="0"/>
        <w:spacing w:line="480" w:lineRule="exact"/>
        <w:ind w:left="720"/>
        <w:jc w:val="left"/>
        <w:rPr>
          <w:rStyle w:val="17"/>
          <w:rFonts w:ascii="仿宋" w:eastAsia="仿宋"/>
          <w:b w:val="0"/>
          <w:bCs w:val="0"/>
          <w:sz w:val="32"/>
          <w:szCs w:val="32"/>
          <w:lang w:val="zh-CN"/>
        </w:rPr>
      </w:pPr>
    </w:p>
    <w:p>
      <w:pPr>
        <w:widowControl/>
        <w:adjustRightInd w:val="0"/>
        <w:snapToGrid w:val="0"/>
        <w:spacing w:line="480" w:lineRule="exact"/>
        <w:ind w:firstLine="720"/>
        <w:jc w:val="left"/>
        <w:rPr>
          <w:rStyle w:val="17"/>
          <w:rFonts w:ascii="仿宋" w:eastAsia="仿宋"/>
          <w:b w:val="0"/>
          <w:bCs w:val="0"/>
          <w:sz w:val="32"/>
          <w:szCs w:val="32"/>
        </w:rPr>
      </w:pPr>
      <w:r>
        <w:rPr>
          <w:rStyle w:val="17"/>
          <w:rFonts w:hint="eastAsia" w:ascii="仿宋" w:eastAsia="仿宋"/>
          <w:b w:val="0"/>
          <w:bCs w:val="0"/>
          <w:sz w:val="32"/>
          <w:szCs w:val="32"/>
        </w:rPr>
        <w:t>二、部门财政资金收支情况</w:t>
      </w:r>
    </w:p>
    <w:p>
      <w:pPr>
        <w:widowControl/>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（一）部门财政资金收入情况。</w:t>
      </w:r>
    </w:p>
    <w:p>
      <w:pPr>
        <w:ind w:firstLine="640" w:firstLineChars="200"/>
        <w:rPr>
          <w:rStyle w:val="17"/>
          <w:rFonts w:ascii="仿宋" w:eastAsia="仿宋"/>
          <w:b w:val="0"/>
          <w:bCs w:val="0"/>
          <w:sz w:val="32"/>
          <w:szCs w:val="32"/>
        </w:rPr>
      </w:pPr>
      <w:r>
        <w:rPr>
          <w:rStyle w:val="17"/>
          <w:rFonts w:hint="eastAsia" w:ascii="仿宋" w:eastAsia="仿宋"/>
          <w:b w:val="0"/>
          <w:bCs w:val="0"/>
          <w:sz w:val="32"/>
          <w:szCs w:val="32"/>
        </w:rPr>
        <w:t>2020年财政资金收入</w:t>
      </w:r>
      <w:r>
        <w:rPr>
          <w:rFonts w:hint="eastAsia" w:ascii="仿宋_GB2312" w:hAnsi="仿宋" w:eastAsia="仿宋_GB2312"/>
          <w:sz w:val="32"/>
          <w:szCs w:val="32"/>
        </w:rPr>
        <w:t>2,025.14</w:t>
      </w:r>
      <w:r>
        <w:rPr>
          <w:rFonts w:ascii="仿宋_GB2312" w:hAnsi="仿宋" w:eastAsia="仿宋_GB2312"/>
          <w:sz w:val="32"/>
          <w:szCs w:val="32"/>
        </w:rPr>
        <w:t>万元</w:t>
      </w:r>
      <w:r>
        <w:rPr>
          <w:rStyle w:val="17"/>
          <w:rFonts w:hint="eastAsia" w:ascii="仿宋" w:eastAsia="仿宋"/>
          <w:b w:val="0"/>
          <w:bCs w:val="0"/>
          <w:sz w:val="32"/>
          <w:szCs w:val="32"/>
        </w:rPr>
        <w:t>。</w:t>
      </w:r>
    </w:p>
    <w:p>
      <w:pPr>
        <w:widowControl/>
        <w:numPr>
          <w:ilvl w:val="0"/>
          <w:numId w:val="8"/>
        </w:numPr>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部门财政资金支出情况。</w:t>
      </w:r>
    </w:p>
    <w:p>
      <w:pPr>
        <w:ind w:firstLine="640" w:firstLineChars="200"/>
        <w:rPr>
          <w:rStyle w:val="17"/>
          <w:rFonts w:ascii="仿宋" w:eastAsia="仿宋"/>
          <w:b w:val="0"/>
          <w:bCs w:val="0"/>
          <w:sz w:val="32"/>
          <w:szCs w:val="32"/>
        </w:rPr>
      </w:pPr>
      <w:r>
        <w:rPr>
          <w:rStyle w:val="17"/>
          <w:rFonts w:hint="eastAsia" w:ascii="仿宋" w:eastAsia="仿宋"/>
          <w:b w:val="0"/>
          <w:bCs w:val="0"/>
          <w:sz w:val="32"/>
          <w:szCs w:val="32"/>
        </w:rPr>
        <w:t>2020年</w:t>
      </w:r>
      <w:r>
        <w:rPr>
          <w:rStyle w:val="17"/>
          <w:rFonts w:hint="eastAsia" w:ascii="仿宋" w:eastAsia="仿宋"/>
          <w:b w:val="0"/>
          <w:bCs w:val="0"/>
          <w:sz w:val="32"/>
          <w:szCs w:val="32"/>
          <w:lang w:val="zh-CN"/>
        </w:rPr>
        <w:t>部门财政资金支出</w:t>
      </w:r>
      <w:r>
        <w:rPr>
          <w:rStyle w:val="17"/>
          <w:rFonts w:hint="eastAsia" w:ascii="仿宋" w:eastAsia="仿宋"/>
          <w:b w:val="0"/>
          <w:bCs w:val="0"/>
          <w:sz w:val="32"/>
          <w:szCs w:val="32"/>
        </w:rPr>
        <w:t>2430.52万元。</w:t>
      </w:r>
    </w:p>
    <w:p>
      <w:pPr>
        <w:widowControl/>
        <w:adjustRightInd w:val="0"/>
        <w:snapToGrid w:val="0"/>
        <w:spacing w:line="480" w:lineRule="exact"/>
        <w:jc w:val="left"/>
        <w:rPr>
          <w:rStyle w:val="17"/>
          <w:rFonts w:ascii="仿宋" w:eastAsia="仿宋"/>
          <w:b w:val="0"/>
          <w:bCs w:val="0"/>
          <w:sz w:val="32"/>
          <w:szCs w:val="32"/>
        </w:rPr>
      </w:pPr>
    </w:p>
    <w:p>
      <w:pPr>
        <w:widowControl/>
        <w:adjustRightInd w:val="0"/>
        <w:snapToGrid w:val="0"/>
        <w:spacing w:line="480" w:lineRule="exact"/>
        <w:ind w:firstLine="720"/>
        <w:jc w:val="left"/>
        <w:rPr>
          <w:rStyle w:val="17"/>
          <w:rFonts w:ascii="仿宋" w:eastAsia="仿宋"/>
          <w:b w:val="0"/>
          <w:bCs w:val="0"/>
          <w:sz w:val="32"/>
          <w:szCs w:val="32"/>
        </w:rPr>
      </w:pPr>
      <w:r>
        <w:rPr>
          <w:rStyle w:val="17"/>
          <w:rFonts w:hint="eastAsia" w:ascii="仿宋" w:eastAsia="仿宋"/>
          <w:b w:val="0"/>
          <w:bCs w:val="0"/>
          <w:sz w:val="32"/>
          <w:szCs w:val="32"/>
        </w:rPr>
        <w:t>三、部门财政支出管理情况</w:t>
      </w:r>
    </w:p>
    <w:p>
      <w:pPr>
        <w:widowControl/>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（一）预算编制情况。</w:t>
      </w:r>
    </w:p>
    <w:p>
      <w:pPr>
        <w:widowControl/>
        <w:adjustRightInd w:val="0"/>
        <w:spacing w:before="360" w:after="300"/>
        <w:ind w:firstLine="640" w:firstLineChars="200"/>
        <w:contextualSpacing/>
        <w:jc w:val="left"/>
        <w:rPr>
          <w:rStyle w:val="17"/>
          <w:rFonts w:ascii="仿宋" w:eastAsia="仿宋"/>
          <w:b w:val="0"/>
          <w:bCs w:val="0"/>
          <w:sz w:val="32"/>
          <w:szCs w:val="32"/>
        </w:rPr>
      </w:pPr>
      <w:r>
        <w:rPr>
          <w:rStyle w:val="17"/>
          <w:rFonts w:hint="eastAsia" w:ascii="仿宋" w:eastAsia="仿宋"/>
          <w:b w:val="0"/>
          <w:bCs w:val="0"/>
          <w:sz w:val="32"/>
          <w:szCs w:val="32"/>
        </w:rPr>
        <w:t>预算编制工作严格遵循合法性、真实性、完整性、重点性、绩效性，实行零基预算，按定额标准编制部门。专项预算细化，按规定及时公示了部门预算。及时清理，准确反映结余结转资金，严格执行结余结转资金的管理规定。2020年初财政下达预算共计549.21元，其中：人员经费425.43万元，日常公用经费123.78万元。</w:t>
      </w:r>
    </w:p>
    <w:p>
      <w:pPr>
        <w:widowControl/>
        <w:numPr>
          <w:ilvl w:val="0"/>
          <w:numId w:val="8"/>
        </w:numPr>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执行管理情况。</w:t>
      </w:r>
      <w:r>
        <w:rPr>
          <w:rStyle w:val="17"/>
          <w:rFonts w:hint="eastAsia" w:ascii="仿宋" w:eastAsia="仿宋"/>
          <w:b w:val="0"/>
          <w:bCs w:val="0"/>
          <w:sz w:val="32"/>
          <w:szCs w:val="32"/>
          <w:lang w:val="zh-CN"/>
        </w:rPr>
        <w:tab/>
      </w:r>
    </w:p>
    <w:p>
      <w:pPr>
        <w:widowControl/>
        <w:adjustRightInd w:val="0"/>
        <w:snapToGrid w:val="0"/>
        <w:spacing w:line="480" w:lineRule="exact"/>
        <w:ind w:firstLine="320" w:firstLineChars="100"/>
        <w:jc w:val="left"/>
        <w:rPr>
          <w:rStyle w:val="17"/>
          <w:rFonts w:ascii="仿宋" w:eastAsia="仿宋"/>
          <w:b w:val="0"/>
          <w:bCs w:val="0"/>
          <w:sz w:val="32"/>
          <w:szCs w:val="32"/>
          <w:lang w:val="zh-CN"/>
        </w:rPr>
      </w:pPr>
      <w:r>
        <w:rPr>
          <w:rStyle w:val="17"/>
          <w:rFonts w:hint="eastAsia" w:ascii="仿宋" w:eastAsia="仿宋"/>
          <w:b w:val="0"/>
          <w:bCs w:val="0"/>
          <w:sz w:val="32"/>
          <w:szCs w:val="32"/>
        </w:rPr>
        <w:t xml:space="preserve"> 1.部门支出绩效</w:t>
      </w:r>
    </w:p>
    <w:p>
      <w:pPr>
        <w:widowControl/>
        <w:adjustRightInd w:val="0"/>
        <w:spacing w:before="360" w:after="300"/>
        <w:ind w:firstLine="640" w:firstLineChars="200"/>
        <w:contextualSpacing/>
        <w:jc w:val="left"/>
        <w:rPr>
          <w:rStyle w:val="17"/>
          <w:rFonts w:ascii="仿宋" w:eastAsia="仿宋"/>
          <w:b w:val="0"/>
          <w:bCs w:val="0"/>
          <w:sz w:val="32"/>
          <w:szCs w:val="32"/>
        </w:rPr>
      </w:pPr>
      <w:r>
        <w:rPr>
          <w:rStyle w:val="17"/>
          <w:rFonts w:hint="eastAsia" w:ascii="仿宋" w:eastAsia="仿宋"/>
          <w:b w:val="0"/>
          <w:bCs w:val="0"/>
          <w:sz w:val="32"/>
          <w:szCs w:val="32"/>
        </w:rPr>
        <w:t>（1）行政运转保障。</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金川县自然资源局2020年基本支出主要用于保障该部门机构正常运转、完成日常工作任务相关工作。基本支出535.43万元，主要用于保障部门正常运转的日常支出，包括基本工资、津贴补贴等人员经费以及办公费、水电费、差旅费等日常公用经费。</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（2）机关厉行节约。</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2020年我局无因公出国（境）经费和公务用车购置及运行维护费支出。我局2020年无公务接待费，公务用车运行经费3.996万元。</w:t>
      </w:r>
    </w:p>
    <w:p>
      <w:pPr>
        <w:widowControl/>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rPr>
        <w:t>（3）机关节能降耗。</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严格按照节能降耗相关要求，做实做细节能采购、节约用电、节约用水、降低油耗等工作。</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2.专项预算项目支出绩效。</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（1）资金绩效分配情况。执行了《四川省省级财政专项资金绩效分配管理暂行办法》，实施绩效分配。</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（2）项目资金管理情况。</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机关建立和健全项目资金管理制度和管理办法。严格资金的使用和划拨流程，确保资金使用安全、公平、合理。项目资金做到了专款专用，及时拨付。资金的划拨均通过银行转账的方式，直接支付到企业，切实保障了资金使用的准确性和安全性。</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w:t>
      </w:r>
    </w:p>
    <w:p>
      <w:pPr>
        <w:widowControl/>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（三）综合管理情况。</w:t>
      </w:r>
    </w:p>
    <w:p>
      <w:pPr>
        <w:widowControl/>
        <w:adjustRightInd w:val="0"/>
        <w:spacing w:before="360" w:after="300"/>
        <w:ind w:firstLine="640" w:firstLineChars="200"/>
        <w:contextualSpacing/>
        <w:jc w:val="left"/>
        <w:rPr>
          <w:rStyle w:val="17"/>
          <w:rFonts w:ascii="仿宋" w:eastAsia="仿宋"/>
          <w:b w:val="0"/>
          <w:bCs w:val="0"/>
          <w:sz w:val="32"/>
          <w:szCs w:val="32"/>
          <w:lang w:val="zh-CN"/>
        </w:rPr>
      </w:pPr>
      <w:r>
        <w:rPr>
          <w:rStyle w:val="17"/>
          <w:rFonts w:hint="eastAsia" w:ascii="仿宋" w:eastAsia="仿宋"/>
          <w:b w:val="0"/>
          <w:bCs w:val="0"/>
          <w:sz w:val="32"/>
          <w:szCs w:val="32"/>
        </w:rPr>
        <w:t>1.财务管理情况。</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局机关严格执行《行政单位会计制度》，建立机关财务管理制度，规范账务处理，会计凭证和财务报告真实完整，不做假账。加强三公经费管理，严格控制三公经费支出。明确一般性支出的开支范围和标准，严格报账审核。机关公务接待、会议费、差旅费严格按照荣县党政机关公务接待、会议费、差旅费管理办法执行。</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2.资产管理情况：加强资产管理，机关资产录入国有资产管理信息系统，每项资产建立了资产卡片，实行动态管理，完成资产清查工作。报废、毁损、处理、拍卖固定资产根据财政的批复，及时进行账务调整。</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3.内控制度管理情况：</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机关建立和健全了预算业务管理、收支业务管理、政府采购业务管理、资产管理、合同管理等内部控制制度。查找了风险点，完善了业务流程。使经济业务管理更规范，健康。</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4.政府采购管理情况：机关的货物购置、工程和服务项目，按照规定实行政府采购。加强对政府采购业务控制，按照规定选择政府采购方式、发布政府采购信息。对政府采购变更政府采购方式等事项加强内部审核，严格履行审批手续。</w:t>
      </w:r>
      <w:r>
        <w:rPr>
          <w:rStyle w:val="17"/>
          <w:rFonts w:hint="eastAsia" w:ascii="仿宋" w:eastAsia="仿宋"/>
          <w:b w:val="0"/>
          <w:bCs w:val="0"/>
          <w:sz w:val="32"/>
          <w:szCs w:val="32"/>
        </w:rPr>
        <w:br w:type="textWrapping"/>
      </w:r>
      <w:r>
        <w:rPr>
          <w:rStyle w:val="17"/>
          <w:rFonts w:hint="eastAsia" w:ascii="仿宋" w:eastAsia="仿宋"/>
          <w:b w:val="0"/>
          <w:bCs w:val="0"/>
          <w:sz w:val="32"/>
          <w:szCs w:val="32"/>
        </w:rPr>
        <w:t>  5.依法接受财政等监督。遵守财经法规，严格财经纪律，依法接受财政、审计、巡察监督，按时上报开展滥发奖金、工资、补贴问题和严肃财经纪律等自查报告。</w:t>
      </w:r>
      <w:r>
        <w:rPr>
          <w:rStyle w:val="17"/>
          <w:rFonts w:hint="eastAsia" w:ascii="仿宋" w:eastAsia="仿宋"/>
          <w:b w:val="0"/>
          <w:bCs w:val="0"/>
          <w:sz w:val="32"/>
          <w:szCs w:val="32"/>
        </w:rPr>
        <w:br w:type="textWrapping"/>
      </w:r>
    </w:p>
    <w:p>
      <w:pPr>
        <w:widowControl/>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（四）整体绩效。</w:t>
      </w:r>
    </w:p>
    <w:p>
      <w:pPr>
        <w:pStyle w:val="12"/>
        <w:spacing w:beforeAutospacing="0" w:afterAutospacing="0" w:line="600" w:lineRule="atLeast"/>
        <w:ind w:firstLine="560"/>
        <w:jc w:val="both"/>
        <w:rPr>
          <w:rStyle w:val="17"/>
          <w:rFonts w:ascii="仿宋" w:eastAsia="仿宋"/>
          <w:b w:val="0"/>
          <w:bCs w:val="0"/>
          <w:sz w:val="32"/>
          <w:szCs w:val="32"/>
        </w:rPr>
      </w:pPr>
      <w:r>
        <w:rPr>
          <w:rStyle w:val="17"/>
          <w:rFonts w:hint="eastAsia" w:ascii="仿宋" w:eastAsia="仿宋"/>
          <w:b w:val="0"/>
          <w:bCs w:val="0"/>
          <w:sz w:val="32"/>
          <w:szCs w:val="32"/>
        </w:rPr>
        <w:t>在县委、县政府正确领导下，紧紧抓住“保增长、守红线、惠民生”这条主线，切实围绕全县中心工作，积极主动服务，严格规范管理，较好地完成了制定的各项工作任务。</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1.保障用地，服务经济发展取得成效</w:t>
      </w:r>
    </w:p>
    <w:p>
      <w:pPr>
        <w:pStyle w:val="12"/>
        <w:spacing w:beforeAutospacing="0" w:afterAutospacing="0" w:line="600" w:lineRule="atLeast"/>
        <w:ind w:firstLine="560"/>
        <w:jc w:val="both"/>
        <w:rPr>
          <w:rStyle w:val="17"/>
          <w:rFonts w:ascii="仿宋" w:eastAsia="仿宋"/>
          <w:b w:val="0"/>
          <w:bCs w:val="0"/>
          <w:sz w:val="32"/>
          <w:szCs w:val="32"/>
        </w:rPr>
      </w:pPr>
      <w:r>
        <w:rPr>
          <w:rStyle w:val="17"/>
          <w:rFonts w:hint="eastAsia" w:ascii="仿宋" w:eastAsia="仿宋"/>
          <w:b w:val="0"/>
          <w:bCs w:val="0"/>
          <w:sz w:val="32"/>
          <w:szCs w:val="32"/>
        </w:rPr>
        <w:t>一是全力加大土地报批力度，有力确保了重点工程、重大项目的用地需求；二是严格依法按程序征地，认真执行征地“两公告一登记”制度。</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2.严守“红线”，耕地总量保持动态平衡</w:t>
      </w:r>
    </w:p>
    <w:p>
      <w:pPr>
        <w:pStyle w:val="12"/>
        <w:spacing w:beforeAutospacing="0" w:afterAutospacing="0" w:line="600" w:lineRule="atLeast"/>
        <w:ind w:firstLine="560"/>
        <w:jc w:val="both"/>
        <w:rPr>
          <w:rStyle w:val="17"/>
          <w:rFonts w:ascii="仿宋" w:eastAsia="仿宋"/>
          <w:b w:val="0"/>
          <w:bCs w:val="0"/>
          <w:sz w:val="32"/>
          <w:szCs w:val="32"/>
        </w:rPr>
      </w:pPr>
      <w:r>
        <w:rPr>
          <w:rStyle w:val="17"/>
          <w:rFonts w:hint="eastAsia" w:ascii="仿宋" w:eastAsia="仿宋"/>
          <w:b w:val="0"/>
          <w:bCs w:val="0"/>
          <w:sz w:val="32"/>
          <w:szCs w:val="32"/>
        </w:rPr>
        <w:t>一是积极履行土地储备职能，为供应和调控全县各类建设用地需求供应提供了切实保障；二是耕地保护工作常抓不懈。严把用地预审关，严格控制项目建设占用耕地，从源头加强保护耕地；建立健全土地执法巡查机制，及时制止耕地违法用地行为，有效确保全区耕地保有量不减少。</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3.加快推进工程防治，切实提高防范水平</w:t>
      </w:r>
    </w:p>
    <w:p>
      <w:pPr>
        <w:widowControl/>
        <w:shd w:val="clear" w:color="auto" w:fill="FFFFFF"/>
        <w:adjustRightInd w:val="0"/>
        <w:snapToGrid w:val="0"/>
        <w:spacing w:line="560" w:lineRule="exact"/>
        <w:ind w:firstLine="640"/>
        <w:jc w:val="left"/>
        <w:rPr>
          <w:rStyle w:val="17"/>
          <w:rFonts w:ascii="仿宋" w:eastAsia="仿宋"/>
          <w:b w:val="0"/>
          <w:bCs w:val="0"/>
          <w:sz w:val="32"/>
          <w:szCs w:val="32"/>
        </w:rPr>
      </w:pPr>
      <w:r>
        <w:rPr>
          <w:rStyle w:val="17"/>
          <w:rFonts w:hint="eastAsia" w:ascii="仿宋" w:eastAsia="仿宋"/>
          <w:b w:val="0"/>
          <w:bCs w:val="0"/>
          <w:sz w:val="32"/>
          <w:szCs w:val="32"/>
        </w:rPr>
        <w:t>2020年6月累计投入项目资金3100余万元，投入实施了沙耳乡丹扎木村试验田滑坡、勒乌镇八步里村八简大沟泥石流、独松乡嘎伍岭村张家沟泥石流治理、曾达乡曾达沟治理工程清淤修复加固、曾达乡古龙沟治理、曾达艾尔罗沟治理、曾达蒋家干沟治等11处地灾治理工程。同时，完成了2019年地质灾害自动化实时监测体系工程、能力建设工程的招标工作。</w:t>
      </w:r>
    </w:p>
    <w:p>
      <w:pPr>
        <w:widowControl/>
        <w:adjustRightInd w:val="0"/>
        <w:snapToGrid w:val="0"/>
        <w:spacing w:line="480" w:lineRule="exact"/>
        <w:ind w:firstLine="720"/>
        <w:jc w:val="left"/>
        <w:rPr>
          <w:rStyle w:val="17"/>
          <w:rFonts w:ascii="仿宋" w:eastAsia="仿宋"/>
          <w:b w:val="0"/>
          <w:bCs w:val="0"/>
          <w:sz w:val="32"/>
          <w:szCs w:val="32"/>
        </w:rPr>
      </w:pPr>
      <w:r>
        <w:rPr>
          <w:rStyle w:val="17"/>
          <w:rFonts w:hint="eastAsia" w:ascii="仿宋" w:eastAsia="仿宋"/>
          <w:b w:val="0"/>
          <w:bCs w:val="0"/>
          <w:sz w:val="32"/>
          <w:szCs w:val="32"/>
        </w:rPr>
        <w:t>四、评价结论及建议</w:t>
      </w:r>
    </w:p>
    <w:p>
      <w:pPr>
        <w:widowControl/>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（一）评价结论。</w:t>
      </w:r>
    </w:p>
    <w:p>
      <w:pPr>
        <w:widowControl/>
        <w:shd w:val="clear" w:color="auto" w:fill="FFFFFF"/>
        <w:adjustRightInd w:val="0"/>
        <w:snapToGrid w:val="0"/>
        <w:spacing w:line="560" w:lineRule="exact"/>
        <w:ind w:firstLine="640"/>
        <w:jc w:val="left"/>
        <w:rPr>
          <w:rStyle w:val="17"/>
          <w:rFonts w:ascii="仿宋" w:eastAsia="仿宋"/>
          <w:b w:val="0"/>
          <w:bCs w:val="0"/>
          <w:sz w:val="32"/>
          <w:szCs w:val="32"/>
        </w:rPr>
      </w:pPr>
      <w:r>
        <w:rPr>
          <w:rStyle w:val="17"/>
          <w:rFonts w:hint="eastAsia" w:ascii="仿宋" w:eastAsia="仿宋"/>
          <w:b w:val="0"/>
          <w:bCs w:val="0"/>
          <w:sz w:val="32"/>
          <w:szCs w:val="32"/>
        </w:rPr>
        <w:t>2020年局机关有较为健全的财务管理制度和内部控制制度，部门整体支出绩效良好，保障机关正常运转和完成各项工作，项目资金专款专用，拨款及时。</w:t>
      </w:r>
    </w:p>
    <w:p>
      <w:pPr>
        <w:widowControl/>
        <w:shd w:val="clear" w:color="auto" w:fill="FFFFFF"/>
        <w:adjustRightInd w:val="0"/>
        <w:snapToGrid w:val="0"/>
        <w:spacing w:line="560" w:lineRule="exact"/>
        <w:ind w:firstLine="640"/>
        <w:jc w:val="left"/>
        <w:rPr>
          <w:rStyle w:val="17"/>
          <w:rFonts w:ascii="仿宋" w:eastAsia="仿宋"/>
          <w:b w:val="0"/>
          <w:bCs w:val="0"/>
          <w:sz w:val="32"/>
          <w:szCs w:val="32"/>
          <w:lang w:val="zh-CN"/>
        </w:rPr>
      </w:pPr>
    </w:p>
    <w:p>
      <w:pPr>
        <w:widowControl/>
        <w:numPr>
          <w:ilvl w:val="0"/>
          <w:numId w:val="8"/>
        </w:numPr>
        <w:adjustRightInd w:val="0"/>
        <w:snapToGrid w:val="0"/>
        <w:spacing w:line="480" w:lineRule="exact"/>
        <w:ind w:firstLine="720"/>
        <w:jc w:val="left"/>
        <w:rPr>
          <w:rStyle w:val="17"/>
          <w:rFonts w:ascii="仿宋" w:eastAsia="仿宋"/>
          <w:b w:val="0"/>
          <w:bCs w:val="0"/>
          <w:sz w:val="32"/>
          <w:szCs w:val="32"/>
          <w:lang w:val="zh-CN"/>
        </w:rPr>
      </w:pPr>
      <w:r>
        <w:rPr>
          <w:rStyle w:val="17"/>
          <w:rFonts w:hint="eastAsia" w:ascii="仿宋" w:eastAsia="仿宋"/>
          <w:b w:val="0"/>
          <w:bCs w:val="0"/>
          <w:sz w:val="32"/>
          <w:szCs w:val="32"/>
          <w:lang w:val="zh-CN"/>
        </w:rPr>
        <w:t>存在问题。</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1.预算执行存在偏差</w:t>
      </w:r>
    </w:p>
    <w:p>
      <w:pPr>
        <w:widowControl/>
        <w:shd w:val="clear" w:color="auto" w:fill="FFFFFF"/>
        <w:adjustRightInd w:val="0"/>
        <w:snapToGrid w:val="0"/>
        <w:spacing w:line="560" w:lineRule="exact"/>
        <w:ind w:firstLine="640"/>
        <w:jc w:val="left"/>
        <w:rPr>
          <w:rStyle w:val="17"/>
          <w:rFonts w:ascii="仿宋" w:eastAsia="仿宋"/>
          <w:b w:val="0"/>
          <w:bCs w:val="0"/>
          <w:sz w:val="32"/>
          <w:szCs w:val="32"/>
        </w:rPr>
      </w:pPr>
      <w:r>
        <w:rPr>
          <w:rStyle w:val="17"/>
          <w:rFonts w:hint="eastAsia" w:ascii="仿宋" w:eastAsia="仿宋"/>
          <w:b w:val="0"/>
          <w:bCs w:val="0"/>
          <w:sz w:val="32"/>
          <w:szCs w:val="32"/>
        </w:rPr>
        <w:t>由于年中部分新项目的启动，编制预算时难以精确预计，在预算执行中造成个别预算项目出现偏差现象。</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2.固定资产管理水平有待提高</w:t>
      </w:r>
    </w:p>
    <w:p>
      <w:pPr>
        <w:widowControl/>
        <w:shd w:val="clear" w:color="auto" w:fill="FFFFFF"/>
        <w:adjustRightInd w:val="0"/>
        <w:snapToGrid w:val="0"/>
        <w:spacing w:line="560" w:lineRule="exact"/>
        <w:ind w:firstLine="640"/>
        <w:jc w:val="left"/>
        <w:rPr>
          <w:rStyle w:val="17"/>
          <w:rFonts w:ascii="仿宋" w:eastAsia="仿宋"/>
          <w:b w:val="0"/>
          <w:bCs w:val="0"/>
          <w:sz w:val="32"/>
          <w:szCs w:val="32"/>
        </w:rPr>
      </w:pPr>
      <w:r>
        <w:rPr>
          <w:rStyle w:val="17"/>
          <w:rFonts w:hint="eastAsia" w:ascii="仿宋" w:eastAsia="仿宋"/>
          <w:b w:val="0"/>
          <w:bCs w:val="0"/>
          <w:sz w:val="32"/>
          <w:szCs w:val="32"/>
        </w:rPr>
        <w:t>固定资产台账未定期与账面资产金额对账，且未与实物进行清点，导致年末资产台账与账面资产金额存在少许差异，固定资产管理有待加强。</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3.缺少专业技术人员</w:t>
      </w:r>
    </w:p>
    <w:p>
      <w:pPr>
        <w:widowControl/>
        <w:shd w:val="clear" w:color="auto" w:fill="FFFFFF"/>
        <w:adjustRightInd w:val="0"/>
        <w:snapToGrid w:val="0"/>
        <w:spacing w:line="560" w:lineRule="exact"/>
        <w:ind w:firstLine="640"/>
        <w:jc w:val="left"/>
        <w:rPr>
          <w:rStyle w:val="17"/>
          <w:rFonts w:ascii="仿宋" w:eastAsia="仿宋"/>
          <w:b w:val="0"/>
          <w:bCs w:val="0"/>
          <w:sz w:val="32"/>
          <w:szCs w:val="32"/>
        </w:rPr>
      </w:pPr>
      <w:r>
        <w:rPr>
          <w:rStyle w:val="17"/>
          <w:rFonts w:hint="eastAsia" w:ascii="仿宋" w:eastAsia="仿宋"/>
          <w:b w:val="0"/>
          <w:bCs w:val="0"/>
          <w:sz w:val="32"/>
          <w:szCs w:val="32"/>
        </w:rPr>
        <w:t>招考或引进专业技术人员，有利于加强工作更好更快捷地完成。</w:t>
      </w:r>
    </w:p>
    <w:p>
      <w:pPr>
        <w:widowControl/>
        <w:shd w:val="clear" w:color="auto" w:fill="FFFFFF"/>
        <w:adjustRightInd w:val="0"/>
        <w:snapToGrid w:val="0"/>
        <w:spacing w:line="560" w:lineRule="exact"/>
        <w:ind w:firstLine="640"/>
        <w:jc w:val="left"/>
        <w:rPr>
          <w:rStyle w:val="17"/>
          <w:rFonts w:ascii="仿宋" w:eastAsia="仿宋"/>
          <w:b w:val="0"/>
          <w:bCs w:val="0"/>
          <w:sz w:val="32"/>
          <w:szCs w:val="32"/>
        </w:rPr>
      </w:pPr>
    </w:p>
    <w:p>
      <w:pPr>
        <w:widowControl/>
        <w:adjustRightInd w:val="0"/>
        <w:snapToGrid w:val="0"/>
        <w:spacing w:line="480" w:lineRule="exact"/>
        <w:ind w:firstLine="720"/>
        <w:jc w:val="left"/>
        <w:rPr>
          <w:rStyle w:val="17"/>
          <w:rFonts w:ascii="仿宋" w:eastAsia="仿宋"/>
          <w:b w:val="0"/>
          <w:bCs w:val="0"/>
          <w:sz w:val="32"/>
          <w:szCs w:val="32"/>
        </w:rPr>
      </w:pPr>
      <w:r>
        <w:rPr>
          <w:rStyle w:val="17"/>
          <w:rFonts w:hint="eastAsia" w:ascii="仿宋" w:eastAsia="仿宋"/>
          <w:b w:val="0"/>
          <w:bCs w:val="0"/>
          <w:sz w:val="32"/>
          <w:szCs w:val="32"/>
          <w:lang w:val="zh-CN"/>
        </w:rPr>
        <w:t>（三）改进建议。</w:t>
      </w:r>
    </w:p>
    <w:p>
      <w:pPr>
        <w:widowControl/>
        <w:shd w:val="clear" w:color="auto" w:fill="FFFFFF"/>
        <w:adjustRightInd w:val="0"/>
        <w:snapToGrid w:val="0"/>
        <w:spacing w:line="560" w:lineRule="exact"/>
        <w:ind w:firstLine="640"/>
        <w:jc w:val="left"/>
        <w:rPr>
          <w:rStyle w:val="17"/>
          <w:rFonts w:ascii="仿宋" w:eastAsia="仿宋"/>
          <w:b w:val="0"/>
          <w:bCs w:val="0"/>
          <w:sz w:val="32"/>
          <w:szCs w:val="32"/>
        </w:rPr>
      </w:pPr>
      <w:r>
        <w:rPr>
          <w:rStyle w:val="17"/>
          <w:rFonts w:hint="eastAsia" w:ascii="仿宋" w:eastAsia="仿宋"/>
          <w:b w:val="0"/>
          <w:bCs w:val="0"/>
          <w:sz w:val="32"/>
          <w:szCs w:val="32"/>
        </w:rPr>
        <w:t>针对上述存在的问题及对外整体支出管理工作的需要，拟实施的改进措施如下：</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1.规范账务处理，提高财务信息质量</w:t>
      </w:r>
    </w:p>
    <w:p>
      <w:pPr>
        <w:widowControl/>
        <w:shd w:val="clear" w:color="auto" w:fill="FFFFFF"/>
        <w:adjustRightInd w:val="0"/>
        <w:snapToGrid w:val="0"/>
        <w:spacing w:line="560" w:lineRule="exact"/>
        <w:ind w:firstLine="640"/>
        <w:jc w:val="left"/>
        <w:rPr>
          <w:rStyle w:val="17"/>
          <w:rFonts w:ascii="仿宋" w:eastAsia="仿宋"/>
          <w:b w:val="0"/>
          <w:bCs w:val="0"/>
          <w:sz w:val="32"/>
          <w:szCs w:val="32"/>
        </w:rPr>
      </w:pPr>
      <w:r>
        <w:rPr>
          <w:rStyle w:val="17"/>
          <w:rFonts w:hint="eastAsia" w:ascii="仿宋" w:eastAsia="仿宋"/>
          <w:b w:val="0"/>
          <w:bCs w:val="0"/>
          <w:sz w:val="32"/>
          <w:szCs w:val="32"/>
        </w:rPr>
        <w:t>严格按照《会计法》等规定执行财务核算，并结合实际情况，完整、准确地披露相关信息，尽可能地做到决算与预算相衔接。</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2.完善管理制度，进一步加强资产管理</w:t>
      </w:r>
    </w:p>
    <w:p>
      <w:pPr>
        <w:widowControl/>
        <w:shd w:val="clear" w:color="auto" w:fill="FFFFFF"/>
        <w:adjustRightInd w:val="0"/>
        <w:snapToGrid w:val="0"/>
        <w:spacing w:line="560" w:lineRule="exact"/>
        <w:ind w:firstLine="640"/>
        <w:jc w:val="left"/>
        <w:rPr>
          <w:rStyle w:val="17"/>
          <w:rFonts w:ascii="仿宋" w:eastAsia="仿宋"/>
          <w:b w:val="0"/>
          <w:bCs w:val="0"/>
          <w:sz w:val="32"/>
          <w:szCs w:val="32"/>
        </w:rPr>
      </w:pPr>
      <w:r>
        <w:rPr>
          <w:rStyle w:val="17"/>
          <w:rFonts w:hint="eastAsia" w:ascii="仿宋" w:eastAsia="仿宋"/>
          <w:b w:val="0"/>
          <w:bCs w:val="0"/>
          <w:sz w:val="32"/>
          <w:szCs w:val="32"/>
        </w:rPr>
        <w:t>进一步贯彻落实中央</w:t>
      </w:r>
      <w:r>
        <w:rPr>
          <w:rStyle w:val="17"/>
          <w:rFonts w:ascii="仿宋" w:eastAsia="仿宋"/>
          <w:b w:val="0"/>
          <w:bCs w:val="0"/>
          <w:sz w:val="32"/>
          <w:szCs w:val="32"/>
        </w:rPr>
        <w:t>“</w:t>
      </w:r>
      <w:r>
        <w:rPr>
          <w:rStyle w:val="17"/>
          <w:rFonts w:hint="eastAsia" w:ascii="仿宋" w:eastAsia="仿宋"/>
          <w:b w:val="0"/>
          <w:bCs w:val="0"/>
          <w:sz w:val="32"/>
          <w:szCs w:val="32"/>
        </w:rPr>
        <w:t>八项规定</w:t>
      </w:r>
      <w:r>
        <w:rPr>
          <w:rStyle w:val="17"/>
          <w:rFonts w:ascii="仿宋" w:eastAsia="仿宋"/>
          <w:b w:val="0"/>
          <w:bCs w:val="0"/>
          <w:sz w:val="32"/>
          <w:szCs w:val="32"/>
        </w:rPr>
        <w:t>”</w:t>
      </w:r>
      <w:r>
        <w:rPr>
          <w:rStyle w:val="17"/>
          <w:rFonts w:hint="eastAsia" w:ascii="仿宋" w:eastAsia="仿宋"/>
          <w:b w:val="0"/>
          <w:bCs w:val="0"/>
          <w:sz w:val="32"/>
          <w:szCs w:val="32"/>
        </w:rPr>
        <w:t>和湖南省委</w:t>
      </w:r>
      <w:r>
        <w:rPr>
          <w:rStyle w:val="17"/>
          <w:rFonts w:ascii="仿宋" w:eastAsia="仿宋"/>
          <w:b w:val="0"/>
          <w:bCs w:val="0"/>
          <w:sz w:val="32"/>
          <w:szCs w:val="32"/>
        </w:rPr>
        <w:t>“</w:t>
      </w:r>
      <w:r>
        <w:rPr>
          <w:rStyle w:val="17"/>
          <w:rFonts w:hint="eastAsia" w:ascii="仿宋" w:eastAsia="仿宋"/>
          <w:b w:val="0"/>
          <w:bCs w:val="0"/>
          <w:sz w:val="32"/>
          <w:szCs w:val="32"/>
        </w:rPr>
        <w:t>九条规定</w:t>
      </w:r>
      <w:r>
        <w:rPr>
          <w:rStyle w:val="17"/>
          <w:rFonts w:ascii="仿宋" w:eastAsia="仿宋"/>
          <w:b w:val="0"/>
          <w:bCs w:val="0"/>
          <w:sz w:val="32"/>
          <w:szCs w:val="32"/>
        </w:rPr>
        <w:t>”</w:t>
      </w:r>
      <w:r>
        <w:rPr>
          <w:rStyle w:val="17"/>
          <w:rFonts w:hint="eastAsia" w:ascii="仿宋" w:eastAsia="仿宋"/>
          <w:b w:val="0"/>
          <w:bCs w:val="0"/>
          <w:sz w:val="32"/>
          <w:szCs w:val="32"/>
        </w:rPr>
        <w:t>，建立本部门</w:t>
      </w:r>
      <w:r>
        <w:rPr>
          <w:rStyle w:val="17"/>
          <w:rFonts w:ascii="仿宋" w:eastAsia="仿宋"/>
          <w:b w:val="0"/>
          <w:bCs w:val="0"/>
          <w:sz w:val="32"/>
          <w:szCs w:val="32"/>
        </w:rPr>
        <w:t>“</w:t>
      </w:r>
      <w:r>
        <w:rPr>
          <w:rStyle w:val="17"/>
          <w:rFonts w:hint="eastAsia" w:ascii="仿宋" w:eastAsia="仿宋"/>
          <w:b w:val="0"/>
          <w:bCs w:val="0"/>
          <w:sz w:val="32"/>
          <w:szCs w:val="32"/>
        </w:rPr>
        <w:t>三公经费</w:t>
      </w:r>
      <w:r>
        <w:rPr>
          <w:rStyle w:val="17"/>
          <w:rFonts w:ascii="仿宋" w:eastAsia="仿宋"/>
          <w:b w:val="0"/>
          <w:bCs w:val="0"/>
          <w:sz w:val="32"/>
          <w:szCs w:val="32"/>
        </w:rPr>
        <w:t>”</w:t>
      </w:r>
      <w:r>
        <w:rPr>
          <w:rStyle w:val="17"/>
          <w:rFonts w:hint="eastAsia" w:ascii="仿宋" w:eastAsia="仿宋"/>
          <w:b w:val="0"/>
          <w:bCs w:val="0"/>
          <w:sz w:val="32"/>
          <w:szCs w:val="32"/>
        </w:rPr>
        <w:t>等公务支出管理细则及厉行节约制度，加强经费审批和控制，严格规范支出标准与范围，并严格执行。严格按照《固定资产管理办法》的规定加强固定资产管理，及时登记、更新台账，加强资产卡片管理，年终前对各类实物资产进行全面盘点，确保账、账实相符。</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3.加强新行政单位会计制度和新预算法学习培训</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加强新《预算法》的学习培训，规范部门预算收支核算，一是制定和完善基本支出、项目支出等各项支出标准，严格按照项目和进度执行预算，增强预算的约束力和严肃性。二是落实预算执行分析，及时了解预算执行差异，合理调整、纠正预算执行偏差，切实提高部门预算收支管理水平。</w:t>
      </w:r>
    </w:p>
    <w:p>
      <w:pPr>
        <w:pStyle w:val="12"/>
        <w:spacing w:beforeAutospacing="0" w:afterAutospacing="0" w:line="600" w:lineRule="atLeast"/>
        <w:ind w:firstLine="643"/>
        <w:jc w:val="both"/>
        <w:rPr>
          <w:rStyle w:val="17"/>
          <w:rFonts w:ascii="仿宋" w:eastAsia="仿宋"/>
          <w:b w:val="0"/>
          <w:bCs w:val="0"/>
          <w:sz w:val="32"/>
          <w:szCs w:val="32"/>
        </w:rPr>
      </w:pPr>
      <w:r>
        <w:rPr>
          <w:rStyle w:val="17"/>
          <w:rFonts w:hint="eastAsia" w:ascii="仿宋" w:eastAsia="仿宋"/>
          <w:b w:val="0"/>
          <w:bCs w:val="0"/>
          <w:sz w:val="32"/>
          <w:szCs w:val="32"/>
        </w:rPr>
        <w:t>4.加强保护土地、矿产资源合理利用的宣传</w:t>
      </w:r>
    </w:p>
    <w:p>
      <w:pPr>
        <w:widowControl/>
        <w:shd w:val="clear" w:color="auto" w:fill="FFFFFF"/>
        <w:adjustRightInd w:val="0"/>
        <w:snapToGrid w:val="0"/>
        <w:spacing w:line="560" w:lineRule="exact"/>
        <w:ind w:firstLine="640"/>
        <w:jc w:val="left"/>
        <w:rPr>
          <w:rStyle w:val="17"/>
          <w:rFonts w:ascii="仿宋" w:eastAsia="仿宋"/>
          <w:b w:val="0"/>
          <w:bCs w:val="0"/>
          <w:sz w:val="32"/>
          <w:szCs w:val="32"/>
        </w:rPr>
      </w:pPr>
      <w:r>
        <w:rPr>
          <w:rStyle w:val="17"/>
          <w:rFonts w:hint="eastAsia" w:ascii="仿宋" w:eastAsia="仿宋"/>
          <w:b w:val="0"/>
          <w:bCs w:val="0"/>
          <w:sz w:val="32"/>
          <w:szCs w:val="32"/>
        </w:rPr>
        <w:t>加强采矿权管理，加强地质管理，指导并组织实施土地开发、整理、复垦工作，切实保护耕地。</w:t>
      </w:r>
    </w:p>
    <w:p>
      <w:pPr>
        <w:ind w:firstLine="640"/>
        <w:rPr>
          <w:rFonts w:ascii="仿宋_GB2312" w:eastAsia="仿宋_GB2312"/>
          <w:sz w:val="32"/>
          <w:szCs w:val="32"/>
        </w:rPr>
      </w:pPr>
    </w:p>
    <w:p>
      <w:pPr>
        <w:numPr>
          <w:ilvl w:val="0"/>
          <w:numId w:val="9"/>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10"/>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ind w:firstLine="640" w:firstLineChars="200"/>
        <w:rPr>
          <w:rFonts w:ascii="仿宋" w:eastAsia="仿宋" w:cs="仿宋"/>
          <w:sz w:val="32"/>
          <w:szCs w:val="32"/>
          <w:lang w:val="zh-CN"/>
        </w:rPr>
      </w:pPr>
      <w:r>
        <w:rPr>
          <w:rFonts w:hint="eastAsia" w:ascii="仿宋" w:eastAsia="仿宋" w:cs="仿宋"/>
          <w:sz w:val="32"/>
          <w:szCs w:val="32"/>
          <w:lang w:val="zh-CN"/>
        </w:rPr>
        <w:t>综上所述，</w:t>
      </w:r>
      <w:r>
        <w:rPr>
          <w:rFonts w:hint="eastAsia" w:ascii="仿宋" w:eastAsia="仿宋" w:cs="仿宋"/>
          <w:sz w:val="32"/>
          <w:szCs w:val="32"/>
        </w:rPr>
        <w:t>扣除不存在的评价指标分值</w:t>
      </w:r>
      <w:r>
        <w:rPr>
          <w:rFonts w:hint="eastAsia" w:ascii="仿宋" w:eastAsia="仿宋" w:cs="仿宋"/>
          <w:sz w:val="32"/>
          <w:szCs w:val="32"/>
          <w:lang w:eastAsia="zh-CN"/>
        </w:rPr>
        <w:t>，</w:t>
      </w:r>
      <w:r>
        <w:rPr>
          <w:rFonts w:hint="eastAsia" w:ascii="仿宋" w:eastAsia="仿宋" w:cs="仿宋"/>
          <w:sz w:val="32"/>
          <w:szCs w:val="32"/>
        </w:rPr>
        <w:t>总分为96分，我单位预算支出绩效自评得分93分。</w:t>
      </w:r>
    </w:p>
    <w:p>
      <w:pPr>
        <w:numPr>
          <w:ilvl w:val="0"/>
          <w:numId w:val="10"/>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640" w:firstLineChars="200"/>
        <w:rPr>
          <w:rFonts w:ascii="仿宋_GB2312" w:eastAsia="仿宋_GB2312"/>
          <w:sz w:val="32"/>
          <w:szCs w:val="32"/>
        </w:rPr>
      </w:pPr>
      <w:r>
        <w:rPr>
          <w:rFonts w:hint="eastAsia" w:ascii="仿宋_GB2312" w:eastAsia="仿宋_GB2312"/>
          <w:sz w:val="32"/>
          <w:szCs w:val="32"/>
        </w:rPr>
        <w:t>今年上半年，由于上半年重点在实现人员经费支出、日常经费正常支付、项目组织实施等方面，大多项目都还处于实施阶段，资金尚未支付，造成财政资金支出进度过慢。</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ind w:firstLine="640" w:firstLineChars="200"/>
        <w:rPr>
          <w:rFonts w:ascii="仿宋_GB2312" w:eastAsia="仿宋_GB2312"/>
          <w:sz w:val="32"/>
          <w:szCs w:val="32"/>
        </w:rPr>
      </w:pPr>
      <w:r>
        <w:rPr>
          <w:rFonts w:hint="eastAsia" w:ascii="仿宋_GB2312" w:eastAsia="仿宋_GB2312"/>
          <w:sz w:val="32"/>
          <w:szCs w:val="32"/>
        </w:rPr>
        <w:t>在今后的工作中，州政府办公室将采取有效措施，切实加强财务管理，加快财政资金支出进度：一是继续加强财务管理，严把支出审核关。严格执行国库集中支付、公务卡等相关管理制度，规范各项支出审核，严防超支，不断促进财务管理的</w:t>
      </w:r>
      <w:r>
        <w:rPr>
          <w:rFonts w:hint="eastAsia" w:ascii="仿宋_GB2312" w:eastAsia="仿宋_GB2312"/>
          <w:sz w:val="32"/>
          <w:szCs w:val="32"/>
          <w:lang w:eastAsia="zh-CN"/>
        </w:rPr>
        <w:t>法治化</w:t>
      </w:r>
      <w:bookmarkStart w:id="74" w:name="_GoBack"/>
      <w:bookmarkEnd w:id="74"/>
      <w:r>
        <w:rPr>
          <w:rFonts w:hint="eastAsia" w:ascii="仿宋_GB2312" w:eastAsia="仿宋_GB2312"/>
          <w:sz w:val="32"/>
          <w:szCs w:val="32"/>
        </w:rPr>
        <w:t>、科学化、合理化运行。二是进一步加强预算监管，强化预算执行。三是继续加大项目实施力度，加快支出进度。</w:t>
      </w:r>
    </w:p>
    <w:p>
      <w:pPr>
        <w:spacing w:line="600" w:lineRule="exact"/>
        <w:jc w:val="center"/>
        <w:outlineLvl w:val="0"/>
        <w:rPr>
          <w:rFonts w:ascii="仿宋" w:eastAsia="仿宋"/>
          <w:b/>
          <w:color w:val="000000"/>
          <w:sz w:val="44"/>
          <w:szCs w:val="44"/>
        </w:rPr>
      </w:pPr>
    </w:p>
    <w:p>
      <w:pPr>
        <w:spacing w:line="600" w:lineRule="exact"/>
        <w:jc w:val="center"/>
        <w:outlineLvl w:val="0"/>
        <w:rPr>
          <w:rFonts w:ascii="黑体" w:eastAsia="黑体"/>
          <w:color w:val="000000"/>
          <w:sz w:val="44"/>
          <w:szCs w:val="44"/>
        </w:rPr>
      </w:pPr>
      <w:bookmarkStart w:id="60" w:name="_Toc15396618"/>
      <w:bookmarkStart w:id="61" w:name="_Toc15396619"/>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3"/>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3"/>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入总表</w:t>
      </w:r>
      <w:bookmarkEnd w:id="62"/>
    </w:p>
    <w:p>
      <w:pPr>
        <w:pStyle w:val="3"/>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3"/>
    </w:p>
    <w:p>
      <w:pPr>
        <w:pStyle w:val="3"/>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3"/>
        <w:rPr>
          <w:rFonts w:ascii="仿宋" w:eastAsia="仿宋"/>
          <w:color w:val="000000"/>
        </w:rPr>
      </w:pPr>
      <w:bookmarkStart w:id="65"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5"/>
    </w:p>
    <w:p>
      <w:pPr>
        <w:pStyle w:val="3"/>
        <w:rPr>
          <w:rFonts w:ascii="仿宋" w:eastAsia="仿宋"/>
          <w:color w:val="000000"/>
        </w:rPr>
      </w:pPr>
      <w:bookmarkStart w:id="66"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6"/>
    </w:p>
    <w:p>
      <w:pPr>
        <w:pStyle w:val="3"/>
        <w:rPr>
          <w:rFonts w:ascii="仿宋" w:eastAsia="仿宋"/>
          <w:color w:val="000000"/>
        </w:rPr>
      </w:pPr>
      <w:bookmarkStart w:id="67"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7"/>
    </w:p>
    <w:p>
      <w:pPr>
        <w:pStyle w:val="3"/>
        <w:rPr>
          <w:rFonts w:ascii="仿宋" w:eastAsia="仿宋"/>
          <w:color w:val="000000"/>
        </w:rPr>
      </w:pPr>
      <w:bookmarkStart w:id="68"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8"/>
    </w:p>
    <w:p>
      <w:pPr>
        <w:pStyle w:val="3"/>
        <w:rPr>
          <w:rFonts w:ascii="仿宋" w:eastAsia="仿宋"/>
          <w:color w:val="000000"/>
        </w:rPr>
      </w:pPr>
      <w:bookmarkStart w:id="69"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69"/>
    </w:p>
    <w:p>
      <w:pPr>
        <w:pStyle w:val="3"/>
        <w:rPr>
          <w:rFonts w:ascii="仿宋" w:eastAsia="仿宋"/>
          <w:color w:val="000000"/>
        </w:rPr>
      </w:pPr>
      <w:bookmarkStart w:id="70"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0"/>
    </w:p>
    <w:p>
      <w:pPr>
        <w:pStyle w:val="3"/>
        <w:rPr>
          <w:rFonts w:ascii="仿宋" w:eastAsia="仿宋"/>
          <w:color w:val="000000"/>
        </w:rPr>
      </w:pPr>
      <w:bookmarkStart w:id="71" w:name="_Toc15396629"/>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71"/>
    </w:p>
    <w:p>
      <w:pPr>
        <w:pStyle w:val="3"/>
        <w:rPr>
          <w:rFonts w:ascii="仿宋" w:eastAsia="仿宋"/>
          <w:color w:val="000000"/>
        </w:rPr>
      </w:pPr>
      <w:bookmarkStart w:id="72" w:name="_Toc15396630"/>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72"/>
    </w:p>
    <w:p>
      <w:pPr>
        <w:pStyle w:val="3"/>
        <w:rPr>
          <w:rFonts w:ascii="仿宋" w:eastAsia="仿宋"/>
          <w:color w:val="000000"/>
        </w:rPr>
      </w:pPr>
      <w:bookmarkStart w:id="73"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77B2AA8"/>
    <w:multiLevelType w:val="singleLevel"/>
    <w:tmpl w:val="D77B2AA8"/>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3A74A3D9"/>
    <w:multiLevelType w:val="singleLevel"/>
    <w:tmpl w:val="3A74A3D9"/>
    <w:lvl w:ilvl="0" w:tentative="0">
      <w:start w:val="1"/>
      <w:numFmt w:val="decimal"/>
      <w:lvlText w:val="%1."/>
      <w:lvlJc w:val="left"/>
      <w:pPr>
        <w:tabs>
          <w:tab w:val="left" w:pos="312"/>
        </w:tabs>
      </w:pPr>
    </w:lvl>
  </w:abstractNum>
  <w:abstractNum w:abstractNumId="8">
    <w:nsid w:val="4D5D5713"/>
    <w:multiLevelType w:val="singleLevel"/>
    <w:tmpl w:val="4D5D5713"/>
    <w:lvl w:ilvl="0" w:tentative="0">
      <w:start w:val="2"/>
      <w:numFmt w:val="chineseCounting"/>
      <w:suff w:val="nothing"/>
      <w:lvlText w:val="（%1）"/>
      <w:lvlJc w:val="left"/>
      <w:rPr>
        <w:rFonts w:hint="eastAsia"/>
      </w:rPr>
    </w:lvl>
  </w:abstractNum>
  <w:abstractNum w:abstractNumId="9">
    <w:nsid w:val="5930D3C7"/>
    <w:multiLevelType w:val="singleLevel"/>
    <w:tmpl w:val="5930D3C7"/>
    <w:lvl w:ilvl="0" w:tentative="0">
      <w:start w:val="3"/>
      <w:numFmt w:val="chineseCounting"/>
      <w:suff w:val="nothing"/>
      <w:lvlText w:val="%1、"/>
      <w:lvlJc w:val="left"/>
      <w:pPr>
        <w:tabs>
          <w:tab w:val="left" w:pos="0"/>
        </w:tabs>
        <w:ind w:left="0" w:firstLine="0"/>
      </w:pPr>
    </w:lvl>
  </w:abstractNum>
  <w:num w:numId="1">
    <w:abstractNumId w:val="5"/>
  </w:num>
  <w:num w:numId="2">
    <w:abstractNumId w:val="7"/>
  </w:num>
  <w:num w:numId="3">
    <w:abstractNumId w:val="0"/>
  </w:num>
  <w:num w:numId="4">
    <w:abstractNumId w:val="6"/>
  </w:num>
  <w:num w:numId="5">
    <w:abstractNumId w:val="3"/>
  </w:num>
  <w:num w:numId="6">
    <w:abstractNumId w:val="2"/>
  </w:num>
  <w:num w:numId="7">
    <w:abstractNumId w:val="8"/>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53D58"/>
    <w:rsid w:val="00053D58"/>
    <w:rsid w:val="006F6A53"/>
    <w:rsid w:val="00791A00"/>
    <w:rsid w:val="0605187D"/>
    <w:rsid w:val="09A957CB"/>
    <w:rsid w:val="102E55AB"/>
    <w:rsid w:val="12073153"/>
    <w:rsid w:val="17267D50"/>
    <w:rsid w:val="197714CB"/>
    <w:rsid w:val="1EE44A31"/>
    <w:rsid w:val="200D7335"/>
    <w:rsid w:val="22BF72ED"/>
    <w:rsid w:val="25744C3D"/>
    <w:rsid w:val="29A21016"/>
    <w:rsid w:val="2C5B3642"/>
    <w:rsid w:val="4D893E34"/>
    <w:rsid w:val="51A47C2C"/>
    <w:rsid w:val="5504057B"/>
    <w:rsid w:val="5DDB1A26"/>
    <w:rsid w:val="62955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uiPriority w:val="0"/>
    <w:pPr>
      <w:keepNext/>
      <w:keepLines/>
      <w:spacing w:before="340" w:after="330" w:line="578" w:lineRule="auto"/>
      <w:outlineLvl w:val="0"/>
    </w:pPr>
    <w:rPr>
      <w:b/>
      <w:bCs/>
      <w:kern w:val="44"/>
      <w:sz w:val="44"/>
      <w:szCs w:val="44"/>
    </w:rPr>
  </w:style>
  <w:style w:type="paragraph" w:styleId="3">
    <w:name w:val="heading 2"/>
    <w:basedOn w:val="1"/>
    <w:next w:val="1"/>
    <w:link w:val="18"/>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paragraph" w:styleId="12">
    <w:name w:val="Normal (Web)"/>
    <w:basedOn w:val="1"/>
    <w:qFormat/>
    <w:uiPriority w:val="0"/>
    <w:pPr>
      <w:widowControl/>
      <w:spacing w:beforeAutospacing="1" w:afterAutospacing="1"/>
      <w:jc w:val="left"/>
    </w:pPr>
    <w:rPr>
      <w:rFonts w:ascii="宋体" w:hAnsi="宋体" w:cs="宋体"/>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uiPriority w:val="0"/>
    <w:rPr>
      <w:rFonts w:ascii="Times New Roman" w:hAnsi="Times New Roman"/>
      <w:szCs w:val="24"/>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uiPriority w:val="0"/>
    <w:pPr>
      <w:ind w:firstLine="200" w:firstLineChars="200"/>
    </w:pPr>
  </w:style>
  <w:style w:type="paragraph" w:customStyle="1" w:styleId="24">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2020年 </c:v>
                </c:pt>
                <c:pt idx="1">
                  <c:v>2019年</c:v>
                </c:pt>
              </c:strCache>
            </c:strRef>
          </c:cat>
          <c:val>
            <c:numRef>
              <c:f>Sheet1!$B$2:$B$3</c:f>
              <c:numCache>
                <c:formatCode>General</c:formatCode>
                <c:ptCount val="2"/>
                <c:pt idx="0">
                  <c:v>2025.14</c:v>
                </c:pt>
                <c:pt idx="1">
                  <c:v>4327.74</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2020年 </c:v>
                </c:pt>
                <c:pt idx="1">
                  <c:v>2019年</c:v>
                </c:pt>
              </c:strCache>
            </c:strRef>
          </c:cat>
          <c:val>
            <c:numRef>
              <c:f>Sheet1!$C$2:$C$3</c:f>
              <c:numCache>
                <c:formatCode>General</c:formatCode>
                <c:ptCount val="2"/>
                <c:pt idx="0">
                  <c:v>2430.52</c:v>
                </c:pt>
                <c:pt idx="1">
                  <c:v>3752.37</c:v>
                </c:pt>
              </c:numCache>
            </c:numRef>
          </c:val>
        </c:ser>
        <c:dLbls>
          <c:showLegendKey val="0"/>
          <c:showVal val="0"/>
          <c:showCatName val="0"/>
          <c:showSerName val="0"/>
          <c:showPercent val="0"/>
          <c:showBubbleSize val="0"/>
        </c:dLbls>
        <c:gapWidth val="219"/>
        <c:overlap val="-27"/>
        <c:axId val="122158080"/>
        <c:axId val="122213120"/>
      </c:barChart>
      <c:catAx>
        <c:axId val="12215808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2213120"/>
        <c:crosses val="autoZero"/>
        <c:auto val="1"/>
        <c:lblAlgn val="ctr"/>
        <c:lblOffset val="100"/>
        <c:noMultiLvlLbl val="0"/>
      </c:catAx>
      <c:valAx>
        <c:axId val="122213120"/>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215808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1930.34</c:v>
                </c:pt>
                <c:pt idx="1">
                  <c:v>94.8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535.43</c:v>
                </c:pt>
                <c:pt idx="1">
                  <c:v>1895.09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8058.45</c:v>
                </c:pt>
                <c:pt idx="1">
                  <c:v>2968.78</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1930.34</c:v>
                </c:pt>
                <c:pt idx="1">
                  <c:v>2321.16</c:v>
                </c:pt>
              </c:numCache>
            </c:numRef>
          </c:val>
        </c:ser>
        <c:dLbls>
          <c:showLegendKey val="0"/>
          <c:showVal val="1"/>
          <c:showCatName val="0"/>
          <c:showSerName val="0"/>
          <c:showPercent val="0"/>
          <c:showBubbleSize val="0"/>
        </c:dLbls>
        <c:gapWidth val="219"/>
        <c:overlap val="-27"/>
        <c:axId val="124499456"/>
        <c:axId val="124500992"/>
      </c:barChart>
      <c:catAx>
        <c:axId val="12449945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4500992"/>
        <c:crosses val="autoZero"/>
        <c:auto val="1"/>
        <c:lblAlgn val="ctr"/>
        <c:lblOffset val="100"/>
        <c:noMultiLvlLbl val="0"/>
      </c:catAx>
      <c:valAx>
        <c:axId val="12450099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449945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2968.78</c:v>
                </c:pt>
                <c:pt idx="1">
                  <c:v>2321.16</c:v>
                </c:pt>
              </c:numCache>
            </c:numRef>
          </c:val>
        </c:ser>
        <c:dLbls>
          <c:showLegendKey val="0"/>
          <c:showVal val="1"/>
          <c:showCatName val="0"/>
          <c:showSerName val="0"/>
          <c:showPercent val="0"/>
          <c:showBubbleSize val="0"/>
        </c:dLbls>
        <c:gapWidth val="219"/>
        <c:overlap val="-27"/>
        <c:axId val="125197696"/>
        <c:axId val="125260928"/>
      </c:barChart>
      <c:catAx>
        <c:axId val="12519769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5260928"/>
        <c:crosses val="autoZero"/>
        <c:auto val="1"/>
        <c:lblAlgn val="ctr"/>
        <c:lblOffset val="100"/>
        <c:noMultiLvlLbl val="0"/>
      </c:catAx>
      <c:valAx>
        <c:axId val="125260928"/>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519769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医疗卫生支出</c:v>
                </c:pt>
                <c:pt idx="3">
                  <c:v>住房保障支出</c:v>
                </c:pt>
              </c:strCache>
            </c:strRef>
          </c:cat>
          <c:val>
            <c:numRef>
              <c:f>'Sheet1 (6)'!$B$2:$B$5</c:f>
              <c:numCache>
                <c:formatCode>General</c:formatCode>
                <c:ptCount val="4"/>
                <c:pt idx="0">
                  <c:v>2190.28</c:v>
                </c:pt>
                <c:pt idx="1">
                  <c:v>63.96</c:v>
                </c:pt>
                <c:pt idx="2">
                  <c:v>25.92</c:v>
                </c:pt>
                <c:pt idx="3">
                  <c:v>41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3.996</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2436</Words>
  <Characters>13887</Characters>
  <Lines>115</Lines>
  <Paragraphs>32</Paragraphs>
  <TotalTime>28</TotalTime>
  <ScaleCrop>false</ScaleCrop>
  <LinksUpToDate>false</LinksUpToDate>
  <CharactersWithSpaces>16291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2020-09-29T10:36:00Z</cp:lastPrinted>
  <dcterms:modified xsi:type="dcterms:W3CDTF">2021-09-27T03:46:10Z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901197527011406394C2BAD59F9E2BA0</vt:lpwstr>
  </property>
</Properties>
</file>