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02D8E">
      <w:pPr>
        <w:pStyle w:val="5"/>
        <w:bidi w:val="0"/>
        <w:rPr>
          <w:rFonts w:hint="eastAsia"/>
          <w:lang w:val="en-US" w:eastAsia="zh-CN"/>
        </w:rPr>
      </w:pPr>
      <w:bookmarkStart w:id="0" w:name="_Toc15396475"/>
      <w:bookmarkStart w:id="1" w:name="_Toc15377193"/>
      <w:bookmarkStart w:id="2" w:name="_Toc15396597"/>
      <w:bookmarkStart w:id="3" w:name="_Toc15377425"/>
      <w:bookmarkStart w:id="4" w:name="_Toc15306267"/>
      <w:bookmarkStart w:id="5" w:name="_Toc15378441"/>
    </w:p>
    <w:p w14:paraId="394E648B">
      <w:pPr>
        <w:pStyle w:val="6"/>
        <w:rPr>
          <w:rFonts w:hint="eastAsia" w:ascii="Times New Roman" w:hAnsi="Times New Roman" w:eastAsia="方正小标宋简体" w:cs="Times New Roman"/>
          <w:color w:val="auto"/>
          <w:kern w:val="2"/>
          <w:sz w:val="72"/>
          <w:szCs w:val="72"/>
          <w:highlight w:val="none"/>
          <w:lang w:val="en-US" w:eastAsia="zh-CN" w:bidi="ar-SA"/>
        </w:rPr>
      </w:pPr>
    </w:p>
    <w:p w14:paraId="70AC11F6">
      <w:pPr>
        <w:pStyle w:val="6"/>
        <w:rPr>
          <w:rFonts w:hint="eastAsia" w:ascii="Times New Roman" w:hAnsi="Times New Roman" w:eastAsia="方正小标宋简体" w:cs="Times New Roman"/>
          <w:color w:val="auto"/>
          <w:kern w:val="2"/>
          <w:sz w:val="72"/>
          <w:szCs w:val="72"/>
          <w:highlight w:val="none"/>
          <w:lang w:val="en-US" w:eastAsia="zh-CN" w:bidi="ar-SA"/>
        </w:rPr>
      </w:pPr>
    </w:p>
    <w:p w14:paraId="2B059EC5">
      <w:pPr>
        <w:pStyle w:val="6"/>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四川省阿坝州金川县人力资源和社会保障局部门</w:t>
      </w:r>
      <w:r>
        <w:rPr>
          <w:rFonts w:hint="eastAsia" w:ascii="Times New Roman" w:hAnsi="Times New Roman" w:eastAsia="方正小标宋简体" w:cs="Times New Roman"/>
          <w:color w:val="auto"/>
          <w:kern w:val="2"/>
          <w:sz w:val="44"/>
          <w:szCs w:val="44"/>
          <w:highlight w:val="none"/>
          <w:lang w:val="en-US" w:eastAsia="zh-CN" w:bidi="ar-SA"/>
        </w:rPr>
        <w:t>决算</w:t>
      </w:r>
    </w:p>
    <w:p w14:paraId="1B865BD8">
      <w:pPr>
        <w:pStyle w:val="2"/>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bookmarkEnd w:id="0"/>
    <w:bookmarkEnd w:id="1"/>
    <w:bookmarkEnd w:id="2"/>
    <w:bookmarkEnd w:id="3"/>
    <w:bookmarkEnd w:id="4"/>
    <w:bookmarkEnd w:id="5"/>
    <w:p w14:paraId="698320CB">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188BA123">
      <w:pPr>
        <w:widowControl/>
        <w:jc w:val="center"/>
        <w:rPr>
          <w:rFonts w:ascii="Times New Roman" w:hAnsi="Times New Roman" w:eastAsia="黑体" w:cstheme="minorBidi"/>
          <w:color w:val="auto"/>
          <w:sz w:val="28"/>
          <w:szCs w:val="28"/>
          <w:highlight w:val="none"/>
        </w:rPr>
      </w:pPr>
    </w:p>
    <w:p w14:paraId="23E33E25">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20</w:t>
      </w:r>
      <w:r>
        <w:rPr>
          <w:rFonts w:hint="eastAsia" w:ascii="Times New Roman" w:hAnsi="Times New Roman" w:eastAsia="仿宋_GB2312" w:cs="仿宋_GB2312"/>
          <w:color w:val="auto"/>
          <w:sz w:val="32"/>
          <w:szCs w:val="32"/>
          <w:highlight w:val="none"/>
        </w:rPr>
        <w:t>日</w:t>
      </w:r>
    </w:p>
    <w:p w14:paraId="6ABE3203">
      <w:pPr>
        <w:pStyle w:val="12"/>
        <w:adjustRightInd w:val="0"/>
        <w:snapToGrid w:val="0"/>
        <w:spacing w:before="0" w:line="440" w:lineRule="exact"/>
        <w:ind w:firstLine="600"/>
        <w:jc w:val="left"/>
        <w:rPr>
          <w:rFonts w:hint="eastAsia" w:ascii="仿宋_GB2312" w:hAnsi="仿宋_GB2312" w:cs="仿宋_GB2312"/>
          <w:sz w:val="30"/>
          <w:szCs w:val="30"/>
        </w:rPr>
      </w:pPr>
      <w:r>
        <w:rPr>
          <w:rFonts w:hint="eastAsia" w:ascii="仿宋_GB2312" w:eastAsia="仿宋_GB2312" w:cs="仿宋_GB2312"/>
          <w:sz w:val="30"/>
          <w:szCs w:val="30"/>
        </w:rPr>
        <w:t>第一部分 单位概况</w:t>
      </w:r>
      <w:r>
        <w:tab/>
      </w:r>
      <w:r>
        <w:rPr>
          <w:rFonts w:hint="eastAsia" w:ascii="Times New Roman" w:hAnsi="Times New Roman" w:eastAsia="仿宋_GB2312"/>
          <w:sz w:val="32"/>
          <w:szCs w:val="24"/>
        </w:rPr>
        <w:t>4</w:t>
      </w:r>
    </w:p>
    <w:p w14:paraId="1D918192">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一、主要职责</w:t>
      </w:r>
      <w:r>
        <w:tab/>
      </w:r>
      <w:r>
        <w:rPr>
          <w:rFonts w:hint="eastAsia"/>
        </w:rPr>
        <w:t>4</w:t>
      </w:r>
    </w:p>
    <w:p w14:paraId="722487C4">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二、机构设置</w:t>
      </w:r>
      <w:r>
        <w:tab/>
      </w:r>
      <w:r>
        <w:rPr>
          <w:rFonts w:hint="eastAsia"/>
        </w:rPr>
        <w:t>4</w:t>
      </w:r>
    </w:p>
    <w:p w14:paraId="7E796036">
      <w:pPr>
        <w:pStyle w:val="12"/>
        <w:adjustRightInd w:val="0"/>
        <w:snapToGrid w:val="0"/>
        <w:spacing w:before="0" w:line="440" w:lineRule="exact"/>
        <w:ind w:firstLine="600"/>
        <w:jc w:val="left"/>
        <w:rPr>
          <w:rFonts w:hint="eastAsia" w:ascii="仿宋_GB2312" w:hAnsi="仿宋_GB2312" w:eastAsia="仿宋" w:cs="仿宋_GB2312"/>
          <w:sz w:val="30"/>
          <w:szCs w:val="30"/>
          <w:lang w:eastAsia="zh-CN"/>
        </w:rPr>
      </w:pPr>
      <w:r>
        <w:rPr>
          <w:rFonts w:hint="eastAsia" w:ascii="仿宋_GB2312" w:eastAsia="仿宋_GB2312" w:cs="仿宋_GB2312"/>
          <w:sz w:val="30"/>
          <w:szCs w:val="30"/>
        </w:rPr>
        <w:t>第二部分 2022年度单位决算情况说明</w:t>
      </w:r>
      <w:r>
        <w:tab/>
      </w:r>
      <w:r>
        <w:rPr>
          <w:rFonts w:hint="eastAsia" w:ascii="Times New Roman" w:hAnsi="Times New Roman" w:eastAsia="仿宋_GB2312"/>
          <w:sz w:val="32"/>
          <w:szCs w:val="24"/>
          <w:lang w:val="en-US" w:eastAsia="zh-CN"/>
        </w:rPr>
        <w:t>4</w:t>
      </w:r>
    </w:p>
    <w:p w14:paraId="116CFB1F">
      <w:pPr>
        <w:pStyle w:val="15"/>
        <w:adjustRightInd w:val="0"/>
        <w:snapToGrid w:val="0"/>
        <w:spacing w:line="440" w:lineRule="exact"/>
        <w:ind w:left="640" w:firstLine="600"/>
        <w:jc w:val="left"/>
        <w:rPr>
          <w:rFonts w:hint="eastAsia" w:ascii="仿宋_GB2312" w:hAnsi="仿宋_GB2312" w:eastAsia="宋体" w:cs="仿宋_GB2312"/>
          <w:sz w:val="30"/>
          <w:szCs w:val="30"/>
          <w:lang w:eastAsia="zh-CN"/>
        </w:rPr>
      </w:pPr>
      <w:r>
        <w:rPr>
          <w:rFonts w:hint="eastAsia" w:ascii="仿宋_GB2312" w:cs="仿宋_GB2312"/>
          <w:sz w:val="30"/>
          <w:szCs w:val="30"/>
        </w:rPr>
        <w:t>一、收入支出决算总体情况说明</w:t>
      </w:r>
      <w:r>
        <w:tab/>
      </w:r>
      <w:r>
        <w:rPr>
          <w:rFonts w:hint="eastAsia"/>
          <w:lang w:val="en-US" w:eastAsia="zh-CN"/>
        </w:rPr>
        <w:t>4</w:t>
      </w:r>
    </w:p>
    <w:p w14:paraId="1CEA7F59">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二、收入决算情况说明</w:t>
      </w:r>
      <w:r>
        <w:tab/>
      </w:r>
      <w:r>
        <w:rPr>
          <w:rFonts w:hint="eastAsia"/>
        </w:rPr>
        <w:t>5</w:t>
      </w:r>
    </w:p>
    <w:p w14:paraId="6B243DD0">
      <w:pPr>
        <w:pStyle w:val="15"/>
        <w:adjustRightInd w:val="0"/>
        <w:snapToGrid w:val="0"/>
        <w:spacing w:line="440" w:lineRule="exact"/>
        <w:ind w:left="640" w:firstLine="600"/>
        <w:jc w:val="left"/>
        <w:rPr>
          <w:rFonts w:hint="eastAsia" w:ascii="仿宋_GB2312" w:hAnsi="仿宋_GB2312" w:eastAsia="宋体" w:cs="仿宋_GB2312"/>
          <w:sz w:val="30"/>
          <w:szCs w:val="30"/>
          <w:lang w:eastAsia="zh-CN"/>
        </w:rPr>
      </w:pPr>
      <w:r>
        <w:rPr>
          <w:rFonts w:hint="eastAsia" w:ascii="仿宋_GB2312" w:cs="仿宋_GB2312"/>
          <w:sz w:val="30"/>
          <w:szCs w:val="30"/>
        </w:rPr>
        <w:t>三、支出决算情况说明</w:t>
      </w:r>
      <w:r>
        <w:tab/>
      </w:r>
      <w:r>
        <w:rPr>
          <w:rFonts w:hint="eastAsia"/>
          <w:lang w:val="en-US" w:eastAsia="zh-CN"/>
        </w:rPr>
        <w:t>5</w:t>
      </w:r>
    </w:p>
    <w:p w14:paraId="68645583">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四、财政拨款收入支出决算总体情况说明</w:t>
      </w:r>
      <w:r>
        <w:tab/>
      </w:r>
      <w:r>
        <w:rPr>
          <w:rFonts w:hint="eastAsia"/>
        </w:rPr>
        <w:t>6</w:t>
      </w:r>
    </w:p>
    <w:p w14:paraId="6C3173A7">
      <w:pPr>
        <w:pStyle w:val="15"/>
        <w:adjustRightInd w:val="0"/>
        <w:snapToGrid w:val="0"/>
        <w:spacing w:line="440" w:lineRule="exact"/>
        <w:ind w:left="640" w:firstLine="600"/>
        <w:jc w:val="left"/>
        <w:rPr>
          <w:rFonts w:hint="eastAsia" w:ascii="仿宋_GB2312" w:hAnsi="仿宋_GB2312" w:eastAsia="宋体" w:cs="仿宋_GB2312"/>
          <w:sz w:val="30"/>
          <w:szCs w:val="30"/>
          <w:lang w:eastAsia="zh-CN"/>
        </w:rPr>
      </w:pPr>
      <w:r>
        <w:rPr>
          <w:rFonts w:hint="eastAsia" w:ascii="仿宋_GB2312" w:cs="仿宋_GB2312"/>
          <w:sz w:val="30"/>
          <w:szCs w:val="30"/>
        </w:rPr>
        <w:t>五、一般公共预算财政拨款支出决算情况说明</w:t>
      </w:r>
      <w:r>
        <w:tab/>
      </w:r>
      <w:r>
        <w:rPr>
          <w:rFonts w:hint="eastAsia"/>
          <w:lang w:val="en-US" w:eastAsia="zh-CN"/>
        </w:rPr>
        <w:t>6</w:t>
      </w:r>
    </w:p>
    <w:p w14:paraId="402ED18B">
      <w:pPr>
        <w:pStyle w:val="15"/>
        <w:adjustRightInd w:val="0"/>
        <w:snapToGrid w:val="0"/>
        <w:spacing w:line="440" w:lineRule="exact"/>
        <w:ind w:left="640" w:firstLine="600"/>
        <w:jc w:val="left"/>
        <w:rPr>
          <w:rFonts w:hint="eastAsia" w:ascii="仿宋_GB2312" w:hAnsi="仿宋_GB2312" w:eastAsia="宋体" w:cs="仿宋_GB2312"/>
          <w:sz w:val="30"/>
          <w:szCs w:val="30"/>
          <w:lang w:eastAsia="zh-CN"/>
        </w:rPr>
      </w:pPr>
      <w:r>
        <w:rPr>
          <w:rFonts w:hint="eastAsia" w:ascii="仿宋_GB2312" w:cs="仿宋_GB2312"/>
          <w:sz w:val="30"/>
          <w:szCs w:val="30"/>
        </w:rPr>
        <w:t>六、一般公共预算财政拨款基本支出决算情况说明</w:t>
      </w:r>
      <w:r>
        <w:tab/>
      </w:r>
      <w:r>
        <w:rPr>
          <w:rFonts w:hint="eastAsia"/>
          <w:lang w:val="en-US" w:eastAsia="zh-CN"/>
        </w:rPr>
        <w:t>9</w:t>
      </w:r>
    </w:p>
    <w:p w14:paraId="5F298F58">
      <w:pPr>
        <w:pStyle w:val="15"/>
        <w:adjustRightInd w:val="0"/>
        <w:snapToGrid w:val="0"/>
        <w:spacing w:line="440" w:lineRule="exact"/>
        <w:ind w:left="640" w:firstLine="600"/>
        <w:jc w:val="left"/>
        <w:rPr>
          <w:rFonts w:hint="eastAsia" w:ascii="仿宋_GB2312" w:hAnsi="仿宋_GB2312" w:eastAsia="宋体" w:cs="仿宋_GB2312"/>
          <w:sz w:val="30"/>
          <w:szCs w:val="30"/>
          <w:lang w:eastAsia="zh-CN"/>
        </w:rPr>
      </w:pPr>
      <w:r>
        <w:rPr>
          <w:rFonts w:hint="eastAsia" w:ascii="仿宋_GB2312" w:cs="仿宋_GB2312"/>
          <w:sz w:val="30"/>
          <w:szCs w:val="30"/>
        </w:rPr>
        <w:t>七、财政拨款“三公”经费支出决算情况说明</w:t>
      </w:r>
      <w:r>
        <w:tab/>
      </w:r>
      <w:r>
        <w:rPr>
          <w:rFonts w:hint="eastAsia"/>
          <w:lang w:val="en-US" w:eastAsia="zh-CN"/>
        </w:rPr>
        <w:t>9</w:t>
      </w:r>
    </w:p>
    <w:p w14:paraId="586D189B">
      <w:pPr>
        <w:pStyle w:val="15"/>
        <w:adjustRightInd w:val="0"/>
        <w:snapToGrid w:val="0"/>
        <w:spacing w:line="440" w:lineRule="exact"/>
        <w:ind w:left="640" w:firstLine="600"/>
        <w:jc w:val="left"/>
        <w:rPr>
          <w:rFonts w:hint="default" w:ascii="仿宋_GB2312" w:hAnsi="仿宋_GB2312" w:eastAsia="宋体" w:cs="仿宋_GB2312"/>
          <w:sz w:val="30"/>
          <w:szCs w:val="30"/>
          <w:lang w:val="en-US" w:eastAsia="zh-CN"/>
        </w:rPr>
      </w:pPr>
      <w:r>
        <w:rPr>
          <w:rFonts w:hint="eastAsia" w:ascii="仿宋_GB2312" w:cs="仿宋_GB2312"/>
          <w:sz w:val="30"/>
          <w:szCs w:val="30"/>
        </w:rPr>
        <w:t>八、政府性基金预算支出决算情况说明</w:t>
      </w:r>
      <w:r>
        <w:tab/>
      </w:r>
      <w:r>
        <w:rPr>
          <w:rFonts w:hint="eastAsia"/>
          <w:lang w:val="en-US" w:eastAsia="zh-CN"/>
        </w:rPr>
        <w:t>10</w:t>
      </w:r>
    </w:p>
    <w:p w14:paraId="6C55D2E4">
      <w:pPr>
        <w:pStyle w:val="15"/>
        <w:adjustRightInd w:val="0"/>
        <w:snapToGrid w:val="0"/>
        <w:spacing w:line="440" w:lineRule="exact"/>
        <w:ind w:left="640" w:firstLine="600"/>
        <w:jc w:val="left"/>
        <w:rPr>
          <w:rFonts w:hint="default" w:ascii="仿宋_GB2312" w:hAnsi="仿宋_GB2312" w:eastAsia="宋体" w:cs="仿宋_GB2312"/>
          <w:sz w:val="30"/>
          <w:szCs w:val="30"/>
          <w:lang w:val="en-US" w:eastAsia="zh-CN"/>
        </w:rPr>
      </w:pPr>
      <w:r>
        <w:rPr>
          <w:rFonts w:hint="eastAsia" w:ascii="仿宋_GB2312" w:cs="仿宋_GB2312"/>
          <w:sz w:val="30"/>
          <w:szCs w:val="30"/>
        </w:rPr>
        <w:t>九、国有资本经营预算支出决算情况说明</w:t>
      </w:r>
      <w:r>
        <w:tab/>
      </w:r>
      <w:r>
        <w:rPr>
          <w:rFonts w:hint="eastAsia"/>
          <w:lang w:val="en-US" w:eastAsia="zh-CN"/>
        </w:rPr>
        <w:t>11</w:t>
      </w:r>
    </w:p>
    <w:p w14:paraId="338853D7">
      <w:pPr>
        <w:pStyle w:val="15"/>
        <w:adjustRightInd w:val="0"/>
        <w:snapToGrid w:val="0"/>
        <w:spacing w:line="440" w:lineRule="exact"/>
        <w:ind w:left="640" w:firstLine="600"/>
        <w:jc w:val="left"/>
        <w:rPr>
          <w:rFonts w:hint="default" w:ascii="仿宋_GB2312" w:hAnsi="仿宋_GB2312" w:eastAsia="宋体" w:cs="仿宋_GB2312"/>
          <w:sz w:val="30"/>
          <w:szCs w:val="30"/>
          <w:lang w:val="en-US" w:eastAsia="zh-CN"/>
        </w:rPr>
      </w:pPr>
      <w:r>
        <w:rPr>
          <w:rFonts w:hint="eastAsia" w:ascii="仿宋_GB2312" w:cs="仿宋_GB2312"/>
          <w:sz w:val="30"/>
          <w:szCs w:val="30"/>
        </w:rPr>
        <w:t>十、其他重要事项的情况说明</w:t>
      </w:r>
      <w:r>
        <w:tab/>
      </w:r>
      <w:r>
        <w:rPr>
          <w:rFonts w:hint="eastAsia"/>
          <w:lang w:val="en-US" w:eastAsia="zh-CN"/>
        </w:rPr>
        <w:t>11</w:t>
      </w:r>
    </w:p>
    <w:p w14:paraId="10051EDF">
      <w:pPr>
        <w:pStyle w:val="12"/>
        <w:adjustRightInd w:val="0"/>
        <w:snapToGrid w:val="0"/>
        <w:spacing w:before="0" w:line="440" w:lineRule="exact"/>
        <w:ind w:firstLine="600"/>
        <w:jc w:val="left"/>
        <w:rPr>
          <w:rFonts w:hint="eastAsia" w:ascii="仿宋_GB2312" w:hAnsi="仿宋_GB2312" w:eastAsia="仿宋_GB2312" w:cs="仿宋_GB2312"/>
          <w:sz w:val="30"/>
          <w:szCs w:val="30"/>
          <w:lang w:eastAsia="zh-CN"/>
        </w:rPr>
      </w:pPr>
      <w:r>
        <w:rPr>
          <w:rFonts w:hint="eastAsia" w:ascii="仿宋_GB2312" w:eastAsia="仿宋_GB2312" w:cs="仿宋_GB2312"/>
          <w:sz w:val="30"/>
          <w:szCs w:val="30"/>
        </w:rPr>
        <w:t>第三部分 名词解释</w:t>
      </w:r>
      <w:r>
        <w:tab/>
      </w:r>
      <w:r>
        <w:rPr>
          <w:rFonts w:hint="eastAsia" w:ascii="Times New Roman" w:hAnsi="Times New Roman" w:eastAsia="仿宋_GB2312"/>
          <w:sz w:val="32"/>
          <w:szCs w:val="24"/>
        </w:rPr>
        <w:t>1</w:t>
      </w:r>
      <w:r>
        <w:rPr>
          <w:rFonts w:hint="eastAsia" w:ascii="Times New Roman" w:hAnsi="Times New Roman" w:eastAsia="仿宋_GB2312"/>
          <w:sz w:val="32"/>
          <w:szCs w:val="24"/>
          <w:lang w:val="en-US" w:eastAsia="zh-CN"/>
        </w:rPr>
        <w:t>3</w:t>
      </w:r>
    </w:p>
    <w:p w14:paraId="2F7E1A98">
      <w:pPr>
        <w:pStyle w:val="12"/>
        <w:adjustRightInd w:val="0"/>
        <w:snapToGrid w:val="0"/>
        <w:spacing w:before="0" w:line="440" w:lineRule="exact"/>
        <w:ind w:firstLine="600"/>
        <w:jc w:val="left"/>
        <w:rPr>
          <w:rFonts w:hint="eastAsia" w:ascii="仿宋_GB2312" w:hAnsi="仿宋_GB2312" w:eastAsia="仿宋_GB2312" w:cs="仿宋_GB2312"/>
          <w:sz w:val="30"/>
          <w:szCs w:val="30"/>
          <w:lang w:eastAsia="zh-CN"/>
        </w:rPr>
      </w:pPr>
      <w:r>
        <w:rPr>
          <w:rFonts w:hint="eastAsia" w:ascii="仿宋_GB2312" w:eastAsia="仿宋_GB2312" w:cs="仿宋_GB2312"/>
          <w:sz w:val="30"/>
          <w:szCs w:val="30"/>
        </w:rPr>
        <w:t>第四部分 附件</w:t>
      </w:r>
      <w:r>
        <w:tab/>
      </w:r>
      <w:r>
        <w:rPr>
          <w:rFonts w:hint="eastAsia" w:ascii="Times New Roman" w:hAnsi="Times New Roman" w:eastAsia="仿宋_GB2312"/>
          <w:sz w:val="32"/>
          <w:szCs w:val="24"/>
        </w:rPr>
        <w:t>1</w:t>
      </w:r>
      <w:r>
        <w:rPr>
          <w:rFonts w:hint="eastAsia" w:ascii="Times New Roman" w:hAnsi="Times New Roman" w:eastAsia="仿宋_GB2312"/>
          <w:sz w:val="32"/>
          <w:szCs w:val="24"/>
          <w:lang w:val="en-US" w:eastAsia="zh-CN"/>
        </w:rPr>
        <w:t>6</w:t>
      </w:r>
    </w:p>
    <w:p w14:paraId="13CEFAEF">
      <w:pPr>
        <w:pStyle w:val="12"/>
        <w:adjustRightInd w:val="0"/>
        <w:snapToGrid w:val="0"/>
        <w:spacing w:before="0" w:line="440" w:lineRule="exact"/>
        <w:ind w:firstLine="600"/>
        <w:jc w:val="left"/>
        <w:rPr>
          <w:rFonts w:hint="default" w:ascii="仿宋_GB2312" w:hAnsi="仿宋_GB2312" w:eastAsia="仿宋" w:cs="仿宋_GB2312"/>
          <w:sz w:val="30"/>
          <w:szCs w:val="30"/>
          <w:lang w:val="en-US" w:eastAsia="zh-CN"/>
        </w:rPr>
      </w:pPr>
      <w:r>
        <w:rPr>
          <w:rFonts w:hint="eastAsia" w:ascii="仿宋_GB2312" w:eastAsia="仿宋_GB2312" w:cs="仿宋_GB2312"/>
          <w:sz w:val="30"/>
          <w:szCs w:val="30"/>
        </w:rPr>
        <w:t>第五部分 附表</w:t>
      </w:r>
      <w:r>
        <w:tab/>
      </w:r>
      <w:r>
        <w:rPr>
          <w:rFonts w:hint="eastAsia" w:ascii="Times New Roman" w:hAnsi="Times New Roman" w:eastAsia="仿宋_GB2312"/>
          <w:sz w:val="32"/>
          <w:szCs w:val="24"/>
          <w:lang w:val="en-US" w:eastAsia="zh-CN"/>
        </w:rPr>
        <w:t>34</w:t>
      </w:r>
    </w:p>
    <w:p w14:paraId="067D61C5">
      <w:pPr>
        <w:pStyle w:val="15"/>
        <w:adjustRightInd w:val="0"/>
        <w:snapToGrid w:val="0"/>
        <w:spacing w:line="440" w:lineRule="exact"/>
        <w:ind w:left="640" w:firstLine="600"/>
        <w:jc w:val="left"/>
        <w:rPr>
          <w:rFonts w:hint="default" w:ascii="仿宋_GB2312" w:hAnsi="仿宋_GB2312" w:eastAsia="宋体" w:cs="仿宋_GB2312"/>
          <w:sz w:val="30"/>
          <w:szCs w:val="30"/>
          <w:lang w:val="en-US" w:eastAsia="zh-CN"/>
        </w:rPr>
      </w:pPr>
      <w:r>
        <w:rPr>
          <w:rFonts w:hint="eastAsia" w:ascii="仿宋_GB2312" w:cs="仿宋_GB2312"/>
          <w:sz w:val="30"/>
          <w:szCs w:val="30"/>
        </w:rPr>
        <w:t>一、收入支出决算总表</w:t>
      </w:r>
      <w:r>
        <w:tab/>
      </w:r>
      <w:r>
        <w:rPr>
          <w:rFonts w:hint="eastAsia"/>
          <w:lang w:val="en-US" w:eastAsia="zh-CN"/>
        </w:rPr>
        <w:t>34</w:t>
      </w:r>
    </w:p>
    <w:p w14:paraId="131C65DC">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二、收入决算表</w:t>
      </w:r>
      <w:r>
        <w:tab/>
      </w:r>
      <w:r>
        <w:rPr>
          <w:rFonts w:hint="eastAsia"/>
          <w:lang w:val="en-US" w:eastAsia="zh-CN"/>
        </w:rPr>
        <w:t>34</w:t>
      </w:r>
    </w:p>
    <w:p w14:paraId="437C719A">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三、支出决算表</w:t>
      </w:r>
      <w:r>
        <w:tab/>
      </w:r>
      <w:r>
        <w:rPr>
          <w:rFonts w:hint="eastAsia"/>
          <w:lang w:val="en-US" w:eastAsia="zh-CN"/>
        </w:rPr>
        <w:t>34</w:t>
      </w:r>
    </w:p>
    <w:p w14:paraId="181F0221">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四、财政拨款收入支出决算总表</w:t>
      </w:r>
      <w:r>
        <w:tab/>
      </w:r>
      <w:r>
        <w:rPr>
          <w:rFonts w:hint="eastAsia"/>
          <w:lang w:val="en-US" w:eastAsia="zh-CN"/>
        </w:rPr>
        <w:t>34</w:t>
      </w:r>
    </w:p>
    <w:p w14:paraId="78A17604">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五、财政拨款支出决算明细表</w:t>
      </w:r>
      <w:r>
        <w:tab/>
      </w:r>
      <w:r>
        <w:rPr>
          <w:rFonts w:hint="eastAsia"/>
          <w:lang w:val="en-US" w:eastAsia="zh-CN"/>
        </w:rPr>
        <w:t>34</w:t>
      </w:r>
    </w:p>
    <w:p w14:paraId="653962F9">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六、一般公共预算财政拨款支出决算表</w:t>
      </w:r>
      <w:r>
        <w:tab/>
      </w:r>
      <w:r>
        <w:rPr>
          <w:rFonts w:hint="eastAsia"/>
          <w:lang w:val="en-US" w:eastAsia="zh-CN"/>
        </w:rPr>
        <w:t>34</w:t>
      </w:r>
    </w:p>
    <w:p w14:paraId="6596DD78">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七、一般公共预算财政拨款支出决算明细表</w:t>
      </w:r>
      <w:r>
        <w:tab/>
      </w:r>
      <w:r>
        <w:rPr>
          <w:rFonts w:hint="eastAsia"/>
          <w:lang w:val="en-US" w:eastAsia="zh-CN"/>
        </w:rPr>
        <w:t>34</w:t>
      </w:r>
    </w:p>
    <w:p w14:paraId="67BB3DD3">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八、一般公共预算财政拨款基本支出决算明细表</w:t>
      </w:r>
      <w:r>
        <w:tab/>
      </w:r>
      <w:r>
        <w:rPr>
          <w:rFonts w:hint="eastAsia"/>
          <w:lang w:val="en-US" w:eastAsia="zh-CN"/>
        </w:rPr>
        <w:t>34</w:t>
      </w:r>
    </w:p>
    <w:p w14:paraId="153FC3D0">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九、一般公共预算财政拨款项目支出决算表</w:t>
      </w:r>
      <w:r>
        <w:tab/>
      </w:r>
      <w:r>
        <w:rPr>
          <w:rFonts w:hint="eastAsia"/>
          <w:lang w:val="en-US" w:eastAsia="zh-CN"/>
        </w:rPr>
        <w:t>34</w:t>
      </w:r>
    </w:p>
    <w:p w14:paraId="4A47B537">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十、政府性基金预算财政拨款收入支出决算表</w:t>
      </w:r>
      <w:r>
        <w:tab/>
      </w:r>
      <w:r>
        <w:rPr>
          <w:rFonts w:hint="eastAsia"/>
          <w:lang w:val="en-US" w:eastAsia="zh-CN"/>
        </w:rPr>
        <w:t>34</w:t>
      </w:r>
    </w:p>
    <w:p w14:paraId="3BFFD0BA">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十一、国有资本经营预算财政拨款收入支出决算表</w:t>
      </w:r>
      <w:r>
        <w:tab/>
      </w:r>
      <w:r>
        <w:rPr>
          <w:rFonts w:hint="eastAsia"/>
          <w:lang w:val="en-US" w:eastAsia="zh-CN"/>
        </w:rPr>
        <w:t>34</w:t>
      </w:r>
    </w:p>
    <w:p w14:paraId="5FF74FED">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十二、国有资本经营预算财政拨款支出决算表</w:t>
      </w:r>
      <w:r>
        <w:tab/>
      </w:r>
      <w:r>
        <w:rPr>
          <w:rFonts w:hint="eastAsia"/>
          <w:lang w:val="en-US" w:eastAsia="zh-CN"/>
        </w:rPr>
        <w:t>34</w:t>
      </w:r>
    </w:p>
    <w:p w14:paraId="2DC22791">
      <w:pPr>
        <w:pStyle w:val="15"/>
        <w:adjustRightInd w:val="0"/>
        <w:snapToGrid w:val="0"/>
        <w:spacing w:line="440" w:lineRule="exact"/>
        <w:ind w:left="640" w:firstLine="600"/>
        <w:jc w:val="left"/>
        <w:rPr>
          <w:rFonts w:hint="eastAsia" w:ascii="仿宋_GB2312" w:hAnsi="仿宋_GB2312" w:eastAsia="宋体" w:cs="仿宋_GB2312"/>
          <w:sz w:val="30"/>
          <w:szCs w:val="30"/>
        </w:rPr>
      </w:pPr>
      <w:r>
        <w:rPr>
          <w:rFonts w:hint="eastAsia" w:ascii="仿宋_GB2312" w:cs="仿宋_GB2312"/>
          <w:sz w:val="30"/>
          <w:szCs w:val="30"/>
        </w:rPr>
        <w:t>十三、财政拨款“三公”经费支出决算表</w:t>
      </w:r>
      <w:r>
        <w:tab/>
      </w:r>
      <w:r>
        <w:rPr>
          <w:rFonts w:hint="eastAsia"/>
          <w:lang w:val="en-US" w:eastAsia="zh-CN"/>
        </w:rPr>
        <w:t>34</w:t>
      </w:r>
    </w:p>
    <w:p w14:paraId="384A7F60">
      <w:pPr>
        <w:rPr>
          <w:rFonts w:hint="eastAsia" w:ascii="Times New Roman" w:hAnsi="Times New Roman" w:eastAsia="仿宋_GB2312" w:cs="仿宋_GB2312"/>
          <w:color w:val="auto"/>
          <w:sz w:val="32"/>
          <w:szCs w:val="32"/>
          <w:highlight w:val="none"/>
        </w:rPr>
      </w:pPr>
    </w:p>
    <w:p w14:paraId="6B99058C">
      <w:pPr>
        <w:rPr>
          <w:rFonts w:hint="eastAsia" w:ascii="Times New Roman" w:hAnsi="Times New Roman" w:eastAsia="仿宋_GB2312" w:cs="仿宋_GB2312"/>
          <w:color w:val="auto"/>
          <w:sz w:val="32"/>
          <w:szCs w:val="32"/>
          <w:highlight w:val="none"/>
        </w:rPr>
      </w:pPr>
    </w:p>
    <w:p w14:paraId="02E72DE7">
      <w:pPr>
        <w:rPr>
          <w:rFonts w:hint="eastAsia" w:ascii="Times New Roman" w:hAnsi="Times New Roman" w:eastAsia="仿宋_GB2312" w:cs="仿宋_GB2312"/>
          <w:color w:val="auto"/>
          <w:sz w:val="32"/>
          <w:szCs w:val="32"/>
          <w:highlight w:val="none"/>
        </w:rPr>
      </w:pPr>
    </w:p>
    <w:p w14:paraId="05336FD9">
      <w:pPr>
        <w:rPr>
          <w:rFonts w:hint="eastAsia" w:ascii="Times New Roman" w:hAnsi="Times New Roman" w:eastAsia="仿宋_GB2312" w:cs="仿宋_GB2312"/>
          <w:color w:val="auto"/>
          <w:sz w:val="32"/>
          <w:szCs w:val="32"/>
          <w:highlight w:val="none"/>
        </w:rPr>
      </w:pPr>
    </w:p>
    <w:p w14:paraId="3F8C5BD0">
      <w:pPr>
        <w:rPr>
          <w:rFonts w:hint="eastAsia" w:ascii="Times New Roman" w:hAnsi="Times New Roman" w:eastAsia="仿宋_GB2312" w:cs="仿宋_GB2312"/>
          <w:color w:val="auto"/>
          <w:sz w:val="32"/>
          <w:szCs w:val="32"/>
          <w:highlight w:val="none"/>
        </w:rPr>
      </w:pPr>
    </w:p>
    <w:p w14:paraId="00241440">
      <w:pPr>
        <w:rPr>
          <w:rFonts w:hint="eastAsia" w:ascii="Times New Roman" w:hAnsi="Times New Roman" w:eastAsia="仿宋_GB2312" w:cs="仿宋_GB2312"/>
          <w:color w:val="auto"/>
          <w:sz w:val="32"/>
          <w:szCs w:val="32"/>
          <w:highlight w:val="none"/>
        </w:rPr>
      </w:pPr>
    </w:p>
    <w:p w14:paraId="1AA6FBBE">
      <w:pPr>
        <w:rPr>
          <w:rFonts w:hint="eastAsia" w:ascii="Times New Roman" w:hAnsi="Times New Roman" w:eastAsia="仿宋_GB2312" w:cs="仿宋_GB2312"/>
          <w:color w:val="auto"/>
          <w:sz w:val="32"/>
          <w:szCs w:val="32"/>
          <w:highlight w:val="none"/>
        </w:rPr>
      </w:pPr>
    </w:p>
    <w:p w14:paraId="04B37CB2">
      <w:pPr>
        <w:rPr>
          <w:rFonts w:hint="eastAsia" w:ascii="Times New Roman" w:hAnsi="Times New Roman" w:eastAsia="仿宋_GB2312" w:cs="仿宋_GB2312"/>
          <w:color w:val="auto"/>
          <w:sz w:val="32"/>
          <w:szCs w:val="32"/>
          <w:highlight w:val="none"/>
        </w:rPr>
      </w:pPr>
    </w:p>
    <w:p w14:paraId="69235F05">
      <w:pPr>
        <w:rPr>
          <w:rFonts w:hint="eastAsia" w:ascii="Times New Roman" w:hAnsi="Times New Roman" w:eastAsia="仿宋_GB2312" w:cs="仿宋_GB2312"/>
          <w:color w:val="auto"/>
          <w:sz w:val="32"/>
          <w:szCs w:val="32"/>
          <w:highlight w:val="none"/>
        </w:rPr>
      </w:pPr>
    </w:p>
    <w:p w14:paraId="54838C9C">
      <w:pPr>
        <w:rPr>
          <w:rFonts w:hint="eastAsia" w:ascii="Times New Roman" w:hAnsi="Times New Roman" w:eastAsia="仿宋_GB2312" w:cs="仿宋_GB2312"/>
          <w:color w:val="auto"/>
          <w:sz w:val="32"/>
          <w:szCs w:val="32"/>
          <w:highlight w:val="none"/>
        </w:rPr>
      </w:pPr>
    </w:p>
    <w:p w14:paraId="4C61B30F">
      <w:pPr>
        <w:rPr>
          <w:rFonts w:hint="eastAsia" w:ascii="Times New Roman" w:hAnsi="Times New Roman" w:eastAsia="仿宋_GB2312" w:cs="仿宋_GB2312"/>
          <w:color w:val="auto"/>
          <w:sz w:val="32"/>
          <w:szCs w:val="32"/>
          <w:highlight w:val="none"/>
        </w:rPr>
      </w:pPr>
    </w:p>
    <w:p w14:paraId="0F75C33A">
      <w:pPr>
        <w:rPr>
          <w:rFonts w:hint="eastAsia" w:ascii="Times New Roman" w:hAnsi="Times New Roman" w:eastAsia="仿宋_GB2312" w:cs="仿宋_GB2312"/>
          <w:color w:val="auto"/>
          <w:sz w:val="32"/>
          <w:szCs w:val="32"/>
          <w:highlight w:val="none"/>
        </w:rPr>
      </w:pPr>
    </w:p>
    <w:p w14:paraId="3EF1411C">
      <w:pPr>
        <w:rPr>
          <w:rFonts w:hint="eastAsia" w:ascii="Times New Roman" w:hAnsi="Times New Roman" w:eastAsia="仿宋_GB2312" w:cs="仿宋_GB2312"/>
          <w:color w:val="auto"/>
          <w:sz w:val="32"/>
          <w:szCs w:val="32"/>
          <w:highlight w:val="none"/>
        </w:rPr>
      </w:pPr>
    </w:p>
    <w:p w14:paraId="76EFF103">
      <w:pPr>
        <w:rPr>
          <w:rFonts w:hint="eastAsia" w:ascii="Times New Roman" w:hAnsi="Times New Roman" w:eastAsia="仿宋_GB2312" w:cs="仿宋_GB2312"/>
          <w:color w:val="auto"/>
          <w:sz w:val="32"/>
          <w:szCs w:val="32"/>
          <w:highlight w:val="none"/>
        </w:rPr>
      </w:pPr>
    </w:p>
    <w:p w14:paraId="61254CA2">
      <w:pPr>
        <w:rPr>
          <w:rFonts w:hint="eastAsia" w:ascii="Times New Roman" w:hAnsi="Times New Roman" w:eastAsia="仿宋_GB2312" w:cs="仿宋_GB2312"/>
          <w:color w:val="auto"/>
          <w:sz w:val="32"/>
          <w:szCs w:val="32"/>
          <w:highlight w:val="none"/>
        </w:rPr>
      </w:pPr>
    </w:p>
    <w:p w14:paraId="13B5F24A">
      <w:pPr>
        <w:rPr>
          <w:rFonts w:hint="eastAsia" w:ascii="Times New Roman" w:hAnsi="Times New Roman" w:eastAsia="仿宋_GB2312" w:cs="仿宋_GB2312"/>
          <w:color w:val="auto"/>
          <w:sz w:val="32"/>
          <w:szCs w:val="32"/>
          <w:highlight w:val="none"/>
        </w:rPr>
      </w:pPr>
    </w:p>
    <w:p w14:paraId="06F81D0B">
      <w:pPr>
        <w:rPr>
          <w:rFonts w:hint="eastAsia" w:ascii="Times New Roman" w:hAnsi="Times New Roman" w:eastAsia="仿宋_GB2312" w:cs="仿宋_GB2312"/>
          <w:color w:val="auto"/>
          <w:sz w:val="32"/>
          <w:szCs w:val="32"/>
          <w:highlight w:val="none"/>
        </w:rPr>
      </w:pPr>
    </w:p>
    <w:p w14:paraId="4053BDF5">
      <w:pPr>
        <w:rPr>
          <w:rFonts w:hint="eastAsia" w:ascii="Times New Roman" w:hAnsi="Times New Roman" w:eastAsia="仿宋_GB2312" w:cs="仿宋_GB2312"/>
          <w:color w:val="auto"/>
          <w:sz w:val="32"/>
          <w:szCs w:val="32"/>
          <w:highlight w:val="none"/>
        </w:rPr>
      </w:pPr>
    </w:p>
    <w:p w14:paraId="43CD1436">
      <w:pPr>
        <w:rPr>
          <w:rFonts w:hint="eastAsia" w:ascii="Times New Roman" w:hAnsi="Times New Roman" w:eastAsia="仿宋_GB2312" w:cs="仿宋_GB2312"/>
          <w:color w:val="auto"/>
          <w:sz w:val="32"/>
          <w:szCs w:val="32"/>
          <w:highlight w:val="none"/>
        </w:rPr>
      </w:pPr>
    </w:p>
    <w:p w14:paraId="01075284">
      <w:pPr>
        <w:rPr>
          <w:rFonts w:ascii="Times New Roman" w:hAnsi="Times New Roman"/>
          <w:color w:val="auto"/>
          <w:highlight w:val="none"/>
        </w:rPr>
      </w:pPr>
    </w:p>
    <w:p w14:paraId="0CC19083">
      <w:pPr>
        <w:pStyle w:val="3"/>
        <w:jc w:val="center"/>
        <w:rPr>
          <w:rFonts w:hint="eastAsia" w:ascii="Times New Roman" w:hAnsi="Times New Roman" w:eastAsia="黑体" w:cs="黑体"/>
          <w:color w:val="auto"/>
          <w:sz w:val="32"/>
          <w:szCs w:val="32"/>
          <w:highlight w:val="none"/>
        </w:rPr>
      </w:pPr>
      <w:r>
        <w:rPr>
          <w:rFonts w:hint="eastAsia" w:ascii="Times New Roman" w:hAnsi="Times New Roman" w:eastAsia="方正小标宋简体" w:cs="方正小标宋简体"/>
          <w:b w:val="0"/>
          <w:color w:val="auto"/>
          <w:highlight w:val="none"/>
        </w:rPr>
        <w:t>第一部分 部门概况</w:t>
      </w:r>
    </w:p>
    <w:p w14:paraId="072E816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14:paraId="307F8DA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rPr>
      </w:pPr>
      <w:r>
        <w:rPr>
          <w:rFonts w:hint="eastAsia" w:ascii="Times New Roman" w:hAnsi="Times New Roman" w:eastAsia="仿宋_GB2312" w:cs="仿宋_GB2312"/>
          <w:color w:val="auto"/>
          <w:sz w:val="32"/>
          <w:szCs w:val="32"/>
          <w:highlight w:val="none"/>
        </w:rPr>
        <w:t>配置人力资源、促进充分就业；统筹城乡社会保险；协调劳动关系；就业专项资金和社会保险基金监管；职业技能培训；职称制度改革和事业单位人事制度改革；综合管理行政机关公务员、事业单位工作人员、机关工勤人员及教育培训、流动调配工作、参与人才管理工作；负责劳务开发及农民工工作；负责劳动人事争议仲裁、劳动关系、劳动监察执法工作；承担县委、县政府和上级业务部门交办的其它事项。</w:t>
      </w:r>
    </w:p>
    <w:p w14:paraId="0F4C6A49">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机构设置</w:t>
      </w:r>
    </w:p>
    <w:p w14:paraId="134154B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金川县人力资源和社会保障局为县政府工作部门，内设（副科）及事业单位1个，劳动人事争议仲裁院；（股级）事业单位2个，信息中心及劳动保障监察执法中队；内设股室6个，办公室、事业单位人员管理股、工资福利与退休管理股、社会保险管理股、劳动综合管理股、社会保险基金监督股。</w:t>
      </w:r>
    </w:p>
    <w:p w14:paraId="4C9498A8">
      <w:pPr>
        <w:pStyle w:val="3"/>
        <w:jc w:val="center"/>
        <w:rPr>
          <w:rFonts w:hint="eastAsia" w:ascii="Times New Roman" w:hAnsi="Times New Roman" w:eastAsia="方正小标宋简体" w:cs="方正小标宋简体"/>
          <w:b w:val="0"/>
          <w:color w:val="auto"/>
          <w:highlight w:val="none"/>
        </w:rPr>
      </w:pPr>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2024年度</w:t>
      </w:r>
      <w:r>
        <w:rPr>
          <w:rFonts w:hint="eastAsia" w:ascii="Times New Roman" w:hAnsi="Times New Roman" w:eastAsia="方正小标宋简体" w:cs="方正小标宋简体"/>
          <w:b w:val="0"/>
          <w:color w:val="auto"/>
          <w:highlight w:val="none"/>
        </w:rPr>
        <w:t>部门决算情况说明</w:t>
      </w:r>
    </w:p>
    <w:p w14:paraId="69F8E4A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14:paraId="247659FE">
      <w:pPr>
        <w:snapToGrid w:val="0"/>
        <w:spacing w:line="540" w:lineRule="exact"/>
        <w:ind w:firstLine="800" w:firstLineChars="250"/>
        <w:rPr>
          <w:rFonts w:ascii="仿宋_GB2312" w:hAnsi="仿宋" w:eastAsia="仿宋_GB2312" w:cs="仿宋_GB2312"/>
          <w:sz w:val="32"/>
          <w:szCs w:val="32"/>
        </w:rPr>
      </w:pPr>
      <w:r>
        <w:rPr>
          <w:rFonts w:hint="eastAsia" w:ascii="仿宋_GB2312" w:hAnsi="仿宋" w:eastAsia="仿宋_GB2312" w:cs="仿宋_GB2312"/>
          <w:sz w:val="32"/>
          <w:szCs w:val="32"/>
          <w:lang w:eastAsia="zh-CN"/>
        </w:rPr>
        <w:t>2024</w:t>
      </w:r>
      <w:r>
        <w:rPr>
          <w:rFonts w:hint="eastAsia" w:ascii="仿宋_GB2312" w:hAnsi="仿宋" w:eastAsia="仿宋_GB2312" w:cs="仿宋_GB2312"/>
          <w:color w:val="000000" w:themeColor="text1"/>
          <w:sz w:val="32"/>
          <w:szCs w:val="32"/>
          <w14:textFill>
            <w14:solidFill>
              <w14:schemeClr w14:val="tx1"/>
            </w14:solidFill>
          </w14:textFill>
        </w:rPr>
        <w:t>年总</w:t>
      </w:r>
      <w:r>
        <w:rPr>
          <w:rFonts w:hint="eastAsia" w:ascii="仿宋_GB2312" w:hAnsi="仿宋" w:eastAsia="仿宋_GB2312" w:cs="仿宋_GB2312"/>
          <w:sz w:val="32"/>
          <w:szCs w:val="32"/>
        </w:rPr>
        <w:t>收入合计</w:t>
      </w:r>
      <w:r>
        <w:rPr>
          <w:rFonts w:hint="eastAsia" w:ascii="仿宋_GB2312" w:hAnsi="仿宋" w:eastAsia="仿宋_GB2312" w:cs="仿宋_GB2312"/>
          <w:color w:val="FF0000"/>
          <w:sz w:val="32"/>
          <w:szCs w:val="32"/>
        </w:rPr>
        <w:t xml:space="preserve"> </w:t>
      </w:r>
      <w:r>
        <w:rPr>
          <w:rFonts w:hint="eastAsia" w:ascii="仿宋_GB2312" w:hAnsi="仿宋" w:eastAsia="仿宋_GB2312" w:cs="仿宋_GB2312"/>
          <w:color w:val="000000" w:themeColor="text1"/>
          <w:sz w:val="32"/>
          <w:szCs w:val="32"/>
          <w:lang w:val="en-US" w:eastAsia="zh-CN"/>
          <w14:textFill>
            <w14:solidFill>
              <w14:schemeClr w14:val="tx1"/>
            </w14:solidFill>
          </w14:textFill>
        </w:rPr>
        <w:t>515.06</w:t>
      </w:r>
      <w:r>
        <w:rPr>
          <w:rFonts w:hint="eastAsia" w:ascii="仿宋_GB2312" w:hAnsi="仿宋" w:eastAsia="仿宋_GB2312" w:cs="仿宋_GB2312"/>
          <w:sz w:val="32"/>
          <w:szCs w:val="32"/>
        </w:rPr>
        <w:t>万元。</w:t>
      </w:r>
      <w:r>
        <w:rPr>
          <w:rFonts w:hint="eastAsia" w:ascii="仿宋_GB2312" w:eastAsia="仿宋_GB2312"/>
          <w:color w:val="000000" w:themeColor="text1"/>
          <w:spacing w:val="-2"/>
          <w:sz w:val="32"/>
          <w:szCs w:val="32"/>
          <w14:textFill>
            <w14:solidFill>
              <w14:schemeClr w14:val="tx1"/>
            </w14:solidFill>
          </w14:textFill>
        </w:rPr>
        <w:t>较上年收入(</w:t>
      </w:r>
      <w:r>
        <w:rPr>
          <w:rFonts w:hint="eastAsia" w:ascii="仿宋" w:hAnsi="仿宋" w:eastAsia="仿宋" w:cs="仿宋"/>
          <w:color w:val="000000" w:themeColor="text1"/>
          <w:sz w:val="32"/>
          <w:szCs w:val="32"/>
          <w:lang w:val="en-US" w:eastAsia="zh-CN"/>
          <w14:textFill>
            <w14:solidFill>
              <w14:schemeClr w14:val="tx1"/>
            </w14:solidFill>
          </w14:textFill>
        </w:rPr>
        <w:t xml:space="preserve"> 535.47</w:t>
      </w:r>
      <w:r>
        <w:rPr>
          <w:rFonts w:hint="eastAsia" w:ascii="仿宋_GB2312" w:eastAsia="仿宋_GB2312"/>
          <w:color w:val="000000" w:themeColor="text1"/>
          <w:spacing w:val="-2"/>
          <w:sz w:val="32"/>
          <w:szCs w:val="32"/>
          <w14:textFill>
            <w14:solidFill>
              <w14:schemeClr w14:val="tx1"/>
            </w14:solidFill>
          </w14:textFill>
        </w:rPr>
        <w:t>万元)</w:t>
      </w:r>
      <w:r>
        <w:rPr>
          <w:rFonts w:hint="eastAsia" w:ascii="仿宋_GB2312" w:hAnsi="仿宋" w:eastAsia="仿宋_GB2312" w:cs="仿宋_GB2312"/>
          <w:sz w:val="32"/>
          <w:szCs w:val="32"/>
        </w:rPr>
        <w:t>减少</w:t>
      </w:r>
      <w:r>
        <w:rPr>
          <w:rFonts w:hint="eastAsia" w:ascii="仿宋_GB2312" w:hAnsi="仿宋" w:eastAsia="仿宋_GB2312" w:cs="仿宋_GB2312"/>
          <w:sz w:val="32"/>
          <w:szCs w:val="32"/>
          <w:lang w:val="en-US" w:eastAsia="zh-CN"/>
        </w:rPr>
        <w:t>20.41</w:t>
      </w:r>
      <w:r>
        <w:rPr>
          <w:rFonts w:hint="eastAsia" w:ascii="仿宋_GB2312" w:hAnsi="仿宋" w:eastAsia="仿宋_GB2312" w:cs="仿宋_GB2312"/>
          <w:sz w:val="32"/>
          <w:szCs w:val="32"/>
        </w:rPr>
        <w:t>万元，减少</w:t>
      </w:r>
      <w:r>
        <w:rPr>
          <w:rFonts w:hint="eastAsia" w:ascii="仿宋" w:hAnsi="仿宋" w:eastAsia="仿宋" w:cs="仿宋"/>
          <w:color w:val="000000" w:themeColor="text1"/>
          <w:sz w:val="32"/>
          <w:szCs w:val="32"/>
          <w:lang w:val="en-US" w:eastAsia="zh-CN"/>
          <w14:textFill>
            <w14:solidFill>
              <w14:schemeClr w14:val="tx1"/>
            </w14:solidFill>
          </w14:textFill>
        </w:rPr>
        <w:t>3.81%</w:t>
      </w:r>
      <w:r>
        <w:rPr>
          <w:rFonts w:hint="eastAsia" w:ascii="仿宋_GB2312" w:hAnsi="仿宋" w:eastAsia="仿宋_GB2312" w:cs="仿宋_GB2312"/>
          <w:sz w:val="32"/>
          <w:szCs w:val="32"/>
        </w:rPr>
        <w:t>。减少的主要原因是:</w:t>
      </w:r>
      <w:r>
        <w:rPr>
          <w:rFonts w:hint="eastAsia" w:ascii="仿宋_GB2312" w:hAnsi="仿宋" w:eastAsia="仿宋_GB2312" w:cs="仿宋_GB2312"/>
          <w:sz w:val="32"/>
          <w:szCs w:val="32"/>
          <w:lang w:val="en-US" w:eastAsia="zh-CN"/>
        </w:rPr>
        <w:t>2024年9月三名人员调出</w:t>
      </w:r>
      <w:r>
        <w:rPr>
          <w:rFonts w:hint="eastAsia" w:ascii="仿宋_GB2312" w:hAnsi="仿宋" w:eastAsia="仿宋_GB2312" w:cs="仿宋_GB2312"/>
          <w:sz w:val="32"/>
          <w:szCs w:val="32"/>
        </w:rPr>
        <w:t>。</w:t>
      </w:r>
    </w:p>
    <w:p w14:paraId="0AE99E4B">
      <w:pPr>
        <w:rPr>
          <w:rFonts w:hint="eastAsia"/>
        </w:rPr>
      </w:pPr>
      <w:r>
        <w:rPr>
          <w:rFonts w:hint="eastAsia" w:ascii="仿宋_GB2312" w:hAnsi="仿宋" w:eastAsia="仿宋_GB2312" w:cs="仿宋_GB2312"/>
          <w:sz w:val="32"/>
          <w:szCs w:val="32"/>
          <w:lang w:eastAsia="zh-CN"/>
        </w:rPr>
        <w:t>2024</w:t>
      </w:r>
      <w:r>
        <w:rPr>
          <w:rFonts w:hint="eastAsia" w:ascii="仿宋_GB2312" w:hAnsi="仿宋" w:eastAsia="仿宋_GB2312" w:cs="仿宋_GB2312"/>
          <w:sz w:val="32"/>
          <w:szCs w:val="32"/>
        </w:rPr>
        <w:t>年总支出合计</w:t>
      </w:r>
      <w:r>
        <w:rPr>
          <w:rFonts w:hint="eastAsia" w:ascii="仿宋_GB2312" w:hAnsi="仿宋" w:eastAsia="仿宋_GB2312" w:cs="仿宋_GB2312"/>
          <w:color w:val="FF0000"/>
          <w:sz w:val="32"/>
          <w:szCs w:val="32"/>
        </w:rPr>
        <w:t xml:space="preserve"> </w:t>
      </w:r>
      <w:r>
        <w:rPr>
          <w:rFonts w:hint="eastAsia" w:ascii="仿宋_GB2312" w:hAnsi="仿宋" w:eastAsia="仿宋_GB2312" w:cs="仿宋_GB2312"/>
          <w:color w:val="000000" w:themeColor="text1"/>
          <w:sz w:val="32"/>
          <w:szCs w:val="32"/>
          <w:lang w:val="en-US" w:eastAsia="zh-CN"/>
          <w14:textFill>
            <w14:solidFill>
              <w14:schemeClr w14:val="tx1"/>
            </w14:solidFill>
          </w14:textFill>
        </w:rPr>
        <w:t>515.06</w:t>
      </w:r>
      <w:r>
        <w:rPr>
          <w:rFonts w:hint="eastAsia" w:ascii="仿宋_GB2312" w:hAnsi="仿宋" w:eastAsia="仿宋_GB2312" w:cs="仿宋_GB2312"/>
          <w:sz w:val="32"/>
          <w:szCs w:val="32"/>
        </w:rPr>
        <w:t>万元 。较上年支出（</w:t>
      </w:r>
      <w:r>
        <w:rPr>
          <w:rFonts w:hint="eastAsia" w:ascii="仿宋" w:hAnsi="仿宋" w:eastAsia="仿宋" w:cs="仿宋"/>
          <w:color w:val="000000" w:themeColor="text1"/>
          <w:sz w:val="32"/>
          <w:szCs w:val="32"/>
          <w:lang w:val="en-US" w:eastAsia="zh-CN"/>
          <w14:textFill>
            <w14:solidFill>
              <w14:schemeClr w14:val="tx1"/>
            </w14:solidFill>
          </w14:textFill>
        </w:rPr>
        <w:t>535.47</w:t>
      </w:r>
      <w:r>
        <w:rPr>
          <w:rFonts w:hint="eastAsia" w:ascii="仿宋_GB2312" w:hAnsi="仿宋" w:eastAsia="仿宋_GB2312" w:cs="仿宋_GB2312"/>
          <w:sz w:val="32"/>
          <w:szCs w:val="32"/>
        </w:rPr>
        <w:t>万元）减少</w:t>
      </w:r>
      <w:r>
        <w:rPr>
          <w:rFonts w:hint="eastAsia" w:ascii="仿宋_GB2312" w:hAnsi="仿宋" w:eastAsia="仿宋_GB2312" w:cs="仿宋_GB2312"/>
          <w:sz w:val="32"/>
          <w:szCs w:val="32"/>
          <w:lang w:val="en-US" w:eastAsia="zh-CN"/>
        </w:rPr>
        <w:t>20.41</w:t>
      </w:r>
      <w:r>
        <w:rPr>
          <w:rFonts w:hint="eastAsia" w:ascii="仿宋_GB2312" w:hAnsi="仿宋" w:eastAsia="仿宋_GB2312" w:cs="仿宋_GB2312"/>
          <w:sz w:val="32"/>
          <w:szCs w:val="32"/>
        </w:rPr>
        <w:t>万元，减少</w:t>
      </w:r>
      <w:r>
        <w:rPr>
          <w:rFonts w:hint="eastAsia" w:ascii="仿宋" w:hAnsi="仿宋" w:eastAsia="仿宋" w:cs="仿宋"/>
          <w:color w:val="000000" w:themeColor="text1"/>
          <w:sz w:val="32"/>
          <w:szCs w:val="32"/>
          <w:lang w:val="en-US" w:eastAsia="zh-CN"/>
          <w14:textFill>
            <w14:solidFill>
              <w14:schemeClr w14:val="tx1"/>
            </w14:solidFill>
          </w14:textFill>
        </w:rPr>
        <w:t>3.81%</w:t>
      </w:r>
      <w:r>
        <w:rPr>
          <w:rFonts w:hint="eastAsia" w:ascii="仿宋_GB2312" w:hAnsi="仿宋" w:eastAsia="仿宋_GB2312" w:cs="仿宋_GB2312"/>
          <w:sz w:val="32"/>
          <w:szCs w:val="32"/>
        </w:rPr>
        <w:t>。减少的主要原因是:</w:t>
      </w:r>
      <w:r>
        <w:rPr>
          <w:rFonts w:hint="eastAsia" w:ascii="仿宋_GB2312" w:hAnsi="仿宋" w:eastAsia="仿宋_GB2312" w:cs="仿宋_GB2312"/>
          <w:sz w:val="32"/>
          <w:szCs w:val="32"/>
          <w:lang w:val="en-US" w:eastAsia="zh-CN"/>
        </w:rPr>
        <w:t>2024年9月三名人员调出</w:t>
      </w:r>
      <w:r>
        <w:rPr>
          <w:rFonts w:hint="eastAsia" w:ascii="仿宋_GB2312" w:hAnsi="仿宋" w:eastAsia="仿宋_GB2312" w:cs="仿宋_GB2312"/>
          <w:sz w:val="32"/>
          <w:szCs w:val="32"/>
        </w:rPr>
        <w:t>。</w:t>
      </w:r>
    </w:p>
    <w:p w14:paraId="72D918AF">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630" w:left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二</w:t>
      </w:r>
      <w:r>
        <w:rPr>
          <w:rFonts w:hint="eastAsia" w:ascii="Times New Roman" w:hAnsi="Times New Roman" w:eastAsia="仿宋_GB2312" w:cs="仿宋_GB2312"/>
          <w:color w:val="auto"/>
          <w:sz w:val="32"/>
          <w:szCs w:val="32"/>
          <w:highlight w:val="none"/>
        </w:rPr>
        <w:t>、收入决算情况说明</w:t>
      </w:r>
    </w:p>
    <w:p w14:paraId="742CC78E">
      <w:pPr>
        <w:numPr>
          <w:ilvl w:val="0"/>
          <w:numId w:val="0"/>
        </w:numPr>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eastAsia="zh-CN"/>
        </w:rPr>
        <w:t>2024</w:t>
      </w:r>
      <w:r>
        <w:rPr>
          <w:rFonts w:hint="eastAsia" w:ascii="仿宋_GB2312" w:hAnsi="仿宋" w:eastAsia="仿宋_GB2312" w:cs="仿宋_GB2312"/>
          <w:sz w:val="32"/>
          <w:szCs w:val="32"/>
        </w:rPr>
        <w:t>年总收入合计</w:t>
      </w:r>
      <w:r>
        <w:rPr>
          <w:rFonts w:hint="eastAsia" w:ascii="仿宋_GB2312" w:hAnsi="仿宋" w:eastAsia="仿宋_GB2312" w:cs="仿宋_GB2312"/>
          <w:color w:val="000000" w:themeColor="text1"/>
          <w:sz w:val="32"/>
          <w:szCs w:val="32"/>
          <w:lang w:val="en-US" w:eastAsia="zh-CN"/>
          <w14:textFill>
            <w14:solidFill>
              <w14:schemeClr w14:val="tx1"/>
            </w14:solidFill>
          </w14:textFill>
        </w:rPr>
        <w:t>515.06</w:t>
      </w:r>
      <w:r>
        <w:rPr>
          <w:rFonts w:hint="eastAsia" w:ascii="仿宋_GB2312" w:hAnsi="仿宋" w:eastAsia="仿宋_GB2312" w:cs="仿宋_GB2312"/>
          <w:sz w:val="32"/>
          <w:szCs w:val="32"/>
        </w:rPr>
        <w:t>万元。其中：一般公共预算财政拨款收入</w:t>
      </w:r>
      <w:r>
        <w:rPr>
          <w:rFonts w:hint="eastAsia" w:ascii="仿宋_GB2312" w:hAnsi="仿宋" w:eastAsia="仿宋_GB2312" w:cs="仿宋_GB2312"/>
          <w:color w:val="000000" w:themeColor="text1"/>
          <w:sz w:val="32"/>
          <w:szCs w:val="32"/>
          <w:lang w:val="en-US" w:eastAsia="zh-CN"/>
          <w14:textFill>
            <w14:solidFill>
              <w14:schemeClr w14:val="tx1"/>
            </w14:solidFill>
          </w14:textFill>
        </w:rPr>
        <w:t>515.06</w:t>
      </w:r>
      <w:r>
        <w:rPr>
          <w:rFonts w:hint="eastAsia" w:ascii="仿宋_GB2312" w:hAnsi="仿宋" w:eastAsia="仿宋_GB2312" w:cs="仿宋_GB2312"/>
          <w:sz w:val="32"/>
          <w:szCs w:val="32"/>
        </w:rPr>
        <w:t>万元，占100%；政府性基金预算财政拨款收入0元，占0%；国有资本经营预算财政拨款收入0万元，占0%；上级补助收入0万元，占0%；事业收入0万元，占0%；经营收入0万元，占0%；附属单位上缴收入0万元，占0%；其他收入0万元，占0%。</w:t>
      </w:r>
    </w:p>
    <w:p w14:paraId="6DFB8EDF">
      <w:pPr>
        <w:numPr>
          <w:ilvl w:val="0"/>
          <w:numId w:val="0"/>
        </w:numPr>
        <w:rPr>
          <w:rFonts w:hint="eastAsia" w:ascii="仿宋_GB2312" w:hAnsi="仿宋" w:eastAsia="仿宋_GB2312" w:cs="仿宋_GB2312"/>
          <w:sz w:val="32"/>
          <w:szCs w:val="32"/>
          <w:lang w:val="en-US" w:eastAsia="zh-CN"/>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43815</wp:posOffset>
            </wp:positionH>
            <wp:positionV relativeFrom="paragraph">
              <wp:posOffset>146685</wp:posOffset>
            </wp:positionV>
            <wp:extent cx="5373370" cy="2648585"/>
            <wp:effectExtent l="4445" t="4445" r="13335" b="1397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1EDC5CB0">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支出决算情况说明</w:t>
      </w:r>
    </w:p>
    <w:p w14:paraId="0F261AFD">
      <w:pPr>
        <w:numPr>
          <w:ilvl w:val="0"/>
          <w:numId w:val="0"/>
        </w:numPr>
        <w:ind w:left="630" w:leftChars="0"/>
        <w:rPr>
          <w:rFonts w:hint="eastAsia" w:ascii="仿宋_GB2312" w:eastAsia="仿宋_GB2312"/>
          <w:color w:val="000000" w:themeColor="text1"/>
          <w:sz w:val="32"/>
          <w:szCs w:val="32"/>
          <w14:textFill>
            <w14:solidFill>
              <w14:schemeClr w14:val="tx1"/>
            </w14:solidFill>
          </w14:textFill>
        </w:rPr>
      </w:pPr>
      <w:r>
        <w:rPr>
          <w:rFonts w:hint="eastAsia" w:ascii="仿宋_GB2312" w:hAnsi="仿宋" w:eastAsia="仿宋_GB2312" w:cs="仿宋_GB2312"/>
          <w:sz w:val="32"/>
          <w:szCs w:val="32"/>
          <w:lang w:eastAsia="zh-CN"/>
        </w:rPr>
        <w:t>2024</w:t>
      </w:r>
      <w:r>
        <w:rPr>
          <w:rFonts w:hint="eastAsia" w:ascii="仿宋_GB2312" w:hAnsi="仿宋" w:eastAsia="仿宋_GB2312" w:cs="仿宋_GB2312"/>
          <w:sz w:val="32"/>
          <w:szCs w:val="32"/>
        </w:rPr>
        <w:t>年总支出合计</w:t>
      </w:r>
      <w:r>
        <w:rPr>
          <w:rFonts w:hint="eastAsia" w:ascii="仿宋_GB2312" w:hAnsi="仿宋" w:eastAsia="仿宋_GB2312" w:cs="仿宋_GB2312"/>
          <w:color w:val="000000" w:themeColor="text1"/>
          <w:sz w:val="32"/>
          <w:szCs w:val="32"/>
          <w:lang w:val="en-US" w:eastAsia="zh-CN"/>
          <w14:textFill>
            <w14:solidFill>
              <w14:schemeClr w14:val="tx1"/>
            </w14:solidFill>
          </w14:textFill>
        </w:rPr>
        <w:t>515.06</w:t>
      </w:r>
      <w:r>
        <w:rPr>
          <w:rFonts w:hint="eastAsia" w:ascii="仿宋_GB2312" w:hAnsi="仿宋" w:eastAsia="仿宋_GB2312" w:cs="仿宋_GB2312"/>
          <w:sz w:val="32"/>
          <w:szCs w:val="32"/>
        </w:rPr>
        <w:t>万元 。其中基本支出</w:t>
      </w:r>
      <w:r>
        <w:rPr>
          <w:rFonts w:hint="eastAsia" w:ascii="仿宋_GB2312" w:hAnsi="仿宋" w:eastAsia="仿宋_GB2312" w:cs="仿宋_GB2312"/>
          <w:sz w:val="32"/>
          <w:szCs w:val="32"/>
          <w:lang w:val="en-US" w:eastAsia="zh-CN"/>
        </w:rPr>
        <w:t>442.26</w:t>
      </w:r>
      <w:r>
        <w:rPr>
          <w:rFonts w:hint="eastAsia" w:ascii="仿宋_GB2312" w:hAnsi="仿宋" w:eastAsia="仿宋_GB2312" w:cs="仿宋_GB2312"/>
          <w:sz w:val="32"/>
          <w:szCs w:val="32"/>
        </w:rPr>
        <w:t>万元，占</w:t>
      </w:r>
      <w:r>
        <w:rPr>
          <w:rFonts w:hint="eastAsia" w:ascii="仿宋" w:hAnsi="仿宋" w:eastAsia="仿宋" w:cs="仿宋"/>
          <w:color w:val="000000" w:themeColor="text1"/>
          <w:sz w:val="32"/>
          <w:szCs w:val="32"/>
          <w:lang w:val="en-US" w:eastAsia="zh-CN"/>
          <w14:textFill>
            <w14:solidFill>
              <w14:schemeClr w14:val="tx1"/>
            </w14:solidFill>
          </w14:textFill>
        </w:rPr>
        <w:t>85.87%</w:t>
      </w:r>
      <w:r>
        <w:rPr>
          <w:rFonts w:hint="eastAsia" w:ascii="仿宋_GB2312" w:hAnsi="仿宋" w:eastAsia="仿宋_GB2312" w:cs="仿宋_GB2312"/>
          <w:sz w:val="32"/>
          <w:szCs w:val="32"/>
        </w:rPr>
        <w:t>，项目支出</w:t>
      </w:r>
      <w:r>
        <w:rPr>
          <w:rFonts w:hint="eastAsia" w:ascii="仿宋" w:hAnsi="仿宋" w:eastAsia="仿宋" w:cs="仿宋"/>
          <w:color w:val="000000" w:themeColor="text1"/>
          <w:sz w:val="32"/>
          <w:szCs w:val="32"/>
          <w:lang w:val="en-US" w:eastAsia="zh-CN"/>
          <w14:textFill>
            <w14:solidFill>
              <w14:schemeClr w14:val="tx1"/>
            </w14:solidFill>
          </w14:textFill>
        </w:rPr>
        <w:t>72.80</w:t>
      </w:r>
      <w:r>
        <w:rPr>
          <w:rFonts w:hint="eastAsia" w:ascii="仿宋_GB2312" w:hAnsi="仿宋" w:eastAsia="仿宋_GB2312" w:cs="仿宋_GB2312"/>
          <w:sz w:val="32"/>
          <w:szCs w:val="32"/>
        </w:rPr>
        <w:t>万元，占</w:t>
      </w:r>
      <w:r>
        <w:rPr>
          <w:rFonts w:hint="eastAsia" w:ascii="仿宋_GB2312" w:hAnsi="仿宋" w:eastAsia="仿宋_GB2312" w:cs="仿宋_GB2312"/>
          <w:sz w:val="32"/>
          <w:szCs w:val="32"/>
          <w:lang w:val="en-US" w:eastAsia="zh-CN"/>
        </w:rPr>
        <w:t>14.13</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_GB2312" w:hAnsi="仿宋" w:eastAsia="仿宋_GB2312" w:cs="仿宋_GB2312"/>
          <w:sz w:val="32"/>
          <w:szCs w:val="32"/>
        </w:rPr>
        <w:t>。</w:t>
      </w:r>
      <w:r>
        <w:rPr>
          <w:rFonts w:hint="eastAsia" w:ascii="仿宋_GB2312" w:eastAsia="仿宋_GB2312"/>
          <w:color w:val="000000" w:themeColor="text1"/>
          <w:sz w:val="32"/>
          <w:szCs w:val="32"/>
          <w14:textFill>
            <w14:solidFill>
              <w14:schemeClr w14:val="tx1"/>
            </w14:solidFill>
          </w14:textFill>
        </w:rPr>
        <w:t>上缴上级支出0万元，占0</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；经营支出0万元，占0</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；对附属单位补助支出0万元，占0</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p>
    <w:p w14:paraId="7EC0CE11">
      <w:pPr>
        <w:numPr>
          <w:ilvl w:val="0"/>
          <w:numId w:val="0"/>
        </w:numPr>
        <w:ind w:left="630" w:leftChars="0"/>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367030</wp:posOffset>
            </wp:positionH>
            <wp:positionV relativeFrom="paragraph">
              <wp:posOffset>253365</wp:posOffset>
            </wp:positionV>
            <wp:extent cx="5061585" cy="1984375"/>
            <wp:effectExtent l="4445" t="4445" r="20320" b="1143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4ABFA3E">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财政拨款收入支出决算总体情况说明</w:t>
      </w:r>
    </w:p>
    <w:p w14:paraId="63D091FD">
      <w:pPr>
        <w:snapToGrid w:val="0"/>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2024</w:t>
      </w:r>
      <w:r>
        <w:rPr>
          <w:rFonts w:hint="eastAsia" w:ascii="仿宋_GB2312" w:hAnsi="仿宋" w:eastAsia="仿宋_GB2312" w:cs="仿宋_GB2312"/>
          <w:sz w:val="32"/>
          <w:szCs w:val="32"/>
        </w:rPr>
        <w:t>年财政拨款收入合计</w:t>
      </w:r>
      <w:r>
        <w:rPr>
          <w:rFonts w:hint="eastAsia" w:ascii="仿宋_GB2312" w:hAnsi="仿宋" w:eastAsia="仿宋_GB2312" w:cs="仿宋_GB2312"/>
          <w:sz w:val="32"/>
          <w:szCs w:val="32"/>
          <w:lang w:val="en-US" w:eastAsia="zh-CN"/>
        </w:rPr>
        <w:t>515.06</w:t>
      </w:r>
      <w:r>
        <w:rPr>
          <w:rFonts w:hint="eastAsia" w:ascii="仿宋_GB2312" w:hAnsi="仿宋" w:eastAsia="仿宋_GB2312" w:cs="仿宋_GB2312"/>
          <w:sz w:val="32"/>
          <w:szCs w:val="32"/>
        </w:rPr>
        <w:t>万元。与202</w:t>
      </w:r>
      <w:r>
        <w:rPr>
          <w:rFonts w:hint="eastAsia" w:ascii="仿宋_GB2312" w:hAnsi="仿宋" w:eastAsia="仿宋_GB2312" w:cs="仿宋_GB2312"/>
          <w:sz w:val="32"/>
          <w:szCs w:val="32"/>
          <w:lang w:val="en-US" w:eastAsia="zh-CN"/>
        </w:rPr>
        <w:t>3</w:t>
      </w:r>
      <w:r>
        <w:rPr>
          <w:rFonts w:hint="eastAsia" w:ascii="仿宋_GB2312" w:hAnsi="仿宋" w:eastAsia="仿宋_GB2312" w:cs="仿宋_GB2312"/>
          <w:sz w:val="32"/>
          <w:szCs w:val="32"/>
        </w:rPr>
        <w:t>年（</w:t>
      </w:r>
      <w:r>
        <w:rPr>
          <w:rFonts w:hint="eastAsia" w:ascii="仿宋" w:hAnsi="仿宋" w:eastAsia="仿宋" w:cs="仿宋"/>
          <w:sz w:val="32"/>
          <w:szCs w:val="32"/>
          <w:lang w:val="en-US" w:eastAsia="zh-CN"/>
        </w:rPr>
        <w:t>535.47</w:t>
      </w:r>
      <w:r>
        <w:rPr>
          <w:rFonts w:hint="eastAsia" w:ascii="仿宋_GB2312" w:hAnsi="仿宋" w:eastAsia="仿宋_GB2312" w:cs="仿宋_GB2312"/>
          <w:sz w:val="32"/>
          <w:szCs w:val="32"/>
        </w:rPr>
        <w:t>万元）相比，财政拨款收入减少</w:t>
      </w:r>
      <w:r>
        <w:rPr>
          <w:rFonts w:hint="eastAsia" w:ascii="仿宋" w:hAnsi="仿宋" w:eastAsia="仿宋" w:cs="仿宋"/>
          <w:sz w:val="32"/>
          <w:szCs w:val="32"/>
          <w:lang w:val="en-US" w:eastAsia="zh-CN"/>
        </w:rPr>
        <w:t>3.81%</w:t>
      </w:r>
      <w:r>
        <w:rPr>
          <w:rFonts w:hint="eastAsia" w:ascii="仿宋_GB2312" w:hAnsi="仿宋" w:eastAsia="仿宋_GB2312" w:cs="仿宋_GB2312"/>
          <w:sz w:val="32"/>
          <w:szCs w:val="32"/>
        </w:rPr>
        <w:t>。减少的主要原因是:</w:t>
      </w:r>
      <w:r>
        <w:rPr>
          <w:rFonts w:hint="eastAsia" w:ascii="仿宋_GB2312" w:hAnsi="仿宋" w:eastAsia="仿宋_GB2312" w:cs="仿宋_GB2312"/>
          <w:sz w:val="32"/>
          <w:szCs w:val="32"/>
          <w:lang w:val="en-US" w:eastAsia="zh-CN"/>
        </w:rPr>
        <w:t>2024年9月三名人员调出</w:t>
      </w:r>
      <w:r>
        <w:rPr>
          <w:rFonts w:hint="eastAsia" w:ascii="仿宋_GB2312" w:hAnsi="仿宋" w:eastAsia="仿宋_GB2312" w:cs="仿宋_GB2312"/>
          <w:sz w:val="32"/>
          <w:szCs w:val="32"/>
        </w:rPr>
        <w:t>。</w:t>
      </w:r>
    </w:p>
    <w:p w14:paraId="7E99199A">
      <w:pPr>
        <w:snapToGrid w:val="0"/>
        <w:spacing w:line="540" w:lineRule="exact"/>
        <w:ind w:firstLine="800" w:firstLineChars="250"/>
        <w:rPr>
          <w:rFonts w:hint="eastAsia" w:ascii="仿宋_GB2312" w:hAnsi="仿宋" w:eastAsia="仿宋_GB2312" w:cs="仿宋_GB2312"/>
          <w:sz w:val="32"/>
          <w:szCs w:val="32"/>
          <w:lang w:eastAsia="zh-CN"/>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68580</wp:posOffset>
            </wp:positionH>
            <wp:positionV relativeFrom="paragraph">
              <wp:posOffset>871220</wp:posOffset>
            </wp:positionV>
            <wp:extent cx="5090160" cy="2953385"/>
            <wp:effectExtent l="4445" t="4445" r="10795" b="1397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 w:eastAsia="仿宋_GB2312" w:cs="仿宋_GB2312"/>
          <w:sz w:val="32"/>
          <w:szCs w:val="32"/>
          <w:lang w:eastAsia="zh-CN"/>
        </w:rPr>
        <w:t>2024年财政拨款支出合计</w:t>
      </w:r>
      <w:r>
        <w:rPr>
          <w:rFonts w:hint="eastAsia" w:ascii="仿宋_GB2312" w:hAnsi="仿宋" w:eastAsia="仿宋_GB2312" w:cs="仿宋_GB2312"/>
          <w:sz w:val="32"/>
          <w:szCs w:val="32"/>
          <w:lang w:val="en-US" w:eastAsia="zh-CN"/>
        </w:rPr>
        <w:t>515.06</w:t>
      </w:r>
      <w:r>
        <w:rPr>
          <w:rFonts w:hint="eastAsia" w:ascii="仿宋_GB2312" w:hAnsi="仿宋" w:eastAsia="仿宋_GB2312" w:cs="仿宋_GB2312"/>
          <w:sz w:val="32"/>
          <w:szCs w:val="32"/>
          <w:lang w:eastAsia="zh-CN"/>
        </w:rPr>
        <w:t>万元 。较上年支出减少</w:t>
      </w:r>
      <w:r>
        <w:rPr>
          <w:rFonts w:hint="eastAsia" w:ascii="仿宋_GB2312" w:hAnsi="仿宋" w:eastAsia="仿宋_GB2312" w:cs="仿宋_GB2312"/>
          <w:sz w:val="32"/>
          <w:szCs w:val="32"/>
          <w:lang w:val="en-US" w:eastAsia="zh-CN"/>
        </w:rPr>
        <w:t>20.41</w:t>
      </w:r>
      <w:r>
        <w:rPr>
          <w:rFonts w:hint="eastAsia" w:ascii="仿宋_GB2312" w:hAnsi="仿宋" w:eastAsia="仿宋_GB2312" w:cs="仿宋_GB2312"/>
          <w:sz w:val="32"/>
          <w:szCs w:val="32"/>
          <w:lang w:eastAsia="zh-CN"/>
        </w:rPr>
        <w:t>万元，减少</w:t>
      </w:r>
      <w:r>
        <w:rPr>
          <w:rFonts w:hint="eastAsia" w:ascii="仿宋_GB2312" w:hAnsi="仿宋" w:eastAsia="仿宋_GB2312" w:cs="仿宋_GB2312"/>
          <w:sz w:val="32"/>
          <w:szCs w:val="32"/>
          <w:lang w:val="en-US" w:eastAsia="zh-CN"/>
        </w:rPr>
        <w:t>3.81%</w:t>
      </w:r>
      <w:r>
        <w:rPr>
          <w:rFonts w:hint="eastAsia" w:ascii="仿宋_GB2312" w:hAnsi="仿宋" w:eastAsia="仿宋_GB2312" w:cs="仿宋_GB2312"/>
          <w:sz w:val="32"/>
          <w:szCs w:val="32"/>
          <w:lang w:eastAsia="zh-CN"/>
        </w:rPr>
        <w:t>。</w:t>
      </w:r>
    </w:p>
    <w:p w14:paraId="7FC42F9B">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一般公共预算财政拨款支出决算情况说明</w:t>
      </w:r>
    </w:p>
    <w:p w14:paraId="241EC96D">
      <w:pPr>
        <w:spacing w:line="600" w:lineRule="exact"/>
        <w:ind w:firstLine="640" w:firstLineChars="200"/>
        <w:outlineLvl w:val="2"/>
        <w:rPr>
          <w:rFonts w:ascii="仿宋" w:eastAsia="仿宋"/>
          <w:b/>
          <w:color w:val="000000"/>
          <w:sz w:val="32"/>
          <w:szCs w:val="32"/>
        </w:rPr>
      </w:pPr>
      <w:r>
        <w:rPr>
          <w:rFonts w:hint="eastAsia" w:ascii="仿宋" w:eastAsia="仿宋"/>
          <w:b w:val="0"/>
          <w:bCs/>
          <w:color w:val="000000"/>
          <w:sz w:val="32"/>
          <w:szCs w:val="32"/>
        </w:rPr>
        <w:t>（一）一般公共预算财政拨款支出决算总体情况</w:t>
      </w:r>
    </w:p>
    <w:p w14:paraId="6E015BEF">
      <w:pPr>
        <w:snapToGrid w:val="0"/>
        <w:spacing w:line="54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lang w:eastAsia="zh-CN"/>
        </w:rPr>
        <w:t>2024</w:t>
      </w:r>
      <w:r>
        <w:rPr>
          <w:rFonts w:hint="eastAsia" w:ascii="仿宋_GB2312" w:hAnsi="仿宋" w:eastAsia="仿宋_GB2312" w:cs="仿宋_GB2312"/>
          <w:sz w:val="32"/>
          <w:szCs w:val="32"/>
        </w:rPr>
        <w:t>年一般公共预算财政拨款支出</w:t>
      </w:r>
      <w:r>
        <w:rPr>
          <w:rFonts w:hint="eastAsia" w:ascii="仿宋_GB2312" w:eastAsia="仿宋_GB2312"/>
          <w:sz w:val="32"/>
          <w:szCs w:val="32"/>
          <w:lang w:val="en-US" w:eastAsia="zh-CN"/>
        </w:rPr>
        <w:t>515.06</w:t>
      </w:r>
      <w:r>
        <w:rPr>
          <w:rFonts w:hint="eastAsia" w:ascii="仿宋_GB2312" w:eastAsia="仿宋_GB2312"/>
          <w:sz w:val="32"/>
          <w:szCs w:val="32"/>
        </w:rPr>
        <w:t>万元，占本年支出合计的</w:t>
      </w:r>
      <w:r>
        <w:rPr>
          <w:rFonts w:hint="eastAsia" w:ascii="仿宋" w:hAnsi="仿宋" w:eastAsia="仿宋" w:cs="仿宋"/>
          <w:sz w:val="32"/>
          <w:szCs w:val="32"/>
          <w:lang w:val="en-US" w:eastAsia="zh-CN"/>
        </w:rPr>
        <w:t>100%</w:t>
      </w:r>
      <w:r>
        <w:rPr>
          <w:rFonts w:hint="eastAsia" w:ascii="仿宋_GB2312" w:eastAsia="仿宋_GB2312"/>
          <w:sz w:val="32"/>
          <w:szCs w:val="32"/>
        </w:rPr>
        <w:t>。</w:t>
      </w:r>
      <w:r>
        <w:rPr>
          <w:rFonts w:hint="eastAsia" w:ascii="仿宋_GB2312" w:hAnsi="仿宋" w:eastAsia="仿宋_GB2312" w:cs="仿宋_GB2312"/>
          <w:sz w:val="32"/>
          <w:szCs w:val="32"/>
        </w:rPr>
        <w:t>与202</w:t>
      </w:r>
      <w:r>
        <w:rPr>
          <w:rFonts w:hint="eastAsia" w:ascii="仿宋_GB2312" w:hAnsi="仿宋" w:eastAsia="仿宋_GB2312" w:cs="仿宋_GB2312"/>
          <w:sz w:val="32"/>
          <w:szCs w:val="32"/>
          <w:lang w:val="en-US" w:eastAsia="zh-CN"/>
        </w:rPr>
        <w:t>3</w:t>
      </w:r>
      <w:r>
        <w:rPr>
          <w:rFonts w:hint="eastAsia" w:ascii="仿宋_GB2312" w:hAnsi="仿宋" w:eastAsia="仿宋_GB2312" w:cs="仿宋_GB2312"/>
          <w:sz w:val="32"/>
          <w:szCs w:val="32"/>
        </w:rPr>
        <w:t>年相比，一般公共预算财政拨款支出减少</w:t>
      </w:r>
      <w:r>
        <w:rPr>
          <w:rFonts w:hint="eastAsia" w:ascii="仿宋" w:hAnsi="仿宋" w:eastAsia="仿宋" w:cs="仿宋"/>
          <w:sz w:val="32"/>
          <w:szCs w:val="32"/>
          <w:lang w:val="en-US" w:eastAsia="zh-CN"/>
        </w:rPr>
        <w:t>3.81%</w:t>
      </w:r>
      <w:r>
        <w:rPr>
          <w:rFonts w:hint="eastAsia" w:ascii="仿宋_GB2312" w:hAnsi="仿宋" w:eastAsia="仿宋_GB2312" w:cs="仿宋_GB2312"/>
          <w:sz w:val="32"/>
          <w:szCs w:val="32"/>
        </w:rPr>
        <w:t>。减少的主要原因是:</w:t>
      </w:r>
      <w:r>
        <w:rPr>
          <w:rFonts w:hint="eastAsia" w:ascii="仿宋_GB2312" w:hAnsi="仿宋" w:eastAsia="仿宋_GB2312" w:cs="仿宋_GB2312"/>
          <w:sz w:val="32"/>
          <w:szCs w:val="32"/>
          <w:lang w:val="en-US" w:eastAsia="zh-CN"/>
        </w:rPr>
        <w:t>2024年9月三名人员调出</w:t>
      </w:r>
      <w:r>
        <w:rPr>
          <w:rFonts w:hint="eastAsia" w:ascii="仿宋_GB2312" w:hAnsi="仿宋" w:eastAsia="仿宋_GB2312" w:cs="仿宋_GB2312"/>
          <w:sz w:val="32"/>
          <w:szCs w:val="32"/>
        </w:rPr>
        <w:t>。</w:t>
      </w:r>
    </w:p>
    <w:p w14:paraId="1D5FE0ED">
      <w:pPr>
        <w:snapToGrid w:val="0"/>
        <w:spacing w:line="540" w:lineRule="exact"/>
        <w:ind w:firstLine="800" w:firstLineChars="25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213360</wp:posOffset>
            </wp:positionH>
            <wp:positionV relativeFrom="paragraph">
              <wp:posOffset>170815</wp:posOffset>
            </wp:positionV>
            <wp:extent cx="4836160" cy="2752090"/>
            <wp:effectExtent l="4445" t="4445" r="17145" b="5715"/>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eastAsia="仿宋"/>
          <w:b/>
          <w:color w:val="000000"/>
          <w:sz w:val="32"/>
          <w:szCs w:val="32"/>
        </w:rPr>
        <w:t>（二）一般公共预算财政拨款支出决算结构情况</w:t>
      </w:r>
    </w:p>
    <w:p w14:paraId="0510F7E2">
      <w:pPr>
        <w:ind w:firstLine="640" w:firstLineChars="200"/>
        <w:rPr>
          <w:rFonts w:hint="eastAsia" w:ascii="仿宋_GB2312" w:hAnsi="仿宋" w:eastAsia="仿宋_GB2312" w:cs="仿宋_GB2312"/>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230505</wp:posOffset>
            </wp:positionH>
            <wp:positionV relativeFrom="paragraph">
              <wp:posOffset>1711325</wp:posOffset>
            </wp:positionV>
            <wp:extent cx="4968240" cy="1939925"/>
            <wp:effectExtent l="4445" t="4445" r="18415" b="1778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_GB2312" w:hAnsi="仿宋" w:eastAsia="仿宋_GB2312" w:cs="仿宋_GB2312"/>
          <w:sz w:val="32"/>
          <w:szCs w:val="32"/>
          <w:lang w:eastAsia="zh-CN"/>
        </w:rPr>
        <w:t>2024</w:t>
      </w:r>
      <w:r>
        <w:rPr>
          <w:rFonts w:hint="eastAsia" w:ascii="仿宋_GB2312" w:hAnsi="仿宋" w:eastAsia="仿宋_GB2312" w:cs="仿宋_GB2312"/>
          <w:sz w:val="32"/>
          <w:szCs w:val="32"/>
        </w:rPr>
        <w:t>年</w:t>
      </w:r>
      <w:r>
        <w:rPr>
          <w:rFonts w:hint="eastAsia" w:ascii="仿宋_GB2312" w:eastAsia="仿宋_GB2312"/>
          <w:sz w:val="32"/>
          <w:szCs w:val="32"/>
        </w:rPr>
        <w:t>一般公共预算财政拨款支出</w:t>
      </w:r>
      <w:r>
        <w:rPr>
          <w:rFonts w:hint="eastAsia" w:ascii="仿宋_GB2312" w:eastAsia="仿宋_GB2312"/>
          <w:sz w:val="32"/>
          <w:szCs w:val="32"/>
          <w:lang w:val="en-US" w:eastAsia="zh-CN"/>
        </w:rPr>
        <w:t>515.06</w:t>
      </w:r>
      <w:r>
        <w:rPr>
          <w:rFonts w:hint="eastAsia" w:ascii="仿宋_GB2312" w:eastAsia="仿宋_GB2312"/>
          <w:sz w:val="32"/>
          <w:szCs w:val="32"/>
        </w:rPr>
        <w:t>万元，主要用于以下方面:</w:t>
      </w:r>
      <w:r>
        <w:rPr>
          <w:rFonts w:hint="eastAsia" w:ascii="仿宋_GB2312" w:hAnsi="仿宋" w:eastAsia="仿宋_GB2312" w:cs="仿宋_GB2312"/>
          <w:sz w:val="32"/>
          <w:szCs w:val="32"/>
        </w:rPr>
        <w:t xml:space="preserve"> 社会保障和就业支出</w:t>
      </w:r>
      <w:r>
        <w:rPr>
          <w:rFonts w:hint="eastAsia" w:ascii="仿宋_GB2312" w:hAnsi="仿宋" w:eastAsia="仿宋_GB2312" w:cs="仿宋_GB2312"/>
          <w:sz w:val="32"/>
          <w:szCs w:val="32"/>
          <w:lang w:val="en-US" w:eastAsia="zh-CN"/>
        </w:rPr>
        <w:t>452.44</w:t>
      </w:r>
      <w:r>
        <w:rPr>
          <w:rFonts w:hint="eastAsia" w:ascii="仿宋_GB2312" w:hAnsi="仿宋" w:eastAsia="仿宋_GB2312" w:cs="仿宋_GB2312"/>
          <w:sz w:val="32"/>
          <w:szCs w:val="32"/>
        </w:rPr>
        <w:t>万元，占</w:t>
      </w:r>
      <w:r>
        <w:rPr>
          <w:rFonts w:hint="eastAsia" w:ascii="仿宋" w:hAnsi="仿宋" w:eastAsia="仿宋" w:cs="仿宋"/>
          <w:sz w:val="32"/>
          <w:szCs w:val="32"/>
          <w:lang w:val="en-US" w:eastAsia="zh-CN"/>
        </w:rPr>
        <w:t>87.84</w:t>
      </w:r>
      <w:r>
        <w:rPr>
          <w:rFonts w:hint="eastAsia" w:ascii="仿宋" w:hAnsi="仿宋" w:eastAsia="仿宋" w:cs="仿宋"/>
          <w:sz w:val="32"/>
          <w:szCs w:val="32"/>
        </w:rPr>
        <w:t>%</w:t>
      </w:r>
      <w:r>
        <w:rPr>
          <w:rFonts w:hint="eastAsia" w:ascii="仿宋_GB2312" w:hAnsi="仿宋" w:eastAsia="仿宋_GB2312" w:cs="仿宋_GB2312"/>
          <w:sz w:val="32"/>
          <w:szCs w:val="32"/>
        </w:rPr>
        <w:t>;卫生健康支出</w:t>
      </w:r>
      <w:r>
        <w:rPr>
          <w:rFonts w:hint="eastAsia" w:ascii="仿宋_GB2312" w:hAnsi="仿宋" w:eastAsia="仿宋_GB2312" w:cs="仿宋_GB2312"/>
          <w:sz w:val="32"/>
          <w:szCs w:val="32"/>
          <w:lang w:val="en-US" w:eastAsia="zh-CN"/>
        </w:rPr>
        <w:t>30.34</w:t>
      </w:r>
      <w:r>
        <w:rPr>
          <w:rFonts w:hint="eastAsia" w:ascii="仿宋_GB2312" w:hAnsi="仿宋" w:eastAsia="仿宋_GB2312" w:cs="仿宋_GB2312"/>
          <w:sz w:val="32"/>
          <w:szCs w:val="32"/>
        </w:rPr>
        <w:t>万元,占</w:t>
      </w:r>
      <w:r>
        <w:rPr>
          <w:rFonts w:hint="eastAsia" w:ascii="仿宋" w:hAnsi="仿宋" w:eastAsia="仿宋" w:cs="仿宋"/>
          <w:sz w:val="32"/>
          <w:szCs w:val="32"/>
          <w:lang w:val="en-US" w:eastAsia="zh-CN"/>
        </w:rPr>
        <w:t>5.89%</w:t>
      </w:r>
      <w:r>
        <w:rPr>
          <w:rFonts w:hint="eastAsia" w:ascii="仿宋_GB2312" w:hAnsi="仿宋" w:eastAsia="仿宋_GB2312" w:cs="仿宋_GB2312"/>
          <w:sz w:val="32"/>
          <w:szCs w:val="32"/>
        </w:rPr>
        <w:t>；住房保障支出</w:t>
      </w:r>
      <w:r>
        <w:rPr>
          <w:rFonts w:hint="eastAsia" w:ascii="仿宋_GB2312" w:hAnsi="仿宋" w:eastAsia="仿宋_GB2312" w:cs="仿宋_GB2312"/>
          <w:sz w:val="32"/>
          <w:szCs w:val="32"/>
          <w:lang w:val="en-US" w:eastAsia="zh-CN"/>
        </w:rPr>
        <w:t>32.</w:t>
      </w:r>
      <w:r>
        <w:rPr>
          <w:rFonts w:hint="eastAsia" w:ascii="仿宋" w:hAnsi="仿宋" w:eastAsia="仿宋" w:cs="仿宋"/>
          <w:sz w:val="32"/>
          <w:szCs w:val="32"/>
          <w:lang w:val="en-US" w:eastAsia="zh-CN"/>
        </w:rPr>
        <w:t>28</w:t>
      </w:r>
      <w:r>
        <w:rPr>
          <w:rFonts w:hint="eastAsia" w:ascii="仿宋_GB2312" w:hAnsi="仿宋" w:eastAsia="仿宋_GB2312" w:cs="仿宋_GB2312"/>
          <w:sz w:val="32"/>
          <w:szCs w:val="32"/>
        </w:rPr>
        <w:t>万元，占</w:t>
      </w:r>
      <w:r>
        <w:rPr>
          <w:rFonts w:hint="eastAsia" w:ascii="仿宋" w:hAnsi="仿宋" w:eastAsia="仿宋" w:cs="仿宋"/>
          <w:sz w:val="32"/>
          <w:szCs w:val="32"/>
          <w:lang w:val="en-US" w:eastAsia="zh-CN"/>
        </w:rPr>
        <w:t>6.27</w:t>
      </w:r>
      <w:r>
        <w:rPr>
          <w:rFonts w:hint="eastAsia" w:ascii="仿宋" w:hAnsi="仿宋" w:eastAsia="仿宋" w:cs="仿宋"/>
          <w:sz w:val="32"/>
          <w:szCs w:val="32"/>
        </w:rPr>
        <w:t>%</w:t>
      </w:r>
      <w:r>
        <w:rPr>
          <w:rFonts w:hint="eastAsia" w:ascii="仿宋_GB2312" w:hAnsi="仿宋" w:eastAsia="仿宋_GB2312" w:cs="仿宋_GB2312"/>
          <w:sz w:val="32"/>
          <w:szCs w:val="32"/>
        </w:rPr>
        <w:t>。</w:t>
      </w:r>
    </w:p>
    <w:p w14:paraId="7A762268">
      <w:pPr>
        <w:spacing w:line="600" w:lineRule="exact"/>
        <w:ind w:firstLine="643" w:firstLineChars="200"/>
        <w:outlineLvl w:val="2"/>
        <w:rPr>
          <w:rStyle w:val="18"/>
          <w:rFonts w:ascii="仿宋" w:eastAsia="仿宋"/>
          <w:color w:val="000000"/>
          <w:sz w:val="32"/>
          <w:szCs w:val="32"/>
        </w:rPr>
      </w:pPr>
      <w:r>
        <w:rPr>
          <w:rFonts w:hint="eastAsia" w:ascii="仿宋" w:eastAsia="仿宋"/>
          <w:b/>
          <w:color w:val="000000"/>
          <w:sz w:val="32"/>
          <w:szCs w:val="32"/>
        </w:rPr>
        <w:t>（三）一般公共预算财政拨款支出决算具体情况</w:t>
      </w:r>
    </w:p>
    <w:p w14:paraId="7C523CD7">
      <w:pPr>
        <w:snapToGrid w:val="0"/>
        <w:spacing w:line="540" w:lineRule="exact"/>
        <w:ind w:firstLine="790" w:firstLineChars="246"/>
        <w:rPr>
          <w:rFonts w:ascii="仿宋_GB2312" w:eastAsia="仿宋_GB2312"/>
          <w:sz w:val="32"/>
          <w:szCs w:val="32"/>
        </w:rPr>
      </w:pPr>
      <w:r>
        <w:rPr>
          <w:rFonts w:hint="eastAsia" w:ascii="仿宋_GB2312" w:eastAsia="仿宋_GB2312"/>
          <w:b/>
          <w:sz w:val="32"/>
          <w:szCs w:val="32"/>
          <w:lang w:val="en-US" w:eastAsia="zh-CN"/>
        </w:rPr>
        <w:t xml:space="preserve"> 1</w:t>
      </w:r>
      <w:r>
        <w:rPr>
          <w:rFonts w:hint="eastAsia" w:ascii="仿宋_GB2312" w:eastAsia="仿宋_GB2312"/>
          <w:b/>
          <w:sz w:val="32"/>
          <w:szCs w:val="32"/>
        </w:rPr>
        <w:t>、社会保障和就业支出 2080101 行政运行</w:t>
      </w:r>
      <w:r>
        <w:rPr>
          <w:rFonts w:hint="eastAsia" w:ascii="仿宋_GB2312" w:eastAsia="仿宋_GB2312"/>
          <w:sz w:val="32"/>
          <w:szCs w:val="32"/>
        </w:rPr>
        <w:t>：支出决算为</w:t>
      </w:r>
      <w:r>
        <w:rPr>
          <w:rFonts w:hint="eastAsia" w:ascii="仿宋_GB2312" w:eastAsia="仿宋_GB2312"/>
          <w:sz w:val="32"/>
          <w:szCs w:val="32"/>
          <w:lang w:val="en-US" w:eastAsia="zh-CN"/>
        </w:rPr>
        <w:t>244.32</w:t>
      </w:r>
      <w:r>
        <w:rPr>
          <w:rFonts w:hint="eastAsia" w:ascii="仿宋_GB2312" w:eastAsia="仿宋_GB2312"/>
          <w:sz w:val="32"/>
          <w:szCs w:val="32"/>
        </w:rPr>
        <w:t xml:space="preserve">万元，完成预算100%，决算数与预算数持平 </w:t>
      </w:r>
    </w:p>
    <w:p w14:paraId="28CFD711">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2080105 劳动保障监察</w:t>
      </w:r>
      <w:r>
        <w:rPr>
          <w:rFonts w:hint="eastAsia" w:ascii="仿宋_GB2312" w:eastAsia="仿宋_GB2312"/>
          <w:sz w:val="32"/>
          <w:szCs w:val="32"/>
        </w:rPr>
        <w:t>：支出决算为</w:t>
      </w:r>
      <w:r>
        <w:rPr>
          <w:rFonts w:hint="eastAsia" w:ascii="仿宋_GB2312" w:eastAsia="仿宋_GB2312"/>
          <w:sz w:val="32"/>
          <w:szCs w:val="32"/>
          <w:lang w:val="en-US" w:eastAsia="zh-CN"/>
        </w:rPr>
        <w:t>9.99</w:t>
      </w:r>
      <w:r>
        <w:rPr>
          <w:rFonts w:hint="eastAsia" w:ascii="仿宋_GB2312" w:eastAsia="仿宋_GB2312"/>
          <w:sz w:val="32"/>
          <w:szCs w:val="32"/>
        </w:rPr>
        <w:t>万元，完成预算100%，决算数与预算数持平</w:t>
      </w:r>
    </w:p>
    <w:p w14:paraId="61F90728">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2080150 事业运行</w:t>
      </w:r>
      <w:r>
        <w:rPr>
          <w:rFonts w:hint="eastAsia" w:ascii="仿宋_GB2312" w:eastAsia="仿宋_GB2312"/>
          <w:sz w:val="32"/>
          <w:szCs w:val="32"/>
        </w:rPr>
        <w:t>：支出决算为</w:t>
      </w:r>
      <w:r>
        <w:rPr>
          <w:rFonts w:hint="eastAsia" w:ascii="仿宋_GB2312" w:eastAsia="仿宋_GB2312"/>
          <w:sz w:val="32"/>
          <w:szCs w:val="32"/>
          <w:lang w:val="en-US" w:eastAsia="zh-CN"/>
        </w:rPr>
        <w:t>76.07</w:t>
      </w:r>
      <w:r>
        <w:rPr>
          <w:rFonts w:hint="eastAsia" w:ascii="仿宋_GB2312" w:eastAsia="仿宋_GB2312"/>
          <w:sz w:val="32"/>
          <w:szCs w:val="32"/>
        </w:rPr>
        <w:t>万元，完成预算100%，决算数与预算数持平</w:t>
      </w:r>
    </w:p>
    <w:p w14:paraId="2D848A04">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2080199其他人力资源和社会保障局和社会保障管理事务支出 ：</w:t>
      </w:r>
      <w:r>
        <w:rPr>
          <w:rFonts w:hint="eastAsia" w:ascii="仿宋_GB2312" w:eastAsia="仿宋_GB2312"/>
          <w:sz w:val="32"/>
          <w:szCs w:val="32"/>
        </w:rPr>
        <w:t>支出决算为</w:t>
      </w:r>
      <w:r>
        <w:rPr>
          <w:rFonts w:hint="eastAsia" w:ascii="仿宋_GB2312" w:eastAsia="仿宋_GB2312"/>
          <w:sz w:val="32"/>
          <w:szCs w:val="32"/>
          <w:lang w:val="en-US" w:eastAsia="zh-CN"/>
        </w:rPr>
        <w:t>62.81</w:t>
      </w:r>
      <w:r>
        <w:rPr>
          <w:rFonts w:hint="eastAsia" w:ascii="仿宋_GB2312" w:eastAsia="仿宋_GB2312"/>
          <w:sz w:val="32"/>
          <w:szCs w:val="32"/>
        </w:rPr>
        <w:t>万元，完成预算100%，决算数与预算数持平</w:t>
      </w:r>
    </w:p>
    <w:p w14:paraId="2D22A4F9">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2080505  机关事业单位基本养老保险缴费支出：</w:t>
      </w:r>
      <w:r>
        <w:rPr>
          <w:rFonts w:hint="eastAsia" w:ascii="仿宋_GB2312" w:eastAsia="仿宋_GB2312"/>
          <w:sz w:val="32"/>
          <w:szCs w:val="32"/>
        </w:rPr>
        <w:t>支出决算为</w:t>
      </w:r>
      <w:r>
        <w:rPr>
          <w:rFonts w:hint="eastAsia" w:ascii="仿宋_GB2312" w:eastAsia="仿宋_GB2312"/>
          <w:sz w:val="32"/>
          <w:szCs w:val="32"/>
          <w:lang w:val="en-US" w:eastAsia="zh-CN"/>
        </w:rPr>
        <w:t>39.5</w:t>
      </w:r>
      <w:r>
        <w:rPr>
          <w:rFonts w:hint="eastAsia" w:ascii="仿宋_GB2312" w:eastAsia="仿宋_GB2312"/>
          <w:sz w:val="32"/>
          <w:szCs w:val="32"/>
        </w:rPr>
        <w:t>万元，完成预算100%，决算数与预算数持平</w:t>
      </w:r>
    </w:p>
    <w:p w14:paraId="5BB58CA9">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社会保障和就业支出 2080506 机关事业单位职业年金缴费支出</w:t>
      </w:r>
      <w:r>
        <w:rPr>
          <w:rFonts w:hint="eastAsia" w:ascii="仿宋_GB2312" w:eastAsia="仿宋_GB2312"/>
          <w:sz w:val="32"/>
          <w:szCs w:val="32"/>
        </w:rPr>
        <w:t>：支出决算为</w:t>
      </w:r>
      <w:r>
        <w:rPr>
          <w:rFonts w:hint="eastAsia" w:ascii="仿宋_GB2312" w:eastAsia="仿宋_GB2312"/>
          <w:sz w:val="32"/>
          <w:szCs w:val="32"/>
          <w:lang w:val="en-US" w:eastAsia="zh-CN"/>
        </w:rPr>
        <w:t>19.74</w:t>
      </w:r>
      <w:r>
        <w:rPr>
          <w:rFonts w:hint="eastAsia" w:ascii="仿宋_GB2312" w:eastAsia="仿宋_GB2312"/>
          <w:sz w:val="32"/>
          <w:szCs w:val="32"/>
        </w:rPr>
        <w:t>万元，完成预算100%，决算数与预算数持平</w:t>
      </w:r>
    </w:p>
    <w:p w14:paraId="76634D21">
      <w:pPr>
        <w:snapToGrid w:val="0"/>
        <w:spacing w:line="540" w:lineRule="exact"/>
        <w:ind w:firstLine="157" w:firstLineChars="49"/>
        <w:rPr>
          <w:rFonts w:ascii="仿宋_GB2312" w:eastAsia="仿宋_GB2312"/>
          <w:sz w:val="32"/>
          <w:szCs w:val="32"/>
        </w:rPr>
      </w:pPr>
      <w:r>
        <w:rPr>
          <w:rFonts w:hint="eastAsia" w:ascii="仿宋_GB2312" w:eastAsia="仿宋_GB2312"/>
          <w:b/>
          <w:sz w:val="32"/>
          <w:szCs w:val="32"/>
          <w:lang w:val="en-US" w:eastAsia="zh-CN"/>
        </w:rPr>
        <w:t>2</w:t>
      </w:r>
      <w:r>
        <w:rPr>
          <w:rFonts w:hint="eastAsia" w:ascii="仿宋_GB2312" w:eastAsia="仿宋_GB2312"/>
          <w:b/>
          <w:sz w:val="32"/>
          <w:szCs w:val="32"/>
        </w:rPr>
        <w:t xml:space="preserve">.卫生健康支出  2101101行政单位医疗 </w:t>
      </w:r>
      <w:r>
        <w:rPr>
          <w:rFonts w:hint="eastAsia" w:ascii="仿宋_GB2312" w:eastAsia="仿宋_GB2312"/>
          <w:sz w:val="32"/>
          <w:szCs w:val="32"/>
        </w:rPr>
        <w:t>:支出决算为</w:t>
      </w:r>
      <w:r>
        <w:rPr>
          <w:rFonts w:hint="eastAsia" w:ascii="仿宋_GB2312" w:eastAsia="仿宋_GB2312"/>
          <w:sz w:val="32"/>
          <w:szCs w:val="32"/>
          <w:lang w:val="en-US" w:eastAsia="zh-CN"/>
        </w:rPr>
        <w:t>18.1</w:t>
      </w:r>
      <w:r>
        <w:rPr>
          <w:rFonts w:hint="eastAsia" w:ascii="仿宋_GB2312" w:eastAsia="仿宋_GB2312"/>
          <w:sz w:val="32"/>
          <w:szCs w:val="32"/>
        </w:rPr>
        <w:t>万元，完成预算100%，决算数与预算数持平。</w:t>
      </w:r>
    </w:p>
    <w:p w14:paraId="3E3C2DB4">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卫生健康支出 2101102事业单位医疗</w:t>
      </w:r>
      <w:r>
        <w:rPr>
          <w:rFonts w:hint="eastAsia" w:ascii="仿宋_GB2312" w:eastAsia="仿宋_GB2312"/>
          <w:sz w:val="32"/>
          <w:szCs w:val="32"/>
        </w:rPr>
        <w:t xml:space="preserve"> :支出决算为</w:t>
      </w:r>
      <w:r>
        <w:rPr>
          <w:rFonts w:hint="eastAsia" w:ascii="仿宋_GB2312" w:eastAsia="仿宋_GB2312"/>
          <w:sz w:val="32"/>
          <w:szCs w:val="32"/>
          <w:lang w:val="en-US" w:eastAsia="zh-CN"/>
        </w:rPr>
        <w:t>6.21</w:t>
      </w:r>
      <w:r>
        <w:rPr>
          <w:rFonts w:hint="eastAsia" w:ascii="仿宋_GB2312" w:eastAsia="仿宋_GB2312"/>
          <w:sz w:val="32"/>
          <w:szCs w:val="32"/>
        </w:rPr>
        <w:t>万元，完成预算100%，决算数与预算数持平</w:t>
      </w:r>
    </w:p>
    <w:p w14:paraId="1D731C37">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卫生健康支出 2101103公务员医疗补助</w:t>
      </w:r>
      <w:r>
        <w:rPr>
          <w:rFonts w:hint="eastAsia" w:ascii="仿宋_GB2312" w:eastAsia="仿宋_GB2312"/>
          <w:sz w:val="32"/>
          <w:szCs w:val="32"/>
        </w:rPr>
        <w:t xml:space="preserve"> :支出决算为</w:t>
      </w:r>
      <w:r>
        <w:rPr>
          <w:rFonts w:hint="eastAsia" w:ascii="仿宋_GB2312" w:eastAsia="仿宋_GB2312"/>
          <w:sz w:val="32"/>
          <w:szCs w:val="32"/>
          <w:lang w:val="en-US" w:eastAsia="zh-CN"/>
        </w:rPr>
        <w:t>4.92</w:t>
      </w:r>
      <w:r>
        <w:rPr>
          <w:rFonts w:hint="eastAsia" w:ascii="仿宋_GB2312" w:eastAsia="仿宋_GB2312"/>
          <w:sz w:val="32"/>
          <w:szCs w:val="32"/>
        </w:rPr>
        <w:t>万元，完成 预算100%，决算数与预算数持平</w:t>
      </w:r>
    </w:p>
    <w:p w14:paraId="6AA86A02">
      <w:pPr>
        <w:snapToGrid w:val="0"/>
        <w:spacing w:line="540" w:lineRule="exact"/>
        <w:ind w:firstLine="630" w:firstLineChars="196"/>
        <w:rPr>
          <w:rFonts w:ascii="仿宋_GB2312" w:eastAsia="仿宋_GB2312"/>
          <w:sz w:val="32"/>
          <w:szCs w:val="32"/>
        </w:rPr>
      </w:pPr>
      <w:r>
        <w:rPr>
          <w:rFonts w:hint="eastAsia" w:ascii="仿宋_GB2312" w:eastAsia="仿宋_GB2312"/>
          <w:b/>
          <w:sz w:val="32"/>
          <w:szCs w:val="32"/>
        </w:rPr>
        <w:t xml:space="preserve">卫生健康支出 210119其他行政事业单位医疗支出 </w:t>
      </w:r>
      <w:r>
        <w:rPr>
          <w:rFonts w:hint="eastAsia" w:ascii="仿宋_GB2312" w:eastAsia="仿宋_GB2312"/>
          <w:sz w:val="32"/>
          <w:szCs w:val="32"/>
        </w:rPr>
        <w:t>:支出决算为</w:t>
      </w:r>
      <w:r>
        <w:rPr>
          <w:rFonts w:hint="eastAsia" w:ascii="仿宋_GB2312" w:eastAsia="仿宋_GB2312"/>
          <w:sz w:val="32"/>
          <w:szCs w:val="32"/>
          <w:lang w:val="en-US" w:eastAsia="zh-CN"/>
        </w:rPr>
        <w:t>1.11</w:t>
      </w:r>
      <w:r>
        <w:rPr>
          <w:rFonts w:hint="eastAsia" w:ascii="仿宋_GB2312" w:eastAsia="仿宋_GB2312"/>
          <w:sz w:val="32"/>
          <w:szCs w:val="32"/>
        </w:rPr>
        <w:t>万元，完成预算100%，决算数与预算数持平</w:t>
      </w:r>
    </w:p>
    <w:p w14:paraId="1830041F">
      <w:pPr>
        <w:snapToGrid w:val="0"/>
        <w:spacing w:line="540" w:lineRule="exact"/>
        <w:ind w:firstLine="157" w:firstLineChars="49"/>
        <w:rPr>
          <w:rFonts w:ascii="仿宋_GB2312" w:eastAsia="仿宋_GB2312"/>
          <w:sz w:val="32"/>
          <w:szCs w:val="32"/>
        </w:rPr>
      </w:pPr>
      <w:r>
        <w:rPr>
          <w:rFonts w:hint="eastAsia" w:ascii="仿宋_GB2312" w:eastAsia="仿宋_GB2312"/>
          <w:b/>
          <w:sz w:val="32"/>
          <w:szCs w:val="32"/>
          <w:lang w:val="en-US" w:eastAsia="zh-CN"/>
        </w:rPr>
        <w:t>3</w:t>
      </w:r>
      <w:r>
        <w:rPr>
          <w:rFonts w:hint="eastAsia" w:ascii="仿宋_GB2312" w:eastAsia="仿宋_GB2312"/>
          <w:b/>
          <w:sz w:val="32"/>
          <w:szCs w:val="32"/>
        </w:rPr>
        <w:t>. 住房保障支出 2210201 住房公积金:</w:t>
      </w:r>
      <w:r>
        <w:rPr>
          <w:rFonts w:hint="eastAsia" w:ascii="仿宋_GB2312" w:eastAsia="仿宋_GB2312"/>
          <w:sz w:val="32"/>
          <w:szCs w:val="32"/>
        </w:rPr>
        <w:t>支出决算为</w:t>
      </w:r>
      <w:r>
        <w:rPr>
          <w:rFonts w:hint="eastAsia" w:ascii="仿宋_GB2312" w:eastAsia="仿宋_GB2312"/>
          <w:sz w:val="32"/>
          <w:szCs w:val="32"/>
          <w:lang w:val="en-US" w:eastAsia="zh-CN"/>
        </w:rPr>
        <w:t>32.29</w:t>
      </w:r>
      <w:r>
        <w:rPr>
          <w:rFonts w:hint="eastAsia" w:ascii="仿宋_GB2312" w:eastAsia="仿宋_GB2312"/>
          <w:sz w:val="32"/>
          <w:szCs w:val="32"/>
        </w:rPr>
        <w:t>万元，完成预算100%，决算数与预算数持平。</w:t>
      </w:r>
    </w:p>
    <w:p w14:paraId="79FA90E4">
      <w:pPr>
        <w:snapToGrid w:val="0"/>
        <w:spacing w:line="540" w:lineRule="exact"/>
        <w:ind w:firstLine="156" w:firstLineChars="49"/>
        <w:rPr>
          <w:rStyle w:val="18"/>
          <w:rFonts w:ascii="仿宋_GB2312" w:eastAsia="仿宋_GB2312"/>
          <w:b w:val="0"/>
          <w:sz w:val="32"/>
          <w:szCs w:val="32"/>
          <w:highlight w:val="none"/>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b/>
          <w:sz w:val="32"/>
          <w:szCs w:val="32"/>
        </w:rPr>
        <w:t xml:space="preserve"> 其他支出 </w:t>
      </w:r>
      <w:r>
        <w:rPr>
          <w:rFonts w:ascii="仿宋_GB2312" w:eastAsia="仿宋_GB2312"/>
          <w:b/>
          <w:sz w:val="32"/>
          <w:szCs w:val="32"/>
        </w:rPr>
        <w:t>22999</w:t>
      </w:r>
      <w:r>
        <w:rPr>
          <w:rFonts w:hint="eastAsia" w:ascii="仿宋_GB2312" w:eastAsia="仿宋_GB2312"/>
          <w:b/>
          <w:sz w:val="32"/>
          <w:szCs w:val="32"/>
        </w:rPr>
        <w:t>其他支出:</w:t>
      </w:r>
      <w:r>
        <w:rPr>
          <w:rFonts w:hint="eastAsia" w:ascii="仿宋_GB2312" w:eastAsia="仿宋_GB2312"/>
          <w:sz w:val="32"/>
          <w:szCs w:val="32"/>
        </w:rPr>
        <w:t>支出决算为</w:t>
      </w:r>
      <w:r>
        <w:rPr>
          <w:rFonts w:ascii="仿宋_GB2312" w:eastAsia="仿宋_GB2312"/>
          <w:sz w:val="32"/>
          <w:szCs w:val="32"/>
        </w:rPr>
        <w:t>2.61</w:t>
      </w:r>
      <w:r>
        <w:rPr>
          <w:rFonts w:hint="eastAsia" w:ascii="仿宋_GB2312" w:eastAsia="仿宋_GB2312"/>
          <w:sz w:val="32"/>
          <w:szCs w:val="32"/>
        </w:rPr>
        <w:t>万元，完成预算</w:t>
      </w:r>
      <w:r>
        <w:rPr>
          <w:rFonts w:hint="eastAsia" w:ascii="仿宋_GB2312" w:eastAsia="仿宋_GB2312"/>
          <w:sz w:val="32"/>
          <w:szCs w:val="32"/>
          <w:highlight w:val="none"/>
        </w:rPr>
        <w:t>100%，决算数与预算数持平</w:t>
      </w:r>
    </w:p>
    <w:p w14:paraId="66338CF7">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一般公共预算财政拨款基本支出决算情况说明</w:t>
      </w:r>
    </w:p>
    <w:p w14:paraId="2B621411">
      <w:pPr>
        <w:snapToGrid w:val="0"/>
        <w:spacing w:line="540" w:lineRule="exact"/>
        <w:ind w:firstLine="313" w:firstLineChars="98"/>
        <w:rPr>
          <w:rFonts w:ascii="仿宋_GB2312" w:hAnsi="仿宋" w:eastAsia="仿宋_GB2312"/>
          <w:b/>
          <w:bCs/>
          <w:color w:val="000000"/>
          <w:sz w:val="32"/>
          <w:szCs w:val="32"/>
        </w:rPr>
      </w:pPr>
      <w:r>
        <w:rPr>
          <w:rFonts w:hint="eastAsia" w:ascii="仿宋_GB2312" w:hAnsi="仿宋" w:eastAsia="仿宋_GB2312" w:cs="仿宋_GB2312"/>
          <w:sz w:val="32"/>
          <w:szCs w:val="32"/>
          <w:lang w:eastAsia="zh-CN"/>
        </w:rPr>
        <w:t>2024</w:t>
      </w:r>
      <w:r>
        <w:rPr>
          <w:rFonts w:hint="eastAsia" w:ascii="仿宋_GB2312" w:hAnsi="仿宋" w:eastAsia="仿宋_GB2312" w:cs="仿宋_GB2312"/>
          <w:sz w:val="32"/>
          <w:szCs w:val="32"/>
        </w:rPr>
        <w:t>年度一般公共预算财政拨款基本支出</w:t>
      </w:r>
      <w:r>
        <w:rPr>
          <w:rFonts w:hint="eastAsia" w:ascii="仿宋_GB2312" w:hAnsi="仿宋" w:eastAsia="仿宋_GB2312" w:cs="仿宋_GB2312"/>
          <w:sz w:val="32"/>
          <w:szCs w:val="32"/>
          <w:lang w:val="en-US" w:eastAsia="zh-CN"/>
        </w:rPr>
        <w:t>491.18</w:t>
      </w:r>
      <w:r>
        <w:rPr>
          <w:rFonts w:hint="eastAsia" w:ascii="仿宋_GB2312" w:hAnsi="仿宋" w:eastAsia="仿宋_GB2312" w:cs="仿宋_GB2312"/>
          <w:sz w:val="32"/>
          <w:szCs w:val="32"/>
        </w:rPr>
        <w:t>万元，其中：</w:t>
      </w:r>
    </w:p>
    <w:p w14:paraId="4BABA372">
      <w:pPr>
        <w:snapToGrid w:val="0"/>
        <w:spacing w:line="540" w:lineRule="exact"/>
        <w:ind w:firstLine="640" w:firstLineChars="200"/>
        <w:rPr>
          <w:rFonts w:ascii="仿宋_GB2312" w:hAnsi="仿宋" w:eastAsia="仿宋_GB2312"/>
          <w:b/>
          <w:bCs/>
          <w:color w:val="000000"/>
          <w:sz w:val="32"/>
          <w:szCs w:val="32"/>
        </w:rPr>
      </w:pPr>
      <w:r>
        <w:rPr>
          <w:rFonts w:hint="eastAsia" w:ascii="仿宋_GB2312" w:hAnsi="仿宋" w:eastAsia="仿宋_GB2312" w:cs="仿宋_GB2312"/>
          <w:sz w:val="32"/>
          <w:szCs w:val="32"/>
        </w:rPr>
        <w:t>人员经费</w:t>
      </w:r>
      <w:r>
        <w:rPr>
          <w:rFonts w:hint="eastAsia" w:ascii="仿宋_GB2312" w:hAnsi="仿宋" w:eastAsia="仿宋_GB2312" w:cs="仿宋_GB2312"/>
          <w:sz w:val="32"/>
          <w:szCs w:val="32"/>
          <w:lang w:val="en-US" w:eastAsia="zh-CN"/>
        </w:rPr>
        <w:t>415.94</w:t>
      </w:r>
      <w:r>
        <w:rPr>
          <w:rFonts w:hint="eastAsia" w:ascii="仿宋_GB2312" w:hAnsi="仿宋" w:eastAsia="仿宋_GB2312" w:cs="仿宋_GB2312"/>
          <w:sz w:val="32"/>
          <w:szCs w:val="32"/>
        </w:rPr>
        <w:t>万元，主要包括：基本工资</w:t>
      </w:r>
      <w:r>
        <w:rPr>
          <w:rFonts w:hint="eastAsia" w:ascii="仿宋_GB2312" w:hAnsi="仿宋" w:eastAsia="仿宋_GB2312" w:cs="仿宋_GB2312"/>
          <w:sz w:val="32"/>
          <w:szCs w:val="32"/>
          <w:lang w:val="en-US" w:eastAsia="zh-CN"/>
        </w:rPr>
        <w:t>77.47</w:t>
      </w:r>
      <w:r>
        <w:rPr>
          <w:rFonts w:hint="eastAsia" w:ascii="仿宋_GB2312" w:hAnsi="仿宋" w:eastAsia="仿宋_GB2312" w:cs="仿宋_GB2312"/>
          <w:sz w:val="32"/>
          <w:szCs w:val="32"/>
        </w:rPr>
        <w:t>万元、津贴补贴</w:t>
      </w:r>
      <w:r>
        <w:rPr>
          <w:rFonts w:hint="eastAsia" w:ascii="仿宋_GB2312" w:hAnsi="仿宋" w:eastAsia="仿宋_GB2312" w:cs="仿宋_GB2312"/>
          <w:sz w:val="32"/>
          <w:szCs w:val="32"/>
          <w:lang w:val="en-US" w:eastAsia="zh-CN"/>
        </w:rPr>
        <w:t>85.5</w:t>
      </w:r>
      <w:r>
        <w:rPr>
          <w:rFonts w:hint="eastAsia" w:ascii="仿宋_GB2312" w:hAnsi="仿宋" w:eastAsia="仿宋_GB2312" w:cs="仿宋_GB2312"/>
          <w:sz w:val="32"/>
          <w:szCs w:val="32"/>
        </w:rPr>
        <w:t>万元、奖金</w:t>
      </w:r>
      <w:r>
        <w:rPr>
          <w:rFonts w:hint="eastAsia" w:ascii="仿宋_GB2312" w:hAnsi="仿宋" w:eastAsia="仿宋_GB2312" w:cs="仿宋_GB2312"/>
          <w:sz w:val="32"/>
          <w:szCs w:val="32"/>
          <w:lang w:val="en-US" w:eastAsia="zh-CN"/>
        </w:rPr>
        <w:t>104.13</w:t>
      </w:r>
      <w:r>
        <w:rPr>
          <w:rFonts w:hint="eastAsia" w:ascii="仿宋_GB2312" w:hAnsi="仿宋" w:eastAsia="仿宋_GB2312" w:cs="仿宋_GB2312"/>
          <w:sz w:val="32"/>
          <w:szCs w:val="32"/>
        </w:rPr>
        <w:t>万元、绩效工资</w:t>
      </w:r>
      <w:r>
        <w:rPr>
          <w:rFonts w:hint="eastAsia" w:ascii="仿宋_GB2312" w:hAnsi="仿宋" w:eastAsia="仿宋_GB2312" w:cs="仿宋_GB2312"/>
          <w:sz w:val="32"/>
          <w:szCs w:val="32"/>
          <w:lang w:val="en-US" w:eastAsia="zh-CN"/>
        </w:rPr>
        <w:t>15.56</w:t>
      </w:r>
      <w:r>
        <w:rPr>
          <w:rFonts w:hint="eastAsia" w:ascii="仿宋_GB2312" w:hAnsi="仿宋" w:eastAsia="仿宋_GB2312" w:cs="仿宋_GB2312"/>
          <w:sz w:val="32"/>
          <w:szCs w:val="32"/>
        </w:rPr>
        <w:t>万元、机关事业单位基本养老保险缴费</w:t>
      </w:r>
      <w:r>
        <w:rPr>
          <w:rFonts w:hint="eastAsia" w:ascii="仿宋_GB2312" w:hAnsi="仿宋" w:eastAsia="仿宋_GB2312" w:cs="仿宋_GB2312"/>
          <w:sz w:val="32"/>
          <w:szCs w:val="32"/>
          <w:lang w:val="en-US" w:eastAsia="zh-CN"/>
        </w:rPr>
        <w:t>39.5</w:t>
      </w:r>
      <w:r>
        <w:rPr>
          <w:rFonts w:hint="eastAsia" w:ascii="仿宋_GB2312" w:hAnsi="仿宋" w:eastAsia="仿宋_GB2312" w:cs="仿宋_GB2312"/>
          <w:sz w:val="32"/>
          <w:szCs w:val="32"/>
        </w:rPr>
        <w:t>万元、职业年金缴费</w:t>
      </w:r>
      <w:r>
        <w:rPr>
          <w:rFonts w:hint="eastAsia" w:ascii="仿宋_GB2312" w:hAnsi="仿宋" w:eastAsia="仿宋_GB2312" w:cs="仿宋_GB2312"/>
          <w:sz w:val="32"/>
          <w:szCs w:val="32"/>
          <w:lang w:val="en-US" w:eastAsia="zh-CN"/>
        </w:rPr>
        <w:t>19.74</w:t>
      </w:r>
      <w:r>
        <w:rPr>
          <w:rFonts w:hint="eastAsia" w:ascii="仿宋_GB2312" w:hAnsi="仿宋" w:eastAsia="仿宋_GB2312" w:cs="仿宋_GB2312"/>
          <w:sz w:val="32"/>
          <w:szCs w:val="32"/>
        </w:rPr>
        <w:t>万元、职工基本医疗保险缴费</w:t>
      </w:r>
      <w:r>
        <w:rPr>
          <w:rFonts w:hint="eastAsia" w:ascii="仿宋_GB2312" w:hAnsi="仿宋" w:eastAsia="仿宋_GB2312" w:cs="仿宋_GB2312"/>
          <w:sz w:val="32"/>
          <w:szCs w:val="32"/>
          <w:lang w:val="en-US" w:eastAsia="zh-CN"/>
        </w:rPr>
        <w:t>24.31</w:t>
      </w:r>
      <w:r>
        <w:rPr>
          <w:rFonts w:hint="eastAsia" w:ascii="仿宋_GB2312" w:hAnsi="仿宋" w:eastAsia="仿宋_GB2312" w:cs="仿宋_GB2312"/>
          <w:sz w:val="32"/>
          <w:szCs w:val="32"/>
        </w:rPr>
        <w:t>万元、公务员医疗补助</w:t>
      </w:r>
      <w:r>
        <w:rPr>
          <w:rFonts w:hint="eastAsia" w:ascii="仿宋_GB2312" w:hAnsi="仿宋" w:eastAsia="仿宋_GB2312" w:cs="仿宋_GB2312"/>
          <w:sz w:val="32"/>
          <w:szCs w:val="32"/>
          <w:lang w:val="en-US" w:eastAsia="zh-CN"/>
        </w:rPr>
        <w:t>4.94</w:t>
      </w:r>
      <w:r>
        <w:rPr>
          <w:rFonts w:hint="eastAsia" w:ascii="仿宋_GB2312" w:hAnsi="仿宋" w:eastAsia="仿宋_GB2312" w:cs="仿宋_GB2312"/>
          <w:sz w:val="32"/>
          <w:szCs w:val="32"/>
        </w:rPr>
        <w:t>万元、其他社会保障缴费</w:t>
      </w:r>
      <w:r>
        <w:rPr>
          <w:rFonts w:hint="eastAsia" w:ascii="仿宋_GB2312" w:hAnsi="仿宋" w:eastAsia="仿宋_GB2312" w:cs="仿宋_GB2312"/>
          <w:sz w:val="32"/>
          <w:szCs w:val="32"/>
          <w:lang w:val="en-US" w:eastAsia="zh-CN"/>
        </w:rPr>
        <w:t>5.82</w:t>
      </w:r>
      <w:r>
        <w:rPr>
          <w:rFonts w:hint="eastAsia" w:ascii="仿宋_GB2312" w:hAnsi="仿宋" w:eastAsia="仿宋_GB2312" w:cs="仿宋_GB2312"/>
          <w:sz w:val="32"/>
          <w:szCs w:val="32"/>
        </w:rPr>
        <w:t>万元、住房公积金</w:t>
      </w:r>
      <w:r>
        <w:rPr>
          <w:rFonts w:hint="eastAsia" w:ascii="仿宋_GB2312" w:hAnsi="仿宋" w:eastAsia="仿宋_GB2312" w:cs="仿宋_GB2312"/>
          <w:sz w:val="32"/>
          <w:szCs w:val="32"/>
          <w:lang w:val="en-US" w:eastAsia="zh-CN"/>
        </w:rPr>
        <w:t>32.29</w:t>
      </w:r>
      <w:r>
        <w:rPr>
          <w:rFonts w:hint="eastAsia" w:ascii="仿宋_GB2312" w:hAnsi="仿宋" w:eastAsia="仿宋_GB2312" w:cs="仿宋_GB2312"/>
          <w:sz w:val="32"/>
          <w:szCs w:val="32"/>
        </w:rPr>
        <w:t>万元、其他工资福利支出</w:t>
      </w:r>
      <w:r>
        <w:rPr>
          <w:rFonts w:hint="eastAsia" w:ascii="仿宋_GB2312" w:hAnsi="仿宋" w:eastAsia="仿宋_GB2312" w:cs="仿宋_GB2312"/>
          <w:sz w:val="32"/>
          <w:szCs w:val="32"/>
          <w:lang w:val="en-US" w:eastAsia="zh-CN"/>
        </w:rPr>
        <w:t>6.68</w:t>
      </w:r>
      <w:r>
        <w:rPr>
          <w:rFonts w:hint="eastAsia" w:ascii="仿宋_GB2312" w:hAnsi="仿宋" w:eastAsia="仿宋_GB2312" w:cs="仿宋_GB2312"/>
          <w:sz w:val="32"/>
          <w:szCs w:val="32"/>
        </w:rPr>
        <w:t>万元。</w:t>
      </w:r>
    </w:p>
    <w:p w14:paraId="1E656727">
      <w:pPr>
        <w:numPr>
          <w:ilvl w:val="0"/>
          <w:numId w:val="0"/>
        </w:numPr>
        <w:ind w:firstLine="640" w:firstLineChars="200"/>
        <w:rPr>
          <w:rFonts w:hint="eastAsia"/>
        </w:rPr>
      </w:pPr>
      <w:r>
        <w:rPr>
          <w:rFonts w:hint="eastAsia" w:ascii="仿宋_GB2312" w:hAnsi="仿宋" w:eastAsia="仿宋_GB2312" w:cs="仿宋_GB2312"/>
          <w:sz w:val="32"/>
          <w:szCs w:val="32"/>
        </w:rPr>
        <w:t>公用经费</w:t>
      </w:r>
      <w:r>
        <w:rPr>
          <w:rFonts w:hint="eastAsia" w:ascii="仿宋_GB2312" w:hAnsi="仿宋" w:eastAsia="仿宋_GB2312" w:cs="仿宋_GB2312"/>
          <w:sz w:val="32"/>
          <w:szCs w:val="32"/>
          <w:lang w:val="en-US" w:eastAsia="zh-CN"/>
        </w:rPr>
        <w:t>39.73</w:t>
      </w:r>
      <w:r>
        <w:rPr>
          <w:rFonts w:hint="eastAsia" w:ascii="仿宋_GB2312" w:hAnsi="仿宋" w:eastAsia="仿宋_GB2312" w:cs="仿宋_GB2312"/>
          <w:sz w:val="32"/>
          <w:szCs w:val="32"/>
        </w:rPr>
        <w:t>万元，主要包括：办公费</w:t>
      </w:r>
      <w:r>
        <w:rPr>
          <w:rFonts w:hint="eastAsia" w:ascii="仿宋_GB2312" w:hAnsi="仿宋" w:eastAsia="仿宋_GB2312" w:cs="仿宋_GB2312"/>
          <w:sz w:val="32"/>
          <w:szCs w:val="32"/>
          <w:lang w:val="en-US" w:eastAsia="zh-CN"/>
        </w:rPr>
        <w:t>8.23</w:t>
      </w:r>
      <w:r>
        <w:rPr>
          <w:rFonts w:hint="eastAsia" w:ascii="仿宋_GB2312" w:hAnsi="仿宋" w:eastAsia="仿宋_GB2312" w:cs="仿宋_GB2312"/>
          <w:sz w:val="32"/>
          <w:szCs w:val="32"/>
        </w:rPr>
        <w:t>万元、水费0.</w:t>
      </w:r>
      <w:r>
        <w:rPr>
          <w:rFonts w:hint="eastAsia" w:ascii="仿宋_GB2312" w:hAnsi="仿宋" w:eastAsia="仿宋_GB2312" w:cs="仿宋_GB2312"/>
          <w:sz w:val="32"/>
          <w:szCs w:val="32"/>
          <w:lang w:val="en-US" w:eastAsia="zh-CN"/>
        </w:rPr>
        <w:t>2</w:t>
      </w:r>
      <w:r>
        <w:rPr>
          <w:rFonts w:hint="eastAsia" w:ascii="仿宋_GB2312" w:hAnsi="仿宋" w:eastAsia="仿宋_GB2312" w:cs="仿宋_GB2312"/>
          <w:sz w:val="32"/>
          <w:szCs w:val="32"/>
        </w:rPr>
        <w:t>万元、电费</w:t>
      </w:r>
      <w:r>
        <w:rPr>
          <w:rFonts w:hint="eastAsia" w:ascii="仿宋_GB2312" w:hAnsi="仿宋" w:eastAsia="仿宋_GB2312" w:cs="仿宋_GB2312"/>
          <w:sz w:val="32"/>
          <w:szCs w:val="32"/>
          <w:lang w:val="en-US" w:eastAsia="zh-CN"/>
        </w:rPr>
        <w:t>1.2</w:t>
      </w:r>
      <w:r>
        <w:rPr>
          <w:rFonts w:hint="eastAsia" w:ascii="仿宋_GB2312" w:hAnsi="仿宋" w:eastAsia="仿宋_GB2312" w:cs="仿宋_GB2312"/>
          <w:sz w:val="32"/>
          <w:szCs w:val="32"/>
        </w:rPr>
        <w:t>万元、邮电费</w:t>
      </w:r>
      <w:r>
        <w:rPr>
          <w:rFonts w:hint="eastAsia" w:ascii="仿宋_GB2312" w:hAnsi="仿宋" w:eastAsia="仿宋_GB2312" w:cs="仿宋_GB2312"/>
          <w:sz w:val="32"/>
          <w:szCs w:val="32"/>
          <w:lang w:val="en-US" w:eastAsia="zh-CN"/>
        </w:rPr>
        <w:t>2</w:t>
      </w:r>
      <w:r>
        <w:rPr>
          <w:rFonts w:hint="eastAsia" w:ascii="仿宋_GB2312" w:hAnsi="仿宋" w:eastAsia="仿宋_GB2312" w:cs="仿宋_GB2312"/>
          <w:sz w:val="32"/>
          <w:szCs w:val="32"/>
        </w:rPr>
        <w:t>万元、差旅费</w:t>
      </w:r>
      <w:r>
        <w:rPr>
          <w:rFonts w:hint="eastAsia" w:ascii="仿宋_GB2312" w:hAnsi="仿宋" w:eastAsia="仿宋_GB2312" w:cs="仿宋_GB2312"/>
          <w:sz w:val="32"/>
          <w:szCs w:val="32"/>
          <w:lang w:val="en-US" w:eastAsia="zh-CN"/>
        </w:rPr>
        <w:t>12.8</w:t>
      </w:r>
      <w:r>
        <w:rPr>
          <w:rFonts w:hint="eastAsia" w:ascii="仿宋_GB2312" w:hAnsi="仿宋" w:eastAsia="仿宋_GB2312" w:cs="仿宋_GB2312"/>
          <w:sz w:val="32"/>
          <w:szCs w:val="32"/>
        </w:rPr>
        <w:t>万元、劳务费</w:t>
      </w:r>
      <w:r>
        <w:rPr>
          <w:rFonts w:hint="eastAsia" w:ascii="仿宋_GB2312" w:hAnsi="仿宋" w:eastAsia="仿宋_GB2312" w:cs="仿宋_GB2312"/>
          <w:sz w:val="32"/>
          <w:szCs w:val="32"/>
          <w:lang w:val="en-US" w:eastAsia="zh-CN"/>
        </w:rPr>
        <w:t>4.47</w:t>
      </w:r>
      <w:r>
        <w:rPr>
          <w:rFonts w:hint="eastAsia" w:ascii="仿宋_GB2312" w:hAnsi="仿宋" w:eastAsia="仿宋_GB2312" w:cs="仿宋_GB2312"/>
          <w:sz w:val="32"/>
          <w:szCs w:val="32"/>
        </w:rPr>
        <w:t>万元</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lang w:val="en-US" w:eastAsia="zh-CN"/>
        </w:rPr>
        <w:t>委托业务费1万元、</w:t>
      </w:r>
      <w:r>
        <w:rPr>
          <w:rFonts w:hint="eastAsia" w:ascii="仿宋_GB2312" w:hAnsi="仿宋" w:eastAsia="仿宋_GB2312" w:cs="仿宋_GB2312"/>
          <w:sz w:val="32"/>
          <w:szCs w:val="32"/>
        </w:rPr>
        <w:t>福利费</w:t>
      </w:r>
      <w:r>
        <w:rPr>
          <w:rFonts w:hint="eastAsia" w:ascii="仿宋_GB2312" w:hAnsi="仿宋" w:eastAsia="仿宋_GB2312" w:cs="仿宋_GB2312"/>
          <w:sz w:val="32"/>
          <w:szCs w:val="32"/>
          <w:lang w:val="en-US" w:eastAsia="zh-CN"/>
        </w:rPr>
        <w:t>0.5</w:t>
      </w:r>
      <w:r>
        <w:rPr>
          <w:rFonts w:hint="eastAsia" w:ascii="仿宋_GB2312" w:hAnsi="仿宋" w:eastAsia="仿宋_GB2312" w:cs="仿宋_GB2312"/>
          <w:sz w:val="32"/>
          <w:szCs w:val="32"/>
        </w:rPr>
        <w:t>万元, 公务用车运行维护费</w:t>
      </w:r>
      <w:r>
        <w:rPr>
          <w:rFonts w:hint="eastAsia" w:ascii="仿宋" w:hAnsi="仿宋" w:eastAsia="仿宋" w:cs="仿宋"/>
          <w:sz w:val="32"/>
          <w:szCs w:val="32"/>
          <w:lang w:val="en-US" w:eastAsia="zh-CN"/>
        </w:rPr>
        <w:t>8.98</w:t>
      </w:r>
      <w:r>
        <w:rPr>
          <w:rFonts w:hint="eastAsia" w:ascii="仿宋_GB2312" w:hAnsi="仿宋" w:eastAsia="仿宋_GB2312" w:cs="仿宋_GB2312"/>
          <w:sz w:val="32"/>
          <w:szCs w:val="32"/>
        </w:rPr>
        <w:t>万元、</w:t>
      </w:r>
      <w:r>
        <w:rPr>
          <w:rFonts w:hint="eastAsia" w:ascii="仿宋_GB2312" w:hAnsi="仿宋" w:eastAsia="仿宋_GB2312" w:cs="仿宋_GB2312"/>
          <w:sz w:val="32"/>
          <w:szCs w:val="32"/>
          <w:lang w:eastAsia="zh-CN"/>
        </w:rPr>
        <w:t>公务接待费</w:t>
      </w:r>
      <w:r>
        <w:rPr>
          <w:rFonts w:hint="eastAsia" w:ascii="仿宋_GB2312" w:hAnsi="仿宋" w:eastAsia="仿宋_GB2312" w:cs="仿宋_GB2312"/>
          <w:sz w:val="32"/>
          <w:szCs w:val="32"/>
          <w:lang w:val="en-US" w:eastAsia="zh-CN"/>
        </w:rPr>
        <w:t>0.15万元</w:t>
      </w:r>
      <w:r>
        <w:rPr>
          <w:rFonts w:hint="eastAsia" w:ascii="仿宋" w:hAnsi="仿宋" w:eastAsia="仿宋" w:cs="仿宋_GB2312"/>
          <w:sz w:val="32"/>
          <w:szCs w:val="32"/>
        </w:rPr>
        <w:t>。</w:t>
      </w:r>
    </w:p>
    <w:p w14:paraId="5EAEFBBE">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14:paraId="33A40451">
      <w:pPr>
        <w:spacing w:line="600" w:lineRule="exact"/>
        <w:ind w:firstLine="640"/>
        <w:outlineLvl w:val="2"/>
        <w:rPr>
          <w:rFonts w:ascii="仿宋_GB2312" w:eastAsia="仿宋_GB2312"/>
          <w:b w:val="0"/>
          <w:bCs/>
          <w:color w:val="000000"/>
          <w:sz w:val="32"/>
          <w:szCs w:val="32"/>
        </w:rPr>
      </w:pPr>
      <w:r>
        <w:rPr>
          <w:rFonts w:hint="eastAsia" w:ascii="仿宋_GB2312" w:eastAsia="仿宋_GB2312"/>
          <w:b w:val="0"/>
          <w:bCs/>
          <w:color w:val="000000"/>
          <w:sz w:val="32"/>
          <w:szCs w:val="32"/>
        </w:rPr>
        <w:t>（一）“三公”经费财政拨款支出决算总体情况说明</w:t>
      </w:r>
    </w:p>
    <w:p w14:paraId="62DEABF3">
      <w:pPr>
        <w:snapToGrid w:val="0"/>
        <w:spacing w:line="540" w:lineRule="exact"/>
        <w:ind w:firstLine="313" w:firstLineChars="98"/>
        <w:rPr>
          <w:rFonts w:ascii="仿宋_GB2312" w:hAnsi="仿宋" w:eastAsia="仿宋_GB2312"/>
          <w:b w:val="0"/>
          <w:bCs/>
          <w:color w:val="000000"/>
          <w:sz w:val="32"/>
          <w:szCs w:val="32"/>
        </w:rPr>
      </w:pPr>
      <w:r>
        <w:rPr>
          <w:rFonts w:hint="eastAsia" w:ascii="仿宋_GB2312" w:hAnsi="仿宋" w:eastAsia="仿宋_GB2312" w:cs="仿宋_GB2312"/>
          <w:b w:val="0"/>
          <w:bCs/>
          <w:sz w:val="32"/>
          <w:szCs w:val="32"/>
          <w:lang w:eastAsia="zh-CN"/>
        </w:rPr>
        <w:t>2024</w:t>
      </w:r>
      <w:r>
        <w:rPr>
          <w:rFonts w:hint="eastAsia" w:ascii="仿宋_GB2312" w:hAnsi="仿宋" w:eastAsia="仿宋_GB2312" w:cs="仿宋_GB2312"/>
          <w:b w:val="0"/>
          <w:bCs/>
          <w:sz w:val="32"/>
          <w:szCs w:val="32"/>
        </w:rPr>
        <w:t>年度“三公”经费财政拨款支出决算</w:t>
      </w:r>
      <w:r>
        <w:rPr>
          <w:rFonts w:hint="eastAsia" w:ascii="仿宋_GB2312" w:hAnsi="仿宋" w:eastAsia="仿宋_GB2312"/>
          <w:b w:val="0"/>
          <w:bCs/>
          <w:color w:val="333333"/>
          <w:sz w:val="32"/>
          <w:szCs w:val="32"/>
        </w:rPr>
        <w:t>数为</w:t>
      </w:r>
      <w:r>
        <w:rPr>
          <w:rFonts w:hint="eastAsia" w:ascii="仿宋_GB2312" w:hAnsi="仿宋" w:eastAsia="仿宋_GB2312"/>
          <w:b w:val="0"/>
          <w:bCs/>
          <w:color w:val="333333"/>
          <w:sz w:val="32"/>
          <w:szCs w:val="32"/>
          <w:lang w:val="en-US" w:eastAsia="zh-CN"/>
        </w:rPr>
        <w:t>9.13</w:t>
      </w:r>
      <w:r>
        <w:rPr>
          <w:rFonts w:hint="eastAsia" w:ascii="仿宋_GB2312" w:hAnsi="仿宋" w:eastAsia="仿宋_GB2312"/>
          <w:b w:val="0"/>
          <w:bCs/>
          <w:color w:val="333333"/>
          <w:sz w:val="32"/>
          <w:szCs w:val="32"/>
        </w:rPr>
        <w:t>万元</w:t>
      </w:r>
      <w:r>
        <w:rPr>
          <w:rFonts w:hint="eastAsia" w:ascii="仿宋_GB2312" w:hAnsi="仿宋" w:eastAsia="仿宋_GB2312" w:cs="仿宋_GB2312"/>
          <w:b w:val="0"/>
          <w:bCs/>
          <w:sz w:val="32"/>
          <w:szCs w:val="32"/>
        </w:rPr>
        <w:t>，完成预算数</w:t>
      </w:r>
      <w:r>
        <w:rPr>
          <w:rFonts w:hint="eastAsia" w:ascii="仿宋_GB2312" w:hAnsi="仿宋" w:eastAsia="仿宋_GB2312" w:cs="仿宋_GB2312"/>
          <w:b w:val="0"/>
          <w:bCs/>
          <w:sz w:val="32"/>
          <w:szCs w:val="32"/>
          <w:lang w:val="en-US" w:eastAsia="zh-CN"/>
        </w:rPr>
        <w:t>100</w:t>
      </w:r>
      <w:r>
        <w:rPr>
          <w:rFonts w:hint="eastAsia" w:ascii="仿宋_GB2312" w:hAnsi="仿宋" w:eastAsia="仿宋_GB2312" w:cs="仿宋_GB2312"/>
          <w:b w:val="0"/>
          <w:bCs/>
          <w:sz w:val="32"/>
          <w:szCs w:val="32"/>
        </w:rPr>
        <w:t>%</w:t>
      </w:r>
      <w:r>
        <w:rPr>
          <w:rFonts w:hint="eastAsia" w:ascii="仿宋_GB2312" w:eastAsia="仿宋_GB2312" w:cs="仿宋"/>
          <w:b w:val="0"/>
          <w:bCs/>
          <w:color w:val="000000"/>
          <w:sz w:val="32"/>
          <w:szCs w:val="32"/>
        </w:rPr>
        <w:t xml:space="preserve"> </w:t>
      </w:r>
      <w:r>
        <w:rPr>
          <w:rFonts w:hint="eastAsia" w:ascii="仿宋_GB2312" w:hAnsi="仿宋" w:eastAsia="仿宋_GB2312" w:cs="仿宋_GB2312"/>
          <w:b w:val="0"/>
          <w:bCs/>
          <w:sz w:val="32"/>
          <w:szCs w:val="32"/>
        </w:rPr>
        <w:t>。</w:t>
      </w:r>
    </w:p>
    <w:p w14:paraId="0ACE4075">
      <w:pPr>
        <w:spacing w:line="600" w:lineRule="exact"/>
        <w:ind w:firstLine="640"/>
        <w:outlineLvl w:val="2"/>
        <w:rPr>
          <w:rFonts w:ascii="仿宋_GB2312" w:eastAsia="仿宋_GB2312"/>
          <w:b w:val="0"/>
          <w:bCs/>
          <w:color w:val="000000"/>
          <w:sz w:val="32"/>
          <w:szCs w:val="32"/>
        </w:rPr>
      </w:pPr>
      <w:r>
        <w:rPr>
          <w:rFonts w:hint="eastAsia" w:ascii="仿宋_GB2312" w:eastAsia="仿宋_GB2312"/>
          <w:b w:val="0"/>
          <w:bCs/>
          <w:color w:val="000000"/>
          <w:sz w:val="32"/>
          <w:szCs w:val="32"/>
        </w:rPr>
        <w:t>（二）“三公”经费财政拨款支出决算具体情况说明</w:t>
      </w:r>
    </w:p>
    <w:p w14:paraId="5D3C7563">
      <w:pPr>
        <w:spacing w:line="600" w:lineRule="exact"/>
        <w:ind w:firstLine="640"/>
        <w:rPr>
          <w:rFonts w:hint="eastAsia"/>
        </w:rPr>
      </w:pPr>
      <w:r>
        <w:rPr>
          <w:rFonts w:hint="eastAsia" w:ascii="仿宋_GB2312" w:hAnsi="仿宋" w:eastAsia="仿宋_GB2312"/>
          <w:color w:val="333333"/>
          <w:sz w:val="32"/>
          <w:szCs w:val="32"/>
          <w:lang w:eastAsia="zh-CN"/>
        </w:rPr>
        <w:t>2024</w:t>
      </w:r>
      <w:r>
        <w:rPr>
          <w:rFonts w:hint="eastAsia" w:ascii="仿宋_GB2312" w:hAnsi="仿宋" w:eastAsia="仿宋_GB2312"/>
          <w:color w:val="333333"/>
          <w:sz w:val="32"/>
          <w:szCs w:val="32"/>
        </w:rPr>
        <w:t>年度“三公”经费财政拨款支出决算数为</w:t>
      </w:r>
      <w:r>
        <w:rPr>
          <w:rFonts w:hint="eastAsia" w:ascii="仿宋_GB2312" w:hAnsi="仿宋" w:eastAsia="仿宋_GB2312"/>
          <w:color w:val="333333"/>
          <w:sz w:val="32"/>
          <w:szCs w:val="32"/>
          <w:lang w:val="en-US" w:eastAsia="zh-CN"/>
        </w:rPr>
        <w:t>9.13</w:t>
      </w:r>
      <w:r>
        <w:rPr>
          <w:rFonts w:hint="eastAsia" w:ascii="仿宋_GB2312" w:hAnsi="仿宋" w:eastAsia="仿宋_GB2312"/>
          <w:color w:val="333333"/>
          <w:sz w:val="32"/>
          <w:szCs w:val="32"/>
        </w:rPr>
        <w:t>万元，因公出国（境）费0万元；公务用车购置及运行维护费支出决算</w:t>
      </w:r>
      <w:r>
        <w:rPr>
          <w:rFonts w:hint="eastAsia" w:ascii="仿宋" w:hAnsi="仿宋" w:eastAsia="仿宋" w:cs="仿宋"/>
          <w:sz w:val="32"/>
          <w:szCs w:val="32"/>
          <w:lang w:val="en-US" w:eastAsia="zh-CN"/>
        </w:rPr>
        <w:t>8.98</w:t>
      </w:r>
      <w:r>
        <w:rPr>
          <w:rFonts w:hint="eastAsia" w:ascii="仿宋_GB2312" w:hAnsi="仿宋" w:eastAsia="仿宋_GB2312"/>
          <w:color w:val="333333"/>
          <w:sz w:val="32"/>
          <w:szCs w:val="32"/>
        </w:rPr>
        <w:t>万元，</w:t>
      </w:r>
      <w:r>
        <w:rPr>
          <w:rFonts w:hint="eastAsia" w:ascii="仿宋_GB2312" w:hAnsi="仿宋" w:eastAsia="仿宋_GB2312"/>
          <w:color w:val="000000"/>
          <w:sz w:val="32"/>
          <w:szCs w:val="32"/>
        </w:rPr>
        <w:t>占</w:t>
      </w:r>
      <w:r>
        <w:rPr>
          <w:rFonts w:hint="eastAsia" w:ascii="仿宋_GB2312" w:hAnsi="仿宋" w:eastAsia="仿宋_GB2312"/>
          <w:color w:val="000000"/>
          <w:sz w:val="32"/>
          <w:szCs w:val="32"/>
          <w:lang w:val="en-US" w:eastAsia="zh-CN"/>
        </w:rPr>
        <w:t>98</w:t>
      </w:r>
      <w:r>
        <w:rPr>
          <w:rFonts w:hint="eastAsia" w:ascii="仿宋_GB2312" w:hAnsi="仿宋" w:eastAsia="仿宋_GB2312"/>
          <w:color w:val="000000"/>
          <w:sz w:val="32"/>
          <w:szCs w:val="32"/>
        </w:rPr>
        <w:t>%</w:t>
      </w:r>
      <w:r>
        <w:rPr>
          <w:rFonts w:hint="eastAsia" w:ascii="仿宋_GB2312" w:hAnsi="仿宋" w:eastAsia="仿宋_GB2312"/>
          <w:color w:val="333333"/>
          <w:sz w:val="32"/>
          <w:szCs w:val="32"/>
        </w:rPr>
        <w:t>；公务接待费支出决算0</w:t>
      </w:r>
      <w:r>
        <w:rPr>
          <w:rFonts w:hint="eastAsia" w:ascii="仿宋_GB2312" w:hAnsi="仿宋" w:eastAsia="仿宋_GB2312"/>
          <w:color w:val="333333"/>
          <w:sz w:val="32"/>
          <w:szCs w:val="32"/>
          <w:lang w:val="en-US" w:eastAsia="zh-CN"/>
        </w:rPr>
        <w:t>.15</w:t>
      </w:r>
      <w:r>
        <w:rPr>
          <w:rFonts w:hint="eastAsia" w:ascii="仿宋_GB2312" w:hAnsi="仿宋" w:eastAsia="仿宋_GB2312"/>
          <w:color w:val="333333"/>
          <w:sz w:val="32"/>
          <w:szCs w:val="32"/>
        </w:rPr>
        <w:t>万元，</w:t>
      </w:r>
      <w:r>
        <w:rPr>
          <w:rFonts w:hint="eastAsia" w:ascii="仿宋_GB2312" w:hAnsi="仿宋" w:eastAsia="仿宋_GB2312"/>
          <w:color w:val="333333"/>
          <w:sz w:val="32"/>
          <w:szCs w:val="32"/>
          <w:lang w:val="en-US" w:eastAsia="zh-CN"/>
        </w:rPr>
        <w:t>占1.64%，</w:t>
      </w:r>
      <w:r>
        <w:rPr>
          <w:rFonts w:hint="eastAsia" w:ascii="仿宋_GB2312" w:eastAsia="仿宋_GB2312"/>
          <w:color w:val="000000"/>
          <w:sz w:val="32"/>
          <w:szCs w:val="32"/>
        </w:rPr>
        <w:t>具体情况如下：</w:t>
      </w:r>
    </w:p>
    <w:p w14:paraId="7E01956B">
      <w:pPr>
        <w:numPr>
          <w:ilvl w:val="0"/>
          <w:numId w:val="0"/>
        </w:numPr>
        <w:rPr>
          <w:rFonts w:hint="eastAsia"/>
        </w:rPr>
      </w:pPr>
      <w:r>
        <w:rPr>
          <w:rFonts w:hint="eastAsia" w:ascii="仿宋" w:eastAsia="仿宋"/>
          <w:color w:val="000000"/>
          <w:sz w:val="32"/>
          <w:szCs w:val="32"/>
        </w:rPr>
        <w:drawing>
          <wp:anchor distT="0" distB="0" distL="114300" distR="114300" simplePos="0" relativeHeight="251665408" behindDoc="0" locked="0" layoutInCell="1" allowOverlap="1">
            <wp:simplePos x="0" y="0"/>
            <wp:positionH relativeFrom="column">
              <wp:posOffset>111760</wp:posOffset>
            </wp:positionH>
            <wp:positionV relativeFrom="paragraph">
              <wp:posOffset>148590</wp:posOffset>
            </wp:positionV>
            <wp:extent cx="5071110" cy="2591435"/>
            <wp:effectExtent l="4445" t="4445" r="10795" b="1397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5E19573A">
      <w:pPr>
        <w:snapToGrid w:val="0"/>
        <w:spacing w:line="540" w:lineRule="exact"/>
        <w:ind w:firstLine="482" w:firstLineChars="150"/>
        <w:rPr>
          <w:rFonts w:ascii="仿宋_GB2312" w:hAnsi="仿宋" w:eastAsia="仿宋_GB2312"/>
          <w:b/>
          <w:bCs/>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Fonts w:hint="eastAsia" w:ascii="仿宋_GB2312" w:hAnsi="仿宋" w:eastAsia="仿宋_GB2312" w:cs="仿宋_GB2312"/>
          <w:sz w:val="32"/>
          <w:szCs w:val="32"/>
        </w:rPr>
        <w:t>全年安排因公出国（境）团组0次，出国（境）0人。因公出国（境）支出决算比2021年比无变化。</w:t>
      </w:r>
    </w:p>
    <w:p w14:paraId="044510E3">
      <w:pPr>
        <w:snapToGrid w:val="0"/>
        <w:spacing w:line="540" w:lineRule="exact"/>
        <w:ind w:firstLine="482" w:firstLineChars="150"/>
        <w:rPr>
          <w:rFonts w:hint="default" w:ascii="仿宋_GB2312" w:hAnsi="仿宋" w:eastAsia="仿宋_GB2312"/>
          <w:b/>
          <w:bCs/>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 w:hAnsi="仿宋" w:eastAsia="仿宋" w:cs="仿宋_GB2312"/>
          <w:sz w:val="32"/>
          <w:szCs w:val="32"/>
        </w:rPr>
        <w:t>：</w:t>
      </w:r>
      <w:r>
        <w:rPr>
          <w:rFonts w:hint="eastAsia" w:ascii="仿宋_GB2312" w:hAnsi="仿宋" w:eastAsia="仿宋_GB2312" w:cs="仿宋_GB2312"/>
          <w:sz w:val="32"/>
          <w:szCs w:val="32"/>
        </w:rPr>
        <w:t>公务用车购置支出0万元。公务用车运行维护费支出</w:t>
      </w:r>
      <w:r>
        <w:rPr>
          <w:rFonts w:hint="eastAsia" w:ascii="仿宋_GB2312" w:hAnsi="仿宋" w:eastAsia="仿宋_GB2312" w:cs="仿宋_GB2312"/>
          <w:sz w:val="32"/>
          <w:szCs w:val="32"/>
          <w:lang w:val="en-US" w:eastAsia="zh-CN"/>
        </w:rPr>
        <w:t>8.98</w:t>
      </w:r>
      <w:r>
        <w:rPr>
          <w:rFonts w:hint="eastAsia" w:ascii="仿宋_GB2312" w:hAnsi="仿宋" w:eastAsia="仿宋_GB2312" w:cs="仿宋_GB2312"/>
          <w:sz w:val="32"/>
          <w:szCs w:val="32"/>
        </w:rPr>
        <w:t>万元。均用于开展人社工作日常事务时车辆的燃料费、维修费、过路过桥费、保险费等支出，公务用车购置及运行维护费支出决算比202</w:t>
      </w:r>
      <w:r>
        <w:rPr>
          <w:rFonts w:hint="eastAsia" w:ascii="仿宋_GB2312" w:hAnsi="仿宋" w:eastAsia="仿宋_GB2312" w:cs="仿宋_GB2312"/>
          <w:sz w:val="32"/>
          <w:szCs w:val="32"/>
          <w:lang w:val="en-US" w:eastAsia="zh-CN"/>
        </w:rPr>
        <w:t>3</w:t>
      </w:r>
      <w:r>
        <w:rPr>
          <w:rFonts w:hint="eastAsia" w:ascii="仿宋_GB2312" w:hAnsi="仿宋" w:eastAsia="仿宋_GB2312" w:cs="仿宋_GB2312"/>
          <w:sz w:val="32"/>
          <w:szCs w:val="32"/>
        </w:rPr>
        <w:t xml:space="preserve">年 </w:t>
      </w:r>
      <w:r>
        <w:rPr>
          <w:rFonts w:hint="eastAsia" w:ascii="仿宋_GB2312" w:hAnsi="仿宋" w:eastAsia="仿宋_GB2312" w:cs="仿宋_GB2312"/>
          <w:sz w:val="32"/>
          <w:szCs w:val="32"/>
          <w:lang w:val="en-US" w:eastAsia="zh-CN"/>
        </w:rPr>
        <w:t>增加3.84</w:t>
      </w:r>
      <w:r>
        <w:rPr>
          <w:rFonts w:hint="eastAsia" w:ascii="仿宋_GB2312" w:hAnsi="仿宋" w:eastAsia="仿宋_GB2312" w:cs="仿宋_GB2312"/>
          <w:sz w:val="32"/>
          <w:szCs w:val="32"/>
        </w:rPr>
        <w:t>万元，</w:t>
      </w:r>
      <w:r>
        <w:rPr>
          <w:rFonts w:hint="eastAsia" w:ascii="仿宋_GB2312" w:hAnsi="仿宋" w:eastAsia="仿宋_GB2312" w:cs="仿宋_GB2312"/>
          <w:sz w:val="32"/>
          <w:szCs w:val="32"/>
          <w:lang w:val="en-US" w:eastAsia="zh-CN"/>
        </w:rPr>
        <w:t>增加74.71</w:t>
      </w:r>
      <w:r>
        <w:rPr>
          <w:rFonts w:hint="eastAsia" w:ascii="仿宋_GB2312" w:hAnsi="仿宋" w:eastAsia="仿宋_GB2312" w:cs="仿宋_GB2312"/>
          <w:sz w:val="32"/>
          <w:szCs w:val="32"/>
        </w:rPr>
        <w:t>% 。</w:t>
      </w:r>
      <w:r>
        <w:rPr>
          <w:rFonts w:hint="eastAsia" w:ascii="仿宋_GB2312" w:hAnsi="仿宋" w:eastAsia="仿宋_GB2312" w:cs="仿宋_GB2312"/>
          <w:sz w:val="32"/>
          <w:szCs w:val="32"/>
          <w:lang w:val="en-US" w:eastAsia="zh-CN"/>
        </w:rPr>
        <w:t>增加</w:t>
      </w:r>
      <w:r>
        <w:rPr>
          <w:rFonts w:hint="eastAsia" w:ascii="仿宋_GB2312" w:eastAsia="仿宋_GB2312" w:cs="仿宋"/>
          <w:color w:val="000000"/>
          <w:sz w:val="32"/>
          <w:szCs w:val="32"/>
        </w:rPr>
        <w:t>主要原因是：我单位</w:t>
      </w:r>
      <w:r>
        <w:rPr>
          <w:rFonts w:hint="eastAsia" w:ascii="仿宋_GB2312" w:eastAsia="仿宋_GB2312" w:cs="仿宋"/>
          <w:color w:val="000000"/>
          <w:sz w:val="32"/>
          <w:szCs w:val="32"/>
          <w:lang w:val="en-US" w:eastAsia="zh-CN"/>
        </w:rPr>
        <w:t>车辆老旧，车辆维修费和保险费增加。</w:t>
      </w:r>
    </w:p>
    <w:p w14:paraId="1D91D7CB">
      <w:pPr>
        <w:numPr>
          <w:ilvl w:val="0"/>
          <w:numId w:val="0"/>
        </w:numPr>
        <w:spacing w:line="600" w:lineRule="exact"/>
        <w:ind w:firstLine="321" w:firstLineChars="100"/>
        <w:rPr>
          <w:rFonts w:ascii="仿宋_GB2312" w:eastAsia="仿宋_GB2312" w:cs="仿宋"/>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s="仿宋"/>
          <w:color w:val="000000"/>
          <w:sz w:val="32"/>
          <w:szCs w:val="32"/>
          <w:lang w:val="en-US" w:eastAsia="zh-CN"/>
        </w:rPr>
        <w:t>0.15</w:t>
      </w:r>
      <w:r>
        <w:rPr>
          <w:rFonts w:hint="eastAsia" w:ascii="仿宋_GB2312" w:eastAsia="仿宋_GB2312" w:cs="仿宋"/>
          <w:color w:val="000000"/>
          <w:sz w:val="32"/>
          <w:szCs w:val="32"/>
        </w:rPr>
        <w:t>万元，较上年</w:t>
      </w:r>
      <w:r>
        <w:rPr>
          <w:rFonts w:hint="eastAsia" w:ascii="仿宋_GB2312" w:eastAsia="仿宋_GB2312" w:cs="仿宋"/>
          <w:color w:val="000000"/>
          <w:sz w:val="32"/>
          <w:szCs w:val="32"/>
          <w:lang w:val="en-US" w:eastAsia="zh-CN"/>
        </w:rPr>
        <w:t>增加0</w:t>
      </w:r>
      <w:r>
        <w:rPr>
          <w:rFonts w:hint="eastAsia" w:ascii="仿宋_GB2312" w:eastAsia="仿宋_GB2312" w:cs="仿宋"/>
          <w:color w:val="000000"/>
          <w:sz w:val="32"/>
          <w:szCs w:val="32"/>
        </w:rPr>
        <w:t>万元。</w:t>
      </w:r>
    </w:p>
    <w:p w14:paraId="4EE6BADA">
      <w:pPr>
        <w:spacing w:line="600" w:lineRule="exact"/>
        <w:ind w:firstLine="640"/>
        <w:outlineLvl w:val="1"/>
        <w:rPr>
          <w:rFonts w:hint="eastAsia" w:ascii="Times New Roman" w:hAnsi="Times New Roman" w:eastAsia="仿宋_GB2312" w:cs="仿宋_GB2312"/>
          <w:color w:val="auto"/>
          <w:sz w:val="32"/>
          <w:szCs w:val="32"/>
          <w:highlight w:val="none"/>
        </w:rPr>
      </w:pPr>
      <w:r>
        <w:rPr>
          <w:rFonts w:hint="eastAsia" w:ascii="仿宋_GB2312" w:eastAsia="仿宋_GB2312"/>
          <w:b/>
          <w:color w:val="000000"/>
          <w:sz w:val="32"/>
          <w:szCs w:val="32"/>
        </w:rPr>
        <w:t>外事接待支出</w:t>
      </w:r>
      <w:r>
        <w:rPr>
          <w:rFonts w:hint="eastAsia" w:ascii="仿宋_GB2312" w:eastAsia="仿宋_GB2312"/>
          <w:color w:val="000000"/>
          <w:sz w:val="32"/>
          <w:szCs w:val="32"/>
        </w:rPr>
        <w:t>0万元，外事接待0批次，0人，共计支出0万元。</w:t>
      </w:r>
    </w:p>
    <w:p w14:paraId="36B3115C">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政府性基金预算支出决算情况说明</w:t>
      </w:r>
    </w:p>
    <w:p w14:paraId="51A486FD">
      <w:pPr>
        <w:numPr>
          <w:ilvl w:val="0"/>
          <w:numId w:val="0"/>
        </w:numPr>
        <w:ind w:left="630" w:leftChars="0"/>
        <w:rPr>
          <w:rFonts w:hint="eastAsia"/>
        </w:rPr>
      </w:pPr>
      <w:r>
        <w:rPr>
          <w:rFonts w:hint="eastAsia" w:ascii="仿宋_GB2312" w:eastAsia="仿宋_GB2312"/>
          <w:color w:val="000000"/>
          <w:sz w:val="32"/>
          <w:szCs w:val="32"/>
          <w:lang w:eastAsia="zh-CN"/>
        </w:rPr>
        <w:t>2024</w:t>
      </w:r>
      <w:r>
        <w:rPr>
          <w:rFonts w:hint="eastAsia" w:ascii="仿宋_GB2312" w:eastAsia="仿宋_GB2312"/>
          <w:color w:val="000000"/>
          <w:sz w:val="32"/>
          <w:szCs w:val="32"/>
        </w:rPr>
        <w:t>年政府性基金预算拨款支出0万元。</w:t>
      </w:r>
    </w:p>
    <w:p w14:paraId="16F6AF47">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14:paraId="0116DB9F">
      <w:pPr>
        <w:numPr>
          <w:ilvl w:val="0"/>
          <w:numId w:val="0"/>
        </w:numPr>
        <w:ind w:left="630" w:leftChars="0"/>
        <w:rPr>
          <w:rFonts w:hint="eastAsia"/>
        </w:rPr>
      </w:pPr>
      <w:r>
        <w:rPr>
          <w:rFonts w:hint="eastAsia" w:ascii="仿宋_GB2312" w:eastAsia="仿宋_GB2312"/>
          <w:color w:val="000000"/>
          <w:sz w:val="32"/>
          <w:szCs w:val="32"/>
          <w:lang w:eastAsia="zh-CN"/>
        </w:rPr>
        <w:t>2024</w:t>
      </w:r>
      <w:r>
        <w:rPr>
          <w:rFonts w:hint="eastAsia" w:ascii="仿宋_GB2312" w:eastAsia="仿宋_GB2312"/>
          <w:color w:val="000000"/>
          <w:sz w:val="32"/>
          <w:szCs w:val="32"/>
        </w:rPr>
        <w:t>年国有资本经营预算拨款支出0万元。</w:t>
      </w:r>
    </w:p>
    <w:p w14:paraId="303ABE06">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其他重要事项的情况说明</w:t>
      </w:r>
    </w:p>
    <w:p w14:paraId="37F81F0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（一）机关运行经费支出情况</w:t>
      </w:r>
    </w:p>
    <w:p w14:paraId="498B516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2024年度，金川县人力资源和社会保障局机关运行经费  39.73万元。比2023年增加14.82万元，增长59.49%。主要原因是办公费、电费、邮电费等办公经费增加。</w:t>
      </w:r>
    </w:p>
    <w:p w14:paraId="32AC3C7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p>
    <w:p w14:paraId="57A7D04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金川县人力资源和社会保障局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2AEC2DA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（三）国有资产占有使用情况</w:t>
      </w:r>
    </w:p>
    <w:p w14:paraId="55AB3986">
      <w:pPr>
        <w:spacing w:line="600" w:lineRule="exact"/>
        <w:ind w:firstLine="640"/>
        <w:rPr>
          <w:rFonts w:hint="eastAsi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金川县人力资源和社会保障局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0A56B28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w:t>
      </w:r>
      <w:r>
        <w:rPr>
          <w:rFonts w:hint="eastAsia" w:ascii="Times New Roman" w:hAnsi="Times New Roman" w:eastAsia="楷体_GB2312" w:cs="楷体_GB2312"/>
          <w:b/>
          <w:color w:val="auto"/>
          <w:sz w:val="32"/>
          <w:szCs w:val="32"/>
          <w:highlight w:val="none"/>
          <w:lang w:val="en-US" w:eastAsia="zh-CN"/>
        </w:rPr>
        <w:t>四</w:t>
      </w:r>
      <w:r>
        <w:rPr>
          <w:rFonts w:hint="eastAsia" w:ascii="Times New Roman" w:hAnsi="Times New Roman" w:eastAsia="楷体_GB2312" w:cs="楷体_GB2312"/>
          <w:b/>
          <w:color w:val="auto"/>
          <w:sz w:val="32"/>
          <w:szCs w:val="32"/>
          <w:highlight w:val="none"/>
        </w:rPr>
        <w:t>）预算绩效管理开展情况</w:t>
      </w:r>
    </w:p>
    <w:p w14:paraId="196173B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sz w:val="32"/>
          <w:szCs w:val="32"/>
        </w:rPr>
        <w:t xml:space="preserve">  </w:t>
      </w: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三支一扶项目</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eastAsia="仿宋_GB2312" w:cs="仿宋_GB2312"/>
          <w:color w:val="auto"/>
          <w:kern w:val="2"/>
          <w:sz w:val="32"/>
          <w:szCs w:val="32"/>
          <w:highlight w:val="none"/>
          <w:lang w:val="en-US" w:eastAsia="zh-CN" w:bidi="ar-SA"/>
        </w:rPr>
        <w:t>三支一扶项目</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39E13845">
      <w:pPr>
        <w:pStyle w:val="27"/>
        <w:spacing w:line="580" w:lineRule="exact"/>
        <w:ind w:firstLine="0" w:firstLineChars="0"/>
        <w:rPr>
          <w:rFonts w:ascii="仿宋_GB2312" w:eastAsia="仿宋_GB2312" w:cs="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三支一扶项目</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w:t>
      </w:r>
      <w:r>
        <w:rPr>
          <w:rFonts w:hint="eastAsia" w:eastAsia="仿宋_GB2312" w:cs="仿宋_GB2312"/>
          <w:color w:val="auto"/>
          <w:kern w:val="2"/>
          <w:sz w:val="32"/>
          <w:szCs w:val="32"/>
          <w:highlight w:val="none"/>
          <w:lang w:val="en-US" w:eastAsia="zh-CN" w:bidi="ar-SA"/>
        </w:rPr>
        <w:t>三支一扶</w:t>
      </w:r>
      <w:r>
        <w:rPr>
          <w:rFonts w:hint="eastAsia" w:ascii="Times New Roman" w:hAnsi="Times New Roman" w:eastAsia="仿宋_GB2312" w:cs="仿宋_GB2312"/>
          <w:color w:val="auto"/>
          <w:kern w:val="2"/>
          <w:sz w:val="32"/>
          <w:szCs w:val="32"/>
          <w:highlight w:val="none"/>
          <w:lang w:val="en-US" w:eastAsia="zh-CN" w:bidi="ar-SA"/>
        </w:rPr>
        <w:t>专项预算项目绩效自评报告，其中，</w:t>
      </w:r>
      <w:r>
        <w:rPr>
          <w:rFonts w:hint="eastAsia" w:eastAsia="仿宋_GB2312" w:cs="仿宋_GB2312"/>
          <w:color w:val="auto"/>
          <w:kern w:val="2"/>
          <w:sz w:val="32"/>
          <w:szCs w:val="32"/>
          <w:highlight w:val="none"/>
          <w:lang w:val="en-US" w:eastAsia="zh-CN" w:bidi="ar-SA"/>
        </w:rPr>
        <w:t>三支一扶项目</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86</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补贴“三支一扶”人员工作生活补贴、办理社保、体检培训等方面的支出</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三支一扶</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98</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为我县基层农业、卫生和乡村振兴等社会事业的发展提供人才支撑，营造鼓励高校毕业生到基层工作的良好氛围</w:t>
      </w:r>
      <w:r>
        <w:rPr>
          <w:rFonts w:hint="eastAsia" w:ascii="Times New Roman" w:hAnsi="Times New Roman" w:eastAsia="仿宋_GB2312" w:cs="仿宋_GB2312"/>
          <w:color w:val="auto"/>
          <w:kern w:val="2"/>
          <w:sz w:val="32"/>
          <w:szCs w:val="32"/>
          <w:highlight w:val="none"/>
          <w:lang w:val="en-US" w:eastAsia="zh-CN" w:bidi="ar-SA"/>
        </w:rPr>
        <w:t>。</w:t>
      </w:r>
    </w:p>
    <w:p w14:paraId="2281EE67">
      <w:pPr>
        <w:numPr>
          <w:ilvl w:val="0"/>
          <w:numId w:val="0"/>
        </w:numPr>
        <w:tabs>
          <w:tab w:val="left" w:pos="0"/>
        </w:tabs>
        <w:spacing w:line="580" w:lineRule="exact"/>
        <w:ind w:leftChars="200"/>
        <w:jc w:val="left"/>
        <w:rPr>
          <w:rFonts w:ascii="仿宋_GB2312" w:eastAsia="仿宋_GB2312" w:cs="仿宋_GB2312"/>
          <w:sz w:val="32"/>
          <w:szCs w:val="32"/>
        </w:rPr>
      </w:pPr>
      <w:r>
        <w:rPr>
          <w:rFonts w:hint="eastAsia" w:ascii="仿宋" w:eastAsia="仿宋" w:cs="楷体_GB2312"/>
          <w:b/>
          <w:bCs/>
          <w:sz w:val="32"/>
          <w:szCs w:val="32"/>
          <w:lang w:val="en-US" w:eastAsia="zh-CN"/>
        </w:rPr>
        <w:t>（二）</w:t>
      </w:r>
      <w:r>
        <w:rPr>
          <w:rFonts w:hint="eastAsia" w:ascii="仿宋" w:eastAsia="仿宋" w:cs="楷体_GB2312"/>
          <w:b/>
          <w:bCs/>
          <w:sz w:val="32"/>
          <w:szCs w:val="32"/>
        </w:rPr>
        <w:t>项目绩效目标完成情况。</w:t>
      </w:r>
    </w:p>
    <w:p w14:paraId="3353CD18">
      <w:pPr>
        <w:adjustRightInd w:val="0"/>
        <w:snapToGrid w:val="0"/>
        <w:spacing w:line="560" w:lineRule="exact"/>
        <w:ind w:firstLine="320" w:firstLineChars="100"/>
        <w:rPr>
          <w:rFonts w:hint="eastAsia" w:ascii="仿宋_GB2312" w:eastAsia="仿宋_GB2312" w:cs="仿宋_GB2312"/>
          <w:sz w:val="32"/>
          <w:szCs w:val="32"/>
        </w:rPr>
      </w:pPr>
      <w:r>
        <w:rPr>
          <w:rFonts w:ascii="仿宋_GB2312" w:eastAsia="仿宋_GB2312" w:cs="仿宋_GB2312"/>
          <w:sz w:val="32"/>
          <w:szCs w:val="32"/>
        </w:rPr>
        <w:t>“</w:t>
      </w:r>
      <w:r>
        <w:rPr>
          <w:rFonts w:hint="eastAsia" w:ascii="仿宋_GB2312" w:eastAsia="仿宋_GB2312" w:cs="仿宋_GB2312"/>
          <w:sz w:val="32"/>
          <w:szCs w:val="32"/>
        </w:rPr>
        <w:t>三支一扶”专项资金严格按照文件要求执行，按时发放到位，对照预算计划完成目标。“三支一扶”专项资金共计</w:t>
      </w:r>
      <w:r>
        <w:rPr>
          <w:rFonts w:hint="eastAsia" w:ascii="仿宋" w:hAnsi="仿宋" w:eastAsia="仿宋" w:cs="仿宋"/>
          <w:sz w:val="32"/>
          <w:szCs w:val="32"/>
          <w:lang w:val="en-US" w:eastAsia="zh-CN"/>
        </w:rPr>
        <w:t>57.72</w:t>
      </w:r>
      <w:r>
        <w:rPr>
          <w:rFonts w:hint="eastAsia" w:ascii="仿宋_GB2312" w:eastAsia="仿宋_GB2312" w:cs="仿宋_GB2312"/>
          <w:sz w:val="32"/>
          <w:szCs w:val="32"/>
        </w:rPr>
        <w:t>元，预算资金到位</w:t>
      </w:r>
      <w:r>
        <w:rPr>
          <w:rFonts w:hint="eastAsia" w:ascii="仿宋" w:hAnsi="仿宋" w:eastAsia="仿宋" w:cs="仿宋"/>
          <w:sz w:val="32"/>
          <w:szCs w:val="32"/>
          <w:lang w:val="en-US" w:eastAsia="zh-CN"/>
        </w:rPr>
        <w:t>57.72</w:t>
      </w:r>
      <w:r>
        <w:rPr>
          <w:rFonts w:hint="eastAsia" w:ascii="仿宋_GB2312" w:eastAsia="仿宋_GB2312" w:cs="仿宋_GB2312"/>
          <w:sz w:val="32"/>
          <w:szCs w:val="32"/>
        </w:rPr>
        <w:t>元，执行率100.00%。</w:t>
      </w: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07F19467">
        <w:tblPrEx>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14:paraId="2DC1822C">
            <w:pPr>
              <w:widowControl/>
              <w:jc w:val="center"/>
              <w:textAlignment w:val="center"/>
              <w:rPr>
                <w:rFonts w:hint="eastAsia" w:ascii="宋体" w:cs="宋体"/>
                <w:color w:val="000000"/>
                <w:kern w:val="0"/>
                <w:sz w:val="24"/>
              </w:rPr>
            </w:pPr>
            <w:r>
              <w:rPr>
                <w:rFonts w:hint="eastAsia" w:ascii="宋体" w:cs="宋体"/>
                <w:color w:val="000000"/>
                <w:kern w:val="0"/>
                <w:sz w:val="24"/>
              </w:rPr>
              <w:t>项目支出绩效目标完成情况表</w:t>
            </w:r>
            <w:r>
              <w:rPr>
                <w:rFonts w:hint="eastAsia" w:ascii="宋体" w:cs="宋体"/>
                <w:color w:val="000000"/>
                <w:kern w:val="0"/>
                <w:sz w:val="24"/>
              </w:rPr>
              <w:br w:type="textWrapping"/>
            </w:r>
            <w:r>
              <w:rPr>
                <w:rFonts w:hint="eastAsia" w:ascii="宋体" w:cs="宋体"/>
                <w:color w:val="000000"/>
                <w:kern w:val="0"/>
                <w:sz w:val="24"/>
              </w:rPr>
              <w:t>(</w:t>
            </w:r>
            <w:r>
              <w:rPr>
                <w:rFonts w:hint="eastAsia" w:ascii="宋体" w:cs="宋体"/>
                <w:color w:val="000000"/>
                <w:kern w:val="0"/>
                <w:sz w:val="24"/>
                <w:lang w:eastAsia="zh-CN"/>
              </w:rPr>
              <w:t>2024</w:t>
            </w:r>
            <w:r>
              <w:rPr>
                <w:rFonts w:hint="eastAsia" w:ascii="宋体" w:cs="宋体"/>
                <w:color w:val="000000"/>
                <w:kern w:val="0"/>
                <w:sz w:val="24"/>
              </w:rPr>
              <w:t>年度)</w:t>
            </w:r>
          </w:p>
        </w:tc>
      </w:tr>
      <w:tr w14:paraId="7412287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804302">
            <w:pPr>
              <w:widowControl/>
              <w:jc w:val="center"/>
              <w:textAlignment w:val="center"/>
              <w:rPr>
                <w:rFonts w:hint="eastAsia" w:ascii="宋体" w:cs="宋体"/>
                <w:color w:val="000000"/>
                <w:kern w:val="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1E0CA">
            <w:pPr>
              <w:widowControl/>
              <w:jc w:val="center"/>
              <w:textAlignment w:val="center"/>
              <w:rPr>
                <w:rFonts w:hint="eastAsia" w:ascii="宋体" w:cs="宋体"/>
                <w:color w:val="000000"/>
                <w:kern w:val="0"/>
                <w:sz w:val="24"/>
              </w:rPr>
            </w:pPr>
            <w:r>
              <w:rPr>
                <w:rFonts w:hint="eastAsia" w:ascii="宋体" w:cs="宋体"/>
                <w:color w:val="000000"/>
                <w:kern w:val="0"/>
                <w:sz w:val="24"/>
              </w:rPr>
              <w:t>“三支一扶”专项补助</w:t>
            </w:r>
          </w:p>
        </w:tc>
      </w:tr>
      <w:tr w14:paraId="77EF08A7">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CE517E">
            <w:pPr>
              <w:widowControl/>
              <w:jc w:val="center"/>
              <w:textAlignment w:val="center"/>
              <w:rPr>
                <w:rFonts w:hint="eastAsia" w:ascii="宋体" w:cs="宋体"/>
                <w:color w:val="000000"/>
                <w:kern w:val="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6C6085">
            <w:pPr>
              <w:widowControl/>
              <w:jc w:val="center"/>
              <w:textAlignment w:val="center"/>
              <w:rPr>
                <w:rFonts w:hint="eastAsia" w:ascii="宋体" w:cs="宋体"/>
                <w:color w:val="000000"/>
                <w:kern w:val="0"/>
                <w:sz w:val="24"/>
              </w:rPr>
            </w:pPr>
            <w:r>
              <w:rPr>
                <w:rFonts w:hint="eastAsia" w:ascii="宋体" w:cs="宋体"/>
                <w:color w:val="000000"/>
                <w:kern w:val="0"/>
                <w:sz w:val="24"/>
              </w:rPr>
              <w:t>金川县人力资源和社会保障局</w:t>
            </w:r>
          </w:p>
        </w:tc>
      </w:tr>
      <w:tr w14:paraId="27FBB9E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BEBA2C">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E1B644">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5CC3FD">
            <w:pPr>
              <w:widowControl/>
              <w:jc w:val="center"/>
              <w:textAlignment w:val="center"/>
              <w:rPr>
                <w:rFonts w:ascii="宋体" w:cs="宋体"/>
                <w:color w:val="000000"/>
                <w:sz w:val="24"/>
              </w:rPr>
            </w:pPr>
            <w:r>
              <w:rPr>
                <w:rFonts w:hint="eastAsia" w:ascii="宋体" w:cs="宋体"/>
                <w:color w:val="000000"/>
                <w:sz w:val="24"/>
                <w:lang w:val="en-US" w:eastAsia="zh-CN"/>
              </w:rPr>
              <w:t>57.72</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74DCA4">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704F5C">
            <w:pPr>
              <w:widowControl/>
              <w:jc w:val="center"/>
              <w:textAlignment w:val="center"/>
              <w:rPr>
                <w:rFonts w:ascii="宋体" w:cs="宋体"/>
                <w:color w:val="000000"/>
                <w:sz w:val="24"/>
              </w:rPr>
            </w:pPr>
            <w:r>
              <w:rPr>
                <w:rFonts w:hint="eastAsia" w:ascii="宋体" w:cs="宋体"/>
                <w:color w:val="000000"/>
                <w:sz w:val="24"/>
                <w:lang w:val="en-US" w:eastAsia="zh-CN"/>
              </w:rPr>
              <w:t>57.72</w:t>
            </w:r>
            <w:r>
              <w:rPr>
                <w:rFonts w:hint="eastAsia" w:ascii="宋体" w:cs="宋体"/>
                <w:color w:val="000000"/>
                <w:sz w:val="24"/>
              </w:rPr>
              <w:t>万元</w:t>
            </w:r>
          </w:p>
        </w:tc>
      </w:tr>
      <w:tr w14:paraId="7A31E60D">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ABD9766"/>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F17C94">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A73BCB">
            <w:pPr>
              <w:widowControl/>
              <w:jc w:val="center"/>
              <w:textAlignment w:val="center"/>
              <w:rPr>
                <w:rFonts w:ascii="宋体" w:cs="宋体"/>
                <w:color w:val="000000"/>
                <w:sz w:val="24"/>
              </w:rPr>
            </w:pPr>
            <w:r>
              <w:rPr>
                <w:rFonts w:hint="eastAsia" w:ascii="宋体" w:cs="宋体"/>
                <w:color w:val="000000"/>
                <w:sz w:val="24"/>
                <w:lang w:val="en-US" w:eastAsia="zh-CN"/>
              </w:rPr>
              <w:t>57.72</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D9F828">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F13E12">
            <w:pPr>
              <w:widowControl/>
              <w:jc w:val="center"/>
              <w:textAlignment w:val="center"/>
              <w:rPr>
                <w:rFonts w:ascii="宋体" w:cs="宋体"/>
                <w:color w:val="000000"/>
                <w:sz w:val="24"/>
              </w:rPr>
            </w:pPr>
            <w:r>
              <w:rPr>
                <w:rFonts w:hint="eastAsia" w:ascii="宋体" w:cs="宋体"/>
                <w:color w:val="000000"/>
                <w:sz w:val="24"/>
                <w:lang w:val="en-US" w:eastAsia="zh-CN"/>
              </w:rPr>
              <w:t>57.72</w:t>
            </w:r>
            <w:r>
              <w:rPr>
                <w:rFonts w:hint="eastAsia" w:ascii="宋体" w:cs="宋体"/>
                <w:color w:val="000000"/>
                <w:sz w:val="24"/>
              </w:rPr>
              <w:t>万元</w:t>
            </w:r>
          </w:p>
        </w:tc>
      </w:tr>
      <w:tr w14:paraId="4B842D7E">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BDE908D"/>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A2B339">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C3BF20">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BFBCB1">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89E94E">
            <w:pPr>
              <w:rPr>
                <w:rFonts w:ascii="宋体" w:cs="宋体"/>
                <w:color w:val="000000"/>
                <w:sz w:val="24"/>
              </w:rPr>
            </w:pPr>
          </w:p>
        </w:tc>
      </w:tr>
      <w:tr w14:paraId="1D9D5C56">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769F42">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FD064E">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6C2273">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46B98D6C">
        <w:tblPrEx>
          <w:tblCellMar>
            <w:top w:w="0" w:type="dxa"/>
            <w:left w:w="0" w:type="dxa"/>
            <w:bottom w:w="0" w:type="dxa"/>
            <w:right w:w="0" w:type="dxa"/>
          </w:tblCellMar>
        </w:tblPrEx>
        <w:trPr>
          <w:trHeight w:val="39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134EC6C"/>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89C556">
            <w:pPr>
              <w:widowControl/>
              <w:jc w:val="center"/>
              <w:textAlignment w:val="center"/>
              <w:rPr>
                <w:rFonts w:ascii="宋体" w:cs="宋体"/>
                <w:color w:val="000000"/>
                <w:sz w:val="24"/>
              </w:rPr>
            </w:pPr>
            <w:r>
              <w:rPr>
                <w:rFonts w:hint="eastAsia" w:ascii="仿宋_GB2312" w:eastAsia="仿宋_GB2312" w:cs="仿宋_GB2312"/>
                <w:sz w:val="32"/>
                <w:szCs w:val="32"/>
              </w:rPr>
              <w:t xml:space="preserve">按时完成我县“三支一扶”人员工资、保险等支付 </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F67504">
            <w:pPr>
              <w:widowControl/>
              <w:jc w:val="center"/>
              <w:textAlignment w:val="center"/>
              <w:rPr>
                <w:rFonts w:ascii="宋体" w:cs="宋体"/>
                <w:color w:val="000000"/>
                <w:sz w:val="24"/>
              </w:rPr>
            </w:pPr>
            <w:r>
              <w:rPr>
                <w:rFonts w:hint="eastAsia" w:ascii="宋体" w:cs="宋体"/>
                <w:color w:val="000000"/>
                <w:sz w:val="24"/>
              </w:rPr>
              <w:t>基本实现</w:t>
            </w:r>
          </w:p>
        </w:tc>
      </w:tr>
      <w:tr w14:paraId="7951D32E">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E72CAC">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F19800">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FF7FF7">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40DF74">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7DD0A0">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324159">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14:paraId="2E8C90B2">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7F92D80"/>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918200">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0940A2">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AC40AE">
            <w:pPr>
              <w:widowControl/>
              <w:jc w:val="center"/>
              <w:textAlignment w:val="center"/>
              <w:rPr>
                <w:rFonts w:ascii="宋体" w:cs="宋体"/>
                <w:color w:val="000000"/>
                <w:sz w:val="24"/>
              </w:rPr>
            </w:pPr>
            <w:r>
              <w:rPr>
                <w:rFonts w:ascii="宋体" w:cs="宋体"/>
                <w:color w:val="000000"/>
                <w:sz w:val="24"/>
              </w:rPr>
              <w:t>4</w:t>
            </w:r>
            <w:r>
              <w:rPr>
                <w:rFonts w:hint="eastAsia" w:ascii="宋体" w:cs="宋体"/>
                <w:color w:val="000000"/>
                <w:sz w:val="24"/>
              </w:rPr>
              <w:t>名“三支一扶”工作人员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9E0BBC">
            <w:pPr>
              <w:widowControl/>
              <w:jc w:val="center"/>
              <w:textAlignment w:val="center"/>
              <w:rPr>
                <w:rFonts w:ascii="宋体" w:cs="宋体"/>
                <w:color w:val="000000"/>
                <w:sz w:val="24"/>
              </w:rPr>
            </w:pPr>
            <w:r>
              <w:rPr>
                <w:rFonts w:hint="eastAsia" w:ascii="宋体" w:cs="宋体"/>
                <w:color w:val="000000"/>
                <w:sz w:val="24"/>
              </w:rPr>
              <w:t>1次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B08851">
            <w:pPr>
              <w:widowControl/>
              <w:jc w:val="center"/>
              <w:textAlignment w:val="center"/>
              <w:rPr>
                <w:rFonts w:ascii="宋体" w:cs="宋体"/>
                <w:color w:val="000000"/>
                <w:sz w:val="24"/>
              </w:rPr>
            </w:pPr>
            <w:r>
              <w:rPr>
                <w:rFonts w:hint="eastAsia" w:ascii="宋体" w:cs="宋体"/>
                <w:color w:val="000000"/>
                <w:sz w:val="24"/>
              </w:rPr>
              <w:t>1次</w:t>
            </w:r>
          </w:p>
        </w:tc>
      </w:tr>
      <w:tr w14:paraId="7F148DE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4E363AF"/>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AE3485">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866E8D">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2742C7">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1CDF21">
            <w:pPr>
              <w:widowControl/>
              <w:jc w:val="center"/>
              <w:textAlignment w:val="center"/>
              <w:rPr>
                <w:rFonts w:ascii="宋体" w:cs="宋体"/>
                <w:color w:val="000000"/>
                <w:sz w:val="24"/>
              </w:rPr>
            </w:pPr>
            <w:r>
              <w:rPr>
                <w:rFonts w:hint="eastAsia" w:ascii="宋体" w:cs="宋体"/>
                <w:color w:val="000000"/>
                <w:sz w:val="24"/>
                <w:lang w:eastAsia="zh-CN"/>
              </w:rPr>
              <w:t>2024</w:t>
            </w:r>
            <w:r>
              <w:rPr>
                <w:rFonts w:hint="eastAsia" w:ascii="宋体" w:cs="宋体"/>
                <w:color w:val="000000"/>
                <w:sz w:val="24"/>
              </w:rPr>
              <w:t>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6FA460">
            <w:pPr>
              <w:widowControl/>
              <w:jc w:val="center"/>
              <w:textAlignment w:val="center"/>
              <w:rPr>
                <w:rFonts w:ascii="仿宋_GB2312" w:eastAsia="仿宋_GB2312" w:cs="宋体"/>
                <w:color w:val="000000"/>
                <w:sz w:val="24"/>
              </w:rPr>
            </w:pPr>
            <w:r>
              <w:rPr>
                <w:rFonts w:hint="eastAsia" w:ascii="仿宋_GB2312" w:hAnsi="仿宋" w:eastAsia="仿宋_GB2312"/>
                <w:bCs/>
                <w:color w:val="000000" w:themeColor="text1"/>
                <w:lang w:val="zh-CN"/>
                <w14:textFill>
                  <w14:solidFill>
                    <w14:schemeClr w14:val="tx1"/>
                  </w14:solidFill>
                </w14:textFill>
              </w:rPr>
              <w:t>工资及保险按季度一次拨付给“三支一扶”人员用人单位，用人单位按月及时为</w:t>
            </w:r>
            <w:r>
              <w:rPr>
                <w:rFonts w:hint="eastAsia" w:ascii="仿宋_GB2312" w:hAnsi="仿宋" w:eastAsia="仿宋_GB2312"/>
                <w:bCs/>
              </w:rPr>
              <w:t>“</w:t>
            </w:r>
            <w:r>
              <w:rPr>
                <w:rFonts w:hint="eastAsia" w:ascii="仿宋_GB2312" w:hAnsi="仿宋" w:eastAsia="仿宋_GB2312"/>
                <w:bCs/>
                <w:color w:val="000000" w:themeColor="text1"/>
                <w:lang w:val="zh-CN"/>
                <w14:textFill>
                  <w14:solidFill>
                    <w14:schemeClr w14:val="tx1"/>
                  </w14:solidFill>
                </w14:textFill>
              </w:rPr>
              <w:t>三支一扶”人员发放工资并及时缴纳保险。培训费按州级通知及时支付到培训机构账户。体检费按时支付到体检医院账户</w:t>
            </w:r>
          </w:p>
        </w:tc>
      </w:tr>
      <w:tr w14:paraId="738915AC">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5D79BCC"/>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047819">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C229DA">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D22E31">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C51A8A">
            <w:pPr>
              <w:widowControl/>
              <w:jc w:val="center"/>
              <w:textAlignment w:val="center"/>
              <w:rPr>
                <w:rFonts w:ascii="宋体" w:cs="宋体"/>
                <w:color w:val="000000"/>
                <w:sz w:val="24"/>
              </w:rPr>
            </w:pPr>
            <w:r>
              <w:rPr>
                <w:rFonts w:hint="eastAsia" w:ascii="宋体" w:cs="宋体"/>
                <w:color w:val="000000"/>
                <w:sz w:val="24"/>
              </w:rPr>
              <w:t>工资、保险、安家费、体检费均按文件标准拨付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21AB71">
            <w:pPr>
              <w:widowControl/>
              <w:jc w:val="center"/>
              <w:textAlignment w:val="center"/>
              <w:rPr>
                <w:rFonts w:ascii="宋体" w:cs="宋体"/>
                <w:color w:val="000000"/>
                <w:sz w:val="24"/>
              </w:rPr>
            </w:pPr>
            <w:r>
              <w:rPr>
                <w:rFonts w:hint="eastAsia" w:ascii="宋体" w:cs="宋体"/>
                <w:color w:val="000000"/>
                <w:sz w:val="24"/>
                <w:lang w:val="en-US" w:eastAsia="zh-CN"/>
              </w:rPr>
              <w:t>57.72</w:t>
            </w:r>
            <w:r>
              <w:rPr>
                <w:rFonts w:hint="eastAsia" w:ascii="宋体" w:cs="宋体"/>
                <w:color w:val="000000"/>
                <w:sz w:val="24"/>
              </w:rPr>
              <w:t>万元</w:t>
            </w:r>
          </w:p>
        </w:tc>
      </w:tr>
      <w:tr w14:paraId="6DD4796C">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268BE23"/>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85329F">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E24EE1">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A12983">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6A99D2">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33012">
            <w:pPr>
              <w:widowControl/>
              <w:jc w:val="center"/>
              <w:textAlignment w:val="center"/>
              <w:rPr>
                <w:rFonts w:ascii="宋体" w:cs="宋体"/>
                <w:color w:val="000000"/>
                <w:sz w:val="24"/>
              </w:rPr>
            </w:pPr>
            <w:r>
              <w:rPr>
                <w:rFonts w:hint="eastAsia" w:ascii="宋体" w:cs="宋体"/>
                <w:color w:val="000000"/>
                <w:sz w:val="24"/>
              </w:rPr>
              <w:t>满意</w:t>
            </w:r>
          </w:p>
        </w:tc>
      </w:tr>
    </w:tbl>
    <w:p w14:paraId="30D8881A">
      <w:pPr>
        <w:numPr>
          <w:ilvl w:val="0"/>
          <w:numId w:val="2"/>
        </w:numPr>
        <w:spacing w:line="580" w:lineRule="exact"/>
        <w:ind w:firstLine="643" w:firstLineChars="200"/>
        <w:rPr>
          <w:rFonts w:ascii="仿宋" w:eastAsia="仿宋" w:cs="仿宋_GB2312"/>
          <w:color w:val="000000" w:themeColor="text1"/>
          <w:sz w:val="32"/>
          <w:szCs w:val="32"/>
          <w14:textFill>
            <w14:solidFill>
              <w14:schemeClr w14:val="tx1"/>
            </w14:solidFill>
          </w14:textFill>
        </w:rPr>
      </w:pPr>
      <w:r>
        <w:rPr>
          <w:rFonts w:hint="eastAsia" w:ascii="仿宋" w:eastAsia="仿宋" w:cs="楷体_GB2312"/>
          <w:b/>
          <w:bCs/>
          <w:color w:val="000000" w:themeColor="text1"/>
          <w:sz w:val="32"/>
          <w:szCs w:val="32"/>
          <w14:textFill>
            <w14:solidFill>
              <w14:schemeClr w14:val="tx1"/>
            </w14:solidFill>
          </w14:textFill>
        </w:rPr>
        <w:t>部门开展绩效评价结果。</w:t>
      </w:r>
    </w:p>
    <w:p w14:paraId="093DB35E">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仿宋_GB2312" w:eastAsia="仿宋_GB2312" w:cs="仿宋_GB2312"/>
          <w:color w:val="000000" w:themeColor="text1"/>
          <w:sz w:val="32"/>
          <w:szCs w:val="32"/>
          <w14:textFill>
            <w14:solidFill>
              <w14:schemeClr w14:val="tx1"/>
            </w14:solidFill>
          </w14:textFill>
        </w:rPr>
        <w:t>本部门按要求对</w:t>
      </w:r>
      <w:r>
        <w:rPr>
          <w:rFonts w:hint="eastAsia" w:ascii="仿宋_GB2312" w:eastAsia="仿宋_GB2312" w:cs="仿宋_GB2312"/>
          <w:color w:val="000000" w:themeColor="text1"/>
          <w:sz w:val="32"/>
          <w:szCs w:val="32"/>
          <w:lang w:eastAsia="zh-CN"/>
          <w14:textFill>
            <w14:solidFill>
              <w14:schemeClr w14:val="tx1"/>
            </w14:solidFill>
          </w14:textFill>
        </w:rPr>
        <w:t>2024</w:t>
      </w:r>
      <w:r>
        <w:rPr>
          <w:rFonts w:hint="eastAsia" w:ascii="仿宋_GB2312" w:eastAsia="仿宋_GB2312" w:cs="仿宋_GB2312"/>
          <w:color w:val="000000" w:themeColor="text1"/>
          <w:sz w:val="32"/>
          <w:szCs w:val="32"/>
          <w14:textFill>
            <w14:solidFill>
              <w14:schemeClr w14:val="tx1"/>
            </w14:solidFill>
          </w14:textFill>
        </w:rPr>
        <w:t>年部门整体支出绩效评价情况开展自评，</w:t>
      </w:r>
      <w:r>
        <w:rPr>
          <w:rFonts w:hint="eastAsia" w:ascii="仿宋_GB2312" w:eastAsia="仿宋_GB2312"/>
          <w:color w:val="000000" w:themeColor="text1"/>
          <w:sz w:val="32"/>
          <w:szCs w:val="32"/>
          <w14:textFill>
            <w14:solidFill>
              <w14:schemeClr w14:val="tx1"/>
            </w14:solidFill>
          </w14:textFill>
        </w:rPr>
        <w:t>《金川县人力资源和社会保障局</w:t>
      </w:r>
      <w:r>
        <w:rPr>
          <w:rFonts w:hint="eastAsia" w:ascii="仿宋_GB2312" w:eastAsia="仿宋_GB2312"/>
          <w:color w:val="000000" w:themeColor="text1"/>
          <w:sz w:val="32"/>
          <w:szCs w:val="32"/>
          <w:lang w:eastAsia="zh-CN"/>
          <w14:textFill>
            <w14:solidFill>
              <w14:schemeClr w14:val="tx1"/>
            </w14:solidFill>
          </w14:textFill>
        </w:rPr>
        <w:t>2024</w:t>
      </w:r>
      <w:r>
        <w:rPr>
          <w:rFonts w:hint="eastAsia" w:ascii="仿宋_GB2312" w:eastAsia="仿宋_GB2312"/>
          <w:color w:val="000000" w:themeColor="text1"/>
          <w:sz w:val="32"/>
          <w:szCs w:val="32"/>
          <w14:textFill>
            <w14:solidFill>
              <w14:schemeClr w14:val="tx1"/>
            </w14:solidFill>
          </w14:textFill>
        </w:rPr>
        <w:t>年部门预算整体支出绩效评价报告》</w:t>
      </w:r>
      <w:r>
        <w:rPr>
          <w:rFonts w:hint="eastAsia" w:ascii="仿宋_GB2312" w:eastAsia="仿宋_GB2312" w:cs="仿宋_GB2312"/>
          <w:color w:val="000000" w:themeColor="text1"/>
          <w:sz w:val="32"/>
          <w:szCs w:val="32"/>
          <w14:textFill>
            <w14:solidFill>
              <w14:schemeClr w14:val="tx1"/>
            </w14:solidFill>
          </w14:textFill>
        </w:rPr>
        <w:t>见附件。</w:t>
      </w:r>
    </w:p>
    <w:p w14:paraId="15D2CCAC">
      <w:pPr>
        <w:pStyle w:val="3"/>
        <w:jc w:val="center"/>
        <w:rPr>
          <w:rFonts w:hint="eastAsia" w:ascii="Times New Roman" w:hAnsi="Times New Roman" w:eastAsia="方正小标宋简体" w:cs="方正小标宋简体"/>
          <w:b w:val="0"/>
          <w:color w:val="auto"/>
          <w:highlight w:val="none"/>
        </w:rPr>
      </w:pPr>
      <w:r>
        <w:rPr>
          <w:rFonts w:hint="eastAsia" w:eastAsia="方正小标宋简体" w:cs="方正小标宋简体"/>
          <w:b w:val="0"/>
          <w:color w:val="auto"/>
          <w:highlight w:val="none"/>
          <w:lang w:val="en-US" w:eastAsia="zh-CN"/>
        </w:rPr>
        <w:t xml:space="preserve">第三部分 </w:t>
      </w:r>
      <w:r>
        <w:rPr>
          <w:rFonts w:hint="eastAsia" w:ascii="Times New Roman" w:hAnsi="Times New Roman" w:eastAsia="方正小标宋简体" w:cs="方正小标宋简体"/>
          <w:b w:val="0"/>
          <w:color w:val="auto"/>
          <w:highlight w:val="none"/>
        </w:rPr>
        <w:t>名词解释</w:t>
      </w:r>
    </w:p>
    <w:p w14:paraId="40BF9E5B">
      <w:pPr>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 xml:space="preserve">1.教育支出2050803培训支出： </w:t>
      </w:r>
      <w:r>
        <w:rPr>
          <w:rFonts w:hint="eastAsia" w:ascii="仿宋_GB2312" w:hAnsi="仿宋" w:eastAsia="仿宋_GB2312" w:cs="仿宋_GB2312"/>
          <w:sz w:val="32"/>
          <w:szCs w:val="32"/>
          <w:lang w:val="en-US" w:eastAsia="zh-CN"/>
        </w:rPr>
        <w:t>反映</w:t>
      </w:r>
      <w:r>
        <w:rPr>
          <w:rFonts w:hint="eastAsia" w:ascii="仿宋_GB2312" w:hAnsi="仿宋" w:eastAsia="仿宋_GB2312" w:cs="仿宋_GB2312"/>
          <w:sz w:val="32"/>
          <w:szCs w:val="32"/>
        </w:rPr>
        <w:t>各部门安排的用于培训的支出。</w:t>
      </w:r>
    </w:p>
    <w:p w14:paraId="7B06BD2A">
      <w:pPr>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 xml:space="preserve">2.社会保障和就业支出2080101行政运行：反映行政单位的基本支出 </w:t>
      </w:r>
    </w:p>
    <w:p w14:paraId="364D4B2C">
      <w:pPr>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3.社会保障和就业支出2080104综合业务管理 ：反映人力资源和社会保障管理方面综合性管理事务支出。</w:t>
      </w:r>
    </w:p>
    <w:p w14:paraId="5A9C419B">
      <w:pPr>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 xml:space="preserve">4.社会保障和就业支出2080105劳动保障监察：反映劳动保障监察事务支出 </w:t>
      </w:r>
    </w:p>
    <w:p w14:paraId="6F10E144">
      <w:pPr>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 xml:space="preserve">5.社会保障和就业支出2080150事业运行：反映事业单位的基本支出 </w:t>
      </w:r>
    </w:p>
    <w:p w14:paraId="5BCD9ECB">
      <w:pPr>
        <w:spacing w:line="540" w:lineRule="exac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sz w:val="32"/>
          <w:szCs w:val="32"/>
        </w:rPr>
        <w:t>6.社会保障和就业支出2080199其他人力资源和社会保障局管理实务支出：</w:t>
      </w:r>
      <w:r>
        <w:rPr>
          <w:rFonts w:hint="eastAsia" w:ascii="仿宋_GB2312" w:hAnsi="仿宋" w:eastAsia="仿宋_GB2312" w:cs="仿宋_GB2312"/>
          <w:color w:val="000000"/>
          <w:sz w:val="32"/>
          <w:szCs w:val="32"/>
        </w:rPr>
        <w:t>反映其他用于人力资源和社会保障局管理事务方面的支出。</w:t>
      </w:r>
    </w:p>
    <w:p w14:paraId="1D8663F5">
      <w:pPr>
        <w:spacing w:line="54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7.社会保障和就业支出2080505机关事业单位基本养老保险缴费支出：反映机关事业单位实施养老保险制度的单位缴纳的基本养老保险费支出。</w:t>
      </w:r>
    </w:p>
    <w:p w14:paraId="7112278E">
      <w:pPr>
        <w:spacing w:line="540" w:lineRule="exact"/>
        <w:rPr>
          <w:rFonts w:ascii="仿宋_GB2312" w:hAnsi="仿宋" w:eastAsia="仿宋_GB2312" w:cs="仿宋_GB2312"/>
          <w:sz w:val="32"/>
          <w:szCs w:val="32"/>
        </w:rPr>
      </w:pPr>
      <w:r>
        <w:rPr>
          <w:rFonts w:hint="eastAsia" w:ascii="仿宋_GB2312" w:hAnsi="仿宋" w:eastAsia="仿宋_GB2312" w:cs="仿宋_GB2312"/>
          <w:sz w:val="32"/>
          <w:szCs w:val="32"/>
        </w:rPr>
        <w:t xml:space="preserve">  8.社会保障和就业支出2080506机关事业单位职业年金缴费支出：反映机关事业单位实施养老保险制度匝单位缴纳的职业年金支出。</w:t>
      </w:r>
    </w:p>
    <w:p w14:paraId="36FE5FF2">
      <w:pPr>
        <w:spacing w:line="540" w:lineRule="exact"/>
        <w:rPr>
          <w:rFonts w:ascii="仿宋_GB2312" w:hAnsi="仿宋" w:eastAsia="仿宋_GB2312" w:cs="仿宋_GB2312"/>
          <w:sz w:val="32"/>
          <w:szCs w:val="32"/>
        </w:rPr>
      </w:pPr>
      <w:r>
        <w:rPr>
          <w:rFonts w:hint="eastAsia" w:ascii="仿宋_GB2312" w:hAnsi="仿宋" w:eastAsia="仿宋_GB2312" w:cs="仿宋_GB2312"/>
          <w:sz w:val="32"/>
          <w:szCs w:val="32"/>
        </w:rPr>
        <w:t xml:space="preserve">  9.卫生健康支出 2101101行政单位医疗：反映财政部门集中安排的行政单位基本医疗保险缴费缴费经费。</w:t>
      </w:r>
    </w:p>
    <w:p w14:paraId="09615505">
      <w:pPr>
        <w:spacing w:line="540" w:lineRule="exact"/>
        <w:rPr>
          <w:rFonts w:ascii="仿宋_GB2312" w:hAnsi="仿宋" w:eastAsia="仿宋_GB2312" w:cs="仿宋_GB2312"/>
          <w:sz w:val="32"/>
          <w:szCs w:val="32"/>
        </w:rPr>
      </w:pPr>
      <w:r>
        <w:rPr>
          <w:rFonts w:hint="eastAsia" w:ascii="仿宋_GB2312" w:hAnsi="仿宋" w:eastAsia="仿宋_GB2312" w:cs="仿宋_GB2312"/>
          <w:sz w:val="32"/>
          <w:szCs w:val="32"/>
        </w:rPr>
        <w:t xml:space="preserve"> 10.卫生健康支出 2101102事业单位医疗：反映财政部门集中安排的事业单位基本医疗保险缴费缴费经费。</w:t>
      </w:r>
    </w:p>
    <w:p w14:paraId="5F4A25A1">
      <w:pPr>
        <w:spacing w:line="540" w:lineRule="exact"/>
        <w:rPr>
          <w:rFonts w:ascii="仿宋_GB2312" w:hAnsi="仿宋" w:eastAsia="仿宋_GB2312" w:cs="仿宋_GB2312"/>
          <w:sz w:val="32"/>
          <w:szCs w:val="32"/>
        </w:rPr>
      </w:pPr>
      <w:r>
        <w:rPr>
          <w:rFonts w:hint="eastAsia" w:ascii="仿宋_GB2312" w:hAnsi="仿宋" w:eastAsia="仿宋_GB2312" w:cs="仿宋_GB2312"/>
          <w:sz w:val="32"/>
          <w:szCs w:val="32"/>
        </w:rPr>
        <w:t xml:space="preserve">  11.卫生健康支出 2101103公务员医疗补助：反映财政部门集中安排的公务员医疗补助经费。</w:t>
      </w:r>
    </w:p>
    <w:p w14:paraId="5C13EA26">
      <w:pPr>
        <w:spacing w:line="540" w:lineRule="exact"/>
        <w:rPr>
          <w:rFonts w:ascii="仿宋_GB2312" w:hAnsi="仿宋" w:eastAsia="仿宋_GB2312" w:cs="仿宋_GB2312"/>
          <w:color w:val="000000"/>
          <w:sz w:val="32"/>
          <w:szCs w:val="32"/>
        </w:rPr>
      </w:pPr>
      <w:r>
        <w:rPr>
          <w:rFonts w:hint="eastAsia" w:ascii="仿宋_GB2312" w:hAnsi="仿宋" w:eastAsia="仿宋_GB2312" w:cs="仿宋_GB2312"/>
          <w:sz w:val="32"/>
          <w:szCs w:val="32"/>
        </w:rPr>
        <w:t xml:space="preserve">  12. 卫生健康支出 2101199其他行政事业单位医疗支出：反</w:t>
      </w:r>
      <w:r>
        <w:rPr>
          <w:rFonts w:hint="eastAsia" w:ascii="仿宋_GB2312" w:hAnsi="仿宋" w:eastAsia="仿宋_GB2312" w:cs="仿宋_GB2312"/>
          <w:color w:val="000000"/>
          <w:sz w:val="32"/>
          <w:szCs w:val="32"/>
        </w:rPr>
        <w:t>用于医疗保障方面的支出。</w:t>
      </w:r>
    </w:p>
    <w:p w14:paraId="0FBCA170">
      <w:pPr>
        <w:spacing w:line="540" w:lineRule="exact"/>
        <w:rPr>
          <w:rFonts w:ascii="仿宋_GB2312" w:hAnsi="仿宋" w:eastAsia="仿宋_GB2312" w:cs="仿宋_GB2312"/>
          <w:sz w:val="32"/>
          <w:szCs w:val="32"/>
        </w:rPr>
      </w:pPr>
      <w:r>
        <w:rPr>
          <w:rFonts w:hint="eastAsia" w:ascii="仿宋_GB2312" w:hAnsi="仿宋" w:eastAsia="仿宋_GB2312" w:cs="仿宋_GB2312"/>
          <w:sz w:val="32"/>
          <w:szCs w:val="32"/>
        </w:rPr>
        <w:t xml:space="preserve">  13.住房保障支出2210201住房公积金：反映行政事业单位按人力资源和社会保障部、财政部规定的基本工资和津贴补贴以及规定比例为职工缴纳的住房公积金。</w:t>
      </w:r>
    </w:p>
    <w:p w14:paraId="52EB366D">
      <w:pPr>
        <w:spacing w:line="540" w:lineRule="exact"/>
        <w:rPr>
          <w:rFonts w:ascii="仿宋_GB2312" w:hAnsi="仿宋" w:eastAsia="仿宋_GB2312" w:cs="仿宋_GB2312"/>
          <w:sz w:val="32"/>
          <w:szCs w:val="32"/>
        </w:rPr>
      </w:pPr>
      <w:r>
        <w:rPr>
          <w:rFonts w:hint="eastAsia" w:ascii="仿宋_GB2312" w:hAnsi="仿宋" w:eastAsia="仿宋_GB2312" w:cs="仿宋_GB2312"/>
          <w:sz w:val="32"/>
          <w:szCs w:val="32"/>
        </w:rPr>
        <w:t xml:space="preserve">  14.年末结转和结余：指本年度或以前年度预算安排、因客观条件发生变化无法按原计划实施，需延迟到以后年度按有关规定继续使用的资金。</w:t>
      </w:r>
    </w:p>
    <w:p w14:paraId="5C76ECD1">
      <w:pPr>
        <w:spacing w:line="540" w:lineRule="exact"/>
        <w:rPr>
          <w:rFonts w:ascii="仿宋_GB2312" w:hAnsi="仿宋" w:eastAsia="仿宋_GB2312" w:cs="仿宋_GB2312"/>
          <w:sz w:val="32"/>
          <w:szCs w:val="32"/>
        </w:rPr>
      </w:pPr>
      <w:r>
        <w:rPr>
          <w:rFonts w:hint="eastAsia" w:ascii="仿宋_GB2312" w:hAnsi="仿宋" w:eastAsia="仿宋_GB2312" w:cs="仿宋_GB2312"/>
          <w:sz w:val="32"/>
          <w:szCs w:val="32"/>
        </w:rPr>
        <w:t xml:space="preserve">  15.基本支出：指为保障机构正常运转、完成日常工作任务而发生的人员支出和公用支出。</w:t>
      </w:r>
    </w:p>
    <w:p w14:paraId="31718688">
      <w:pPr>
        <w:spacing w:line="540" w:lineRule="exact"/>
        <w:rPr>
          <w:rFonts w:ascii="仿宋_GB2312" w:hAnsi="仿宋" w:eastAsia="仿宋_GB2312" w:cs="仿宋_GB2312"/>
          <w:sz w:val="32"/>
          <w:szCs w:val="32"/>
        </w:rPr>
      </w:pPr>
      <w:r>
        <w:rPr>
          <w:rFonts w:hint="eastAsia" w:ascii="仿宋_GB2312" w:hAnsi="仿宋" w:eastAsia="仿宋_GB2312" w:cs="仿宋_GB2312"/>
          <w:sz w:val="32"/>
          <w:szCs w:val="32"/>
        </w:rPr>
        <w:t xml:space="preserve">  16.项目支出：指在基本支出之外为完成特定行政任务和事业发展目标所发生的支出。</w:t>
      </w:r>
    </w:p>
    <w:p w14:paraId="3BA37379">
      <w:pPr>
        <w:spacing w:line="540" w:lineRule="exact"/>
        <w:rPr>
          <w:rFonts w:ascii="仿宋_GB2312" w:hAnsi="仿宋" w:eastAsia="仿宋_GB2312" w:cs="仿宋_GB2312"/>
          <w:sz w:val="32"/>
          <w:szCs w:val="32"/>
        </w:rPr>
      </w:pPr>
      <w:r>
        <w:rPr>
          <w:rFonts w:hint="eastAsia" w:ascii="仿宋_GB2312" w:hAnsi="仿宋" w:eastAsia="仿宋_GB2312" w:cs="仿宋_GB2312"/>
          <w:sz w:val="32"/>
          <w:szCs w:val="32"/>
        </w:rPr>
        <w:t xml:space="preserve">  17.“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E5B4270">
      <w:pPr>
        <w:numPr>
          <w:ilvl w:val="0"/>
          <w:numId w:val="0"/>
        </w:numPr>
        <w:rPr>
          <w:rFonts w:hint="eastAsia"/>
        </w:rPr>
      </w:pPr>
      <w:r>
        <w:rPr>
          <w:rFonts w:hint="eastAsia" w:ascii="仿宋_GB2312" w:hAnsi="仿宋" w:eastAsia="仿宋_GB2312" w:cs="仿宋_GB2312"/>
          <w:sz w:val="32"/>
          <w:szCs w:val="32"/>
        </w:rPr>
        <w:t xml:space="preserve">  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14:paraId="22739437">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680124F9">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065EA3F2">
      <w:pPr>
        <w:rPr>
          <w:rFonts w:hint="eastAsia"/>
          <w:lang w:val="en-US" w:eastAsia="zh-CN"/>
        </w:rPr>
      </w:pPr>
    </w:p>
    <w:p w14:paraId="5AF2112D">
      <w:pPr>
        <w:pStyle w:val="3"/>
        <w:jc w:val="center"/>
        <w:rPr>
          <w:rFonts w:hint="eastAsia" w:eastAsia="方正小标宋简体" w:cs="方正小标宋简体"/>
          <w:b w:val="0"/>
          <w:color w:val="auto"/>
          <w:highlight w:val="none"/>
          <w:lang w:val="en-US" w:eastAsia="zh-CN"/>
        </w:rPr>
      </w:pPr>
      <w:r>
        <w:rPr>
          <w:rFonts w:hint="eastAsia" w:eastAsia="方正小标宋简体" w:cs="方正小标宋简体"/>
          <w:b w:val="0"/>
          <w:color w:val="auto"/>
          <w:highlight w:val="none"/>
          <w:lang w:val="en-US" w:eastAsia="zh-CN"/>
        </w:rPr>
        <w:t>第四部分 附件</w:t>
      </w:r>
    </w:p>
    <w:p w14:paraId="6B33CB2A">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eastAsia="zh-CN"/>
        </w:rPr>
        <w:t>2024</w:t>
      </w:r>
      <w:r>
        <w:rPr>
          <w:rFonts w:hint="eastAsia" w:ascii="方正小标宋简体" w:hAnsi="方正小标宋简体" w:eastAsia="方正小标宋简体" w:cs="方正小标宋简体"/>
          <w:b/>
          <w:bCs/>
          <w:sz w:val="44"/>
          <w:szCs w:val="44"/>
        </w:rPr>
        <w:t>年金川县人力资源和社会保障局</w:t>
      </w:r>
    </w:p>
    <w:p w14:paraId="4B29811A">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部门整体支出绩效评价自评报告</w:t>
      </w:r>
    </w:p>
    <w:p w14:paraId="71682837">
      <w:pPr>
        <w:spacing w:line="560" w:lineRule="exact"/>
        <w:ind w:firstLine="640" w:firstLineChars="200"/>
        <w:rPr>
          <w:rFonts w:ascii="仿宋_GB2312" w:hAnsi="仿宋_GB2312" w:eastAsia="仿宋_GB2312" w:cs="仿宋_GB2312"/>
          <w:bCs/>
          <w:sz w:val="32"/>
          <w:szCs w:val="32"/>
        </w:rPr>
      </w:pPr>
    </w:p>
    <w:p w14:paraId="07E76F3F">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本着科学、独立、客观、公正的原则，按照规定的绩效评价方法，我单位对</w:t>
      </w:r>
      <w:r>
        <w:rPr>
          <w:rFonts w:hint="eastAsia" w:ascii="仿宋_GB2312" w:hAnsi="仿宋_GB2312" w:eastAsia="仿宋_GB2312" w:cs="仿宋_GB2312"/>
          <w:bCs/>
          <w:sz w:val="32"/>
          <w:szCs w:val="32"/>
          <w:lang w:eastAsia="zh-CN"/>
        </w:rPr>
        <w:t>2024</w:t>
      </w:r>
      <w:r>
        <w:rPr>
          <w:rFonts w:hint="eastAsia" w:ascii="仿宋_GB2312" w:hAnsi="仿宋_GB2312" w:eastAsia="仿宋_GB2312" w:cs="仿宋_GB2312"/>
          <w:bCs/>
          <w:sz w:val="32"/>
          <w:szCs w:val="32"/>
        </w:rPr>
        <w:t xml:space="preserve">年部门整体支出绩效进行了全面综合的自评。 现将自评情况报告如下： </w:t>
      </w:r>
    </w:p>
    <w:p w14:paraId="2DD95A4B">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rPr>
        <w:t>一、</w:t>
      </w:r>
      <w:r>
        <w:rPr>
          <w:rFonts w:hint="eastAsia" w:ascii="仿宋_GB2312" w:eastAsia="仿宋_GB2312" w:cs="宋体"/>
          <w:color w:val="000000"/>
          <w:kern w:val="0"/>
          <w:sz w:val="32"/>
          <w:szCs w:val="32"/>
          <w:shd w:val="clear" w:color="auto" w:fill="FFFFFF"/>
          <w:lang w:val="zh-CN"/>
        </w:rPr>
        <w:t>单位概况</w:t>
      </w:r>
    </w:p>
    <w:p w14:paraId="650196CB">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14:paraId="0AF0F29D">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lang w:val="zh-CN"/>
        </w:rPr>
        <w:t>我单位属于县政府工作部门。</w:t>
      </w:r>
      <w:r>
        <w:rPr>
          <w:rFonts w:hint="eastAsia" w:ascii="仿宋_GB2312" w:hAnsi="仿宋" w:eastAsia="仿宋_GB2312"/>
          <w:sz w:val="32"/>
          <w:szCs w:val="32"/>
        </w:rPr>
        <w:t>根据编委核定，我单位内设（副科）级事业单位1个，（</w:t>
      </w:r>
      <w:r>
        <w:rPr>
          <w:rFonts w:hint="eastAsia" w:ascii="仿宋_GB2312" w:hAnsi="仿宋" w:eastAsia="仿宋_GB2312" w:cs="仿宋_GB2312"/>
          <w:sz w:val="32"/>
          <w:szCs w:val="32"/>
          <w:lang w:val="zh-CN"/>
        </w:rPr>
        <w:t>股级）事业单位2个，</w:t>
      </w:r>
      <w:r>
        <w:rPr>
          <w:rFonts w:hint="eastAsia" w:ascii="仿宋_GB2312" w:hAnsi="仿宋" w:eastAsia="仿宋_GB2312"/>
          <w:sz w:val="32"/>
          <w:szCs w:val="32"/>
        </w:rPr>
        <w:t>内设股室6个 。</w:t>
      </w:r>
    </w:p>
    <w:p w14:paraId="526D6535">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内设（副科）级事业单位是：劳动人事争议仲裁院；内设（</w:t>
      </w:r>
      <w:r>
        <w:rPr>
          <w:rFonts w:hint="eastAsia" w:ascii="仿宋_GB2312" w:hAnsi="仿宋" w:eastAsia="仿宋_GB2312" w:cs="仿宋_GB2312"/>
          <w:sz w:val="32"/>
          <w:szCs w:val="32"/>
          <w:lang w:val="zh-CN"/>
        </w:rPr>
        <w:t>股级）事业单位</w:t>
      </w:r>
      <w:r>
        <w:rPr>
          <w:rFonts w:hint="eastAsia" w:ascii="仿宋_GB2312" w:hAnsi="仿宋" w:eastAsia="仿宋_GB2312"/>
          <w:sz w:val="32"/>
          <w:szCs w:val="32"/>
        </w:rPr>
        <w:t>分别是：人力资源和社会保障局信息中心 、劳动监察执法中队。</w:t>
      </w:r>
    </w:p>
    <w:p w14:paraId="1F246F88">
      <w:pPr>
        <w:spacing w:line="560" w:lineRule="exact"/>
        <w:ind w:left="160" w:leftChars="76" w:firstLine="480" w:firstLineChars="150"/>
        <w:rPr>
          <w:rFonts w:ascii="仿宋_GB2312" w:hAnsi="仿宋" w:eastAsia="仿宋_GB2312" w:cs="仿宋_GB2312"/>
          <w:sz w:val="32"/>
          <w:szCs w:val="32"/>
        </w:rPr>
      </w:pPr>
      <w:r>
        <w:rPr>
          <w:rFonts w:hint="eastAsia" w:ascii="仿宋_GB2312" w:hAnsi="仿宋" w:eastAsia="仿宋_GB2312"/>
          <w:sz w:val="32"/>
          <w:szCs w:val="32"/>
        </w:rPr>
        <w:t>内设股室分别是：办公室、事业人员管理股、</w:t>
      </w:r>
      <w:r>
        <w:rPr>
          <w:rFonts w:hint="eastAsia" w:ascii="仿宋_GB2312" w:hAnsi="仿宋" w:eastAsia="仿宋_GB2312" w:cs="仿宋_GB2312"/>
          <w:sz w:val="32"/>
          <w:szCs w:val="32"/>
        </w:rPr>
        <w:t>工资福利与退休管理股、</w:t>
      </w:r>
      <w:r>
        <w:rPr>
          <w:rFonts w:hint="eastAsia" w:ascii="仿宋_GB2312" w:hAnsi="仿宋" w:eastAsia="仿宋_GB2312"/>
          <w:sz w:val="32"/>
          <w:szCs w:val="32"/>
        </w:rPr>
        <w:t>社会保险管理股、</w:t>
      </w:r>
      <w:r>
        <w:rPr>
          <w:rFonts w:hint="eastAsia" w:ascii="仿宋_GB2312" w:hAnsi="仿宋" w:eastAsia="仿宋_GB2312" w:cs="仿宋_GB2312"/>
          <w:sz w:val="32"/>
          <w:szCs w:val="32"/>
        </w:rPr>
        <w:t>劳动综合管理股、社会保险基金监督股。</w:t>
      </w:r>
    </w:p>
    <w:p w14:paraId="2034353B">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14:paraId="3C16862E">
      <w:pPr>
        <w:spacing w:line="560" w:lineRule="exact"/>
        <w:ind w:firstLine="320" w:firstLineChars="100"/>
        <w:rPr>
          <w:rFonts w:ascii="仿宋_GB2312" w:hAnsi="仿宋" w:eastAsia="仿宋_GB2312" w:cs="仿宋_GB2312"/>
          <w:sz w:val="32"/>
          <w:szCs w:val="32"/>
        </w:rPr>
      </w:pPr>
      <w:r>
        <w:rPr>
          <w:rFonts w:hint="eastAsia" w:ascii="仿宋_GB2312" w:hAnsi="仿宋" w:eastAsia="仿宋_GB2312" w:cs="仿宋_GB2312"/>
          <w:sz w:val="32"/>
          <w:szCs w:val="32"/>
        </w:rPr>
        <w:t>配置人力资源、促进充分就业、统筹城乡社会保险、就业专项资金和社会保险基金监管、职业技能培训、职称制度改革和事业单位人事制度改革，综合管理事业单位工作人员、机关工勤人员及教育培训、流动调配工作，参与人才管理工作；负责劳务开发及农民工工作；负责劳动人事争议仲裁、劳动关系、劳动监察执法工作；承担委、县政府和上级业务部门交办的其他工作。</w:t>
      </w:r>
    </w:p>
    <w:p w14:paraId="73A5BE1E">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14:paraId="0EB5A563">
      <w:pPr>
        <w:spacing w:line="560" w:lineRule="exact"/>
        <w:ind w:firstLine="320" w:firstLineChars="100"/>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sz w:val="32"/>
          <w:szCs w:val="32"/>
        </w:rPr>
        <w:t>我单位属独立编制机构和独立核算的行政单位。</w:t>
      </w:r>
      <w:r>
        <w:rPr>
          <w:rFonts w:hint="eastAsia" w:ascii="仿宋_GB2312" w:hAnsi="仿宋" w:eastAsia="仿宋_GB2312" w:cs="仿宋_GB2312"/>
          <w:sz w:val="32"/>
          <w:szCs w:val="32"/>
          <w:lang w:eastAsia="zh-CN"/>
        </w:rPr>
        <w:t>2024</w:t>
      </w:r>
      <w:r>
        <w:rPr>
          <w:rFonts w:hint="eastAsia" w:ascii="仿宋_GB2312" w:hAnsi="仿宋" w:eastAsia="仿宋_GB2312" w:cs="仿宋_GB2312"/>
          <w:sz w:val="32"/>
          <w:szCs w:val="32"/>
        </w:rPr>
        <w:t>年末</w:t>
      </w:r>
      <w:r>
        <w:rPr>
          <w:rFonts w:hint="eastAsia" w:ascii="仿宋_GB2312" w:hAnsi="仿宋" w:eastAsia="仿宋_GB2312" w:cs="仿宋_GB2312"/>
          <w:bCs/>
          <w:color w:val="000000"/>
          <w:sz w:val="32"/>
          <w:szCs w:val="32"/>
        </w:rPr>
        <w:t>人员编制为1</w:t>
      </w:r>
      <w:r>
        <w:rPr>
          <w:rFonts w:hint="eastAsia" w:ascii="仿宋_GB2312" w:hAnsi="仿宋" w:eastAsia="仿宋_GB2312" w:cs="仿宋_GB2312"/>
          <w:bCs/>
          <w:color w:val="000000"/>
          <w:sz w:val="32"/>
          <w:szCs w:val="32"/>
          <w:lang w:val="en-US" w:eastAsia="zh-CN"/>
        </w:rPr>
        <w:t>6</w:t>
      </w:r>
      <w:r>
        <w:rPr>
          <w:rFonts w:hint="eastAsia" w:ascii="仿宋_GB2312" w:hAnsi="仿宋" w:eastAsia="仿宋_GB2312" w:cs="仿宋_GB2312"/>
          <w:bCs/>
          <w:color w:val="000000"/>
          <w:sz w:val="32"/>
          <w:szCs w:val="32"/>
        </w:rPr>
        <w:t>名，其中行政编制10名，行政工</w:t>
      </w:r>
      <w:r>
        <w:rPr>
          <w:rFonts w:hint="eastAsia" w:ascii="仿宋_GB2312" w:hAnsi="仿宋" w:eastAsia="仿宋_GB2312" w:cs="仿宋_GB2312"/>
          <w:color w:val="000000"/>
          <w:sz w:val="32"/>
          <w:szCs w:val="32"/>
        </w:rPr>
        <w:t>勤编制1名，事业编制</w:t>
      </w:r>
      <w:r>
        <w:rPr>
          <w:rFonts w:hint="eastAsia" w:ascii="仿宋_GB2312" w:hAnsi="仿宋" w:eastAsia="仿宋_GB2312" w:cs="仿宋_GB2312"/>
          <w:color w:val="000000"/>
          <w:sz w:val="32"/>
          <w:szCs w:val="32"/>
          <w:lang w:val="en-US" w:eastAsia="zh-CN"/>
        </w:rPr>
        <w:t>5</w:t>
      </w:r>
      <w:r>
        <w:rPr>
          <w:rFonts w:hint="eastAsia" w:ascii="仿宋_GB2312" w:hAnsi="仿宋" w:eastAsia="仿宋_GB2312" w:cs="仿宋_GB2312"/>
          <w:color w:val="000000"/>
          <w:sz w:val="32"/>
          <w:szCs w:val="32"/>
        </w:rPr>
        <w:t>名。</w:t>
      </w:r>
      <w:r>
        <w:rPr>
          <w:rFonts w:hint="eastAsia" w:ascii="仿宋_GB2312" w:hAnsi="仿宋" w:eastAsia="仿宋_GB2312" w:cs="仿宋_GB2312"/>
          <w:color w:val="000000" w:themeColor="text1"/>
          <w:sz w:val="32"/>
          <w:szCs w:val="32"/>
          <w:lang w:eastAsia="zh-CN"/>
          <w14:textFill>
            <w14:solidFill>
              <w14:schemeClr w14:val="tx1"/>
            </w14:solidFill>
          </w14:textFill>
        </w:rPr>
        <w:t>2024</w:t>
      </w:r>
      <w:r>
        <w:rPr>
          <w:rFonts w:hint="eastAsia" w:ascii="仿宋_GB2312" w:hAnsi="仿宋" w:eastAsia="仿宋_GB2312" w:cs="仿宋_GB2312"/>
          <w:color w:val="000000" w:themeColor="text1"/>
          <w:sz w:val="32"/>
          <w:szCs w:val="32"/>
          <w14:textFill>
            <w14:solidFill>
              <w14:schemeClr w14:val="tx1"/>
            </w14:solidFill>
          </w14:textFill>
        </w:rPr>
        <w:t>年年末实际人数</w:t>
      </w:r>
      <w:r>
        <w:rPr>
          <w:rFonts w:ascii="仿宋_GB2312" w:hAnsi="仿宋" w:eastAsia="仿宋_GB2312" w:cs="仿宋_GB2312"/>
          <w:color w:val="000000" w:themeColor="text1"/>
          <w:sz w:val="32"/>
          <w:szCs w:val="32"/>
          <w14:textFill>
            <w14:solidFill>
              <w14:schemeClr w14:val="tx1"/>
            </w14:solidFill>
          </w14:textFill>
        </w:rPr>
        <w:t>1</w:t>
      </w:r>
      <w:r>
        <w:rPr>
          <w:rFonts w:hint="eastAsia" w:ascii="仿宋_GB2312" w:hAnsi="仿宋" w:eastAsia="仿宋_GB2312" w:cs="仿宋_GB2312"/>
          <w:color w:val="000000" w:themeColor="text1"/>
          <w:sz w:val="32"/>
          <w:szCs w:val="32"/>
          <w:lang w:val="en-US" w:eastAsia="zh-CN"/>
          <w14:textFill>
            <w14:solidFill>
              <w14:schemeClr w14:val="tx1"/>
            </w14:solidFill>
          </w14:textFill>
        </w:rPr>
        <w:t>6</w:t>
      </w:r>
      <w:r>
        <w:rPr>
          <w:rFonts w:hint="eastAsia" w:ascii="仿宋_GB2312" w:hAnsi="仿宋" w:eastAsia="仿宋_GB2312" w:cs="仿宋_GB2312"/>
          <w:color w:val="000000" w:themeColor="text1"/>
          <w:sz w:val="32"/>
          <w:szCs w:val="32"/>
          <w14:textFill>
            <w14:solidFill>
              <w14:schemeClr w14:val="tx1"/>
            </w14:solidFill>
          </w14:textFill>
        </w:rPr>
        <w:t>人，其中行政</w:t>
      </w:r>
      <w:r>
        <w:rPr>
          <w:rFonts w:ascii="仿宋_GB2312" w:hAnsi="仿宋" w:eastAsia="仿宋_GB2312" w:cs="仿宋_GB2312"/>
          <w:color w:val="000000" w:themeColor="text1"/>
          <w:sz w:val="32"/>
          <w:szCs w:val="32"/>
          <w14:textFill>
            <w14:solidFill>
              <w14:schemeClr w14:val="tx1"/>
            </w14:solidFill>
          </w14:textFill>
        </w:rPr>
        <w:t>10</w:t>
      </w:r>
      <w:r>
        <w:rPr>
          <w:rFonts w:hint="eastAsia" w:ascii="仿宋_GB2312" w:hAnsi="仿宋" w:eastAsia="仿宋_GB2312" w:cs="仿宋_GB2312"/>
          <w:color w:val="000000" w:themeColor="text1"/>
          <w:sz w:val="32"/>
          <w:szCs w:val="32"/>
          <w14:textFill>
            <w14:solidFill>
              <w14:schemeClr w14:val="tx1"/>
            </w14:solidFill>
          </w14:textFill>
        </w:rPr>
        <w:t>人，行政工勤1人，事业5人。</w:t>
      </w:r>
    </w:p>
    <w:p w14:paraId="1228D820">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二、部门财政资金收支情况</w:t>
      </w:r>
    </w:p>
    <w:p w14:paraId="25397A33">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14:paraId="5F30CCEF">
      <w:pPr>
        <w:widowControl/>
        <w:adjustRightInd w:val="0"/>
        <w:snapToGrid w:val="0"/>
        <w:spacing w:line="580" w:lineRule="exact"/>
        <w:ind w:firstLine="320" w:firstLineChars="100"/>
        <w:contextualSpacing/>
        <w:jc w:val="left"/>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eastAsia="zh-CN"/>
        </w:rPr>
        <w:t>2024</w:t>
      </w:r>
      <w:r>
        <w:rPr>
          <w:rFonts w:hint="eastAsia" w:ascii="仿宋_GB2312" w:hAnsi="仿宋" w:eastAsia="仿宋_GB2312" w:cs="仿宋_GB2312"/>
          <w:sz w:val="32"/>
          <w:szCs w:val="32"/>
        </w:rPr>
        <w:t>年度财政资金收入</w:t>
      </w:r>
      <w:r>
        <w:rPr>
          <w:rFonts w:hint="eastAsia" w:ascii="仿宋_GB2312" w:hAnsi="仿宋" w:eastAsia="仿宋_GB2312" w:cs="仿宋_GB2312"/>
          <w:sz w:val="32"/>
          <w:szCs w:val="32"/>
          <w:highlight w:val="none"/>
          <w:lang w:val="en-US" w:eastAsia="zh-CN"/>
        </w:rPr>
        <w:t>535.47</w:t>
      </w:r>
      <w:r>
        <w:rPr>
          <w:rFonts w:hint="eastAsia" w:ascii="仿宋_GB2312" w:hAnsi="仿宋" w:eastAsia="仿宋_GB2312" w:cs="仿宋_GB2312"/>
          <w:sz w:val="32"/>
          <w:szCs w:val="32"/>
          <w:highlight w:val="none"/>
        </w:rPr>
        <w:t>万元.其中基本支出拨款</w:t>
      </w:r>
      <w:r>
        <w:rPr>
          <w:rFonts w:hint="eastAsia" w:ascii="仿宋_GB2312" w:hAnsi="仿宋" w:eastAsia="仿宋_GB2312" w:cs="仿宋_GB2312"/>
          <w:color w:val="000000"/>
          <w:sz w:val="32"/>
          <w:szCs w:val="32"/>
          <w:highlight w:val="none"/>
          <w:lang w:val="en-US" w:eastAsia="zh-CN"/>
        </w:rPr>
        <w:t>491.18</w:t>
      </w:r>
      <w:r>
        <w:rPr>
          <w:rFonts w:hint="eastAsia" w:ascii="仿宋_GB2312" w:hAnsi="仿宋" w:eastAsia="仿宋_GB2312" w:cs="仿宋_GB2312"/>
          <w:sz w:val="32"/>
          <w:szCs w:val="32"/>
          <w:highlight w:val="none"/>
        </w:rPr>
        <w:t>万元，项目支出拨款</w:t>
      </w:r>
      <w:r>
        <w:rPr>
          <w:rFonts w:hint="eastAsia" w:ascii="仿宋_GB2312" w:hAnsi="仿宋" w:eastAsia="仿宋_GB2312" w:cs="仿宋_GB2312"/>
          <w:sz w:val="32"/>
          <w:szCs w:val="32"/>
          <w:highlight w:val="none"/>
          <w:lang w:val="en-US" w:eastAsia="zh-CN"/>
        </w:rPr>
        <w:t>44.29</w:t>
      </w:r>
      <w:r>
        <w:rPr>
          <w:rFonts w:hint="eastAsia" w:ascii="仿宋_GB2312" w:hAnsi="仿宋" w:eastAsia="仿宋_GB2312" w:cs="仿宋_GB2312"/>
          <w:sz w:val="32"/>
          <w:szCs w:val="32"/>
          <w:lang w:val="en-US" w:eastAsia="zh-CN"/>
        </w:rPr>
        <w:t>万元。</w:t>
      </w:r>
    </w:p>
    <w:p w14:paraId="4599EAB0">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14:paraId="50724D2E">
      <w:pPr>
        <w:snapToGrid w:val="0"/>
        <w:spacing w:line="540" w:lineRule="exact"/>
        <w:rPr>
          <w:rFonts w:ascii="仿宋_GB2312" w:hAnsi="仿宋" w:eastAsia="仿宋_GB2312" w:cs="仿宋_GB2312"/>
          <w:sz w:val="32"/>
          <w:szCs w:val="32"/>
        </w:rPr>
      </w:pPr>
      <w:r>
        <w:rPr>
          <w:rFonts w:hint="eastAsia" w:ascii="仿宋_GB2312" w:hAnsi="仿宋" w:eastAsia="仿宋_GB2312" w:cs="仿宋_GB2312"/>
          <w:sz w:val="32"/>
          <w:szCs w:val="32"/>
        </w:rPr>
        <w:t xml:space="preserve">  </w:t>
      </w:r>
      <w:r>
        <w:rPr>
          <w:rFonts w:hint="eastAsia" w:ascii="仿宋_GB2312" w:hAnsi="仿宋" w:eastAsia="仿宋_GB2312" w:cs="仿宋_GB2312"/>
          <w:sz w:val="32"/>
          <w:szCs w:val="32"/>
          <w:lang w:eastAsia="zh-CN"/>
        </w:rPr>
        <w:t>2024</w:t>
      </w:r>
      <w:r>
        <w:rPr>
          <w:rFonts w:hint="eastAsia" w:ascii="仿宋_GB2312" w:hAnsi="仿宋" w:eastAsia="仿宋_GB2312" w:cs="仿宋_GB2312"/>
          <w:sz w:val="32"/>
          <w:szCs w:val="32"/>
        </w:rPr>
        <w:t>年度财政资金支出</w:t>
      </w:r>
      <w:r>
        <w:rPr>
          <w:rFonts w:hint="eastAsia" w:ascii="仿宋_GB2312" w:hAnsi="仿宋" w:eastAsia="仿宋_GB2312" w:cs="仿宋_GB2312"/>
          <w:sz w:val="32"/>
          <w:szCs w:val="32"/>
          <w:lang w:val="en-US" w:eastAsia="zh-CN"/>
        </w:rPr>
        <w:t>515.06</w:t>
      </w:r>
      <w:r>
        <w:rPr>
          <w:rFonts w:hint="eastAsia" w:ascii="仿宋_GB2312" w:hAnsi="仿宋" w:eastAsia="仿宋_GB2312" w:cs="仿宋_GB2312"/>
          <w:sz w:val="32"/>
          <w:szCs w:val="32"/>
        </w:rPr>
        <w:t>万元，其中其中基本支出</w:t>
      </w:r>
      <w:r>
        <w:rPr>
          <w:rFonts w:hint="eastAsia" w:ascii="仿宋_GB2312" w:hAnsi="仿宋" w:eastAsia="仿宋_GB2312" w:cs="仿宋_GB2312"/>
          <w:sz w:val="32"/>
          <w:szCs w:val="32"/>
          <w:lang w:val="en-US" w:eastAsia="zh-CN"/>
        </w:rPr>
        <w:t>442.26</w:t>
      </w:r>
      <w:r>
        <w:rPr>
          <w:rFonts w:hint="eastAsia" w:ascii="仿宋_GB2312" w:hAnsi="仿宋" w:eastAsia="仿宋_GB2312" w:cs="仿宋_GB2312"/>
          <w:sz w:val="32"/>
          <w:szCs w:val="32"/>
        </w:rPr>
        <w:t>万元，项目支出</w:t>
      </w:r>
      <w:r>
        <w:rPr>
          <w:rFonts w:hint="eastAsia" w:ascii="仿宋" w:hAnsi="仿宋" w:eastAsia="仿宋" w:cs="仿宋"/>
          <w:sz w:val="32"/>
          <w:szCs w:val="32"/>
          <w:lang w:val="en-US" w:eastAsia="zh-CN"/>
        </w:rPr>
        <w:t>72.8</w:t>
      </w:r>
      <w:r>
        <w:rPr>
          <w:rFonts w:hint="eastAsia" w:ascii="仿宋_GB2312" w:hAnsi="仿宋" w:eastAsia="仿宋_GB2312" w:cs="仿宋_GB2312"/>
          <w:sz w:val="32"/>
          <w:szCs w:val="32"/>
        </w:rPr>
        <w:t>万元 。</w:t>
      </w:r>
    </w:p>
    <w:p w14:paraId="240E1C12">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 xml:space="preserve">三、部门整体预算绩效管理情况 </w:t>
      </w:r>
    </w:p>
    <w:p w14:paraId="33F683E9">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14:paraId="7E73DEE6">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val="zh-CN"/>
        </w:rPr>
        <w:t>严格按照县财政局部门预算编制通知要求，按时完成局机关年初预算编制工作。在编制过程中，认真核实单位实际财政供养人数和单位实有编制情况，正确编制人员经费和公用经费等，做到尽量细化项目资金支出预算范围和科目，及时上报相关股室进行审核，确保预算编制的准确性。</w:t>
      </w:r>
      <w:r>
        <w:rPr>
          <w:rFonts w:hint="eastAsia" w:ascii="仿宋_GB2312" w:hAnsi="仿宋" w:eastAsia="仿宋_GB2312" w:cs="仿宋_GB2312"/>
          <w:sz w:val="32"/>
          <w:szCs w:val="32"/>
        </w:rPr>
        <w:t>对绩效目标进行年度分析，及时上报相关报表。</w:t>
      </w:r>
      <w:r>
        <w:rPr>
          <w:rFonts w:hint="eastAsia" w:ascii="仿宋_GB2312" w:hAnsi="仿宋" w:eastAsia="仿宋_GB2312" w:cs="仿宋_GB2312"/>
          <w:sz w:val="32"/>
          <w:szCs w:val="32"/>
          <w:lang w:val="zh-CN"/>
        </w:rPr>
        <w:t>从预算执行来情况看，预算资金覆盖所有人力资源和社会保障局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r>
        <w:rPr>
          <w:rFonts w:hint="eastAsia" w:ascii="仿宋_GB2312" w:hAnsi="仿宋" w:eastAsia="仿宋_GB2312" w:cs="仿宋_GB2312"/>
          <w:sz w:val="32"/>
          <w:szCs w:val="32"/>
        </w:rPr>
        <w:t>资金使用管理逐步加强。全年预算完成率达100%。单位支出严格按照国家财经法规和财务管理制度规定执行，正确组织资金的分配、调度和使用，费用开支有标准、有预算，所有支出均通过我单位政府财政管理系统直接支付和授权方支付方式办理，资金使用无截留、挤占、挪用、虚列支出等情况。</w:t>
      </w:r>
    </w:p>
    <w:p w14:paraId="7A3DDA9C">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14:paraId="760BE08E">
      <w:pPr>
        <w:widowControl/>
        <w:adjustRightInd w:val="0"/>
        <w:snapToGrid w:val="0"/>
        <w:spacing w:line="540" w:lineRule="exact"/>
        <w:ind w:left="105" w:leftChars="50" w:firstLine="560" w:firstLineChars="175"/>
        <w:jc w:val="left"/>
        <w:rPr>
          <w:rFonts w:ascii="仿宋_GB2312" w:hAnsi="宋体" w:eastAsia="仿宋_GB2312" w:cs="宋体"/>
          <w:color w:val="000000"/>
          <w:kern w:val="0"/>
          <w:sz w:val="32"/>
          <w:szCs w:val="32"/>
          <w:lang w:val="zh-CN"/>
        </w:rPr>
      </w:pPr>
      <w:r>
        <w:rPr>
          <w:rFonts w:hint="eastAsia" w:ascii="仿宋_GB2312" w:hAnsi="仿宋" w:eastAsia="仿宋_GB2312" w:cs="仿宋_GB2312"/>
          <w:sz w:val="32"/>
          <w:szCs w:val="32"/>
          <w:lang w:val="zh-CN"/>
        </w:rPr>
        <w:t>按要求将相关绩效信息随同决算公开 ；针对绩效管理过程中提出的问题及时进行整改，将绩效管理结果与预算安排进行；在规定时间内向财政部门反馈应用绩效结果报告。</w:t>
      </w:r>
    </w:p>
    <w:p w14:paraId="342880E2">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四、评价结论及建议</w:t>
      </w:r>
    </w:p>
    <w:p w14:paraId="466D4281">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14:paraId="30A35459">
      <w:pPr>
        <w:spacing w:line="560" w:lineRule="exact"/>
        <w:ind w:firstLine="640" w:firstLineChars="200"/>
        <w:rPr>
          <w:rFonts w:hint="eastAsia" w:ascii="仿宋_GB2312" w:hAnsi="仿宋" w:eastAsia="仿宋_GB2312" w:cs="仿宋_GB2312"/>
          <w:sz w:val="32"/>
          <w:szCs w:val="32"/>
          <w:lang w:val="zh-CN" w:eastAsia="zh-CN"/>
        </w:rPr>
      </w:pPr>
      <w:r>
        <w:rPr>
          <w:rFonts w:hint="eastAsia" w:ascii="仿宋_GB2312" w:hAnsi="仿宋" w:eastAsia="仿宋_GB2312" w:cs="仿宋_GB2312"/>
          <w:sz w:val="32"/>
          <w:szCs w:val="32"/>
          <w:lang w:val="zh-CN"/>
        </w:rPr>
        <w:t>评价结论为</w:t>
      </w:r>
      <w:r>
        <w:rPr>
          <w:rFonts w:hint="eastAsia" w:ascii="仿宋_GB2312" w:hAnsi="仿宋" w:eastAsia="仿宋_GB2312" w:cs="仿宋_GB2312"/>
          <w:sz w:val="32"/>
          <w:szCs w:val="32"/>
        </w:rPr>
        <w:t>86分，部门预算执行情况良好，无不良记录及违规违纪行为，预算支出和决算支出情况基本相符</w:t>
      </w:r>
      <w:r>
        <w:rPr>
          <w:rFonts w:hint="eastAsia" w:ascii="仿宋_GB2312" w:hAnsi="仿宋" w:eastAsia="仿宋_GB2312" w:cs="仿宋_GB2312"/>
          <w:sz w:val="32"/>
          <w:szCs w:val="32"/>
          <w:lang w:eastAsia="zh-CN"/>
        </w:rPr>
        <w:t>。</w:t>
      </w:r>
    </w:p>
    <w:p w14:paraId="58106A18">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14:paraId="68655788">
      <w:pPr>
        <w:spacing w:line="560" w:lineRule="exact"/>
        <w:ind w:firstLine="640" w:firstLineChars="200"/>
        <w:rPr>
          <w:rFonts w:ascii="仿宋_GB2312" w:hAnsi="仿宋" w:eastAsia="仿宋_GB2312" w:cs="仿宋_GB2312"/>
          <w:sz w:val="32"/>
          <w:szCs w:val="32"/>
          <w:lang w:val="zh-CN"/>
        </w:rPr>
      </w:pPr>
      <w:r>
        <w:rPr>
          <w:rFonts w:hint="eastAsia" w:ascii="仿宋_GB2312" w:hAnsi="仿宋" w:eastAsia="仿宋_GB2312" w:cs="仿宋_GB2312"/>
          <w:sz w:val="32"/>
          <w:szCs w:val="32"/>
        </w:rPr>
        <w:t>预算绩效管理意识不够强，预算编制商品服务支出明细科目分解不够精确。</w:t>
      </w:r>
    </w:p>
    <w:p w14:paraId="3F62B8C3">
      <w:pPr>
        <w:widowControl/>
        <w:numPr>
          <w:ilvl w:val="0"/>
          <w:numId w:val="0"/>
        </w:numPr>
        <w:tabs>
          <w:tab w:val="left" w:pos="0"/>
        </w:tabs>
        <w:adjustRightInd w:val="0"/>
        <w:snapToGrid w:val="0"/>
        <w:spacing w:line="580" w:lineRule="exact"/>
        <w:ind w:leftChars="200"/>
        <w:contextualSpacing/>
        <w:jc w:val="left"/>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zh-CN"/>
        </w:rPr>
        <w:t>改进建议。</w:t>
      </w:r>
      <w:r>
        <w:rPr>
          <w:rFonts w:hint="eastAsia" w:ascii="仿宋_GB2312" w:eastAsia="仿宋_GB2312" w:cs="宋体"/>
          <w:color w:val="000000"/>
          <w:kern w:val="0"/>
          <w:sz w:val="32"/>
          <w:szCs w:val="32"/>
          <w:shd w:val="clear" w:color="auto" w:fill="FFFFFF"/>
          <w:lang w:val="en-US" w:eastAsia="zh-CN"/>
        </w:rPr>
        <w:t>无</w:t>
      </w:r>
    </w:p>
    <w:p w14:paraId="54364271">
      <w:pPr>
        <w:widowControl/>
        <w:numPr>
          <w:ilvl w:val="0"/>
          <w:numId w:val="0"/>
        </w:numPr>
        <w:tabs>
          <w:tab w:val="left" w:pos="0"/>
        </w:tabs>
        <w:adjustRightInd w:val="0"/>
        <w:snapToGrid w:val="0"/>
        <w:spacing w:line="580" w:lineRule="exact"/>
        <w:ind w:leftChars="200"/>
        <w:contextualSpacing/>
        <w:jc w:val="left"/>
        <w:rPr>
          <w:rFonts w:hint="eastAsia" w:ascii="仿宋_GB2312" w:eastAsia="仿宋_GB2312" w:cs="宋体"/>
          <w:color w:val="000000"/>
          <w:kern w:val="0"/>
          <w:sz w:val="32"/>
          <w:szCs w:val="32"/>
          <w:shd w:val="clear" w:color="auto" w:fill="FFFFFF"/>
          <w:lang w:val="en-US" w:eastAsia="zh-CN"/>
        </w:rPr>
      </w:pPr>
    </w:p>
    <w:p w14:paraId="20B98539">
      <w:pPr>
        <w:keepNext w:val="0"/>
        <w:keepLines w:val="0"/>
        <w:widowControl/>
        <w:suppressLineNumbers w:val="0"/>
        <w:jc w:val="left"/>
        <w:textAlignment w:val="center"/>
        <w:rPr>
          <w:rFonts w:ascii="宋体" w:hAnsi="宋体" w:eastAsia="宋体" w:cs="宋体"/>
          <w:i w:val="0"/>
          <w:iCs w:val="0"/>
          <w:color w:val="C0C0C0"/>
          <w:kern w:val="0"/>
          <w:sz w:val="20"/>
          <w:szCs w:val="20"/>
          <w:u w:val="none"/>
          <w:lang w:val="en-US" w:eastAsia="zh-CN" w:bidi="ar"/>
        </w:rPr>
      </w:pPr>
    </w:p>
    <w:p w14:paraId="3E45FFDF">
      <w:pPr>
        <w:keepNext w:val="0"/>
        <w:keepLines w:val="0"/>
        <w:widowControl/>
        <w:suppressLineNumbers w:val="0"/>
        <w:jc w:val="left"/>
        <w:textAlignment w:val="center"/>
        <w:rPr>
          <w:rFonts w:ascii="宋体" w:hAnsi="宋体" w:eastAsia="宋体" w:cs="宋体"/>
          <w:i w:val="0"/>
          <w:iCs w:val="0"/>
          <w:color w:val="C0C0C0"/>
          <w:kern w:val="0"/>
          <w:sz w:val="20"/>
          <w:szCs w:val="20"/>
          <w:u w:val="none"/>
          <w:lang w:val="en-US" w:eastAsia="zh-CN" w:bidi="ar"/>
        </w:rPr>
      </w:pPr>
    </w:p>
    <w:p w14:paraId="33880F29">
      <w:pPr>
        <w:keepNext w:val="0"/>
        <w:keepLines w:val="0"/>
        <w:widowControl/>
        <w:suppressLineNumbers w:val="0"/>
        <w:jc w:val="left"/>
        <w:textAlignment w:val="center"/>
        <w:rPr>
          <w:rFonts w:ascii="宋体" w:hAnsi="宋体" w:eastAsia="宋体" w:cs="宋体"/>
          <w:i w:val="0"/>
          <w:iCs w:val="0"/>
          <w:color w:val="C0C0C0"/>
          <w:kern w:val="0"/>
          <w:sz w:val="20"/>
          <w:szCs w:val="20"/>
          <w:u w:val="none"/>
          <w:lang w:val="en-US" w:eastAsia="zh-CN" w:bidi="ar"/>
        </w:rPr>
      </w:pPr>
      <w:bookmarkStart w:id="6" w:name="_GoBack"/>
      <w:bookmarkEnd w:id="6"/>
    </w:p>
    <w:p w14:paraId="5C80C146">
      <w:pPr>
        <w:spacing w:line="578" w:lineRule="exact"/>
        <w:ind w:firstLine="420" w:firstLineChars="200"/>
      </w:pPr>
      <w:r>
        <w:rPr>
          <w:rFonts w:hint="eastAsia" w:ascii="黑体" w:hAnsi="黑体" w:eastAsia="黑体" w:cs="黑体"/>
        </w:rPr>
        <w:t>附表</w:t>
      </w:r>
    </w:p>
    <w:tbl>
      <w:tblPr>
        <w:tblStyle w:val="16"/>
        <w:tblW w:w="10560" w:type="dxa"/>
        <w:jc w:val="center"/>
        <w:tblLayout w:type="fixed"/>
        <w:tblCellMar>
          <w:top w:w="15" w:type="dxa"/>
          <w:left w:w="15" w:type="dxa"/>
          <w:bottom w:w="15" w:type="dxa"/>
          <w:right w:w="15" w:type="dxa"/>
        </w:tblCellMar>
      </w:tblPr>
      <w:tblGrid>
        <w:gridCol w:w="1308"/>
        <w:gridCol w:w="968"/>
        <w:gridCol w:w="992"/>
        <w:gridCol w:w="1843"/>
        <w:gridCol w:w="1062"/>
        <w:gridCol w:w="1289"/>
        <w:gridCol w:w="1058"/>
        <w:gridCol w:w="926"/>
        <w:gridCol w:w="1114"/>
      </w:tblGrid>
      <w:tr w14:paraId="1AF5F6D7">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5283879A">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14:paraId="71718688">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690B4C0D">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（2023年度）</w:t>
            </w:r>
          </w:p>
        </w:tc>
      </w:tr>
      <w:tr w14:paraId="43876A5A">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2B42FA41">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7464AD4C">
        <w:tblPrEx>
          <w:tblCellMar>
            <w:top w:w="15" w:type="dxa"/>
            <w:left w:w="15" w:type="dxa"/>
            <w:bottom w:w="15" w:type="dxa"/>
            <w:right w:w="15" w:type="dxa"/>
          </w:tblCellMar>
        </w:tblPrEx>
        <w:trPr>
          <w:trHeight w:val="23" w:hRule="atLeast"/>
          <w:jc w:val="center"/>
        </w:trPr>
        <w:tc>
          <w:tcPr>
            <w:tcW w:w="32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07D743">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72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D9F3A3">
            <w:pPr>
              <w:widowControl/>
              <w:spacing w:line="300" w:lineRule="exact"/>
              <w:jc w:val="center"/>
              <w:textAlignment w:val="center"/>
              <w:rPr>
                <w:rFonts w:eastAsia="宋体"/>
                <w:color w:val="000000"/>
                <w:sz w:val="24"/>
              </w:rPr>
            </w:pPr>
            <w:r>
              <w:rPr>
                <w:rFonts w:hint="eastAsia" w:eastAsia="宋体"/>
                <w:color w:val="000000"/>
                <w:kern w:val="0"/>
                <w:sz w:val="24"/>
                <w:lang w:bidi="ar"/>
              </w:rPr>
              <w:t>金川县人力资源和社会保障局</w:t>
            </w:r>
          </w:p>
        </w:tc>
      </w:tr>
      <w:tr w14:paraId="04290C28">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92AD4">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19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CE859">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9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FA764C">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9924E3">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14:paraId="5A09B9F0">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41F64">
            <w:pPr>
              <w:widowControl/>
              <w:spacing w:line="300" w:lineRule="exact"/>
              <w:jc w:val="center"/>
              <w:rPr>
                <w:rFonts w:eastAsia="宋体"/>
                <w:color w:val="000000"/>
                <w:sz w:val="24"/>
              </w:rPr>
            </w:pPr>
          </w:p>
        </w:tc>
        <w:tc>
          <w:tcPr>
            <w:tcW w:w="19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51665">
            <w:pPr>
              <w:widowControl/>
              <w:spacing w:line="300" w:lineRule="exact"/>
              <w:jc w:val="center"/>
              <w:textAlignment w:val="center"/>
              <w:rPr>
                <w:rFonts w:eastAsia="宋体"/>
                <w:color w:val="000000"/>
                <w:sz w:val="24"/>
              </w:rPr>
            </w:pPr>
            <w:r>
              <w:rPr>
                <w:rFonts w:hint="eastAsia" w:eastAsia="宋体"/>
                <w:color w:val="000000"/>
                <w:kern w:val="0"/>
                <w:sz w:val="24"/>
                <w:lang w:val="en-US" w:eastAsia="zh-CN" w:bidi="ar"/>
              </w:rPr>
              <w:t>515.06</w:t>
            </w:r>
          </w:p>
        </w:tc>
        <w:tc>
          <w:tcPr>
            <w:tcW w:w="29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8FD14">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515.06</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C1C0AF">
            <w:pPr>
              <w:widowControl/>
              <w:spacing w:line="300" w:lineRule="exact"/>
              <w:jc w:val="center"/>
              <w:textAlignment w:val="center"/>
              <w:rPr>
                <w:rFonts w:eastAsia="宋体"/>
                <w:color w:val="000000"/>
                <w:sz w:val="24"/>
              </w:rPr>
            </w:pPr>
          </w:p>
        </w:tc>
      </w:tr>
      <w:tr w14:paraId="5B0B84C7">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0727">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14:paraId="21322A47">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8CA7BB">
            <w:pPr>
              <w:widowControl/>
              <w:spacing w:line="300" w:lineRule="exact"/>
              <w:jc w:val="left"/>
              <w:textAlignment w:val="center"/>
              <w:rPr>
                <w:rFonts w:eastAsia="宋体"/>
                <w:color w:val="000000"/>
                <w:sz w:val="24"/>
              </w:rPr>
            </w:pPr>
            <w:r>
              <w:rPr>
                <w:rFonts w:hint="eastAsia" w:eastAsia="宋体"/>
                <w:color w:val="000000"/>
                <w:kern w:val="0"/>
                <w:sz w:val="24"/>
                <w:lang w:bidi="ar"/>
              </w:rPr>
              <w:t>进一步找准人社部门最大民生部门和经济社会发展重要主推部门的职责定位，为全县经济社会发展做出人社贡献。紧紧围绕就业促进、社会保障、农民工服务等方面加快推进。</w:t>
            </w:r>
          </w:p>
        </w:tc>
      </w:tr>
      <w:tr w14:paraId="1993EDCC">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right w:val="single" w:color="000000" w:sz="4" w:space="0"/>
            </w:tcBorders>
            <w:shd w:val="clear" w:color="auto" w:fill="auto"/>
            <w:vAlign w:val="center"/>
          </w:tcPr>
          <w:p w14:paraId="63F1A9F2">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14:paraId="49119915">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19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A913F">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72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12F6D3">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14:paraId="6978C152">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5B166939">
            <w:pPr>
              <w:widowControl/>
              <w:spacing w:line="300" w:lineRule="exact"/>
              <w:jc w:val="center"/>
              <w:rPr>
                <w:rFonts w:eastAsia="宋体"/>
                <w:color w:val="000000"/>
                <w:sz w:val="24"/>
              </w:rPr>
            </w:pPr>
          </w:p>
        </w:tc>
        <w:tc>
          <w:tcPr>
            <w:tcW w:w="19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F9FCE">
            <w:pPr>
              <w:widowControl/>
              <w:spacing w:line="300" w:lineRule="exact"/>
              <w:jc w:val="left"/>
              <w:textAlignment w:val="center"/>
              <w:rPr>
                <w:rFonts w:eastAsia="宋体"/>
                <w:color w:val="000000"/>
                <w:sz w:val="24"/>
              </w:rPr>
            </w:pPr>
            <w:r>
              <w:rPr>
                <w:rFonts w:hint="eastAsia" w:eastAsia="宋体"/>
                <w:color w:val="000000"/>
                <w:kern w:val="0"/>
                <w:sz w:val="24"/>
                <w:lang w:bidi="ar"/>
              </w:rPr>
              <w:t>人力资源事务 工资福利管理</w:t>
            </w:r>
          </w:p>
        </w:tc>
        <w:tc>
          <w:tcPr>
            <w:tcW w:w="72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324B20">
            <w:pPr>
              <w:widowControl/>
              <w:spacing w:line="300" w:lineRule="exact"/>
              <w:jc w:val="left"/>
              <w:textAlignment w:val="center"/>
              <w:rPr>
                <w:rFonts w:eastAsia="宋体"/>
                <w:color w:val="000000"/>
                <w:sz w:val="24"/>
              </w:rPr>
            </w:pPr>
            <w:r>
              <w:rPr>
                <w:rFonts w:hint="eastAsia" w:eastAsia="宋体"/>
                <w:color w:val="000000"/>
                <w:kern w:val="0"/>
                <w:sz w:val="24"/>
                <w:lang w:bidi="ar"/>
              </w:rPr>
              <w:t>全县机关事业单位目标绩效等、工资福利审批、退休审批、工龄认定、后事处理工作。</w:t>
            </w:r>
          </w:p>
        </w:tc>
      </w:tr>
      <w:tr w14:paraId="2DA824CB">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589D578E">
            <w:pPr>
              <w:widowControl/>
              <w:spacing w:line="300" w:lineRule="exact"/>
              <w:jc w:val="center"/>
              <w:rPr>
                <w:rFonts w:eastAsia="宋体"/>
                <w:color w:val="000000"/>
                <w:sz w:val="24"/>
              </w:rPr>
            </w:pPr>
          </w:p>
        </w:tc>
        <w:tc>
          <w:tcPr>
            <w:tcW w:w="19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4CA97">
            <w:pPr>
              <w:widowControl/>
              <w:spacing w:line="300" w:lineRule="exact"/>
              <w:jc w:val="left"/>
              <w:rPr>
                <w:rFonts w:eastAsia="宋体"/>
                <w:color w:val="000000"/>
                <w:sz w:val="24"/>
              </w:rPr>
            </w:pPr>
            <w:r>
              <w:rPr>
                <w:rFonts w:hint="eastAsia" w:eastAsia="宋体"/>
                <w:color w:val="000000"/>
                <w:sz w:val="24"/>
              </w:rPr>
              <w:t>社会保障事务 社会保险事务管理</w:t>
            </w:r>
          </w:p>
        </w:tc>
        <w:tc>
          <w:tcPr>
            <w:tcW w:w="72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4CBAD4">
            <w:pPr>
              <w:widowControl/>
              <w:spacing w:line="300" w:lineRule="exact"/>
              <w:jc w:val="left"/>
              <w:rPr>
                <w:rFonts w:eastAsia="宋体"/>
                <w:color w:val="000000"/>
                <w:sz w:val="24"/>
              </w:rPr>
            </w:pPr>
            <w:r>
              <w:rPr>
                <w:rFonts w:hint="eastAsia" w:eastAsia="宋体"/>
                <w:color w:val="000000"/>
                <w:sz w:val="24"/>
              </w:rPr>
              <w:t>社会保险政策宣传；企业职工（个体）基本养老保险参保、退休、工龄认定；工伤认定；社会保险基金监督。</w:t>
            </w:r>
          </w:p>
        </w:tc>
      </w:tr>
      <w:tr w14:paraId="5ADCD559">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62FAFCAC">
            <w:pPr>
              <w:widowControl/>
              <w:spacing w:line="300" w:lineRule="exact"/>
              <w:jc w:val="center"/>
              <w:rPr>
                <w:rFonts w:eastAsia="宋体"/>
                <w:color w:val="000000"/>
                <w:sz w:val="24"/>
              </w:rPr>
            </w:pPr>
          </w:p>
        </w:tc>
        <w:tc>
          <w:tcPr>
            <w:tcW w:w="19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C3DEE">
            <w:pPr>
              <w:widowControl/>
              <w:spacing w:line="300" w:lineRule="exact"/>
              <w:jc w:val="left"/>
              <w:rPr>
                <w:rFonts w:eastAsia="宋体"/>
                <w:color w:val="000000"/>
                <w:sz w:val="24"/>
              </w:rPr>
            </w:pPr>
            <w:r>
              <w:rPr>
                <w:rFonts w:hint="eastAsia" w:eastAsia="宋体"/>
                <w:color w:val="000000"/>
                <w:sz w:val="24"/>
              </w:rPr>
              <w:t>社会保障事务 其他业务管理事务</w:t>
            </w:r>
          </w:p>
        </w:tc>
        <w:tc>
          <w:tcPr>
            <w:tcW w:w="72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A0BF6F">
            <w:pPr>
              <w:widowControl/>
              <w:spacing w:line="300" w:lineRule="exact"/>
              <w:jc w:val="left"/>
              <w:rPr>
                <w:rFonts w:eastAsia="宋体"/>
                <w:color w:val="000000"/>
                <w:sz w:val="24"/>
              </w:rPr>
            </w:pPr>
            <w:r>
              <w:rPr>
                <w:rFonts w:hint="eastAsia" w:eastAsia="宋体"/>
                <w:color w:val="000000"/>
                <w:sz w:val="24"/>
              </w:rPr>
              <w:t>全县各类参保人员社保卡业务办理；建立全县群众满意的人社公共服务体系“１号工程”；完成全县流动人员档案管理；政务一体化建设。</w:t>
            </w:r>
          </w:p>
        </w:tc>
      </w:tr>
      <w:tr w14:paraId="13D1862A">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3AF1CEA7">
            <w:pPr>
              <w:widowControl/>
              <w:spacing w:line="300" w:lineRule="exact"/>
              <w:jc w:val="center"/>
              <w:rPr>
                <w:rFonts w:eastAsia="宋体"/>
                <w:color w:val="000000"/>
                <w:sz w:val="24"/>
              </w:rPr>
            </w:pPr>
          </w:p>
        </w:tc>
        <w:tc>
          <w:tcPr>
            <w:tcW w:w="19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1B18F">
            <w:pPr>
              <w:widowControl/>
              <w:spacing w:line="300" w:lineRule="exact"/>
              <w:jc w:val="left"/>
              <w:rPr>
                <w:rFonts w:eastAsia="宋体"/>
                <w:color w:val="000000"/>
                <w:sz w:val="24"/>
              </w:rPr>
            </w:pPr>
            <w:r>
              <w:rPr>
                <w:rFonts w:hint="eastAsia" w:eastAsia="宋体"/>
                <w:color w:val="000000"/>
                <w:sz w:val="24"/>
              </w:rPr>
              <w:t>社会保障事务 和谐劳动关系管理</w:t>
            </w:r>
          </w:p>
        </w:tc>
        <w:tc>
          <w:tcPr>
            <w:tcW w:w="72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55B370">
            <w:pPr>
              <w:widowControl/>
              <w:spacing w:line="300" w:lineRule="exact"/>
              <w:jc w:val="left"/>
              <w:rPr>
                <w:rFonts w:eastAsia="宋体"/>
                <w:color w:val="000000"/>
                <w:sz w:val="24"/>
              </w:rPr>
            </w:pPr>
            <w:r>
              <w:rPr>
                <w:rFonts w:hint="eastAsia" w:eastAsia="宋体"/>
                <w:color w:val="000000"/>
                <w:sz w:val="24"/>
              </w:rPr>
              <w:t>治欠保支，实现民工工资基本无拖欠，构建和谐劳动关系，稳定社会发展。及时解决农民工上访事件。劳动人事纠纷调解，劳动人事争议仲裁、基层调解组织建设。</w:t>
            </w:r>
            <w:r>
              <w:rPr>
                <w:rFonts w:hint="eastAsia" w:eastAsia="宋体"/>
                <w:color w:val="000000"/>
                <w:sz w:val="24"/>
              </w:rPr>
              <w:tab/>
            </w:r>
          </w:p>
        </w:tc>
      </w:tr>
      <w:tr w14:paraId="195354AB">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0D87F0C0">
            <w:pPr>
              <w:widowControl/>
              <w:spacing w:line="300" w:lineRule="exact"/>
              <w:jc w:val="center"/>
              <w:rPr>
                <w:rFonts w:eastAsia="宋体"/>
                <w:color w:val="000000"/>
                <w:sz w:val="24"/>
              </w:rPr>
            </w:pPr>
          </w:p>
        </w:tc>
        <w:tc>
          <w:tcPr>
            <w:tcW w:w="19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BAF39">
            <w:pPr>
              <w:widowControl/>
              <w:spacing w:line="300" w:lineRule="exact"/>
              <w:jc w:val="left"/>
              <w:rPr>
                <w:rFonts w:eastAsia="宋体"/>
                <w:color w:val="000000"/>
                <w:sz w:val="24"/>
              </w:rPr>
            </w:pPr>
            <w:r>
              <w:rPr>
                <w:rFonts w:hint="eastAsia" w:eastAsia="宋体"/>
                <w:color w:val="000000"/>
                <w:sz w:val="24"/>
              </w:rPr>
              <w:t>人力资源事务 事业人员工勤人员管理</w:t>
            </w:r>
          </w:p>
        </w:tc>
        <w:tc>
          <w:tcPr>
            <w:tcW w:w="72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EDDD66">
            <w:pPr>
              <w:widowControl/>
              <w:spacing w:line="300" w:lineRule="exact"/>
              <w:jc w:val="left"/>
              <w:rPr>
                <w:rFonts w:eastAsia="宋体"/>
                <w:color w:val="000000"/>
                <w:sz w:val="24"/>
              </w:rPr>
            </w:pPr>
            <w:r>
              <w:rPr>
                <w:rFonts w:hint="eastAsia" w:eastAsia="宋体"/>
                <w:color w:val="000000"/>
                <w:sz w:val="24"/>
              </w:rPr>
              <w:t>全县事业单位人员调配、考录聘工作及日常管理。事业岗位变动、晋升；全县专业技术人员的职称评聘及时取得职务职级资格人员办理资格证书；高校毕业生“三支一扶”工作人员日常管理  ； 工勤人员考试。</w:t>
            </w:r>
          </w:p>
        </w:tc>
      </w:tr>
      <w:tr w14:paraId="078F9840">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E78E4C">
            <w:pPr>
              <w:pStyle w:val="2"/>
              <w:rPr>
                <w:lang w:bidi="ar"/>
              </w:rPr>
            </w:pPr>
          </w:p>
          <w:p w14:paraId="2698480E">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14:paraId="3B10FF6D">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D73C">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DC14">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EFD0">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E4D7">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14:paraId="4B76E3B2">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0A78">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592A">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2EA9633F">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2A33">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14:paraId="4BCCB6DA">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14:paraId="7DC4A3CA">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07491">
            <w:pPr>
              <w:widowControl/>
              <w:spacing w:line="300" w:lineRule="exact"/>
              <w:jc w:val="center"/>
              <w:rPr>
                <w:rFonts w:eastAsia="宋体"/>
                <w:color w:val="000000"/>
                <w:sz w:val="24"/>
              </w:rPr>
            </w:pP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4A3B0">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992" w:type="dxa"/>
            <w:vMerge w:val="restart"/>
            <w:tcBorders>
              <w:top w:val="single" w:color="000000" w:sz="4" w:space="0"/>
              <w:left w:val="single" w:color="000000" w:sz="4" w:space="0"/>
              <w:right w:val="single" w:color="000000" w:sz="4" w:space="0"/>
            </w:tcBorders>
            <w:shd w:val="clear" w:color="auto" w:fill="auto"/>
            <w:vAlign w:val="center"/>
          </w:tcPr>
          <w:p w14:paraId="24D85594">
            <w:pPr>
              <w:widowControl/>
              <w:spacing w:line="300" w:lineRule="exact"/>
              <w:jc w:val="center"/>
              <w:textAlignment w:val="center"/>
              <w:rPr>
                <w:rFonts w:eastAsia="宋体"/>
                <w:color w:val="000000"/>
                <w:sz w:val="24"/>
              </w:rPr>
            </w:pPr>
            <w:r>
              <w:rPr>
                <w:rFonts w:eastAsia="宋体"/>
                <w:color w:val="000000"/>
                <w:kern w:val="0"/>
                <w:sz w:val="24"/>
                <w:lang w:bidi="ar"/>
              </w:rPr>
              <w:t>数量指标</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E2EA">
            <w:pPr>
              <w:widowControl/>
              <w:spacing w:line="300" w:lineRule="exact"/>
              <w:jc w:val="left"/>
              <w:textAlignment w:val="center"/>
              <w:rPr>
                <w:rFonts w:eastAsia="宋体"/>
                <w:color w:val="000000"/>
                <w:sz w:val="24"/>
              </w:rPr>
            </w:pPr>
            <w:r>
              <w:rPr>
                <w:rFonts w:hint="eastAsia" w:eastAsia="宋体"/>
                <w:color w:val="000000"/>
                <w:kern w:val="0"/>
                <w:sz w:val="24"/>
                <w:lang w:bidi="ar"/>
              </w:rPr>
              <w:t>高校毕业生“三支一扶人员管理”</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DDCF">
            <w:pPr>
              <w:widowControl/>
              <w:spacing w:line="300" w:lineRule="exact"/>
              <w:jc w:val="left"/>
              <w:textAlignment w:val="center"/>
              <w:rPr>
                <w:rFonts w:eastAsia="宋体"/>
                <w:color w:val="000000"/>
                <w:sz w:val="24"/>
              </w:rPr>
            </w:pPr>
            <w:r>
              <w:rPr>
                <w:rFonts w:hint="eastAsia" w:eastAsia="宋体"/>
                <w:color w:val="000000"/>
                <w:kern w:val="0"/>
                <w:sz w:val="24"/>
                <w:lang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2DE2">
            <w:pPr>
              <w:widowControl/>
              <w:spacing w:line="300" w:lineRule="exact"/>
              <w:jc w:val="left"/>
              <w:textAlignment w:val="center"/>
              <w:rPr>
                <w:rFonts w:eastAsia="宋体"/>
                <w:color w:val="000000"/>
                <w:sz w:val="24"/>
              </w:rPr>
            </w:pPr>
            <w:r>
              <w:rPr>
                <w:rFonts w:hint="eastAsia" w:eastAsia="宋体"/>
                <w:color w:val="000000"/>
                <w:kern w:val="0"/>
                <w:sz w:val="24"/>
                <w:lang w:bidi="ar"/>
              </w:rPr>
              <w:t>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0F39">
            <w:pPr>
              <w:widowControl/>
              <w:spacing w:line="300" w:lineRule="exact"/>
              <w:jc w:val="left"/>
              <w:textAlignment w:val="center"/>
              <w:rPr>
                <w:rFonts w:eastAsia="宋体"/>
                <w:color w:val="000000"/>
                <w:sz w:val="24"/>
              </w:rPr>
            </w:pPr>
            <w:r>
              <w:rPr>
                <w:rFonts w:hint="eastAsia" w:eastAsia="宋体"/>
                <w:color w:val="000000"/>
                <w:kern w:val="0"/>
                <w:sz w:val="24"/>
                <w:lang w:bidi="ar"/>
              </w:rPr>
              <w:t>人</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A232">
            <w:pPr>
              <w:widowControl/>
              <w:spacing w:line="300" w:lineRule="exact"/>
              <w:jc w:val="left"/>
              <w:textAlignment w:val="center"/>
              <w:rPr>
                <w:rFonts w:eastAsia="宋体"/>
                <w:color w:val="000000"/>
                <w:sz w:val="24"/>
              </w:rPr>
            </w:pPr>
            <w:r>
              <w:rPr>
                <w:rFonts w:hint="eastAsia" w:eastAsia="宋体"/>
                <w:color w:val="000000"/>
                <w:kern w:val="0"/>
                <w:sz w:val="24"/>
                <w:lang w:bidi="ar"/>
              </w:rPr>
              <w:t>10</w:t>
            </w:r>
          </w:p>
        </w:tc>
        <w:tc>
          <w:tcPr>
            <w:tcW w:w="1114" w:type="dxa"/>
            <w:tcBorders>
              <w:left w:val="single" w:color="000000" w:sz="4" w:space="0"/>
              <w:bottom w:val="single" w:color="000000" w:sz="4" w:space="0"/>
              <w:right w:val="single" w:color="000000" w:sz="4" w:space="0"/>
            </w:tcBorders>
            <w:shd w:val="clear" w:color="auto" w:fill="auto"/>
            <w:vAlign w:val="center"/>
          </w:tcPr>
          <w:p w14:paraId="458E439C">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val="en-US" w:eastAsia="zh-CN" w:bidi="ar"/>
              </w:rPr>
              <w:t>9</w:t>
            </w:r>
          </w:p>
        </w:tc>
      </w:tr>
      <w:tr w14:paraId="66F960BD">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C80B4">
            <w:pPr>
              <w:widowControl/>
              <w:spacing w:line="300" w:lineRule="exact"/>
              <w:jc w:val="center"/>
              <w:rPr>
                <w:rFonts w:eastAsia="宋体"/>
                <w:color w:val="000000"/>
                <w:sz w:val="24"/>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27133">
            <w:pPr>
              <w:widowControl/>
              <w:spacing w:line="300" w:lineRule="exact"/>
              <w:jc w:val="center"/>
              <w:rPr>
                <w:rFonts w:eastAsia="宋体"/>
                <w:color w:val="000000"/>
                <w:sz w:val="24"/>
              </w:rPr>
            </w:pPr>
          </w:p>
        </w:tc>
        <w:tc>
          <w:tcPr>
            <w:tcW w:w="992" w:type="dxa"/>
            <w:vMerge w:val="continue"/>
            <w:tcBorders>
              <w:left w:val="single" w:color="000000" w:sz="4" w:space="0"/>
              <w:right w:val="single" w:color="000000" w:sz="4" w:space="0"/>
            </w:tcBorders>
            <w:shd w:val="clear" w:color="auto" w:fill="auto"/>
            <w:vAlign w:val="center"/>
          </w:tcPr>
          <w:p w14:paraId="146D9C74">
            <w:pPr>
              <w:widowControl/>
              <w:spacing w:line="300" w:lineRule="exact"/>
              <w:jc w:val="center"/>
              <w:rPr>
                <w:rFonts w:eastAsia="宋体"/>
                <w:color w:val="000000"/>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C969">
            <w:pPr>
              <w:widowControl/>
              <w:spacing w:line="300" w:lineRule="exact"/>
              <w:jc w:val="left"/>
              <w:rPr>
                <w:rFonts w:eastAsia="宋体"/>
                <w:color w:val="000000"/>
                <w:sz w:val="24"/>
              </w:rPr>
            </w:pPr>
            <w:r>
              <w:rPr>
                <w:rFonts w:hint="eastAsia" w:eastAsia="宋体"/>
                <w:color w:val="000000"/>
                <w:sz w:val="24"/>
              </w:rPr>
              <w:t>工勤人员档案管理</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8E9F">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3C8E">
            <w:pPr>
              <w:widowControl/>
              <w:spacing w:line="300" w:lineRule="exact"/>
              <w:jc w:val="left"/>
              <w:rPr>
                <w:rFonts w:eastAsia="宋体"/>
                <w:color w:val="000000"/>
                <w:sz w:val="24"/>
              </w:rPr>
            </w:pPr>
            <w:r>
              <w:rPr>
                <w:rFonts w:hint="eastAsia" w:eastAsia="宋体"/>
                <w:color w:val="000000"/>
                <w:sz w:val="24"/>
              </w:rPr>
              <w:t>387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08C6">
            <w:pPr>
              <w:widowControl/>
              <w:spacing w:line="300" w:lineRule="exact"/>
              <w:jc w:val="left"/>
              <w:rPr>
                <w:rFonts w:eastAsia="宋体"/>
                <w:color w:val="000000"/>
                <w:sz w:val="24"/>
              </w:rPr>
            </w:pPr>
            <w:r>
              <w:rPr>
                <w:rFonts w:hint="eastAsia" w:eastAsia="宋体"/>
                <w:color w:val="000000"/>
                <w:sz w:val="24"/>
              </w:rPr>
              <w:t>盒</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7111">
            <w:pPr>
              <w:widowControl/>
              <w:spacing w:line="300" w:lineRule="exact"/>
              <w:jc w:val="left"/>
              <w:rPr>
                <w:rFonts w:eastAsia="宋体"/>
                <w:color w:val="000000"/>
                <w:sz w:val="24"/>
              </w:rPr>
            </w:pPr>
            <w:r>
              <w:rPr>
                <w:rFonts w:hint="eastAsia" w:eastAsia="宋体"/>
                <w:color w:val="000000"/>
                <w:sz w:val="24"/>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6A8C">
            <w:pPr>
              <w:widowControl/>
              <w:spacing w:line="300" w:lineRule="exact"/>
              <w:jc w:val="left"/>
              <w:rPr>
                <w:rFonts w:eastAsia="宋体"/>
                <w:color w:val="000000"/>
                <w:sz w:val="24"/>
              </w:rPr>
            </w:pPr>
            <w:r>
              <w:rPr>
                <w:rFonts w:hint="eastAsia" w:eastAsia="宋体"/>
                <w:color w:val="000000"/>
                <w:sz w:val="24"/>
              </w:rPr>
              <w:t>387</w:t>
            </w:r>
          </w:p>
        </w:tc>
      </w:tr>
      <w:tr w14:paraId="466A4E45">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5A163">
            <w:pPr>
              <w:widowControl/>
              <w:spacing w:line="300" w:lineRule="exact"/>
              <w:jc w:val="center"/>
              <w:rPr>
                <w:rFonts w:eastAsia="宋体"/>
                <w:color w:val="000000"/>
                <w:sz w:val="24"/>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D14FB">
            <w:pPr>
              <w:widowControl/>
              <w:spacing w:line="300" w:lineRule="exact"/>
              <w:jc w:val="center"/>
              <w:rPr>
                <w:rFonts w:eastAsia="宋体"/>
                <w:color w:val="000000"/>
                <w:sz w:val="24"/>
              </w:rPr>
            </w:pPr>
          </w:p>
        </w:tc>
        <w:tc>
          <w:tcPr>
            <w:tcW w:w="992" w:type="dxa"/>
            <w:vMerge w:val="continue"/>
            <w:tcBorders>
              <w:left w:val="single" w:color="000000" w:sz="4" w:space="0"/>
              <w:right w:val="single" w:color="000000" w:sz="4" w:space="0"/>
            </w:tcBorders>
            <w:shd w:val="clear" w:color="auto" w:fill="auto"/>
            <w:vAlign w:val="center"/>
          </w:tcPr>
          <w:p w14:paraId="44BA95A2">
            <w:pPr>
              <w:widowControl/>
              <w:spacing w:line="300" w:lineRule="exact"/>
              <w:jc w:val="center"/>
              <w:rPr>
                <w:rFonts w:eastAsia="宋体"/>
                <w:color w:val="000000"/>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4763">
            <w:pPr>
              <w:widowControl/>
              <w:spacing w:line="300" w:lineRule="exact"/>
              <w:jc w:val="left"/>
              <w:rPr>
                <w:rFonts w:eastAsia="宋体"/>
                <w:color w:val="000000"/>
                <w:sz w:val="24"/>
              </w:rPr>
            </w:pPr>
            <w:r>
              <w:rPr>
                <w:rFonts w:hint="eastAsia" w:eastAsia="宋体"/>
                <w:color w:val="000000"/>
                <w:sz w:val="24"/>
              </w:rPr>
              <w:t>工资福利审批</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6B24">
            <w:pPr>
              <w:widowControl/>
              <w:spacing w:line="300" w:lineRule="exact"/>
              <w:jc w:val="left"/>
              <w:rPr>
                <w:rFonts w:eastAsiaTheme="minorEastAsia"/>
                <w:color w:val="000000"/>
                <w:sz w:val="28"/>
                <w:szCs w:val="28"/>
              </w:rPr>
            </w:pPr>
            <w:r>
              <w:rPr>
                <w:rFonts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3D8A">
            <w:pPr>
              <w:widowControl/>
              <w:spacing w:line="300" w:lineRule="exact"/>
              <w:jc w:val="left"/>
              <w:rPr>
                <w:rFonts w:eastAsia="宋体"/>
                <w:color w:val="000000"/>
                <w:sz w:val="24"/>
              </w:rPr>
            </w:pPr>
            <w:r>
              <w:rPr>
                <w:rFonts w:hint="eastAsia" w:eastAsia="宋体"/>
                <w:color w:val="000000"/>
                <w:sz w:val="24"/>
              </w:rPr>
              <w:t>3770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9B77">
            <w:pPr>
              <w:widowControl/>
              <w:spacing w:line="300" w:lineRule="exact"/>
              <w:jc w:val="left"/>
              <w:rPr>
                <w:rFonts w:eastAsia="宋体"/>
                <w:color w:val="000000"/>
                <w:sz w:val="24"/>
              </w:rPr>
            </w:pPr>
            <w:r>
              <w:rPr>
                <w:rFonts w:hint="eastAsia" w:eastAsia="宋体"/>
                <w:color w:val="000000"/>
                <w:sz w:val="24"/>
              </w:rPr>
              <w:t>人</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173F">
            <w:pPr>
              <w:widowControl/>
              <w:spacing w:line="300" w:lineRule="exact"/>
              <w:jc w:val="left"/>
              <w:rPr>
                <w:rFonts w:eastAsia="宋体"/>
                <w:color w:val="000000"/>
                <w:sz w:val="24"/>
              </w:rPr>
            </w:pPr>
            <w:r>
              <w:rPr>
                <w:rFonts w:hint="eastAsia" w:eastAsia="宋体"/>
                <w:color w:val="000000"/>
                <w:sz w:val="24"/>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9EC2">
            <w:pPr>
              <w:widowControl/>
              <w:spacing w:line="300" w:lineRule="exact"/>
              <w:jc w:val="left"/>
              <w:rPr>
                <w:rFonts w:eastAsia="宋体"/>
                <w:color w:val="000000"/>
                <w:sz w:val="24"/>
              </w:rPr>
            </w:pPr>
            <w:r>
              <w:rPr>
                <w:rFonts w:hint="eastAsia" w:eastAsia="宋体"/>
                <w:color w:val="000000"/>
                <w:sz w:val="24"/>
              </w:rPr>
              <w:t>3770</w:t>
            </w:r>
          </w:p>
        </w:tc>
      </w:tr>
      <w:tr w14:paraId="08D4E85F">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2E153">
            <w:pPr>
              <w:widowControl/>
              <w:spacing w:line="300" w:lineRule="exact"/>
              <w:jc w:val="center"/>
              <w:rPr>
                <w:rFonts w:eastAsia="宋体"/>
                <w:color w:val="000000"/>
                <w:sz w:val="24"/>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B185F">
            <w:pPr>
              <w:widowControl/>
              <w:spacing w:line="300" w:lineRule="exact"/>
              <w:jc w:val="center"/>
              <w:rPr>
                <w:rFonts w:eastAsia="宋体"/>
                <w:color w:val="000000"/>
                <w:sz w:val="24"/>
              </w:rPr>
            </w:pPr>
          </w:p>
        </w:tc>
        <w:tc>
          <w:tcPr>
            <w:tcW w:w="992" w:type="dxa"/>
            <w:vMerge w:val="continue"/>
            <w:tcBorders>
              <w:left w:val="single" w:color="000000" w:sz="4" w:space="0"/>
              <w:right w:val="single" w:color="000000" w:sz="4" w:space="0"/>
            </w:tcBorders>
            <w:shd w:val="clear" w:color="auto" w:fill="auto"/>
            <w:vAlign w:val="center"/>
          </w:tcPr>
          <w:p w14:paraId="6ED2F1F0">
            <w:pPr>
              <w:widowControl/>
              <w:spacing w:line="300" w:lineRule="exact"/>
              <w:jc w:val="center"/>
              <w:rPr>
                <w:rFonts w:eastAsia="宋体"/>
                <w:color w:val="000000"/>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8717">
            <w:pPr>
              <w:widowControl/>
              <w:spacing w:line="300" w:lineRule="exact"/>
              <w:jc w:val="left"/>
              <w:rPr>
                <w:rFonts w:eastAsia="宋体"/>
                <w:color w:val="000000"/>
                <w:sz w:val="24"/>
              </w:rPr>
            </w:pPr>
            <w:r>
              <w:rPr>
                <w:rFonts w:hint="eastAsia" w:eastAsia="宋体"/>
                <w:color w:val="000000"/>
                <w:sz w:val="24"/>
              </w:rPr>
              <w:t>人员调配</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3D6B">
            <w:pPr>
              <w:widowControl/>
              <w:spacing w:line="300" w:lineRule="exact"/>
              <w:jc w:val="left"/>
              <w:rPr>
                <w:rFonts w:eastAsia="宋体"/>
                <w:b/>
                <w:bCs/>
                <w:color w:val="000000"/>
                <w:sz w:val="24"/>
              </w:rPr>
            </w:pPr>
            <w:r>
              <w:rPr>
                <w:rFonts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1752">
            <w:pPr>
              <w:widowControl/>
              <w:spacing w:line="300" w:lineRule="exact"/>
              <w:jc w:val="left"/>
              <w:rPr>
                <w:rFonts w:eastAsia="宋体"/>
                <w:color w:val="000000"/>
                <w:sz w:val="24"/>
              </w:rPr>
            </w:pPr>
            <w:r>
              <w:rPr>
                <w:rFonts w:hint="eastAsia" w:eastAsia="宋体"/>
                <w:color w:val="000000"/>
                <w:sz w:val="24"/>
              </w:rPr>
              <w:t>35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A2BF">
            <w:pPr>
              <w:widowControl/>
              <w:spacing w:line="300" w:lineRule="exact"/>
              <w:jc w:val="left"/>
              <w:rPr>
                <w:rFonts w:eastAsia="宋体"/>
                <w:color w:val="000000"/>
                <w:sz w:val="24"/>
              </w:rPr>
            </w:pPr>
            <w:r>
              <w:rPr>
                <w:rFonts w:hint="eastAsia" w:eastAsia="宋体"/>
                <w:color w:val="000000"/>
                <w:sz w:val="24"/>
              </w:rPr>
              <w:t>人次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39E6">
            <w:pPr>
              <w:widowControl/>
              <w:spacing w:line="300" w:lineRule="exact"/>
              <w:jc w:val="left"/>
              <w:rPr>
                <w:rFonts w:eastAsia="宋体"/>
                <w:color w:val="000000"/>
                <w:sz w:val="24"/>
              </w:rPr>
            </w:pPr>
            <w:r>
              <w:rPr>
                <w:rFonts w:hint="eastAsia" w:eastAsia="宋体"/>
                <w:color w:val="000000"/>
                <w:sz w:val="24"/>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1575">
            <w:pPr>
              <w:widowControl/>
              <w:spacing w:line="300" w:lineRule="exact"/>
              <w:jc w:val="left"/>
              <w:rPr>
                <w:rFonts w:eastAsia="宋体"/>
                <w:color w:val="000000"/>
                <w:sz w:val="24"/>
              </w:rPr>
            </w:pPr>
            <w:r>
              <w:rPr>
                <w:rFonts w:hint="eastAsia" w:eastAsia="宋体"/>
                <w:color w:val="000000"/>
                <w:sz w:val="24"/>
              </w:rPr>
              <w:t>35</w:t>
            </w:r>
          </w:p>
        </w:tc>
      </w:tr>
      <w:tr w14:paraId="4B495BA1">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2CFC3">
            <w:pPr>
              <w:widowControl/>
              <w:spacing w:line="300" w:lineRule="exact"/>
              <w:jc w:val="center"/>
              <w:rPr>
                <w:rFonts w:eastAsia="宋体"/>
                <w:color w:val="000000"/>
                <w:sz w:val="24"/>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9240A">
            <w:pPr>
              <w:widowControl/>
              <w:spacing w:line="300" w:lineRule="exact"/>
              <w:jc w:val="center"/>
              <w:rPr>
                <w:rFonts w:eastAsia="宋体"/>
                <w:color w:val="000000"/>
                <w:sz w:val="24"/>
              </w:rPr>
            </w:pPr>
          </w:p>
        </w:tc>
        <w:tc>
          <w:tcPr>
            <w:tcW w:w="992" w:type="dxa"/>
            <w:vMerge w:val="continue"/>
            <w:tcBorders>
              <w:left w:val="single" w:color="000000" w:sz="4" w:space="0"/>
              <w:right w:val="single" w:color="000000" w:sz="4" w:space="0"/>
            </w:tcBorders>
            <w:shd w:val="clear" w:color="auto" w:fill="auto"/>
            <w:vAlign w:val="center"/>
          </w:tcPr>
          <w:p w14:paraId="21884FF4">
            <w:pPr>
              <w:widowControl/>
              <w:spacing w:line="300" w:lineRule="exact"/>
              <w:jc w:val="center"/>
              <w:rPr>
                <w:rFonts w:eastAsia="宋体"/>
                <w:color w:val="000000"/>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FFF96">
            <w:pPr>
              <w:widowControl/>
              <w:spacing w:line="300" w:lineRule="exact"/>
              <w:jc w:val="left"/>
              <w:rPr>
                <w:rFonts w:eastAsia="宋体"/>
                <w:color w:val="000000"/>
                <w:sz w:val="24"/>
              </w:rPr>
            </w:pPr>
            <w:r>
              <w:rPr>
                <w:rFonts w:hint="eastAsia" w:eastAsia="宋体"/>
                <w:color w:val="000000"/>
                <w:sz w:val="24"/>
              </w:rPr>
              <w:t>社保卡日常管理</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DCF5">
            <w:pPr>
              <w:widowControl/>
              <w:spacing w:line="300" w:lineRule="exact"/>
              <w:jc w:val="left"/>
              <w:rPr>
                <w:rFonts w:eastAsia="宋体"/>
                <w:color w:val="000000"/>
                <w:sz w:val="24"/>
              </w:rPr>
            </w:pPr>
            <w:r>
              <w:rPr>
                <w:rFonts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57712">
            <w:pPr>
              <w:widowControl/>
              <w:spacing w:line="300" w:lineRule="exact"/>
              <w:jc w:val="left"/>
              <w:rPr>
                <w:rFonts w:eastAsia="宋体"/>
                <w:color w:val="000000"/>
                <w:sz w:val="24"/>
              </w:rPr>
            </w:pPr>
            <w:r>
              <w:rPr>
                <w:rFonts w:hint="eastAsia" w:eastAsia="宋体"/>
                <w:color w:val="000000"/>
                <w:sz w:val="24"/>
              </w:rPr>
              <w:t>1220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5E619">
            <w:pPr>
              <w:widowControl/>
              <w:spacing w:line="300" w:lineRule="exact"/>
              <w:jc w:val="left"/>
              <w:rPr>
                <w:rFonts w:eastAsia="宋体"/>
                <w:color w:val="000000"/>
                <w:sz w:val="24"/>
              </w:rPr>
            </w:pPr>
            <w:r>
              <w:rPr>
                <w:rFonts w:hint="eastAsia" w:eastAsia="宋体"/>
                <w:color w:val="000000"/>
                <w:sz w:val="24"/>
              </w:rPr>
              <w:t>张</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930E3">
            <w:pPr>
              <w:widowControl/>
              <w:spacing w:line="300" w:lineRule="exact"/>
              <w:jc w:val="left"/>
              <w:rPr>
                <w:rFonts w:eastAsia="宋体"/>
                <w:color w:val="000000"/>
                <w:sz w:val="24"/>
              </w:rPr>
            </w:pPr>
            <w:r>
              <w:rPr>
                <w:rFonts w:hint="eastAsia" w:eastAsia="宋体"/>
                <w:color w:val="000000"/>
                <w:sz w:val="24"/>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4C35">
            <w:pPr>
              <w:widowControl/>
              <w:spacing w:line="300" w:lineRule="exact"/>
              <w:jc w:val="left"/>
              <w:rPr>
                <w:rFonts w:eastAsia="宋体"/>
                <w:color w:val="000000"/>
                <w:sz w:val="24"/>
              </w:rPr>
            </w:pPr>
            <w:r>
              <w:rPr>
                <w:rFonts w:hint="eastAsia" w:eastAsia="宋体"/>
                <w:color w:val="000000"/>
                <w:sz w:val="24"/>
              </w:rPr>
              <w:t>1220</w:t>
            </w:r>
          </w:p>
        </w:tc>
      </w:tr>
      <w:tr w14:paraId="064B3873">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1E9CD">
            <w:pPr>
              <w:widowControl/>
              <w:spacing w:line="300" w:lineRule="exact"/>
              <w:jc w:val="center"/>
              <w:rPr>
                <w:rFonts w:eastAsia="宋体"/>
                <w:color w:val="000000"/>
                <w:sz w:val="24"/>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31BBC">
            <w:pPr>
              <w:widowControl/>
              <w:spacing w:line="300" w:lineRule="exact"/>
              <w:jc w:val="center"/>
              <w:rPr>
                <w:rFonts w:eastAsia="宋体"/>
                <w:color w:val="000000"/>
                <w:sz w:val="24"/>
              </w:rPr>
            </w:pPr>
          </w:p>
        </w:tc>
        <w:tc>
          <w:tcPr>
            <w:tcW w:w="992" w:type="dxa"/>
            <w:vMerge w:val="continue"/>
            <w:tcBorders>
              <w:left w:val="single" w:color="000000" w:sz="4" w:space="0"/>
              <w:bottom w:val="single" w:color="000000" w:sz="4" w:space="0"/>
              <w:right w:val="single" w:color="000000" w:sz="4" w:space="0"/>
            </w:tcBorders>
            <w:shd w:val="clear" w:color="auto" w:fill="auto"/>
            <w:vAlign w:val="center"/>
          </w:tcPr>
          <w:p w14:paraId="0DEBF954">
            <w:pPr>
              <w:widowControl/>
              <w:spacing w:line="300" w:lineRule="exact"/>
              <w:jc w:val="center"/>
              <w:rPr>
                <w:rFonts w:eastAsia="宋体"/>
                <w:color w:val="000000"/>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D313">
            <w:pPr>
              <w:widowControl/>
              <w:spacing w:line="300" w:lineRule="exact"/>
              <w:jc w:val="left"/>
              <w:rPr>
                <w:rFonts w:eastAsia="宋体"/>
                <w:color w:val="000000"/>
                <w:sz w:val="24"/>
              </w:rPr>
            </w:pPr>
            <w:r>
              <w:rPr>
                <w:rFonts w:hint="eastAsia" w:eastAsia="宋体"/>
                <w:color w:val="000000"/>
                <w:sz w:val="24"/>
              </w:rPr>
              <w:t>事业单位目标绩效管理</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454A">
            <w:pPr>
              <w:widowControl/>
              <w:spacing w:line="300" w:lineRule="exact"/>
              <w:jc w:val="left"/>
              <w:rPr>
                <w:rFonts w:eastAsia="宋体"/>
                <w:color w:val="000000"/>
                <w:sz w:val="24"/>
              </w:rPr>
            </w:pPr>
            <w:r>
              <w:rPr>
                <w:rFonts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E300">
            <w:pPr>
              <w:widowControl/>
              <w:spacing w:line="300" w:lineRule="exact"/>
              <w:jc w:val="left"/>
              <w:rPr>
                <w:rFonts w:eastAsia="宋体"/>
                <w:color w:val="000000"/>
                <w:sz w:val="24"/>
              </w:rPr>
            </w:pPr>
            <w:r>
              <w:rPr>
                <w:rFonts w:hint="eastAsia" w:eastAsia="宋体"/>
                <w:color w:val="000000"/>
                <w:sz w:val="24"/>
              </w:rPr>
              <w:t>2500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5CE7">
            <w:pPr>
              <w:widowControl/>
              <w:spacing w:line="300" w:lineRule="exact"/>
              <w:jc w:val="left"/>
              <w:rPr>
                <w:rFonts w:eastAsia="宋体"/>
                <w:color w:val="000000"/>
                <w:sz w:val="24"/>
              </w:rPr>
            </w:pPr>
            <w:r>
              <w:rPr>
                <w:rFonts w:hint="eastAsia" w:eastAsia="宋体"/>
                <w:color w:val="000000"/>
                <w:sz w:val="24"/>
              </w:rPr>
              <w:t>人</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E4F4">
            <w:pPr>
              <w:widowControl/>
              <w:spacing w:line="300" w:lineRule="exact"/>
              <w:jc w:val="left"/>
              <w:rPr>
                <w:rFonts w:eastAsia="宋体"/>
                <w:color w:val="000000"/>
                <w:sz w:val="24"/>
              </w:rPr>
            </w:pPr>
            <w:r>
              <w:rPr>
                <w:rFonts w:hint="eastAsia" w:eastAsia="宋体"/>
                <w:color w:val="000000"/>
                <w:sz w:val="24"/>
              </w:rPr>
              <w:t>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5915">
            <w:pPr>
              <w:widowControl/>
              <w:spacing w:line="300" w:lineRule="exact"/>
              <w:jc w:val="left"/>
              <w:rPr>
                <w:rFonts w:eastAsia="宋体"/>
                <w:color w:val="000000"/>
                <w:sz w:val="24"/>
              </w:rPr>
            </w:pPr>
            <w:r>
              <w:rPr>
                <w:rFonts w:hint="eastAsia" w:eastAsia="宋体"/>
                <w:color w:val="000000"/>
                <w:sz w:val="24"/>
              </w:rPr>
              <w:t>2500</w:t>
            </w:r>
          </w:p>
        </w:tc>
      </w:tr>
      <w:tr w14:paraId="16E92DDD">
        <w:tblPrEx>
          <w:tblCellMar>
            <w:top w:w="15" w:type="dxa"/>
            <w:left w:w="15" w:type="dxa"/>
            <w:bottom w:w="15" w:type="dxa"/>
            <w:right w:w="15" w:type="dxa"/>
          </w:tblCellMar>
        </w:tblPrEx>
        <w:trPr>
          <w:trHeight w:val="764"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11160">
            <w:pPr>
              <w:widowControl/>
              <w:spacing w:line="300" w:lineRule="exact"/>
              <w:jc w:val="center"/>
              <w:rPr>
                <w:rFonts w:eastAsia="宋体"/>
                <w:color w:val="000000"/>
                <w:sz w:val="24"/>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433C4">
            <w:pPr>
              <w:widowControl/>
              <w:spacing w:line="300" w:lineRule="exact"/>
              <w:jc w:val="center"/>
              <w:rPr>
                <w:rFonts w:eastAsia="宋体"/>
                <w:color w:val="000000"/>
                <w:sz w:val="24"/>
              </w:rPr>
            </w:pPr>
          </w:p>
        </w:tc>
        <w:tc>
          <w:tcPr>
            <w:tcW w:w="992" w:type="dxa"/>
            <w:vMerge w:val="restart"/>
            <w:tcBorders>
              <w:top w:val="single" w:color="000000" w:sz="4" w:space="0"/>
              <w:left w:val="single" w:color="000000" w:sz="4" w:space="0"/>
              <w:right w:val="single" w:color="000000" w:sz="4" w:space="0"/>
            </w:tcBorders>
            <w:shd w:val="clear" w:color="auto" w:fill="auto"/>
            <w:vAlign w:val="center"/>
          </w:tcPr>
          <w:p w14:paraId="3842C045">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D747">
            <w:pPr>
              <w:widowControl/>
              <w:spacing w:line="300" w:lineRule="exact"/>
              <w:jc w:val="left"/>
              <w:rPr>
                <w:rFonts w:eastAsia="宋体"/>
                <w:color w:val="000000"/>
                <w:sz w:val="24"/>
              </w:rPr>
            </w:pPr>
            <w:r>
              <w:rPr>
                <w:rFonts w:hint="eastAsia" w:eastAsia="宋体"/>
                <w:color w:val="000000"/>
                <w:sz w:val="24"/>
              </w:rPr>
              <w:t>劳动合同、集体合同签订率</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B22F">
            <w:pPr>
              <w:widowControl/>
              <w:spacing w:line="300" w:lineRule="exact"/>
              <w:jc w:val="left"/>
              <w:rPr>
                <w:rFonts w:eastAsia="宋体"/>
                <w:color w:val="000000"/>
                <w:sz w:val="24"/>
              </w:rPr>
            </w:pPr>
            <w:r>
              <w:rPr>
                <w:rFonts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846C">
            <w:pPr>
              <w:widowControl/>
              <w:spacing w:line="300" w:lineRule="exact"/>
              <w:jc w:val="left"/>
              <w:rPr>
                <w:rFonts w:eastAsia="宋体"/>
                <w:color w:val="000000"/>
                <w:sz w:val="24"/>
              </w:rPr>
            </w:pPr>
            <w:r>
              <w:rPr>
                <w:rFonts w:hint="eastAsia" w:eastAsia="宋体"/>
                <w:color w:val="000000"/>
                <w:sz w:val="24"/>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0ACA">
            <w:pPr>
              <w:widowControl/>
              <w:spacing w:line="300" w:lineRule="exact"/>
              <w:jc w:val="left"/>
              <w:rPr>
                <w:rFonts w:eastAsia="宋体"/>
                <w:color w:val="000000"/>
                <w:sz w:val="24"/>
              </w:rPr>
            </w:pPr>
            <w:r>
              <w:rPr>
                <w:rFonts w:hint="eastAsia" w:eastAsia="宋体"/>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C9C0F">
            <w:pPr>
              <w:widowControl/>
              <w:spacing w:line="300" w:lineRule="exact"/>
              <w:jc w:val="left"/>
              <w:rPr>
                <w:rFonts w:eastAsia="宋体"/>
                <w:color w:val="000000"/>
                <w:sz w:val="24"/>
              </w:rPr>
            </w:pPr>
            <w:r>
              <w:rPr>
                <w:rFonts w:hint="eastAsia" w:eastAsia="宋体"/>
                <w:color w:val="000000"/>
                <w:sz w:val="24"/>
              </w:rPr>
              <w:t>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B986">
            <w:pPr>
              <w:widowControl/>
              <w:spacing w:line="300" w:lineRule="exact"/>
              <w:jc w:val="left"/>
              <w:rPr>
                <w:rFonts w:eastAsia="宋体"/>
                <w:color w:val="000000"/>
                <w:sz w:val="24"/>
              </w:rPr>
            </w:pPr>
            <w:r>
              <w:rPr>
                <w:rFonts w:hint="eastAsia" w:eastAsia="宋体"/>
                <w:color w:val="000000"/>
                <w:sz w:val="24"/>
              </w:rPr>
              <w:t>90</w:t>
            </w:r>
          </w:p>
        </w:tc>
      </w:tr>
      <w:tr w14:paraId="2E44ED43">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E2E45">
            <w:pPr>
              <w:widowControl/>
              <w:spacing w:line="300" w:lineRule="exact"/>
              <w:jc w:val="center"/>
              <w:rPr>
                <w:rFonts w:eastAsia="宋体"/>
                <w:color w:val="000000"/>
                <w:sz w:val="24"/>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1D7B2">
            <w:pPr>
              <w:widowControl/>
              <w:spacing w:line="300" w:lineRule="exact"/>
              <w:jc w:val="center"/>
              <w:rPr>
                <w:rFonts w:eastAsia="宋体"/>
                <w:color w:val="000000"/>
                <w:sz w:val="24"/>
              </w:rPr>
            </w:pPr>
          </w:p>
        </w:tc>
        <w:tc>
          <w:tcPr>
            <w:tcW w:w="992" w:type="dxa"/>
            <w:vMerge w:val="continue"/>
            <w:tcBorders>
              <w:left w:val="single" w:color="000000" w:sz="4" w:space="0"/>
              <w:right w:val="single" w:color="000000" w:sz="4" w:space="0"/>
            </w:tcBorders>
            <w:shd w:val="clear" w:color="auto" w:fill="auto"/>
            <w:vAlign w:val="center"/>
          </w:tcPr>
          <w:p w14:paraId="22EC9E35">
            <w:pPr>
              <w:widowControl/>
              <w:spacing w:line="300" w:lineRule="exact"/>
              <w:jc w:val="center"/>
              <w:textAlignment w:val="center"/>
              <w:rPr>
                <w:rFonts w:eastAsia="宋体"/>
                <w:color w:val="000000"/>
                <w:kern w:val="0"/>
                <w:sz w:val="24"/>
                <w:lang w:bidi="ar"/>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2939">
            <w:pPr>
              <w:widowControl/>
              <w:spacing w:line="300" w:lineRule="exact"/>
              <w:jc w:val="left"/>
              <w:rPr>
                <w:rFonts w:eastAsia="宋体"/>
                <w:color w:val="000000"/>
                <w:sz w:val="24"/>
              </w:rPr>
            </w:pPr>
            <w:r>
              <w:rPr>
                <w:rFonts w:hint="eastAsia" w:eastAsia="宋体"/>
                <w:color w:val="000000"/>
                <w:sz w:val="24"/>
              </w:rPr>
              <w:t>劳动人事争议仲裁结案率、举报投诉结案率</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64F9">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6232">
            <w:pPr>
              <w:widowControl/>
              <w:spacing w:line="300" w:lineRule="exact"/>
              <w:jc w:val="left"/>
              <w:rPr>
                <w:rFonts w:eastAsia="宋体"/>
                <w:color w:val="000000"/>
                <w:sz w:val="24"/>
              </w:rPr>
            </w:pPr>
            <w:r>
              <w:rPr>
                <w:rFonts w:hint="eastAsia" w:eastAsia="宋体"/>
                <w:color w:val="000000"/>
                <w:sz w:val="24"/>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0BC7">
            <w:pPr>
              <w:widowControl/>
              <w:spacing w:line="300" w:lineRule="exact"/>
              <w:jc w:val="left"/>
              <w:rPr>
                <w:rFonts w:eastAsia="宋体"/>
                <w:color w:val="000000"/>
                <w:sz w:val="24"/>
              </w:rPr>
            </w:pPr>
            <w:r>
              <w:rPr>
                <w:rFonts w:hint="eastAsia" w:eastAsia="宋体"/>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B5A0">
            <w:pPr>
              <w:widowControl/>
              <w:spacing w:line="300" w:lineRule="exact"/>
              <w:jc w:val="left"/>
              <w:rPr>
                <w:rFonts w:eastAsia="宋体"/>
                <w:color w:val="000000"/>
                <w:sz w:val="24"/>
              </w:rPr>
            </w:pPr>
            <w:r>
              <w:rPr>
                <w:rFonts w:hint="eastAsia" w:eastAsia="宋体"/>
                <w:color w:val="000000"/>
                <w:sz w:val="24"/>
              </w:rPr>
              <w:t>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E76EA">
            <w:pPr>
              <w:widowControl/>
              <w:spacing w:line="300" w:lineRule="exact"/>
              <w:jc w:val="left"/>
              <w:rPr>
                <w:rFonts w:eastAsia="宋体"/>
                <w:color w:val="000000"/>
                <w:sz w:val="24"/>
              </w:rPr>
            </w:pPr>
            <w:r>
              <w:rPr>
                <w:rFonts w:hint="eastAsia" w:eastAsia="宋体"/>
                <w:color w:val="000000"/>
                <w:sz w:val="24"/>
              </w:rPr>
              <w:t>100%</w:t>
            </w:r>
          </w:p>
        </w:tc>
      </w:tr>
      <w:tr w14:paraId="3BD79904">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1AB6E">
            <w:pPr>
              <w:widowControl/>
              <w:spacing w:line="300" w:lineRule="exact"/>
              <w:jc w:val="center"/>
              <w:rPr>
                <w:rFonts w:eastAsia="宋体"/>
                <w:color w:val="000000"/>
                <w:sz w:val="24"/>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A8E21">
            <w:pPr>
              <w:widowControl/>
              <w:spacing w:line="300" w:lineRule="exact"/>
              <w:jc w:val="center"/>
              <w:rPr>
                <w:rFonts w:eastAsia="宋体"/>
                <w:color w:val="000000"/>
                <w:sz w:val="24"/>
              </w:rPr>
            </w:pPr>
          </w:p>
        </w:tc>
        <w:tc>
          <w:tcPr>
            <w:tcW w:w="992" w:type="dxa"/>
            <w:vMerge w:val="continue"/>
            <w:tcBorders>
              <w:left w:val="single" w:color="000000" w:sz="4" w:space="0"/>
              <w:right w:val="single" w:color="000000" w:sz="4" w:space="0"/>
            </w:tcBorders>
            <w:shd w:val="clear" w:color="auto" w:fill="auto"/>
            <w:vAlign w:val="center"/>
          </w:tcPr>
          <w:p w14:paraId="0CBB4270">
            <w:pPr>
              <w:widowControl/>
              <w:spacing w:line="300" w:lineRule="exact"/>
              <w:jc w:val="center"/>
              <w:textAlignment w:val="center"/>
              <w:rPr>
                <w:rFonts w:eastAsia="宋体"/>
                <w:color w:val="000000"/>
                <w:kern w:val="0"/>
                <w:sz w:val="24"/>
                <w:lang w:bidi="ar"/>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69E1">
            <w:pPr>
              <w:widowControl/>
              <w:spacing w:line="300" w:lineRule="exact"/>
              <w:jc w:val="left"/>
              <w:rPr>
                <w:rFonts w:eastAsia="宋体"/>
                <w:color w:val="000000"/>
                <w:sz w:val="24"/>
              </w:rPr>
            </w:pPr>
            <w:r>
              <w:rPr>
                <w:rFonts w:hint="eastAsia" w:eastAsia="宋体"/>
                <w:color w:val="000000"/>
                <w:sz w:val="24"/>
              </w:rPr>
              <w:t>在建项目劳动用人监察覆盖率</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9023">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87FC9">
            <w:pPr>
              <w:widowControl/>
              <w:spacing w:line="300" w:lineRule="exact"/>
              <w:jc w:val="left"/>
              <w:rPr>
                <w:rFonts w:eastAsia="宋体"/>
                <w:color w:val="000000"/>
                <w:sz w:val="24"/>
              </w:rPr>
            </w:pPr>
            <w:r>
              <w:rPr>
                <w:rFonts w:hint="eastAsia" w:eastAsia="宋体"/>
                <w:color w:val="000000"/>
                <w:sz w:val="24"/>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F92B">
            <w:pPr>
              <w:widowControl/>
              <w:spacing w:line="300" w:lineRule="exact"/>
              <w:jc w:val="left"/>
              <w:rPr>
                <w:rFonts w:eastAsia="宋体"/>
                <w:color w:val="000000"/>
                <w:sz w:val="24"/>
              </w:rPr>
            </w:pPr>
            <w:r>
              <w:rPr>
                <w:rFonts w:hint="eastAsia" w:eastAsia="宋体"/>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B479">
            <w:pPr>
              <w:widowControl/>
              <w:spacing w:line="300" w:lineRule="exact"/>
              <w:jc w:val="left"/>
              <w:rPr>
                <w:rFonts w:eastAsia="宋体"/>
                <w:color w:val="000000"/>
                <w:sz w:val="24"/>
              </w:rPr>
            </w:pPr>
            <w:r>
              <w:rPr>
                <w:rFonts w:hint="eastAsia" w:eastAsia="宋体"/>
                <w:color w:val="000000"/>
                <w:sz w:val="24"/>
              </w:rPr>
              <w:t>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553A">
            <w:pPr>
              <w:widowControl/>
              <w:spacing w:line="300" w:lineRule="exact"/>
              <w:jc w:val="left"/>
              <w:rPr>
                <w:rFonts w:eastAsia="宋体"/>
                <w:color w:val="000000"/>
                <w:sz w:val="24"/>
              </w:rPr>
            </w:pPr>
            <w:r>
              <w:rPr>
                <w:rFonts w:hint="eastAsia" w:eastAsia="宋体"/>
                <w:color w:val="000000"/>
                <w:sz w:val="24"/>
              </w:rPr>
              <w:t>100%</w:t>
            </w:r>
          </w:p>
        </w:tc>
      </w:tr>
      <w:tr w14:paraId="50C9968B">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12525">
            <w:pPr>
              <w:widowControl/>
              <w:spacing w:line="300" w:lineRule="exact"/>
              <w:jc w:val="center"/>
              <w:rPr>
                <w:rFonts w:eastAsia="宋体"/>
                <w:color w:val="000000"/>
                <w:sz w:val="24"/>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AB635">
            <w:pPr>
              <w:widowControl/>
              <w:spacing w:line="300" w:lineRule="exact"/>
              <w:jc w:val="center"/>
              <w:rPr>
                <w:rFonts w:eastAsia="宋体"/>
                <w:color w:val="000000"/>
                <w:sz w:val="24"/>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112E">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EA59">
            <w:pPr>
              <w:widowControl/>
              <w:spacing w:line="300" w:lineRule="exact"/>
              <w:jc w:val="left"/>
              <w:rPr>
                <w:rFonts w:eastAsia="宋体"/>
                <w:color w:val="000000"/>
                <w:sz w:val="24"/>
              </w:rPr>
            </w:pPr>
            <w:r>
              <w:rPr>
                <w:rFonts w:hint="eastAsia" w:eastAsia="宋体"/>
                <w:color w:val="000000"/>
                <w:sz w:val="24"/>
              </w:rPr>
              <w:t>12月底全年任务完成率</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353F7">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F954">
            <w:pPr>
              <w:widowControl/>
              <w:spacing w:line="300" w:lineRule="exact"/>
              <w:jc w:val="left"/>
              <w:rPr>
                <w:rFonts w:eastAsia="宋体"/>
                <w:color w:val="000000"/>
                <w:sz w:val="24"/>
              </w:rPr>
            </w:pPr>
            <w:r>
              <w:rPr>
                <w:rFonts w:hint="eastAsia" w:eastAsia="宋体"/>
                <w:color w:val="000000"/>
                <w:sz w:val="24"/>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FA1C">
            <w:pPr>
              <w:widowControl/>
              <w:spacing w:line="300" w:lineRule="exact"/>
              <w:jc w:val="left"/>
              <w:rPr>
                <w:rFonts w:eastAsia="宋体"/>
                <w:color w:val="000000"/>
                <w:sz w:val="24"/>
              </w:rPr>
            </w:pPr>
            <w:r>
              <w:rPr>
                <w:rFonts w:hint="eastAsia" w:eastAsia="宋体"/>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E1E9">
            <w:pPr>
              <w:widowControl/>
              <w:spacing w:line="300" w:lineRule="exact"/>
              <w:jc w:val="left"/>
              <w:rPr>
                <w:rFonts w:eastAsia="宋体"/>
                <w:color w:val="000000"/>
                <w:sz w:val="24"/>
              </w:rPr>
            </w:pPr>
            <w:r>
              <w:rPr>
                <w:rFonts w:hint="eastAsia" w:eastAsia="宋体"/>
                <w:color w:val="000000"/>
                <w:sz w:val="24"/>
              </w:rPr>
              <w:t>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6409">
            <w:pPr>
              <w:widowControl/>
              <w:spacing w:line="300" w:lineRule="exact"/>
              <w:jc w:val="left"/>
              <w:rPr>
                <w:rFonts w:eastAsia="宋体"/>
                <w:color w:val="000000"/>
                <w:sz w:val="24"/>
              </w:rPr>
            </w:pPr>
            <w:r>
              <w:rPr>
                <w:rFonts w:hint="eastAsia" w:eastAsia="宋体"/>
                <w:color w:val="000000"/>
                <w:sz w:val="24"/>
              </w:rPr>
              <w:t>100%</w:t>
            </w:r>
          </w:p>
        </w:tc>
      </w:tr>
      <w:tr w14:paraId="23EF2F86">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6F6C4">
            <w:pPr>
              <w:widowControl/>
              <w:spacing w:line="300" w:lineRule="exact"/>
              <w:jc w:val="center"/>
              <w:rPr>
                <w:rFonts w:eastAsia="宋体"/>
                <w:color w:val="000000"/>
                <w:sz w:val="24"/>
              </w:rPr>
            </w:pP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56969">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992" w:type="dxa"/>
            <w:vMerge w:val="restart"/>
            <w:tcBorders>
              <w:top w:val="single" w:color="000000" w:sz="4" w:space="0"/>
              <w:left w:val="single" w:color="000000" w:sz="4" w:space="0"/>
              <w:right w:val="single" w:color="000000" w:sz="4" w:space="0"/>
            </w:tcBorders>
            <w:shd w:val="clear" w:color="auto" w:fill="auto"/>
            <w:vAlign w:val="center"/>
          </w:tcPr>
          <w:p w14:paraId="4739C16D">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14:paraId="0DBE5C1A">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FB54">
            <w:pPr>
              <w:widowControl/>
              <w:spacing w:line="300" w:lineRule="exact"/>
              <w:jc w:val="left"/>
              <w:rPr>
                <w:rFonts w:eastAsia="宋体"/>
                <w:color w:val="000000"/>
                <w:sz w:val="24"/>
              </w:rPr>
            </w:pPr>
            <w:r>
              <w:rPr>
                <w:rFonts w:hint="eastAsia" w:eastAsia="宋体"/>
                <w:color w:val="000000"/>
                <w:sz w:val="24"/>
              </w:rPr>
              <w:t>构建和谐劳动关系、促进社会稳定、确保每位劳动者的合法权益</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B3F5">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B42B">
            <w:pPr>
              <w:widowControl/>
              <w:spacing w:line="300" w:lineRule="exact"/>
              <w:jc w:val="left"/>
              <w:rPr>
                <w:rFonts w:eastAsia="宋体"/>
                <w:color w:val="000000"/>
                <w:sz w:val="24"/>
              </w:rPr>
            </w:pPr>
            <w:r>
              <w:rPr>
                <w:rFonts w:hint="eastAsia" w:eastAsia="宋体"/>
                <w:color w:val="000000"/>
                <w:sz w:val="24"/>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9A42">
            <w:pPr>
              <w:widowControl/>
              <w:spacing w:line="300" w:lineRule="exact"/>
              <w:jc w:val="left"/>
              <w:rPr>
                <w:rFonts w:eastAsia="宋体"/>
                <w:color w:val="000000"/>
                <w:sz w:val="24"/>
              </w:rPr>
            </w:pPr>
            <w:r>
              <w:rPr>
                <w:rFonts w:hint="eastAsia" w:eastAsia="宋体"/>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9823">
            <w:pPr>
              <w:widowControl/>
              <w:spacing w:line="300" w:lineRule="exact"/>
              <w:jc w:val="left"/>
              <w:rPr>
                <w:rFonts w:eastAsia="宋体"/>
                <w:color w:val="000000"/>
                <w:sz w:val="24"/>
              </w:rPr>
            </w:pPr>
            <w:r>
              <w:rPr>
                <w:rFonts w:hint="eastAsia" w:eastAsia="宋体"/>
                <w:color w:val="000000"/>
                <w:sz w:val="24"/>
              </w:rPr>
              <w:t>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5F78">
            <w:pPr>
              <w:widowControl/>
              <w:spacing w:line="300" w:lineRule="exact"/>
              <w:jc w:val="left"/>
              <w:rPr>
                <w:rFonts w:eastAsia="宋体"/>
                <w:color w:val="000000"/>
                <w:sz w:val="24"/>
              </w:rPr>
            </w:pPr>
            <w:r>
              <w:rPr>
                <w:rFonts w:hint="eastAsia" w:eastAsia="宋体"/>
                <w:color w:val="000000"/>
                <w:sz w:val="24"/>
              </w:rPr>
              <w:t>100%</w:t>
            </w:r>
          </w:p>
        </w:tc>
      </w:tr>
      <w:tr w14:paraId="0A241804">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EF29C">
            <w:pPr>
              <w:widowControl/>
              <w:spacing w:line="300" w:lineRule="exact"/>
              <w:jc w:val="center"/>
              <w:rPr>
                <w:rFonts w:eastAsia="宋体"/>
                <w:color w:val="000000"/>
                <w:sz w:val="24"/>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E16BA">
            <w:pPr>
              <w:widowControl/>
              <w:spacing w:line="300" w:lineRule="exact"/>
              <w:jc w:val="center"/>
              <w:rPr>
                <w:rFonts w:eastAsia="宋体"/>
                <w:color w:val="000000"/>
                <w:sz w:val="24"/>
              </w:rPr>
            </w:pPr>
          </w:p>
        </w:tc>
        <w:tc>
          <w:tcPr>
            <w:tcW w:w="992" w:type="dxa"/>
            <w:vMerge w:val="continue"/>
            <w:tcBorders>
              <w:top w:val="single" w:color="000000" w:sz="4" w:space="0"/>
              <w:left w:val="single" w:color="000000" w:sz="4" w:space="0"/>
              <w:right w:val="single" w:color="000000" w:sz="4" w:space="0"/>
            </w:tcBorders>
            <w:shd w:val="clear" w:color="auto" w:fill="auto"/>
            <w:vAlign w:val="center"/>
          </w:tcPr>
          <w:p w14:paraId="15AA9F10">
            <w:pPr>
              <w:widowControl/>
              <w:spacing w:line="300" w:lineRule="exact"/>
              <w:jc w:val="center"/>
              <w:rPr>
                <w:rFonts w:eastAsia="宋体"/>
                <w:color w:val="000000"/>
                <w:sz w:val="24"/>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D2D9">
            <w:pPr>
              <w:widowControl/>
              <w:spacing w:line="300" w:lineRule="exact"/>
              <w:jc w:val="left"/>
              <w:rPr>
                <w:rFonts w:eastAsia="宋体"/>
                <w:color w:val="000000"/>
                <w:sz w:val="24"/>
              </w:rPr>
            </w:pPr>
            <w:r>
              <w:rPr>
                <w:rFonts w:eastAsia="宋体"/>
                <w:color w:val="000000"/>
                <w:sz w:val="24"/>
              </w:rPr>
              <w:t>确保社保基金安全、确保每一位参保人员保险待遇</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A4D9">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606C1">
            <w:pPr>
              <w:widowControl/>
              <w:spacing w:line="300" w:lineRule="exact"/>
              <w:jc w:val="left"/>
              <w:rPr>
                <w:rFonts w:eastAsia="宋体"/>
                <w:color w:val="000000"/>
                <w:sz w:val="24"/>
              </w:rPr>
            </w:pPr>
            <w:r>
              <w:rPr>
                <w:rFonts w:hint="eastAsia" w:eastAsia="宋体"/>
                <w:color w:val="000000"/>
                <w:sz w:val="24"/>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DF80">
            <w:pPr>
              <w:widowControl/>
              <w:spacing w:line="300" w:lineRule="exact"/>
              <w:jc w:val="left"/>
              <w:rPr>
                <w:rFonts w:eastAsia="宋体"/>
                <w:color w:val="000000"/>
                <w:sz w:val="24"/>
              </w:rPr>
            </w:pPr>
            <w:r>
              <w:rPr>
                <w:rFonts w:hint="eastAsia" w:eastAsia="宋体"/>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EC9F">
            <w:pPr>
              <w:widowControl/>
              <w:spacing w:line="300" w:lineRule="exact"/>
              <w:jc w:val="left"/>
              <w:rPr>
                <w:rFonts w:eastAsia="宋体"/>
                <w:color w:val="000000"/>
                <w:sz w:val="24"/>
              </w:rPr>
            </w:pPr>
            <w:r>
              <w:rPr>
                <w:rFonts w:hint="eastAsia" w:eastAsia="宋体"/>
                <w:color w:val="000000"/>
                <w:sz w:val="24"/>
              </w:rPr>
              <w:t>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4F4D">
            <w:pPr>
              <w:widowControl/>
              <w:spacing w:line="300" w:lineRule="exact"/>
              <w:jc w:val="left"/>
              <w:rPr>
                <w:rFonts w:eastAsia="宋体"/>
                <w:color w:val="000000"/>
                <w:sz w:val="24"/>
              </w:rPr>
            </w:pPr>
            <w:r>
              <w:rPr>
                <w:rFonts w:hint="eastAsia" w:eastAsia="宋体"/>
                <w:color w:val="000000"/>
                <w:sz w:val="24"/>
              </w:rPr>
              <w:t>100%</w:t>
            </w:r>
          </w:p>
        </w:tc>
      </w:tr>
      <w:tr w14:paraId="0140C8E9">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43A9D">
            <w:pPr>
              <w:widowControl/>
              <w:spacing w:line="300" w:lineRule="exact"/>
              <w:jc w:val="center"/>
              <w:rPr>
                <w:rFonts w:eastAsia="宋体"/>
                <w:color w:val="000000"/>
                <w:sz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966E">
            <w:pPr>
              <w:widowControl/>
              <w:spacing w:line="300" w:lineRule="exact"/>
              <w:jc w:val="center"/>
              <w:rPr>
                <w:rFonts w:eastAsia="宋体"/>
                <w:color w:val="000000"/>
                <w:sz w:val="24"/>
              </w:rPr>
            </w:pPr>
            <w:r>
              <w:rPr>
                <w:rFonts w:eastAsia="宋体"/>
                <w:color w:val="000000"/>
                <w:kern w:val="0"/>
                <w:sz w:val="24"/>
                <w:lang w:bidi="ar"/>
              </w:rPr>
              <w:t>满意度指标</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BFB8">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满意度指标</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D3CE">
            <w:pPr>
              <w:widowControl/>
              <w:spacing w:line="300" w:lineRule="exact"/>
              <w:jc w:val="left"/>
              <w:rPr>
                <w:rFonts w:eastAsia="宋体"/>
                <w:color w:val="000000"/>
                <w:sz w:val="24"/>
              </w:rPr>
            </w:pPr>
            <w:r>
              <w:rPr>
                <w:rFonts w:eastAsia="宋体"/>
                <w:color w:val="000000"/>
                <w:sz w:val="24"/>
              </w:rPr>
              <w:t>服务对象满意度</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5722">
            <w:pPr>
              <w:widowControl/>
              <w:spacing w:line="300" w:lineRule="exact"/>
              <w:jc w:val="left"/>
              <w:rPr>
                <w:rFonts w:eastAsia="宋体"/>
                <w:color w:val="000000"/>
                <w:sz w:val="24"/>
              </w:rPr>
            </w:pPr>
            <w:r>
              <w:rPr>
                <w:rFonts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9043">
            <w:pPr>
              <w:widowControl/>
              <w:spacing w:line="300" w:lineRule="exact"/>
              <w:jc w:val="left"/>
              <w:rPr>
                <w:rFonts w:eastAsia="宋体"/>
                <w:color w:val="000000"/>
                <w:sz w:val="24"/>
              </w:rPr>
            </w:pPr>
            <w:r>
              <w:rPr>
                <w:rFonts w:hint="eastAsia" w:eastAsia="宋体"/>
                <w:color w:val="000000"/>
                <w:sz w:val="24"/>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3D2C">
            <w:pPr>
              <w:widowControl/>
              <w:spacing w:line="300" w:lineRule="exact"/>
              <w:jc w:val="left"/>
              <w:rPr>
                <w:rFonts w:eastAsia="宋体"/>
                <w:b/>
                <w:bCs/>
                <w:color w:val="000000"/>
                <w:sz w:val="24"/>
              </w:rPr>
            </w:pPr>
            <w:r>
              <w:rPr>
                <w:rFonts w:hint="eastAsia" w:eastAsia="宋体"/>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8ADC">
            <w:pPr>
              <w:widowControl/>
              <w:spacing w:line="300" w:lineRule="exact"/>
              <w:jc w:val="left"/>
              <w:rPr>
                <w:rFonts w:eastAsia="宋体"/>
                <w:color w:val="000000"/>
                <w:sz w:val="24"/>
              </w:rPr>
            </w:pPr>
            <w:r>
              <w:rPr>
                <w:rFonts w:hint="eastAsia" w:eastAsia="宋体"/>
                <w:color w:val="000000"/>
                <w:sz w:val="24"/>
              </w:rPr>
              <w:t>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1DE0">
            <w:pPr>
              <w:widowControl/>
              <w:spacing w:line="300" w:lineRule="exact"/>
              <w:jc w:val="left"/>
              <w:rPr>
                <w:rFonts w:eastAsia="宋体"/>
                <w:color w:val="000000"/>
                <w:sz w:val="24"/>
              </w:rPr>
            </w:pPr>
            <w:r>
              <w:rPr>
                <w:rFonts w:hint="eastAsia" w:eastAsia="宋体"/>
                <w:color w:val="000000"/>
                <w:sz w:val="24"/>
              </w:rPr>
              <w:t>95%</w:t>
            </w:r>
          </w:p>
        </w:tc>
      </w:tr>
      <w:tr w14:paraId="423F7674">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464A4">
            <w:pPr>
              <w:widowControl/>
              <w:spacing w:line="300" w:lineRule="exact"/>
              <w:jc w:val="center"/>
              <w:rPr>
                <w:rFonts w:eastAsia="宋体"/>
                <w:color w:val="000000"/>
                <w:sz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E1DD">
            <w:pPr>
              <w:widowControl/>
              <w:spacing w:line="300" w:lineRule="exact"/>
              <w:jc w:val="center"/>
              <w:textAlignment w:val="center"/>
              <w:rPr>
                <w:rFonts w:eastAsia="宋体"/>
                <w:color w:val="000000"/>
                <w:sz w:val="24"/>
              </w:rPr>
            </w:pPr>
            <w:r>
              <w:rPr>
                <w:rFonts w:eastAsia="宋体"/>
                <w:color w:val="000000"/>
                <w:sz w:val="24"/>
              </w:rPr>
              <w:t>成本指标</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9F8B">
            <w:pPr>
              <w:widowControl/>
              <w:spacing w:line="300" w:lineRule="exact"/>
              <w:jc w:val="center"/>
              <w:textAlignment w:val="center"/>
              <w:rPr>
                <w:rFonts w:eastAsia="宋体"/>
                <w:color w:val="000000"/>
                <w:sz w:val="24"/>
              </w:rPr>
            </w:pPr>
            <w:r>
              <w:rPr>
                <w:rFonts w:eastAsia="宋体"/>
                <w:color w:val="000000"/>
                <w:sz w:val="24"/>
              </w:rPr>
              <w:t>经济成本指标</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838A">
            <w:pPr>
              <w:widowControl/>
              <w:spacing w:line="300" w:lineRule="exact"/>
              <w:jc w:val="left"/>
              <w:rPr>
                <w:rFonts w:eastAsia="宋体"/>
                <w:color w:val="000000"/>
                <w:sz w:val="24"/>
              </w:rPr>
            </w:pPr>
            <w:r>
              <w:rPr>
                <w:rFonts w:eastAsia="宋体"/>
                <w:color w:val="000000"/>
                <w:sz w:val="24"/>
              </w:rPr>
              <w:t>公共支出严格按照相关文件规定标准执行</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42A2">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4AA4">
            <w:pPr>
              <w:widowControl/>
              <w:spacing w:line="300" w:lineRule="exact"/>
              <w:jc w:val="left"/>
              <w:rPr>
                <w:rFonts w:eastAsia="宋体"/>
                <w:color w:val="000000"/>
                <w:sz w:val="24"/>
              </w:rPr>
            </w:pPr>
            <w:r>
              <w:rPr>
                <w:rFonts w:hint="eastAsia" w:eastAsia="宋体"/>
                <w:color w:val="000000"/>
                <w:sz w:val="24"/>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7748">
            <w:pPr>
              <w:widowControl/>
              <w:spacing w:line="300" w:lineRule="exact"/>
              <w:jc w:val="left"/>
              <w:rPr>
                <w:rFonts w:eastAsia="宋体"/>
                <w:color w:val="000000"/>
                <w:sz w:val="24"/>
              </w:rPr>
            </w:pPr>
            <w:r>
              <w:rPr>
                <w:rFonts w:hint="eastAsia" w:eastAsia="宋体"/>
                <w:color w:val="00000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C8D0">
            <w:pPr>
              <w:widowControl/>
              <w:spacing w:line="300" w:lineRule="exact"/>
              <w:jc w:val="left"/>
              <w:rPr>
                <w:rFonts w:eastAsia="宋体"/>
                <w:color w:val="000000"/>
                <w:sz w:val="24"/>
              </w:rPr>
            </w:pPr>
            <w:r>
              <w:rPr>
                <w:rFonts w:hint="eastAsia" w:eastAsia="宋体"/>
                <w:color w:val="000000"/>
                <w:sz w:val="24"/>
              </w:rPr>
              <w:t>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D497">
            <w:pPr>
              <w:widowControl/>
              <w:spacing w:line="300" w:lineRule="exact"/>
              <w:jc w:val="left"/>
              <w:rPr>
                <w:rFonts w:eastAsia="宋体"/>
                <w:color w:val="000000"/>
                <w:sz w:val="24"/>
              </w:rPr>
            </w:pPr>
            <w:r>
              <w:rPr>
                <w:rFonts w:hint="eastAsia" w:eastAsia="宋体"/>
                <w:color w:val="000000"/>
                <w:sz w:val="24"/>
              </w:rPr>
              <w:t>100%</w:t>
            </w:r>
          </w:p>
        </w:tc>
      </w:tr>
    </w:tbl>
    <w:p w14:paraId="17B01291">
      <w:pPr>
        <w:pStyle w:val="14"/>
        <w:ind w:left="0" w:leftChars="0" w:firstLine="0" w:firstLineChars="0"/>
        <w:rPr>
          <w:rFonts w:ascii="Times New Roman" w:eastAsia="黑体"/>
          <w:sz w:val="24"/>
          <w:szCs w:val="24"/>
        </w:rPr>
      </w:pPr>
    </w:p>
    <w:p w14:paraId="125EF804">
      <w:pPr>
        <w:pStyle w:val="14"/>
        <w:ind w:left="0" w:leftChars="0" w:firstLine="0" w:firstLineChars="0"/>
        <w:rPr>
          <w:rFonts w:ascii="Times New Roman" w:eastAsia="黑体"/>
          <w:sz w:val="24"/>
          <w:szCs w:val="24"/>
        </w:rPr>
      </w:pPr>
    </w:p>
    <w:p w14:paraId="7D65688E">
      <w:pPr>
        <w:pStyle w:val="14"/>
        <w:ind w:left="0" w:leftChars="0" w:firstLine="0" w:firstLineChars="0"/>
        <w:rPr>
          <w:rFonts w:ascii="Times New Roman" w:eastAsia="黑体"/>
          <w:sz w:val="24"/>
          <w:szCs w:val="24"/>
        </w:rPr>
      </w:pPr>
    </w:p>
    <w:p w14:paraId="783C025E">
      <w:pPr>
        <w:pStyle w:val="14"/>
        <w:ind w:left="0" w:leftChars="0" w:firstLine="0" w:firstLineChars="0"/>
        <w:rPr>
          <w:rFonts w:ascii="Times New Roman" w:eastAsia="黑体"/>
          <w:sz w:val="24"/>
          <w:szCs w:val="24"/>
        </w:rPr>
      </w:pPr>
    </w:p>
    <w:p w14:paraId="2A3790C1">
      <w:pPr>
        <w:pStyle w:val="14"/>
        <w:ind w:left="0" w:leftChars="0" w:firstLine="0" w:firstLineChars="0"/>
        <w:rPr>
          <w:rFonts w:ascii="Times New Roman" w:eastAsia="黑体"/>
          <w:sz w:val="24"/>
          <w:szCs w:val="24"/>
        </w:rPr>
      </w:pPr>
    </w:p>
    <w:p w14:paraId="44A9448D">
      <w:pPr>
        <w:pStyle w:val="14"/>
        <w:ind w:left="0" w:leftChars="0" w:firstLine="0" w:firstLineChars="0"/>
        <w:rPr>
          <w:rFonts w:ascii="Times New Roman" w:eastAsia="黑体"/>
          <w:sz w:val="24"/>
          <w:szCs w:val="24"/>
        </w:rPr>
      </w:pPr>
    </w:p>
    <w:p w14:paraId="1B70C542">
      <w:pPr>
        <w:pStyle w:val="14"/>
        <w:ind w:left="0" w:leftChars="0" w:firstLine="0" w:firstLineChars="0"/>
        <w:rPr>
          <w:rFonts w:ascii="Times New Roman" w:eastAsia="黑体"/>
          <w:sz w:val="24"/>
          <w:szCs w:val="24"/>
        </w:rPr>
      </w:pPr>
    </w:p>
    <w:p w14:paraId="16034CF1">
      <w:pPr>
        <w:pStyle w:val="14"/>
        <w:ind w:left="0" w:leftChars="0" w:firstLine="0" w:firstLineChars="0"/>
        <w:rPr>
          <w:rFonts w:ascii="Times New Roman" w:eastAsia="黑体"/>
          <w:sz w:val="24"/>
          <w:szCs w:val="24"/>
        </w:rPr>
      </w:pPr>
    </w:p>
    <w:p w14:paraId="2A28AD30">
      <w:pPr>
        <w:pStyle w:val="14"/>
        <w:ind w:left="0" w:leftChars="0" w:firstLine="0" w:firstLineChars="0"/>
        <w:rPr>
          <w:rFonts w:ascii="Times New Roman" w:eastAsia="黑体"/>
          <w:sz w:val="24"/>
          <w:szCs w:val="24"/>
        </w:rPr>
      </w:pPr>
    </w:p>
    <w:p w14:paraId="1A5AA6A3">
      <w:pPr>
        <w:pStyle w:val="14"/>
        <w:ind w:left="0" w:leftChars="0" w:firstLine="0" w:firstLineChars="0"/>
        <w:rPr>
          <w:rFonts w:ascii="Times New Roman" w:eastAsia="黑体"/>
          <w:sz w:val="24"/>
          <w:szCs w:val="24"/>
        </w:rPr>
      </w:pPr>
    </w:p>
    <w:p w14:paraId="76B8D8F2">
      <w:pPr>
        <w:pStyle w:val="14"/>
        <w:ind w:left="0" w:leftChars="0" w:firstLine="0" w:firstLineChars="0"/>
        <w:rPr>
          <w:rFonts w:ascii="Times New Roman" w:eastAsia="黑体"/>
          <w:sz w:val="24"/>
          <w:szCs w:val="24"/>
        </w:rPr>
      </w:pPr>
    </w:p>
    <w:p w14:paraId="22582045">
      <w:pPr>
        <w:pStyle w:val="14"/>
        <w:ind w:left="0" w:leftChars="0" w:firstLine="0" w:firstLineChars="0"/>
        <w:rPr>
          <w:rFonts w:ascii="Times New Roman" w:eastAsia="黑体"/>
          <w:sz w:val="24"/>
          <w:szCs w:val="24"/>
        </w:rPr>
      </w:pPr>
    </w:p>
    <w:p w14:paraId="244A9E02">
      <w:pPr>
        <w:pStyle w:val="14"/>
        <w:ind w:left="0" w:leftChars="0" w:firstLine="0" w:firstLineChars="0"/>
        <w:rPr>
          <w:rFonts w:ascii="Times New Roman" w:eastAsia="黑体"/>
          <w:sz w:val="24"/>
          <w:szCs w:val="24"/>
        </w:rPr>
      </w:pPr>
    </w:p>
    <w:p w14:paraId="0655431C">
      <w:pPr>
        <w:pStyle w:val="14"/>
        <w:ind w:left="0" w:leftChars="0" w:firstLine="0" w:firstLineChars="0"/>
        <w:rPr>
          <w:rFonts w:ascii="Times New Roman" w:eastAsia="黑体"/>
          <w:sz w:val="24"/>
          <w:szCs w:val="24"/>
        </w:rPr>
      </w:pPr>
    </w:p>
    <w:p w14:paraId="687BB0EA">
      <w:pPr>
        <w:pStyle w:val="14"/>
        <w:ind w:left="0" w:leftChars="0" w:firstLine="0" w:firstLineChars="0"/>
        <w:rPr>
          <w:rFonts w:ascii="Times New Roman" w:eastAsia="黑体"/>
          <w:sz w:val="24"/>
          <w:szCs w:val="24"/>
        </w:rPr>
      </w:pPr>
    </w:p>
    <w:p w14:paraId="7995BBB9">
      <w:pPr>
        <w:pStyle w:val="14"/>
        <w:ind w:left="0" w:leftChars="0" w:firstLine="0" w:firstLineChars="0"/>
        <w:rPr>
          <w:rFonts w:ascii="Times New Roman" w:eastAsia="黑体"/>
          <w:sz w:val="24"/>
          <w:szCs w:val="24"/>
        </w:rPr>
      </w:pPr>
    </w:p>
    <w:p w14:paraId="6650C704">
      <w:pPr>
        <w:pStyle w:val="14"/>
        <w:ind w:left="0" w:leftChars="0" w:firstLine="0" w:firstLineChars="0"/>
        <w:rPr>
          <w:rFonts w:ascii="Times New Roman" w:eastAsia="黑体"/>
          <w:sz w:val="24"/>
          <w:szCs w:val="24"/>
        </w:rPr>
      </w:pPr>
    </w:p>
    <w:p w14:paraId="58D9C620">
      <w:pPr>
        <w:pStyle w:val="14"/>
        <w:ind w:left="0" w:leftChars="0" w:firstLine="0" w:firstLineChars="0"/>
        <w:rPr>
          <w:rFonts w:ascii="Times New Roman" w:eastAsia="黑体"/>
          <w:sz w:val="24"/>
          <w:szCs w:val="24"/>
        </w:rPr>
      </w:pPr>
    </w:p>
    <w:p w14:paraId="642E1859">
      <w:pPr>
        <w:pStyle w:val="14"/>
        <w:ind w:left="0" w:leftChars="0" w:firstLine="0" w:firstLineChars="0"/>
        <w:rPr>
          <w:rFonts w:ascii="Times New Roman" w:eastAsia="黑体"/>
          <w:sz w:val="24"/>
          <w:szCs w:val="24"/>
        </w:rPr>
      </w:pPr>
    </w:p>
    <w:p w14:paraId="4BBAF9D2">
      <w:pPr>
        <w:pStyle w:val="14"/>
        <w:ind w:left="0" w:leftChars="0" w:firstLine="0" w:firstLineChars="0"/>
        <w:rPr>
          <w:rFonts w:ascii="Times New Roman" w:eastAsia="黑体"/>
          <w:sz w:val="24"/>
          <w:szCs w:val="24"/>
        </w:rPr>
      </w:pPr>
    </w:p>
    <w:p w14:paraId="39EC98C1">
      <w:pPr>
        <w:pStyle w:val="14"/>
        <w:ind w:left="0" w:leftChars="0" w:firstLine="0" w:firstLineChars="0"/>
        <w:rPr>
          <w:rFonts w:ascii="Times New Roman" w:eastAsia="黑体"/>
          <w:sz w:val="24"/>
          <w:szCs w:val="24"/>
        </w:rPr>
      </w:pPr>
    </w:p>
    <w:tbl>
      <w:tblPr>
        <w:tblStyle w:val="16"/>
        <w:tblW w:w="8647" w:type="dxa"/>
        <w:tblInd w:w="108" w:type="dxa"/>
        <w:tblLayout w:type="autofit"/>
        <w:tblCellMar>
          <w:top w:w="0" w:type="dxa"/>
          <w:left w:w="108" w:type="dxa"/>
          <w:bottom w:w="0" w:type="dxa"/>
          <w:right w:w="108" w:type="dxa"/>
        </w:tblCellMar>
      </w:tblPr>
      <w:tblGrid>
        <w:gridCol w:w="960"/>
        <w:gridCol w:w="1025"/>
        <w:gridCol w:w="992"/>
        <w:gridCol w:w="2410"/>
        <w:gridCol w:w="850"/>
        <w:gridCol w:w="851"/>
        <w:gridCol w:w="850"/>
        <w:gridCol w:w="709"/>
      </w:tblGrid>
      <w:tr w14:paraId="5C688E38">
        <w:tblPrEx>
          <w:tblCellMar>
            <w:top w:w="0" w:type="dxa"/>
            <w:left w:w="108" w:type="dxa"/>
            <w:bottom w:w="0" w:type="dxa"/>
            <w:right w:w="108" w:type="dxa"/>
          </w:tblCellMar>
        </w:tblPrEx>
        <w:trPr>
          <w:trHeight w:val="409" w:hRule="atLeast"/>
        </w:trPr>
        <w:tc>
          <w:tcPr>
            <w:tcW w:w="5387" w:type="dxa"/>
            <w:gridSpan w:val="4"/>
            <w:tcBorders>
              <w:top w:val="nil"/>
              <w:left w:val="nil"/>
              <w:bottom w:val="nil"/>
              <w:right w:val="nil"/>
            </w:tcBorders>
            <w:shd w:val="clear" w:color="auto" w:fill="auto"/>
            <w:vAlign w:val="center"/>
          </w:tcPr>
          <w:p w14:paraId="225E42FF">
            <w:pPr>
              <w:widowControl/>
              <w:jc w:val="left"/>
              <w:rPr>
                <w:rFonts w:hint="eastAsia" w:ascii="宋体" w:hAnsi="宋体" w:eastAsia="宋体" w:cs="宋体"/>
                <w:color w:val="C0C0C0"/>
                <w:kern w:val="0"/>
                <w:sz w:val="20"/>
                <w:szCs w:val="20"/>
              </w:rPr>
            </w:pPr>
            <w:r>
              <w:rPr>
                <w:rFonts w:hint="eastAsia" w:ascii="宋体" w:hAnsi="宋体" w:eastAsia="宋体" w:cs="宋体"/>
                <w:color w:val="C0C0C0"/>
                <w:kern w:val="0"/>
                <w:sz w:val="20"/>
                <w:szCs w:val="20"/>
              </w:rPr>
              <w:t>报表编号：510000_0013</w:t>
            </w:r>
          </w:p>
        </w:tc>
        <w:tc>
          <w:tcPr>
            <w:tcW w:w="850" w:type="dxa"/>
            <w:tcBorders>
              <w:top w:val="nil"/>
              <w:left w:val="nil"/>
              <w:bottom w:val="nil"/>
              <w:right w:val="nil"/>
            </w:tcBorders>
            <w:shd w:val="clear" w:color="auto" w:fill="auto"/>
            <w:noWrap/>
            <w:vAlign w:val="center"/>
          </w:tcPr>
          <w:p w14:paraId="153D0130">
            <w:pPr>
              <w:widowControl/>
              <w:jc w:val="left"/>
              <w:rPr>
                <w:rFonts w:hint="eastAsia" w:ascii="宋体" w:hAnsi="宋体" w:eastAsia="宋体" w:cs="宋体"/>
                <w:color w:val="C0C0C0"/>
                <w:kern w:val="0"/>
                <w:sz w:val="20"/>
                <w:szCs w:val="20"/>
              </w:rPr>
            </w:pPr>
          </w:p>
        </w:tc>
        <w:tc>
          <w:tcPr>
            <w:tcW w:w="2410" w:type="dxa"/>
            <w:gridSpan w:val="3"/>
            <w:tcBorders>
              <w:top w:val="nil"/>
              <w:left w:val="nil"/>
              <w:bottom w:val="nil"/>
              <w:right w:val="nil"/>
            </w:tcBorders>
            <w:shd w:val="clear" w:color="auto" w:fill="auto"/>
            <w:vAlign w:val="center"/>
          </w:tcPr>
          <w:p w14:paraId="60634C07">
            <w:pPr>
              <w:widowControl/>
              <w:jc w:val="left"/>
              <w:rPr>
                <w:rFonts w:eastAsia="Times New Roman"/>
                <w:kern w:val="0"/>
                <w:sz w:val="20"/>
                <w:szCs w:val="20"/>
              </w:rPr>
            </w:pPr>
          </w:p>
        </w:tc>
      </w:tr>
      <w:tr w14:paraId="4CB8A08B">
        <w:tblPrEx>
          <w:tblCellMar>
            <w:top w:w="0" w:type="dxa"/>
            <w:left w:w="108" w:type="dxa"/>
            <w:bottom w:w="0" w:type="dxa"/>
            <w:right w:w="108" w:type="dxa"/>
          </w:tblCellMar>
        </w:tblPrEx>
        <w:trPr>
          <w:trHeight w:val="904" w:hRule="atLeast"/>
        </w:trPr>
        <w:tc>
          <w:tcPr>
            <w:tcW w:w="8647" w:type="dxa"/>
            <w:gridSpan w:val="8"/>
            <w:tcBorders>
              <w:top w:val="nil"/>
              <w:left w:val="nil"/>
              <w:bottom w:val="nil"/>
              <w:right w:val="nil"/>
            </w:tcBorders>
            <w:shd w:val="clear" w:color="auto" w:fill="auto"/>
            <w:vAlign w:val="center"/>
          </w:tcPr>
          <w:p w14:paraId="3224E6D7">
            <w:pPr>
              <w:widowControl/>
              <w:jc w:val="center"/>
              <w:rPr>
                <w:rFonts w:hint="eastAsia" w:ascii="黑体" w:hAnsi="黑体" w:eastAsia="黑体" w:cs="宋体"/>
                <w:color w:val="000000"/>
                <w:kern w:val="0"/>
                <w:sz w:val="30"/>
                <w:szCs w:val="30"/>
              </w:rPr>
            </w:pPr>
            <w:r>
              <w:rPr>
                <w:rFonts w:hint="eastAsia" w:ascii="黑体" w:hAnsi="黑体" w:eastAsia="黑体" w:cs="宋体"/>
                <w:color w:val="000000"/>
                <w:kern w:val="0"/>
                <w:sz w:val="30"/>
                <w:szCs w:val="30"/>
              </w:rPr>
              <w:t>部门整体支出绩效目标表</w:t>
            </w:r>
          </w:p>
        </w:tc>
      </w:tr>
      <w:tr w14:paraId="62A11B01">
        <w:tblPrEx>
          <w:tblCellMar>
            <w:top w:w="0" w:type="dxa"/>
            <w:left w:w="108" w:type="dxa"/>
            <w:bottom w:w="0" w:type="dxa"/>
            <w:right w:w="108" w:type="dxa"/>
          </w:tblCellMar>
        </w:tblPrEx>
        <w:trPr>
          <w:trHeight w:val="285" w:hRule="atLeast"/>
        </w:trPr>
        <w:tc>
          <w:tcPr>
            <w:tcW w:w="8647" w:type="dxa"/>
            <w:gridSpan w:val="8"/>
            <w:tcBorders>
              <w:top w:val="nil"/>
              <w:left w:val="nil"/>
              <w:bottom w:val="nil"/>
              <w:right w:val="nil"/>
            </w:tcBorders>
            <w:shd w:val="clear" w:color="auto" w:fill="auto"/>
            <w:vAlign w:val="center"/>
          </w:tcPr>
          <w:p w14:paraId="61F3D78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（2024年度）</w:t>
            </w:r>
          </w:p>
        </w:tc>
      </w:tr>
      <w:tr w14:paraId="67AFFC38">
        <w:tblPrEx>
          <w:tblCellMar>
            <w:top w:w="0" w:type="dxa"/>
            <w:left w:w="108" w:type="dxa"/>
            <w:bottom w:w="0" w:type="dxa"/>
            <w:right w:w="108" w:type="dxa"/>
          </w:tblCellMar>
        </w:tblPrEx>
        <w:trPr>
          <w:trHeight w:val="285" w:hRule="atLeast"/>
        </w:trPr>
        <w:tc>
          <w:tcPr>
            <w:tcW w:w="8647" w:type="dxa"/>
            <w:gridSpan w:val="8"/>
            <w:tcBorders>
              <w:top w:val="nil"/>
              <w:left w:val="nil"/>
              <w:bottom w:val="single" w:color="000000" w:sz="4" w:space="0"/>
              <w:right w:val="nil"/>
            </w:tcBorders>
            <w:shd w:val="clear" w:color="auto" w:fill="auto"/>
            <w:vAlign w:val="center"/>
          </w:tcPr>
          <w:p w14:paraId="5995ECF3">
            <w:pPr>
              <w:widowControl/>
              <w:jc w:val="righ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单位：万元</w:t>
            </w:r>
          </w:p>
        </w:tc>
      </w:tr>
      <w:tr w14:paraId="31EE61A5">
        <w:tblPrEx>
          <w:tblCellMar>
            <w:top w:w="0" w:type="dxa"/>
            <w:left w:w="108" w:type="dxa"/>
            <w:bottom w:w="0" w:type="dxa"/>
            <w:right w:w="108" w:type="dxa"/>
          </w:tblCellMar>
        </w:tblPrEx>
        <w:trPr>
          <w:trHeight w:val="570" w:hRule="atLeast"/>
        </w:trPr>
        <w:tc>
          <w:tcPr>
            <w:tcW w:w="29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6BD74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部门名称</w:t>
            </w:r>
          </w:p>
        </w:tc>
        <w:tc>
          <w:tcPr>
            <w:tcW w:w="5670" w:type="dxa"/>
            <w:gridSpan w:val="5"/>
            <w:tcBorders>
              <w:top w:val="single" w:color="000000" w:sz="4" w:space="0"/>
              <w:left w:val="nil"/>
              <w:bottom w:val="single" w:color="000000" w:sz="4" w:space="0"/>
              <w:right w:val="single" w:color="000000" w:sz="4" w:space="0"/>
            </w:tcBorders>
            <w:shd w:val="clear" w:color="auto" w:fill="auto"/>
            <w:vAlign w:val="center"/>
          </w:tcPr>
          <w:p w14:paraId="752F481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金川县人力资源和社会保障局</w:t>
            </w:r>
          </w:p>
        </w:tc>
      </w:tr>
      <w:tr w14:paraId="5D6379CE">
        <w:tblPrEx>
          <w:tblCellMar>
            <w:top w:w="0" w:type="dxa"/>
            <w:left w:w="108" w:type="dxa"/>
            <w:bottom w:w="0" w:type="dxa"/>
            <w:right w:w="108" w:type="dxa"/>
          </w:tblCellMar>
        </w:tblPrEx>
        <w:trPr>
          <w:trHeight w:val="570" w:hRule="atLeast"/>
        </w:trPr>
        <w:tc>
          <w:tcPr>
            <w:tcW w:w="960" w:type="dxa"/>
            <w:vMerge w:val="restart"/>
            <w:tcBorders>
              <w:top w:val="nil"/>
              <w:left w:val="single" w:color="000000" w:sz="4" w:space="0"/>
              <w:bottom w:val="single" w:color="000000" w:sz="4" w:space="0"/>
              <w:right w:val="single" w:color="000000" w:sz="4" w:space="0"/>
            </w:tcBorders>
            <w:shd w:val="clear" w:color="auto" w:fill="auto"/>
            <w:vAlign w:val="center"/>
          </w:tcPr>
          <w:p w14:paraId="2124BA0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年度部门整体支出预算</w:t>
            </w:r>
          </w:p>
        </w:tc>
        <w:tc>
          <w:tcPr>
            <w:tcW w:w="2017" w:type="dxa"/>
            <w:gridSpan w:val="2"/>
            <w:tcBorders>
              <w:top w:val="single" w:color="000000" w:sz="4" w:space="0"/>
              <w:left w:val="nil"/>
              <w:bottom w:val="single" w:color="000000" w:sz="4" w:space="0"/>
              <w:right w:val="single" w:color="000000" w:sz="4" w:space="0"/>
            </w:tcBorders>
            <w:shd w:val="clear" w:color="auto" w:fill="auto"/>
            <w:vAlign w:val="center"/>
          </w:tcPr>
          <w:p w14:paraId="190081A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资金总额</w:t>
            </w:r>
          </w:p>
        </w:tc>
        <w:tc>
          <w:tcPr>
            <w:tcW w:w="3260" w:type="dxa"/>
            <w:gridSpan w:val="2"/>
            <w:tcBorders>
              <w:top w:val="single" w:color="000000" w:sz="4" w:space="0"/>
              <w:left w:val="nil"/>
              <w:bottom w:val="single" w:color="000000" w:sz="4" w:space="0"/>
              <w:right w:val="single" w:color="000000" w:sz="4" w:space="0"/>
            </w:tcBorders>
            <w:shd w:val="clear" w:color="auto" w:fill="auto"/>
            <w:vAlign w:val="center"/>
          </w:tcPr>
          <w:p w14:paraId="437A63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财政拨款</w:t>
            </w:r>
          </w:p>
        </w:tc>
        <w:tc>
          <w:tcPr>
            <w:tcW w:w="2410" w:type="dxa"/>
            <w:gridSpan w:val="3"/>
            <w:tcBorders>
              <w:top w:val="single" w:color="000000" w:sz="4" w:space="0"/>
              <w:left w:val="nil"/>
              <w:bottom w:val="single" w:color="000000" w:sz="4" w:space="0"/>
              <w:right w:val="single" w:color="000000" w:sz="4" w:space="0"/>
            </w:tcBorders>
            <w:shd w:val="clear" w:color="auto" w:fill="auto"/>
            <w:vAlign w:val="center"/>
          </w:tcPr>
          <w:p w14:paraId="493A51D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其他资金</w:t>
            </w:r>
          </w:p>
        </w:tc>
      </w:tr>
      <w:tr w14:paraId="3AA44146">
        <w:tblPrEx>
          <w:tblCellMar>
            <w:top w:w="0" w:type="dxa"/>
            <w:left w:w="108" w:type="dxa"/>
            <w:bottom w:w="0" w:type="dxa"/>
            <w:right w:w="108" w:type="dxa"/>
          </w:tblCellMar>
        </w:tblPrEx>
        <w:trPr>
          <w:trHeight w:val="570" w:hRule="atLeast"/>
        </w:trPr>
        <w:tc>
          <w:tcPr>
            <w:tcW w:w="960" w:type="dxa"/>
            <w:vMerge w:val="continue"/>
            <w:tcBorders>
              <w:top w:val="nil"/>
              <w:left w:val="single" w:color="000000" w:sz="4" w:space="0"/>
              <w:bottom w:val="single" w:color="000000" w:sz="4" w:space="0"/>
              <w:right w:val="single" w:color="000000" w:sz="4" w:space="0"/>
            </w:tcBorders>
            <w:vAlign w:val="center"/>
          </w:tcPr>
          <w:p w14:paraId="4C44AA9A">
            <w:pPr>
              <w:widowControl/>
              <w:jc w:val="left"/>
              <w:rPr>
                <w:rFonts w:hint="eastAsia" w:ascii="宋体" w:hAnsi="宋体" w:eastAsia="宋体" w:cs="宋体"/>
                <w:color w:val="000000"/>
                <w:kern w:val="0"/>
                <w:sz w:val="18"/>
                <w:szCs w:val="18"/>
              </w:rPr>
            </w:pPr>
          </w:p>
        </w:tc>
        <w:tc>
          <w:tcPr>
            <w:tcW w:w="2017" w:type="dxa"/>
            <w:gridSpan w:val="2"/>
            <w:tcBorders>
              <w:top w:val="single" w:color="000000" w:sz="4" w:space="0"/>
              <w:left w:val="nil"/>
              <w:bottom w:val="single" w:color="000000" w:sz="4" w:space="0"/>
              <w:right w:val="single" w:color="000000" w:sz="4" w:space="0"/>
            </w:tcBorders>
            <w:shd w:val="clear" w:color="auto" w:fill="auto"/>
            <w:vAlign w:val="center"/>
          </w:tcPr>
          <w:p w14:paraId="0151BCD3">
            <w:pPr>
              <w:widowControl/>
              <w:jc w:val="righ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515.06</w:t>
            </w:r>
          </w:p>
        </w:tc>
        <w:tc>
          <w:tcPr>
            <w:tcW w:w="3260" w:type="dxa"/>
            <w:gridSpan w:val="2"/>
            <w:tcBorders>
              <w:top w:val="single" w:color="000000" w:sz="4" w:space="0"/>
              <w:left w:val="nil"/>
              <w:bottom w:val="single" w:color="000000" w:sz="4" w:space="0"/>
              <w:right w:val="single" w:color="000000" w:sz="4" w:space="0"/>
            </w:tcBorders>
            <w:shd w:val="clear" w:color="auto" w:fill="auto"/>
            <w:vAlign w:val="center"/>
          </w:tcPr>
          <w:p w14:paraId="37C5AD31">
            <w:pPr>
              <w:widowControl/>
              <w:jc w:val="righ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515.06</w:t>
            </w:r>
          </w:p>
        </w:tc>
        <w:tc>
          <w:tcPr>
            <w:tcW w:w="2410" w:type="dxa"/>
            <w:gridSpan w:val="3"/>
            <w:tcBorders>
              <w:top w:val="single" w:color="000000" w:sz="4" w:space="0"/>
              <w:left w:val="nil"/>
              <w:bottom w:val="single" w:color="000000" w:sz="4" w:space="0"/>
              <w:right w:val="single" w:color="000000" w:sz="4" w:space="0"/>
            </w:tcBorders>
            <w:shd w:val="clear" w:color="auto" w:fill="auto"/>
            <w:vAlign w:val="center"/>
          </w:tcPr>
          <w:p w14:paraId="3591EFAB">
            <w:pPr>
              <w:widowControl/>
              <w:jc w:val="righ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0.00</w:t>
            </w:r>
          </w:p>
        </w:tc>
      </w:tr>
      <w:tr w14:paraId="4BC40CC6">
        <w:tblPrEx>
          <w:tblCellMar>
            <w:top w:w="0" w:type="dxa"/>
            <w:left w:w="108" w:type="dxa"/>
            <w:bottom w:w="0" w:type="dxa"/>
            <w:right w:w="108" w:type="dxa"/>
          </w:tblCellMar>
        </w:tblPrEx>
        <w:trPr>
          <w:trHeight w:val="1144" w:hRule="atLeast"/>
        </w:trPr>
        <w:tc>
          <w:tcPr>
            <w:tcW w:w="960" w:type="dxa"/>
            <w:tcBorders>
              <w:top w:val="nil"/>
              <w:left w:val="single" w:color="000000" w:sz="4" w:space="0"/>
              <w:bottom w:val="single" w:color="000000" w:sz="4" w:space="0"/>
              <w:right w:val="single" w:color="000000" w:sz="4" w:space="0"/>
            </w:tcBorders>
            <w:shd w:val="clear" w:color="auto" w:fill="auto"/>
            <w:vAlign w:val="center"/>
          </w:tcPr>
          <w:p w14:paraId="4A68DF3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7687" w:type="dxa"/>
            <w:gridSpan w:val="7"/>
            <w:tcBorders>
              <w:top w:val="single" w:color="000000" w:sz="4" w:space="0"/>
              <w:left w:val="nil"/>
              <w:bottom w:val="single" w:color="000000" w:sz="4" w:space="0"/>
              <w:right w:val="single" w:color="000000" w:sz="4" w:space="0"/>
            </w:tcBorders>
            <w:shd w:val="clear" w:color="auto" w:fill="auto"/>
            <w:vAlign w:val="center"/>
          </w:tcPr>
          <w:p w14:paraId="34481114">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配置人力资源、促进充分就业、统筹就业专项资金、职称制度改革和事业单位人事制度改革，综合管理事业单位工作人员、机关工勤人员及流动调配工作；处理好劳动关系、劳动人事争议仲裁、劳动监察执法工作。</w:t>
            </w:r>
          </w:p>
        </w:tc>
      </w:tr>
      <w:tr w14:paraId="009D07A9">
        <w:tblPrEx>
          <w:tblCellMar>
            <w:top w:w="0" w:type="dxa"/>
            <w:left w:w="108" w:type="dxa"/>
            <w:bottom w:w="0" w:type="dxa"/>
            <w:right w:w="108" w:type="dxa"/>
          </w:tblCellMar>
        </w:tblPrEx>
        <w:trPr>
          <w:trHeight w:val="570" w:hRule="atLeast"/>
        </w:trPr>
        <w:tc>
          <w:tcPr>
            <w:tcW w:w="960" w:type="dxa"/>
            <w:vMerge w:val="restart"/>
            <w:tcBorders>
              <w:top w:val="nil"/>
              <w:left w:val="single" w:color="000000" w:sz="4" w:space="0"/>
              <w:bottom w:val="single" w:color="000000" w:sz="4" w:space="0"/>
              <w:right w:val="single" w:color="000000" w:sz="4" w:space="0"/>
            </w:tcBorders>
            <w:shd w:val="clear" w:color="auto" w:fill="auto"/>
            <w:vAlign w:val="center"/>
          </w:tcPr>
          <w:p w14:paraId="3B2ADFF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年度主要任务</w:t>
            </w:r>
          </w:p>
        </w:tc>
        <w:tc>
          <w:tcPr>
            <w:tcW w:w="2017" w:type="dxa"/>
            <w:gridSpan w:val="2"/>
            <w:tcBorders>
              <w:top w:val="single" w:color="000000" w:sz="4" w:space="0"/>
              <w:left w:val="nil"/>
              <w:bottom w:val="single" w:color="000000" w:sz="4" w:space="0"/>
              <w:right w:val="single" w:color="000000" w:sz="4" w:space="0"/>
            </w:tcBorders>
            <w:shd w:val="clear" w:color="auto" w:fill="auto"/>
            <w:vAlign w:val="center"/>
          </w:tcPr>
          <w:p w14:paraId="76DF175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任务名称</w:t>
            </w:r>
          </w:p>
        </w:tc>
        <w:tc>
          <w:tcPr>
            <w:tcW w:w="5670" w:type="dxa"/>
            <w:gridSpan w:val="5"/>
            <w:tcBorders>
              <w:top w:val="single" w:color="000000" w:sz="4" w:space="0"/>
              <w:left w:val="nil"/>
              <w:bottom w:val="single" w:color="000000" w:sz="4" w:space="0"/>
              <w:right w:val="single" w:color="000000" w:sz="4" w:space="0"/>
            </w:tcBorders>
            <w:shd w:val="clear" w:color="auto" w:fill="auto"/>
            <w:vAlign w:val="center"/>
          </w:tcPr>
          <w:p w14:paraId="678F542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主要内容</w:t>
            </w:r>
          </w:p>
        </w:tc>
      </w:tr>
      <w:tr w14:paraId="5E825AE4">
        <w:tblPrEx>
          <w:tblCellMar>
            <w:top w:w="0" w:type="dxa"/>
            <w:left w:w="108" w:type="dxa"/>
            <w:bottom w:w="0" w:type="dxa"/>
            <w:right w:w="108" w:type="dxa"/>
          </w:tblCellMar>
        </w:tblPrEx>
        <w:trPr>
          <w:trHeight w:val="570" w:hRule="atLeast"/>
        </w:trPr>
        <w:tc>
          <w:tcPr>
            <w:tcW w:w="960" w:type="dxa"/>
            <w:vMerge w:val="continue"/>
            <w:tcBorders>
              <w:top w:val="nil"/>
              <w:left w:val="single" w:color="000000" w:sz="4" w:space="0"/>
              <w:bottom w:val="single" w:color="000000" w:sz="4" w:space="0"/>
              <w:right w:val="single" w:color="000000" w:sz="4" w:space="0"/>
            </w:tcBorders>
            <w:vAlign w:val="center"/>
          </w:tcPr>
          <w:p w14:paraId="233B928C">
            <w:pPr>
              <w:widowControl/>
              <w:jc w:val="left"/>
              <w:rPr>
                <w:rFonts w:hint="eastAsia" w:ascii="宋体" w:hAnsi="宋体" w:eastAsia="宋体" w:cs="宋体"/>
                <w:color w:val="000000"/>
                <w:kern w:val="0"/>
                <w:sz w:val="18"/>
                <w:szCs w:val="18"/>
              </w:rPr>
            </w:pPr>
          </w:p>
        </w:tc>
        <w:tc>
          <w:tcPr>
            <w:tcW w:w="2017" w:type="dxa"/>
            <w:gridSpan w:val="2"/>
            <w:tcBorders>
              <w:top w:val="single" w:color="000000" w:sz="4" w:space="0"/>
              <w:left w:val="nil"/>
              <w:bottom w:val="single" w:color="000000" w:sz="4" w:space="0"/>
              <w:right w:val="single" w:color="000000" w:sz="4" w:space="0"/>
            </w:tcBorders>
            <w:shd w:val="clear" w:color="auto" w:fill="auto"/>
            <w:vAlign w:val="center"/>
          </w:tcPr>
          <w:p w14:paraId="3F71C885">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人事人才</w:t>
            </w:r>
          </w:p>
        </w:tc>
        <w:tc>
          <w:tcPr>
            <w:tcW w:w="5670" w:type="dxa"/>
            <w:gridSpan w:val="5"/>
            <w:tcBorders>
              <w:top w:val="single" w:color="000000" w:sz="4" w:space="0"/>
              <w:left w:val="nil"/>
              <w:bottom w:val="single" w:color="000000" w:sz="4" w:space="0"/>
              <w:right w:val="single" w:color="000000" w:sz="4" w:space="0"/>
            </w:tcBorders>
            <w:shd w:val="clear" w:color="auto" w:fill="auto"/>
            <w:vAlign w:val="center"/>
          </w:tcPr>
          <w:p w14:paraId="0B267C7C">
            <w:pPr>
              <w:widowControl/>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完成2023年度事业人员面试考试工作及事业单位专业技术人员职称评审工作。</w:t>
            </w:r>
          </w:p>
        </w:tc>
      </w:tr>
      <w:tr w14:paraId="7A2E0E83">
        <w:tblPrEx>
          <w:tblCellMar>
            <w:top w:w="0" w:type="dxa"/>
            <w:left w:w="108" w:type="dxa"/>
            <w:bottom w:w="0" w:type="dxa"/>
            <w:right w:w="108" w:type="dxa"/>
          </w:tblCellMar>
        </w:tblPrEx>
        <w:trPr>
          <w:trHeight w:val="570" w:hRule="atLeast"/>
        </w:trPr>
        <w:tc>
          <w:tcPr>
            <w:tcW w:w="960" w:type="dxa"/>
            <w:vMerge w:val="restart"/>
            <w:tcBorders>
              <w:top w:val="nil"/>
              <w:left w:val="single" w:color="000000" w:sz="4" w:space="0"/>
              <w:bottom w:val="single" w:color="000000" w:sz="4" w:space="0"/>
              <w:right w:val="single" w:color="000000" w:sz="4" w:space="0"/>
            </w:tcBorders>
            <w:shd w:val="clear" w:color="auto" w:fill="auto"/>
            <w:vAlign w:val="center"/>
          </w:tcPr>
          <w:p w14:paraId="1604DCCE">
            <w:pPr>
              <w:widowControl/>
              <w:jc w:val="center"/>
              <w:rPr>
                <w:rFonts w:hint="eastAsia" w:ascii="宋体" w:hAnsi="宋体" w:eastAsia="宋体" w:cs="宋体"/>
                <w:color w:val="000000"/>
                <w:kern w:val="0"/>
                <w:sz w:val="18"/>
                <w:szCs w:val="18"/>
              </w:rPr>
            </w:pPr>
          </w:p>
          <w:p w14:paraId="756579C6">
            <w:pPr>
              <w:widowControl/>
              <w:jc w:val="center"/>
              <w:rPr>
                <w:rFonts w:hint="eastAsia" w:ascii="宋体" w:hAnsi="宋体" w:eastAsia="宋体" w:cs="宋体"/>
                <w:color w:val="000000"/>
                <w:kern w:val="0"/>
                <w:sz w:val="18"/>
                <w:szCs w:val="18"/>
              </w:rPr>
            </w:pPr>
          </w:p>
          <w:p w14:paraId="49E5BF5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年度绩效指标</w:t>
            </w:r>
          </w:p>
        </w:tc>
        <w:tc>
          <w:tcPr>
            <w:tcW w:w="1025" w:type="dxa"/>
            <w:tcBorders>
              <w:top w:val="nil"/>
              <w:left w:val="nil"/>
              <w:bottom w:val="single" w:color="000000" w:sz="4" w:space="0"/>
              <w:right w:val="single" w:color="000000" w:sz="4" w:space="0"/>
            </w:tcBorders>
            <w:shd w:val="clear" w:color="auto" w:fill="auto"/>
            <w:vAlign w:val="center"/>
          </w:tcPr>
          <w:p w14:paraId="0DEB00C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992" w:type="dxa"/>
            <w:tcBorders>
              <w:top w:val="nil"/>
              <w:left w:val="nil"/>
              <w:bottom w:val="single" w:color="000000" w:sz="4" w:space="0"/>
              <w:right w:val="single" w:color="000000" w:sz="4" w:space="0"/>
            </w:tcBorders>
            <w:shd w:val="clear" w:color="auto" w:fill="auto"/>
            <w:vAlign w:val="center"/>
          </w:tcPr>
          <w:p w14:paraId="0B8A337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2410" w:type="dxa"/>
            <w:tcBorders>
              <w:top w:val="nil"/>
              <w:left w:val="nil"/>
              <w:bottom w:val="single" w:color="000000" w:sz="4" w:space="0"/>
              <w:right w:val="single" w:color="000000" w:sz="4" w:space="0"/>
            </w:tcBorders>
            <w:shd w:val="clear" w:color="auto" w:fill="auto"/>
            <w:vAlign w:val="center"/>
          </w:tcPr>
          <w:p w14:paraId="4FE4BC7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850" w:type="dxa"/>
            <w:tcBorders>
              <w:top w:val="nil"/>
              <w:left w:val="nil"/>
              <w:bottom w:val="single" w:color="000000" w:sz="4" w:space="0"/>
              <w:right w:val="single" w:color="000000" w:sz="4" w:space="0"/>
            </w:tcBorders>
            <w:shd w:val="clear" w:color="auto" w:fill="auto"/>
            <w:vAlign w:val="center"/>
          </w:tcPr>
          <w:p w14:paraId="151ED41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绩效指标性质</w:t>
            </w:r>
          </w:p>
        </w:tc>
        <w:tc>
          <w:tcPr>
            <w:tcW w:w="851" w:type="dxa"/>
            <w:tcBorders>
              <w:top w:val="nil"/>
              <w:left w:val="nil"/>
              <w:bottom w:val="single" w:color="000000" w:sz="4" w:space="0"/>
              <w:right w:val="single" w:color="000000" w:sz="4" w:space="0"/>
            </w:tcBorders>
            <w:shd w:val="clear" w:color="auto" w:fill="auto"/>
            <w:vAlign w:val="center"/>
          </w:tcPr>
          <w:p w14:paraId="5ABBF67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绩效指标值</w:t>
            </w:r>
          </w:p>
        </w:tc>
        <w:tc>
          <w:tcPr>
            <w:tcW w:w="850" w:type="dxa"/>
            <w:tcBorders>
              <w:top w:val="nil"/>
              <w:left w:val="nil"/>
              <w:bottom w:val="single" w:color="000000" w:sz="4" w:space="0"/>
              <w:right w:val="single" w:color="000000" w:sz="4" w:space="0"/>
            </w:tcBorders>
            <w:shd w:val="clear" w:color="auto" w:fill="auto"/>
            <w:vAlign w:val="center"/>
          </w:tcPr>
          <w:p w14:paraId="77EAE0D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绩效度量单位</w:t>
            </w:r>
          </w:p>
        </w:tc>
        <w:tc>
          <w:tcPr>
            <w:tcW w:w="709" w:type="dxa"/>
            <w:tcBorders>
              <w:top w:val="nil"/>
              <w:left w:val="nil"/>
              <w:bottom w:val="single" w:color="000000" w:sz="4" w:space="0"/>
              <w:right w:val="single" w:color="000000" w:sz="4" w:space="0"/>
            </w:tcBorders>
            <w:shd w:val="clear" w:color="auto" w:fill="auto"/>
            <w:vAlign w:val="center"/>
          </w:tcPr>
          <w:p w14:paraId="08C1498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权重</w:t>
            </w:r>
          </w:p>
        </w:tc>
      </w:tr>
      <w:tr w14:paraId="73E20925">
        <w:tblPrEx>
          <w:tblCellMar>
            <w:top w:w="0" w:type="dxa"/>
            <w:left w:w="108" w:type="dxa"/>
            <w:bottom w:w="0" w:type="dxa"/>
            <w:right w:w="108" w:type="dxa"/>
          </w:tblCellMar>
        </w:tblPrEx>
        <w:trPr>
          <w:trHeight w:val="570" w:hRule="atLeast"/>
        </w:trPr>
        <w:tc>
          <w:tcPr>
            <w:tcW w:w="960" w:type="dxa"/>
            <w:vMerge w:val="continue"/>
            <w:tcBorders>
              <w:top w:val="nil"/>
              <w:left w:val="single" w:color="000000" w:sz="4" w:space="0"/>
              <w:bottom w:val="single" w:color="000000" w:sz="4" w:space="0"/>
              <w:right w:val="single" w:color="000000" w:sz="4" w:space="0"/>
            </w:tcBorders>
            <w:shd w:val="clear" w:color="auto" w:fill="auto"/>
            <w:vAlign w:val="center"/>
          </w:tcPr>
          <w:p w14:paraId="0FB7AFC4">
            <w:pPr>
              <w:widowControl/>
              <w:jc w:val="center"/>
              <w:rPr>
                <w:rFonts w:hint="eastAsia" w:ascii="宋体" w:hAnsi="宋体" w:eastAsia="宋体" w:cs="宋体"/>
                <w:color w:val="000000"/>
                <w:kern w:val="0"/>
                <w:sz w:val="18"/>
                <w:szCs w:val="18"/>
              </w:rPr>
            </w:pPr>
          </w:p>
        </w:tc>
        <w:tc>
          <w:tcPr>
            <w:tcW w:w="1025" w:type="dxa"/>
            <w:tcBorders>
              <w:top w:val="nil"/>
              <w:left w:val="nil"/>
              <w:bottom w:val="single" w:color="auto" w:sz="4" w:space="0"/>
              <w:right w:val="single" w:color="000000" w:sz="4" w:space="0"/>
            </w:tcBorders>
            <w:shd w:val="clear" w:color="auto" w:fill="auto"/>
            <w:vAlign w:val="center"/>
          </w:tcPr>
          <w:p w14:paraId="14DEB8B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产出指标</w:t>
            </w:r>
          </w:p>
        </w:tc>
        <w:tc>
          <w:tcPr>
            <w:tcW w:w="992" w:type="dxa"/>
            <w:tcBorders>
              <w:top w:val="nil"/>
              <w:left w:val="nil"/>
              <w:bottom w:val="single" w:color="auto" w:sz="4" w:space="0"/>
              <w:right w:val="single" w:color="000000" w:sz="4" w:space="0"/>
            </w:tcBorders>
            <w:shd w:val="clear" w:color="auto" w:fill="auto"/>
            <w:vAlign w:val="center"/>
          </w:tcPr>
          <w:p w14:paraId="3F60F5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数量指标</w:t>
            </w:r>
          </w:p>
        </w:tc>
        <w:tc>
          <w:tcPr>
            <w:tcW w:w="2410" w:type="dxa"/>
            <w:tcBorders>
              <w:top w:val="nil"/>
              <w:left w:val="nil"/>
              <w:bottom w:val="single" w:color="auto" w:sz="4" w:space="0"/>
              <w:right w:val="single" w:color="000000" w:sz="4" w:space="0"/>
            </w:tcBorders>
            <w:shd w:val="clear" w:color="auto" w:fill="auto"/>
            <w:vAlign w:val="center"/>
          </w:tcPr>
          <w:p w14:paraId="05A528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事业人员招考面试工作次数</w:t>
            </w:r>
          </w:p>
        </w:tc>
        <w:tc>
          <w:tcPr>
            <w:tcW w:w="850" w:type="dxa"/>
            <w:tcBorders>
              <w:top w:val="nil"/>
              <w:left w:val="nil"/>
              <w:bottom w:val="single" w:color="auto" w:sz="4" w:space="0"/>
              <w:right w:val="single" w:color="000000" w:sz="4" w:space="0"/>
            </w:tcBorders>
            <w:shd w:val="clear" w:color="auto" w:fill="auto"/>
            <w:vAlign w:val="center"/>
          </w:tcPr>
          <w:p w14:paraId="2C17FB8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tcBorders>
              <w:top w:val="nil"/>
              <w:left w:val="nil"/>
              <w:bottom w:val="single" w:color="auto" w:sz="4" w:space="0"/>
              <w:right w:val="single" w:color="000000" w:sz="4" w:space="0"/>
            </w:tcBorders>
            <w:shd w:val="clear" w:color="auto" w:fill="auto"/>
            <w:vAlign w:val="center"/>
          </w:tcPr>
          <w:p w14:paraId="2F18437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850" w:type="dxa"/>
            <w:tcBorders>
              <w:top w:val="nil"/>
              <w:left w:val="nil"/>
              <w:bottom w:val="single" w:color="auto" w:sz="4" w:space="0"/>
              <w:right w:val="single" w:color="000000" w:sz="4" w:space="0"/>
            </w:tcBorders>
            <w:shd w:val="clear" w:color="auto" w:fill="auto"/>
            <w:vAlign w:val="center"/>
          </w:tcPr>
          <w:p w14:paraId="50E1815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次</w:t>
            </w:r>
          </w:p>
        </w:tc>
        <w:tc>
          <w:tcPr>
            <w:tcW w:w="709" w:type="dxa"/>
            <w:tcBorders>
              <w:top w:val="nil"/>
              <w:left w:val="nil"/>
              <w:bottom w:val="single" w:color="auto" w:sz="4" w:space="0"/>
              <w:right w:val="single" w:color="000000" w:sz="4" w:space="0"/>
            </w:tcBorders>
            <w:shd w:val="clear" w:color="auto" w:fill="auto"/>
            <w:vAlign w:val="center"/>
          </w:tcPr>
          <w:p w14:paraId="762B3D7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w:t>
            </w:r>
          </w:p>
        </w:tc>
      </w:tr>
      <w:tr w14:paraId="67995D9C">
        <w:tblPrEx>
          <w:tblCellMar>
            <w:top w:w="0" w:type="dxa"/>
            <w:left w:w="108" w:type="dxa"/>
            <w:bottom w:w="0" w:type="dxa"/>
            <w:right w:w="108" w:type="dxa"/>
          </w:tblCellMar>
        </w:tblPrEx>
        <w:trPr>
          <w:trHeight w:val="570" w:hRule="atLeast"/>
        </w:trPr>
        <w:tc>
          <w:tcPr>
            <w:tcW w:w="960" w:type="dxa"/>
            <w:vMerge w:val="continue"/>
            <w:tcBorders>
              <w:top w:val="nil"/>
              <w:left w:val="single" w:color="000000" w:sz="4" w:space="0"/>
              <w:bottom w:val="nil"/>
              <w:right w:val="single" w:color="auto" w:sz="4" w:space="0"/>
            </w:tcBorders>
            <w:vAlign w:val="center"/>
          </w:tcPr>
          <w:p w14:paraId="53EFB552">
            <w:pPr>
              <w:widowControl/>
              <w:jc w:val="left"/>
              <w:rPr>
                <w:rFonts w:hint="eastAsia" w:ascii="宋体" w:hAnsi="宋体" w:eastAsia="宋体" w:cs="宋体"/>
                <w:color w:val="000000"/>
                <w:kern w:val="0"/>
                <w:sz w:val="18"/>
                <w:szCs w:val="18"/>
              </w:rPr>
            </w:pP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2E0BDCD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产出指标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823D39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时效指标</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3179E7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12月底面试工作职称评审工作</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CB8E5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C4F3EC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727ABC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7F61BE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w:t>
            </w:r>
          </w:p>
        </w:tc>
      </w:tr>
      <w:tr w14:paraId="0004D83E">
        <w:tblPrEx>
          <w:tblCellMar>
            <w:top w:w="0" w:type="dxa"/>
            <w:left w:w="108" w:type="dxa"/>
            <w:bottom w:w="0" w:type="dxa"/>
            <w:right w:w="108" w:type="dxa"/>
          </w:tblCellMar>
        </w:tblPrEx>
        <w:trPr>
          <w:trHeight w:val="570" w:hRule="atLeast"/>
        </w:trPr>
        <w:tc>
          <w:tcPr>
            <w:tcW w:w="960" w:type="dxa"/>
            <w:tcBorders>
              <w:top w:val="nil"/>
              <w:left w:val="single" w:color="000000" w:sz="4" w:space="0"/>
              <w:bottom w:val="nil"/>
              <w:right w:val="single" w:color="auto" w:sz="4" w:space="0"/>
            </w:tcBorders>
            <w:vAlign w:val="center"/>
          </w:tcPr>
          <w:p w14:paraId="349A52A6">
            <w:pPr>
              <w:widowControl/>
              <w:jc w:val="left"/>
              <w:rPr>
                <w:rFonts w:hint="eastAsia" w:ascii="宋体" w:hAnsi="宋体" w:eastAsia="宋体" w:cs="宋体"/>
                <w:color w:val="000000"/>
                <w:kern w:val="0"/>
                <w:sz w:val="18"/>
                <w:szCs w:val="18"/>
              </w:rPr>
            </w:pP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1F61754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产出指标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8DE2AB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数量指标</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7E19B8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专业技术人员职称评审工作次数</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BCAB04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9D860C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D06018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次</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A761B5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15</w:t>
            </w:r>
          </w:p>
        </w:tc>
      </w:tr>
      <w:tr w14:paraId="00985CE4">
        <w:tblPrEx>
          <w:tblCellMar>
            <w:top w:w="0" w:type="dxa"/>
            <w:left w:w="108" w:type="dxa"/>
            <w:bottom w:w="0" w:type="dxa"/>
            <w:right w:w="108" w:type="dxa"/>
          </w:tblCellMar>
        </w:tblPrEx>
        <w:trPr>
          <w:trHeight w:val="570" w:hRule="atLeast"/>
        </w:trPr>
        <w:tc>
          <w:tcPr>
            <w:tcW w:w="960" w:type="dxa"/>
            <w:tcBorders>
              <w:top w:val="nil"/>
              <w:left w:val="single" w:color="000000" w:sz="4" w:space="0"/>
              <w:bottom w:val="nil"/>
              <w:right w:val="single" w:color="auto" w:sz="4" w:space="0"/>
            </w:tcBorders>
            <w:vAlign w:val="center"/>
          </w:tcPr>
          <w:p w14:paraId="54E87600">
            <w:pPr>
              <w:widowControl/>
              <w:jc w:val="left"/>
              <w:rPr>
                <w:rFonts w:hint="eastAsia" w:ascii="宋体" w:hAnsi="宋体" w:eastAsia="宋体" w:cs="宋体"/>
                <w:color w:val="000000"/>
                <w:kern w:val="0"/>
                <w:sz w:val="18"/>
                <w:szCs w:val="18"/>
              </w:rPr>
            </w:pP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7503AFA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效益指标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97740B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可持续影响指标</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5EFB51D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对事业人员的招录和专业技术人员职称评审的保障作用</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A7EEA3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定性</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1EBFC4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优</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53AD1EA">
            <w:pPr>
              <w:widowControl/>
              <w:jc w:val="center"/>
              <w:rPr>
                <w:rFonts w:hint="eastAsia" w:ascii="宋体" w:hAnsi="宋体" w:eastAsia="宋体" w:cs="宋体"/>
                <w:color w:val="000000"/>
                <w:kern w:val="0"/>
                <w:sz w:val="18"/>
                <w:szCs w:val="18"/>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C93E3D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w:t>
            </w:r>
          </w:p>
        </w:tc>
      </w:tr>
      <w:tr w14:paraId="49CDB8E2">
        <w:tblPrEx>
          <w:tblCellMar>
            <w:top w:w="0" w:type="dxa"/>
            <w:left w:w="108" w:type="dxa"/>
            <w:bottom w:w="0" w:type="dxa"/>
            <w:right w:w="108" w:type="dxa"/>
          </w:tblCellMar>
        </w:tblPrEx>
        <w:trPr>
          <w:trHeight w:val="570" w:hRule="atLeast"/>
        </w:trPr>
        <w:tc>
          <w:tcPr>
            <w:tcW w:w="960" w:type="dxa"/>
            <w:tcBorders>
              <w:top w:val="nil"/>
              <w:left w:val="single" w:color="000000" w:sz="4" w:space="0"/>
              <w:bottom w:val="single" w:color="auto" w:sz="4" w:space="0"/>
              <w:right w:val="single" w:color="auto" w:sz="4" w:space="0"/>
            </w:tcBorders>
            <w:vAlign w:val="center"/>
          </w:tcPr>
          <w:p w14:paraId="703049B4">
            <w:pPr>
              <w:widowControl/>
              <w:jc w:val="left"/>
              <w:rPr>
                <w:rFonts w:hint="eastAsia" w:ascii="宋体" w:hAnsi="宋体" w:eastAsia="宋体" w:cs="宋体"/>
                <w:color w:val="000000"/>
                <w:kern w:val="0"/>
                <w:sz w:val="18"/>
                <w:szCs w:val="18"/>
              </w:rPr>
            </w:pP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0788650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满意度指标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699368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服务对象满意度指标</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ECDC99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7BB529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85C2F3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98</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38B377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EDB300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w:t>
            </w:r>
          </w:p>
        </w:tc>
      </w:tr>
      <w:tr w14:paraId="1932835F">
        <w:tblPrEx>
          <w:tblCellMar>
            <w:top w:w="0" w:type="dxa"/>
            <w:left w:w="108" w:type="dxa"/>
            <w:bottom w:w="0" w:type="dxa"/>
            <w:right w:w="108" w:type="dxa"/>
          </w:tblCellMar>
        </w:tblPrEx>
        <w:trPr>
          <w:trHeight w:val="57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743A8F1D">
            <w:pPr>
              <w:widowControl/>
              <w:jc w:val="left"/>
              <w:rPr>
                <w:rFonts w:hint="eastAsia" w:ascii="宋体" w:hAnsi="宋体" w:eastAsia="宋体" w:cs="宋体"/>
                <w:color w:val="000000"/>
                <w:kern w:val="0"/>
                <w:sz w:val="18"/>
                <w:szCs w:val="18"/>
              </w:rPr>
            </w:pPr>
          </w:p>
        </w:tc>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14:paraId="059143A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0DCF16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经济成本指标</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2724C0F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人事人才管理专项经费</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80AF2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6FDA35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B707C7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5632FE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w:t>
            </w:r>
          </w:p>
        </w:tc>
      </w:tr>
    </w:tbl>
    <w:p w14:paraId="604B3D8C">
      <w:pPr>
        <w:keepNext w:val="0"/>
        <w:keepLines w:val="0"/>
        <w:widowControl/>
        <w:suppressLineNumbers w:val="0"/>
        <w:jc w:val="left"/>
        <w:textAlignment w:val="center"/>
        <w:rPr>
          <w:rFonts w:ascii="宋体" w:hAnsi="宋体" w:eastAsia="宋体" w:cs="宋体"/>
          <w:i w:val="0"/>
          <w:iCs w:val="0"/>
          <w:color w:val="C0C0C0"/>
          <w:kern w:val="0"/>
          <w:sz w:val="20"/>
          <w:szCs w:val="20"/>
          <w:u w:val="none"/>
          <w:lang w:val="en-US" w:eastAsia="zh-CN" w:bidi="ar"/>
        </w:rPr>
      </w:pPr>
      <w:r>
        <w:rPr>
          <w:rFonts w:ascii="宋体" w:hAnsi="宋体" w:eastAsia="宋体" w:cs="宋体"/>
          <w:i w:val="0"/>
          <w:iCs w:val="0"/>
          <w:color w:val="C0C0C0"/>
          <w:kern w:val="0"/>
          <w:sz w:val="20"/>
          <w:szCs w:val="20"/>
          <w:u w:val="none"/>
          <w:lang w:val="en-US" w:eastAsia="zh-CN" w:bidi="ar"/>
        </w:rPr>
        <w:br w:type="page"/>
      </w:r>
    </w:p>
    <w:p w14:paraId="330971C6">
      <w:pPr>
        <w:keepNext w:val="0"/>
        <w:keepLines w:val="0"/>
        <w:widowControl/>
        <w:suppressLineNumbers w:val="0"/>
        <w:jc w:val="left"/>
        <w:textAlignment w:val="center"/>
        <w:rPr>
          <w:rFonts w:ascii="宋体" w:hAnsi="宋体" w:eastAsia="宋体" w:cs="宋体"/>
          <w:i w:val="0"/>
          <w:iCs w:val="0"/>
          <w:color w:val="C0C0C0"/>
          <w:kern w:val="0"/>
          <w:sz w:val="20"/>
          <w:szCs w:val="20"/>
          <w:u w:val="none"/>
          <w:lang w:val="en-US" w:eastAsia="zh-CN" w:bidi="ar"/>
        </w:rPr>
        <w:sectPr>
          <w:footerReference r:id="rId7" w:type="first"/>
          <w:footerReference r:id="rId6" w:type="default"/>
          <w:pgSz w:w="11906" w:h="16838"/>
          <w:pgMar w:top="1440" w:right="1800" w:bottom="1440" w:left="1800" w:header="851" w:footer="992" w:gutter="0"/>
          <w:pgNumType w:fmt="decimal"/>
          <w:cols w:space="425" w:num="1"/>
          <w:titlePg/>
          <w:docGrid w:type="lines" w:linePitch="312" w:charSpace="0"/>
        </w:sectPr>
      </w:pPr>
    </w:p>
    <w:tbl>
      <w:tblPr>
        <w:tblStyle w:val="16"/>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51"/>
        <w:gridCol w:w="1774"/>
        <w:gridCol w:w="2263"/>
        <w:gridCol w:w="521"/>
        <w:gridCol w:w="1676"/>
        <w:gridCol w:w="521"/>
        <w:gridCol w:w="1091"/>
        <w:gridCol w:w="505"/>
        <w:gridCol w:w="456"/>
        <w:gridCol w:w="2558"/>
      </w:tblGrid>
      <w:tr w14:paraId="37386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775" w:type="dxa"/>
            <w:gridSpan w:val="4"/>
            <w:tcBorders>
              <w:top w:val="nil"/>
              <w:left w:val="nil"/>
              <w:bottom w:val="nil"/>
              <w:right w:val="nil"/>
            </w:tcBorders>
            <w:shd w:val="clear" w:color="auto" w:fill="auto"/>
            <w:vAlign w:val="center"/>
          </w:tcPr>
          <w:p w14:paraId="2E7B52F1">
            <w:pPr>
              <w:keepNext w:val="0"/>
              <w:keepLines w:val="0"/>
              <w:widowControl/>
              <w:suppressLineNumbers w:val="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报表编号：510000_0013zp</w:t>
            </w:r>
          </w:p>
        </w:tc>
        <w:tc>
          <w:tcPr>
            <w:tcW w:w="521" w:type="dxa"/>
            <w:tcBorders>
              <w:top w:val="nil"/>
              <w:left w:val="nil"/>
              <w:bottom w:val="nil"/>
              <w:right w:val="nil"/>
            </w:tcBorders>
            <w:shd w:val="clear" w:color="auto" w:fill="auto"/>
            <w:noWrap/>
            <w:vAlign w:val="center"/>
          </w:tcPr>
          <w:p w14:paraId="0DE29C03">
            <w:pPr>
              <w:rPr>
                <w:rFonts w:hint="eastAsia" w:ascii="宋体" w:hAnsi="宋体" w:eastAsia="宋体" w:cs="宋体"/>
                <w:i w:val="0"/>
                <w:iCs w:val="0"/>
                <w:color w:val="000000"/>
                <w:sz w:val="22"/>
                <w:szCs w:val="22"/>
                <w:u w:val="none"/>
              </w:rPr>
            </w:pPr>
          </w:p>
        </w:tc>
        <w:tc>
          <w:tcPr>
            <w:tcW w:w="3289" w:type="dxa"/>
            <w:gridSpan w:val="3"/>
            <w:tcBorders>
              <w:top w:val="nil"/>
              <w:left w:val="nil"/>
              <w:bottom w:val="nil"/>
              <w:right w:val="nil"/>
            </w:tcBorders>
            <w:shd w:val="clear" w:color="auto" w:fill="auto"/>
            <w:vAlign w:val="center"/>
          </w:tcPr>
          <w:p w14:paraId="1EE7017A">
            <w:pPr>
              <w:rPr>
                <w:rFonts w:hint="eastAsia" w:ascii="宋体" w:hAnsi="宋体" w:eastAsia="宋体" w:cs="宋体"/>
                <w:i w:val="0"/>
                <w:iCs w:val="0"/>
                <w:color w:val="000000"/>
                <w:sz w:val="20"/>
                <w:szCs w:val="20"/>
                <w:u w:val="none"/>
              </w:rPr>
            </w:pPr>
          </w:p>
        </w:tc>
        <w:tc>
          <w:tcPr>
            <w:tcW w:w="505" w:type="dxa"/>
            <w:tcBorders>
              <w:top w:val="nil"/>
              <w:left w:val="nil"/>
              <w:bottom w:val="nil"/>
              <w:right w:val="nil"/>
            </w:tcBorders>
            <w:shd w:val="clear" w:color="auto" w:fill="auto"/>
            <w:noWrap/>
            <w:vAlign w:val="center"/>
          </w:tcPr>
          <w:p w14:paraId="419815A4">
            <w:pPr>
              <w:rPr>
                <w:rFonts w:hint="eastAsia" w:ascii="宋体" w:hAnsi="宋体" w:eastAsia="宋体" w:cs="宋体"/>
                <w:i w:val="0"/>
                <w:iCs w:val="0"/>
                <w:color w:val="000000"/>
                <w:sz w:val="22"/>
                <w:szCs w:val="22"/>
                <w:u w:val="none"/>
              </w:rPr>
            </w:pPr>
          </w:p>
        </w:tc>
        <w:tc>
          <w:tcPr>
            <w:tcW w:w="456" w:type="dxa"/>
            <w:tcBorders>
              <w:top w:val="nil"/>
              <w:left w:val="nil"/>
              <w:bottom w:val="nil"/>
              <w:right w:val="nil"/>
            </w:tcBorders>
            <w:shd w:val="clear" w:color="auto" w:fill="auto"/>
            <w:noWrap/>
            <w:vAlign w:val="center"/>
          </w:tcPr>
          <w:p w14:paraId="1A888A17">
            <w:pPr>
              <w:rPr>
                <w:rFonts w:hint="eastAsia" w:ascii="宋体" w:hAnsi="宋体" w:eastAsia="宋体" w:cs="宋体"/>
                <w:i w:val="0"/>
                <w:iCs w:val="0"/>
                <w:color w:val="000000"/>
                <w:sz w:val="22"/>
                <w:szCs w:val="22"/>
                <w:u w:val="none"/>
              </w:rPr>
            </w:pPr>
          </w:p>
        </w:tc>
        <w:tc>
          <w:tcPr>
            <w:tcW w:w="2557" w:type="dxa"/>
            <w:tcBorders>
              <w:top w:val="nil"/>
              <w:left w:val="nil"/>
              <w:bottom w:val="nil"/>
              <w:right w:val="nil"/>
            </w:tcBorders>
            <w:shd w:val="clear" w:color="auto" w:fill="auto"/>
            <w:noWrap/>
            <w:vAlign w:val="center"/>
          </w:tcPr>
          <w:p w14:paraId="24074F64">
            <w:pPr>
              <w:rPr>
                <w:rFonts w:hint="eastAsia" w:ascii="宋体" w:hAnsi="宋体" w:eastAsia="宋体" w:cs="宋体"/>
                <w:i w:val="0"/>
                <w:iCs w:val="0"/>
                <w:color w:val="000000"/>
                <w:sz w:val="22"/>
                <w:szCs w:val="22"/>
                <w:u w:val="none"/>
              </w:rPr>
            </w:pPr>
          </w:p>
        </w:tc>
      </w:tr>
      <w:tr w14:paraId="03A0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3EA0578">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2396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B8C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9C4E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51322623T000007977940-人事人才管理专项经费</w:t>
            </w:r>
          </w:p>
        </w:tc>
      </w:tr>
      <w:tr w14:paraId="0545C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51F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5C42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金川县人力资源和社会保障局本级</w:t>
            </w:r>
          </w:p>
        </w:tc>
        <w:tc>
          <w:tcPr>
            <w:tcW w:w="1091" w:type="dxa"/>
            <w:tcBorders>
              <w:top w:val="nil"/>
              <w:left w:val="nil"/>
              <w:bottom w:val="nil"/>
              <w:right w:val="nil"/>
            </w:tcBorders>
            <w:shd w:val="clear" w:color="auto" w:fill="auto"/>
            <w:vAlign w:val="center"/>
          </w:tcPr>
          <w:p w14:paraId="2F9A3C80">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62B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金川县人力资源和社会保障局</w:t>
            </w:r>
          </w:p>
        </w:tc>
      </w:tr>
      <w:tr w14:paraId="1E032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EC6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A44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E08F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36152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3A9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28CF1">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CB7A5">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3D0B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为加强我县事业人员人才队伍建设，提高事业人员工资福利待遇，开展事业单位人事考试面试、笔试工作、事业单位专业技术人员职称评审工作。2024年人事人才专项工作经费90000元。</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0220E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2024年事业单位招考一次，该笔资金主要用于事业单位公招面试工作，相关工作人员考试考务费和办公经费等，年初预算为9万元，后经调整为5.09万元。</w:t>
            </w:r>
          </w:p>
        </w:tc>
      </w:tr>
      <w:tr w14:paraId="5C700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0B9DA">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7B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7173F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完成2024年度事业人员面试考试工作及事业单位专业技术人员职称评审工作。</w:t>
            </w:r>
          </w:p>
        </w:tc>
      </w:tr>
      <w:tr w14:paraId="3664C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5E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D5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8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7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19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15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B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7B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C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BD9C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05F1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7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E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C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BA5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0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E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E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A9D8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我单位2024年预计开展两次事业单位招考，实际开展一次。</w:t>
            </w:r>
          </w:p>
        </w:tc>
      </w:tr>
      <w:tr w14:paraId="04713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39C8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3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B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4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F1F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18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21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0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B51C7">
            <w:pPr>
              <w:rPr>
                <w:rFonts w:hint="eastAsia" w:ascii="黑体" w:hAnsi="黑体" w:eastAsia="黑体" w:cs="黑体"/>
                <w:i/>
                <w:iCs/>
                <w:color w:val="000000"/>
                <w:sz w:val="18"/>
                <w:szCs w:val="18"/>
                <w:u w:val="none"/>
              </w:rPr>
            </w:pPr>
          </w:p>
        </w:tc>
      </w:tr>
      <w:tr w14:paraId="242B1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9C21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9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1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B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EAC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EB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DE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BC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6BD95">
            <w:pPr>
              <w:rPr>
                <w:rFonts w:hint="eastAsia" w:ascii="黑体" w:hAnsi="黑体" w:eastAsia="黑体" w:cs="黑体"/>
                <w:i/>
                <w:iCs/>
                <w:color w:val="000000"/>
                <w:sz w:val="18"/>
                <w:szCs w:val="18"/>
                <w:u w:val="none"/>
              </w:rPr>
            </w:pPr>
          </w:p>
        </w:tc>
      </w:tr>
      <w:tr w14:paraId="61015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CEDB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D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1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C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6F0F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AF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C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9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E236C">
            <w:pPr>
              <w:rPr>
                <w:rFonts w:hint="eastAsia" w:ascii="黑体" w:hAnsi="黑体" w:eastAsia="黑体" w:cs="黑体"/>
                <w:i/>
                <w:iCs/>
                <w:color w:val="000000"/>
                <w:sz w:val="18"/>
                <w:szCs w:val="18"/>
                <w:u w:val="none"/>
              </w:rPr>
            </w:pPr>
          </w:p>
        </w:tc>
      </w:tr>
      <w:tr w14:paraId="7C775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39F0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8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4127">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9AC5">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FFBA4C">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F02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AB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B6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1C04C">
            <w:pPr>
              <w:rPr>
                <w:rFonts w:hint="eastAsia" w:ascii="黑体" w:hAnsi="黑体" w:eastAsia="黑体" w:cs="黑体"/>
                <w:i/>
                <w:iCs/>
                <w:color w:val="000000"/>
                <w:sz w:val="18"/>
                <w:szCs w:val="18"/>
                <w:u w:val="none"/>
              </w:rPr>
            </w:pPr>
          </w:p>
        </w:tc>
      </w:tr>
      <w:tr w14:paraId="0FBCA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63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3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F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5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B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D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9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B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C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6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2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D88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05BEE">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BE4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60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2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专业技术人员职称评审工作次数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A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9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F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396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E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F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5EFE">
            <w:pPr>
              <w:rPr>
                <w:rFonts w:hint="eastAsia" w:ascii="宋体" w:hAnsi="宋体" w:eastAsia="宋体" w:cs="宋体"/>
                <w:i w:val="0"/>
                <w:iCs w:val="0"/>
                <w:color w:val="000000"/>
                <w:sz w:val="22"/>
                <w:szCs w:val="22"/>
                <w:u w:val="none"/>
              </w:rPr>
            </w:pPr>
          </w:p>
        </w:tc>
      </w:tr>
      <w:tr w14:paraId="18B73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8B49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28353">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264C4">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B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事业人员招考面试工作次数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0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7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C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B75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07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7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191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24年度事业单位招考共一次</w:t>
            </w:r>
          </w:p>
        </w:tc>
      </w:tr>
      <w:tr w14:paraId="650CA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B491F">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3DA59">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14CD0">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9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事业人员招考笔试工作次数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3A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C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8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4BF6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9D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6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EE7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24年度事业单位招考共一次</w:t>
            </w:r>
          </w:p>
        </w:tc>
      </w:tr>
      <w:tr w14:paraId="0B1A6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AEBC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C109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7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1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12月底面试工作职称评审工作完成任务率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B2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0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2A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2C1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98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C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5134F">
            <w:pPr>
              <w:jc w:val="center"/>
              <w:rPr>
                <w:rFonts w:hint="eastAsia" w:ascii="微软雅黑" w:hAnsi="微软雅黑" w:eastAsia="微软雅黑" w:cs="微软雅黑"/>
                <w:i/>
                <w:iCs/>
                <w:color w:val="000000"/>
                <w:sz w:val="16"/>
                <w:szCs w:val="16"/>
                <w:u w:val="none"/>
              </w:rPr>
            </w:pPr>
          </w:p>
        </w:tc>
      </w:tr>
      <w:tr w14:paraId="208D8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577D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9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2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69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对事业人员的招录和专业技术人员职称评审的保障作用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1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8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B822">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2B70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优</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A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5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B06B">
            <w:pPr>
              <w:jc w:val="center"/>
              <w:rPr>
                <w:rFonts w:hint="eastAsia" w:ascii="微软雅黑" w:hAnsi="微软雅黑" w:eastAsia="微软雅黑" w:cs="微软雅黑"/>
                <w:i/>
                <w:iCs/>
                <w:color w:val="000000"/>
                <w:sz w:val="16"/>
                <w:szCs w:val="16"/>
                <w:u w:val="none"/>
              </w:rPr>
            </w:pPr>
          </w:p>
        </w:tc>
      </w:tr>
      <w:tr w14:paraId="04B67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2C7B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F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8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E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7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7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6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D6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3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66A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2D68">
            <w:pPr>
              <w:jc w:val="center"/>
              <w:rPr>
                <w:rFonts w:hint="eastAsia" w:ascii="微软雅黑" w:hAnsi="微软雅黑" w:eastAsia="微软雅黑" w:cs="微软雅黑"/>
                <w:i/>
                <w:iCs/>
                <w:color w:val="000000"/>
                <w:sz w:val="16"/>
                <w:szCs w:val="16"/>
                <w:u w:val="none"/>
              </w:rPr>
            </w:pPr>
          </w:p>
        </w:tc>
      </w:tr>
      <w:tr w14:paraId="6313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901D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1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9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6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人事人才管理专项经费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B3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2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07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86F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5.09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D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1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911F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24年度事业单位招考共一次</w:t>
            </w:r>
          </w:p>
        </w:tc>
      </w:tr>
      <w:tr w14:paraId="1D5DC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E18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F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C0C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368E">
            <w:pPr>
              <w:rPr>
                <w:rFonts w:hint="eastAsia" w:ascii="宋体" w:hAnsi="宋体" w:eastAsia="宋体" w:cs="宋体"/>
                <w:i w:val="0"/>
                <w:iCs w:val="0"/>
                <w:color w:val="000000"/>
                <w:sz w:val="18"/>
                <w:szCs w:val="18"/>
                <w:u w:val="none"/>
              </w:rPr>
            </w:pPr>
          </w:p>
        </w:tc>
      </w:tr>
      <w:tr w14:paraId="4A073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B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48DB1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该项目自评得分为85，完成2024年度事业人员面试工作及事业单位专业技术人员职称评审工作。</w:t>
            </w:r>
          </w:p>
        </w:tc>
      </w:tr>
      <w:tr w14:paraId="480B2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C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84789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未完成事业人员招考面试工作次数的数量指标。</w:t>
            </w:r>
          </w:p>
        </w:tc>
      </w:tr>
      <w:tr w14:paraId="2D3D6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B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DC589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合理安排事业单位的各项面试和职称评审工作，做到客观、绩效、精准。</w:t>
            </w:r>
          </w:p>
        </w:tc>
      </w:tr>
      <w:tr w14:paraId="64566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1774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项目负责人：王俊勇</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45AE4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财务负责人：唐荣光</w:t>
            </w:r>
          </w:p>
        </w:tc>
      </w:tr>
      <w:tr w14:paraId="23CBA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1329498">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90C0A2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4C2AD0D">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8A891A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1E07EB2">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450D00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B6B297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AC7AA7C">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9974EB9">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27ADABD">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3D4C4F3">
            <w:pPr>
              <w:rPr>
                <w:rFonts w:hint="eastAsia" w:ascii="宋体" w:hAnsi="宋体" w:eastAsia="宋体" w:cs="宋体"/>
                <w:i w:val="0"/>
                <w:iCs w:val="0"/>
                <w:color w:val="000000"/>
                <w:sz w:val="18"/>
                <w:szCs w:val="18"/>
                <w:u w:val="none"/>
              </w:rPr>
            </w:pPr>
          </w:p>
        </w:tc>
      </w:tr>
      <w:tr w14:paraId="27A62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74D15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1726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5ED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A9FA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51322623T000008012515-劳动保障监察专项工作经费</w:t>
            </w:r>
          </w:p>
        </w:tc>
      </w:tr>
      <w:tr w14:paraId="29562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947C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2D67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金川县人力资源和社会保障局本级</w:t>
            </w:r>
          </w:p>
        </w:tc>
        <w:tc>
          <w:tcPr>
            <w:tcW w:w="1091" w:type="dxa"/>
            <w:tcBorders>
              <w:top w:val="nil"/>
              <w:left w:val="nil"/>
              <w:bottom w:val="nil"/>
              <w:right w:val="nil"/>
            </w:tcBorders>
            <w:shd w:val="clear" w:color="auto" w:fill="auto"/>
            <w:vAlign w:val="center"/>
          </w:tcPr>
          <w:p w14:paraId="162D80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BE3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金川县人力资源和社会保障局</w:t>
            </w:r>
          </w:p>
        </w:tc>
      </w:tr>
      <w:tr w14:paraId="5A73B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A3C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984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F73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8C012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0B0F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F7CBE">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61EEA">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7366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了贯彻实施劳动和社会保障法律、法规和规章，规范劳动保障监察工作，维护劳动者的合法权益，宣传劳动保障法律和规章，检查用人单位遵守劳动保障法律法规情况，受理对违反劳动保障法律法规的行为的举报。投诉等监察工作。2024年劳动监察费用100000元。</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39AE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法相经费主要用于劳动保障监察执法中队开展日常执法监督检查工作等专项工作经费。年初预算安排10万元，实际执行10万元。</w:t>
            </w:r>
          </w:p>
        </w:tc>
      </w:tr>
      <w:tr w14:paraId="0C50E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E519D">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27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7BB0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宣传劳动保障法律法规和规章，检查用人单位遵守劳动保障法律法规情况。受理对违反劳动保障法律法规的行为的举报、投诉等监察工作。</w:t>
            </w:r>
          </w:p>
        </w:tc>
      </w:tr>
      <w:tr w14:paraId="50465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AC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E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9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4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1F1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8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E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B8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B7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18FB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5C74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49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E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3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B8F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B9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E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6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F10C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CA1D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F45E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E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6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9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370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1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E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C5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A4373">
            <w:pPr>
              <w:rPr>
                <w:rFonts w:hint="eastAsia" w:ascii="黑体" w:hAnsi="黑体" w:eastAsia="黑体" w:cs="黑体"/>
                <w:i/>
                <w:iCs/>
                <w:color w:val="000000"/>
                <w:sz w:val="18"/>
                <w:szCs w:val="18"/>
                <w:u w:val="none"/>
              </w:rPr>
            </w:pPr>
          </w:p>
        </w:tc>
      </w:tr>
      <w:tr w14:paraId="42072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2DF3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6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1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6B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DB2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48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9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F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47668">
            <w:pPr>
              <w:rPr>
                <w:rFonts w:hint="eastAsia" w:ascii="黑体" w:hAnsi="黑体" w:eastAsia="黑体" w:cs="黑体"/>
                <w:i/>
                <w:iCs/>
                <w:color w:val="000000"/>
                <w:sz w:val="18"/>
                <w:szCs w:val="18"/>
                <w:u w:val="none"/>
              </w:rPr>
            </w:pPr>
          </w:p>
        </w:tc>
      </w:tr>
      <w:tr w14:paraId="05075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3C1F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7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6F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F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6E0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0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5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5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F8A1A">
            <w:pPr>
              <w:rPr>
                <w:rFonts w:hint="eastAsia" w:ascii="黑体" w:hAnsi="黑体" w:eastAsia="黑体" w:cs="黑体"/>
                <w:i/>
                <w:iCs/>
                <w:color w:val="000000"/>
                <w:sz w:val="18"/>
                <w:szCs w:val="18"/>
                <w:u w:val="none"/>
              </w:rPr>
            </w:pPr>
          </w:p>
        </w:tc>
      </w:tr>
      <w:tr w14:paraId="553C4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1C3B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6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2743">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F9F6">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66DAF2">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1DC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B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38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EC39D">
            <w:pPr>
              <w:rPr>
                <w:rFonts w:hint="eastAsia" w:ascii="黑体" w:hAnsi="黑体" w:eastAsia="黑体" w:cs="黑体"/>
                <w:i/>
                <w:iCs/>
                <w:color w:val="000000"/>
                <w:sz w:val="18"/>
                <w:szCs w:val="18"/>
                <w:u w:val="none"/>
              </w:rPr>
            </w:pPr>
          </w:p>
        </w:tc>
      </w:tr>
      <w:tr w14:paraId="7DB43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F55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6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8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AC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8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D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1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5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A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C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47B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044E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A1849">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269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06C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85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开展在建项目劳动用工及工资支付情况专项检查</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6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5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A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0EF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B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3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F2A89">
            <w:pPr>
              <w:jc w:val="center"/>
              <w:rPr>
                <w:rFonts w:hint="eastAsia" w:ascii="微软雅黑" w:hAnsi="微软雅黑" w:eastAsia="微软雅黑" w:cs="微软雅黑"/>
                <w:i/>
                <w:iCs/>
                <w:color w:val="000000"/>
                <w:sz w:val="16"/>
                <w:szCs w:val="16"/>
                <w:u w:val="none"/>
              </w:rPr>
            </w:pPr>
          </w:p>
        </w:tc>
      </w:tr>
      <w:tr w14:paraId="0D98D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F250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C01A7">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21258">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2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开展劳动保障法律、法规和规章宣传活动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01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F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C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3E0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2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D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21B9">
            <w:pPr>
              <w:jc w:val="center"/>
              <w:rPr>
                <w:rFonts w:hint="eastAsia" w:ascii="微软雅黑" w:hAnsi="微软雅黑" w:eastAsia="微软雅黑" w:cs="微软雅黑"/>
                <w:i/>
                <w:iCs/>
                <w:color w:val="000000"/>
                <w:sz w:val="16"/>
                <w:szCs w:val="16"/>
                <w:u w:val="none"/>
              </w:rPr>
            </w:pPr>
          </w:p>
        </w:tc>
      </w:tr>
      <w:tr w14:paraId="4AA65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E8084">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4D92E">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19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B3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对企业的劳动保障监察覆盖率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7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E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A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47C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3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A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1655">
            <w:pPr>
              <w:jc w:val="center"/>
              <w:rPr>
                <w:rFonts w:hint="eastAsia" w:ascii="微软雅黑" w:hAnsi="微软雅黑" w:eastAsia="微软雅黑" w:cs="微软雅黑"/>
                <w:i/>
                <w:iCs/>
                <w:color w:val="000000"/>
                <w:sz w:val="16"/>
                <w:szCs w:val="16"/>
                <w:u w:val="none"/>
              </w:rPr>
            </w:pPr>
          </w:p>
        </w:tc>
      </w:tr>
      <w:tr w14:paraId="3EC2C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A9539">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B0106">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72EC1">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7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劳动保障监察举报投诉结案率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0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C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7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16B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6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D2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683E">
            <w:pPr>
              <w:jc w:val="center"/>
              <w:rPr>
                <w:rFonts w:hint="eastAsia" w:ascii="微软雅黑" w:hAnsi="微软雅黑" w:eastAsia="微软雅黑" w:cs="微软雅黑"/>
                <w:i/>
                <w:iCs/>
                <w:color w:val="000000"/>
                <w:sz w:val="16"/>
                <w:szCs w:val="16"/>
                <w:u w:val="none"/>
              </w:rPr>
            </w:pPr>
          </w:p>
        </w:tc>
      </w:tr>
      <w:tr w14:paraId="1D4D6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1B0C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14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2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7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保障劳动者合法权益、构建和谐稳定的劳动关系</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33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2A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有效保障，作用明显。</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324A">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C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有效保障，作用明显。</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44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4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8B32">
            <w:pPr>
              <w:jc w:val="center"/>
              <w:rPr>
                <w:rFonts w:hint="eastAsia" w:ascii="微软雅黑" w:hAnsi="微软雅黑" w:eastAsia="微软雅黑" w:cs="微软雅黑"/>
                <w:i/>
                <w:iCs/>
                <w:color w:val="000000"/>
                <w:sz w:val="16"/>
                <w:szCs w:val="16"/>
                <w:u w:val="none"/>
              </w:rPr>
            </w:pPr>
          </w:p>
        </w:tc>
      </w:tr>
      <w:tr w14:paraId="518FF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9FCF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1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A9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7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用人单位及劳动者满意度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C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C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5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0A9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4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D0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779D">
            <w:pPr>
              <w:jc w:val="center"/>
              <w:rPr>
                <w:rFonts w:hint="eastAsia" w:ascii="微软雅黑" w:hAnsi="微软雅黑" w:eastAsia="微软雅黑" w:cs="微软雅黑"/>
                <w:i/>
                <w:iCs/>
                <w:color w:val="000000"/>
                <w:sz w:val="16"/>
                <w:szCs w:val="16"/>
                <w:u w:val="none"/>
              </w:rPr>
            </w:pPr>
          </w:p>
        </w:tc>
      </w:tr>
      <w:tr w14:paraId="01AF4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DE69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2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9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5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劳动保障监察专项经费成本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38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1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0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407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0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C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CE93">
            <w:pPr>
              <w:jc w:val="center"/>
              <w:rPr>
                <w:rFonts w:hint="eastAsia" w:ascii="微软雅黑" w:hAnsi="微软雅黑" w:eastAsia="微软雅黑" w:cs="微软雅黑"/>
                <w:i/>
                <w:iCs/>
                <w:color w:val="000000"/>
                <w:sz w:val="16"/>
                <w:szCs w:val="16"/>
                <w:u w:val="none"/>
              </w:rPr>
            </w:pPr>
          </w:p>
        </w:tc>
      </w:tr>
      <w:tr w14:paraId="3B1D1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E5A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0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0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434E">
            <w:pPr>
              <w:rPr>
                <w:rFonts w:hint="eastAsia" w:ascii="宋体" w:hAnsi="宋体" w:eastAsia="宋体" w:cs="宋体"/>
                <w:i w:val="0"/>
                <w:iCs w:val="0"/>
                <w:color w:val="000000"/>
                <w:sz w:val="18"/>
                <w:szCs w:val="18"/>
                <w:u w:val="none"/>
              </w:rPr>
            </w:pPr>
          </w:p>
        </w:tc>
      </w:tr>
      <w:tr w14:paraId="7F993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1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1A2F1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该项目自评得分为98分，宣传劳动保障法律和规章，检查用人单位遵守劳动保障法律法规情况，受理对违反劳动保障法律法规的行为的举报、投诉等检查工作。</w:t>
            </w:r>
          </w:p>
        </w:tc>
      </w:tr>
      <w:tr w14:paraId="189E1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76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AF279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C1D3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6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7D5F1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促进构件和谐劳动关系，使广大劳动者合法权益得到保障，提高人民群众的满意度，节约财政资金并提升资金效益，提升预算绩效管理水平。 </w:t>
            </w:r>
          </w:p>
        </w:tc>
      </w:tr>
      <w:tr w14:paraId="6572D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B1CC4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项目负责人：王俊勇</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13075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财务负责人：唐荣光</w:t>
            </w:r>
          </w:p>
        </w:tc>
      </w:tr>
      <w:tr w14:paraId="654EC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0FDC90F">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56EEB2B">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1ECD236">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4722A88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97E3827">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5C23A4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D6FA06C">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4C6C153">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21F581B4">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10509BF">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18B96EF">
            <w:pPr>
              <w:rPr>
                <w:rFonts w:hint="eastAsia" w:ascii="宋体" w:hAnsi="宋体" w:eastAsia="宋体" w:cs="宋体"/>
                <w:i w:val="0"/>
                <w:iCs w:val="0"/>
                <w:color w:val="000000"/>
                <w:sz w:val="18"/>
                <w:szCs w:val="18"/>
                <w:u w:val="none"/>
              </w:rPr>
            </w:pPr>
          </w:p>
        </w:tc>
      </w:tr>
      <w:tr w14:paraId="6FC16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010497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DED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9D1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61DB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51322623T000009890009-金川县人力资源市场建设项目</w:t>
            </w:r>
          </w:p>
        </w:tc>
      </w:tr>
      <w:tr w14:paraId="6D0F9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3BA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D0D1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金川县人力资源和社会保障局本级</w:t>
            </w:r>
          </w:p>
        </w:tc>
        <w:tc>
          <w:tcPr>
            <w:tcW w:w="1091" w:type="dxa"/>
            <w:tcBorders>
              <w:top w:val="nil"/>
              <w:left w:val="nil"/>
              <w:bottom w:val="nil"/>
              <w:right w:val="nil"/>
            </w:tcBorders>
            <w:shd w:val="clear" w:color="auto" w:fill="auto"/>
            <w:vAlign w:val="center"/>
          </w:tcPr>
          <w:p w14:paraId="0652B7E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4B0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金川县人力资源和社会保障局</w:t>
            </w:r>
          </w:p>
        </w:tc>
      </w:tr>
      <w:tr w14:paraId="5E812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B93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1AA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C20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D8F14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0890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561EB">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8930C">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EB13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市场建设项目1000平方米，项目的实施能强化县域内的劳务工和从业技能培训；完善返乡创业人才及群体的指导及交流，进一步加强区域内的人力资源合理利用，促进区域就业发展，从而保障社会稳定，也能优化区域的营商环境，利于招商引资。</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7F204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因年末下达就创资金（含人力资源市场建设费用），但项目还需公示一个月，所以未能及时支出。</w:t>
            </w:r>
          </w:p>
        </w:tc>
      </w:tr>
      <w:tr w14:paraId="0C920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45B37">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D1B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4020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5"/>
                <w:lang w:val="en-US" w:eastAsia="zh-CN" w:bidi="ar"/>
              </w:rPr>
              <w:t>关于预下达2024年中央和省级财政就业创业补助资金的通知（金财社</w:t>
            </w:r>
            <w:r>
              <w:rPr>
                <w:rStyle w:val="36"/>
                <w:lang w:val="en-US" w:eastAsia="zh-CN" w:bidi="ar"/>
              </w:rPr>
              <w:t>﹝</w:t>
            </w:r>
            <w:r>
              <w:rPr>
                <w:rStyle w:val="35"/>
                <w:lang w:val="en-US" w:eastAsia="zh-CN" w:bidi="ar"/>
              </w:rPr>
              <w:t>2024</w:t>
            </w:r>
            <w:r>
              <w:rPr>
                <w:rStyle w:val="36"/>
                <w:lang w:val="en-US" w:eastAsia="zh-CN" w:bidi="ar"/>
              </w:rPr>
              <w:t>﹞</w:t>
            </w:r>
            <w:r>
              <w:rPr>
                <w:rStyle w:val="35"/>
                <w:lang w:val="en-US" w:eastAsia="zh-CN" w:bidi="ar"/>
              </w:rPr>
              <w:t>58号），下达中央资金25万，用于金川县人力资源市场建设项目。</w:t>
            </w:r>
          </w:p>
        </w:tc>
      </w:tr>
      <w:tr w14:paraId="15D46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EE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E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9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F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7D2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0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E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9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4D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39F0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202C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B6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C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0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378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FE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A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3E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6449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因年末下达就创资金，但项目还需公示一个月，所以未能及时支出。</w:t>
            </w:r>
          </w:p>
        </w:tc>
      </w:tr>
      <w:tr w14:paraId="23A44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AB7D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E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CF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A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3881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5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C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2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66897">
            <w:pPr>
              <w:rPr>
                <w:rFonts w:hint="eastAsia" w:ascii="黑体" w:hAnsi="黑体" w:eastAsia="黑体" w:cs="黑体"/>
                <w:i/>
                <w:iCs/>
                <w:color w:val="000000"/>
                <w:sz w:val="18"/>
                <w:szCs w:val="18"/>
                <w:u w:val="none"/>
              </w:rPr>
            </w:pPr>
          </w:p>
        </w:tc>
      </w:tr>
      <w:tr w14:paraId="40F27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A2AB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D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7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1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0A3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D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8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3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5AC8F">
            <w:pPr>
              <w:rPr>
                <w:rFonts w:hint="eastAsia" w:ascii="黑体" w:hAnsi="黑体" w:eastAsia="黑体" w:cs="黑体"/>
                <w:i/>
                <w:iCs/>
                <w:color w:val="000000"/>
                <w:sz w:val="18"/>
                <w:szCs w:val="18"/>
                <w:u w:val="none"/>
              </w:rPr>
            </w:pPr>
          </w:p>
        </w:tc>
      </w:tr>
      <w:tr w14:paraId="1345B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37FE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3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5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1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DEC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28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B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C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64BE7">
            <w:pPr>
              <w:rPr>
                <w:rFonts w:hint="eastAsia" w:ascii="黑体" w:hAnsi="黑体" w:eastAsia="黑体" w:cs="黑体"/>
                <w:i/>
                <w:iCs/>
                <w:color w:val="000000"/>
                <w:sz w:val="18"/>
                <w:szCs w:val="18"/>
                <w:u w:val="none"/>
              </w:rPr>
            </w:pPr>
          </w:p>
        </w:tc>
      </w:tr>
      <w:tr w14:paraId="5F4CB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660E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C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D638">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924D">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24694">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5A0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7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0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36576">
            <w:pPr>
              <w:rPr>
                <w:rFonts w:hint="eastAsia" w:ascii="黑体" w:hAnsi="黑体" w:eastAsia="黑体" w:cs="黑体"/>
                <w:i/>
                <w:iCs/>
                <w:color w:val="000000"/>
                <w:sz w:val="18"/>
                <w:szCs w:val="18"/>
                <w:u w:val="none"/>
              </w:rPr>
            </w:pPr>
          </w:p>
        </w:tc>
      </w:tr>
      <w:tr w14:paraId="41E2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F7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4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C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4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1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F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5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1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E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B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3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1C19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A3510">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69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A8C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5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新建人力资源市场</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9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8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3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E5C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3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2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099ED">
            <w:pPr>
              <w:jc w:val="center"/>
              <w:rPr>
                <w:rFonts w:hint="eastAsia" w:ascii="微软雅黑" w:hAnsi="微软雅黑" w:eastAsia="微软雅黑" w:cs="微软雅黑"/>
                <w:i/>
                <w:iCs/>
                <w:color w:val="000000"/>
                <w:sz w:val="16"/>
                <w:szCs w:val="16"/>
                <w:u w:val="none"/>
              </w:rPr>
            </w:pPr>
          </w:p>
        </w:tc>
      </w:tr>
      <w:tr w14:paraId="633EE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A57B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E8CBB">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4DEAD">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B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绿地设施</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4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71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9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DDF4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1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F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108B">
            <w:pPr>
              <w:jc w:val="center"/>
              <w:rPr>
                <w:rFonts w:hint="eastAsia" w:ascii="微软雅黑" w:hAnsi="微软雅黑" w:eastAsia="微软雅黑" w:cs="微软雅黑"/>
                <w:i/>
                <w:iCs/>
                <w:color w:val="000000"/>
                <w:sz w:val="16"/>
                <w:szCs w:val="16"/>
                <w:u w:val="none"/>
              </w:rPr>
            </w:pPr>
          </w:p>
        </w:tc>
      </w:tr>
      <w:tr w14:paraId="5506C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E0985">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5DF70">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B80FF">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F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配套 室外道路及硬化</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C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8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1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0A1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9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A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A434">
            <w:pPr>
              <w:jc w:val="center"/>
              <w:rPr>
                <w:rFonts w:hint="eastAsia" w:ascii="微软雅黑" w:hAnsi="微软雅黑" w:eastAsia="微软雅黑" w:cs="微软雅黑"/>
                <w:i/>
                <w:iCs/>
                <w:color w:val="000000"/>
                <w:sz w:val="16"/>
                <w:szCs w:val="16"/>
                <w:u w:val="none"/>
              </w:rPr>
            </w:pPr>
          </w:p>
        </w:tc>
      </w:tr>
      <w:tr w14:paraId="14DF2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9AA0E">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DF55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85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3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项目建设验收合格率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6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B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3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737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6D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3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7AE9">
            <w:pPr>
              <w:jc w:val="center"/>
              <w:rPr>
                <w:rFonts w:hint="eastAsia" w:ascii="微软雅黑" w:hAnsi="微软雅黑" w:eastAsia="微软雅黑" w:cs="微软雅黑"/>
                <w:i/>
                <w:iCs/>
                <w:color w:val="000000"/>
                <w:sz w:val="16"/>
                <w:szCs w:val="16"/>
                <w:u w:val="none"/>
              </w:rPr>
            </w:pPr>
          </w:p>
        </w:tc>
      </w:tr>
      <w:tr w14:paraId="3E9ED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5918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029D0">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6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4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按合同约定时间完成率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C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1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F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080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D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4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C3A9">
            <w:pPr>
              <w:jc w:val="center"/>
              <w:rPr>
                <w:rFonts w:hint="eastAsia" w:ascii="微软雅黑" w:hAnsi="微软雅黑" w:eastAsia="微软雅黑" w:cs="微软雅黑"/>
                <w:i/>
                <w:iCs/>
                <w:color w:val="000000"/>
                <w:sz w:val="16"/>
                <w:szCs w:val="16"/>
                <w:u w:val="none"/>
              </w:rPr>
            </w:pPr>
          </w:p>
        </w:tc>
      </w:tr>
      <w:tr w14:paraId="135F6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5657C">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844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4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C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促进区域就业发展</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79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3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好中差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C5F6">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FAC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好</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7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D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AD45">
            <w:pPr>
              <w:jc w:val="center"/>
              <w:rPr>
                <w:rFonts w:hint="eastAsia" w:ascii="微软雅黑" w:hAnsi="微软雅黑" w:eastAsia="微软雅黑" w:cs="微软雅黑"/>
                <w:i/>
                <w:iCs/>
                <w:color w:val="000000"/>
                <w:sz w:val="16"/>
                <w:szCs w:val="16"/>
                <w:u w:val="none"/>
              </w:rPr>
            </w:pPr>
          </w:p>
        </w:tc>
      </w:tr>
      <w:tr w14:paraId="039AD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38C9A">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49DA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B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7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2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1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33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494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A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1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C584">
            <w:pPr>
              <w:jc w:val="center"/>
              <w:rPr>
                <w:rFonts w:hint="eastAsia" w:ascii="微软雅黑" w:hAnsi="微软雅黑" w:eastAsia="微软雅黑" w:cs="微软雅黑"/>
                <w:i/>
                <w:iCs/>
                <w:color w:val="000000"/>
                <w:sz w:val="16"/>
                <w:szCs w:val="16"/>
                <w:u w:val="none"/>
              </w:rPr>
            </w:pPr>
          </w:p>
        </w:tc>
      </w:tr>
      <w:tr w14:paraId="5FC6B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9040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D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B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D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农牧民就业创业满意度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2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8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F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7A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87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0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D3C9">
            <w:pPr>
              <w:jc w:val="center"/>
              <w:rPr>
                <w:rFonts w:hint="eastAsia" w:ascii="微软雅黑" w:hAnsi="微软雅黑" w:eastAsia="微软雅黑" w:cs="微软雅黑"/>
                <w:i/>
                <w:iCs/>
                <w:color w:val="000000"/>
                <w:sz w:val="16"/>
                <w:szCs w:val="16"/>
                <w:u w:val="none"/>
              </w:rPr>
            </w:pPr>
          </w:p>
        </w:tc>
      </w:tr>
      <w:tr w14:paraId="0E34C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3EBE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83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C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D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项目成本控制</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7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8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3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817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B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1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683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因年末下达就创资金，但项目还需公示一个月，所以未能及时支出。</w:t>
            </w:r>
          </w:p>
        </w:tc>
      </w:tr>
      <w:tr w14:paraId="56930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97F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4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F1E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D42C">
            <w:pPr>
              <w:rPr>
                <w:rFonts w:hint="eastAsia" w:ascii="宋体" w:hAnsi="宋体" w:eastAsia="宋体" w:cs="宋体"/>
                <w:i w:val="0"/>
                <w:iCs w:val="0"/>
                <w:color w:val="000000"/>
                <w:sz w:val="18"/>
                <w:szCs w:val="18"/>
                <w:u w:val="none"/>
              </w:rPr>
            </w:pPr>
          </w:p>
        </w:tc>
      </w:tr>
      <w:tr w14:paraId="2B40B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E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7244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该项目自评得分为86分，2024年未完成该项目。</w:t>
            </w:r>
          </w:p>
        </w:tc>
      </w:tr>
      <w:tr w14:paraId="0C824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D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939F4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因年末下达就创资金，但项目还需公示一个月，所以未能及时支出。</w:t>
            </w:r>
          </w:p>
        </w:tc>
      </w:tr>
      <w:tr w14:paraId="12C0E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6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E488B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D643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D4DA7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项目负责人：王俊勇</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A58BB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财务负责人：唐荣光</w:t>
            </w:r>
          </w:p>
        </w:tc>
      </w:tr>
      <w:tr w14:paraId="2EA25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612B11E2">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008D43DA">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C3DC790">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3CC0AB94">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9CB3210">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7E31119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1E59078">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107E71DD">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65F153B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E525398">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5950C990">
            <w:pPr>
              <w:rPr>
                <w:rFonts w:hint="eastAsia" w:ascii="宋体" w:hAnsi="宋体" w:eastAsia="宋体" w:cs="宋体"/>
                <w:i w:val="0"/>
                <w:iCs w:val="0"/>
                <w:color w:val="000000"/>
                <w:sz w:val="18"/>
                <w:szCs w:val="18"/>
                <w:u w:val="none"/>
              </w:rPr>
            </w:pPr>
          </w:p>
        </w:tc>
      </w:tr>
      <w:tr w14:paraId="193C2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455A0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A44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5CB2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E0FE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51322624T000011795961-高校毕业生“三支一扶”中央省级财政补助资金2024</w:t>
            </w:r>
          </w:p>
        </w:tc>
      </w:tr>
      <w:tr w14:paraId="0DC9B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C764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868F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金川县人力资源和社会保障局本级</w:t>
            </w:r>
          </w:p>
        </w:tc>
        <w:tc>
          <w:tcPr>
            <w:tcW w:w="1091" w:type="dxa"/>
            <w:tcBorders>
              <w:top w:val="nil"/>
              <w:left w:val="nil"/>
              <w:bottom w:val="nil"/>
              <w:right w:val="nil"/>
            </w:tcBorders>
            <w:shd w:val="clear" w:color="auto" w:fill="auto"/>
            <w:vAlign w:val="center"/>
          </w:tcPr>
          <w:p w14:paraId="2EEBE8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E47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金川县人力资源和社会保障局</w:t>
            </w:r>
          </w:p>
        </w:tc>
      </w:tr>
      <w:tr w14:paraId="4E196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715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ED9B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4CC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36475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1508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8F44A">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7AEC6">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3035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5"/>
                <w:lang w:val="en-US" w:eastAsia="zh-CN" w:bidi="ar"/>
              </w:rPr>
              <w:t>"补贴“三支一扶”人员工作生活补贴、办理社保、体检培训等方面的支出；为我县基层农业、卫生和乡村振兴等社会事业的发展提供人才支撑，营造鼓励高校毕业生到基层工作的良好氛围。</w:t>
            </w:r>
            <w:r>
              <w:rPr>
                <w:rStyle w:val="35"/>
                <w:lang w:val="en-US" w:eastAsia="zh-CN" w:bidi="ar"/>
              </w:rPr>
              <w:br w:type="textWrapping"/>
            </w:r>
            <w:r>
              <w:rPr>
                <w:rStyle w:val="37"/>
                <w:rFonts w:eastAsia="宋体"/>
                <w:lang w:val="en-US" w:eastAsia="zh-CN" w:bidi="ar"/>
              </w:rPr>
              <w:t xml:space="preserve">       </w:t>
            </w:r>
            <w:r>
              <w:rPr>
                <w:rStyle w:val="35"/>
                <w:lang w:val="en-US" w:eastAsia="zh-CN" w:bidi="ar"/>
              </w:rPr>
              <w:br w:type="textWrapping"/>
            </w:r>
            <w:r>
              <w:rPr>
                <w:rStyle w:val="37"/>
                <w:rFonts w:eastAsia="宋体"/>
                <w:lang w:val="en-US" w:eastAsia="zh-CN" w:bidi="ar"/>
              </w:rPr>
              <w:t xml:space="preserve">       </w:t>
            </w:r>
            <w:r>
              <w:rPr>
                <w:rStyle w:val="35"/>
                <w:lang w:val="en-US" w:eastAsia="zh-CN" w:bidi="ar"/>
              </w:rPr>
              <w:br w:type="textWrapping"/>
            </w:r>
            <w:r>
              <w:rPr>
                <w:rStyle w:val="37"/>
                <w:rFonts w:eastAsia="宋体"/>
                <w:lang w:val="en-US" w:eastAsia="zh-CN" w:bidi="ar"/>
              </w:rPr>
              <w:t xml:space="preserve">       </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797D2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三支一扶中央省级财政补助转移支付资金57.72万元。</w:t>
            </w:r>
          </w:p>
        </w:tc>
      </w:tr>
      <w:tr w14:paraId="1E9C9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55EB">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BA5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5CCAF8">
            <w:pPr>
              <w:rPr>
                <w:rFonts w:hint="eastAsia" w:ascii="宋体" w:hAnsi="宋体" w:eastAsia="宋体" w:cs="宋体"/>
                <w:i w:val="0"/>
                <w:iCs w:val="0"/>
                <w:color w:val="000000"/>
                <w:sz w:val="18"/>
                <w:szCs w:val="18"/>
                <w:u w:val="none"/>
              </w:rPr>
            </w:pPr>
          </w:p>
        </w:tc>
      </w:tr>
      <w:tr w14:paraId="76F12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85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B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9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51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8F8A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2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1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C7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2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03F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995E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0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C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0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57.72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421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57.72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09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85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C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F1C0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ED76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3000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8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8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4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57.72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042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57.72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1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8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F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598C2">
            <w:pPr>
              <w:rPr>
                <w:rFonts w:hint="eastAsia" w:ascii="黑体" w:hAnsi="黑体" w:eastAsia="黑体" w:cs="黑体"/>
                <w:i/>
                <w:iCs/>
                <w:color w:val="000000"/>
                <w:sz w:val="18"/>
                <w:szCs w:val="18"/>
                <w:u w:val="none"/>
              </w:rPr>
            </w:pPr>
          </w:p>
        </w:tc>
      </w:tr>
      <w:tr w14:paraId="52BE1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80B7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2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1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E4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8F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9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F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D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FDFA4">
            <w:pPr>
              <w:rPr>
                <w:rFonts w:hint="eastAsia" w:ascii="黑体" w:hAnsi="黑体" w:eastAsia="黑体" w:cs="黑体"/>
                <w:i/>
                <w:iCs/>
                <w:color w:val="000000"/>
                <w:sz w:val="18"/>
                <w:szCs w:val="18"/>
                <w:u w:val="none"/>
              </w:rPr>
            </w:pPr>
          </w:p>
        </w:tc>
      </w:tr>
      <w:tr w14:paraId="6FB64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E7D9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A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3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9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180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2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C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4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7FC7A">
            <w:pPr>
              <w:rPr>
                <w:rFonts w:hint="eastAsia" w:ascii="黑体" w:hAnsi="黑体" w:eastAsia="黑体" w:cs="黑体"/>
                <w:i/>
                <w:iCs/>
                <w:color w:val="000000"/>
                <w:sz w:val="18"/>
                <w:szCs w:val="18"/>
                <w:u w:val="none"/>
              </w:rPr>
            </w:pPr>
          </w:p>
        </w:tc>
      </w:tr>
      <w:tr w14:paraId="3845D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5E9A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7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5CCF">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152A">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FD23D9">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103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0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1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2FE8B">
            <w:pPr>
              <w:rPr>
                <w:rFonts w:hint="eastAsia" w:ascii="黑体" w:hAnsi="黑体" w:eastAsia="黑体" w:cs="黑体"/>
                <w:i/>
                <w:iCs/>
                <w:color w:val="000000"/>
                <w:sz w:val="18"/>
                <w:szCs w:val="18"/>
                <w:u w:val="none"/>
              </w:rPr>
            </w:pPr>
          </w:p>
        </w:tc>
      </w:tr>
      <w:tr w14:paraId="0CC01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AE0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C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82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E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B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9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0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6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9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E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6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3752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4451C">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0F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93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8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当年度服务期满“三支一扶”人员就业率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1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9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E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8B0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B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C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B57C">
            <w:pPr>
              <w:jc w:val="center"/>
              <w:rPr>
                <w:rFonts w:hint="eastAsia" w:ascii="微软雅黑" w:hAnsi="微软雅黑" w:eastAsia="微软雅黑" w:cs="微软雅黑"/>
                <w:i/>
                <w:iCs/>
                <w:color w:val="000000"/>
                <w:sz w:val="16"/>
                <w:szCs w:val="16"/>
                <w:u w:val="none"/>
              </w:rPr>
            </w:pPr>
          </w:p>
        </w:tc>
      </w:tr>
      <w:tr w14:paraId="13DF1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8A1F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99184">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245BC">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0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”三支一扶“在岗服务人数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8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1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7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2494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7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10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9218">
            <w:pPr>
              <w:jc w:val="center"/>
              <w:rPr>
                <w:rFonts w:hint="eastAsia" w:ascii="微软雅黑" w:hAnsi="微软雅黑" w:eastAsia="微软雅黑" w:cs="微软雅黑"/>
                <w:i/>
                <w:iCs/>
                <w:color w:val="000000"/>
                <w:sz w:val="16"/>
                <w:szCs w:val="16"/>
                <w:u w:val="none"/>
              </w:rPr>
            </w:pPr>
          </w:p>
        </w:tc>
      </w:tr>
      <w:tr w14:paraId="66951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12C5E">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3435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2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C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工作生活补贴资金发放准确率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A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6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E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531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2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0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AA5C">
            <w:pPr>
              <w:jc w:val="center"/>
              <w:rPr>
                <w:rFonts w:hint="eastAsia" w:ascii="微软雅黑" w:hAnsi="微软雅黑" w:eastAsia="微软雅黑" w:cs="微软雅黑"/>
                <w:i/>
                <w:iCs/>
                <w:color w:val="000000"/>
                <w:sz w:val="16"/>
                <w:szCs w:val="16"/>
                <w:u w:val="none"/>
              </w:rPr>
            </w:pPr>
          </w:p>
        </w:tc>
      </w:tr>
      <w:tr w14:paraId="7AD19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08AD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3A0D8">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C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B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工作生活补贴资金在规定时间内支付到位率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4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2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31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799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F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9F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8789">
            <w:pPr>
              <w:jc w:val="center"/>
              <w:rPr>
                <w:rFonts w:hint="eastAsia" w:ascii="微软雅黑" w:hAnsi="微软雅黑" w:eastAsia="微软雅黑" w:cs="微软雅黑"/>
                <w:i/>
                <w:iCs/>
                <w:color w:val="000000"/>
                <w:sz w:val="16"/>
                <w:szCs w:val="16"/>
                <w:u w:val="none"/>
              </w:rPr>
            </w:pPr>
          </w:p>
        </w:tc>
      </w:tr>
      <w:tr w14:paraId="44F9D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DC39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2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9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C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引导高校毕业生到基层就业，为基层经济事业发展提供人才支撑</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74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4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58D7">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EF7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优</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AA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0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F2A4">
            <w:pPr>
              <w:jc w:val="center"/>
              <w:rPr>
                <w:rFonts w:hint="eastAsia" w:ascii="微软雅黑" w:hAnsi="微软雅黑" w:eastAsia="微软雅黑" w:cs="微软雅黑"/>
                <w:i/>
                <w:iCs/>
                <w:color w:val="000000"/>
                <w:sz w:val="16"/>
                <w:szCs w:val="16"/>
                <w:u w:val="none"/>
              </w:rPr>
            </w:pPr>
          </w:p>
        </w:tc>
      </w:tr>
      <w:tr w14:paraId="748AE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CF451">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F43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81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2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从事“三支一扶”服务人员满意度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6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DC3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0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A4B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A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3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95E1">
            <w:pPr>
              <w:jc w:val="center"/>
              <w:rPr>
                <w:rFonts w:hint="eastAsia" w:ascii="微软雅黑" w:hAnsi="微软雅黑" w:eastAsia="微软雅黑" w:cs="微软雅黑"/>
                <w:i/>
                <w:iCs/>
                <w:color w:val="000000"/>
                <w:sz w:val="16"/>
                <w:szCs w:val="16"/>
                <w:u w:val="none"/>
              </w:rPr>
            </w:pPr>
          </w:p>
        </w:tc>
      </w:tr>
      <w:tr w14:paraId="6E9C7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ACB76">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0DCD5">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91EE2">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F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用人单位满意度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B3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7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7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714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6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E5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DC9A">
            <w:pPr>
              <w:jc w:val="center"/>
              <w:rPr>
                <w:rFonts w:hint="eastAsia" w:ascii="微软雅黑" w:hAnsi="微软雅黑" w:eastAsia="微软雅黑" w:cs="微软雅黑"/>
                <w:i/>
                <w:iCs/>
                <w:color w:val="000000"/>
                <w:sz w:val="16"/>
                <w:szCs w:val="16"/>
                <w:u w:val="none"/>
              </w:rPr>
            </w:pPr>
          </w:p>
        </w:tc>
      </w:tr>
      <w:tr w14:paraId="04903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14F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F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4BB1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5B16">
            <w:pPr>
              <w:rPr>
                <w:rFonts w:hint="eastAsia" w:ascii="宋体" w:hAnsi="宋体" w:eastAsia="宋体" w:cs="宋体"/>
                <w:i w:val="0"/>
                <w:iCs w:val="0"/>
                <w:color w:val="000000"/>
                <w:sz w:val="18"/>
                <w:szCs w:val="18"/>
                <w:u w:val="none"/>
              </w:rPr>
            </w:pPr>
          </w:p>
        </w:tc>
      </w:tr>
      <w:tr w14:paraId="0A528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F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5C358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该项目自评得分为98分，2023年我县按时发放三支一扶人员工作生活补贴、办理社保、体检培训等方面的支出，为我县农业、卫生和乡村振兴等社会事业发展提供人才支撑。</w:t>
            </w:r>
          </w:p>
        </w:tc>
      </w:tr>
      <w:tr w14:paraId="0CEB3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8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83940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E671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A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1F86B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684F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59FEE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项目负责人：王俊勇</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CB3DE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财务负责人：唐荣光</w:t>
            </w:r>
          </w:p>
        </w:tc>
      </w:tr>
      <w:tr w14:paraId="71F06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1CD2308">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C942637">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A1ED4BA">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110D434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7ADF0889">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21DD46F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EDEDFBF">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EFFDD1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60CB0BB6">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0157525">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25C92FB">
            <w:pPr>
              <w:rPr>
                <w:rFonts w:hint="eastAsia" w:ascii="宋体" w:hAnsi="宋体" w:eastAsia="宋体" w:cs="宋体"/>
                <w:i w:val="0"/>
                <w:iCs w:val="0"/>
                <w:color w:val="000000"/>
                <w:sz w:val="18"/>
                <w:szCs w:val="18"/>
                <w:u w:val="none"/>
              </w:rPr>
            </w:pPr>
          </w:p>
        </w:tc>
      </w:tr>
      <w:tr w14:paraId="363D6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0F07FE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EB4A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A98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A30C7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51322625T000013021365-人力资源市场建设项目</w:t>
            </w:r>
          </w:p>
        </w:tc>
      </w:tr>
      <w:tr w14:paraId="094D2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977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DF54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金川县人力资源和社会保障局本级</w:t>
            </w:r>
          </w:p>
        </w:tc>
        <w:tc>
          <w:tcPr>
            <w:tcW w:w="1091" w:type="dxa"/>
            <w:tcBorders>
              <w:top w:val="nil"/>
              <w:left w:val="nil"/>
              <w:bottom w:val="nil"/>
              <w:right w:val="nil"/>
            </w:tcBorders>
            <w:shd w:val="clear" w:color="auto" w:fill="auto"/>
            <w:vAlign w:val="center"/>
          </w:tcPr>
          <w:p w14:paraId="728BB1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9F3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金川县人力资源和社会保障局</w:t>
            </w:r>
          </w:p>
        </w:tc>
      </w:tr>
      <w:tr w14:paraId="08BE6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3DB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9C5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6F5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E8B29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ED7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07688">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B1F05">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B8DC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力资源市场建设项目1000平方米，项目的实施能强化县域内的劳务工和从业技能培训；完善返乡创业人才及群体的指导及交流，进一步加强区域内的人力资源合理利用，促进区域就业发展，从而保障社会稳定，也能优化区域的营商环境，利于招商引资。</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877D6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因年末下达就创资金（含人力资源市场建设费用），但项目还需公示一个月，所以未能及时支出。</w:t>
            </w:r>
          </w:p>
        </w:tc>
      </w:tr>
      <w:tr w14:paraId="5994F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0AE3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1C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4359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5"/>
                <w:lang w:val="en-US" w:eastAsia="zh-CN" w:bidi="ar"/>
              </w:rPr>
              <w:t>关于预下达2024年中央和省级财政就业创业补助资金的通知（金财社</w:t>
            </w:r>
            <w:r>
              <w:rPr>
                <w:rStyle w:val="36"/>
                <w:lang w:val="en-US" w:eastAsia="zh-CN" w:bidi="ar"/>
              </w:rPr>
              <w:t>﹝</w:t>
            </w:r>
            <w:r>
              <w:rPr>
                <w:rStyle w:val="35"/>
                <w:lang w:val="en-US" w:eastAsia="zh-CN" w:bidi="ar"/>
              </w:rPr>
              <w:t>2024</w:t>
            </w:r>
            <w:r>
              <w:rPr>
                <w:rStyle w:val="36"/>
                <w:lang w:val="en-US" w:eastAsia="zh-CN" w:bidi="ar"/>
              </w:rPr>
              <w:t>﹞</w:t>
            </w:r>
            <w:r>
              <w:rPr>
                <w:rStyle w:val="35"/>
                <w:lang w:val="en-US" w:eastAsia="zh-CN" w:bidi="ar"/>
              </w:rPr>
              <w:t>58号），下达中央资金25万，用于金川县人力资源市场建设项目。</w:t>
            </w:r>
          </w:p>
        </w:tc>
      </w:tr>
      <w:tr w14:paraId="24FDB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41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07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1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5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640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F5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D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B3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CA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1767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7BFD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9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5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4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EB8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4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F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9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3651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2233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3FB9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B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8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B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36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7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4F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8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53CEB">
            <w:pPr>
              <w:rPr>
                <w:rFonts w:hint="eastAsia" w:ascii="黑体" w:hAnsi="黑体" w:eastAsia="黑体" w:cs="黑体"/>
                <w:i/>
                <w:iCs/>
                <w:color w:val="000000"/>
                <w:sz w:val="18"/>
                <w:szCs w:val="18"/>
                <w:u w:val="none"/>
              </w:rPr>
            </w:pPr>
          </w:p>
        </w:tc>
      </w:tr>
      <w:tr w14:paraId="79FAA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F67D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4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1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8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FE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0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D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1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24EB1">
            <w:pPr>
              <w:rPr>
                <w:rFonts w:hint="eastAsia" w:ascii="黑体" w:hAnsi="黑体" w:eastAsia="黑体" w:cs="黑体"/>
                <w:i/>
                <w:iCs/>
                <w:color w:val="000000"/>
                <w:sz w:val="18"/>
                <w:szCs w:val="18"/>
                <w:u w:val="none"/>
              </w:rPr>
            </w:pPr>
          </w:p>
        </w:tc>
      </w:tr>
      <w:tr w14:paraId="38923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1122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8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0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7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BFE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C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79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0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8D46A">
            <w:pPr>
              <w:rPr>
                <w:rFonts w:hint="eastAsia" w:ascii="黑体" w:hAnsi="黑体" w:eastAsia="黑体" w:cs="黑体"/>
                <w:i/>
                <w:iCs/>
                <w:color w:val="000000"/>
                <w:sz w:val="18"/>
                <w:szCs w:val="18"/>
                <w:u w:val="none"/>
              </w:rPr>
            </w:pPr>
          </w:p>
        </w:tc>
      </w:tr>
      <w:tr w14:paraId="0C706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F21B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4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7E70">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F2D7">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DA7CB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669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9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B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CB395">
            <w:pPr>
              <w:rPr>
                <w:rFonts w:hint="eastAsia" w:ascii="黑体" w:hAnsi="黑体" w:eastAsia="黑体" w:cs="黑体"/>
                <w:i/>
                <w:iCs/>
                <w:color w:val="000000"/>
                <w:sz w:val="18"/>
                <w:szCs w:val="18"/>
                <w:u w:val="none"/>
              </w:rPr>
            </w:pPr>
          </w:p>
        </w:tc>
      </w:tr>
      <w:tr w14:paraId="281CF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1D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E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66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85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7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8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2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B9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D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25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2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A12D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2499A">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5B7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313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A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新建人力资源市场</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B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B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B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DC4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7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1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17D3">
            <w:pPr>
              <w:jc w:val="center"/>
              <w:rPr>
                <w:rFonts w:hint="eastAsia" w:ascii="微软雅黑" w:hAnsi="微软雅黑" w:eastAsia="微软雅黑" w:cs="微软雅黑"/>
                <w:i/>
                <w:iCs/>
                <w:color w:val="000000"/>
                <w:sz w:val="16"/>
                <w:szCs w:val="16"/>
                <w:u w:val="none"/>
              </w:rPr>
            </w:pPr>
          </w:p>
        </w:tc>
      </w:tr>
      <w:tr w14:paraId="498DC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EE305">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AD102">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D3C9A">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C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绿地设施</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3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1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4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53D5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3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9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E734">
            <w:pPr>
              <w:jc w:val="center"/>
              <w:rPr>
                <w:rFonts w:hint="eastAsia" w:ascii="微软雅黑" w:hAnsi="微软雅黑" w:eastAsia="微软雅黑" w:cs="微软雅黑"/>
                <w:i/>
                <w:iCs/>
                <w:color w:val="000000"/>
                <w:sz w:val="16"/>
                <w:szCs w:val="16"/>
                <w:u w:val="none"/>
              </w:rPr>
            </w:pPr>
          </w:p>
        </w:tc>
      </w:tr>
      <w:tr w14:paraId="771C1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6DC9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4F5B7">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AFF2A">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5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配套 室外道路及硬化</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67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1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7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660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1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A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B74D">
            <w:pPr>
              <w:jc w:val="center"/>
              <w:rPr>
                <w:rFonts w:hint="eastAsia" w:ascii="微软雅黑" w:hAnsi="微软雅黑" w:eastAsia="微软雅黑" w:cs="微软雅黑"/>
                <w:i/>
                <w:iCs/>
                <w:color w:val="000000"/>
                <w:sz w:val="16"/>
                <w:szCs w:val="16"/>
                <w:u w:val="none"/>
              </w:rPr>
            </w:pPr>
          </w:p>
        </w:tc>
      </w:tr>
      <w:tr w14:paraId="6B33A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5B81F">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1663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1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F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项目建设验收合格率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4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5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0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8C1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35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4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E95B">
            <w:pPr>
              <w:jc w:val="center"/>
              <w:rPr>
                <w:rFonts w:hint="eastAsia" w:ascii="微软雅黑" w:hAnsi="微软雅黑" w:eastAsia="微软雅黑" w:cs="微软雅黑"/>
                <w:i/>
                <w:iCs/>
                <w:color w:val="000000"/>
                <w:sz w:val="16"/>
                <w:szCs w:val="16"/>
                <w:u w:val="none"/>
              </w:rPr>
            </w:pPr>
          </w:p>
        </w:tc>
      </w:tr>
      <w:tr w14:paraId="2A5AC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E0EC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5D4B2">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3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5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按合同约定时间完成率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8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3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F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0AA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E5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7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4DA6">
            <w:pPr>
              <w:jc w:val="center"/>
              <w:rPr>
                <w:rFonts w:hint="eastAsia" w:ascii="微软雅黑" w:hAnsi="微软雅黑" w:eastAsia="微软雅黑" w:cs="微软雅黑"/>
                <w:i/>
                <w:iCs/>
                <w:color w:val="000000"/>
                <w:sz w:val="16"/>
                <w:szCs w:val="16"/>
                <w:u w:val="none"/>
              </w:rPr>
            </w:pPr>
          </w:p>
        </w:tc>
      </w:tr>
      <w:tr w14:paraId="3AE96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4C6B3">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48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C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1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促进区域就业发展</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7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42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好中差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1708">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BFA2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好</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1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FE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DEE4">
            <w:pPr>
              <w:jc w:val="center"/>
              <w:rPr>
                <w:rFonts w:hint="eastAsia" w:ascii="微软雅黑" w:hAnsi="微软雅黑" w:eastAsia="微软雅黑" w:cs="微软雅黑"/>
                <w:i/>
                <w:iCs/>
                <w:color w:val="000000"/>
                <w:sz w:val="16"/>
                <w:szCs w:val="16"/>
                <w:u w:val="none"/>
              </w:rPr>
            </w:pPr>
          </w:p>
        </w:tc>
      </w:tr>
      <w:tr w14:paraId="3FEA9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EC9F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A1D1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2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83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7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0A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A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1785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D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8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5239">
            <w:pPr>
              <w:jc w:val="center"/>
              <w:rPr>
                <w:rFonts w:hint="eastAsia" w:ascii="微软雅黑" w:hAnsi="微软雅黑" w:eastAsia="微软雅黑" w:cs="微软雅黑"/>
                <w:i/>
                <w:iCs/>
                <w:color w:val="000000"/>
                <w:sz w:val="16"/>
                <w:szCs w:val="16"/>
                <w:u w:val="none"/>
              </w:rPr>
            </w:pPr>
          </w:p>
        </w:tc>
      </w:tr>
      <w:tr w14:paraId="0B607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2518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BD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A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97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农牧民就业创业满意度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F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3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F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907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4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C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B379">
            <w:pPr>
              <w:jc w:val="center"/>
              <w:rPr>
                <w:rFonts w:hint="eastAsia" w:ascii="微软雅黑" w:hAnsi="微软雅黑" w:eastAsia="微软雅黑" w:cs="微软雅黑"/>
                <w:i/>
                <w:iCs/>
                <w:color w:val="000000"/>
                <w:sz w:val="16"/>
                <w:szCs w:val="16"/>
                <w:u w:val="none"/>
              </w:rPr>
            </w:pPr>
          </w:p>
        </w:tc>
      </w:tr>
      <w:tr w14:paraId="4DD41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984D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1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2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E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项目成本控制</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C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C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F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8E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C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B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E9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因年末下达就创资金，但项目还需公示一个月，所以未能及时支出。</w:t>
            </w:r>
          </w:p>
        </w:tc>
      </w:tr>
      <w:tr w14:paraId="3C7CC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AFE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0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C54F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7247">
            <w:pPr>
              <w:rPr>
                <w:rFonts w:hint="eastAsia" w:ascii="宋体" w:hAnsi="宋体" w:eastAsia="宋体" w:cs="宋体"/>
                <w:i w:val="0"/>
                <w:iCs w:val="0"/>
                <w:color w:val="000000"/>
                <w:sz w:val="18"/>
                <w:szCs w:val="18"/>
                <w:u w:val="none"/>
              </w:rPr>
            </w:pPr>
          </w:p>
        </w:tc>
      </w:tr>
      <w:tr w14:paraId="2BBBA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9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E0964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该项目自评得分为90分，2024年未完成该项目。</w:t>
            </w:r>
          </w:p>
        </w:tc>
      </w:tr>
      <w:tr w14:paraId="61FD0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8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4EE8C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因年末下达就创资金，但项目还需公示一个月，所以未能及时支出。</w:t>
            </w:r>
          </w:p>
        </w:tc>
      </w:tr>
      <w:tr w14:paraId="55604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9E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4280D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6009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C8EB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项目负责人：王俊勇</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B123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财务负责人：唐荣光</w:t>
            </w:r>
          </w:p>
        </w:tc>
      </w:tr>
      <w:tr w14:paraId="0FBBF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F1A26EE">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8198999">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B9A3CBC">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2CFCAC4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9ED1AF8">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9FCC07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AC3CF20">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DE502A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2698681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3A01FE27">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066B497C">
            <w:pPr>
              <w:rPr>
                <w:rFonts w:hint="eastAsia" w:ascii="宋体" w:hAnsi="宋体" w:eastAsia="宋体" w:cs="宋体"/>
                <w:i w:val="0"/>
                <w:iCs w:val="0"/>
                <w:color w:val="000000"/>
                <w:sz w:val="18"/>
                <w:szCs w:val="18"/>
                <w:u w:val="none"/>
              </w:rPr>
            </w:pPr>
          </w:p>
        </w:tc>
      </w:tr>
      <w:tr w14:paraId="5D152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103" w:type="dxa"/>
            <w:gridSpan w:val="11"/>
            <w:tcBorders>
              <w:top w:val="nil"/>
              <w:left w:val="nil"/>
              <w:bottom w:val="nil"/>
              <w:right w:val="nil"/>
            </w:tcBorders>
            <w:shd w:val="clear" w:color="auto" w:fill="auto"/>
            <w:vAlign w:val="center"/>
          </w:tcPr>
          <w:p w14:paraId="4588E6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1、报表说明:该报表查询项目信息、绩效目标信息、预算及执行情况，用于预算单位查询导出开展项目自评。</w:t>
            </w:r>
          </w:p>
        </w:tc>
      </w:tr>
      <w:tr w14:paraId="70DE4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4103" w:type="dxa"/>
            <w:gridSpan w:val="11"/>
            <w:tcBorders>
              <w:top w:val="nil"/>
              <w:left w:val="nil"/>
              <w:bottom w:val="nil"/>
              <w:right w:val="nil"/>
            </w:tcBorders>
            <w:shd w:val="clear" w:color="auto" w:fill="auto"/>
            <w:vAlign w:val="center"/>
          </w:tcPr>
          <w:p w14:paraId="35393D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14:paraId="5A6AC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4103" w:type="dxa"/>
            <w:gridSpan w:val="11"/>
            <w:tcBorders>
              <w:top w:val="nil"/>
              <w:left w:val="nil"/>
              <w:bottom w:val="nil"/>
              <w:right w:val="nil"/>
            </w:tcBorders>
            <w:shd w:val="clear" w:color="auto" w:fill="auto"/>
            <w:vAlign w:val="center"/>
          </w:tcPr>
          <w:p w14:paraId="1D93B7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w:t>
            </w:r>
          </w:p>
        </w:tc>
      </w:tr>
      <w:tr w14:paraId="487B7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103" w:type="dxa"/>
            <w:gridSpan w:val="11"/>
            <w:tcBorders>
              <w:top w:val="nil"/>
              <w:left w:val="nil"/>
              <w:bottom w:val="nil"/>
              <w:right w:val="nil"/>
            </w:tcBorders>
            <w:shd w:val="clear" w:color="auto" w:fill="auto"/>
            <w:vAlign w:val="center"/>
          </w:tcPr>
          <w:p w14:paraId="47AFAD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适用用户：部门用户、单位用户</w:t>
            </w:r>
          </w:p>
        </w:tc>
      </w:tr>
    </w:tbl>
    <w:p w14:paraId="7517E010">
      <w:pPr>
        <w:pStyle w:val="3"/>
        <w:jc w:val="both"/>
        <w:rPr>
          <w:rFonts w:hint="eastAsia" w:eastAsia="方正小标宋简体" w:cs="方正小标宋简体"/>
          <w:b w:val="0"/>
          <w:color w:val="auto"/>
          <w:highlight w:val="none"/>
          <w:lang w:val="en-US" w:eastAsia="zh-CN"/>
        </w:rPr>
        <w:sectPr>
          <w:pgSz w:w="16838" w:h="11906" w:orient="landscape"/>
          <w:pgMar w:top="1800" w:right="1440" w:bottom="1800" w:left="1440" w:header="851" w:footer="992" w:gutter="0"/>
          <w:pgNumType w:fmt="decimal"/>
          <w:cols w:space="425" w:num="1"/>
          <w:titlePg/>
          <w:docGrid w:type="lines" w:linePitch="312" w:charSpace="0"/>
        </w:sectPr>
      </w:pPr>
    </w:p>
    <w:p w14:paraId="70F2FCDC">
      <w:pPr>
        <w:rPr>
          <w:rFonts w:hint="eastAsia" w:eastAsia="方正小标宋简体" w:cs="方正小标宋简体"/>
          <w:b w:val="0"/>
          <w:color w:val="auto"/>
          <w:highlight w:val="none"/>
          <w:lang w:val="en-US" w:eastAsia="zh-CN"/>
        </w:rPr>
      </w:pPr>
    </w:p>
    <w:p w14:paraId="5B66B55E">
      <w:pPr>
        <w:pStyle w:val="3"/>
        <w:jc w:val="center"/>
        <w:rPr>
          <w:rFonts w:hint="eastAsia" w:ascii="Times New Roman" w:hAnsi="Times New Roman" w:eastAsia="黑体" w:cs="黑体"/>
          <w:color w:val="auto"/>
          <w:sz w:val="32"/>
          <w:szCs w:val="32"/>
          <w:highlight w:val="none"/>
        </w:rPr>
      </w:pPr>
      <w:r>
        <w:rPr>
          <w:rFonts w:hint="eastAsia" w:eastAsia="方正小标宋简体" w:cs="方正小标宋简体"/>
          <w:b w:val="0"/>
          <w:color w:val="auto"/>
          <w:highlight w:val="none"/>
          <w:lang w:val="en-US" w:eastAsia="zh-CN"/>
        </w:rPr>
        <w:t>第五部分 附表</w:t>
      </w:r>
    </w:p>
    <w:p w14:paraId="0C366B8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10628BC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506E8DF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72C98BA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2B4FB72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5CCC081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2A538F2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796D33E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5C0EA29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002BA17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428BB66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4D847BA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0E35AD6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5F1F28F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276CCA75">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lang w:eastAsia="zh-CN"/>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74AE6">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22A26">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8022A26">
                    <w:pPr>
                      <w:pStyle w:val="10"/>
                    </w:pPr>
                    <w:r>
                      <w:fldChar w:fldCharType="begin"/>
                    </w:r>
                    <w:r>
                      <w:instrText xml:space="preserve"> PAGE  \* MERGEFORMAT </w:instrText>
                    </w:r>
                    <w:r>
                      <w:fldChar w:fldCharType="separate"/>
                    </w:r>
                    <w:r>
                      <w:t>- 1 -</w:t>
                    </w:r>
                    <w:r>
                      <w:fldChar w:fldCharType="end"/>
                    </w:r>
                  </w:p>
                </w:txbxContent>
              </v:textbox>
            </v:shape>
          </w:pict>
        </mc:Fallback>
      </mc:AlternateContent>
    </w:r>
  </w:p>
  <w:p w14:paraId="2711FACD">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3C293">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A5C9C">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5A5C9C">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744AD">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C27BFA">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C27BFA">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14:paraId="631A944B">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CEA45">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5A6A5">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2B5A6A5">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6FF1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6C18F4"/>
    <w:multiLevelType w:val="singleLevel"/>
    <w:tmpl w:val="AF6C18F4"/>
    <w:lvl w:ilvl="0" w:tentative="0">
      <w:start w:val="2"/>
      <w:numFmt w:val="chineseCounting"/>
      <w:suff w:val="nothing"/>
      <w:lvlText w:val="%1、"/>
      <w:lvlJc w:val="left"/>
      <w:pPr>
        <w:ind w:left="-10"/>
      </w:pPr>
      <w:rPr>
        <w:rFonts w:hint="eastAsia"/>
      </w:rPr>
    </w:lvl>
  </w:abstractNum>
  <w:abstractNum w:abstractNumId="1">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1B5312"/>
    <w:rsid w:val="0A2032A3"/>
    <w:rsid w:val="0CA8290A"/>
    <w:rsid w:val="0D35B1ED"/>
    <w:rsid w:val="0E254B6B"/>
    <w:rsid w:val="0F3C73FC"/>
    <w:rsid w:val="0F98263C"/>
    <w:rsid w:val="0FCA505D"/>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A38791B"/>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B77B43"/>
    <w:rsid w:val="2DF04E50"/>
    <w:rsid w:val="2E586DFA"/>
    <w:rsid w:val="2F040D46"/>
    <w:rsid w:val="2F6B035B"/>
    <w:rsid w:val="2FAE5751"/>
    <w:rsid w:val="2FB1A395"/>
    <w:rsid w:val="2FD9A7D8"/>
    <w:rsid w:val="2FDBF714"/>
    <w:rsid w:val="30AB6865"/>
    <w:rsid w:val="319F7F4E"/>
    <w:rsid w:val="321107A2"/>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21663F"/>
    <w:rsid w:val="3CEBA265"/>
    <w:rsid w:val="3D98207C"/>
    <w:rsid w:val="3DEE7CF3"/>
    <w:rsid w:val="3E740A63"/>
    <w:rsid w:val="3E78745D"/>
    <w:rsid w:val="3EE17838"/>
    <w:rsid w:val="3F55381A"/>
    <w:rsid w:val="3F7F7599"/>
    <w:rsid w:val="3FF4CAE0"/>
    <w:rsid w:val="3FF7B227"/>
    <w:rsid w:val="40F22602"/>
    <w:rsid w:val="430B3B50"/>
    <w:rsid w:val="44E268DA"/>
    <w:rsid w:val="450D13D7"/>
    <w:rsid w:val="45506656"/>
    <w:rsid w:val="486A6C7A"/>
    <w:rsid w:val="4A627F82"/>
    <w:rsid w:val="4AAD6607"/>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3C04B3"/>
    <w:rsid w:val="63B3701E"/>
    <w:rsid w:val="647F5392"/>
    <w:rsid w:val="65E66580"/>
    <w:rsid w:val="664B1D71"/>
    <w:rsid w:val="664B4E8E"/>
    <w:rsid w:val="67277B67"/>
    <w:rsid w:val="67AA3209"/>
    <w:rsid w:val="68635602"/>
    <w:rsid w:val="698D0931"/>
    <w:rsid w:val="6A7FE5F3"/>
    <w:rsid w:val="6B053271"/>
    <w:rsid w:val="6B0B5BA8"/>
    <w:rsid w:val="6BDD78B3"/>
    <w:rsid w:val="6C4A05C8"/>
    <w:rsid w:val="6C8742B8"/>
    <w:rsid w:val="6DBF5E93"/>
    <w:rsid w:val="6DCE1A2B"/>
    <w:rsid w:val="6DFF077E"/>
    <w:rsid w:val="6E080208"/>
    <w:rsid w:val="6E714EF0"/>
    <w:rsid w:val="6E7E3605"/>
    <w:rsid w:val="6E7FDCC7"/>
    <w:rsid w:val="6ED6A62E"/>
    <w:rsid w:val="6EE00B15"/>
    <w:rsid w:val="6F6FB3EB"/>
    <w:rsid w:val="6F8731EA"/>
    <w:rsid w:val="6FCE6052"/>
    <w:rsid w:val="6FD57C00"/>
    <w:rsid w:val="6FEFFFD8"/>
    <w:rsid w:val="6FF5CC65"/>
    <w:rsid w:val="6FFB47EC"/>
    <w:rsid w:val="6FFF034A"/>
    <w:rsid w:val="70484440"/>
    <w:rsid w:val="70D42067"/>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B25DA1"/>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7"/>
    <w:unhideWhenUsed/>
    <w:qFormat/>
    <w:uiPriority w:val="99"/>
    <w:pPr>
      <w:ind w:firstLine="420" w:firstLineChars="200"/>
    </w:p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7"/>
    <w:link w:val="3"/>
    <w:qFormat/>
    <w:uiPriority w:val="9"/>
    <w:rPr>
      <w:rFonts w:ascii="Times New Roman" w:hAnsi="Times New Roman"/>
      <w:b/>
      <w:bCs/>
      <w:kern w:val="44"/>
      <w:sz w:val="44"/>
      <w:szCs w:val="44"/>
    </w:rPr>
  </w:style>
  <w:style w:type="character" w:customStyle="1" w:styleId="29">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7"/>
    <w:link w:val="9"/>
    <w:semiHidden/>
    <w:qFormat/>
    <w:uiPriority w:val="99"/>
    <w:rPr>
      <w:rFonts w:ascii="Times New Roman" w:hAnsi="Times New Roman"/>
      <w:kern w:val="2"/>
      <w:sz w:val="18"/>
      <w:szCs w:val="18"/>
    </w:rPr>
  </w:style>
  <w:style w:type="character" w:customStyle="1" w:styleId="32">
    <w:name w:val="标题 3 Char"/>
    <w:basedOn w:val="17"/>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5">
    <w:name w:val="font41"/>
    <w:basedOn w:val="17"/>
    <w:qFormat/>
    <w:uiPriority w:val="0"/>
    <w:rPr>
      <w:rFonts w:ascii="宋体" w:hAnsi="宋体" w:eastAsia="宋体" w:cs="宋体"/>
      <w:color w:val="000000"/>
      <w:sz w:val="18"/>
      <w:szCs w:val="18"/>
      <w:u w:val="none"/>
    </w:rPr>
  </w:style>
  <w:style w:type="character" w:customStyle="1" w:styleId="36">
    <w:name w:val="font101"/>
    <w:basedOn w:val="17"/>
    <w:qFormat/>
    <w:uiPriority w:val="0"/>
    <w:rPr>
      <w:rFonts w:hint="eastAsia" w:ascii="微软雅黑" w:hAnsi="微软雅黑" w:eastAsia="微软雅黑" w:cs="微软雅黑"/>
      <w:color w:val="000000"/>
      <w:sz w:val="18"/>
      <w:szCs w:val="18"/>
      <w:u w:val="none"/>
    </w:rPr>
  </w:style>
  <w:style w:type="character" w:customStyle="1" w:styleId="37">
    <w:name w:val="font112"/>
    <w:basedOn w:val="17"/>
    <w:qFormat/>
    <w:uiPriority w:val="0"/>
    <w:rPr>
      <w:rFonts w:ascii="Arial" w:hAnsi="Arial" w:cs="Arial"/>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515.06</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535.47</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0555ba4b-6a36-4244-8a76-cf5f07f27c2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000000000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442.26</c:v>
                </c:pt>
                <c:pt idx="1">
                  <c:v>72.8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6fdad106-496b-4ed1-a5dd-72164d30ed8b}"/>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00536328916969"/>
          <c:y val="0.14826918942163"/>
          <c:w val="0.869523551322552"/>
          <c:h val="0.594512398485127"/>
        </c:manualLayout>
      </c:layout>
      <c:barChart>
        <c:barDir val="col"/>
        <c:grouping val="clustered"/>
        <c:varyColors val="0"/>
        <c:ser>
          <c:idx val="0"/>
          <c:order val="0"/>
          <c:tx>
            <c:strRef>
              <c:f>'Sheet1 (4)'!$A$2</c:f>
              <c:strCache>
                <c:ptCount val="1"/>
                <c:pt idx="0">
                  <c:v>2023年</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535.47</c:v>
                </c:pt>
                <c:pt idx="1">
                  <c:v>535.47</c:v>
                </c:pt>
              </c:numCache>
            </c:numRef>
          </c:val>
        </c:ser>
        <c:ser>
          <c:idx val="1"/>
          <c:order val="1"/>
          <c:tx>
            <c:strRef>
              <c:f>'Sheet1 (4)'!$A$3</c:f>
              <c:strCache>
                <c:ptCount val="1"/>
                <c:pt idx="0">
                  <c:v>2024年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515.06</c:v>
                </c:pt>
                <c:pt idx="1">
                  <c:v>515.06</c:v>
                </c:pt>
              </c:numCache>
            </c:numRef>
          </c:val>
        </c:ser>
        <c:dLbls>
          <c:showLegendKey val="0"/>
          <c:showVal val="1"/>
          <c:showCatName val="0"/>
          <c:showSerName val="0"/>
          <c:showPercent val="0"/>
          <c:showBubbleSize val="0"/>
        </c:dLbls>
        <c:gapWidth val="219"/>
        <c:overlap val="-27"/>
        <c:axId val="99557376"/>
        <c:axId val="99558912"/>
      </c:barChart>
      <c:catAx>
        <c:axId val="9955737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99558912"/>
        <c:crosses val="autoZero"/>
        <c:auto val="1"/>
        <c:lblAlgn val="ctr"/>
        <c:lblOffset val="100"/>
        <c:noMultiLvlLbl val="0"/>
      </c:catAx>
      <c:valAx>
        <c:axId val="9955891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9955737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8948061e-4f76-4471-8377-464316458f24}"/>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0000002"/>
          <c:w val="0.92429096"/>
          <c:h val="0.627633040000002"/>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2023年</c:v>
                </c:pt>
                <c:pt idx="1">
                  <c:v>2024年</c:v>
                </c:pt>
              </c:strCache>
            </c:strRef>
          </c:cat>
          <c:val>
            <c:numRef>
              <c:f>'Sheet1 (5)'!$B$2:$B$3</c:f>
              <c:numCache>
                <c:formatCode>General</c:formatCode>
                <c:ptCount val="2"/>
                <c:pt idx="0">
                  <c:v>535.47</c:v>
                </c:pt>
                <c:pt idx="1">
                  <c:v>515.06</c:v>
                </c:pt>
              </c:numCache>
            </c:numRef>
          </c:val>
        </c:ser>
        <c:dLbls>
          <c:showLegendKey val="0"/>
          <c:showVal val="1"/>
          <c:showCatName val="0"/>
          <c:showSerName val="0"/>
          <c:showPercent val="0"/>
          <c:showBubbleSize val="0"/>
        </c:dLbls>
        <c:gapWidth val="219"/>
        <c:overlap val="-27"/>
        <c:axId val="99590912"/>
        <c:axId val="99592832"/>
      </c:barChart>
      <c:catAx>
        <c:axId val="9959091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99592832"/>
        <c:crosses val="autoZero"/>
        <c:auto val="1"/>
        <c:lblAlgn val="ctr"/>
        <c:lblOffset val="100"/>
        <c:noMultiLvlLbl val="0"/>
      </c:catAx>
      <c:valAx>
        <c:axId val="9959283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9959091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6d0102c6-faea-4b31-b2db-a7871c1bf74f}"/>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一般公共预算财政拨款支出决算结构</a:t>
            </a:r>
            <a:endParaRPr lang="zh-CN"/>
          </a:p>
        </c:rich>
      </c:tx>
      <c:layout>
        <c:manualLayout>
          <c:xMode val="edge"/>
          <c:yMode val="edge"/>
          <c:x val="0.103459908427078"/>
          <c:y val="0.0114083949715399"/>
        </c:manualLayout>
      </c:layout>
      <c:overlay val="0"/>
    </c:title>
    <c:autoTitleDeleted val="0"/>
    <c:plotArea>
      <c:layout/>
      <c:pieChart>
        <c:varyColors val="1"/>
        <c:ser>
          <c:idx val="0"/>
          <c:order val="0"/>
          <c:tx>
            <c:strRef>
              <c:f>'Sheet1 (6)'!$B$1</c:f>
              <c:strCache>
                <c:ptCount val="1"/>
                <c:pt idx="0">
                  <c:v>一般公共预算财政拨款支出决算结构</c:v>
                </c:pt>
              </c:strCache>
            </c:strRef>
          </c:tx>
          <c:explosion val="0"/>
          <c:dPt>
            <c:idx val="0"/>
            <c:bubble3D val="0"/>
          </c:dPt>
          <c:dPt>
            <c:idx val="1"/>
            <c:bubble3D val="0"/>
          </c:dPt>
          <c:dPt>
            <c:idx val="2"/>
            <c:bubble3D val="0"/>
          </c:dPt>
          <c:dLbls>
            <c:dLbl>
              <c:idx val="1"/>
              <c:layout>
                <c:manualLayout>
                  <c:x val="-0.0209736450000002"/>
                  <c:y val="0.04419082400000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00000002"/>
                  <c:y val="0.004965708000000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(6)'!$A$2:$A$4</c:f>
              <c:strCache>
                <c:ptCount val="3"/>
                <c:pt idx="0">
                  <c:v>社会保障和就业</c:v>
                </c:pt>
                <c:pt idx="1">
                  <c:v>卫生健康支出</c:v>
                </c:pt>
                <c:pt idx="2">
                  <c:v>住房保障支出</c:v>
                </c:pt>
              </c:strCache>
            </c:strRef>
          </c:cat>
          <c:val>
            <c:numRef>
              <c:f>'Sheet1 (6)'!$B$2:$B$4</c:f>
              <c:numCache>
                <c:formatCode>General</c:formatCode>
                <c:ptCount val="3"/>
                <c:pt idx="0">
                  <c:v>452.44</c:v>
                </c:pt>
                <c:pt idx="1">
                  <c:v>30.34</c:v>
                </c:pt>
                <c:pt idx="2">
                  <c:v>32.28</c:v>
                </c:pt>
              </c:numCache>
            </c:numRef>
          </c:val>
        </c:ser>
        <c:dLbls>
          <c:showLegendKey val="0"/>
          <c:showVal val="1"/>
          <c:showCatName val="0"/>
          <c:showSerName val="0"/>
          <c:showPercent val="0"/>
          <c:showBubbleSize val="0"/>
          <c:showLeaderLines val="1"/>
        </c:dLbls>
        <c:firstSliceAng val="0"/>
      </c:pie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8ef5c18e-08a5-4085-8840-ce2774590ff3}"/>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000000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8.98</c:v>
                </c:pt>
                <c:pt idx="2">
                  <c:v>0.15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519b370c-b2a5-427e-8973-09a9b2fbf7fa}"/>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12163</Words>
  <Characters>13745</Characters>
  <Lines>61</Lines>
  <Paragraphs>17</Paragraphs>
  <TotalTime>3</TotalTime>
  <ScaleCrop>false</ScaleCrop>
  <LinksUpToDate>false</LinksUpToDate>
  <CharactersWithSpaces>13910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柠栀</cp:lastModifiedBy>
  <cp:lastPrinted>2025-08-26T08:05:00Z</cp:lastPrinted>
  <dcterms:modified xsi:type="dcterms:W3CDTF">2025-08-29T01:32:29Z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eyJoZGlkIjoiNTFhNjM3ZDdkYjk2ZDQzMTM3MjkzODkyZGZmMWViNGEiLCJ1c2VySWQiOiIxMTQ1MTc0NjkwIn0=</vt:lpwstr>
  </property>
</Properties>
</file>