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CDE0D">
      <w:pPr>
        <w:spacing w:line="560" w:lineRule="exact"/>
        <w:jc w:val="center"/>
        <w:rPr>
          <w:rFonts w:hint="eastAsia"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lang w:val="en-US" w:eastAsia="zh-CN"/>
        </w:rPr>
        <w:t>金川县2025年</w:t>
      </w:r>
      <w:r>
        <w:rPr>
          <w:rFonts w:hint="eastAsia" w:ascii="Times New Roman" w:hAnsi="Times New Roman" w:eastAsia="方正小标宋_GBK" w:cs="Times New Roman"/>
          <w:sz w:val="44"/>
          <w:szCs w:val="44"/>
          <w:lang w:val="en-US" w:eastAsia="zh-CN"/>
        </w:rPr>
        <w:t>人力资源和社会保障局</w:t>
      </w:r>
    </w:p>
    <w:p w14:paraId="4B5EF3AE">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预算绩效目标情况说明</w:t>
      </w:r>
    </w:p>
    <w:p w14:paraId="0B1BAC4F">
      <w:pPr>
        <w:pStyle w:val="5"/>
        <w:jc w:val="left"/>
      </w:pPr>
    </w:p>
    <w:p w14:paraId="04EEC3DA">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2025年，我单位部门预算399.74万元 ，均严格按绩效管理要求实现项目绩效目标管理，其中重点项目预算3个，现将情况说明如下：</w:t>
      </w:r>
    </w:p>
    <w:p w14:paraId="3E04BC2B">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78650AC2">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完成了2025年本级部门预算整体绩效目标申报和3个项目预算绩效目标申报，并编报3个项目预算事前绩效评估报告。</w:t>
      </w:r>
    </w:p>
    <w:p w14:paraId="596D49AF">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6EFE7DC9">
      <w:pPr>
        <w:widowControl/>
        <w:ind w:firstLine="480" w:firstLineChars="150"/>
        <w:jc w:val="left"/>
        <w:rPr>
          <w:rFonts w:hint="eastAsia" w:ascii="仿宋_GB2312" w:eastAsia="仿宋_GB2312" w:cs="仿宋_GB2312"/>
          <w:sz w:val="32"/>
          <w:szCs w:val="32"/>
        </w:rPr>
      </w:pPr>
      <w:r>
        <w:rPr>
          <w:rFonts w:hint="eastAsia" w:ascii="仿宋_GB2312" w:eastAsia="仿宋_GB2312" w:cs="仿宋_GB2312"/>
          <w:sz w:val="32"/>
          <w:szCs w:val="32"/>
        </w:rPr>
        <w:t>（一）年度总体目标</w:t>
      </w:r>
    </w:p>
    <w:p w14:paraId="2B53676B">
      <w:pPr>
        <w:pStyle w:val="5"/>
        <w:spacing w:line="560" w:lineRule="exact"/>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一是进一步找准人力资源社会保障部最大民生部门和经济社会发展重要助推部门的职责定位，对标对表省、州对县</w:t>
      </w:r>
      <w:r>
        <w:rPr>
          <w:rFonts w:hint="eastAsia" w:ascii="仿宋_GB2312" w:eastAsia="仿宋_GB2312" w:cs="仿宋_GB2312"/>
          <w:sz w:val="32"/>
          <w:szCs w:val="32"/>
          <w:lang w:val="en-US" w:eastAsia="zh-CN"/>
        </w:rPr>
        <w:t>域</w:t>
      </w:r>
      <w:r>
        <w:rPr>
          <w:rFonts w:hint="eastAsia" w:ascii="仿宋_GB2312" w:eastAsia="仿宋_GB2312" w:cs="仿宋_GB2312"/>
          <w:sz w:val="32"/>
          <w:szCs w:val="32"/>
        </w:rPr>
        <w:t>经济目标考核涉及人社牵头的“四大指标”，不折不扣抓好各项工作落实，以更高标准、更高时效完成好相关经济指标，为全县经济社会发展作出人社贡献。二是要紧紧围绕就业促进、社会保障、农民工服务、技能培训、根治欠薪、数字人社“六大工程”，创思路、添举措、提效率，按计划、分步骤、有条不紊</w:t>
      </w:r>
      <w:r>
        <w:rPr>
          <w:rFonts w:hint="eastAsia" w:ascii="仿宋_GB2312" w:eastAsia="仿宋_GB2312" w:cs="仿宋_GB2312"/>
          <w:sz w:val="32"/>
          <w:szCs w:val="32"/>
          <w:lang w:val="en-US" w:eastAsia="zh-CN"/>
        </w:rPr>
        <w:t>地</w:t>
      </w:r>
      <w:r>
        <w:rPr>
          <w:rFonts w:hint="eastAsia" w:ascii="仿宋_GB2312" w:eastAsia="仿宋_GB2312" w:cs="仿宋_GB2312"/>
          <w:sz w:val="32"/>
          <w:szCs w:val="32"/>
        </w:rPr>
        <w:t>加力推进。三是进一步聚焦人社各大业务板块，统筹人事人才、机制改革、队伍建设等中心工作，建机制、重培养、强监督、转作风，为推进人社事业高质量发展树立“人社为民”良好品牌形象。</w:t>
      </w:r>
    </w:p>
    <w:p w14:paraId="7F3F3B61">
      <w:pPr>
        <w:pStyle w:val="5"/>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（二）年度主要任务</w:t>
      </w:r>
    </w:p>
    <w:p w14:paraId="6E6AE1A2">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1.促进就业创业。认真</w:t>
      </w:r>
      <w:r>
        <w:rPr>
          <w:rFonts w:ascii="仿宋_GB2312" w:eastAsia="仿宋_GB2312" w:cs="仿宋_GB2312"/>
          <w:sz w:val="32"/>
          <w:szCs w:val="32"/>
          <w:lang w:val="en-US" w:eastAsia="zh-CN"/>
        </w:rPr>
        <w:t>开展职业技能培训</w:t>
      </w:r>
      <w:r>
        <w:rPr>
          <w:rFonts w:hint="eastAsia" w:ascii="仿宋_GB2312" w:eastAsia="仿宋_GB2312" w:cs="仿宋_GB2312"/>
          <w:sz w:val="32"/>
          <w:szCs w:val="32"/>
          <w:lang w:val="en-US" w:eastAsia="zh-CN"/>
        </w:rPr>
        <w:t>，强化省内对口、东西部对口帮扶工作，多举措、多形式开展线下招聘会、送岗下乡等，大力组织劳动力输出，全面落实好就业创业政策。</w:t>
      </w:r>
    </w:p>
    <w:p w14:paraId="204D6354">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2.优化社会保障体系。继续做好社会保险扩面征缴、社会保险基金监管、养老待遇发放、特殊困难人员动态变化核实及代缴、待遇领取人员生存认证等工作。</w:t>
      </w:r>
    </w:p>
    <w:p w14:paraId="6211FE83">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3.构建和谐劳动关系。</w:t>
      </w:r>
      <w:r>
        <w:rPr>
          <w:rFonts w:ascii="仿宋_GB2312" w:eastAsia="仿宋_GB2312" w:cs="仿宋_GB2312"/>
          <w:sz w:val="32"/>
          <w:szCs w:val="32"/>
          <w:lang w:val="en-US" w:eastAsia="zh-CN"/>
        </w:rPr>
        <w:t>通过细化开展政策宣传、应急处置以及信息报送等举措，在畅通维权电话渠道、落实集中接访以及运用网络载体维权等方面</w:t>
      </w:r>
      <w:r>
        <w:rPr>
          <w:rFonts w:hint="eastAsia" w:ascii="仿宋_GB2312" w:eastAsia="仿宋_GB2312" w:cs="仿宋_GB2312"/>
          <w:sz w:val="32"/>
          <w:szCs w:val="32"/>
          <w:lang w:val="en-US" w:eastAsia="zh-CN"/>
        </w:rPr>
        <w:t>下功夫</w:t>
      </w:r>
      <w:r>
        <w:rPr>
          <w:rFonts w:ascii="仿宋_GB2312" w:eastAsia="仿宋_GB2312" w:cs="仿宋_GB2312"/>
          <w:sz w:val="32"/>
          <w:szCs w:val="32"/>
          <w:lang w:val="en-US" w:eastAsia="zh-CN"/>
        </w:rPr>
        <w:t>。贯彻落实《条例》</w:t>
      </w:r>
      <w:r>
        <w:rPr>
          <w:rFonts w:hint="eastAsia" w:ascii="仿宋_GB2312" w:eastAsia="仿宋_GB2312" w:cs="仿宋_GB2312"/>
          <w:sz w:val="32"/>
          <w:szCs w:val="32"/>
          <w:lang w:val="en-US" w:eastAsia="zh-CN"/>
        </w:rPr>
        <w:t>精神</w:t>
      </w:r>
      <w:r>
        <w:rPr>
          <w:rFonts w:ascii="仿宋_GB2312" w:eastAsia="仿宋_GB2312" w:cs="仿宋_GB2312"/>
          <w:sz w:val="32"/>
          <w:szCs w:val="32"/>
          <w:lang w:val="en-US" w:eastAsia="zh-CN"/>
        </w:rPr>
        <w:t>，全面准确摸清底数</w:t>
      </w:r>
      <w:r>
        <w:rPr>
          <w:rFonts w:hint="eastAsia" w:ascii="仿宋_GB2312" w:eastAsia="仿宋_GB2312" w:cs="仿宋_GB2312"/>
          <w:sz w:val="32"/>
          <w:szCs w:val="32"/>
          <w:lang w:val="en-US" w:eastAsia="zh-CN"/>
        </w:rPr>
        <w:t>，</w:t>
      </w:r>
      <w:r>
        <w:rPr>
          <w:rFonts w:ascii="仿宋_GB2312" w:eastAsia="仿宋_GB2312" w:cs="仿宋_GB2312"/>
          <w:sz w:val="32"/>
          <w:szCs w:val="32"/>
          <w:lang w:val="en-US" w:eastAsia="zh-CN"/>
        </w:rPr>
        <w:t>分类精准施策，建立清单、</w:t>
      </w:r>
      <w:r>
        <w:rPr>
          <w:rFonts w:hint="eastAsia" w:ascii="仿宋_GB2312" w:eastAsia="仿宋_GB2312" w:cs="仿宋_GB2312"/>
          <w:sz w:val="32"/>
          <w:szCs w:val="32"/>
          <w:lang w:val="en-US" w:eastAsia="zh-CN"/>
        </w:rPr>
        <w:t>压实</w:t>
      </w:r>
      <w:r>
        <w:rPr>
          <w:rFonts w:ascii="仿宋_GB2312" w:eastAsia="仿宋_GB2312" w:cs="仿宋_GB2312"/>
          <w:sz w:val="32"/>
          <w:szCs w:val="32"/>
          <w:lang w:val="en-US" w:eastAsia="zh-CN"/>
        </w:rPr>
        <w:t>责任，督促限</w:t>
      </w:r>
      <w:r>
        <w:rPr>
          <w:rFonts w:hint="eastAsia" w:ascii="仿宋_GB2312" w:eastAsia="仿宋_GB2312" w:cs="仿宋_GB2312"/>
          <w:sz w:val="32"/>
          <w:szCs w:val="32"/>
          <w:lang w:val="en-US" w:eastAsia="zh-CN"/>
        </w:rPr>
        <w:t>期</w:t>
      </w:r>
      <w:r>
        <w:rPr>
          <w:rFonts w:ascii="仿宋_GB2312" w:eastAsia="仿宋_GB2312" w:cs="仿宋_GB2312"/>
          <w:sz w:val="32"/>
          <w:szCs w:val="32"/>
          <w:lang w:val="en-US" w:eastAsia="zh-CN"/>
        </w:rPr>
        <w:t>整改，全面化解欠薪隐患</w:t>
      </w:r>
      <w:r>
        <w:rPr>
          <w:rFonts w:hint="eastAsia" w:ascii="仿宋_GB2312" w:eastAsia="仿宋_GB2312" w:cs="仿宋_GB2312"/>
          <w:sz w:val="32"/>
          <w:szCs w:val="32"/>
          <w:lang w:val="en-US" w:eastAsia="zh-CN"/>
        </w:rPr>
        <w:t>。</w:t>
      </w:r>
    </w:p>
    <w:p w14:paraId="591159D5">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4.做优人事人才。严格按照中央、省、州各级人才政策规定，切实在“选、育、管”字上下功夫，全面做实人事人才各项工作。</w:t>
      </w:r>
    </w:p>
    <w:p w14:paraId="06723BE7">
      <w:pPr>
        <w:pStyle w:val="5"/>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5.提升经济指标。强化部门沟通，优化统计培训，抓好督导监督；</w:t>
      </w:r>
      <w:r>
        <w:rPr>
          <w:rFonts w:hint="eastAsia" w:ascii="仿宋_GB2312" w:eastAsia="仿宋_GB2312" w:cs="仿宋_GB2312"/>
          <w:sz w:val="32"/>
          <w:szCs w:val="32"/>
        </w:rPr>
        <w:t>充分挖掘人员和工资增长点，做好行业领域劳动工资分析评估，落实务实管用措施</w:t>
      </w:r>
      <w:r>
        <w:rPr>
          <w:rFonts w:hint="eastAsia" w:ascii="仿宋_GB2312" w:eastAsia="仿宋_GB2312" w:cs="仿宋_GB2312"/>
          <w:sz w:val="32"/>
          <w:szCs w:val="32"/>
          <w:lang w:eastAsia="zh-CN"/>
        </w:rPr>
        <w:t>；</w:t>
      </w:r>
      <w:r>
        <w:rPr>
          <w:rFonts w:hint="eastAsia" w:ascii="仿宋_GB2312" w:eastAsia="仿宋_GB2312" w:cs="仿宋_GB2312"/>
          <w:sz w:val="32"/>
          <w:szCs w:val="32"/>
        </w:rPr>
        <w:t>全面提升基层统计质量，确保源头数据真实、准确、完整，确保应统尽统。</w:t>
      </w:r>
    </w:p>
    <w:p w14:paraId="10EC5401">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6.提升服务水平。持续</w:t>
      </w:r>
      <w:r>
        <w:rPr>
          <w:rFonts w:ascii="仿宋_GB2312" w:eastAsia="仿宋_GB2312" w:cs="仿宋_GB2312"/>
          <w:sz w:val="32"/>
          <w:szCs w:val="32"/>
          <w:lang w:val="en-US" w:eastAsia="zh-CN"/>
        </w:rPr>
        <w:t>深化“放管服”改革，</w:t>
      </w:r>
      <w:r>
        <w:rPr>
          <w:rFonts w:hint="eastAsia" w:ascii="仿宋_GB2312" w:eastAsia="仿宋_GB2312" w:cs="仿宋_GB2312"/>
          <w:sz w:val="32"/>
          <w:szCs w:val="32"/>
          <w:lang w:val="en-US" w:eastAsia="zh-CN"/>
        </w:rPr>
        <w:t>着力在优化营商环境、“一卡通办”“一网通办”、政务服务等方面下大力，纵深</w:t>
      </w:r>
      <w:r>
        <w:rPr>
          <w:rFonts w:ascii="仿宋_GB2312" w:eastAsia="仿宋_GB2312" w:cs="仿宋_GB2312"/>
          <w:sz w:val="32"/>
          <w:szCs w:val="32"/>
          <w:lang w:val="en-US" w:eastAsia="zh-CN"/>
        </w:rPr>
        <w:t>推进行风建设与业务工作深度</w:t>
      </w:r>
      <w:r>
        <w:rPr>
          <w:rFonts w:hint="eastAsia" w:ascii="仿宋_GB2312" w:eastAsia="仿宋_GB2312" w:cs="仿宋_GB2312"/>
          <w:sz w:val="32"/>
          <w:szCs w:val="32"/>
          <w:lang w:val="en-US" w:eastAsia="zh-CN"/>
        </w:rPr>
        <w:t xml:space="preserve"> </w:t>
      </w:r>
      <w:r>
        <w:rPr>
          <w:rFonts w:ascii="仿宋_GB2312" w:eastAsia="仿宋_GB2312" w:cs="仿宋_GB2312"/>
          <w:sz w:val="32"/>
          <w:szCs w:val="32"/>
          <w:lang w:val="en-US" w:eastAsia="zh-CN"/>
        </w:rPr>
        <w:t>融合，着力打造“温暖人社”品牌</w:t>
      </w:r>
      <w:r>
        <w:rPr>
          <w:rFonts w:hint="eastAsia" w:ascii="仿宋_GB2312" w:eastAsia="仿宋_GB2312" w:cs="仿宋_GB2312"/>
          <w:sz w:val="32"/>
          <w:szCs w:val="32"/>
          <w:lang w:val="en-US" w:eastAsia="zh-CN"/>
        </w:rPr>
        <w:t>。</w:t>
      </w:r>
    </w:p>
    <w:p w14:paraId="4BA5818E">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069C92F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重点项目</w:t>
      </w:r>
      <w:r>
        <w:rPr>
          <w:rFonts w:hint="eastAsia" w:ascii="仿宋_GB2312" w:eastAsia="仿宋_GB2312" w:cs="仿宋_GB2312"/>
          <w:sz w:val="32"/>
          <w:szCs w:val="32"/>
        </w:rPr>
        <w:t>1：劳动保障监察专项工作经费</w:t>
      </w:r>
    </w:p>
    <w:p w14:paraId="26A11C0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年度绩效目标：为了贯彻实施劳动和社会保障法律、法规和规章，规范劳动保障监察工作，维护劳动者的合法权益，宣传劳动保障法律和规章，检查用人单位遵守劳动保障法律法规情况，受理对违反劳动保障法律法规的行为的举报。投诉等监察工作。2024年劳动监察费用100000元。</w:t>
      </w:r>
    </w:p>
    <w:p w14:paraId="21BE720B">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绩效指标设置情况：细化指标</w:t>
      </w:r>
      <w:r>
        <w:rPr>
          <w:rFonts w:ascii="仿宋_GB2312" w:eastAsia="仿宋_GB2312" w:cs="仿宋_GB2312"/>
          <w:sz w:val="32"/>
          <w:szCs w:val="32"/>
        </w:rPr>
        <w:t>7</w:t>
      </w:r>
      <w:r>
        <w:rPr>
          <w:rFonts w:hint="eastAsia" w:ascii="仿宋_GB2312" w:eastAsia="仿宋_GB2312" w:cs="仿宋_GB2312"/>
          <w:sz w:val="32"/>
          <w:szCs w:val="32"/>
        </w:rPr>
        <w:t>个，包括产出指标4个、成本指标1个、效益指标1个和满意度指标1个。</w:t>
      </w:r>
    </w:p>
    <w:p w14:paraId="345EAD59">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重点项目2：人事人才管理专项经费</w:t>
      </w:r>
    </w:p>
    <w:p w14:paraId="1B7676B1">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项目年度绩效目标：为加强我县事业人员人才队伍建设，提高事业人员工资福利待遇，开展事业单位人事考试面试、笔试工作、事业单位专业技术人员职称评审工作。2024年人事人才专项工作经费90000元。</w:t>
      </w:r>
    </w:p>
    <w:p w14:paraId="40B28577">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绩效指标设置情况：细化指标</w:t>
      </w:r>
      <w:r>
        <w:rPr>
          <w:rFonts w:ascii="仿宋_GB2312" w:eastAsia="仿宋_GB2312" w:cs="仿宋_GB2312"/>
          <w:sz w:val="32"/>
          <w:szCs w:val="32"/>
        </w:rPr>
        <w:t>7</w:t>
      </w:r>
      <w:r>
        <w:rPr>
          <w:rFonts w:hint="eastAsia" w:ascii="仿宋_GB2312" w:eastAsia="仿宋_GB2312" w:cs="仿宋_GB2312"/>
          <w:sz w:val="32"/>
          <w:szCs w:val="32"/>
        </w:rPr>
        <w:t>个，包括产出指标4个、成本指标1个、效益指标1个和满意度1个指标。</w:t>
      </w:r>
    </w:p>
    <w:p w14:paraId="334870D7">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重点项目3：流动人员人事档案管理</w:t>
      </w:r>
    </w:p>
    <w:p w14:paraId="26565811">
      <w:pPr>
        <w:spacing w:line="56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项目年度绩效目标：健全完善流动人员人事档案管理服务体系，推动流动人员人事档案</w:t>
      </w:r>
      <w:bookmarkStart w:id="0" w:name="_GoBack"/>
      <w:bookmarkEnd w:id="0"/>
      <w:r>
        <w:rPr>
          <w:rFonts w:hint="eastAsia" w:ascii="仿宋_GB2312" w:eastAsia="仿宋_GB2312" w:cs="仿宋_GB2312"/>
          <w:sz w:val="32"/>
          <w:szCs w:val="32"/>
          <w:lang w:val="en-US" w:eastAsia="zh-CN"/>
        </w:rPr>
        <w:t>工作科学化、制度化、规范化，促进人才资源顺畅有序流动，根据《流动人员人事档案管理服务规定》（人社部发【2021】112号），逐步实现我县流动人员人事档案规范化、数字化管理。</w:t>
      </w:r>
    </w:p>
    <w:p w14:paraId="0119B476">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绩效指标设置情况：细化指标8个，包括产出指标5个、成本指标1个、效益指标1个和满意度指标1个。</w:t>
      </w:r>
    </w:p>
    <w:p w14:paraId="4C3850C0">
      <w:pPr>
        <w:spacing w:line="560" w:lineRule="exact"/>
        <w:ind w:firstLine="640" w:firstLineChars="200"/>
        <w:rPr>
          <w:rFonts w:hint="eastAsia" w:asci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D7927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1498</Words>
  <Characters>1538</Characters>
  <Lines>72</Lines>
  <Paragraphs>25</Paragraphs>
  <TotalTime>18</TotalTime>
  <ScaleCrop>false</ScaleCrop>
  <LinksUpToDate>false</LinksUpToDate>
  <CharactersWithSpaces>1540</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2025-03-04T07:34:06Z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eyJoZGlkIjoiOTE2ZDllODRiODE2ZDJhYjhiNzIxNGU1Mjk2ZDY5YmQiLCJ1c2VySWQiOiI0NDY1MjUyNDgifQ==</vt:lpwstr>
  </property>
  <property fmtid="{D5CDD505-2E9C-101B-9397-08002B2CF9AE}" pid="4" name="ICV">
    <vt:lpwstr>D11EDEC1EAD04B83BABEC95AECF81160_12</vt:lpwstr>
  </property>
</Properties>
</file>