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</w:rPr>
        <w:t>2024年人力资源和社会保障局部门预算绩效目标情况说明</w:t>
      </w: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2024年，我单位部门预算</w:t>
      </w:r>
      <w:r>
        <w:rPr>
          <w:rFonts w:ascii="仿宋_GB2312" w:eastAsia="仿宋_GB2312" w:cs="仿宋_GB2312"/>
          <w:sz w:val="32"/>
          <w:szCs w:val="32"/>
        </w:rPr>
        <w:t>433.22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完成了2024年本级部门预算整体绩效目标申报和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个项目预算绩效目标申报，并编报</w:t>
      </w: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>
      <w:pPr>
        <w:widowControl/>
        <w:ind w:firstLineChars="200" w:firstLine="640"/>
        <w:jc w:val="left"/>
        <w:rPr>
          <w:rFonts w:ascii="宋体" w:cs="宋体"/>
          <w:color w:val="000000"/>
          <w:kern w:val="0"/>
          <w:sz w:val="18"/>
          <w:szCs w:val="18"/>
        </w:rPr>
      </w:pPr>
      <w:r>
        <w:rPr>
          <w:rFonts w:ascii="仿宋_GB2312" w:eastAsia="仿宋_GB2312" w:cs="仿宋_GB2312" w:hint="eastAsia"/>
          <w:sz w:val="32"/>
          <w:szCs w:val="32"/>
        </w:rPr>
        <w:t>（一）年度总体目标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一是进一步找准人社部门经济社会发展重要助推部门的职责定位，对标对表省、州对县</w:t>
      </w:r>
      <w:r>
        <w:rPr>
          <w:rFonts w:ascii="仿宋_GB2312" w:eastAsia="仿宋_GB2312" w:cs="仿宋_GB2312"/>
          <w:sz w:val="32"/>
          <w:szCs w:val="32"/>
        </w:rPr>
        <w:t>域</w:t>
      </w:r>
      <w:r>
        <w:rPr>
          <w:rFonts w:ascii="仿宋_GB2312" w:eastAsia="仿宋_GB2312" w:cs="仿宋_GB2312" w:hint="eastAsia"/>
          <w:sz w:val="32"/>
          <w:szCs w:val="32"/>
        </w:rPr>
        <w:t>经济目标考核涉及人社牵头的“四大指标”，不折不扣抓好各项工作落实，以更高标准、更高时效完成好相关经济指标，为全县经济社会发展作出人社贡献。二是要紧紧围绕就业促进、社会保障、农民工服务、技能培训、根治欠薪、数字人社“六大工程”，创思路、添举措、提效率，按计划、分步骤、有条不紊</w:t>
      </w:r>
      <w:r>
        <w:rPr>
          <w:rFonts w:ascii="仿宋_GB2312" w:eastAsia="仿宋_GB2312" w:cs="仿宋_GB2312"/>
          <w:sz w:val="32"/>
          <w:szCs w:val="32"/>
        </w:rPr>
        <w:t>地</w:t>
      </w:r>
      <w:r>
        <w:rPr>
          <w:rFonts w:ascii="仿宋_GB2312" w:eastAsia="仿宋_GB2312" w:cs="仿宋_GB2312" w:hint="eastAsia"/>
          <w:sz w:val="32"/>
          <w:szCs w:val="32"/>
        </w:rPr>
        <w:t>加力推进。三是进一步聚焦人社各大业务板块，统筹人事人才、机制改革、队伍建设等中心工作，建机制、重培养、强监督、转作风，为推进人社事业高质量发展树立“人社为民”良好品牌形象。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（二）年度主要任务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ascii="仿宋_GB2312" w:eastAsia="仿宋_GB2312" w:cs="仿宋_GB2312" w:hint="eastAsia"/>
          <w:sz w:val="32"/>
          <w:szCs w:val="32"/>
        </w:rPr>
        <w:t>其他业务管理事务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全县各类参保人员社保卡业务办理；建立全县群众满意的人社公共服务体系“１号工程”；完成全县流动人员档案管理；政务一体化建设。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和谐劳动关系管理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治欠保支，实现民工工资基本无拖欠，构建和谐劳动关系，稳定社会发展。及时解决农民工上访事件。劳动人事纠纷调解，劳动人事争议仲裁、基层调解组织建设。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工资福利等管理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全县机关事业单位目标绩效、工资福利审批、退休审批、工龄认定、后事处理等工作。 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4.</w:t>
      </w:r>
      <w:r>
        <w:rPr>
          <w:rFonts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事业人员工勤人员管理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全县事业单位人员调配、考录聘工作及日常管理。事业岗位变动、晋升；全县专业技术人员的职称评聘</w:t>
      </w:r>
      <w:r>
        <w:rPr>
          <w:rFonts w:ascii="仿宋_GB2312" w:eastAsia="仿宋_GB2312" w:cs="仿宋_GB2312"/>
          <w:sz w:val="32"/>
          <w:szCs w:val="32"/>
        </w:rPr>
        <w:t>；</w:t>
      </w:r>
      <w:r>
        <w:rPr>
          <w:rFonts w:ascii="仿宋_GB2312" w:eastAsia="仿宋_GB2312" w:cs="仿宋_GB2312" w:hint="eastAsia"/>
          <w:sz w:val="32"/>
          <w:szCs w:val="32"/>
        </w:rPr>
        <w:t xml:space="preserve">及时取得职务职级资格证书；高校毕业生“三支一扶”工作人员日常管理 ；工勤人员考试 。 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5.</w:t>
      </w:r>
      <w:r>
        <w:rPr>
          <w:rFonts w:hint="eastAsia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社会保险事务管理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社会保险政策宣传；企业职工（个体）基本养老保险参保、退休、工龄认定；工伤认定；社会保险基金监督。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重点项目1：劳动保障监察专项工作经费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为了贯彻实施劳动和社会保障法律、法规和规章，规范劳动保障监察工作，维护劳动者的合法权益，宣传劳动保障法律和规章，检查用人单位遵守劳动保障法律法规情况，受理对违反劳动保障法律法规的行为的举报。投诉等监察工作。2024年劳动监察费用100000元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个，包括产出指标4个、成本指标1个、效益指标1个和满意度指标1个。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重点项目2：人事人才管理专项经费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项目年度绩效目标：为加强我县事业人员人才队伍建设，提高事业人员工资福利待遇，开展事业单位人事考试面试、笔试工作、事业单位专业技术人员职称评审工作。2024年人事人才专项工作经费90000元。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个，包括产出指标4个、成本指标1个、效益指标1个和满意度1个指标。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Calibri"/>
    <w:panose1 w:val="00000000000000000000"/>
    <w:charset w:val="00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101</TotalTime>
  <Application>Yozo_Office27021597764231179</Application>
  <Pages>3</Pages>
  <Words>1143</Words>
  <Characters>1177</Characters>
  <Lines>59</Lines>
  <Paragraphs>25</Paragraphs>
  <CharactersWithSpaces>1188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3</cp:revision>
  <dcterms:created xsi:type="dcterms:W3CDTF">2023-02-06T06:46:00Z</dcterms:created>
  <dcterms:modified xsi:type="dcterms:W3CDTF">2024-03-14T09:09:50Z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