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96475"/>
      <w:bookmarkStart w:id="4" w:name="_Toc15377425"/>
      <w:bookmarkStart w:id="5" w:name="_Toc15377193"/>
      <w:bookmarkStart w:id="6" w:name="_Toc17072"/>
      <w:bookmarkStart w:id="7" w:name="_Toc11660"/>
      <w:bookmarkStart w:id="8" w:name="_Toc28946"/>
      <w:bookmarkStart w:id="9" w:name="_Toc146125635"/>
      <w:r>
        <w:rPr>
          <w:rFonts w:ascii="方正小标宋简体" w:eastAsia="方正小标宋简体" w:hint="eastAsia"/>
          <w:color w:val="000000"/>
          <w:sz w:val="72"/>
          <w:szCs w:val="72"/>
        </w:rPr>
        <w:t>2022年度</w:t>
      </w:r>
      <w:bookmarkEnd w:id="1"/>
      <w:bookmarkEnd w:id="2"/>
      <w:bookmarkEnd w:id="3"/>
      <w:bookmarkEnd w:id="4"/>
      <w:bookmarkEnd w:id="5"/>
      <w:bookmarkEnd w:id="6"/>
      <w:bookmarkEnd w:id="7"/>
      <w:bookmarkEnd w:id="8"/>
      <w:bookmarkEnd w:id="9"/>
    </w:p>
    <w:p>
      <w:pPr>
        <w:adjustRightInd w:val="0"/>
        <w:snapToGrid w:val="0"/>
        <w:spacing w:line="360" w:lineRule="auto"/>
        <w:jc w:val="center"/>
        <w:outlineLvl w:val="0"/>
        <w:rPr>
          <w:rFonts w:ascii="方正小标宋简体" w:eastAsia="方正小标宋简体"/>
          <w:color w:val="000000"/>
          <w:sz w:val="72"/>
          <w:szCs w:val="72"/>
        </w:rPr>
      </w:pPr>
      <w:bookmarkStart w:id="10" w:name="_Toc15378442"/>
      <w:bookmarkStart w:id="11" w:name="_Toc15377194"/>
      <w:bookmarkStart w:id="12" w:name="_Toc15396476"/>
      <w:bookmarkStart w:id="13" w:name="_Toc15377426"/>
      <w:bookmarkStart w:id="14" w:name="_Toc15396598"/>
      <w:r>
        <w:rPr>
          <w:rFonts w:ascii="方正小标宋简体" w:eastAsia="方正小标宋简体" w:hint="eastAsia"/>
          <w:color w:val="000000"/>
          <w:sz w:val="72"/>
          <w:szCs w:val="72"/>
        </w:rPr>
        <w:t xml:space="preserve"> </w:t>
      </w:r>
      <w:bookmarkStart w:id="15" w:name="_Toc23921"/>
      <w:bookmarkStart w:id="16" w:name="_Toc9675"/>
      <w:bookmarkStart w:id="17" w:name="_Toc12385"/>
      <w:bookmarkStart w:id="18" w:name="_Toc146125636"/>
      <w:r>
        <w:rPr>
          <w:rFonts w:ascii="方正小标宋简体" w:eastAsia="方正小标宋简体" w:hint="eastAsia"/>
          <w:color w:val="000000"/>
          <w:sz w:val="72"/>
          <w:szCs w:val="72"/>
        </w:rPr>
        <w:t>阿坝州</w:t>
      </w:r>
      <w:bookmarkStart w:id="19" w:name="_Toc15306268"/>
      <w:bookmarkEnd w:id="0"/>
      <w:r>
        <w:rPr>
          <w:rFonts w:ascii="方正小标宋简体" w:eastAsia="方正小标宋简体" w:hint="eastAsia"/>
          <w:color w:val="000000"/>
          <w:sz w:val="72"/>
          <w:szCs w:val="72"/>
        </w:rPr>
        <w:t>金川县人力资源和社会保障局部门决算</w:t>
      </w:r>
      <w:bookmarkEnd w:id="10"/>
      <w:bookmarkEnd w:id="11"/>
      <w:bookmarkEnd w:id="12"/>
      <w:bookmarkEnd w:id="13"/>
      <w:bookmarkEnd w:id="14"/>
      <w:bookmarkEnd w:id="15"/>
      <w:bookmarkEnd w:id="16"/>
      <w:bookmarkEnd w:id="17"/>
      <w:bookmarkEnd w:id="18"/>
      <w:bookmarkEnd w:id="19"/>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0"/>
          <w:szCs w:val="30"/>
        </w:rPr>
      </w:pPr>
    </w:p>
    <w:p>
      <w:pPr>
        <w:widowControl/>
        <w:jc w:val="center"/>
        <w:rPr>
          <w:rFonts w:ascii="方正小标宋简体" w:eastAsia="方正小标宋简体"/>
          <w:color w:val="000000"/>
          <w:sz w:val="30"/>
          <w:szCs w:val="30"/>
        </w:rPr>
      </w:pPr>
    </w:p>
    <w:p>
      <w:pPr>
        <w:widowControl/>
        <w:jc w:val="center"/>
        <w:rPr>
          <w:rFonts w:ascii="方正小标宋简体" w:eastAsia="方正小标宋简体"/>
          <w:color w:val="000000"/>
          <w:sz w:val="30"/>
          <w:szCs w:val="30"/>
        </w:rPr>
      </w:pPr>
    </w:p>
    <w:p>
      <w:pPr>
        <w:widowControl/>
        <w:jc w:val="center"/>
        <w:rPr>
          <w:rFonts w:ascii="方正小标宋简体" w:eastAsia="方正小标宋简体"/>
          <w:color w:val="000000"/>
          <w:sz w:val="30"/>
          <w:szCs w:val="30"/>
        </w:rPr>
      </w:pPr>
    </w:p>
    <w:p>
      <w:pPr>
        <w:widowControl/>
        <w:jc w:val="center"/>
        <w:rPr>
          <w:rFonts w:ascii="方正小标宋简体" w:eastAsia="方正小标宋简体"/>
          <w:color w:val="000000"/>
          <w:sz w:val="30"/>
          <w:szCs w:val="30"/>
        </w:rPr>
      </w:pPr>
    </w:p>
    <w:p>
      <w:pPr>
        <w:widowControl/>
        <w:rPr>
          <w:rFonts w:ascii="方正小标宋简体" w:eastAsia="方正小标宋简体"/>
          <w:color w:val="000000"/>
          <w:sz w:val="30"/>
          <w:szCs w:val="30"/>
        </w:rPr>
      </w:pPr>
    </w:p>
    <w:p>
      <w:pPr>
        <w:widowControl/>
        <w:jc w:val="center"/>
        <w:rPr>
          <w:rFonts w:ascii="方正小标宋简体" w:eastAsia="方正小标宋简体"/>
          <w:color w:val="000000"/>
          <w:sz w:val="36"/>
          <w:szCs w:val="36"/>
        </w:rPr>
      </w:pPr>
      <w:r>
        <w:rPr>
          <w:rFonts w:ascii="方正小标宋简体" w:eastAsia="方正小标宋简体"/>
          <w:color w:val="000000"/>
          <w:sz w:val="36"/>
          <w:szCs w:val="36"/>
        </w:rPr>
        <w:br w:type="page"/>
      </w:r>
    </w:p>
    <w:p>
      <w:pPr>
        <w:widowControl/>
        <w:tabs>
          <w:tab w:val="left" w:pos="6495"/>
        </w:tabs>
        <w:jc w:val="left"/>
        <w:rPr>
          <w:rFonts w:ascii="方正小标宋简体" w:eastAsia="方正小标宋简体"/>
          <w:color w:val="000000"/>
          <w:sz w:val="36"/>
          <w:szCs w:val="36"/>
        </w:rPr>
      </w:pPr>
      <w:r>
        <w:rPr>
          <w:rFonts w:ascii="方正小标宋简体" w:eastAsia="方正小标宋简体" w:hint="eastAsia"/>
          <w:color w:val="000000"/>
          <w:sz w:val="36"/>
          <w:szCs w:val="36"/>
        </w:rPr>
        <w:tab/>
      </w:r>
    </w:p>
    <w:p>
      <w:pPr>
        <w:pStyle w:val="20"/>
        <w:tabs>
          <w:tab w:val="right" w:leader="dot" w:pos="8296"/>
        </w:tabs>
        <w:rPr>
          <w:sz w:val="30"/>
          <w:szCs w:val="30"/>
        </w:rPr>
      </w:pPr>
      <w:r>
        <w:rPr>
          <w:rFonts w:ascii="黑体" w:eastAsia="黑体" w:hint="eastAsia"/>
          <w:color w:val="000000"/>
          <w:sz w:val="48"/>
          <w:szCs w:val="48"/>
        </w:rPr>
        <w:t>目录</w:t>
      </w:r>
      <w:r>
        <w:rPr>
          <w:rFonts w:cs="仿宋" w:hint="eastAsia"/>
          <w:color w:val="000000"/>
          <w:sz w:val="30"/>
          <w:szCs w:val="30"/>
        </w:rPr>
        <w:fldChar w:fldCharType="begin"/>
      </w:r>
      <w:r>
        <w:rPr>
          <w:rFonts w:cs="仿宋" w:hint="eastAsia"/>
          <w:color w:val="000000"/>
          <w:sz w:val="30"/>
          <w:szCs w:val="30"/>
        </w:rPr>
        <w:instrText xml:space="preserve"> TOC \o "1-2" \h \z \u </w:instrText>
      </w:r>
      <w:r>
        <w:rPr>
          <w:rFonts w:cs="仿宋" w:hint="eastAsia"/>
          <w:color w:val="000000"/>
          <w:sz w:val="30"/>
          <w:szCs w:val="30"/>
        </w:rPr>
        <w:fldChar w:fldCharType="separate"/>
      </w:r>
    </w:p>
    <w:p>
      <w:pPr>
        <w:pStyle w:val="20"/>
        <w:tabs>
          <w:tab w:val="right" w:leader="dot" w:pos="8296"/>
        </w:tabs>
        <w:rPr>
          <w:rFonts w:ascii="等线" w:eastAsia="等线" w:cs="Arial"/>
          <w:sz w:val="30"/>
          <w:szCs w:val="30"/>
        </w:rPr>
      </w:pPr>
      <w:r>
        <w:rPr>
          <w:rStyle w:val="24"/>
          <w:sz w:val="30"/>
          <w:szCs w:val="30"/>
        </w:rPr>
        <w:t xml:space="preserve"> </w:t>
      </w:r>
    </w:p>
    <w:p>
      <w:pPr>
        <w:pStyle w:val="20"/>
        <w:tabs>
          <w:tab w:val="right" w:leader="dot" w:pos="8296"/>
        </w:tabs>
        <w:rPr>
          <w:rFonts w:ascii="等线" w:eastAsia="等线" w:cs="Arial"/>
          <w:sz w:val="30"/>
          <w:szCs w:val="30"/>
        </w:rPr>
      </w:pPr>
      <w:r>
        <w:fldChar w:fldCharType="begin"/>
      </w:r>
      <w:r>
        <w:instrText>Hyperlink \l "_Toc146125637"</w:instrText>
      </w:r>
      <w:r>
        <w:fldChar w:fldCharType="separate"/>
      </w:r>
      <w:r>
        <w:rPr>
          <w:rFonts w:ascii="黑体" w:eastAsia="黑体"/>
          <w:sz w:val="30"/>
          <w:szCs w:val="30"/>
        </w:rPr>
        <w:t>第一部分 部门概况</w:t>
      </w:r>
      <w:r>
        <w:rPr>
          <w:sz w:val="30"/>
          <w:szCs w:val="30"/>
        </w:rPr>
        <w:tab/>
      </w:r>
      <w:r>
        <w:rPr>
          <w:sz w:val="30"/>
          <w:szCs w:val="30"/>
        </w:rPr>
        <w:fldChar w:fldCharType="begin"/>
      </w:r>
      <w:r>
        <w:rPr>
          <w:sz w:val="30"/>
          <w:szCs w:val="30"/>
        </w:rPr>
        <w:instrText xml:space="preserve"> PAGEREF _Toc146125637 \h </w:instrText>
      </w:r>
      <w:r>
        <w:rPr>
          <w:sz w:val="30"/>
          <w:szCs w:val="30"/>
        </w:rPr>
        <w:fldChar w:fldCharType="separate"/>
      </w:r>
      <w:r>
        <w:rPr>
          <w:sz w:val="30"/>
          <w:szCs w:val="30"/>
        </w:rPr>
        <w:t>4</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"_Toc146125638"</w:instrText>
      </w:r>
      <w:r>
        <w:fldChar w:fldCharType="separate"/>
      </w:r>
      <w:r>
        <w:rPr>
          <w:rFonts w:ascii="黑体" w:eastAsia="黑体"/>
          <w:sz w:val="30"/>
          <w:szCs w:val="30"/>
        </w:rPr>
        <w:t>一、基本职能及主要工作</w:t>
      </w:r>
      <w:r>
        <w:rPr>
          <w:sz w:val="30"/>
          <w:szCs w:val="30"/>
        </w:rPr>
        <w:tab/>
      </w:r>
      <w:r>
        <w:rPr>
          <w:sz w:val="30"/>
          <w:szCs w:val="30"/>
        </w:rPr>
        <w:fldChar w:fldCharType="begin"/>
      </w:r>
      <w:r>
        <w:rPr>
          <w:sz w:val="30"/>
          <w:szCs w:val="30"/>
        </w:rPr>
        <w:instrText xml:space="preserve"> PAGEREF _Toc146125638 \h </w:instrText>
      </w:r>
      <w:r>
        <w:rPr>
          <w:sz w:val="30"/>
          <w:szCs w:val="30"/>
        </w:rPr>
        <w:fldChar w:fldCharType="separate"/>
      </w:r>
      <w:r>
        <w:rPr>
          <w:sz w:val="30"/>
          <w:szCs w:val="30"/>
        </w:rPr>
        <w:t>4</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"_Toc146125639"</w:instrText>
      </w:r>
      <w:r>
        <w:fldChar w:fldCharType="separate"/>
      </w:r>
      <w:r>
        <w:rPr>
          <w:rFonts w:ascii="楷体" w:eastAsia="楷体" w:cs="楷体"/>
          <w:sz w:val="30"/>
          <w:szCs w:val="30"/>
        </w:rPr>
        <w:t>（一）主要职能</w:t>
      </w:r>
      <w:r>
        <w:rPr>
          <w:sz w:val="30"/>
          <w:szCs w:val="30"/>
        </w:rPr>
        <w:tab/>
      </w:r>
      <w:r>
        <w:rPr>
          <w:sz w:val="30"/>
          <w:szCs w:val="30"/>
        </w:rPr>
        <w:fldChar w:fldCharType="begin"/>
      </w:r>
      <w:r>
        <w:rPr>
          <w:sz w:val="30"/>
          <w:szCs w:val="30"/>
        </w:rPr>
        <w:instrText xml:space="preserve"> PAGEREF _Toc146125639 \h </w:instrText>
      </w:r>
      <w:r>
        <w:rPr>
          <w:sz w:val="30"/>
          <w:szCs w:val="30"/>
        </w:rPr>
        <w:fldChar w:fldCharType="separate"/>
      </w:r>
      <w:r>
        <w:rPr>
          <w:sz w:val="30"/>
          <w:szCs w:val="30"/>
        </w:rPr>
        <w:t>4</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"_Toc146125640"</w:instrText>
      </w:r>
      <w:r>
        <w:fldChar w:fldCharType="separate"/>
      </w:r>
      <w:r>
        <w:rPr>
          <w:rFonts w:ascii="楷体" w:eastAsia="楷体" w:cs="楷体"/>
          <w:sz w:val="30"/>
          <w:szCs w:val="30"/>
        </w:rPr>
        <w:t>（二）2022年重点工作完成情况</w:t>
      </w:r>
      <w:r>
        <w:rPr>
          <w:sz w:val="30"/>
          <w:szCs w:val="30"/>
        </w:rPr>
        <w:tab/>
      </w:r>
      <w:r>
        <w:rPr>
          <w:sz w:val="30"/>
          <w:szCs w:val="30"/>
        </w:rPr>
        <w:fldChar w:fldCharType="begin"/>
      </w:r>
      <w:r>
        <w:rPr>
          <w:sz w:val="30"/>
          <w:szCs w:val="30"/>
        </w:rPr>
        <w:instrText xml:space="preserve"> PAGEREF _Toc146125640 \h </w:instrText>
      </w:r>
      <w:r>
        <w:rPr>
          <w:sz w:val="30"/>
          <w:szCs w:val="30"/>
        </w:rPr>
        <w:fldChar w:fldCharType="separate"/>
      </w:r>
      <w:r>
        <w:rPr>
          <w:sz w:val="30"/>
          <w:szCs w:val="30"/>
        </w:rPr>
        <w:t>4</w:t>
      </w:r>
      <w:r>
        <w:rPr>
          <w:sz w:val="30"/>
          <w:szCs w:val="30"/>
        </w:rPr>
        <w:fldChar w:fldCharType="end"/>
      </w:r>
      <w:r>
        <w:fldChar w:fldCharType="end"/>
      </w:r>
    </w:p>
    <w:p>
      <w:pPr>
        <w:pStyle w:val="20"/>
        <w:tabs>
          <w:tab w:val="right" w:leader="dot" w:pos="8296"/>
        </w:tabs>
        <w:rPr>
          <w:rFonts w:ascii="等线" w:eastAsia="等线" w:cs="Arial"/>
          <w:sz w:val="30"/>
          <w:szCs w:val="30"/>
        </w:rPr>
      </w:pPr>
      <w:r>
        <w:fldChar w:fldCharType="begin"/>
      </w:r>
      <w:r>
        <w:instrText>Hyperlink \l "_Toc146125641"</w:instrText>
      </w:r>
      <w:r>
        <w:fldChar w:fldCharType="separate"/>
      </w:r>
      <w:r>
        <w:rPr>
          <w:rFonts w:ascii="黑体" w:eastAsia="黑体"/>
          <w:sz w:val="30"/>
          <w:szCs w:val="30"/>
        </w:rPr>
        <w:t>第二部分2022年度部门决算情况说明</w:t>
      </w:r>
      <w:r>
        <w:rPr>
          <w:sz w:val="30"/>
          <w:szCs w:val="30"/>
        </w:rPr>
        <w:tab/>
      </w:r>
      <w:r>
        <w:rPr>
          <w:sz w:val="30"/>
          <w:szCs w:val="30"/>
        </w:rPr>
        <w:fldChar w:fldCharType="begin"/>
      </w:r>
      <w:r>
        <w:rPr>
          <w:sz w:val="30"/>
          <w:szCs w:val="30"/>
        </w:rPr>
        <w:instrText xml:space="preserve"> PAGEREF _Toc146125641 \h </w:instrText>
      </w:r>
      <w:r>
        <w:rPr>
          <w:sz w:val="30"/>
          <w:szCs w:val="30"/>
        </w:rPr>
        <w:fldChar w:fldCharType="separate"/>
      </w:r>
      <w:r>
        <w:rPr>
          <w:sz w:val="30"/>
          <w:szCs w:val="30"/>
        </w:rPr>
        <w:t>12</w:t>
      </w:r>
      <w:r>
        <w:rPr>
          <w:sz w:val="30"/>
          <w:szCs w:val="30"/>
        </w:rPr>
        <w:fldChar w:fldCharType="end"/>
      </w:r>
      <w:r>
        <w:fldChar w:fldCharType="end"/>
      </w:r>
    </w:p>
    <w:p>
      <w:pPr>
        <w:pStyle w:val="21"/>
        <w:tabs>
          <w:tab w:val="left" w:pos="1050"/>
          <w:tab w:val="right" w:leader="dot" w:pos="8296"/>
        </w:tabs>
        <w:rPr>
          <w:rFonts w:ascii="等线" w:eastAsia="等线" w:cs="Arial"/>
          <w:sz w:val="30"/>
          <w:szCs w:val="30"/>
        </w:rPr>
      </w:pPr>
      <w:r>
        <w:fldChar w:fldCharType="begin"/>
      </w:r>
      <w:r>
        <w:instrText>Hyperlink \l "_Toc146125642"</w:instrText>
      </w:r>
      <w:r>
        <w:fldChar w:fldCharType="separate"/>
      </w:r>
      <w:r>
        <w:rPr>
          <w:rFonts w:ascii="黑体" w:eastAsia="黑体"/>
          <w:bCs/>
          <w:sz w:val="30"/>
          <w:szCs w:val="30"/>
        </w:rPr>
        <w:t>一、</w:t>
      </w:r>
      <w:r>
        <w:rPr>
          <w:rFonts w:ascii="等线" w:eastAsia="等线" w:cs="Arial"/>
          <w:sz w:val="30"/>
          <w:szCs w:val="30"/>
        </w:rPr>
        <w:tab/>
      </w:r>
      <w:r>
        <w:rPr>
          <w:rFonts w:ascii="黑体" w:eastAsia="黑体"/>
          <w:sz w:val="30"/>
          <w:szCs w:val="30"/>
        </w:rPr>
        <w:t>收</w:t>
      </w:r>
      <w:r>
        <w:rPr>
          <w:rFonts w:ascii="黑体" w:eastAsia="黑体"/>
          <w:bCs/>
          <w:sz w:val="30"/>
          <w:szCs w:val="30"/>
        </w:rPr>
        <w:t>入支出决算总体情况说明</w:t>
      </w:r>
      <w:r>
        <w:rPr>
          <w:sz w:val="30"/>
          <w:szCs w:val="30"/>
        </w:rPr>
        <w:tab/>
      </w:r>
      <w:r>
        <w:rPr>
          <w:sz w:val="30"/>
          <w:szCs w:val="30"/>
        </w:rPr>
        <w:fldChar w:fldCharType="begin"/>
      </w:r>
      <w:r>
        <w:rPr>
          <w:sz w:val="30"/>
          <w:szCs w:val="30"/>
        </w:rPr>
        <w:instrText xml:space="preserve"> PAGEREF _Toc146125642 \h </w:instrText>
      </w:r>
      <w:r>
        <w:rPr>
          <w:sz w:val="30"/>
          <w:szCs w:val="30"/>
        </w:rPr>
        <w:fldChar w:fldCharType="separate"/>
      </w:r>
      <w:r>
        <w:rPr>
          <w:sz w:val="30"/>
          <w:szCs w:val="30"/>
        </w:rPr>
        <w:t>12</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"_Toc146125643"</w:instrText>
      </w:r>
      <w:r>
        <w:fldChar w:fldCharType="separate"/>
      </w:r>
      <w:r>
        <w:rPr>
          <w:rFonts w:ascii="黑体" w:eastAsia="黑体"/>
          <w:sz w:val="30"/>
          <w:szCs w:val="30"/>
        </w:rPr>
        <w:t>二、收入决算情况说明</w:t>
      </w:r>
      <w:r>
        <w:rPr>
          <w:sz w:val="30"/>
          <w:szCs w:val="30"/>
        </w:rPr>
        <w:tab/>
      </w:r>
      <w:r>
        <w:rPr>
          <w:sz w:val="30"/>
          <w:szCs w:val="30"/>
        </w:rPr>
        <w:fldChar w:fldCharType="begin"/>
      </w:r>
      <w:r>
        <w:rPr>
          <w:sz w:val="30"/>
          <w:szCs w:val="30"/>
        </w:rPr>
        <w:instrText xml:space="preserve"> PAGEREF _Toc146125643 \h </w:instrText>
      </w:r>
      <w:r>
        <w:rPr>
          <w:sz w:val="30"/>
          <w:szCs w:val="30"/>
        </w:rPr>
        <w:fldChar w:fldCharType="separate"/>
      </w:r>
      <w:r>
        <w:rPr>
          <w:sz w:val="30"/>
          <w:szCs w:val="30"/>
        </w:rPr>
        <w:t>12</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"_Toc146125644"</w:instrText>
      </w:r>
      <w:r>
        <w:fldChar w:fldCharType="separate"/>
      </w:r>
      <w:r>
        <w:rPr>
          <w:rFonts w:ascii="黑体" w:eastAsia="黑体"/>
          <w:sz w:val="30"/>
          <w:szCs w:val="30"/>
        </w:rPr>
        <w:t>三、支出决</w:t>
      </w:r>
      <w:r>
        <w:rPr>
          <w:rFonts w:ascii="黑体" w:eastAsia="黑体"/>
          <w:bCs/>
          <w:sz w:val="30"/>
          <w:szCs w:val="30"/>
        </w:rPr>
        <w:t>算情况说明</w:t>
      </w:r>
      <w:r>
        <w:rPr>
          <w:sz w:val="30"/>
          <w:szCs w:val="30"/>
        </w:rPr>
        <w:tab/>
      </w:r>
      <w:r>
        <w:rPr>
          <w:sz w:val="30"/>
          <w:szCs w:val="30"/>
        </w:rPr>
        <w:fldChar w:fldCharType="begin"/>
      </w:r>
      <w:r>
        <w:rPr>
          <w:sz w:val="30"/>
          <w:szCs w:val="30"/>
        </w:rPr>
        <w:instrText xml:space="preserve"> PAGEREF _Toc146125644 \h </w:instrText>
      </w:r>
      <w:r>
        <w:rPr>
          <w:sz w:val="30"/>
          <w:szCs w:val="30"/>
        </w:rPr>
        <w:fldChar w:fldCharType="separate"/>
      </w:r>
      <w:r>
        <w:rPr>
          <w:sz w:val="30"/>
          <w:szCs w:val="30"/>
        </w:rPr>
        <w:t>13</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"_Toc146125645"</w:instrText>
      </w:r>
      <w:r>
        <w:fldChar w:fldCharType="separate"/>
      </w:r>
      <w:r>
        <w:rPr>
          <w:rFonts w:ascii="黑体" w:eastAsia="黑体"/>
          <w:sz w:val="30"/>
          <w:szCs w:val="30"/>
        </w:rPr>
        <w:t>四、财</w:t>
      </w:r>
      <w:r>
        <w:rPr>
          <w:rFonts w:ascii="黑体" w:eastAsia="黑体"/>
          <w:bCs/>
          <w:sz w:val="30"/>
          <w:szCs w:val="30"/>
        </w:rPr>
        <w:t>政拨款收入支出决算总体情况说明</w:t>
      </w:r>
      <w:r>
        <w:rPr>
          <w:sz w:val="30"/>
          <w:szCs w:val="30"/>
        </w:rPr>
        <w:tab/>
      </w:r>
      <w:r>
        <w:rPr>
          <w:sz w:val="30"/>
          <w:szCs w:val="30"/>
        </w:rPr>
        <w:fldChar w:fldCharType="begin"/>
      </w:r>
      <w:r>
        <w:rPr>
          <w:sz w:val="30"/>
          <w:szCs w:val="30"/>
        </w:rPr>
        <w:instrText xml:space="preserve"> PAGEREF _Toc146125645 \h </w:instrText>
      </w:r>
      <w:r>
        <w:rPr>
          <w:sz w:val="30"/>
          <w:szCs w:val="30"/>
        </w:rPr>
        <w:fldChar w:fldCharType="separate"/>
      </w:r>
      <w:r>
        <w:rPr>
          <w:sz w:val="30"/>
          <w:szCs w:val="30"/>
        </w:rPr>
        <w:t>13</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"_Toc146125646"</w:instrText>
      </w:r>
      <w:r>
        <w:fldChar w:fldCharType="separate"/>
      </w:r>
      <w:r>
        <w:rPr>
          <w:rFonts w:ascii="黑体" w:eastAsia="黑体"/>
          <w:sz w:val="30"/>
          <w:szCs w:val="30"/>
        </w:rPr>
        <w:t>五、一般公共预算财政拨款支出决算情况说明</w:t>
      </w:r>
      <w:r>
        <w:rPr>
          <w:sz w:val="30"/>
          <w:szCs w:val="30"/>
        </w:rPr>
        <w:tab/>
      </w:r>
      <w:r>
        <w:rPr>
          <w:sz w:val="30"/>
          <w:szCs w:val="30"/>
        </w:rPr>
        <w:fldChar w:fldCharType="begin"/>
      </w:r>
      <w:r>
        <w:rPr>
          <w:sz w:val="30"/>
          <w:szCs w:val="30"/>
        </w:rPr>
        <w:instrText xml:space="preserve"> PAGEREF _Toc146125646 \h </w:instrText>
      </w:r>
      <w:r>
        <w:rPr>
          <w:sz w:val="30"/>
          <w:szCs w:val="30"/>
        </w:rPr>
        <w:fldChar w:fldCharType="separate"/>
      </w:r>
      <w:r>
        <w:rPr>
          <w:sz w:val="30"/>
          <w:szCs w:val="30"/>
        </w:rPr>
        <w:t>14</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"_Toc146125647"</w:instrText>
      </w:r>
      <w:r>
        <w:fldChar w:fldCharType="separate"/>
      </w:r>
      <w:r>
        <w:rPr>
          <w:rFonts w:ascii="黑体" w:eastAsia="黑体"/>
          <w:sz w:val="30"/>
          <w:szCs w:val="30"/>
        </w:rPr>
        <w:t>六、一般公共预算财政拨款基本支出决算情况说明</w:t>
      </w:r>
      <w:r>
        <w:rPr>
          <w:sz w:val="30"/>
          <w:szCs w:val="30"/>
        </w:rPr>
        <w:tab/>
      </w:r>
      <w:r>
        <w:rPr>
          <w:sz w:val="30"/>
          <w:szCs w:val="30"/>
        </w:rPr>
        <w:fldChar w:fldCharType="begin"/>
      </w:r>
      <w:r>
        <w:rPr>
          <w:sz w:val="30"/>
          <w:szCs w:val="30"/>
        </w:rPr>
        <w:instrText xml:space="preserve"> PAGEREF _Toc146125647 \h </w:instrText>
      </w:r>
      <w:r>
        <w:rPr>
          <w:sz w:val="30"/>
          <w:szCs w:val="30"/>
        </w:rPr>
        <w:fldChar w:fldCharType="separate"/>
      </w:r>
      <w:r>
        <w:rPr>
          <w:sz w:val="30"/>
          <w:szCs w:val="30"/>
        </w:rPr>
        <w:t>17</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"_Toc146125648"</w:instrText>
      </w:r>
      <w:r>
        <w:fldChar w:fldCharType="separate"/>
      </w:r>
      <w:r>
        <w:rPr>
          <w:rFonts w:ascii="黑体" w:eastAsia="黑体"/>
          <w:sz w:val="30"/>
          <w:szCs w:val="30"/>
        </w:rPr>
        <w:t>七、</w:t>
      </w:r>
      <w:r>
        <w:rPr>
          <w:rFonts w:ascii="黑体" w:eastAsia="黑体"/>
          <w:b/>
          <w:bCs/>
          <w:sz w:val="30"/>
          <w:szCs w:val="30"/>
        </w:rPr>
        <w:t>“</w:t>
      </w:r>
      <w:r>
        <w:rPr>
          <w:rFonts w:ascii="黑体" w:eastAsia="黑体"/>
          <w:bCs/>
          <w:sz w:val="30"/>
          <w:szCs w:val="30"/>
        </w:rPr>
        <w:t>三公”经费财政拨款支出决算情况说明</w:t>
      </w:r>
      <w:r>
        <w:rPr>
          <w:sz w:val="30"/>
          <w:szCs w:val="30"/>
        </w:rPr>
        <w:tab/>
      </w:r>
      <w:r>
        <w:rPr>
          <w:sz w:val="30"/>
          <w:szCs w:val="30"/>
        </w:rPr>
        <w:fldChar w:fldCharType="begin"/>
      </w:r>
      <w:r>
        <w:rPr>
          <w:sz w:val="30"/>
          <w:szCs w:val="30"/>
        </w:rPr>
        <w:instrText xml:space="preserve"> PAGEREF _Toc146125648 \h </w:instrText>
      </w:r>
      <w:r>
        <w:rPr>
          <w:sz w:val="30"/>
          <w:szCs w:val="30"/>
        </w:rPr>
        <w:fldChar w:fldCharType="separate"/>
      </w:r>
      <w:r>
        <w:rPr>
          <w:sz w:val="30"/>
          <w:szCs w:val="30"/>
        </w:rPr>
        <w:t>17</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"_Toc146125651"</w:instrText>
      </w:r>
      <w:r>
        <w:fldChar w:fldCharType="separate"/>
      </w:r>
      <w:r>
        <w:rPr>
          <w:rFonts w:ascii="黑体" w:eastAsia="黑体"/>
          <w:sz w:val="30"/>
          <w:szCs w:val="30"/>
        </w:rPr>
        <w:t>八、</w:t>
      </w:r>
      <w:r>
        <w:rPr>
          <w:rFonts w:ascii="黑体" w:eastAsia="黑体"/>
          <w:bCs/>
          <w:sz w:val="30"/>
          <w:szCs w:val="30"/>
        </w:rPr>
        <w:t>政府性基金预算支出决算情况说明</w:t>
      </w:r>
      <w:r>
        <w:rPr>
          <w:sz w:val="30"/>
          <w:szCs w:val="30"/>
        </w:rPr>
        <w:tab/>
      </w:r>
      <w:r>
        <w:rPr>
          <w:sz w:val="30"/>
          <w:szCs w:val="30"/>
        </w:rPr>
        <w:fldChar w:fldCharType="begin"/>
      </w:r>
      <w:r>
        <w:rPr>
          <w:sz w:val="30"/>
          <w:szCs w:val="30"/>
        </w:rPr>
        <w:instrText xml:space="preserve"> PAGEREF _Toc146125651 \h </w:instrText>
      </w:r>
      <w:r>
        <w:rPr>
          <w:sz w:val="30"/>
          <w:szCs w:val="30"/>
        </w:rPr>
        <w:fldChar w:fldCharType="separate"/>
      </w:r>
      <w:r>
        <w:rPr>
          <w:sz w:val="30"/>
          <w:szCs w:val="30"/>
        </w:rPr>
        <w:t>19</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"_Toc146125652"</w:instrText>
      </w:r>
      <w:r>
        <w:fldChar w:fldCharType="separate"/>
      </w:r>
      <w:r>
        <w:rPr>
          <w:rFonts w:ascii="黑体" w:eastAsia="黑体"/>
          <w:bCs/>
          <w:sz w:val="30"/>
          <w:szCs w:val="30"/>
        </w:rPr>
        <w:t>九、 国有资本经营预算支出决算情况说明</w:t>
      </w:r>
      <w:r>
        <w:rPr>
          <w:sz w:val="30"/>
          <w:szCs w:val="30"/>
        </w:rPr>
        <w:tab/>
      </w:r>
      <w:r>
        <w:rPr>
          <w:sz w:val="30"/>
          <w:szCs w:val="30"/>
        </w:rPr>
        <w:fldChar w:fldCharType="begin"/>
      </w:r>
      <w:r>
        <w:rPr>
          <w:sz w:val="30"/>
          <w:szCs w:val="30"/>
        </w:rPr>
        <w:instrText xml:space="preserve"> PAGEREF _Toc146125652 \h </w:instrText>
      </w:r>
      <w:r>
        <w:rPr>
          <w:sz w:val="30"/>
          <w:szCs w:val="30"/>
        </w:rPr>
        <w:fldChar w:fldCharType="separate"/>
      </w:r>
      <w:r>
        <w:rPr>
          <w:sz w:val="30"/>
          <w:szCs w:val="30"/>
        </w:rPr>
        <w:t>19</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"_Toc146125653"</w:instrText>
      </w:r>
      <w:r>
        <w:fldChar w:fldCharType="separate"/>
      </w:r>
      <w:r>
        <w:rPr>
          <w:rFonts w:ascii="黑体" w:eastAsia="黑体"/>
          <w:bCs/>
          <w:sz w:val="30"/>
          <w:szCs w:val="30"/>
        </w:rPr>
        <w:t>十、 预算绩效情况说明</w:t>
      </w:r>
      <w:r>
        <w:rPr>
          <w:sz w:val="30"/>
          <w:szCs w:val="30"/>
        </w:rPr>
        <w:tab/>
      </w:r>
      <w:r>
        <w:rPr>
          <w:sz w:val="30"/>
          <w:szCs w:val="30"/>
        </w:rPr>
        <w:fldChar w:fldCharType="begin"/>
      </w:r>
      <w:r>
        <w:rPr>
          <w:sz w:val="30"/>
          <w:szCs w:val="30"/>
        </w:rPr>
        <w:instrText xml:space="preserve"> PAGEREF _Toc146125653 \h </w:instrText>
      </w:r>
      <w:r>
        <w:rPr>
          <w:sz w:val="30"/>
          <w:szCs w:val="30"/>
        </w:rPr>
        <w:fldChar w:fldCharType="separate"/>
      </w:r>
      <w:r>
        <w:rPr>
          <w:sz w:val="30"/>
          <w:szCs w:val="30"/>
        </w:rPr>
        <w:t>19</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"_Toc146125654"</w:instrText>
      </w:r>
      <w:r>
        <w:fldChar w:fldCharType="separate"/>
      </w:r>
      <w:r>
        <w:rPr>
          <w:rFonts w:ascii="黑体" w:eastAsia="黑体"/>
          <w:sz w:val="30"/>
          <w:szCs w:val="30"/>
        </w:rPr>
        <w:t>十</w:t>
      </w:r>
      <w:r>
        <w:rPr>
          <w:rFonts w:ascii="黑体" w:eastAsia="黑体"/>
          <w:b/>
          <w:bCs/>
          <w:sz w:val="30"/>
          <w:szCs w:val="30"/>
        </w:rPr>
        <w:t>一、</w:t>
      </w:r>
      <w:r>
        <w:rPr>
          <w:rFonts w:ascii="黑体" w:eastAsia="黑体"/>
          <w:bCs/>
          <w:sz w:val="30"/>
          <w:szCs w:val="30"/>
        </w:rPr>
        <w:t>其他重要事项的情况说明</w:t>
      </w:r>
      <w:r>
        <w:rPr>
          <w:sz w:val="30"/>
          <w:szCs w:val="30"/>
        </w:rPr>
        <w:tab/>
      </w:r>
      <w:r>
        <w:rPr>
          <w:sz w:val="30"/>
          <w:szCs w:val="30"/>
        </w:rPr>
        <w:fldChar w:fldCharType="begin"/>
      </w:r>
      <w:r>
        <w:rPr>
          <w:sz w:val="30"/>
          <w:szCs w:val="30"/>
        </w:rPr>
        <w:instrText xml:space="preserve"> PAGEREF _Toc146125654 \h </w:instrText>
      </w:r>
      <w:r>
        <w:rPr>
          <w:sz w:val="30"/>
          <w:szCs w:val="30"/>
        </w:rPr>
        <w:fldChar w:fldCharType="separate"/>
      </w:r>
      <w:r>
        <w:rPr>
          <w:sz w:val="30"/>
          <w:szCs w:val="30"/>
        </w:rPr>
        <w:t>21</w:t>
      </w:r>
      <w:r>
        <w:rPr>
          <w:sz w:val="30"/>
          <w:szCs w:val="30"/>
        </w:rPr>
        <w:fldChar w:fldCharType="end"/>
      </w:r>
      <w:r>
        <w:fldChar w:fldCharType="end"/>
      </w:r>
    </w:p>
    <w:p>
      <w:pPr>
        <w:pStyle w:val="20"/>
        <w:tabs>
          <w:tab w:val="right" w:leader="dot" w:pos="8296"/>
        </w:tabs>
        <w:rPr>
          <w:rFonts w:ascii="等线" w:eastAsia="等线" w:cs="Arial"/>
          <w:sz w:val="30"/>
          <w:szCs w:val="30"/>
        </w:rPr>
      </w:pPr>
      <w:r>
        <w:fldChar w:fldCharType="begin"/>
      </w:r>
      <w:r>
        <w:instrText>Hyperlink \l "_Toc146125655"</w:instrText>
      </w:r>
      <w:r>
        <w:fldChar w:fldCharType="separate"/>
      </w:r>
      <w:r>
        <w:rPr>
          <w:rFonts w:ascii="黑体" w:eastAsia="黑体"/>
          <w:bCs/>
          <w:kern w:val="44"/>
          <w:sz w:val="30"/>
          <w:szCs w:val="30"/>
        </w:rPr>
        <w:t>第三部分</w:t>
      </w:r>
      <w:r>
        <w:rPr>
          <w:rFonts w:ascii="黑体" w:eastAsia="黑体"/>
          <w:b/>
          <w:sz w:val="30"/>
          <w:szCs w:val="30"/>
        </w:rPr>
        <w:t xml:space="preserve"> 名</w:t>
      </w:r>
      <w:r>
        <w:rPr>
          <w:rFonts w:ascii="黑体" w:eastAsia="黑体"/>
          <w:bCs/>
          <w:kern w:val="44"/>
          <w:sz w:val="30"/>
          <w:szCs w:val="30"/>
        </w:rPr>
        <w:t>词解释</w:t>
      </w:r>
      <w:r>
        <w:rPr>
          <w:sz w:val="30"/>
          <w:szCs w:val="30"/>
        </w:rPr>
        <w:tab/>
      </w:r>
      <w:r>
        <w:rPr>
          <w:sz w:val="30"/>
          <w:szCs w:val="30"/>
        </w:rPr>
        <w:fldChar w:fldCharType="begin"/>
      </w:r>
      <w:r>
        <w:rPr>
          <w:sz w:val="30"/>
          <w:szCs w:val="30"/>
        </w:rPr>
        <w:instrText xml:space="preserve"> PAGEREF _Toc146125655 \h </w:instrText>
      </w:r>
      <w:r>
        <w:rPr>
          <w:sz w:val="30"/>
          <w:szCs w:val="30"/>
        </w:rPr>
        <w:fldChar w:fldCharType="separate"/>
      </w:r>
      <w:r>
        <w:rPr>
          <w:sz w:val="30"/>
          <w:szCs w:val="30"/>
        </w:rPr>
        <w:t>21</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"_Toc146125656"</w:instrText>
      </w:r>
      <w:r>
        <w:fldChar w:fldCharType="separate"/>
      </w:r>
      <w:r>
        <w:rPr>
          <w:rFonts w:ascii="仿宋" w:eastAsia="仿宋"/>
          <w:kern w:val="44"/>
          <w:sz w:val="30"/>
          <w:szCs w:val="30"/>
        </w:rPr>
        <w:t>附件1</w:t>
      </w:r>
      <w:r>
        <w:rPr>
          <w:sz w:val="30"/>
          <w:szCs w:val="30"/>
        </w:rPr>
        <w:tab/>
      </w:r>
      <w:r>
        <w:rPr>
          <w:sz w:val="30"/>
          <w:szCs w:val="30"/>
        </w:rPr>
        <w:fldChar w:fldCharType="begin"/>
      </w:r>
      <w:r>
        <w:rPr>
          <w:sz w:val="30"/>
          <w:szCs w:val="30"/>
        </w:rPr>
        <w:instrText xml:space="preserve"> PAGEREF _Toc146125656 \h </w:instrText>
      </w:r>
      <w:r>
        <w:rPr>
          <w:sz w:val="30"/>
          <w:szCs w:val="30"/>
        </w:rPr>
        <w:fldChar w:fldCharType="separate"/>
      </w:r>
      <w:r>
        <w:rPr>
          <w:sz w:val="30"/>
          <w:szCs w:val="30"/>
        </w:rPr>
        <w:t>24</w:t>
      </w:r>
      <w:r>
        <w:rPr>
          <w:sz w:val="30"/>
          <w:szCs w:val="30"/>
        </w:rPr>
        <w:fldChar w:fldCharType="end"/>
      </w:r>
      <w:r>
        <w:fldChar w:fldCharType="end"/>
      </w:r>
    </w:p>
    <w:p>
      <w:pPr>
        <w:pStyle w:val="20"/>
        <w:tabs>
          <w:tab w:val="right" w:leader="dot" w:pos="8296"/>
        </w:tabs>
        <w:rPr>
          <w:rFonts w:ascii="等线" w:eastAsia="等线" w:cs="Arial"/>
          <w:sz w:val="30"/>
          <w:szCs w:val="30"/>
        </w:rPr>
      </w:pPr>
      <w:r>
        <w:fldChar w:fldCharType="begin"/>
      </w:r>
      <w:r>
        <w:instrText>Hyperlink \l "_Toc146125657"</w:instrText>
      </w:r>
      <w:r>
        <w:fldChar w:fldCharType="separate"/>
      </w:r>
      <w:r>
        <w:rPr>
          <w:rFonts w:ascii="黑体" w:eastAsia="黑体"/>
          <w:bCs/>
          <w:kern w:val="44"/>
          <w:sz w:val="30"/>
          <w:szCs w:val="30"/>
        </w:rPr>
        <w:t>第四部分 附件</w:t>
      </w:r>
      <w:r>
        <w:rPr>
          <w:sz w:val="30"/>
          <w:szCs w:val="30"/>
        </w:rPr>
        <w:tab/>
      </w:r>
      <w:r>
        <w:rPr>
          <w:sz w:val="30"/>
          <w:szCs w:val="30"/>
        </w:rPr>
        <w:fldChar w:fldCharType="begin"/>
      </w:r>
      <w:r>
        <w:rPr>
          <w:sz w:val="30"/>
          <w:szCs w:val="30"/>
        </w:rPr>
        <w:instrText xml:space="preserve"> PAGEREF _Toc146125657 \h </w:instrText>
      </w:r>
      <w:r>
        <w:rPr>
          <w:sz w:val="30"/>
          <w:szCs w:val="30"/>
        </w:rPr>
        <w:fldChar w:fldCharType="separate"/>
      </w:r>
      <w:r>
        <w:rPr>
          <w:sz w:val="30"/>
          <w:szCs w:val="30"/>
        </w:rPr>
        <w:t>24</w:t>
      </w:r>
      <w:r>
        <w:rPr>
          <w:sz w:val="30"/>
          <w:szCs w:val="30"/>
        </w:rPr>
        <w:fldChar w:fldCharType="end"/>
      </w:r>
      <w:r>
        <w:fldChar w:fldCharType="end"/>
      </w:r>
    </w:p>
    <w:p>
      <w:pPr>
        <w:pStyle w:val="20"/>
        <w:tabs>
          <w:tab w:val="right" w:leader="dot" w:pos="8296"/>
        </w:tabs>
        <w:rPr>
          <w:rFonts w:ascii="等线" w:eastAsia="等线" w:cs="Arial"/>
          <w:sz w:val="30"/>
          <w:szCs w:val="30"/>
        </w:rPr>
      </w:pPr>
      <w:r>
        <w:fldChar w:fldCharType="begin"/>
      </w:r>
      <w:r>
        <w:instrText>Hyperlink \l "_Toc146125658"</w:instrText>
      </w:r>
      <w:r>
        <w:fldChar w:fldCharType="separate"/>
      </w:r>
      <w:r>
        <w:rPr>
          <w:rFonts w:eastAsia="黑体"/>
          <w:sz w:val="30"/>
          <w:szCs w:val="30"/>
        </w:rPr>
        <w:t>第</w:t>
      </w:r>
      <w:r>
        <w:rPr>
          <w:rFonts w:eastAsia="黑体"/>
          <w:bCs/>
          <w:kern w:val="44"/>
          <w:sz w:val="30"/>
          <w:szCs w:val="30"/>
        </w:rPr>
        <w:t>五部分 附表</w:t>
      </w:r>
      <w:r>
        <w:rPr>
          <w:sz w:val="30"/>
          <w:szCs w:val="30"/>
        </w:rPr>
        <w:tab/>
      </w:r>
      <w:r>
        <w:rPr>
          <w:sz w:val="30"/>
          <w:szCs w:val="30"/>
        </w:rPr>
        <w:fldChar w:fldCharType="begin"/>
      </w:r>
      <w:r>
        <w:rPr>
          <w:sz w:val="30"/>
          <w:szCs w:val="30"/>
        </w:rPr>
        <w:instrText xml:space="preserve"> PAGEREF _Toc146125658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"_Toc146125659"</w:instrText>
      </w:r>
      <w:r>
        <w:fldChar w:fldCharType="separate"/>
      </w:r>
      <w:r>
        <w:rPr>
          <w:rFonts w:eastAsia="仿宋"/>
          <w:sz w:val="30"/>
          <w:szCs w:val="30"/>
        </w:rPr>
        <w:t>一、收入支出决算总表</w:t>
      </w:r>
      <w:r>
        <w:rPr>
          <w:sz w:val="30"/>
          <w:szCs w:val="30"/>
        </w:rPr>
        <w:tab/>
      </w:r>
      <w:r>
        <w:rPr>
          <w:sz w:val="30"/>
          <w:szCs w:val="30"/>
        </w:rPr>
        <w:fldChar w:fldCharType="begin"/>
      </w:r>
      <w:r>
        <w:rPr>
          <w:sz w:val="30"/>
          <w:szCs w:val="30"/>
        </w:rPr>
        <w:instrText xml:space="preserve"> PAGEREF _Toc146125659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"_Toc146125660"</w:instrText>
      </w:r>
      <w:r>
        <w:fldChar w:fldCharType="separate"/>
      </w:r>
      <w:r>
        <w:rPr>
          <w:rFonts w:eastAsia="仿宋"/>
          <w:sz w:val="30"/>
          <w:szCs w:val="30"/>
        </w:rPr>
        <w:t>二、收入决算表</w:t>
      </w:r>
      <w:r>
        <w:rPr>
          <w:sz w:val="30"/>
          <w:szCs w:val="30"/>
        </w:rPr>
        <w:tab/>
      </w:r>
      <w:r>
        <w:rPr>
          <w:sz w:val="30"/>
          <w:szCs w:val="30"/>
        </w:rPr>
        <w:fldChar w:fldCharType="begin"/>
      </w:r>
      <w:r>
        <w:rPr>
          <w:sz w:val="30"/>
          <w:szCs w:val="30"/>
        </w:rPr>
        <w:instrText xml:space="preserve"> PAGEREF _Toc146125660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"_Toc146125661"</w:instrText>
      </w:r>
      <w:r>
        <w:fldChar w:fldCharType="separate"/>
      </w:r>
      <w:r>
        <w:rPr>
          <w:rFonts w:eastAsia="仿宋"/>
          <w:sz w:val="30"/>
          <w:szCs w:val="30"/>
        </w:rPr>
        <w:t>三、支出决算表</w:t>
      </w:r>
      <w:r>
        <w:rPr>
          <w:sz w:val="30"/>
          <w:szCs w:val="30"/>
        </w:rPr>
        <w:tab/>
      </w:r>
      <w:r>
        <w:rPr>
          <w:sz w:val="30"/>
          <w:szCs w:val="30"/>
        </w:rPr>
        <w:fldChar w:fldCharType="begin"/>
      </w:r>
      <w:r>
        <w:rPr>
          <w:sz w:val="30"/>
          <w:szCs w:val="30"/>
        </w:rPr>
        <w:instrText xml:space="preserve"> PAGEREF _Toc146125661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"_Toc146125662"</w:instrText>
      </w:r>
      <w:r>
        <w:fldChar w:fldCharType="separate"/>
      </w:r>
      <w:r>
        <w:rPr>
          <w:rFonts w:eastAsia="仿宋"/>
          <w:sz w:val="30"/>
          <w:szCs w:val="30"/>
        </w:rPr>
        <w:t>四、财政拨款收入支出决算总表</w:t>
      </w:r>
      <w:r>
        <w:rPr>
          <w:sz w:val="30"/>
          <w:szCs w:val="30"/>
        </w:rPr>
        <w:tab/>
      </w:r>
      <w:r>
        <w:rPr>
          <w:sz w:val="30"/>
          <w:szCs w:val="30"/>
        </w:rPr>
        <w:fldChar w:fldCharType="begin"/>
      </w:r>
      <w:r>
        <w:rPr>
          <w:sz w:val="30"/>
          <w:szCs w:val="30"/>
        </w:rPr>
        <w:instrText xml:space="preserve"> PAGEREF _Toc146125662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"_Toc146125663"</w:instrText>
      </w:r>
      <w:r>
        <w:fldChar w:fldCharType="separate"/>
      </w:r>
      <w:r>
        <w:rPr>
          <w:rFonts w:eastAsia="仿宋"/>
          <w:sz w:val="30"/>
          <w:szCs w:val="30"/>
        </w:rPr>
        <w:t>五、财政拨款支出决算明细表</w:t>
      </w:r>
      <w:r>
        <w:rPr>
          <w:sz w:val="30"/>
          <w:szCs w:val="30"/>
        </w:rPr>
        <w:tab/>
      </w:r>
      <w:r>
        <w:rPr>
          <w:sz w:val="30"/>
          <w:szCs w:val="30"/>
        </w:rPr>
        <w:fldChar w:fldCharType="begin"/>
      </w:r>
      <w:r>
        <w:rPr>
          <w:sz w:val="30"/>
          <w:szCs w:val="30"/>
        </w:rPr>
        <w:instrText xml:space="preserve"> PAGEREF _Toc146125663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"_Toc146125664"</w:instrText>
      </w:r>
      <w:r>
        <w:fldChar w:fldCharType="separate"/>
      </w:r>
      <w:r>
        <w:rPr>
          <w:rFonts w:eastAsia="仿宋"/>
          <w:sz w:val="30"/>
          <w:szCs w:val="30"/>
        </w:rPr>
        <w:t>六、一般公共预算财政拨款支出决算表</w:t>
      </w:r>
      <w:r>
        <w:rPr>
          <w:sz w:val="30"/>
          <w:szCs w:val="30"/>
        </w:rPr>
        <w:tab/>
      </w:r>
      <w:r>
        <w:rPr>
          <w:sz w:val="30"/>
          <w:szCs w:val="30"/>
        </w:rPr>
        <w:fldChar w:fldCharType="begin"/>
      </w:r>
      <w:r>
        <w:rPr>
          <w:sz w:val="30"/>
          <w:szCs w:val="30"/>
        </w:rPr>
        <w:instrText xml:space="preserve"> PAGEREF _Toc146125664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"_Toc146125665"</w:instrText>
      </w:r>
      <w:r>
        <w:fldChar w:fldCharType="separate"/>
      </w:r>
      <w:r>
        <w:rPr>
          <w:rFonts w:eastAsia="仿宋"/>
          <w:sz w:val="30"/>
          <w:szCs w:val="30"/>
        </w:rPr>
        <w:t>七、一般公共预算财政拨款支出决算明细表</w:t>
      </w:r>
      <w:r>
        <w:rPr>
          <w:sz w:val="30"/>
          <w:szCs w:val="30"/>
        </w:rPr>
        <w:tab/>
      </w:r>
      <w:r>
        <w:rPr>
          <w:sz w:val="30"/>
          <w:szCs w:val="30"/>
        </w:rPr>
        <w:fldChar w:fldCharType="begin"/>
      </w:r>
      <w:r>
        <w:rPr>
          <w:sz w:val="30"/>
          <w:szCs w:val="30"/>
        </w:rPr>
        <w:instrText xml:space="preserve"> PAGEREF _Toc146125665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"_Toc146125666"</w:instrText>
      </w:r>
      <w:r>
        <w:fldChar w:fldCharType="separate"/>
      </w:r>
      <w:r>
        <w:rPr>
          <w:rFonts w:eastAsia="仿宋"/>
          <w:sz w:val="30"/>
          <w:szCs w:val="30"/>
        </w:rPr>
        <w:t>八、一般公共预算财政拨款基本支出决算表</w:t>
      </w:r>
      <w:r>
        <w:rPr>
          <w:sz w:val="30"/>
          <w:szCs w:val="30"/>
        </w:rPr>
        <w:tab/>
      </w:r>
      <w:r>
        <w:rPr>
          <w:sz w:val="30"/>
          <w:szCs w:val="30"/>
        </w:rPr>
        <w:fldChar w:fldCharType="begin"/>
      </w:r>
      <w:r>
        <w:rPr>
          <w:sz w:val="30"/>
          <w:szCs w:val="30"/>
        </w:rPr>
        <w:instrText xml:space="preserve"> PAGEREF _Toc146125666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"_Toc146125667"</w:instrText>
      </w:r>
      <w:r>
        <w:fldChar w:fldCharType="separate"/>
      </w:r>
      <w:r>
        <w:rPr>
          <w:rFonts w:eastAsia="仿宋"/>
          <w:sz w:val="30"/>
          <w:szCs w:val="30"/>
        </w:rPr>
        <w:t>九、一般公共预算财政拨款项目支出决算表</w:t>
      </w:r>
      <w:r>
        <w:rPr>
          <w:sz w:val="30"/>
          <w:szCs w:val="30"/>
        </w:rPr>
        <w:tab/>
      </w:r>
      <w:r>
        <w:rPr>
          <w:sz w:val="30"/>
          <w:szCs w:val="30"/>
        </w:rPr>
        <w:fldChar w:fldCharType="begin"/>
      </w:r>
      <w:r>
        <w:rPr>
          <w:sz w:val="30"/>
          <w:szCs w:val="30"/>
        </w:rPr>
        <w:instrText xml:space="preserve"> PAGEREF _Toc146125667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"_Toc146125668"</w:instrText>
      </w:r>
      <w:r>
        <w:fldChar w:fldCharType="separate"/>
      </w:r>
      <w:r>
        <w:rPr>
          <w:rFonts w:eastAsia="仿宋"/>
          <w:sz w:val="30"/>
          <w:szCs w:val="30"/>
        </w:rPr>
        <w:t>十、一般公共预算财政拨款“三公”经费支出决算表</w:t>
      </w:r>
      <w:r>
        <w:rPr>
          <w:sz w:val="30"/>
          <w:szCs w:val="30"/>
        </w:rPr>
        <w:tab/>
      </w:r>
      <w:r>
        <w:rPr>
          <w:sz w:val="30"/>
          <w:szCs w:val="30"/>
        </w:rPr>
        <w:fldChar w:fldCharType="begin"/>
      </w:r>
      <w:r>
        <w:rPr>
          <w:sz w:val="30"/>
          <w:szCs w:val="30"/>
        </w:rPr>
        <w:instrText xml:space="preserve"> PAGEREF _Toc146125668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"_Toc146125669"</w:instrText>
      </w:r>
      <w:r>
        <w:fldChar w:fldCharType="separate"/>
      </w:r>
      <w:r>
        <w:rPr>
          <w:rFonts w:eastAsia="仿宋"/>
          <w:sz w:val="30"/>
          <w:szCs w:val="30"/>
        </w:rPr>
        <w:t>十一、政府性基金预算财政拨款收入支出决算表</w:t>
      </w:r>
      <w:r>
        <w:rPr>
          <w:sz w:val="30"/>
          <w:szCs w:val="30"/>
        </w:rPr>
        <w:tab/>
      </w:r>
      <w:r>
        <w:rPr>
          <w:sz w:val="30"/>
          <w:szCs w:val="30"/>
        </w:rPr>
        <w:fldChar w:fldCharType="begin"/>
      </w:r>
      <w:r>
        <w:rPr>
          <w:sz w:val="30"/>
          <w:szCs w:val="30"/>
        </w:rPr>
        <w:instrText xml:space="preserve"> PAGEREF _Toc146125669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"_Toc146125670"</w:instrText>
      </w:r>
      <w:r>
        <w:fldChar w:fldCharType="separate"/>
      </w:r>
      <w:r>
        <w:rPr>
          <w:rFonts w:eastAsia="仿宋"/>
          <w:sz w:val="30"/>
          <w:szCs w:val="30"/>
        </w:rPr>
        <w:t>十二、国有资本经营预算财政拨款收入支出决算表</w:t>
      </w:r>
      <w:r>
        <w:rPr>
          <w:sz w:val="30"/>
          <w:szCs w:val="30"/>
        </w:rPr>
        <w:tab/>
      </w:r>
      <w:r>
        <w:rPr>
          <w:sz w:val="30"/>
          <w:szCs w:val="30"/>
        </w:rPr>
        <w:fldChar w:fldCharType="begin"/>
      </w:r>
      <w:r>
        <w:rPr>
          <w:sz w:val="30"/>
          <w:szCs w:val="30"/>
        </w:rPr>
        <w:instrText xml:space="preserve"> PAGEREF _Toc146125670 \h </w:instrText>
      </w:r>
      <w:r>
        <w:rPr>
          <w:sz w:val="30"/>
          <w:szCs w:val="30"/>
        </w:rPr>
        <w:fldChar w:fldCharType="separate"/>
      </w:r>
      <w:r>
        <w:rPr>
          <w:sz w:val="30"/>
          <w:szCs w:val="30"/>
        </w:rPr>
        <w:t>28</w:t>
      </w:r>
      <w:r>
        <w:rPr>
          <w:sz w:val="30"/>
          <w:szCs w:val="30"/>
        </w:rPr>
        <w:fldChar w:fldCharType="end"/>
      </w:r>
      <w:r>
        <w:fldChar w:fldCharType="end"/>
      </w:r>
    </w:p>
    <w:p>
      <w:pPr>
        <w:pStyle w:val="21"/>
        <w:tabs>
          <w:tab w:val="right" w:leader="dot" w:pos="8296"/>
        </w:tabs>
        <w:rPr>
          <w:rFonts w:ascii="等线" w:eastAsia="等线" w:cs="Arial"/>
          <w:sz w:val="30"/>
          <w:szCs w:val="30"/>
        </w:rPr>
      </w:pPr>
      <w:r>
        <w:fldChar w:fldCharType="begin"/>
      </w:r>
      <w:r>
        <w:instrText>Hyperlink \l "_Toc146125671"</w:instrText>
      </w:r>
      <w:r>
        <w:fldChar w:fldCharType="separate"/>
      </w:r>
      <w:r>
        <w:rPr>
          <w:rFonts w:eastAsia="仿宋"/>
          <w:sz w:val="30"/>
          <w:szCs w:val="30"/>
        </w:rPr>
        <w:t>十三、国有资本经营预算财政拨款支出决算表</w:t>
      </w:r>
      <w:r>
        <w:rPr>
          <w:sz w:val="30"/>
          <w:szCs w:val="30"/>
        </w:rPr>
        <w:tab/>
      </w:r>
      <w:r>
        <w:rPr>
          <w:sz w:val="30"/>
          <w:szCs w:val="30"/>
        </w:rPr>
        <w:fldChar w:fldCharType="begin"/>
      </w:r>
      <w:r>
        <w:rPr>
          <w:sz w:val="30"/>
          <w:szCs w:val="30"/>
        </w:rPr>
        <w:instrText xml:space="preserve"> PAGEREF _Toc146125671 \h </w:instrText>
      </w:r>
      <w:r>
        <w:rPr>
          <w:sz w:val="30"/>
          <w:szCs w:val="30"/>
        </w:rPr>
        <w:fldChar w:fldCharType="separate"/>
      </w:r>
      <w:r>
        <w:rPr>
          <w:sz w:val="30"/>
          <w:szCs w:val="30"/>
        </w:rPr>
        <w:t>28</w:t>
      </w:r>
      <w:r>
        <w:rPr>
          <w:sz w:val="30"/>
          <w:szCs w:val="30"/>
        </w:rPr>
        <w:fldChar w:fldCharType="end"/>
      </w:r>
      <w:r>
        <w:fldChar w:fldCharType="end"/>
      </w:r>
    </w:p>
    <w:p>
      <w:pPr>
        <w:widowControl/>
        <w:ind w:firstLineChars="100" w:firstLine="300"/>
        <w:jc w:val="center"/>
        <w:rPr>
          <w:rFonts w:ascii="仿宋" w:eastAsia="仿宋" w:cs="仿宋"/>
          <w:color w:val="000000"/>
          <w:sz w:val="30"/>
          <w:szCs w:val="30"/>
        </w:rPr>
      </w:pPr>
      <w:r>
        <w:rPr>
          <w:rFonts w:ascii="仿宋" w:eastAsia="仿宋" w:cs="仿宋" w:hint="eastAsia"/>
          <w:color w:val="000000"/>
          <w:sz w:val="30"/>
          <w:szCs w:val="30"/>
        </w:rPr>
        <w:fldChar w:fldCharType="end"/>
      </w:r>
      <w:bookmarkStart w:id="20" w:name="_Toc15377196"/>
    </w:p>
    <w:p>
      <w:pPr>
        <w:rPr>
          <w:rFonts w:ascii="黑体" w:eastAsia="黑体"/>
        </w:rPr>
      </w:pPr>
      <w:bookmarkStart w:id="21" w:name="_Toc29023"/>
      <w:r>
        <w:rPr>
          <w:rFonts w:ascii="黑体" w:eastAsia="黑体" w:hint="eastAsia"/>
        </w:rPr>
        <w:br w:type="page"/>
      </w:r>
    </w:p>
    <w:p>
      <w:pPr>
        <w:pStyle w:val="1"/>
        <w:jc w:val="center"/>
        <w:rPr>
          <w:rFonts w:ascii="黑体" w:eastAsia="黑体"/>
          <w:color w:val="000000"/>
          <w:sz w:val="32"/>
          <w:szCs w:val="32"/>
        </w:rPr>
      </w:pPr>
      <w:bookmarkStart w:id="22" w:name="_Toc146125637"/>
      <w:r>
        <w:rPr>
          <w:rFonts w:ascii="黑体" w:eastAsia="黑体" w:hint="eastAsia"/>
          <w:b w:val="0"/>
        </w:rPr>
        <w:t xml:space="preserve">第一部分 </w:t>
      </w:r>
      <w:r>
        <w:rPr>
          <w:rStyle w:val="25"/>
          <w:rFonts w:ascii="黑体" w:eastAsia="黑体" w:hint="eastAsia"/>
        </w:rPr>
        <w:t>部门概况</w:t>
      </w:r>
      <w:bookmarkEnd w:id="20"/>
      <w:bookmarkEnd w:id="21"/>
      <w:bookmarkEnd w:id="22"/>
    </w:p>
    <w:p>
      <w:pPr>
        <w:pStyle w:val="2"/>
        <w:spacing w:before="0" w:after="0" w:line="240" w:lineRule="auto"/>
        <w:ind w:left="640" w:hangingChars="200" w:hanging="640"/>
        <w:rPr>
          <w:rStyle w:val="26"/>
          <w:rFonts w:ascii="黑体" w:eastAsia="黑体"/>
        </w:rPr>
      </w:pPr>
      <w:bookmarkStart w:id="23" w:name="_Toc15377197"/>
      <w:bookmarkStart w:id="24" w:name="_Toc146125638"/>
      <w:r>
        <w:rPr>
          <w:rFonts w:ascii="黑体" w:eastAsia="黑体" w:hint="eastAsia"/>
          <w:b w:val="0"/>
          <w:color w:val="000000"/>
        </w:rPr>
        <w:t>一、基</w:t>
      </w:r>
      <w:r>
        <w:rPr>
          <w:rStyle w:val="26"/>
          <w:rFonts w:ascii="黑体" w:eastAsia="黑体" w:hint="eastAsia"/>
        </w:rPr>
        <w:t>本职能及主要工作</w:t>
      </w:r>
      <w:bookmarkStart w:id="25" w:name="_Toc15378445"/>
      <w:bookmarkStart w:id="26" w:name="_Toc15377198"/>
      <w:bookmarkEnd w:id="23"/>
      <w:bookmarkEnd w:id="24"/>
    </w:p>
    <w:p>
      <w:pPr>
        <w:pStyle w:val="2"/>
        <w:spacing w:before="0" w:after="0" w:line="240" w:lineRule="auto"/>
        <w:ind w:leftChars="153" w:left="641" w:hangingChars="100" w:hanging="320"/>
        <w:rPr>
          <w:rFonts w:ascii="楷体" w:eastAsia="楷体" w:cs="楷体"/>
          <w:color w:val="000000"/>
        </w:rPr>
      </w:pPr>
      <w:bookmarkStart w:id="27" w:name="_Toc146125639"/>
      <w:r>
        <w:rPr>
          <w:rFonts w:ascii="楷体" w:eastAsia="楷体" w:cs="楷体" w:hint="eastAsia"/>
          <w:color w:val="000000"/>
        </w:rPr>
        <w:t>（一）主要职能</w:t>
      </w:r>
      <w:bookmarkStart w:id="28" w:name="_Toc15377199"/>
      <w:bookmarkStart w:id="29" w:name="_Toc15378446"/>
      <w:bookmarkEnd w:id="25"/>
      <w:bookmarkEnd w:id="26"/>
      <w:bookmarkEnd w:id="27"/>
    </w:p>
    <w:p>
      <w:pPr>
        <w:snapToGrid w:val="0"/>
        <w:spacing w:line="540" w:lineRule="exact"/>
        <w:ind w:firstLineChars="100" w:firstLine="320"/>
        <w:rPr>
          <w:rFonts w:ascii="仿宋_GB2312" w:eastAsia="仿宋_GB2312"/>
          <w:bCs/>
          <w:sz w:val="30"/>
          <w:szCs w:val="30"/>
        </w:rPr>
      </w:pPr>
      <w:r>
        <w:rPr>
          <w:rFonts w:ascii="仿宋_GB2312" w:eastAsia="仿宋_GB2312" w:cs="仿宋_GB2312" w:hint="eastAsia"/>
          <w:sz w:val="32"/>
          <w:szCs w:val="32"/>
        </w:rPr>
        <w:t xml:space="preserve"> 配置人力资源、促进充分就业；统筹城乡社会保险；协调劳动关系；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县委、县政府和上级业务部门交办的其它事项。</w:t>
      </w:r>
    </w:p>
    <w:p>
      <w:pPr>
        <w:pStyle w:val="2"/>
        <w:spacing w:before="0" w:after="0" w:line="240" w:lineRule="auto"/>
        <w:ind w:firstLineChars="100" w:firstLine="320"/>
        <w:rPr>
          <w:rFonts w:ascii="楷体" w:eastAsia="楷体" w:cs="楷体"/>
          <w:color w:val="000000"/>
        </w:rPr>
      </w:pPr>
      <w:bookmarkStart w:id="30" w:name="_Toc146125640"/>
      <w:r>
        <w:rPr>
          <w:rFonts w:ascii="楷体" w:eastAsia="楷体" w:cs="楷体" w:hint="eastAsia"/>
          <w:color w:val="000000"/>
        </w:rPr>
        <w:t>（二）2022年重点工作完成情况</w:t>
      </w:r>
      <w:bookmarkEnd w:id="28"/>
      <w:bookmarkEnd w:id="29"/>
      <w:bookmarkEnd w:id="30"/>
    </w:p>
    <w:p>
      <w:pPr>
        <w:spacing w:line="560" w:lineRule="exact"/>
        <w:ind w:firstLineChars="250" w:firstLine="800"/>
        <w:rPr>
          <w:rFonts w:ascii="仿宋_GB2312" w:eastAsia="仿宋_GB2312" w:cs="仿宋_GB2312"/>
          <w:sz w:val="32"/>
          <w:szCs w:val="32"/>
        </w:rPr>
      </w:pPr>
      <w:bookmarkStart w:id="31" w:name="_Toc15377200"/>
      <w:r>
        <w:rPr>
          <w:rFonts w:ascii="仿宋_GB2312" w:eastAsia="仿宋_GB2312" w:hint="eastAsia"/>
          <w:kern w:val="0"/>
          <w:sz w:val="32"/>
          <w:szCs w:val="32"/>
        </w:rPr>
        <w:t>2022</w:t>
      </w:r>
      <w:r>
        <w:rPr>
          <w:rFonts w:ascii="仿宋_GB2312" w:eastAsia="仿宋_GB2312" w:hint="eastAsia"/>
          <w:sz w:val="32"/>
          <w:szCs w:val="32"/>
        </w:rPr>
        <w:t>年，金川县人力资源和社会保障局</w:t>
      </w:r>
      <w:r>
        <w:rPr>
          <w:rFonts w:ascii="仿宋_GB2312" w:eastAsia="仿宋_GB2312" w:cs="仿宋_GB2312" w:hint="eastAsia"/>
          <w:sz w:val="32"/>
          <w:szCs w:val="32"/>
        </w:rPr>
        <w:t>坚持以习近平新时代中国特色社会主义思想为指导，坚决捍卫“两个确立”，坚定拥护“两个维护”，全面贯彻党的十九大、十九届历次全会和习近平总书记对四川工作的系列重要指示精神，深入贯彻省委“一干多支五区协同”总体方略和州委“一州两区三家园”总体要求，紧紧围绕县第十三次党代会提出的“一二三六”发展思路和《政府工作报告》重大决策部署，践行以人民为中心的发展思想，落实“六稳”“六保”工作要求，扎实推进就业促进、社会保险、劳动监察、人事人才、农民工服务等重点工作，持续深化人社工作改革，积极打造“温暖人社”，坚持不懈从严治党，奋力把人社工作做得更实更好，为建设“美丽富裕幸福新金川”贡献人社力量。</w:t>
      </w:r>
    </w:p>
    <w:p>
      <w:pPr>
        <w:spacing w:line="560" w:lineRule="exact"/>
        <w:ind w:firstLineChars="250" w:firstLine="800"/>
        <w:rPr>
          <w:rFonts w:ascii="仿宋_GB2312" w:eastAsia="仿宋_GB2312"/>
          <w:sz w:val="32"/>
          <w:szCs w:val="32"/>
        </w:rPr>
      </w:pPr>
      <w:r>
        <w:rPr>
          <w:rFonts w:ascii="仿宋_GB2312" w:eastAsia="仿宋_GB2312" w:hint="eastAsia"/>
          <w:sz w:val="32"/>
          <w:szCs w:val="32"/>
        </w:rPr>
        <w:t>一、工作取得成效</w:t>
      </w:r>
    </w:p>
    <w:p>
      <w:pPr>
        <w:spacing w:line="560" w:lineRule="exact"/>
        <w:ind w:firstLineChars="200" w:firstLine="640"/>
        <w:rPr>
          <w:rFonts w:ascii="仿宋_GB2312" w:eastAsia="仿宋_GB2312"/>
          <w:b/>
          <w:sz w:val="32"/>
          <w:szCs w:val="32"/>
        </w:rPr>
      </w:pPr>
      <w:r>
        <w:rPr>
          <w:rFonts w:ascii="仿宋_GB2312" w:eastAsia="仿宋_GB2312" w:hint="eastAsia"/>
          <w:b/>
          <w:sz w:val="32"/>
          <w:szCs w:val="32"/>
        </w:rPr>
        <w:t>（一）围绕中心，举好发展“四大指标”的“指挥棒”</w:t>
      </w:r>
    </w:p>
    <w:p>
      <w:pPr>
        <w:spacing w:line="560" w:lineRule="exact"/>
        <w:ind w:firstLineChars="250" w:firstLine="800"/>
        <w:rPr>
          <w:rFonts w:ascii="仿宋_GB2312" w:eastAsia="仿宋_GB2312"/>
          <w:sz w:val="32"/>
          <w:szCs w:val="32"/>
        </w:rPr>
      </w:pPr>
      <w:r>
        <w:rPr>
          <w:rFonts w:ascii="仿宋_GB2312" w:eastAsia="仿宋_GB2312" w:hint="eastAsia"/>
          <w:b/>
          <w:bCs/>
          <w:sz w:val="32"/>
          <w:szCs w:val="32"/>
        </w:rPr>
        <w:t>一是</w:t>
      </w:r>
      <w:r>
        <w:rPr>
          <w:rFonts w:ascii="仿宋_GB2312" w:eastAsia="仿宋_GB2312" w:hint="eastAsia"/>
          <w:sz w:val="32"/>
          <w:szCs w:val="32"/>
        </w:rPr>
        <w:t>城镇居民可支配收入完成目标</w:t>
      </w:r>
      <w:r>
        <w:rPr>
          <w:rFonts w:ascii="仿宋_GB2312" w:eastAsia="仿宋_GB2312" w:hint="eastAsia"/>
          <w:kern w:val="0"/>
          <w:sz w:val="32"/>
          <w:szCs w:val="32"/>
        </w:rPr>
        <w:t>3.1983万</w:t>
      </w:r>
      <w:r>
        <w:rPr>
          <w:rFonts w:ascii="仿宋_GB2312" w:eastAsia="仿宋_GB2312" w:hint="eastAsia"/>
          <w:sz w:val="32"/>
          <w:szCs w:val="32"/>
        </w:rPr>
        <w:t>元，增长</w:t>
      </w:r>
      <w:r>
        <w:rPr>
          <w:rFonts w:ascii="仿宋_GB2312" w:eastAsia="仿宋_GB2312" w:hint="eastAsia"/>
          <w:kern w:val="0"/>
          <w:sz w:val="32"/>
          <w:szCs w:val="32"/>
        </w:rPr>
        <w:t>5.06％</w:t>
      </w:r>
      <w:r>
        <w:rPr>
          <w:rFonts w:ascii="仿宋_GB2312" w:eastAsia="仿宋_GB2312" w:hint="eastAsia"/>
          <w:sz w:val="32"/>
          <w:szCs w:val="32"/>
        </w:rPr>
        <w:t>左右。</w:t>
      </w:r>
      <w:r>
        <w:rPr>
          <w:rFonts w:ascii="仿宋_GB2312" w:eastAsia="仿宋_GB2312" w:hint="eastAsia"/>
          <w:b/>
          <w:bCs/>
          <w:sz w:val="32"/>
          <w:szCs w:val="32"/>
        </w:rPr>
        <w:t>二是</w:t>
      </w:r>
      <w:r>
        <w:rPr>
          <w:rFonts w:ascii="仿宋_GB2312" w:eastAsia="仿宋_GB2312" w:hint="eastAsia"/>
          <w:sz w:val="32"/>
          <w:szCs w:val="32"/>
        </w:rPr>
        <w:t>全县城镇新增就业</w:t>
      </w:r>
      <w:r>
        <w:rPr>
          <w:rFonts w:ascii="仿宋_GB2312" w:eastAsia="仿宋_GB2312" w:hint="eastAsia"/>
          <w:kern w:val="0"/>
          <w:sz w:val="32"/>
          <w:szCs w:val="32"/>
        </w:rPr>
        <w:t>661</w:t>
      </w:r>
      <w:r>
        <w:rPr>
          <w:rFonts w:ascii="仿宋_GB2312" w:eastAsia="仿宋_GB2312" w:hint="eastAsia"/>
          <w:sz w:val="32"/>
          <w:szCs w:val="32"/>
        </w:rPr>
        <w:t>人，完成目标任务的</w:t>
      </w:r>
      <w:r>
        <w:rPr>
          <w:rFonts w:ascii="仿宋_GB2312" w:eastAsia="仿宋_GB2312" w:hint="eastAsia"/>
          <w:kern w:val="0"/>
          <w:sz w:val="32"/>
          <w:szCs w:val="32"/>
        </w:rPr>
        <w:t>101.7%</w:t>
      </w:r>
      <w:r>
        <w:rPr>
          <w:rFonts w:ascii="仿宋_GB2312" w:eastAsia="仿宋_GB2312" w:hint="eastAsia"/>
          <w:sz w:val="32"/>
          <w:szCs w:val="32"/>
        </w:rPr>
        <w:t>，城镇登记失业率控制在</w:t>
      </w:r>
      <w:r>
        <w:rPr>
          <w:rFonts w:ascii="仿宋_GB2312" w:eastAsia="仿宋_GB2312" w:hint="eastAsia"/>
          <w:kern w:val="0"/>
          <w:sz w:val="32"/>
          <w:szCs w:val="32"/>
        </w:rPr>
        <w:t>3.8%</w:t>
      </w:r>
      <w:r>
        <w:rPr>
          <w:rFonts w:ascii="仿宋_GB2312" w:eastAsia="仿宋_GB2312" w:hint="eastAsia"/>
          <w:sz w:val="32"/>
          <w:szCs w:val="32"/>
        </w:rPr>
        <w:t>以内，动态消除“零就业”家庭。</w:t>
      </w:r>
      <w:r>
        <w:rPr>
          <w:rFonts w:ascii="仿宋_GB2312" w:eastAsia="仿宋_GB2312" w:hint="eastAsia"/>
          <w:b/>
          <w:bCs/>
          <w:sz w:val="32"/>
          <w:szCs w:val="32"/>
        </w:rPr>
        <w:t>三是</w:t>
      </w:r>
      <w:r>
        <w:rPr>
          <w:rFonts w:ascii="仿宋_GB2312" w:eastAsia="仿宋_GB2312" w:hint="eastAsia"/>
          <w:sz w:val="32"/>
          <w:szCs w:val="32"/>
        </w:rPr>
        <w:t>企业职工养老保险参保达</w:t>
      </w:r>
      <w:r>
        <w:rPr>
          <w:rFonts w:ascii="仿宋_GB2312" w:eastAsia="仿宋_GB2312" w:hint="eastAsia"/>
          <w:kern w:val="0"/>
          <w:sz w:val="32"/>
          <w:szCs w:val="32"/>
        </w:rPr>
        <w:t>3745</w:t>
      </w:r>
      <w:r>
        <w:rPr>
          <w:rFonts w:ascii="仿宋_GB2312" w:eastAsia="仿宋_GB2312" w:hint="eastAsia"/>
          <w:sz w:val="32"/>
          <w:szCs w:val="32"/>
        </w:rPr>
        <w:t>人，工伤保险参保职工达</w:t>
      </w:r>
      <w:r>
        <w:rPr>
          <w:rFonts w:ascii="仿宋_GB2312" w:eastAsia="仿宋_GB2312" w:hint="eastAsia"/>
          <w:kern w:val="0"/>
          <w:sz w:val="32"/>
          <w:szCs w:val="32"/>
        </w:rPr>
        <w:t>5523</w:t>
      </w:r>
      <w:r>
        <w:rPr>
          <w:rFonts w:ascii="仿宋_GB2312" w:eastAsia="仿宋_GB2312" w:hint="eastAsia"/>
          <w:sz w:val="32"/>
          <w:szCs w:val="32"/>
        </w:rPr>
        <w:t>人，失业保险参保人数达</w:t>
      </w:r>
      <w:r>
        <w:rPr>
          <w:rFonts w:ascii="仿宋_GB2312" w:eastAsia="仿宋_GB2312" w:hint="eastAsia"/>
          <w:kern w:val="0"/>
          <w:sz w:val="32"/>
          <w:szCs w:val="32"/>
        </w:rPr>
        <w:t>4175</w:t>
      </w:r>
      <w:r>
        <w:rPr>
          <w:rFonts w:ascii="仿宋_GB2312" w:eastAsia="仿宋_GB2312" w:hint="eastAsia"/>
          <w:sz w:val="32"/>
          <w:szCs w:val="32"/>
        </w:rPr>
        <w:t>人，城乡居民养老保险覆盖率达</w:t>
      </w:r>
      <w:r>
        <w:rPr>
          <w:rFonts w:ascii="仿宋_GB2312" w:eastAsia="仿宋_GB2312" w:hint="eastAsia"/>
          <w:kern w:val="0"/>
          <w:sz w:val="32"/>
          <w:szCs w:val="32"/>
        </w:rPr>
        <w:t>94.32%</w:t>
      </w:r>
      <w:r>
        <w:rPr>
          <w:rFonts w:ascii="仿宋_GB2312" w:eastAsia="仿宋_GB2312" w:hint="eastAsia"/>
          <w:sz w:val="32"/>
          <w:szCs w:val="32"/>
        </w:rPr>
        <w:t>。</w:t>
      </w:r>
      <w:r>
        <w:rPr>
          <w:rFonts w:ascii="仿宋_GB2312" w:eastAsia="仿宋_GB2312" w:hint="eastAsia"/>
          <w:b/>
          <w:bCs/>
          <w:sz w:val="32"/>
          <w:szCs w:val="32"/>
        </w:rPr>
        <w:t>四是</w:t>
      </w:r>
      <w:r>
        <w:rPr>
          <w:rFonts w:ascii="仿宋_GB2312" w:eastAsia="仿宋_GB2312" w:hint="eastAsia"/>
          <w:sz w:val="32"/>
          <w:szCs w:val="32"/>
        </w:rPr>
        <w:t>签订各类劳动合同</w:t>
      </w:r>
      <w:r>
        <w:rPr>
          <w:rFonts w:ascii="仿宋_GB2312" w:eastAsia="仿宋_GB2312" w:hint="eastAsia"/>
          <w:kern w:val="0"/>
          <w:sz w:val="32"/>
          <w:szCs w:val="32"/>
        </w:rPr>
        <w:t>3286</w:t>
      </w:r>
      <w:r>
        <w:rPr>
          <w:rFonts w:ascii="仿宋_GB2312" w:eastAsia="仿宋_GB2312" w:hint="eastAsia"/>
          <w:sz w:val="32"/>
          <w:szCs w:val="32"/>
        </w:rPr>
        <w:t>份，企业劳动合同签订率达</w:t>
      </w:r>
      <w:r>
        <w:rPr>
          <w:rFonts w:ascii="仿宋_GB2312" w:eastAsia="仿宋_GB2312" w:hint="eastAsia"/>
          <w:kern w:val="0"/>
          <w:sz w:val="32"/>
          <w:szCs w:val="32"/>
        </w:rPr>
        <w:t>90%</w:t>
      </w:r>
      <w:r>
        <w:rPr>
          <w:rFonts w:ascii="仿宋_GB2312" w:eastAsia="仿宋_GB2312" w:hint="eastAsia"/>
          <w:sz w:val="32"/>
          <w:szCs w:val="32"/>
        </w:rPr>
        <w:t>，签订集体合同</w:t>
      </w:r>
      <w:r>
        <w:rPr>
          <w:rFonts w:ascii="仿宋_GB2312" w:eastAsia="仿宋_GB2312" w:hint="eastAsia"/>
          <w:kern w:val="0"/>
          <w:sz w:val="32"/>
          <w:szCs w:val="32"/>
        </w:rPr>
        <w:t>48</w:t>
      </w:r>
      <w:r>
        <w:rPr>
          <w:rFonts w:ascii="仿宋_GB2312" w:eastAsia="仿宋_GB2312" w:hint="eastAsia"/>
          <w:sz w:val="32"/>
          <w:szCs w:val="32"/>
        </w:rPr>
        <w:t>份，涉及人数</w:t>
      </w:r>
      <w:r>
        <w:rPr>
          <w:rFonts w:ascii="仿宋_GB2312" w:eastAsia="仿宋_GB2312" w:hint="eastAsia"/>
          <w:kern w:val="0"/>
          <w:sz w:val="32"/>
          <w:szCs w:val="32"/>
        </w:rPr>
        <w:t>1280</w:t>
      </w:r>
      <w:r>
        <w:rPr>
          <w:rFonts w:ascii="仿宋_GB2312" w:eastAsia="仿宋_GB2312" w:hint="eastAsia"/>
          <w:sz w:val="32"/>
          <w:szCs w:val="32"/>
        </w:rPr>
        <w:t>余人；完成企业薪酬调查企业</w:t>
      </w:r>
      <w:r>
        <w:rPr>
          <w:rFonts w:ascii="仿宋_GB2312" w:eastAsia="仿宋_GB2312" w:hint="eastAsia"/>
          <w:kern w:val="0"/>
          <w:sz w:val="32"/>
          <w:szCs w:val="32"/>
        </w:rPr>
        <w:t>4</w:t>
      </w:r>
      <w:r>
        <w:rPr>
          <w:rFonts w:ascii="仿宋_GB2312" w:eastAsia="仿宋_GB2312" w:hint="eastAsia"/>
          <w:sz w:val="32"/>
          <w:szCs w:val="32"/>
        </w:rPr>
        <w:t>户，涉及职工</w:t>
      </w:r>
      <w:r>
        <w:rPr>
          <w:rFonts w:ascii="仿宋_GB2312" w:eastAsia="仿宋_GB2312" w:hint="eastAsia"/>
          <w:kern w:val="0"/>
          <w:sz w:val="32"/>
          <w:szCs w:val="32"/>
        </w:rPr>
        <w:t>220</w:t>
      </w:r>
      <w:r>
        <w:rPr>
          <w:rFonts w:ascii="仿宋_GB2312" w:eastAsia="仿宋_GB2312" w:hint="eastAsia"/>
          <w:sz w:val="32"/>
          <w:szCs w:val="32"/>
        </w:rPr>
        <w:t>人；施工企业均建立民工工资专户，收取农民工工资保证金</w:t>
      </w:r>
      <w:r>
        <w:rPr>
          <w:rFonts w:ascii="仿宋_GB2312" w:eastAsia="仿宋_GB2312" w:hint="eastAsia"/>
          <w:kern w:val="0"/>
          <w:sz w:val="32"/>
          <w:szCs w:val="32"/>
        </w:rPr>
        <w:t>690</w:t>
      </w:r>
      <w:r>
        <w:rPr>
          <w:rFonts w:ascii="仿宋_GB2312" w:eastAsia="仿宋_GB2312" w:hint="eastAsia"/>
          <w:sz w:val="32"/>
          <w:szCs w:val="32"/>
        </w:rPr>
        <w:t>余万元，已退还保证金</w:t>
      </w:r>
      <w:r>
        <w:rPr>
          <w:rFonts w:ascii="仿宋_GB2312" w:eastAsia="仿宋_GB2312" w:hint="eastAsia"/>
          <w:kern w:val="0"/>
          <w:sz w:val="32"/>
          <w:szCs w:val="32"/>
        </w:rPr>
        <w:t>1070</w:t>
      </w:r>
      <w:r>
        <w:rPr>
          <w:rFonts w:ascii="仿宋_GB2312" w:eastAsia="仿宋_GB2312" w:hint="eastAsia"/>
          <w:sz w:val="32"/>
          <w:szCs w:val="32"/>
        </w:rPr>
        <w:t>余万元，账户余额</w:t>
      </w:r>
      <w:r>
        <w:rPr>
          <w:rFonts w:ascii="仿宋_GB2312" w:eastAsia="仿宋_GB2312" w:hint="eastAsia"/>
          <w:kern w:val="0"/>
          <w:sz w:val="32"/>
          <w:szCs w:val="32"/>
        </w:rPr>
        <w:t>3070</w:t>
      </w:r>
      <w:r>
        <w:rPr>
          <w:rFonts w:ascii="仿宋_GB2312" w:eastAsia="仿宋_GB2312" w:hint="eastAsia"/>
          <w:sz w:val="32"/>
          <w:szCs w:val="32"/>
        </w:rPr>
        <w:t>余万元。</w:t>
      </w:r>
    </w:p>
    <w:p>
      <w:pPr>
        <w:spacing w:line="560" w:lineRule="exact"/>
        <w:ind w:firstLineChars="200" w:firstLine="640"/>
        <w:rPr>
          <w:rFonts w:ascii="仿宋_GB2312" w:eastAsia="仿宋_GB2312"/>
          <w:b/>
          <w:sz w:val="32"/>
          <w:szCs w:val="32"/>
        </w:rPr>
      </w:pPr>
      <w:r>
        <w:rPr>
          <w:rFonts w:ascii="仿宋_GB2312" w:eastAsia="仿宋_GB2312" w:hint="eastAsia"/>
          <w:b/>
          <w:sz w:val="32"/>
          <w:szCs w:val="32"/>
        </w:rPr>
        <w:t>（二）突出重点，做对管理“六大工程”的“运算符”</w:t>
      </w:r>
    </w:p>
    <w:p>
      <w:pPr>
        <w:spacing w:line="560" w:lineRule="exact"/>
        <w:ind w:firstLineChars="250" w:firstLine="800"/>
        <w:rPr>
          <w:rFonts w:ascii="仿宋_GB2312" w:eastAsia="仿宋_GB2312"/>
          <w:sz w:val="32"/>
          <w:szCs w:val="32"/>
        </w:rPr>
      </w:pPr>
      <w:r>
        <w:rPr>
          <w:rFonts w:ascii="仿宋_GB2312" w:eastAsia="仿宋_GB2312" w:hint="eastAsia"/>
          <w:b/>
          <w:bCs/>
          <w:kern w:val="0"/>
          <w:sz w:val="32"/>
          <w:szCs w:val="32"/>
        </w:rPr>
        <w:t>1.</w:t>
      </w:r>
      <w:r>
        <w:rPr>
          <w:rFonts w:ascii="仿宋_GB2312" w:eastAsia="仿宋_GB2312" w:hint="eastAsia"/>
          <w:b/>
          <w:bCs/>
          <w:sz w:val="32"/>
          <w:szCs w:val="32"/>
        </w:rPr>
        <w:t>不等不靠，全力推进就业促进工程。一是</w:t>
      </w:r>
      <w:r>
        <w:rPr>
          <w:rFonts w:ascii="仿宋_GB2312" w:eastAsia="仿宋_GB2312" w:hint="eastAsia"/>
          <w:sz w:val="32"/>
          <w:szCs w:val="32"/>
        </w:rPr>
        <w:t>开展技能培训行动。组织开展东西部协作培训</w:t>
      </w:r>
      <w:r>
        <w:rPr>
          <w:rFonts w:ascii="仿宋_GB2312" w:eastAsia="仿宋_GB2312" w:hint="eastAsia"/>
          <w:kern w:val="0"/>
          <w:sz w:val="32"/>
          <w:szCs w:val="32"/>
        </w:rPr>
        <w:t>97</w:t>
      </w:r>
      <w:r>
        <w:rPr>
          <w:rFonts w:ascii="仿宋_GB2312" w:eastAsia="仿宋_GB2312" w:hint="eastAsia"/>
          <w:sz w:val="32"/>
          <w:szCs w:val="32"/>
        </w:rPr>
        <w:t>人、省内对口帮扶“一对一”帮扶培训</w:t>
      </w:r>
      <w:r>
        <w:rPr>
          <w:rFonts w:ascii="仿宋_GB2312" w:eastAsia="仿宋_GB2312" w:hint="eastAsia"/>
          <w:kern w:val="0"/>
          <w:sz w:val="32"/>
          <w:szCs w:val="32"/>
        </w:rPr>
        <w:t>39</w:t>
      </w:r>
      <w:r>
        <w:rPr>
          <w:rFonts w:ascii="仿宋_GB2312" w:eastAsia="仿宋_GB2312" w:hint="eastAsia"/>
          <w:sz w:val="32"/>
          <w:szCs w:val="32"/>
        </w:rPr>
        <w:t>人、汽车驾驶技能培训</w:t>
      </w:r>
      <w:r>
        <w:rPr>
          <w:rFonts w:ascii="仿宋_GB2312" w:eastAsia="仿宋_GB2312" w:hint="eastAsia"/>
          <w:kern w:val="0"/>
          <w:sz w:val="32"/>
          <w:szCs w:val="32"/>
        </w:rPr>
        <w:t>254</w:t>
      </w:r>
      <w:r>
        <w:rPr>
          <w:rFonts w:ascii="仿宋_GB2312" w:eastAsia="仿宋_GB2312" w:hint="eastAsia"/>
          <w:sz w:val="32"/>
          <w:szCs w:val="32"/>
        </w:rPr>
        <w:t>人、劳务品牌培训260人。</w:t>
      </w:r>
      <w:r>
        <w:rPr>
          <w:rFonts w:ascii="仿宋_GB2312" w:eastAsia="仿宋_GB2312" w:hint="eastAsia"/>
          <w:b/>
          <w:bCs/>
          <w:sz w:val="32"/>
          <w:szCs w:val="32"/>
        </w:rPr>
        <w:t>二是</w:t>
      </w:r>
      <w:r>
        <w:rPr>
          <w:rFonts w:ascii="仿宋_GB2312" w:eastAsia="仿宋_GB2312" w:hint="eastAsia"/>
          <w:sz w:val="32"/>
          <w:szCs w:val="32"/>
        </w:rPr>
        <w:t>组织劳务输出行动。收集浙川援建、眉山援建、省内、州内、县内招聘岗位</w:t>
      </w:r>
      <w:r>
        <w:rPr>
          <w:rFonts w:ascii="仿宋_GB2312" w:eastAsia="仿宋_GB2312" w:hint="eastAsia"/>
          <w:kern w:val="0"/>
          <w:sz w:val="32"/>
          <w:szCs w:val="32"/>
        </w:rPr>
        <w:t>2000</w:t>
      </w:r>
      <w:r>
        <w:rPr>
          <w:rFonts w:ascii="仿宋_GB2312" w:eastAsia="仿宋_GB2312" w:hint="eastAsia"/>
          <w:sz w:val="32"/>
          <w:szCs w:val="32"/>
        </w:rPr>
        <w:t>余个，岗位需求人数</w:t>
      </w:r>
      <w:r>
        <w:rPr>
          <w:rFonts w:ascii="仿宋_GB2312" w:eastAsia="仿宋_GB2312" w:hint="eastAsia"/>
          <w:kern w:val="0"/>
          <w:sz w:val="32"/>
          <w:szCs w:val="32"/>
        </w:rPr>
        <w:t>5000</w:t>
      </w:r>
      <w:r>
        <w:rPr>
          <w:rFonts w:ascii="仿宋_GB2312" w:eastAsia="仿宋_GB2312" w:hint="eastAsia"/>
          <w:sz w:val="32"/>
          <w:szCs w:val="32"/>
        </w:rPr>
        <w:t>余人，我县农村劳动力转移就业</w:t>
      </w:r>
      <w:r>
        <w:rPr>
          <w:rFonts w:ascii="仿宋_GB2312" w:eastAsia="仿宋_GB2312" w:hint="eastAsia"/>
          <w:kern w:val="0"/>
          <w:sz w:val="32"/>
          <w:szCs w:val="32"/>
        </w:rPr>
        <w:t>1.61</w:t>
      </w:r>
      <w:r>
        <w:rPr>
          <w:rFonts w:ascii="仿宋_GB2312" w:eastAsia="仿宋_GB2312" w:hint="eastAsia"/>
          <w:sz w:val="32"/>
          <w:szCs w:val="32"/>
        </w:rPr>
        <w:t>万人次。</w:t>
      </w:r>
      <w:r>
        <w:rPr>
          <w:rFonts w:ascii="仿宋_GB2312" w:eastAsia="仿宋_GB2312" w:hint="eastAsia"/>
          <w:b/>
          <w:bCs/>
          <w:sz w:val="32"/>
          <w:szCs w:val="32"/>
        </w:rPr>
        <w:t>三是</w:t>
      </w:r>
      <w:r>
        <w:rPr>
          <w:rFonts w:ascii="仿宋_GB2312" w:eastAsia="仿宋_GB2312" w:hint="eastAsia"/>
          <w:sz w:val="32"/>
          <w:szCs w:val="32"/>
        </w:rPr>
        <w:t>企业减负稳岗行动。企业失业保险稳岗返还</w:t>
      </w:r>
      <w:r>
        <w:rPr>
          <w:rFonts w:ascii="仿宋_GB2312" w:eastAsia="仿宋_GB2312" w:hint="eastAsia"/>
          <w:kern w:val="0"/>
          <w:sz w:val="32"/>
          <w:szCs w:val="32"/>
        </w:rPr>
        <w:t>21</w:t>
      </w:r>
      <w:r>
        <w:rPr>
          <w:rFonts w:ascii="仿宋_GB2312" w:eastAsia="仿宋_GB2312" w:hint="eastAsia"/>
          <w:sz w:val="32"/>
          <w:szCs w:val="32"/>
        </w:rPr>
        <w:t>家企业共计</w:t>
      </w:r>
      <w:r>
        <w:rPr>
          <w:rFonts w:ascii="仿宋_GB2312" w:eastAsia="仿宋_GB2312" w:hint="eastAsia"/>
          <w:kern w:val="0"/>
          <w:sz w:val="32"/>
          <w:szCs w:val="32"/>
        </w:rPr>
        <w:t>36.23</w:t>
      </w:r>
      <w:r>
        <w:rPr>
          <w:rFonts w:ascii="仿宋_GB2312" w:eastAsia="仿宋_GB2312" w:hint="eastAsia"/>
          <w:sz w:val="32"/>
          <w:szCs w:val="32"/>
        </w:rPr>
        <w:t>万余元。</w:t>
      </w:r>
      <w:r>
        <w:rPr>
          <w:rFonts w:ascii="仿宋_GB2312" w:eastAsia="仿宋_GB2312" w:hint="eastAsia"/>
          <w:b/>
          <w:bCs/>
          <w:sz w:val="32"/>
          <w:szCs w:val="32"/>
        </w:rPr>
        <w:t>四是</w:t>
      </w:r>
      <w:r>
        <w:rPr>
          <w:rFonts w:ascii="仿宋_GB2312" w:eastAsia="仿宋_GB2312" w:hint="eastAsia"/>
          <w:sz w:val="32"/>
          <w:szCs w:val="32"/>
        </w:rPr>
        <w:t>鼓励引导创业行动。创业担保贷款发放</w:t>
      </w:r>
      <w:r>
        <w:rPr>
          <w:rFonts w:ascii="仿宋_GB2312" w:eastAsia="仿宋_GB2312" w:hint="eastAsia"/>
          <w:kern w:val="0"/>
          <w:sz w:val="32"/>
          <w:szCs w:val="32"/>
        </w:rPr>
        <w:t>240</w:t>
      </w:r>
      <w:r>
        <w:rPr>
          <w:rFonts w:ascii="仿宋_GB2312" w:eastAsia="仿宋_GB2312" w:hint="eastAsia"/>
          <w:sz w:val="32"/>
          <w:szCs w:val="32"/>
        </w:rPr>
        <w:t>万元，申请创业补贴</w:t>
      </w:r>
      <w:r>
        <w:rPr>
          <w:rFonts w:ascii="仿宋_GB2312" w:eastAsia="仿宋_GB2312" w:hint="eastAsia"/>
          <w:kern w:val="0"/>
          <w:sz w:val="32"/>
          <w:szCs w:val="32"/>
        </w:rPr>
        <w:t>29</w:t>
      </w:r>
      <w:r>
        <w:rPr>
          <w:rFonts w:ascii="仿宋_GB2312" w:eastAsia="仿宋_GB2312" w:hint="eastAsia"/>
          <w:sz w:val="32"/>
          <w:szCs w:val="32"/>
        </w:rPr>
        <w:t>万元。</w:t>
      </w:r>
      <w:r>
        <w:rPr>
          <w:rFonts w:ascii="仿宋_GB2312" w:eastAsia="仿宋_GB2312" w:hint="eastAsia"/>
          <w:b/>
          <w:bCs/>
          <w:sz w:val="32"/>
          <w:szCs w:val="32"/>
        </w:rPr>
        <w:t>五是</w:t>
      </w:r>
      <w:r>
        <w:rPr>
          <w:rFonts w:ascii="仿宋_GB2312" w:eastAsia="仿宋_GB2312" w:hint="eastAsia"/>
          <w:sz w:val="32"/>
          <w:szCs w:val="32"/>
        </w:rPr>
        <w:t>重点群体帮扶行动。促进高校毕业生青年群体和其他重点群体就业，统筹做好退役军人、残疾人等各类群体就业工作，见习补贴</w:t>
      </w:r>
      <w:r>
        <w:rPr>
          <w:rFonts w:ascii="仿宋_GB2312" w:eastAsia="仿宋_GB2312" w:hint="eastAsia"/>
          <w:kern w:val="0"/>
          <w:sz w:val="32"/>
          <w:szCs w:val="32"/>
        </w:rPr>
        <w:t>34</w:t>
      </w:r>
      <w:r>
        <w:rPr>
          <w:rFonts w:ascii="仿宋_GB2312" w:eastAsia="仿宋_GB2312" w:hint="eastAsia"/>
          <w:sz w:val="32"/>
          <w:szCs w:val="32"/>
        </w:rPr>
        <w:t>人。</w:t>
      </w:r>
      <w:r>
        <w:rPr>
          <w:rFonts w:ascii="仿宋_GB2312" w:eastAsia="仿宋_GB2312" w:hint="eastAsia"/>
          <w:b/>
          <w:bCs/>
          <w:sz w:val="32"/>
          <w:szCs w:val="32"/>
        </w:rPr>
        <w:t>六是</w:t>
      </w:r>
      <w:r>
        <w:rPr>
          <w:rFonts w:ascii="仿宋_GB2312" w:eastAsia="仿宋_GB2312" w:hint="eastAsia"/>
          <w:sz w:val="32"/>
          <w:szCs w:val="32"/>
        </w:rPr>
        <w:t>就业兜底安置行动。全县公益性岗位安置就业</w:t>
      </w:r>
      <w:r>
        <w:rPr>
          <w:rFonts w:ascii="仿宋_GB2312" w:eastAsia="仿宋_GB2312" w:hint="eastAsia"/>
          <w:kern w:val="0"/>
          <w:sz w:val="32"/>
          <w:szCs w:val="32"/>
        </w:rPr>
        <w:t>467</w:t>
      </w:r>
      <w:r>
        <w:rPr>
          <w:rFonts w:ascii="仿宋_GB2312" w:eastAsia="仿宋_GB2312" w:hint="eastAsia"/>
          <w:sz w:val="32"/>
          <w:szCs w:val="32"/>
        </w:rPr>
        <w:t>人，确保有劳动能力的脱贫户和监测户家庭至少</w:t>
      </w:r>
      <w:r>
        <w:rPr>
          <w:rFonts w:ascii="仿宋_GB2312" w:eastAsia="仿宋_GB2312" w:hint="eastAsia"/>
          <w:kern w:val="0"/>
          <w:sz w:val="32"/>
          <w:szCs w:val="32"/>
        </w:rPr>
        <w:t>1</w:t>
      </w:r>
      <w:r>
        <w:rPr>
          <w:rFonts w:ascii="仿宋_GB2312" w:eastAsia="仿宋_GB2312" w:hint="eastAsia"/>
          <w:sz w:val="32"/>
          <w:szCs w:val="32"/>
        </w:rPr>
        <w:t>人就业。</w:t>
      </w:r>
      <w:r>
        <w:rPr>
          <w:rFonts w:ascii="仿宋_GB2312" w:eastAsia="仿宋_GB2312" w:hint="eastAsia"/>
          <w:b/>
          <w:bCs/>
          <w:sz w:val="32"/>
          <w:szCs w:val="32"/>
        </w:rPr>
        <w:t>七是</w:t>
      </w:r>
      <w:r>
        <w:rPr>
          <w:rFonts w:ascii="仿宋_GB2312" w:eastAsia="仿宋_GB2312" w:hint="eastAsia"/>
          <w:sz w:val="32"/>
          <w:szCs w:val="32"/>
        </w:rPr>
        <w:t>衔接乡村振兴行动。强化与乡村振兴、林草、水务等部门沟通衔接，每月定期推送数据、共享数据，有力推进防返贫监测工作。</w:t>
      </w:r>
    </w:p>
    <w:p>
      <w:pPr>
        <w:spacing w:line="560" w:lineRule="exact"/>
        <w:ind w:firstLineChars="250" w:firstLine="800"/>
        <w:rPr>
          <w:rFonts w:ascii="仿宋_GB2312" w:eastAsia="仿宋_GB2312"/>
          <w:sz w:val="32"/>
          <w:szCs w:val="32"/>
        </w:rPr>
      </w:pPr>
      <w:r>
        <w:rPr>
          <w:rFonts w:ascii="仿宋_GB2312" w:eastAsia="仿宋_GB2312" w:hint="eastAsia"/>
          <w:b/>
          <w:bCs/>
          <w:kern w:val="0"/>
          <w:sz w:val="32"/>
          <w:szCs w:val="32"/>
        </w:rPr>
        <w:t>2.</w:t>
      </w:r>
      <w:r>
        <w:rPr>
          <w:rFonts w:ascii="仿宋_GB2312" w:eastAsia="仿宋_GB2312" w:hint="eastAsia"/>
          <w:b/>
          <w:bCs/>
          <w:sz w:val="32"/>
          <w:szCs w:val="32"/>
        </w:rPr>
        <w:t>主动作为，全力推进社会保障工程。</w:t>
      </w:r>
      <w:r>
        <w:rPr>
          <w:rFonts w:ascii="仿宋_GB2312" w:eastAsia="仿宋_GB2312" w:hint="eastAsia"/>
          <w:sz w:val="32"/>
          <w:szCs w:val="32"/>
        </w:rPr>
        <w:t>大力实施全民参保计划，竭力开展社保精准扩面行动，全力构建可持续的社会保障体系。</w:t>
      </w:r>
      <w:r>
        <w:rPr>
          <w:rFonts w:ascii="仿宋_GB2312" w:eastAsia="仿宋_GB2312" w:cs="方正仿宋_GBK" w:hint="eastAsia"/>
          <w:b/>
          <w:bCs/>
          <w:sz w:val="32"/>
          <w:szCs w:val="32"/>
        </w:rPr>
        <w:t>一是抓好“参保扩面”这个重点。</w:t>
      </w:r>
      <w:r>
        <w:rPr>
          <w:rFonts w:ascii="仿宋_GB2312" w:eastAsia="仿宋_GB2312" w:hint="eastAsia"/>
          <w:b/>
          <w:bCs/>
          <w:sz w:val="32"/>
          <w:szCs w:val="32"/>
        </w:rPr>
        <w:t>养老保险：</w:t>
      </w:r>
      <w:r>
        <w:rPr>
          <w:rFonts w:ascii="仿宋_GB2312" w:eastAsia="仿宋_GB2312" w:hint="eastAsia"/>
          <w:sz w:val="32"/>
          <w:szCs w:val="32"/>
        </w:rPr>
        <w:t>截至</w:t>
      </w:r>
      <w:r>
        <w:rPr>
          <w:rFonts w:ascii="仿宋_GB2312" w:eastAsia="仿宋_GB2312" w:hint="eastAsia"/>
          <w:kern w:val="0"/>
          <w:sz w:val="32"/>
          <w:szCs w:val="32"/>
        </w:rPr>
        <w:t>11</w:t>
      </w:r>
      <w:r>
        <w:rPr>
          <w:rFonts w:ascii="仿宋_GB2312" w:eastAsia="仿宋_GB2312" w:hint="eastAsia"/>
          <w:sz w:val="32"/>
          <w:szCs w:val="32"/>
        </w:rPr>
        <w:t>月，参加城镇职工基本养老保险覆盖人数达</w:t>
      </w:r>
      <w:r>
        <w:rPr>
          <w:rFonts w:ascii="仿宋_GB2312" w:eastAsia="仿宋_GB2312" w:hint="eastAsia"/>
          <w:kern w:val="0"/>
          <w:sz w:val="32"/>
          <w:szCs w:val="32"/>
        </w:rPr>
        <w:t>1.1701万</w:t>
      </w:r>
      <w:r>
        <w:rPr>
          <w:rFonts w:ascii="仿宋_GB2312" w:eastAsia="仿宋_GB2312" w:hint="eastAsia"/>
          <w:sz w:val="32"/>
          <w:szCs w:val="32"/>
        </w:rPr>
        <w:t>人（其中企业职工养老保险参保</w:t>
      </w:r>
      <w:r>
        <w:rPr>
          <w:rFonts w:ascii="仿宋_GB2312" w:eastAsia="仿宋_GB2312" w:hint="eastAsia"/>
          <w:kern w:val="0"/>
          <w:sz w:val="32"/>
          <w:szCs w:val="32"/>
        </w:rPr>
        <w:t>3920</w:t>
      </w:r>
      <w:r>
        <w:rPr>
          <w:rFonts w:ascii="仿宋_GB2312" w:eastAsia="仿宋_GB2312" w:hint="eastAsia"/>
          <w:sz w:val="32"/>
          <w:szCs w:val="32"/>
        </w:rPr>
        <w:t>人，企业职工养老保险退休人员参保</w:t>
      </w:r>
      <w:r>
        <w:rPr>
          <w:rFonts w:ascii="仿宋_GB2312" w:eastAsia="仿宋_GB2312" w:hint="eastAsia"/>
          <w:kern w:val="0"/>
          <w:sz w:val="32"/>
          <w:szCs w:val="32"/>
        </w:rPr>
        <w:t>2597</w:t>
      </w:r>
      <w:r>
        <w:rPr>
          <w:rFonts w:ascii="仿宋_GB2312" w:eastAsia="仿宋_GB2312" w:hint="eastAsia"/>
          <w:sz w:val="32"/>
          <w:szCs w:val="32"/>
        </w:rPr>
        <w:t>人；机关事业单位养老保险参保</w:t>
      </w:r>
      <w:r>
        <w:rPr>
          <w:rFonts w:ascii="仿宋_GB2312" w:eastAsia="仿宋_GB2312" w:hint="eastAsia"/>
          <w:kern w:val="0"/>
          <w:sz w:val="32"/>
          <w:szCs w:val="32"/>
        </w:rPr>
        <w:t>3746</w:t>
      </w:r>
      <w:r>
        <w:rPr>
          <w:rFonts w:ascii="仿宋_GB2312" w:eastAsia="仿宋_GB2312" w:hint="eastAsia"/>
          <w:sz w:val="32"/>
          <w:szCs w:val="32"/>
        </w:rPr>
        <w:t>人，机关事业单位养老保险退休人员参保</w:t>
      </w:r>
      <w:r>
        <w:rPr>
          <w:rFonts w:ascii="仿宋_GB2312" w:eastAsia="仿宋_GB2312" w:hint="eastAsia"/>
          <w:kern w:val="0"/>
          <w:sz w:val="32"/>
          <w:szCs w:val="32"/>
        </w:rPr>
        <w:t>1438</w:t>
      </w:r>
      <w:r>
        <w:rPr>
          <w:rFonts w:ascii="仿宋_GB2312" w:eastAsia="仿宋_GB2312" w:hint="eastAsia"/>
          <w:sz w:val="32"/>
          <w:szCs w:val="32"/>
        </w:rPr>
        <w:t>人）；完成基金征缴总额</w:t>
      </w:r>
      <w:r>
        <w:rPr>
          <w:rFonts w:ascii="仿宋_GB2312" w:eastAsia="仿宋_GB2312" w:hint="eastAsia"/>
          <w:kern w:val="0"/>
          <w:sz w:val="32"/>
          <w:szCs w:val="32"/>
        </w:rPr>
        <w:t>1.1</w:t>
      </w:r>
      <w:r>
        <w:rPr>
          <w:rFonts w:ascii="仿宋_GB2312" w:eastAsia="仿宋_GB2312" w:hint="eastAsia"/>
          <w:sz w:val="32"/>
          <w:szCs w:val="32"/>
        </w:rPr>
        <w:t>亿元（其中企业养老保险基金征缴</w:t>
      </w:r>
      <w:r>
        <w:rPr>
          <w:rFonts w:ascii="仿宋_GB2312" w:eastAsia="仿宋_GB2312" w:hint="eastAsia"/>
          <w:kern w:val="0"/>
          <w:sz w:val="32"/>
          <w:szCs w:val="32"/>
        </w:rPr>
        <w:t>2064</w:t>
      </w:r>
      <w:r>
        <w:rPr>
          <w:rFonts w:ascii="仿宋_GB2312" w:eastAsia="仿宋_GB2312" w:hint="eastAsia"/>
          <w:sz w:val="32"/>
          <w:szCs w:val="32"/>
        </w:rPr>
        <w:t>万元，机关事业单位基金征缴</w:t>
      </w:r>
      <w:r>
        <w:rPr>
          <w:rFonts w:ascii="仿宋_GB2312" w:eastAsia="仿宋_GB2312" w:hint="eastAsia"/>
          <w:kern w:val="0"/>
          <w:sz w:val="32"/>
          <w:szCs w:val="32"/>
        </w:rPr>
        <w:t>6167</w:t>
      </w:r>
      <w:r>
        <w:rPr>
          <w:rFonts w:ascii="仿宋_GB2312" w:eastAsia="仿宋_GB2312" w:hint="eastAsia"/>
          <w:sz w:val="32"/>
          <w:szCs w:val="32"/>
        </w:rPr>
        <w:t>万元，机关事业单位职业年金征缴</w:t>
      </w:r>
      <w:r>
        <w:rPr>
          <w:rFonts w:ascii="仿宋_GB2312" w:eastAsia="仿宋_GB2312" w:hint="eastAsia"/>
          <w:kern w:val="0"/>
          <w:sz w:val="32"/>
          <w:szCs w:val="32"/>
        </w:rPr>
        <w:t>3097</w:t>
      </w:r>
      <w:r>
        <w:rPr>
          <w:rFonts w:ascii="仿宋_GB2312" w:eastAsia="仿宋_GB2312" w:hint="eastAsia"/>
          <w:sz w:val="32"/>
          <w:szCs w:val="32"/>
        </w:rPr>
        <w:t>万元）；基金支付总金额</w:t>
      </w:r>
      <w:r>
        <w:rPr>
          <w:rFonts w:ascii="仿宋_GB2312" w:eastAsia="仿宋_GB2312" w:hint="eastAsia"/>
          <w:kern w:val="0"/>
          <w:sz w:val="32"/>
          <w:szCs w:val="32"/>
        </w:rPr>
        <w:t>1.5</w:t>
      </w:r>
      <w:r>
        <w:rPr>
          <w:rFonts w:ascii="仿宋_GB2312" w:eastAsia="仿宋_GB2312" w:hint="eastAsia"/>
          <w:sz w:val="32"/>
          <w:szCs w:val="32"/>
        </w:rPr>
        <w:t>亿元(其中企业养老金</w:t>
      </w:r>
      <w:r>
        <w:rPr>
          <w:rFonts w:ascii="仿宋_GB2312" w:eastAsia="仿宋_GB2312" w:hint="eastAsia"/>
          <w:kern w:val="0"/>
          <w:sz w:val="32"/>
          <w:szCs w:val="32"/>
        </w:rPr>
        <w:t>5897</w:t>
      </w:r>
      <w:r>
        <w:rPr>
          <w:rFonts w:ascii="仿宋_GB2312" w:eastAsia="仿宋_GB2312" w:hint="eastAsia"/>
          <w:sz w:val="32"/>
          <w:szCs w:val="32"/>
        </w:rPr>
        <w:t>万元，机关事业单位养老金</w:t>
      </w:r>
      <w:r>
        <w:rPr>
          <w:rFonts w:ascii="仿宋_GB2312" w:eastAsia="仿宋_GB2312" w:hint="eastAsia"/>
          <w:kern w:val="0"/>
          <w:sz w:val="32"/>
          <w:szCs w:val="32"/>
        </w:rPr>
        <w:t>8851</w:t>
      </w:r>
      <w:r>
        <w:rPr>
          <w:rFonts w:ascii="仿宋_GB2312" w:eastAsia="仿宋_GB2312" w:hint="eastAsia"/>
          <w:sz w:val="32"/>
          <w:szCs w:val="32"/>
        </w:rPr>
        <w:t>万元，支付企业职工死亡人员丧葬抚恤金</w:t>
      </w:r>
      <w:r>
        <w:rPr>
          <w:rFonts w:ascii="仿宋_GB2312" w:eastAsia="仿宋_GB2312" w:hint="eastAsia"/>
          <w:kern w:val="0"/>
          <w:sz w:val="32"/>
          <w:szCs w:val="32"/>
        </w:rPr>
        <w:t>219</w:t>
      </w:r>
      <w:r>
        <w:rPr>
          <w:rFonts w:ascii="仿宋_GB2312" w:eastAsia="仿宋_GB2312" w:hint="eastAsia"/>
          <w:sz w:val="32"/>
          <w:szCs w:val="32"/>
        </w:rPr>
        <w:t>万元)，养老金社会化发放率达</w:t>
      </w:r>
      <w:r>
        <w:rPr>
          <w:rFonts w:ascii="仿宋_GB2312" w:eastAsia="仿宋_GB2312" w:hint="eastAsia"/>
          <w:kern w:val="0"/>
          <w:sz w:val="32"/>
          <w:szCs w:val="32"/>
        </w:rPr>
        <w:t>100%</w:t>
      </w:r>
      <w:r>
        <w:rPr>
          <w:rFonts w:ascii="仿宋_GB2312" w:eastAsia="仿宋_GB2312" w:hint="eastAsia"/>
          <w:sz w:val="32"/>
          <w:szCs w:val="32"/>
        </w:rPr>
        <w:t>，无拖欠养老金现象。</w:t>
      </w:r>
      <w:r>
        <w:rPr>
          <w:rFonts w:ascii="仿宋_GB2312" w:eastAsia="仿宋_GB2312" w:hint="eastAsia"/>
          <w:b/>
          <w:bCs/>
          <w:sz w:val="32"/>
          <w:szCs w:val="32"/>
        </w:rPr>
        <w:t>工伤保险：</w:t>
      </w:r>
      <w:r>
        <w:rPr>
          <w:rFonts w:ascii="仿宋_GB2312" w:eastAsia="仿宋_GB2312" w:hint="eastAsia"/>
          <w:sz w:val="32"/>
          <w:szCs w:val="32"/>
        </w:rPr>
        <w:t>工伤保险参保人数</w:t>
      </w:r>
      <w:r>
        <w:rPr>
          <w:rFonts w:ascii="仿宋_GB2312" w:eastAsia="仿宋_GB2312" w:hint="eastAsia"/>
          <w:kern w:val="0"/>
          <w:sz w:val="32"/>
          <w:szCs w:val="32"/>
        </w:rPr>
        <w:t>5564</w:t>
      </w:r>
      <w:r>
        <w:rPr>
          <w:rFonts w:ascii="仿宋_GB2312" w:eastAsia="仿宋_GB2312" w:hint="eastAsia"/>
          <w:sz w:val="32"/>
          <w:szCs w:val="32"/>
        </w:rPr>
        <w:t>人、基金征缴</w:t>
      </w:r>
      <w:r>
        <w:rPr>
          <w:rFonts w:ascii="仿宋_GB2312" w:eastAsia="仿宋_GB2312" w:hint="eastAsia"/>
          <w:kern w:val="0"/>
          <w:sz w:val="32"/>
          <w:szCs w:val="32"/>
        </w:rPr>
        <w:t>175</w:t>
      </w:r>
      <w:r>
        <w:rPr>
          <w:rFonts w:ascii="仿宋_GB2312" w:eastAsia="仿宋_GB2312" w:hint="eastAsia"/>
          <w:sz w:val="32"/>
          <w:szCs w:val="32"/>
        </w:rPr>
        <w:t>万元，受理工伤认定申请</w:t>
      </w:r>
      <w:r>
        <w:rPr>
          <w:rFonts w:ascii="仿宋_GB2312" w:eastAsia="仿宋_GB2312" w:hint="eastAsia"/>
          <w:kern w:val="0"/>
          <w:sz w:val="32"/>
          <w:szCs w:val="32"/>
        </w:rPr>
        <w:t>23</w:t>
      </w:r>
      <w:r>
        <w:rPr>
          <w:rFonts w:ascii="仿宋_GB2312" w:eastAsia="仿宋_GB2312" w:hint="eastAsia"/>
          <w:sz w:val="32"/>
          <w:szCs w:val="32"/>
        </w:rPr>
        <w:t>件，办理完结</w:t>
      </w:r>
      <w:r>
        <w:rPr>
          <w:rFonts w:ascii="仿宋_GB2312" w:eastAsia="仿宋_GB2312" w:hint="eastAsia"/>
          <w:kern w:val="0"/>
          <w:sz w:val="32"/>
          <w:szCs w:val="32"/>
        </w:rPr>
        <w:t>18</w:t>
      </w:r>
      <w:r>
        <w:rPr>
          <w:rFonts w:ascii="仿宋_GB2312" w:eastAsia="仿宋_GB2312" w:hint="eastAsia"/>
          <w:sz w:val="32"/>
          <w:szCs w:val="32"/>
        </w:rPr>
        <w:t>件，按规定为</w:t>
      </w:r>
      <w:r>
        <w:rPr>
          <w:rFonts w:ascii="仿宋_GB2312" w:eastAsia="仿宋_GB2312" w:hint="eastAsia"/>
          <w:kern w:val="0"/>
          <w:sz w:val="32"/>
          <w:szCs w:val="32"/>
        </w:rPr>
        <w:t>11</w:t>
      </w:r>
      <w:r>
        <w:rPr>
          <w:rFonts w:ascii="仿宋_GB2312" w:eastAsia="仿宋_GB2312" w:hint="eastAsia"/>
          <w:sz w:val="32"/>
          <w:szCs w:val="32"/>
        </w:rPr>
        <w:t>人支付工伤待遇</w:t>
      </w:r>
      <w:r>
        <w:rPr>
          <w:rFonts w:ascii="仿宋_GB2312" w:eastAsia="仿宋_GB2312" w:hint="eastAsia"/>
          <w:kern w:val="0"/>
          <w:sz w:val="32"/>
          <w:szCs w:val="32"/>
        </w:rPr>
        <w:t>168</w:t>
      </w:r>
      <w:r>
        <w:rPr>
          <w:rFonts w:ascii="仿宋_GB2312" w:eastAsia="仿宋_GB2312" w:hint="eastAsia"/>
          <w:sz w:val="32"/>
          <w:szCs w:val="32"/>
        </w:rPr>
        <w:t>万元。审批办理企业、个体退休</w:t>
      </w:r>
      <w:r>
        <w:rPr>
          <w:rFonts w:ascii="仿宋_GB2312" w:eastAsia="仿宋_GB2312" w:hint="eastAsia"/>
          <w:kern w:val="0"/>
          <w:sz w:val="32"/>
          <w:szCs w:val="32"/>
        </w:rPr>
        <w:t>108</w:t>
      </w:r>
      <w:r>
        <w:rPr>
          <w:rFonts w:ascii="仿宋_GB2312" w:eastAsia="仿宋_GB2312" w:hint="eastAsia"/>
          <w:sz w:val="32"/>
          <w:szCs w:val="32"/>
        </w:rPr>
        <w:t>人。</w:t>
      </w:r>
      <w:r>
        <w:rPr>
          <w:rFonts w:ascii="仿宋_GB2312" w:eastAsia="仿宋_GB2312" w:hint="eastAsia"/>
          <w:b/>
          <w:bCs/>
          <w:sz w:val="32"/>
          <w:szCs w:val="32"/>
        </w:rPr>
        <w:t>城乡居民养老保险。</w:t>
      </w:r>
      <w:r>
        <w:rPr>
          <w:rFonts w:ascii="仿宋_GB2312" w:eastAsia="仿宋_GB2312" w:hint="eastAsia"/>
          <w:sz w:val="32"/>
          <w:szCs w:val="32"/>
        </w:rPr>
        <w:t>截至</w:t>
      </w:r>
      <w:r>
        <w:rPr>
          <w:rFonts w:ascii="仿宋_GB2312" w:eastAsia="仿宋_GB2312" w:hint="eastAsia"/>
          <w:color w:val="000000"/>
          <w:kern w:val="0"/>
          <w:sz w:val="32"/>
          <w:szCs w:val="32"/>
        </w:rPr>
        <w:t>11</w:t>
      </w:r>
      <w:r>
        <w:rPr>
          <w:rFonts w:ascii="仿宋_GB2312" w:eastAsia="仿宋_GB2312" w:hint="eastAsia"/>
          <w:sz w:val="32"/>
          <w:szCs w:val="32"/>
        </w:rPr>
        <w:t>月，全县城乡居民养老保险覆盖人数为</w:t>
      </w:r>
      <w:r>
        <w:rPr>
          <w:rFonts w:ascii="仿宋_GB2312" w:eastAsia="仿宋_GB2312" w:hint="eastAsia"/>
          <w:color w:val="000000"/>
          <w:kern w:val="0"/>
          <w:sz w:val="32"/>
          <w:szCs w:val="32"/>
        </w:rPr>
        <w:t>3.29</w:t>
      </w:r>
      <w:r>
        <w:rPr>
          <w:rFonts w:ascii="仿宋_GB2312" w:eastAsia="仿宋_GB2312" w:hint="eastAsia"/>
          <w:sz w:val="32"/>
          <w:szCs w:val="32"/>
        </w:rPr>
        <w:t>万人，征缴基金</w:t>
      </w:r>
      <w:r>
        <w:rPr>
          <w:rFonts w:ascii="仿宋_GB2312" w:eastAsia="仿宋_GB2312" w:hint="eastAsia"/>
          <w:color w:val="000000"/>
          <w:kern w:val="0"/>
          <w:sz w:val="32"/>
          <w:szCs w:val="32"/>
        </w:rPr>
        <w:t>722.07</w:t>
      </w:r>
      <w:r>
        <w:rPr>
          <w:rFonts w:ascii="仿宋_GB2312" w:eastAsia="仿宋_GB2312" w:hint="eastAsia"/>
          <w:sz w:val="32"/>
          <w:szCs w:val="32"/>
        </w:rPr>
        <w:t>万元；为年满</w:t>
      </w:r>
      <w:r>
        <w:rPr>
          <w:rFonts w:ascii="仿宋_GB2312" w:eastAsia="仿宋_GB2312" w:hint="eastAsia"/>
          <w:color w:val="000000"/>
          <w:kern w:val="0"/>
          <w:sz w:val="32"/>
          <w:szCs w:val="32"/>
        </w:rPr>
        <w:t>60</w:t>
      </w:r>
      <w:r>
        <w:rPr>
          <w:rFonts w:ascii="仿宋_GB2312" w:eastAsia="仿宋_GB2312" w:hint="eastAsia"/>
          <w:sz w:val="32"/>
          <w:szCs w:val="32"/>
        </w:rPr>
        <w:t>岁及以上</w:t>
      </w:r>
      <w:r>
        <w:rPr>
          <w:rFonts w:ascii="仿宋_GB2312" w:eastAsia="仿宋_GB2312" w:hint="eastAsia"/>
          <w:color w:val="000000"/>
          <w:kern w:val="0"/>
          <w:sz w:val="32"/>
          <w:szCs w:val="32"/>
        </w:rPr>
        <w:t>1.04</w:t>
      </w:r>
      <w:r>
        <w:rPr>
          <w:rFonts w:ascii="仿宋_GB2312" w:eastAsia="仿宋_GB2312" w:hint="eastAsia"/>
          <w:sz w:val="32"/>
          <w:szCs w:val="32"/>
        </w:rPr>
        <w:t>万余位领待人员发放养老保险金</w:t>
      </w:r>
      <w:r>
        <w:rPr>
          <w:rFonts w:ascii="仿宋_GB2312" w:eastAsia="仿宋_GB2312" w:hint="eastAsia"/>
          <w:color w:val="000000"/>
          <w:kern w:val="0"/>
          <w:sz w:val="32"/>
          <w:szCs w:val="32"/>
        </w:rPr>
        <w:t>1534.25</w:t>
      </w:r>
      <w:r>
        <w:rPr>
          <w:rFonts w:ascii="仿宋_GB2312" w:eastAsia="仿宋_GB2312" w:hint="eastAsia"/>
          <w:sz w:val="32"/>
          <w:szCs w:val="32"/>
        </w:rPr>
        <w:t>万元。</w:t>
      </w:r>
      <w:r>
        <w:rPr>
          <w:rFonts w:ascii="仿宋_GB2312" w:eastAsia="仿宋_GB2312" w:hint="eastAsia"/>
          <w:b/>
          <w:bCs/>
          <w:sz w:val="32"/>
          <w:szCs w:val="32"/>
        </w:rPr>
        <w:t>二是干出“温暖社保”这个亮点。</w:t>
      </w:r>
      <w:r>
        <w:rPr>
          <w:rFonts w:ascii="仿宋_GB2312" w:eastAsia="仿宋_GB2312" w:hint="eastAsia"/>
          <w:sz w:val="32"/>
          <w:szCs w:val="32"/>
        </w:rPr>
        <w:t>截至</w:t>
      </w:r>
      <w:r>
        <w:rPr>
          <w:rFonts w:ascii="仿宋_GB2312" w:eastAsia="仿宋_GB2312" w:hint="eastAsia"/>
          <w:color w:val="000000"/>
          <w:kern w:val="0"/>
          <w:sz w:val="32"/>
          <w:szCs w:val="32"/>
        </w:rPr>
        <w:t>11</w:t>
      </w:r>
      <w:r>
        <w:rPr>
          <w:rFonts w:ascii="仿宋_GB2312" w:eastAsia="仿宋_GB2312" w:hint="eastAsia"/>
          <w:sz w:val="32"/>
          <w:szCs w:val="32"/>
        </w:rPr>
        <w:t>月，已完成困难群体城乡居民基本养老保险省级代缴</w:t>
      </w:r>
      <w:r>
        <w:rPr>
          <w:rFonts w:ascii="仿宋_GB2312" w:eastAsia="仿宋_GB2312" w:hint="eastAsia"/>
          <w:color w:val="000000"/>
          <w:kern w:val="0"/>
          <w:sz w:val="32"/>
          <w:szCs w:val="32"/>
        </w:rPr>
        <w:t>720</w:t>
      </w:r>
      <w:r>
        <w:rPr>
          <w:rFonts w:ascii="仿宋_GB2312" w:eastAsia="仿宋_GB2312" w:hint="eastAsia"/>
          <w:sz w:val="32"/>
          <w:szCs w:val="32"/>
        </w:rPr>
        <w:t>人（其中：低保对象</w:t>
      </w:r>
      <w:r>
        <w:rPr>
          <w:rFonts w:ascii="仿宋_GB2312" w:eastAsia="仿宋_GB2312" w:hint="eastAsia"/>
          <w:color w:val="000000"/>
          <w:kern w:val="0"/>
          <w:sz w:val="32"/>
          <w:szCs w:val="32"/>
        </w:rPr>
        <w:t>293</w:t>
      </w:r>
      <w:r>
        <w:rPr>
          <w:rFonts w:ascii="仿宋_GB2312" w:eastAsia="仿宋_GB2312" w:hint="eastAsia"/>
          <w:sz w:val="32"/>
          <w:szCs w:val="32"/>
        </w:rPr>
        <w:t>人、特困</w:t>
      </w:r>
      <w:r>
        <w:rPr>
          <w:rFonts w:ascii="仿宋_GB2312" w:eastAsia="仿宋_GB2312" w:hint="eastAsia"/>
          <w:color w:val="000000"/>
          <w:kern w:val="0"/>
          <w:sz w:val="32"/>
          <w:szCs w:val="32"/>
        </w:rPr>
        <w:t>163</w:t>
      </w:r>
      <w:r>
        <w:rPr>
          <w:rFonts w:ascii="仿宋_GB2312" w:eastAsia="仿宋_GB2312" w:hint="eastAsia"/>
          <w:sz w:val="32"/>
          <w:szCs w:val="32"/>
        </w:rPr>
        <w:t>人、重度残疾</w:t>
      </w:r>
      <w:r>
        <w:rPr>
          <w:rFonts w:ascii="仿宋_GB2312" w:eastAsia="仿宋_GB2312" w:hint="eastAsia"/>
          <w:color w:val="000000"/>
          <w:kern w:val="0"/>
          <w:sz w:val="32"/>
          <w:szCs w:val="32"/>
        </w:rPr>
        <w:t>264</w:t>
      </w:r>
      <w:r>
        <w:rPr>
          <w:rFonts w:ascii="仿宋_GB2312" w:eastAsia="仿宋_GB2312" w:hint="eastAsia"/>
          <w:sz w:val="32"/>
          <w:szCs w:val="32"/>
        </w:rPr>
        <w:t>人），代缴资金</w:t>
      </w:r>
      <w:r>
        <w:rPr>
          <w:rFonts w:ascii="仿宋_GB2312" w:eastAsia="仿宋_GB2312" w:hint="eastAsia"/>
          <w:color w:val="000000"/>
          <w:kern w:val="0"/>
          <w:sz w:val="32"/>
          <w:szCs w:val="32"/>
        </w:rPr>
        <w:t>7.2</w:t>
      </w:r>
      <w:r>
        <w:rPr>
          <w:rFonts w:ascii="仿宋_GB2312" w:eastAsia="仿宋_GB2312" w:hint="eastAsia"/>
          <w:sz w:val="32"/>
          <w:szCs w:val="32"/>
        </w:rPr>
        <w:t>万元，完成目标任务</w:t>
      </w:r>
      <w:r>
        <w:rPr>
          <w:rFonts w:ascii="仿宋_GB2312" w:eastAsia="仿宋_GB2312" w:hint="eastAsia"/>
          <w:color w:val="000000"/>
          <w:kern w:val="0"/>
          <w:sz w:val="32"/>
          <w:szCs w:val="32"/>
        </w:rPr>
        <w:t>711</w:t>
      </w:r>
      <w:r>
        <w:rPr>
          <w:rFonts w:ascii="仿宋_GB2312" w:eastAsia="仿宋_GB2312" w:hint="eastAsia"/>
          <w:sz w:val="32"/>
          <w:szCs w:val="32"/>
        </w:rPr>
        <w:t>人的</w:t>
      </w:r>
      <w:r>
        <w:rPr>
          <w:rFonts w:ascii="仿宋_GB2312" w:eastAsia="仿宋_GB2312" w:hint="eastAsia"/>
          <w:color w:val="000000"/>
          <w:kern w:val="0"/>
          <w:sz w:val="32"/>
          <w:szCs w:val="32"/>
        </w:rPr>
        <w:t>101.3%</w:t>
      </w:r>
      <w:r>
        <w:rPr>
          <w:rFonts w:ascii="仿宋_GB2312" w:eastAsia="仿宋_GB2312" w:hint="eastAsia"/>
          <w:sz w:val="32"/>
          <w:szCs w:val="32"/>
        </w:rPr>
        <w:t>。</w:t>
      </w:r>
      <w:r>
        <w:rPr>
          <w:rFonts w:ascii="仿宋_GB2312" w:eastAsia="仿宋_GB2312" w:hint="eastAsia"/>
          <w:color w:val="000000"/>
          <w:kern w:val="0"/>
          <w:sz w:val="32"/>
          <w:szCs w:val="32"/>
        </w:rPr>
        <w:t>2022</w:t>
      </w:r>
      <w:r>
        <w:rPr>
          <w:rFonts w:ascii="仿宋_GB2312" w:eastAsia="仿宋_GB2312" w:hint="eastAsia"/>
          <w:sz w:val="32"/>
          <w:szCs w:val="32"/>
        </w:rPr>
        <w:t>年省、州下达我县为</w:t>
      </w:r>
      <w:r>
        <w:rPr>
          <w:rFonts w:ascii="仿宋_GB2312" w:eastAsia="仿宋_GB2312" w:hint="eastAsia"/>
          <w:color w:val="000000"/>
          <w:kern w:val="0"/>
          <w:sz w:val="32"/>
          <w:szCs w:val="32"/>
        </w:rPr>
        <w:t>1.04</w:t>
      </w:r>
      <w:r>
        <w:rPr>
          <w:rFonts w:ascii="仿宋_GB2312" w:eastAsia="仿宋_GB2312" w:hint="eastAsia"/>
          <w:sz w:val="32"/>
          <w:szCs w:val="32"/>
        </w:rPr>
        <w:t>万</w:t>
      </w:r>
      <w:r>
        <w:rPr>
          <w:rFonts w:ascii="仿宋_GB2312" w:eastAsia="仿宋_GB2312" w:hint="eastAsia"/>
          <w:color w:val="000000"/>
          <w:kern w:val="0"/>
          <w:sz w:val="32"/>
          <w:szCs w:val="32"/>
        </w:rPr>
        <w:t>60</w:t>
      </w:r>
      <w:r>
        <w:rPr>
          <w:rFonts w:ascii="仿宋_GB2312" w:eastAsia="仿宋_GB2312" w:hint="eastAsia"/>
          <w:sz w:val="32"/>
          <w:szCs w:val="32"/>
        </w:rPr>
        <w:t>岁及以上领待人员按时足额发放养老金，截至</w:t>
      </w:r>
      <w:r>
        <w:rPr>
          <w:rFonts w:ascii="仿宋_GB2312" w:eastAsia="仿宋_GB2312" w:hint="eastAsia"/>
          <w:color w:val="000000"/>
          <w:kern w:val="0"/>
          <w:sz w:val="32"/>
          <w:szCs w:val="32"/>
        </w:rPr>
        <w:t>目前</w:t>
      </w:r>
      <w:r>
        <w:rPr>
          <w:rFonts w:ascii="仿宋_GB2312" w:eastAsia="仿宋_GB2312" w:hint="eastAsia"/>
          <w:sz w:val="32"/>
          <w:szCs w:val="32"/>
        </w:rPr>
        <w:t>，共计发放养老金共计</w:t>
      </w:r>
      <w:r>
        <w:rPr>
          <w:rFonts w:ascii="仿宋_GB2312" w:eastAsia="仿宋_GB2312" w:hint="eastAsia"/>
          <w:color w:val="000000"/>
          <w:kern w:val="0"/>
          <w:sz w:val="32"/>
          <w:szCs w:val="32"/>
        </w:rPr>
        <w:t>1534.25</w:t>
      </w:r>
      <w:r>
        <w:rPr>
          <w:rFonts w:ascii="仿宋_GB2312" w:eastAsia="仿宋_GB2312" w:hint="eastAsia"/>
          <w:sz w:val="32"/>
          <w:szCs w:val="32"/>
        </w:rPr>
        <w:t>万元。</w:t>
      </w:r>
      <w:r>
        <w:rPr>
          <w:rFonts w:ascii="仿宋_GB2312" w:eastAsia="仿宋_GB2312" w:hint="eastAsia"/>
          <w:b/>
          <w:bCs/>
          <w:sz w:val="32"/>
          <w:szCs w:val="32"/>
        </w:rPr>
        <w:t>三是突破“盲点领域”这个难点。</w:t>
      </w:r>
      <w:r>
        <w:rPr>
          <w:rFonts w:ascii="仿宋_GB2312" w:eastAsia="仿宋_GB2312" w:hint="eastAsia"/>
          <w:sz w:val="32"/>
          <w:szCs w:val="32"/>
        </w:rPr>
        <w:t>积极开展快递、物流等新兴领域、行业、业态从业人员摸底调查和政策宣传，对</w:t>
      </w:r>
      <w:r>
        <w:rPr>
          <w:rFonts w:ascii="仿宋_GB2312" w:eastAsia="仿宋_GB2312" w:hint="eastAsia"/>
          <w:kern w:val="0"/>
          <w:sz w:val="32"/>
          <w:szCs w:val="32"/>
        </w:rPr>
        <w:t>8</w:t>
      </w:r>
      <w:r>
        <w:rPr>
          <w:rFonts w:ascii="仿宋_GB2312" w:eastAsia="仿宋_GB2312" w:hint="eastAsia"/>
          <w:sz w:val="32"/>
          <w:szCs w:val="32"/>
        </w:rPr>
        <w:t>家基层快递网点</w:t>
      </w:r>
      <w:r>
        <w:rPr>
          <w:rFonts w:ascii="仿宋_GB2312" w:eastAsia="仿宋_GB2312" w:hint="eastAsia"/>
          <w:kern w:val="0"/>
          <w:sz w:val="32"/>
          <w:szCs w:val="32"/>
        </w:rPr>
        <w:t>100</w:t>
      </w:r>
      <w:r>
        <w:rPr>
          <w:rFonts w:ascii="仿宋_GB2312" w:eastAsia="仿宋_GB2312" w:hint="eastAsia"/>
          <w:sz w:val="32"/>
          <w:szCs w:val="32"/>
        </w:rPr>
        <w:t>余名从业工作人员按规定参加城镇职工基本养老保险。</w:t>
      </w:r>
      <w:r>
        <w:rPr>
          <w:rFonts w:ascii="仿宋_GB2312" w:eastAsia="仿宋_GB2312" w:hint="eastAsia"/>
          <w:b/>
          <w:bCs/>
          <w:sz w:val="32"/>
          <w:szCs w:val="32"/>
        </w:rPr>
        <w:t>四是疏通“工伤保险”这个堵点。</w:t>
      </w:r>
      <w:r>
        <w:rPr>
          <w:rFonts w:ascii="仿宋_GB2312" w:eastAsia="仿宋_GB2312" w:hint="eastAsia"/>
          <w:sz w:val="32"/>
          <w:szCs w:val="32"/>
        </w:rPr>
        <w:t>大力推进“同舟计划”，截至目前，我县</w:t>
      </w:r>
      <w:r>
        <w:rPr>
          <w:rFonts w:ascii="仿宋_GB2312" w:eastAsia="仿宋_GB2312" w:hint="eastAsia"/>
          <w:kern w:val="0"/>
          <w:sz w:val="32"/>
          <w:szCs w:val="32"/>
        </w:rPr>
        <w:t>30</w:t>
      </w:r>
      <w:r>
        <w:rPr>
          <w:rFonts w:ascii="仿宋_GB2312" w:eastAsia="仿宋_GB2312" w:hint="eastAsia"/>
          <w:sz w:val="32"/>
          <w:szCs w:val="32"/>
        </w:rPr>
        <w:t>户项目参保，参保人数达</w:t>
      </w:r>
      <w:r>
        <w:rPr>
          <w:rFonts w:ascii="仿宋_GB2312" w:eastAsia="仿宋_GB2312" w:hint="eastAsia"/>
          <w:kern w:val="0"/>
          <w:sz w:val="32"/>
          <w:szCs w:val="32"/>
        </w:rPr>
        <w:t>1349</w:t>
      </w:r>
      <w:r>
        <w:rPr>
          <w:rFonts w:ascii="仿宋_GB2312" w:eastAsia="仿宋_GB2312" w:hint="eastAsia"/>
          <w:sz w:val="32"/>
          <w:szCs w:val="32"/>
        </w:rPr>
        <w:t>人，参保金额达</w:t>
      </w:r>
      <w:r>
        <w:rPr>
          <w:rFonts w:ascii="仿宋_GB2312" w:eastAsia="仿宋_GB2312" w:hint="eastAsia"/>
          <w:kern w:val="0"/>
          <w:sz w:val="32"/>
          <w:szCs w:val="32"/>
        </w:rPr>
        <w:t>53</w:t>
      </w:r>
      <w:r>
        <w:rPr>
          <w:rFonts w:ascii="仿宋_GB2312" w:eastAsia="仿宋_GB2312" w:hint="eastAsia"/>
          <w:sz w:val="32"/>
          <w:szCs w:val="32"/>
        </w:rPr>
        <w:t>万余元。</w:t>
      </w:r>
      <w:r>
        <w:rPr>
          <w:rFonts w:ascii="仿宋_GB2312" w:eastAsia="仿宋_GB2312" w:hint="eastAsia"/>
          <w:b/>
          <w:bCs/>
          <w:sz w:val="32"/>
          <w:szCs w:val="32"/>
        </w:rPr>
        <w:t>五是聚焦“基金监督”这个热点。</w:t>
      </w:r>
      <w:r>
        <w:rPr>
          <w:rFonts w:ascii="仿宋_GB2312" w:eastAsia="仿宋_GB2312" w:hint="eastAsia"/>
          <w:sz w:val="32"/>
          <w:szCs w:val="32"/>
        </w:rPr>
        <w:t>积极开展社保基金管理提升年专项行动，制发了</w:t>
      </w:r>
      <w:r>
        <w:rPr>
          <w:rFonts w:ascii="仿宋_GB2312" w:eastAsia="仿宋_GB2312" w:hint="eastAsia"/>
          <w:kern w:val="0"/>
          <w:sz w:val="32"/>
          <w:szCs w:val="32"/>
        </w:rPr>
        <w:t>5</w:t>
      </w:r>
      <w:r>
        <w:rPr>
          <w:rFonts w:ascii="仿宋_GB2312" w:eastAsia="仿宋_GB2312" w:hint="eastAsia"/>
          <w:sz w:val="32"/>
          <w:szCs w:val="32"/>
        </w:rPr>
        <w:t>个专项实施方案，成立了</w:t>
      </w:r>
      <w:r>
        <w:rPr>
          <w:rFonts w:ascii="仿宋_GB2312" w:eastAsia="仿宋_GB2312" w:hint="eastAsia"/>
          <w:kern w:val="0"/>
          <w:sz w:val="32"/>
          <w:szCs w:val="32"/>
        </w:rPr>
        <w:t>5</w:t>
      </w:r>
      <w:r>
        <w:rPr>
          <w:rFonts w:ascii="仿宋_GB2312" w:eastAsia="仿宋_GB2312" w:hint="eastAsia"/>
          <w:sz w:val="32"/>
          <w:szCs w:val="32"/>
        </w:rPr>
        <w:t>工作专班。与纪委监委、公安、司法等</w:t>
      </w:r>
      <w:r>
        <w:rPr>
          <w:rFonts w:ascii="仿宋_GB2312" w:eastAsia="仿宋_GB2312" w:hint="eastAsia"/>
          <w:kern w:val="0"/>
          <w:sz w:val="32"/>
          <w:szCs w:val="32"/>
        </w:rPr>
        <w:t>8</w:t>
      </w:r>
      <w:r>
        <w:rPr>
          <w:rFonts w:ascii="仿宋_GB2312" w:eastAsia="仿宋_GB2312" w:hint="eastAsia"/>
          <w:sz w:val="32"/>
          <w:szCs w:val="32"/>
        </w:rPr>
        <w:t>个部门召开了数据共享比对和协查联席会议，建立数据共享比对和协查机制。</w:t>
      </w:r>
      <w:r>
        <w:rPr>
          <w:rFonts w:ascii="仿宋_GB2312" w:eastAsia="仿宋_GB2312" w:hint="eastAsia"/>
          <w:kern w:val="0"/>
          <w:sz w:val="32"/>
          <w:szCs w:val="32"/>
        </w:rPr>
        <w:t>2022</w:t>
      </w:r>
      <w:r>
        <w:rPr>
          <w:rFonts w:ascii="仿宋_GB2312" w:eastAsia="仿宋_GB2312" w:hint="eastAsia"/>
          <w:sz w:val="32"/>
          <w:szCs w:val="32"/>
        </w:rPr>
        <w:t>向公安机关移交社保基金案件</w:t>
      </w:r>
      <w:r>
        <w:rPr>
          <w:rFonts w:ascii="仿宋_GB2312" w:eastAsia="仿宋_GB2312" w:hint="eastAsia"/>
          <w:kern w:val="0"/>
          <w:sz w:val="32"/>
          <w:szCs w:val="32"/>
        </w:rPr>
        <w:t>1</w:t>
      </w:r>
      <w:r>
        <w:rPr>
          <w:rFonts w:ascii="仿宋_GB2312" w:eastAsia="仿宋_GB2312" w:hint="eastAsia"/>
          <w:sz w:val="32"/>
          <w:szCs w:val="32"/>
        </w:rPr>
        <w:t>件。定期开展社会保险基金信息系统安全风险防控自查自纠，强化“一事双岗双审”，切实确保社会保险基金安全。</w:t>
      </w:r>
    </w:p>
    <w:p>
      <w:pPr>
        <w:spacing w:line="560" w:lineRule="exact"/>
        <w:ind w:firstLineChars="250" w:firstLine="800"/>
        <w:rPr>
          <w:rFonts w:ascii="仿宋_GB2312" w:eastAsia="仿宋_GB2312"/>
          <w:sz w:val="32"/>
          <w:szCs w:val="32"/>
        </w:rPr>
      </w:pPr>
      <w:r>
        <w:rPr>
          <w:rFonts w:ascii="仿宋_GB2312" w:eastAsia="仿宋_GB2312" w:hint="eastAsia"/>
          <w:b/>
          <w:bCs/>
          <w:kern w:val="0"/>
          <w:sz w:val="32"/>
          <w:szCs w:val="32"/>
        </w:rPr>
        <w:t>3.</w:t>
      </w:r>
      <w:r>
        <w:rPr>
          <w:rFonts w:ascii="仿宋_GB2312" w:eastAsia="仿宋_GB2312" w:hint="eastAsia"/>
          <w:b/>
          <w:bCs/>
          <w:sz w:val="32"/>
          <w:szCs w:val="32"/>
        </w:rPr>
        <w:t>用情用心，全力推进农民工服务工程。一是</w:t>
      </w:r>
      <w:r>
        <w:rPr>
          <w:rFonts w:ascii="仿宋_GB2312" w:eastAsia="仿宋_GB2312" w:hint="eastAsia"/>
          <w:sz w:val="32"/>
          <w:szCs w:val="32"/>
        </w:rPr>
        <w:t>部门联动，提供公共服务。紧盯春节前后等节点，在车站开设农民工购票窗口，开展“春风行动”，为农民工开通专车，保障</w:t>
      </w:r>
      <w:r>
        <w:rPr>
          <w:rFonts w:ascii="仿宋_GB2312" w:eastAsia="仿宋_GB2312" w:hint="eastAsia"/>
          <w:kern w:val="0"/>
          <w:sz w:val="32"/>
          <w:szCs w:val="32"/>
        </w:rPr>
        <w:t>63</w:t>
      </w:r>
      <w:r>
        <w:rPr>
          <w:rFonts w:ascii="仿宋_GB2312" w:eastAsia="仿宋_GB2312" w:hint="eastAsia"/>
          <w:sz w:val="32"/>
          <w:szCs w:val="32"/>
        </w:rPr>
        <w:t>名农民工平安出行。在政务服务大厅设立农民工身份证办理、户籍转移等专门窗口。继续完善社会保险关系转移接续信息系统，努力实现农民工社保顺畅转续。</w:t>
      </w:r>
      <w:r>
        <w:rPr>
          <w:rFonts w:ascii="仿宋_GB2312" w:eastAsia="仿宋_GB2312" w:hint="eastAsia"/>
          <w:b/>
          <w:bCs/>
          <w:sz w:val="32"/>
          <w:szCs w:val="32"/>
        </w:rPr>
        <w:t>二是群团联手，关爱留守人员。</w:t>
      </w:r>
      <w:r>
        <w:rPr>
          <w:rFonts w:ascii="仿宋_GB2312" w:eastAsia="仿宋_GB2312" w:hint="eastAsia"/>
          <w:sz w:val="32"/>
          <w:szCs w:val="32"/>
        </w:rPr>
        <w:t>实施“亲情心连心”“夏令营亲情团聚”和“希望工程”关爱农村留守儿童专项活动。持续开展妇女“两癌”“困难母亲”等救助活动。</w:t>
      </w:r>
      <w:r>
        <w:rPr>
          <w:rFonts w:ascii="仿宋_GB2312" w:eastAsia="仿宋_GB2312" w:hint="eastAsia"/>
          <w:b/>
          <w:bCs/>
          <w:sz w:val="32"/>
          <w:szCs w:val="32"/>
        </w:rPr>
        <w:t>三是县乡联建，推广服务平台。</w:t>
      </w:r>
      <w:r>
        <w:rPr>
          <w:rFonts w:ascii="仿宋_GB2312" w:eastAsia="仿宋_GB2312" w:hint="eastAsia"/>
          <w:sz w:val="32"/>
          <w:szCs w:val="32"/>
        </w:rPr>
        <w:t>宣传用好农民工服务平台，注册人数</w:t>
      </w:r>
      <w:r>
        <w:rPr>
          <w:rFonts w:ascii="仿宋_GB2312" w:eastAsia="仿宋_GB2312" w:hint="eastAsia"/>
          <w:kern w:val="0"/>
          <w:sz w:val="32"/>
          <w:szCs w:val="32"/>
        </w:rPr>
        <w:t>897</w:t>
      </w:r>
      <w:r>
        <w:rPr>
          <w:rFonts w:ascii="仿宋_GB2312" w:eastAsia="仿宋_GB2312" w:hint="eastAsia"/>
          <w:sz w:val="32"/>
          <w:szCs w:val="32"/>
        </w:rPr>
        <w:t>人，信息上传412条。</w:t>
      </w:r>
      <w:r>
        <w:rPr>
          <w:rFonts w:ascii="仿宋_GB2312" w:eastAsia="仿宋_GB2312" w:hint="eastAsia"/>
          <w:b/>
          <w:bCs/>
          <w:sz w:val="32"/>
          <w:szCs w:val="32"/>
        </w:rPr>
        <w:t>四是乡村联合，做好疫情防控。</w:t>
      </w:r>
      <w:r>
        <w:rPr>
          <w:rFonts w:ascii="仿宋_GB2312" w:eastAsia="仿宋_GB2312" w:hint="eastAsia"/>
          <w:sz w:val="32"/>
          <w:szCs w:val="32"/>
        </w:rPr>
        <w:t>广泛宣传农民工疫情防控相关政策。持续加强返乡、返岗农民工排查和登记，每日动态更新疫情情况，按时上报疫情高发地区返乡农民工信息登记表。</w:t>
      </w:r>
    </w:p>
    <w:p>
      <w:pPr>
        <w:spacing w:line="560" w:lineRule="exact"/>
        <w:ind w:firstLineChars="250" w:firstLine="800"/>
        <w:rPr>
          <w:rFonts w:ascii="仿宋_GB2312" w:eastAsia="仿宋_GB2312"/>
          <w:sz w:val="32"/>
          <w:szCs w:val="32"/>
        </w:rPr>
      </w:pPr>
      <w:r>
        <w:rPr>
          <w:rFonts w:ascii="仿宋_GB2312" w:eastAsia="仿宋_GB2312" w:hint="eastAsia"/>
          <w:b/>
          <w:bCs/>
          <w:kern w:val="0"/>
          <w:sz w:val="32"/>
          <w:szCs w:val="32"/>
        </w:rPr>
        <w:t>4.</w:t>
      </w:r>
      <w:r>
        <w:rPr>
          <w:rFonts w:ascii="仿宋_GB2312" w:eastAsia="仿宋_GB2312" w:hint="eastAsia"/>
          <w:b/>
          <w:bCs/>
          <w:sz w:val="32"/>
          <w:szCs w:val="32"/>
        </w:rPr>
        <w:t>知难而上，全力推进技能培训工程。</w:t>
      </w:r>
      <w:r>
        <w:rPr>
          <w:rFonts w:ascii="仿宋_GB2312" w:eastAsia="仿宋_GB2312" w:hint="eastAsia"/>
          <w:sz w:val="32"/>
          <w:szCs w:val="32"/>
        </w:rPr>
        <w:t>大力实施“技能阿坝”行动，充分发挥职业培训引导作用。</w:t>
      </w:r>
      <w:r>
        <w:rPr>
          <w:rFonts w:ascii="仿宋_GB2312" w:eastAsia="仿宋_GB2312" w:hint="eastAsia"/>
          <w:b/>
          <w:bCs/>
          <w:sz w:val="32"/>
          <w:szCs w:val="32"/>
        </w:rPr>
        <w:t>一方面</w:t>
      </w:r>
      <w:r>
        <w:rPr>
          <w:rFonts w:ascii="仿宋_GB2312" w:eastAsia="仿宋_GB2312" w:hint="eastAsia"/>
          <w:sz w:val="32"/>
          <w:szCs w:val="32"/>
        </w:rPr>
        <w:t>加强职业技能培训。通过实施返乡入乡创业带头人培养计划，为返乡入乡创业带头人提供职业技能培训基础平台，建立“一对一”“师带徒”培养机制，提升“领头雁”职业素养。</w:t>
      </w:r>
      <w:r>
        <w:rPr>
          <w:rFonts w:ascii="仿宋_GB2312" w:eastAsia="仿宋_GB2312" w:hint="eastAsia"/>
          <w:b/>
          <w:bCs/>
          <w:sz w:val="32"/>
          <w:szCs w:val="32"/>
        </w:rPr>
        <w:t>另一方面</w:t>
      </w:r>
      <w:r>
        <w:rPr>
          <w:rFonts w:ascii="仿宋_GB2312" w:eastAsia="仿宋_GB2312" w:hint="eastAsia"/>
          <w:sz w:val="32"/>
          <w:szCs w:val="32"/>
        </w:rPr>
        <w:t>加强分类引导培育。引导有资金积累、技术专长、市场信息和经营头脑的返乡农民工在农村创新创业，进而带动就业；引导大中专毕业生、退役军人、科技人员等入乡创业，带动更多农民学技术、闯市场、创品牌；挖掘“田秀才”“土专家”“乡创客”等乡土人才以及能工巧匠，创响“乡字号”“土字号”乡土特色产品。目前已经完成各类培训</w:t>
      </w:r>
      <w:r>
        <w:rPr>
          <w:rFonts w:ascii="仿宋_GB2312" w:eastAsia="仿宋_GB2312" w:hint="eastAsia"/>
          <w:kern w:val="0"/>
          <w:sz w:val="32"/>
          <w:szCs w:val="32"/>
        </w:rPr>
        <w:t>1660</w:t>
      </w:r>
      <w:r>
        <w:rPr>
          <w:rFonts w:ascii="仿宋_GB2312" w:eastAsia="仿宋_GB2312" w:hint="eastAsia"/>
          <w:sz w:val="32"/>
          <w:szCs w:val="32"/>
        </w:rPr>
        <w:t>人次。</w:t>
      </w:r>
    </w:p>
    <w:p>
      <w:pPr>
        <w:spacing w:line="560" w:lineRule="exact"/>
        <w:ind w:firstLineChars="250" w:firstLine="800"/>
        <w:rPr>
          <w:rFonts w:ascii="仿宋_GB2312" w:eastAsia="仿宋_GB2312"/>
          <w:sz w:val="32"/>
          <w:szCs w:val="32"/>
        </w:rPr>
      </w:pPr>
      <w:r>
        <w:rPr>
          <w:rFonts w:ascii="仿宋_GB2312" w:eastAsia="仿宋_GB2312" w:hint="eastAsia"/>
          <w:b/>
          <w:bCs/>
          <w:kern w:val="0"/>
          <w:sz w:val="32"/>
          <w:szCs w:val="32"/>
        </w:rPr>
        <w:t>5.</w:t>
      </w:r>
      <w:r>
        <w:rPr>
          <w:rFonts w:ascii="仿宋_GB2312" w:eastAsia="仿宋_GB2312" w:hint="eastAsia"/>
          <w:b/>
          <w:bCs/>
          <w:sz w:val="32"/>
          <w:szCs w:val="32"/>
        </w:rPr>
        <w:t>直面矛盾，全力推进根治欠薪工程。</w:t>
      </w:r>
      <w:r>
        <w:rPr>
          <w:rFonts w:ascii="仿宋_GB2312" w:eastAsia="仿宋_GB2312" w:hint="eastAsia"/>
          <w:b/>
          <w:sz w:val="32"/>
          <w:szCs w:val="32"/>
        </w:rPr>
        <w:t>一是</w:t>
      </w:r>
      <w:r>
        <w:rPr>
          <w:rFonts w:ascii="仿宋_GB2312" w:eastAsia="仿宋_GB2312" w:hint="eastAsia"/>
          <w:sz w:val="32"/>
          <w:szCs w:val="32"/>
        </w:rPr>
        <w:t>严格执行根治欠薪制度。在建项目实名制管理制度达到全覆盖，施工企业均建立民工工资专户，收取农民工工资保证金690余万元，已退还保证金1070余万元，账户余额3097余万元。</w:t>
      </w:r>
      <w:r>
        <w:rPr>
          <w:rFonts w:ascii="仿宋_GB2312" w:eastAsia="仿宋_GB2312" w:hint="eastAsia"/>
          <w:b/>
          <w:sz w:val="32"/>
          <w:szCs w:val="32"/>
        </w:rPr>
        <w:t>二是</w:t>
      </w:r>
      <w:r>
        <w:rPr>
          <w:rFonts w:ascii="仿宋_GB2312" w:eastAsia="仿宋_GB2312" w:hint="eastAsia"/>
          <w:sz w:val="32"/>
          <w:szCs w:val="32"/>
        </w:rPr>
        <w:t>严厉开展劳动监察执法。深入宣传《保障农民工工资支付条例》等法律法规，劳动监察日常巡查和专项检查用人单位68户，涉及劳动者1670人；受理举报、投诉38起，已办理完结38起；下发劳动保障监察限期改正指令书13份，劳动保障监察投诉举报告知书21份；为546名农民工追缴拖欠工资1463万元。</w:t>
      </w:r>
      <w:r>
        <w:rPr>
          <w:rFonts w:ascii="仿宋_GB2312" w:eastAsia="仿宋_GB2312" w:hint="eastAsia"/>
          <w:b/>
          <w:bCs/>
          <w:sz w:val="32"/>
          <w:szCs w:val="32"/>
        </w:rPr>
        <w:t>三是</w:t>
      </w:r>
      <w:r>
        <w:rPr>
          <w:rFonts w:ascii="仿宋_GB2312" w:eastAsia="仿宋_GB2312" w:hint="eastAsia"/>
          <w:sz w:val="32"/>
          <w:szCs w:val="32"/>
        </w:rPr>
        <w:t>严肃进行劳动争议仲裁。受理劳动人事争议仲裁案件</w:t>
      </w:r>
      <w:r>
        <w:rPr>
          <w:rFonts w:ascii="仿宋_GB2312" w:eastAsia="仿宋_GB2312" w:hint="eastAsia"/>
          <w:kern w:val="0"/>
          <w:sz w:val="32"/>
          <w:szCs w:val="32"/>
        </w:rPr>
        <w:t>11</w:t>
      </w:r>
      <w:r>
        <w:rPr>
          <w:rFonts w:ascii="仿宋_GB2312" w:eastAsia="仿宋_GB2312" w:hint="eastAsia"/>
          <w:sz w:val="32"/>
          <w:szCs w:val="32"/>
        </w:rPr>
        <w:t>件，涉及劳动者</w:t>
      </w:r>
      <w:r>
        <w:rPr>
          <w:rFonts w:ascii="仿宋_GB2312" w:eastAsia="仿宋_GB2312" w:hint="eastAsia"/>
          <w:kern w:val="0"/>
          <w:sz w:val="32"/>
          <w:szCs w:val="32"/>
        </w:rPr>
        <w:t>11</w:t>
      </w:r>
      <w:r>
        <w:rPr>
          <w:rFonts w:ascii="仿宋_GB2312" w:eastAsia="仿宋_GB2312" w:hint="eastAsia"/>
          <w:sz w:val="32"/>
          <w:szCs w:val="32"/>
        </w:rPr>
        <w:t>人，仲裁调解结案</w:t>
      </w:r>
      <w:r>
        <w:rPr>
          <w:rFonts w:ascii="仿宋_GB2312" w:eastAsia="仿宋_GB2312" w:hint="eastAsia"/>
          <w:kern w:val="0"/>
          <w:sz w:val="32"/>
          <w:szCs w:val="32"/>
        </w:rPr>
        <w:t>5</w:t>
      </w:r>
      <w:r>
        <w:rPr>
          <w:rFonts w:ascii="仿宋_GB2312" w:eastAsia="仿宋_GB2312" w:hint="eastAsia"/>
          <w:sz w:val="32"/>
          <w:szCs w:val="32"/>
        </w:rPr>
        <w:t>件、撤诉</w:t>
      </w:r>
      <w:r>
        <w:rPr>
          <w:rFonts w:ascii="仿宋_GB2312" w:eastAsia="仿宋_GB2312" w:hint="eastAsia"/>
          <w:kern w:val="0"/>
          <w:sz w:val="32"/>
          <w:szCs w:val="32"/>
        </w:rPr>
        <w:t>1</w:t>
      </w:r>
      <w:r>
        <w:rPr>
          <w:rFonts w:ascii="仿宋_GB2312" w:eastAsia="仿宋_GB2312" w:hint="eastAsia"/>
          <w:sz w:val="32"/>
          <w:szCs w:val="32"/>
        </w:rPr>
        <w:t>件、仲裁裁决结案</w:t>
      </w:r>
      <w:r>
        <w:rPr>
          <w:rFonts w:ascii="仿宋_GB2312" w:eastAsia="仿宋_GB2312" w:hint="eastAsia"/>
          <w:kern w:val="0"/>
          <w:sz w:val="32"/>
          <w:szCs w:val="32"/>
        </w:rPr>
        <w:t>3</w:t>
      </w:r>
      <w:r>
        <w:rPr>
          <w:rFonts w:ascii="仿宋_GB2312" w:eastAsia="仿宋_GB2312" w:hint="eastAsia"/>
          <w:sz w:val="32"/>
          <w:szCs w:val="32"/>
        </w:rPr>
        <w:t>件（</w:t>
      </w:r>
      <w:r>
        <w:rPr>
          <w:rFonts w:ascii="仿宋_GB2312" w:eastAsia="仿宋_GB2312" w:hint="eastAsia"/>
          <w:kern w:val="0"/>
          <w:sz w:val="32"/>
          <w:szCs w:val="32"/>
        </w:rPr>
        <w:t>2</w:t>
      </w:r>
      <w:r>
        <w:rPr>
          <w:rFonts w:ascii="仿宋_GB2312" w:eastAsia="仿宋_GB2312" w:hint="eastAsia"/>
          <w:sz w:val="32"/>
          <w:szCs w:val="32"/>
        </w:rPr>
        <w:t>件正在审理中），涉及金额</w:t>
      </w:r>
      <w:r>
        <w:rPr>
          <w:rFonts w:ascii="仿宋_GB2312" w:eastAsia="仿宋_GB2312" w:hint="eastAsia"/>
          <w:kern w:val="0"/>
          <w:sz w:val="32"/>
          <w:szCs w:val="32"/>
        </w:rPr>
        <w:t>73</w:t>
      </w:r>
      <w:r>
        <w:rPr>
          <w:rFonts w:ascii="仿宋_GB2312" w:eastAsia="仿宋_GB2312" w:hint="eastAsia"/>
          <w:sz w:val="32"/>
          <w:szCs w:val="32"/>
        </w:rPr>
        <w:t>万元，结案率</w:t>
      </w:r>
      <w:r>
        <w:rPr>
          <w:rFonts w:ascii="仿宋_GB2312" w:eastAsia="仿宋_GB2312" w:hint="eastAsia"/>
          <w:kern w:val="0"/>
          <w:sz w:val="32"/>
          <w:szCs w:val="32"/>
        </w:rPr>
        <w:t>91%</w:t>
      </w:r>
      <w:r>
        <w:rPr>
          <w:rFonts w:ascii="仿宋_GB2312" w:eastAsia="仿宋_GB2312" w:hint="eastAsia"/>
          <w:sz w:val="32"/>
          <w:szCs w:val="32"/>
        </w:rPr>
        <w:t>；办结系统各类信访及咨询件</w:t>
      </w:r>
      <w:r>
        <w:rPr>
          <w:rFonts w:ascii="仿宋_GB2312" w:eastAsia="仿宋_GB2312" w:hint="eastAsia"/>
          <w:kern w:val="0"/>
          <w:sz w:val="32"/>
          <w:szCs w:val="32"/>
        </w:rPr>
        <w:t>300</w:t>
      </w:r>
      <w:r>
        <w:rPr>
          <w:rFonts w:ascii="仿宋_GB2312" w:eastAsia="仿宋_GB2312" w:hint="eastAsia"/>
          <w:sz w:val="32"/>
          <w:szCs w:val="32"/>
        </w:rPr>
        <w:t>余件，接待来电、来访群众达</w:t>
      </w:r>
      <w:r>
        <w:rPr>
          <w:rFonts w:ascii="仿宋_GB2312" w:eastAsia="仿宋_GB2312" w:hint="eastAsia"/>
          <w:kern w:val="0"/>
          <w:sz w:val="32"/>
          <w:szCs w:val="32"/>
        </w:rPr>
        <w:t>1500</w:t>
      </w:r>
      <w:r>
        <w:rPr>
          <w:rFonts w:ascii="仿宋_GB2312" w:eastAsia="仿宋_GB2312" w:hint="eastAsia"/>
          <w:sz w:val="32"/>
          <w:szCs w:val="32"/>
        </w:rPr>
        <w:t>余人次。</w:t>
      </w:r>
    </w:p>
    <w:p>
      <w:pPr>
        <w:pStyle w:val="22"/>
        <w:spacing w:before="0" w:beforeAutospacing="0" w:after="0" w:afterAutospacing="0" w:line="560" w:lineRule="exact"/>
        <w:ind w:firstLineChars="200" w:firstLine="640"/>
        <w:jc w:val="both"/>
        <w:textAlignment w:val="baseline"/>
        <w:rPr>
          <w:rFonts w:ascii="仿宋_GB2312" w:eastAsia="仿宋_GB2312" w:cs="Times New Roman"/>
          <w:sz w:val="32"/>
          <w:szCs w:val="32"/>
        </w:rPr>
      </w:pPr>
      <w:r>
        <w:rPr>
          <w:rFonts w:ascii="仿宋_GB2312" w:eastAsia="仿宋_GB2312" w:cs="Times New Roman" w:hint="eastAsia"/>
          <w:b/>
          <w:bCs/>
          <w:sz w:val="32"/>
          <w:szCs w:val="32"/>
        </w:rPr>
        <w:t>6.</w:t>
      </w:r>
      <w:r>
        <w:rPr>
          <w:rFonts w:ascii="仿宋_GB2312" w:eastAsia="仿宋_GB2312" w:cs="Times New Roman" w:hint="eastAsia"/>
          <w:b/>
          <w:bCs/>
          <w:kern w:val="2"/>
          <w:sz w:val="32"/>
          <w:szCs w:val="32"/>
        </w:rPr>
        <w:t>善作善成，全力推进数字人社工程。一是纵深推进“温暖人社”建设。</w:t>
      </w:r>
      <w:r>
        <w:rPr>
          <w:rFonts w:ascii="仿宋_GB2312" w:eastAsia="仿宋_GB2312" w:cs="Times New Roman" w:hint="eastAsia"/>
          <w:kern w:val="2"/>
          <w:sz w:val="32"/>
          <w:szCs w:val="32"/>
        </w:rPr>
        <w:t>强化“党建+人社”工作思路，强班子、带队伍、促发展，推动人社领域公共服务建设纵深发展，全面做好“温暖人社”三年行动计划，持续推进“人社服务快办行动”，深化“一件事”集成改革，结合省厅要求，发布“一件事”事项</w:t>
      </w:r>
      <w:r>
        <w:rPr>
          <w:rFonts w:ascii="仿宋_GB2312" w:eastAsia="仿宋_GB2312" w:cs="Times New Roman" w:hint="eastAsia"/>
          <w:sz w:val="32"/>
          <w:szCs w:val="32"/>
        </w:rPr>
        <w:t>9</w:t>
      </w:r>
      <w:r>
        <w:rPr>
          <w:rFonts w:ascii="仿宋_GB2312" w:eastAsia="仿宋_GB2312" w:cs="Times New Roman" w:hint="eastAsia"/>
          <w:kern w:val="2"/>
          <w:sz w:val="32"/>
          <w:szCs w:val="32"/>
        </w:rPr>
        <w:t>条。</w:t>
      </w:r>
      <w:r>
        <w:rPr>
          <w:rFonts w:ascii="仿宋_GB2312" w:eastAsia="仿宋_GB2312" w:cs="Times New Roman" w:hint="eastAsia"/>
          <w:b/>
          <w:bCs/>
          <w:kern w:val="2"/>
          <w:sz w:val="32"/>
          <w:szCs w:val="32"/>
        </w:rPr>
        <w:t>二是努力提高“一网通办”质量。</w:t>
      </w:r>
      <w:r>
        <w:rPr>
          <w:rFonts w:ascii="仿宋_GB2312" w:eastAsia="仿宋_GB2312" w:cs="Times New Roman" w:hint="eastAsia"/>
          <w:kern w:val="2"/>
          <w:sz w:val="32"/>
          <w:szCs w:val="32"/>
        </w:rPr>
        <w:t>梳理公布并实施</w:t>
      </w:r>
      <w:r>
        <w:rPr>
          <w:rFonts w:ascii="仿宋_GB2312" w:eastAsia="仿宋_GB2312" w:cs="Times New Roman" w:hint="eastAsia"/>
          <w:sz w:val="32"/>
          <w:szCs w:val="32"/>
        </w:rPr>
        <w:t>173</w:t>
      </w:r>
      <w:r>
        <w:rPr>
          <w:rFonts w:ascii="仿宋_GB2312" w:eastAsia="仿宋_GB2312" w:cs="Times New Roman" w:hint="eastAsia"/>
          <w:kern w:val="2"/>
          <w:sz w:val="32"/>
          <w:szCs w:val="32"/>
        </w:rPr>
        <w:t>项“最多跑一次”事项，梳理行政许可类</w:t>
      </w:r>
      <w:r>
        <w:rPr>
          <w:rFonts w:ascii="仿宋_GB2312" w:eastAsia="仿宋_GB2312" w:cs="Times New Roman" w:hint="eastAsia"/>
          <w:sz w:val="32"/>
          <w:szCs w:val="32"/>
        </w:rPr>
        <w:t>4</w:t>
      </w:r>
      <w:r>
        <w:rPr>
          <w:rFonts w:ascii="仿宋_GB2312" w:eastAsia="仿宋_GB2312" w:cs="Times New Roman" w:hint="eastAsia"/>
          <w:kern w:val="2"/>
          <w:sz w:val="32"/>
          <w:szCs w:val="32"/>
        </w:rPr>
        <w:t>条、行政处罚类</w:t>
      </w:r>
      <w:r>
        <w:rPr>
          <w:rFonts w:ascii="仿宋_GB2312" w:eastAsia="仿宋_GB2312" w:cs="Times New Roman" w:hint="eastAsia"/>
          <w:sz w:val="32"/>
          <w:szCs w:val="32"/>
        </w:rPr>
        <w:t>57</w:t>
      </w:r>
      <w:r>
        <w:rPr>
          <w:rFonts w:ascii="仿宋_GB2312" w:eastAsia="仿宋_GB2312" w:cs="Times New Roman" w:hint="eastAsia"/>
          <w:kern w:val="2"/>
          <w:sz w:val="32"/>
          <w:szCs w:val="32"/>
        </w:rPr>
        <w:t>条、行政检查</w:t>
      </w:r>
      <w:r>
        <w:rPr>
          <w:rFonts w:ascii="仿宋_GB2312" w:eastAsia="仿宋_GB2312" w:cs="Times New Roman" w:hint="eastAsia"/>
          <w:sz w:val="32"/>
          <w:szCs w:val="32"/>
        </w:rPr>
        <w:t>4</w:t>
      </w:r>
      <w:r>
        <w:rPr>
          <w:rFonts w:ascii="仿宋_GB2312" w:eastAsia="仿宋_GB2312" w:cs="Times New Roman" w:hint="eastAsia"/>
          <w:kern w:val="2"/>
          <w:sz w:val="32"/>
          <w:szCs w:val="32"/>
        </w:rPr>
        <w:t>条、其他行政权力</w:t>
      </w:r>
      <w:r>
        <w:rPr>
          <w:rFonts w:ascii="仿宋_GB2312" w:eastAsia="仿宋_GB2312" w:cs="Times New Roman" w:hint="eastAsia"/>
          <w:sz w:val="32"/>
          <w:szCs w:val="32"/>
        </w:rPr>
        <w:t>1</w:t>
      </w:r>
      <w:r>
        <w:rPr>
          <w:rFonts w:ascii="仿宋_GB2312" w:eastAsia="仿宋_GB2312" w:cs="Times New Roman" w:hint="eastAsia"/>
          <w:kern w:val="2"/>
          <w:sz w:val="32"/>
          <w:szCs w:val="32"/>
        </w:rPr>
        <w:t>条，共计</w:t>
      </w:r>
      <w:r>
        <w:rPr>
          <w:rFonts w:ascii="仿宋_GB2312" w:eastAsia="仿宋_GB2312" w:cs="Times New Roman" w:hint="eastAsia"/>
          <w:sz w:val="32"/>
          <w:szCs w:val="32"/>
        </w:rPr>
        <w:t>66</w:t>
      </w:r>
      <w:r>
        <w:rPr>
          <w:rFonts w:ascii="仿宋_GB2312" w:eastAsia="仿宋_GB2312" w:cs="Times New Roman" w:hint="eastAsia"/>
          <w:kern w:val="2"/>
          <w:sz w:val="32"/>
          <w:szCs w:val="32"/>
        </w:rPr>
        <w:t>条；“一网通办”好评率达</w:t>
      </w:r>
      <w:r>
        <w:rPr>
          <w:rFonts w:ascii="仿宋_GB2312" w:eastAsia="仿宋_GB2312" w:cs="Times New Roman" w:hint="eastAsia"/>
          <w:sz w:val="32"/>
          <w:szCs w:val="32"/>
        </w:rPr>
        <w:t>99%</w:t>
      </w:r>
      <w:r>
        <w:rPr>
          <w:rFonts w:ascii="仿宋_GB2312" w:eastAsia="仿宋_GB2312" w:cs="Times New Roman" w:hint="eastAsia"/>
          <w:kern w:val="2"/>
          <w:sz w:val="32"/>
          <w:szCs w:val="32"/>
        </w:rPr>
        <w:t>以上。</w:t>
      </w:r>
      <w:r>
        <w:rPr>
          <w:rFonts w:ascii="仿宋_GB2312" w:eastAsia="仿宋_GB2312" w:cs="Times New Roman" w:hint="eastAsia"/>
          <w:b/>
          <w:bCs/>
          <w:kern w:val="2"/>
          <w:sz w:val="32"/>
          <w:szCs w:val="32"/>
        </w:rPr>
        <w:t>三是全面提升“一卡通”功能。</w:t>
      </w:r>
      <w:r>
        <w:rPr>
          <w:rFonts w:ascii="仿宋_GB2312" w:eastAsia="仿宋_GB2312" w:cs="Times New Roman" w:hint="eastAsia"/>
          <w:kern w:val="2"/>
          <w:sz w:val="32"/>
          <w:szCs w:val="32"/>
        </w:rPr>
        <w:t>深化提升社保卡在政务、民生、居民服务等领域“一卡通”应用。目前已有</w:t>
      </w:r>
      <w:r>
        <w:rPr>
          <w:rFonts w:ascii="仿宋_GB2312" w:eastAsia="仿宋_GB2312" w:cs="Times New Roman" w:hint="eastAsia"/>
          <w:sz w:val="32"/>
          <w:szCs w:val="32"/>
        </w:rPr>
        <w:t>17</w:t>
      </w:r>
      <w:r>
        <w:rPr>
          <w:rFonts w:ascii="仿宋_GB2312" w:eastAsia="仿宋_GB2312" w:cs="Times New Roman" w:hint="eastAsia"/>
          <w:kern w:val="2"/>
          <w:sz w:val="32"/>
          <w:szCs w:val="32"/>
        </w:rPr>
        <w:t>个单位涉及</w:t>
      </w:r>
      <w:r>
        <w:rPr>
          <w:rFonts w:ascii="仿宋_GB2312" w:eastAsia="仿宋_GB2312" w:cs="Times New Roman" w:hint="eastAsia"/>
          <w:sz w:val="32"/>
          <w:szCs w:val="32"/>
        </w:rPr>
        <w:t>87</w:t>
      </w:r>
      <w:r>
        <w:rPr>
          <w:rFonts w:ascii="仿宋_GB2312" w:eastAsia="仿宋_GB2312" w:cs="Times New Roman" w:hint="eastAsia"/>
          <w:kern w:val="2"/>
          <w:sz w:val="32"/>
          <w:szCs w:val="32"/>
        </w:rPr>
        <w:t>项资金在社会保障卡上发放。</w:t>
      </w:r>
      <w:r>
        <w:rPr>
          <w:rFonts w:ascii="仿宋_GB2312" w:eastAsia="仿宋_GB2312" w:cs="Times New Roman" w:hint="eastAsia"/>
          <w:b/>
          <w:bCs/>
          <w:kern w:val="2"/>
          <w:sz w:val="32"/>
          <w:szCs w:val="32"/>
        </w:rPr>
        <w:t>四是增强提级“线上服务”能力。</w:t>
      </w:r>
      <w:r>
        <w:rPr>
          <w:rFonts w:ascii="仿宋_GB2312" w:eastAsia="仿宋_GB2312" w:cs="Times New Roman" w:hint="eastAsia"/>
          <w:kern w:val="2"/>
          <w:sz w:val="32"/>
          <w:szCs w:val="32"/>
        </w:rPr>
        <w:t xml:space="preserve">配合推进省级核心业务系统建设，推动实现就业系统 </w:t>
      </w:r>
      <w:r>
        <w:rPr>
          <w:rFonts w:ascii="仿宋_GB2312" w:eastAsia="仿宋_GB2312" w:cs="Times New Roman" w:hint="eastAsia"/>
          <w:sz w:val="32"/>
          <w:szCs w:val="32"/>
        </w:rPr>
        <w:t>V3.0</w:t>
      </w:r>
      <w:r>
        <w:rPr>
          <w:rFonts w:ascii="仿宋_GB2312" w:eastAsia="仿宋_GB2312" w:cs="Times New Roman" w:hint="eastAsia"/>
          <w:kern w:val="2"/>
          <w:sz w:val="32"/>
          <w:szCs w:val="32"/>
        </w:rPr>
        <w:t xml:space="preserve">、社会保险系统（共建版）、事业单位人事管理系统、劳动保障监察系统、社保卡系统 </w:t>
      </w:r>
      <w:r>
        <w:rPr>
          <w:rFonts w:ascii="仿宋_GB2312" w:eastAsia="仿宋_GB2312" w:cs="Times New Roman" w:hint="eastAsia"/>
          <w:sz w:val="32"/>
          <w:szCs w:val="32"/>
        </w:rPr>
        <w:t>V2.0</w:t>
      </w:r>
      <w:r>
        <w:rPr>
          <w:rFonts w:ascii="仿宋_GB2312" w:eastAsia="仿宋_GB2312" w:cs="Times New Roman" w:hint="eastAsia"/>
          <w:kern w:val="2"/>
          <w:sz w:val="32"/>
          <w:szCs w:val="32"/>
        </w:rPr>
        <w:t>等信息系统上线运行，实现与政府一体化平台、人社公共服务平台的深度对接，做好“阿坝人社” 微信公众号和阿坝掌上社保手机</w:t>
      </w:r>
      <w:r>
        <w:rPr>
          <w:rFonts w:ascii="仿宋_GB2312" w:eastAsia="仿宋_GB2312" w:cs="Times New Roman" w:hint="eastAsia"/>
          <w:sz w:val="32"/>
          <w:szCs w:val="32"/>
        </w:rPr>
        <w:t>APP</w:t>
      </w:r>
      <w:r>
        <w:rPr>
          <w:rFonts w:ascii="仿宋_GB2312" w:eastAsia="仿宋_GB2312" w:cs="Times New Roman" w:hint="eastAsia"/>
          <w:kern w:val="2"/>
          <w:sz w:val="32"/>
          <w:szCs w:val="32"/>
        </w:rPr>
        <w:t>应用推广。</w:t>
      </w:r>
    </w:p>
    <w:p>
      <w:pPr>
        <w:spacing w:before="101" w:line="560" w:lineRule="exact"/>
        <w:ind w:left="12" w:right="108" w:firstLine="673"/>
        <w:rPr>
          <w:rFonts w:ascii="仿宋_GB2312" w:eastAsia="仿宋_GB2312"/>
          <w:b/>
          <w:sz w:val="32"/>
          <w:szCs w:val="32"/>
        </w:rPr>
      </w:pPr>
      <w:r>
        <w:rPr>
          <w:rFonts w:ascii="仿宋_GB2312" w:eastAsia="仿宋_GB2312" w:hint="eastAsia"/>
          <w:b/>
          <w:sz w:val="32"/>
          <w:szCs w:val="32"/>
        </w:rPr>
        <w:t>（三）谋今思远，选优培育“事业干部”的“人才库”</w:t>
      </w:r>
    </w:p>
    <w:p>
      <w:pPr>
        <w:pStyle w:val="22"/>
        <w:spacing w:before="0" w:beforeAutospacing="0" w:after="0" w:afterAutospacing="0" w:line="560" w:lineRule="exact"/>
        <w:ind w:firstLineChars="200" w:firstLine="640"/>
        <w:jc w:val="both"/>
        <w:textAlignment w:val="baseline"/>
        <w:rPr>
          <w:rFonts w:ascii="仿宋_GB2312" w:eastAsia="仿宋_GB2312" w:cs="Times New Roman"/>
          <w:kern w:val="2"/>
          <w:sz w:val="32"/>
          <w:szCs w:val="32"/>
        </w:rPr>
      </w:pPr>
      <w:r>
        <w:rPr>
          <w:rFonts w:ascii="仿宋_GB2312" w:eastAsia="仿宋_GB2312" w:cs="Times New Roman" w:hint="eastAsia"/>
          <w:b/>
          <w:bCs/>
          <w:kern w:val="2"/>
          <w:sz w:val="32"/>
          <w:szCs w:val="32"/>
        </w:rPr>
        <w:t>一是在“选”字上下功夫。</w:t>
      </w:r>
      <w:r>
        <w:rPr>
          <w:rFonts w:ascii="仿宋_GB2312" w:eastAsia="仿宋_GB2312" w:cs="Times New Roman" w:hint="eastAsia"/>
          <w:kern w:val="2"/>
          <w:sz w:val="32"/>
          <w:szCs w:val="32"/>
        </w:rPr>
        <w:t>积极配合应急管理局做好</w:t>
      </w:r>
      <w:r>
        <w:rPr>
          <w:rFonts w:ascii="仿宋_GB2312" w:eastAsia="仿宋_GB2312" w:cs="Times New Roman" w:hint="eastAsia"/>
          <w:sz w:val="32"/>
          <w:szCs w:val="32"/>
        </w:rPr>
        <w:t>27</w:t>
      </w:r>
      <w:r>
        <w:rPr>
          <w:rFonts w:ascii="仿宋_GB2312" w:eastAsia="仿宋_GB2312" w:cs="Times New Roman" w:hint="eastAsia"/>
          <w:kern w:val="2"/>
          <w:sz w:val="32"/>
          <w:szCs w:val="32"/>
        </w:rPr>
        <w:t>名扑火队员的招聘用工作，完成深度贫困县本科生</w:t>
      </w:r>
      <w:r>
        <w:rPr>
          <w:rFonts w:ascii="仿宋_GB2312" w:eastAsia="仿宋_GB2312" w:cs="Times New Roman" w:hint="eastAsia"/>
          <w:sz w:val="32"/>
          <w:szCs w:val="32"/>
        </w:rPr>
        <w:t>8</w:t>
      </w:r>
      <w:r>
        <w:rPr>
          <w:rFonts w:ascii="仿宋_GB2312" w:eastAsia="仿宋_GB2312" w:cs="Times New Roman" w:hint="eastAsia"/>
          <w:kern w:val="2"/>
          <w:sz w:val="32"/>
          <w:szCs w:val="32"/>
        </w:rPr>
        <w:t>名分配工作；完成</w:t>
      </w:r>
      <w:r>
        <w:rPr>
          <w:rFonts w:ascii="仿宋_GB2312" w:eastAsia="仿宋_GB2312" w:cs="Times New Roman" w:hint="eastAsia"/>
          <w:sz w:val="32"/>
          <w:szCs w:val="32"/>
        </w:rPr>
        <w:t>2</w:t>
      </w:r>
      <w:r>
        <w:rPr>
          <w:rFonts w:ascii="仿宋_GB2312" w:eastAsia="仿宋_GB2312" w:cs="Times New Roman" w:hint="eastAsia"/>
          <w:kern w:val="2"/>
          <w:sz w:val="32"/>
          <w:szCs w:val="32"/>
        </w:rPr>
        <w:t>名退役士兵接收安置工作，完成公费师范生</w:t>
      </w:r>
      <w:r>
        <w:rPr>
          <w:rFonts w:ascii="仿宋_GB2312" w:eastAsia="仿宋_GB2312" w:cs="Times New Roman" w:hint="eastAsia"/>
          <w:sz w:val="32"/>
          <w:szCs w:val="32"/>
        </w:rPr>
        <w:t>12</w:t>
      </w:r>
      <w:r>
        <w:rPr>
          <w:rFonts w:ascii="仿宋_GB2312" w:eastAsia="仿宋_GB2312" w:cs="Times New Roman" w:hint="eastAsia"/>
          <w:kern w:val="2"/>
          <w:sz w:val="32"/>
          <w:szCs w:val="32"/>
        </w:rPr>
        <w:t>人、医学定向本科生</w:t>
      </w:r>
      <w:r>
        <w:rPr>
          <w:rFonts w:ascii="仿宋_GB2312" w:eastAsia="仿宋_GB2312" w:cs="Times New Roman" w:hint="eastAsia"/>
          <w:sz w:val="32"/>
          <w:szCs w:val="32"/>
        </w:rPr>
        <w:t>4</w:t>
      </w:r>
      <w:r>
        <w:rPr>
          <w:rFonts w:ascii="仿宋_GB2312" w:eastAsia="仿宋_GB2312" w:cs="Times New Roman" w:hint="eastAsia"/>
          <w:kern w:val="2"/>
          <w:sz w:val="32"/>
          <w:szCs w:val="32"/>
        </w:rPr>
        <w:t>人的分配工作，完成</w:t>
      </w:r>
      <w:r>
        <w:rPr>
          <w:rFonts w:ascii="仿宋_GB2312" w:eastAsia="仿宋_GB2312" w:cs="Times New Roman" w:hint="eastAsia"/>
          <w:sz w:val="32"/>
          <w:szCs w:val="32"/>
        </w:rPr>
        <w:t>2022</w:t>
      </w:r>
      <w:r>
        <w:rPr>
          <w:rFonts w:ascii="仿宋_GB2312" w:eastAsia="仿宋_GB2312" w:cs="Times New Roman" w:hint="eastAsia"/>
          <w:kern w:val="2"/>
          <w:sz w:val="32"/>
          <w:szCs w:val="32"/>
        </w:rPr>
        <w:t>年上半年公开招聘事业单位</w:t>
      </w:r>
      <w:r>
        <w:rPr>
          <w:rFonts w:ascii="仿宋_GB2312" w:eastAsia="仿宋_GB2312" w:cs="Times New Roman" w:hint="eastAsia"/>
          <w:sz w:val="32"/>
          <w:szCs w:val="32"/>
        </w:rPr>
        <w:t>14</w:t>
      </w:r>
      <w:r>
        <w:rPr>
          <w:rFonts w:ascii="仿宋_GB2312" w:eastAsia="仿宋_GB2312" w:cs="Times New Roman" w:hint="eastAsia"/>
          <w:kern w:val="2"/>
          <w:sz w:val="32"/>
          <w:szCs w:val="32"/>
        </w:rPr>
        <w:t>人的资格初审、复审、面试、体检、政审工作；外县调入事业单位工作人员</w:t>
      </w:r>
      <w:r>
        <w:rPr>
          <w:rFonts w:ascii="仿宋_GB2312" w:eastAsia="仿宋_GB2312" w:cs="Times New Roman" w:hint="eastAsia"/>
          <w:sz w:val="32"/>
          <w:szCs w:val="32"/>
        </w:rPr>
        <w:t>10</w:t>
      </w:r>
      <w:r>
        <w:rPr>
          <w:rFonts w:ascii="仿宋_GB2312" w:eastAsia="仿宋_GB2312" w:cs="Times New Roman" w:hint="eastAsia"/>
          <w:kern w:val="2"/>
          <w:sz w:val="32"/>
          <w:szCs w:val="32"/>
        </w:rPr>
        <w:t>人；事业人员股所级职务任免共</w:t>
      </w:r>
      <w:r>
        <w:rPr>
          <w:rFonts w:ascii="仿宋_GB2312" w:eastAsia="仿宋_GB2312" w:cs="Times New Roman" w:hint="eastAsia"/>
          <w:sz w:val="32"/>
          <w:szCs w:val="32"/>
        </w:rPr>
        <w:t>102</w:t>
      </w:r>
      <w:r>
        <w:rPr>
          <w:rFonts w:ascii="仿宋_GB2312" w:eastAsia="仿宋_GB2312" w:cs="Times New Roman" w:hint="eastAsia"/>
          <w:kern w:val="2"/>
          <w:sz w:val="32"/>
          <w:szCs w:val="32"/>
        </w:rPr>
        <w:t>人，特岗教师转聘</w:t>
      </w:r>
      <w:r>
        <w:rPr>
          <w:rFonts w:ascii="仿宋_GB2312" w:eastAsia="仿宋_GB2312" w:cs="Times New Roman" w:hint="eastAsia"/>
          <w:sz w:val="32"/>
          <w:szCs w:val="32"/>
        </w:rPr>
        <w:t>9</w:t>
      </w:r>
      <w:r>
        <w:rPr>
          <w:rFonts w:ascii="仿宋_GB2312" w:eastAsia="仿宋_GB2312" w:cs="Times New Roman" w:hint="eastAsia"/>
          <w:kern w:val="2"/>
          <w:sz w:val="32"/>
          <w:szCs w:val="32"/>
        </w:rPr>
        <w:t>人。</w:t>
      </w:r>
      <w:r>
        <w:rPr>
          <w:rFonts w:ascii="仿宋_GB2312" w:eastAsia="仿宋_GB2312" w:cs="Times New Roman" w:hint="eastAsia"/>
          <w:b/>
          <w:bCs/>
          <w:kern w:val="2"/>
          <w:sz w:val="32"/>
          <w:szCs w:val="32"/>
        </w:rPr>
        <w:t>二是在“育”字上下功夫。</w:t>
      </w:r>
      <w:r>
        <w:rPr>
          <w:rFonts w:ascii="仿宋_GB2312" w:eastAsia="仿宋_GB2312" w:cs="Times New Roman" w:hint="eastAsia"/>
          <w:kern w:val="2"/>
          <w:sz w:val="32"/>
          <w:szCs w:val="32"/>
        </w:rPr>
        <w:t>抓好全县新进事业人员岗前培训、</w:t>
      </w:r>
      <w:r>
        <w:rPr>
          <w:rFonts w:ascii="仿宋_GB2312" w:eastAsia="仿宋_GB2312" w:cs="Times New Roman" w:hint="eastAsia"/>
          <w:sz w:val="32"/>
          <w:szCs w:val="32"/>
        </w:rPr>
        <w:t>9+3</w:t>
      </w:r>
      <w:r>
        <w:rPr>
          <w:rFonts w:ascii="仿宋_GB2312" w:eastAsia="仿宋_GB2312" w:cs="Times New Roman" w:hint="eastAsia"/>
          <w:kern w:val="2"/>
          <w:sz w:val="32"/>
          <w:szCs w:val="32"/>
        </w:rPr>
        <w:t>能力提升培训、专业技术人员继续教育工作；完成</w:t>
      </w:r>
      <w:r>
        <w:rPr>
          <w:rFonts w:ascii="仿宋_GB2312" w:eastAsia="仿宋_GB2312" w:cs="Times New Roman" w:hint="eastAsia"/>
          <w:sz w:val="32"/>
          <w:szCs w:val="32"/>
        </w:rPr>
        <w:t>2022</w:t>
      </w:r>
      <w:r>
        <w:rPr>
          <w:rFonts w:ascii="仿宋_GB2312" w:eastAsia="仿宋_GB2312" w:cs="Times New Roman" w:hint="eastAsia"/>
          <w:kern w:val="2"/>
          <w:sz w:val="32"/>
          <w:szCs w:val="32"/>
        </w:rPr>
        <w:t>年度机关事业单位工人技术等级考核和技师职务考评的报名资格审核工作，全县参加工人技术等级考核和技师职务考评合格共有</w:t>
      </w:r>
      <w:r>
        <w:rPr>
          <w:rFonts w:ascii="仿宋_GB2312" w:eastAsia="仿宋_GB2312" w:cs="Times New Roman" w:hint="eastAsia"/>
          <w:sz w:val="32"/>
          <w:szCs w:val="32"/>
        </w:rPr>
        <w:t>22</w:t>
      </w:r>
      <w:r>
        <w:rPr>
          <w:rFonts w:ascii="仿宋_GB2312" w:eastAsia="仿宋_GB2312" w:cs="Times New Roman" w:hint="eastAsia"/>
          <w:kern w:val="2"/>
          <w:sz w:val="32"/>
          <w:szCs w:val="32"/>
        </w:rPr>
        <w:t>人（其中：技师</w:t>
      </w:r>
      <w:r>
        <w:rPr>
          <w:rFonts w:ascii="仿宋_GB2312" w:eastAsia="仿宋_GB2312" w:cs="Times New Roman" w:hint="eastAsia"/>
          <w:sz w:val="32"/>
          <w:szCs w:val="32"/>
        </w:rPr>
        <w:t>7</w:t>
      </w:r>
      <w:r>
        <w:rPr>
          <w:rFonts w:ascii="仿宋_GB2312" w:eastAsia="仿宋_GB2312" w:cs="Times New Roman" w:hint="eastAsia"/>
          <w:kern w:val="2"/>
          <w:sz w:val="32"/>
          <w:szCs w:val="32"/>
        </w:rPr>
        <w:t>人，高级</w:t>
      </w:r>
      <w:r>
        <w:rPr>
          <w:rFonts w:ascii="仿宋_GB2312" w:eastAsia="仿宋_GB2312" w:cs="Times New Roman" w:hint="eastAsia"/>
          <w:sz w:val="32"/>
          <w:szCs w:val="32"/>
        </w:rPr>
        <w:t>11</w:t>
      </w:r>
      <w:r>
        <w:rPr>
          <w:rFonts w:ascii="仿宋_GB2312" w:eastAsia="仿宋_GB2312" w:cs="Times New Roman" w:hint="eastAsia"/>
          <w:kern w:val="2"/>
          <w:sz w:val="32"/>
          <w:szCs w:val="32"/>
        </w:rPr>
        <w:t>人，中级</w:t>
      </w:r>
      <w:r>
        <w:rPr>
          <w:rFonts w:ascii="仿宋_GB2312" w:eastAsia="仿宋_GB2312" w:cs="Times New Roman" w:hint="eastAsia"/>
          <w:sz w:val="32"/>
          <w:szCs w:val="32"/>
        </w:rPr>
        <w:t>2</w:t>
      </w:r>
      <w:r>
        <w:rPr>
          <w:rFonts w:ascii="仿宋_GB2312" w:eastAsia="仿宋_GB2312" w:cs="Times New Roman" w:hint="eastAsia"/>
          <w:kern w:val="2"/>
          <w:sz w:val="32"/>
          <w:szCs w:val="32"/>
        </w:rPr>
        <w:t>人，初级</w:t>
      </w:r>
      <w:r>
        <w:rPr>
          <w:rFonts w:ascii="仿宋_GB2312" w:eastAsia="仿宋_GB2312" w:cs="Times New Roman" w:hint="eastAsia"/>
          <w:sz w:val="32"/>
          <w:szCs w:val="32"/>
        </w:rPr>
        <w:t>2</w:t>
      </w:r>
      <w:r>
        <w:rPr>
          <w:rFonts w:ascii="仿宋_GB2312" w:eastAsia="仿宋_GB2312" w:cs="Times New Roman" w:hint="eastAsia"/>
          <w:kern w:val="2"/>
          <w:sz w:val="32"/>
          <w:szCs w:val="32"/>
        </w:rPr>
        <w:t>人）。</w:t>
      </w:r>
      <w:r>
        <w:rPr>
          <w:rFonts w:ascii="仿宋_GB2312" w:eastAsia="仿宋_GB2312" w:cs="Times New Roman" w:hint="eastAsia"/>
          <w:b/>
          <w:bCs/>
          <w:kern w:val="2"/>
          <w:sz w:val="32"/>
          <w:szCs w:val="32"/>
        </w:rPr>
        <w:t>三是在“管”字上下功夫。</w:t>
      </w:r>
      <w:r>
        <w:rPr>
          <w:rFonts w:ascii="仿宋_GB2312" w:eastAsia="仿宋_GB2312" w:cs="Times New Roman" w:hint="eastAsia"/>
          <w:kern w:val="2"/>
          <w:sz w:val="32"/>
          <w:szCs w:val="32"/>
        </w:rPr>
        <w:t>全面完成事业人员、行政工勤</w:t>
      </w:r>
      <w:r>
        <w:rPr>
          <w:rFonts w:ascii="仿宋_GB2312" w:eastAsia="仿宋_GB2312" w:cs="Times New Roman" w:hint="eastAsia"/>
          <w:sz w:val="32"/>
          <w:szCs w:val="32"/>
        </w:rPr>
        <w:t>2021</w:t>
      </w:r>
      <w:r>
        <w:rPr>
          <w:rFonts w:ascii="仿宋_GB2312" w:eastAsia="仿宋_GB2312" w:cs="Times New Roman" w:hint="eastAsia"/>
          <w:kern w:val="2"/>
          <w:sz w:val="32"/>
          <w:szCs w:val="32"/>
        </w:rPr>
        <w:t>年度考核工作，完成符合条件</w:t>
      </w:r>
      <w:r>
        <w:rPr>
          <w:rFonts w:ascii="仿宋_GB2312" w:eastAsia="仿宋_GB2312" w:cs="Times New Roman" w:hint="eastAsia"/>
          <w:sz w:val="32"/>
          <w:szCs w:val="32"/>
        </w:rPr>
        <w:t>21</w:t>
      </w:r>
      <w:r>
        <w:rPr>
          <w:rFonts w:ascii="仿宋_GB2312" w:eastAsia="仿宋_GB2312" w:cs="Times New Roman" w:hint="eastAsia"/>
          <w:kern w:val="2"/>
          <w:sz w:val="32"/>
          <w:szCs w:val="32"/>
        </w:rPr>
        <w:t>名记功人员上报审批工作；严格落实带薪休假、事假、病假等的请销假制度；做好事业单位工作人员疫情防控外出返县备案及离县报备工作；积极开展</w:t>
      </w:r>
      <w:r>
        <w:rPr>
          <w:rFonts w:ascii="仿宋_GB2312" w:eastAsia="仿宋_GB2312" w:cs="Times New Roman" w:hint="eastAsia"/>
          <w:sz w:val="32"/>
          <w:szCs w:val="32"/>
        </w:rPr>
        <w:t>31</w:t>
      </w:r>
      <w:r>
        <w:rPr>
          <w:rFonts w:ascii="仿宋_GB2312" w:eastAsia="仿宋_GB2312" w:cs="Times New Roman" w:hint="eastAsia"/>
          <w:kern w:val="2"/>
          <w:sz w:val="32"/>
          <w:szCs w:val="32"/>
        </w:rPr>
        <w:t>个单位</w:t>
      </w:r>
      <w:r>
        <w:rPr>
          <w:rFonts w:ascii="仿宋_GB2312" w:eastAsia="仿宋_GB2312" w:cs="Times New Roman" w:hint="eastAsia"/>
          <w:sz w:val="32"/>
          <w:szCs w:val="32"/>
        </w:rPr>
        <w:t>63</w:t>
      </w:r>
      <w:r>
        <w:rPr>
          <w:rFonts w:ascii="仿宋_GB2312" w:eastAsia="仿宋_GB2312" w:cs="Times New Roman" w:hint="eastAsia"/>
          <w:kern w:val="2"/>
          <w:sz w:val="32"/>
          <w:szCs w:val="32"/>
        </w:rPr>
        <w:t>名事业人员、工勤人员的政策性超编消化整改工作，今年将消化整改</w:t>
      </w:r>
      <w:r>
        <w:rPr>
          <w:rFonts w:ascii="仿宋_GB2312" w:eastAsia="仿宋_GB2312" w:cs="Times New Roman" w:hint="eastAsia"/>
          <w:sz w:val="32"/>
          <w:szCs w:val="32"/>
        </w:rPr>
        <w:t>19</w:t>
      </w:r>
      <w:r>
        <w:rPr>
          <w:rFonts w:ascii="仿宋_GB2312" w:eastAsia="仿宋_GB2312" w:cs="Times New Roman" w:hint="eastAsia"/>
          <w:kern w:val="2"/>
          <w:sz w:val="32"/>
          <w:szCs w:val="32"/>
        </w:rPr>
        <w:t>个单位，</w:t>
      </w:r>
      <w:r>
        <w:rPr>
          <w:rFonts w:ascii="仿宋_GB2312" w:eastAsia="仿宋_GB2312" w:cs="Times New Roman" w:hint="eastAsia"/>
          <w:sz w:val="32"/>
          <w:szCs w:val="32"/>
        </w:rPr>
        <w:t>2023-2025</w:t>
      </w:r>
      <w:r>
        <w:rPr>
          <w:rFonts w:ascii="仿宋_GB2312" w:eastAsia="仿宋_GB2312" w:cs="Times New Roman" w:hint="eastAsia"/>
          <w:kern w:val="2"/>
          <w:sz w:val="32"/>
          <w:szCs w:val="32"/>
        </w:rPr>
        <w:t>年整改消化</w:t>
      </w:r>
      <w:r>
        <w:rPr>
          <w:rFonts w:ascii="仿宋_GB2312" w:eastAsia="仿宋_GB2312" w:cs="Times New Roman" w:hint="eastAsia"/>
          <w:sz w:val="32"/>
          <w:szCs w:val="32"/>
        </w:rPr>
        <w:t>12</w:t>
      </w:r>
      <w:r>
        <w:rPr>
          <w:rFonts w:ascii="仿宋_GB2312" w:eastAsia="仿宋_GB2312" w:cs="Times New Roman" w:hint="eastAsia"/>
          <w:kern w:val="2"/>
          <w:sz w:val="32"/>
          <w:szCs w:val="32"/>
        </w:rPr>
        <w:t>个单位；兑现</w:t>
      </w:r>
      <w:r>
        <w:rPr>
          <w:rFonts w:ascii="仿宋_GB2312" w:eastAsia="仿宋_GB2312" w:cs="Times New Roman" w:hint="eastAsia"/>
          <w:sz w:val="32"/>
          <w:szCs w:val="32"/>
        </w:rPr>
        <w:t>2021</w:t>
      </w:r>
      <w:r>
        <w:rPr>
          <w:rFonts w:ascii="仿宋_GB2312" w:eastAsia="仿宋_GB2312" w:cs="Times New Roman" w:hint="eastAsia"/>
          <w:kern w:val="2"/>
          <w:sz w:val="32"/>
          <w:szCs w:val="32"/>
        </w:rPr>
        <w:t>年退休“中人”一次性生活补贴</w:t>
      </w:r>
      <w:r>
        <w:rPr>
          <w:rFonts w:ascii="仿宋_GB2312" w:eastAsia="仿宋_GB2312" w:cs="Times New Roman" w:hint="eastAsia"/>
          <w:sz w:val="32"/>
          <w:szCs w:val="32"/>
        </w:rPr>
        <w:t>43</w:t>
      </w:r>
      <w:r>
        <w:rPr>
          <w:rFonts w:ascii="仿宋_GB2312" w:eastAsia="仿宋_GB2312" w:cs="Times New Roman" w:hint="eastAsia"/>
          <w:kern w:val="2"/>
          <w:sz w:val="32"/>
          <w:szCs w:val="32"/>
        </w:rPr>
        <w:t>人，兑现金额</w:t>
      </w:r>
      <w:r>
        <w:rPr>
          <w:rFonts w:ascii="仿宋_GB2312" w:eastAsia="仿宋_GB2312" w:cs="Times New Roman" w:hint="eastAsia"/>
          <w:sz w:val="32"/>
          <w:szCs w:val="32"/>
        </w:rPr>
        <w:t>212.6952万</w:t>
      </w:r>
      <w:r>
        <w:rPr>
          <w:rFonts w:ascii="仿宋_GB2312" w:eastAsia="仿宋_GB2312" w:cs="Times New Roman" w:hint="eastAsia"/>
          <w:kern w:val="2"/>
          <w:sz w:val="32"/>
          <w:szCs w:val="32"/>
        </w:rPr>
        <w:t>元；调整全县机关事业单位遗属补助</w:t>
      </w:r>
      <w:r>
        <w:rPr>
          <w:rFonts w:ascii="仿宋_GB2312" w:eastAsia="仿宋_GB2312" w:cs="Times New Roman" w:hint="eastAsia"/>
          <w:sz w:val="32"/>
          <w:szCs w:val="32"/>
        </w:rPr>
        <w:t>345</w:t>
      </w:r>
      <w:r>
        <w:rPr>
          <w:rFonts w:ascii="仿宋_GB2312" w:eastAsia="仿宋_GB2312" w:cs="Times New Roman" w:hint="eastAsia"/>
          <w:kern w:val="2"/>
          <w:sz w:val="32"/>
          <w:szCs w:val="32"/>
        </w:rPr>
        <w:t>人，对政策范围内执行遗属补助的人员健在情况进行全覆盖清理</w:t>
      </w:r>
      <w:r>
        <w:rPr>
          <w:rFonts w:ascii="仿宋_GB2312" w:eastAsia="仿宋_GB2312" w:cs="Times New Roman" w:hint="eastAsia"/>
          <w:sz w:val="32"/>
          <w:szCs w:val="32"/>
        </w:rPr>
        <w:t>344</w:t>
      </w:r>
      <w:r>
        <w:rPr>
          <w:rFonts w:ascii="仿宋_GB2312" w:eastAsia="仿宋_GB2312" w:cs="Times New Roman" w:hint="eastAsia"/>
          <w:kern w:val="2"/>
          <w:sz w:val="32"/>
          <w:szCs w:val="32"/>
        </w:rPr>
        <w:t>人，</w:t>
      </w:r>
      <w:r>
        <w:rPr>
          <w:rFonts w:ascii="仿宋_GB2312" w:eastAsia="仿宋_GB2312" w:cs="Times New Roman" w:hint="eastAsia"/>
          <w:sz w:val="32"/>
          <w:szCs w:val="32"/>
        </w:rPr>
        <w:t>22</w:t>
      </w:r>
      <w:r>
        <w:rPr>
          <w:rFonts w:ascii="仿宋_GB2312" w:eastAsia="仿宋_GB2312" w:cs="Times New Roman" w:hint="eastAsia"/>
          <w:kern w:val="2"/>
          <w:sz w:val="32"/>
          <w:szCs w:val="32"/>
        </w:rPr>
        <w:t>人因去世已停发；完成事业人员、工勤人员基础性绩效核定工作，按时保质保量完成各项工资正常调整工作。</w:t>
      </w:r>
    </w:p>
    <w:p>
      <w:pPr>
        <w:spacing w:before="101" w:line="560" w:lineRule="exact"/>
        <w:ind w:left="12" w:right="108" w:firstLine="673"/>
        <w:rPr>
          <w:rFonts w:ascii="仿宋_GB2312" w:eastAsia="仿宋_GB2312"/>
          <w:b/>
          <w:sz w:val="32"/>
          <w:szCs w:val="32"/>
        </w:rPr>
      </w:pPr>
      <w:r>
        <w:rPr>
          <w:rFonts w:ascii="仿宋_GB2312" w:eastAsia="仿宋_GB2312" w:hint="eastAsia"/>
          <w:b/>
          <w:sz w:val="32"/>
          <w:szCs w:val="32"/>
        </w:rPr>
        <w:t>（四）统筹兼顾，用足改革“体制机制”的“工具箱”</w:t>
      </w:r>
    </w:p>
    <w:p>
      <w:pPr>
        <w:pStyle w:val="22"/>
        <w:spacing w:before="0" w:beforeAutospacing="0" w:after="0" w:afterAutospacing="0" w:line="560" w:lineRule="exact"/>
        <w:ind w:firstLineChars="200" w:firstLine="640"/>
        <w:jc w:val="both"/>
        <w:textAlignment w:val="baseline"/>
        <w:rPr>
          <w:rFonts w:ascii="仿宋_GB2312" w:eastAsia="仿宋_GB2312" w:cs="Times New Roman"/>
          <w:kern w:val="2"/>
          <w:sz w:val="32"/>
          <w:szCs w:val="32"/>
        </w:rPr>
      </w:pPr>
      <w:r>
        <w:rPr>
          <w:rFonts w:ascii="仿宋_GB2312" w:eastAsia="仿宋_GB2312" w:cs="Times New Roman" w:hint="eastAsia"/>
          <w:b/>
          <w:bCs/>
          <w:kern w:val="2"/>
          <w:sz w:val="32"/>
          <w:szCs w:val="32"/>
        </w:rPr>
        <w:t>一是实施好事业管理岗位职员等级晋升制度。</w:t>
      </w:r>
      <w:r>
        <w:rPr>
          <w:rFonts w:ascii="仿宋_GB2312" w:eastAsia="仿宋_GB2312" w:cs="Times New Roman" w:hint="eastAsia"/>
          <w:kern w:val="2"/>
          <w:sz w:val="32"/>
          <w:szCs w:val="32"/>
        </w:rPr>
        <w:t>根据中办发</w:t>
      </w:r>
      <w:r>
        <w:rPr>
          <w:rFonts w:ascii="仿宋_GB2312" w:eastAsia="仿宋_GB2312" w:cs="Times New Roman" w:hint="eastAsia"/>
          <w:sz w:val="32"/>
          <w:szCs w:val="32"/>
        </w:rPr>
        <w:t>〔2021〕29</w:t>
      </w:r>
      <w:r>
        <w:rPr>
          <w:rFonts w:ascii="仿宋_GB2312" w:eastAsia="仿宋_GB2312" w:cs="Times New Roman" w:hint="eastAsia"/>
          <w:kern w:val="2"/>
          <w:sz w:val="32"/>
          <w:szCs w:val="32"/>
        </w:rPr>
        <w:t>号文件要求，完成全县</w:t>
      </w:r>
      <w:r>
        <w:rPr>
          <w:rFonts w:ascii="仿宋_GB2312" w:eastAsia="仿宋_GB2312" w:cs="Times New Roman" w:hint="eastAsia"/>
          <w:sz w:val="32"/>
          <w:szCs w:val="32"/>
        </w:rPr>
        <w:t>189</w:t>
      </w:r>
      <w:r>
        <w:rPr>
          <w:rFonts w:ascii="仿宋_GB2312" w:eastAsia="仿宋_GB2312" w:cs="Times New Roman" w:hint="eastAsia"/>
          <w:kern w:val="2"/>
          <w:sz w:val="32"/>
          <w:szCs w:val="32"/>
        </w:rPr>
        <w:t>名符合条件人员首轮晋升工作（九晋八</w:t>
      </w:r>
      <w:r>
        <w:rPr>
          <w:rFonts w:ascii="仿宋_GB2312" w:eastAsia="仿宋_GB2312" w:cs="Times New Roman" w:hint="eastAsia"/>
          <w:sz w:val="32"/>
          <w:szCs w:val="32"/>
        </w:rPr>
        <w:t>169</w:t>
      </w:r>
      <w:r>
        <w:rPr>
          <w:rFonts w:ascii="仿宋_GB2312" w:eastAsia="仿宋_GB2312" w:cs="Times New Roman" w:hint="eastAsia"/>
          <w:kern w:val="2"/>
          <w:sz w:val="32"/>
          <w:szCs w:val="32"/>
        </w:rPr>
        <w:t>人，八晋七</w:t>
      </w:r>
      <w:r>
        <w:rPr>
          <w:rFonts w:ascii="仿宋_GB2312" w:eastAsia="仿宋_GB2312" w:cs="Times New Roman" w:hint="eastAsia"/>
          <w:sz w:val="32"/>
          <w:szCs w:val="32"/>
        </w:rPr>
        <w:t>15</w:t>
      </w:r>
      <w:r>
        <w:rPr>
          <w:rFonts w:ascii="仿宋_GB2312" w:eastAsia="仿宋_GB2312" w:cs="Times New Roman" w:hint="eastAsia"/>
          <w:kern w:val="2"/>
          <w:sz w:val="32"/>
          <w:szCs w:val="32"/>
        </w:rPr>
        <w:t>人，七晋六</w:t>
      </w:r>
      <w:r>
        <w:rPr>
          <w:rFonts w:ascii="仿宋_GB2312" w:eastAsia="仿宋_GB2312" w:cs="Times New Roman" w:hint="eastAsia"/>
          <w:sz w:val="32"/>
          <w:szCs w:val="32"/>
        </w:rPr>
        <w:t>5</w:t>
      </w:r>
      <w:r>
        <w:rPr>
          <w:rFonts w:ascii="仿宋_GB2312" w:eastAsia="仿宋_GB2312" w:cs="Times New Roman" w:hint="eastAsia"/>
          <w:kern w:val="2"/>
          <w:sz w:val="32"/>
          <w:szCs w:val="32"/>
        </w:rPr>
        <w:t>人）。</w:t>
      </w:r>
      <w:r>
        <w:rPr>
          <w:rFonts w:ascii="仿宋_GB2312" w:eastAsia="仿宋_GB2312" w:cs="Times New Roman" w:hint="eastAsia"/>
          <w:b/>
          <w:bCs/>
          <w:kern w:val="2"/>
          <w:sz w:val="32"/>
          <w:szCs w:val="32"/>
        </w:rPr>
        <w:t>二是实施好优化事业单位岗位管理工作制度。</w:t>
      </w:r>
      <w:r>
        <w:rPr>
          <w:rFonts w:ascii="仿宋_GB2312" w:eastAsia="仿宋_GB2312" w:cs="Times New Roman" w:hint="eastAsia"/>
          <w:kern w:val="2"/>
          <w:sz w:val="32"/>
          <w:szCs w:val="32"/>
        </w:rPr>
        <w:t>完成全县专业技术人员、工勤人员聘任审核</w:t>
      </w:r>
      <w:r>
        <w:rPr>
          <w:rFonts w:ascii="仿宋_GB2312" w:eastAsia="仿宋_GB2312" w:cs="Times New Roman" w:hint="eastAsia"/>
          <w:sz w:val="32"/>
          <w:szCs w:val="32"/>
        </w:rPr>
        <w:t>528</w:t>
      </w:r>
      <w:r>
        <w:rPr>
          <w:rFonts w:ascii="仿宋_GB2312" w:eastAsia="仿宋_GB2312" w:cs="Times New Roman" w:hint="eastAsia"/>
          <w:kern w:val="2"/>
          <w:sz w:val="32"/>
          <w:szCs w:val="32"/>
        </w:rPr>
        <w:t>名；完成</w:t>
      </w:r>
      <w:r>
        <w:rPr>
          <w:rFonts w:ascii="仿宋_GB2312" w:eastAsia="仿宋_GB2312" w:cs="Times New Roman" w:hint="eastAsia"/>
          <w:sz w:val="32"/>
          <w:szCs w:val="32"/>
        </w:rPr>
        <w:t>747</w:t>
      </w:r>
      <w:r>
        <w:rPr>
          <w:rFonts w:ascii="仿宋_GB2312" w:eastAsia="仿宋_GB2312" w:cs="Times New Roman" w:hint="eastAsia"/>
          <w:kern w:val="2"/>
          <w:sz w:val="32"/>
          <w:szCs w:val="32"/>
        </w:rPr>
        <w:t>名事业单位工作人员与聘用单位的聘用合同、合同变更书、合同续签书的签订工作；办理</w:t>
      </w:r>
      <w:r>
        <w:rPr>
          <w:rFonts w:ascii="仿宋_GB2312" w:eastAsia="仿宋_GB2312" w:cs="Times New Roman" w:hint="eastAsia"/>
          <w:sz w:val="32"/>
          <w:szCs w:val="32"/>
        </w:rPr>
        <w:t>64</w:t>
      </w:r>
      <w:r>
        <w:rPr>
          <w:rFonts w:ascii="仿宋_GB2312" w:eastAsia="仿宋_GB2312" w:cs="Times New Roman" w:hint="eastAsia"/>
          <w:kern w:val="2"/>
          <w:sz w:val="32"/>
          <w:szCs w:val="32"/>
        </w:rPr>
        <w:t>名专业技术人员转正定职手续；对全县编制有变动的</w:t>
      </w:r>
      <w:r>
        <w:rPr>
          <w:rFonts w:ascii="仿宋_GB2312" w:eastAsia="仿宋_GB2312" w:cs="Times New Roman" w:hint="eastAsia"/>
          <w:sz w:val="32"/>
          <w:szCs w:val="32"/>
        </w:rPr>
        <w:t>41</w:t>
      </w:r>
      <w:r>
        <w:rPr>
          <w:rFonts w:ascii="仿宋_GB2312" w:eastAsia="仿宋_GB2312" w:cs="Times New Roman" w:hint="eastAsia"/>
          <w:kern w:val="2"/>
          <w:sz w:val="32"/>
          <w:szCs w:val="32"/>
        </w:rPr>
        <w:t>个事业单位进行岗位设置审核和岗位设置管理软件数据更新。</w:t>
      </w:r>
      <w:r>
        <w:rPr>
          <w:rFonts w:ascii="仿宋_GB2312" w:eastAsia="仿宋_GB2312" w:cs="Times New Roman" w:hint="eastAsia"/>
          <w:b/>
          <w:bCs/>
          <w:kern w:val="2"/>
          <w:sz w:val="32"/>
          <w:szCs w:val="32"/>
        </w:rPr>
        <w:t>三是实施好城乡居民养老保险丧葬抚恤制度。</w:t>
      </w:r>
      <w:r>
        <w:rPr>
          <w:rFonts w:ascii="仿宋_GB2312" w:eastAsia="仿宋_GB2312" w:cs="Times New Roman" w:hint="eastAsia"/>
          <w:kern w:val="2"/>
          <w:sz w:val="32"/>
          <w:szCs w:val="32"/>
        </w:rPr>
        <w:t>根据阿州人社发</w:t>
      </w:r>
      <w:r>
        <w:rPr>
          <w:rFonts w:ascii="仿宋_GB2312" w:eastAsia="仿宋_GB2312" w:cs="Times New Roman" w:hint="eastAsia"/>
          <w:color w:val="000000"/>
          <w:sz w:val="32"/>
          <w:szCs w:val="32"/>
        </w:rPr>
        <w:t>〔2021〕21</w:t>
      </w:r>
      <w:r>
        <w:rPr>
          <w:rFonts w:ascii="仿宋_GB2312" w:eastAsia="仿宋_GB2312" w:cs="Times New Roman" w:hint="eastAsia"/>
          <w:kern w:val="2"/>
          <w:sz w:val="32"/>
          <w:szCs w:val="32"/>
        </w:rPr>
        <w:t>号文件精神，截至</w:t>
      </w:r>
      <w:r>
        <w:rPr>
          <w:rFonts w:ascii="仿宋_GB2312" w:eastAsia="仿宋_GB2312" w:cs="Times New Roman" w:hint="eastAsia"/>
          <w:color w:val="000000"/>
          <w:sz w:val="32"/>
          <w:szCs w:val="32"/>
        </w:rPr>
        <w:t>10</w:t>
      </w:r>
      <w:r>
        <w:rPr>
          <w:rFonts w:ascii="仿宋_GB2312" w:eastAsia="仿宋_GB2312" w:cs="Times New Roman" w:hint="eastAsia"/>
          <w:kern w:val="2"/>
          <w:sz w:val="32"/>
          <w:szCs w:val="32"/>
        </w:rPr>
        <w:t>月，城乡居民养老保险丧葬抚恤金发放资金达</w:t>
      </w:r>
      <w:r>
        <w:rPr>
          <w:rFonts w:ascii="仿宋_GB2312" w:eastAsia="仿宋_GB2312" w:cs="Times New Roman" w:hint="eastAsia"/>
          <w:color w:val="000000"/>
          <w:sz w:val="32"/>
          <w:szCs w:val="32"/>
        </w:rPr>
        <w:t>36.02</w:t>
      </w:r>
      <w:r>
        <w:rPr>
          <w:rFonts w:ascii="仿宋_GB2312" w:eastAsia="仿宋_GB2312" w:cs="Times New Roman" w:hint="eastAsia"/>
          <w:kern w:val="2"/>
          <w:sz w:val="32"/>
          <w:szCs w:val="32"/>
        </w:rPr>
        <w:t>万元。</w:t>
      </w:r>
    </w:p>
    <w:p>
      <w:pPr>
        <w:spacing w:before="101" w:line="560" w:lineRule="exact"/>
        <w:ind w:left="12" w:right="108" w:firstLine="673"/>
        <w:rPr>
          <w:rFonts w:ascii="仿宋_GB2312" w:eastAsia="仿宋_GB2312"/>
          <w:b/>
          <w:sz w:val="32"/>
          <w:szCs w:val="32"/>
        </w:rPr>
      </w:pPr>
      <w:r>
        <w:rPr>
          <w:rFonts w:ascii="仿宋_GB2312" w:eastAsia="仿宋_GB2312" w:hint="eastAsia"/>
          <w:b/>
          <w:sz w:val="32"/>
          <w:szCs w:val="32"/>
        </w:rPr>
        <w:t>（五）清正廉洁，选准干部“严管厚爱”的“护航器”</w:t>
      </w:r>
    </w:p>
    <w:p>
      <w:pPr>
        <w:pStyle w:val="22"/>
        <w:spacing w:before="0" w:beforeAutospacing="0" w:after="0" w:afterAutospacing="0" w:line="560" w:lineRule="exact"/>
        <w:ind w:firstLineChars="200" w:firstLine="640"/>
        <w:jc w:val="both"/>
        <w:textAlignment w:val="baseline"/>
        <w:rPr>
          <w:rFonts w:ascii="仿宋_GB2312" w:eastAsia="仿宋_GB2312" w:cs="Times New Roman"/>
          <w:kern w:val="2"/>
          <w:sz w:val="32"/>
          <w:szCs w:val="32"/>
        </w:rPr>
      </w:pPr>
      <w:r>
        <w:rPr>
          <w:rFonts w:ascii="仿宋_GB2312" w:eastAsia="仿宋_GB2312" w:cs="Times New Roman" w:hint="eastAsia"/>
          <w:kern w:val="2"/>
          <w:sz w:val="32"/>
          <w:szCs w:val="32"/>
        </w:rPr>
        <w:t>结合党风廉政建设暨政风行风建设等专项工作，牢树金川人社干部队伍“旗帜鲜明讲党性、言行一致守忠诚、清醒自律严要求、勤勉敬业强担当、谨言慎行优作风”的五大目标，督促干部队伍严守“政治、组织、廉洁、群众、工作”五大纪律，始终坚持以更高标准、更严要求、更铁的纪律抓实干部队伍建设，进一步增强人社干部队伍做到党章规定的“四个服从”党性意识，始终坚决拥护“两个确立”、坚定践行“两个维护”，努力打造人民满意的“服务型机关”。</w:t>
      </w:r>
    </w:p>
    <w:p>
      <w:pPr>
        <w:spacing w:line="578" w:lineRule="exact"/>
        <w:ind w:firstLineChars="200" w:firstLine="640"/>
        <w:rPr>
          <w:rStyle w:val="26"/>
          <w:b w:val="0"/>
          <w:bCs w:val="0"/>
        </w:rPr>
      </w:pPr>
      <w:r>
        <w:rPr>
          <w:rStyle w:val="26"/>
          <w:rFonts w:ascii="黑体" w:eastAsia="黑体" w:hint="eastAsia"/>
          <w:b w:val="0"/>
          <w:bCs w:val="0"/>
        </w:rPr>
        <w:t>二、机构设置</w:t>
      </w:r>
      <w:bookmarkEnd w:id="31"/>
    </w:p>
    <w:p>
      <w:pPr>
        <w:spacing w:line="560" w:lineRule="exact"/>
        <w:ind w:firstLineChars="200" w:firstLine="640"/>
        <w:rPr>
          <w:rFonts w:ascii="仿宋_GB2312" w:eastAsia="仿宋_GB2312"/>
          <w:sz w:val="32"/>
          <w:szCs w:val="32"/>
        </w:rPr>
      </w:pPr>
      <w:bookmarkStart w:id="32" w:name="_Toc15377204"/>
      <w:r>
        <w:rPr>
          <w:rFonts w:ascii="仿宋_GB2312" w:eastAsia="仿宋_GB2312" w:cs="仿宋_GB2312" w:hint="eastAsia"/>
          <w:sz w:val="32"/>
          <w:szCs w:val="32"/>
        </w:rPr>
        <w:t>金川县人力资源和社会保障局为县政府工作部门，</w:t>
      </w:r>
      <w:r>
        <w:rPr>
          <w:rFonts w:ascii="仿宋_GB2312" w:eastAsia="仿宋_GB2312" w:hint="eastAsia"/>
          <w:sz w:val="32"/>
          <w:szCs w:val="32"/>
        </w:rPr>
        <w:t>内设（副科）级事业单位1个，</w:t>
      </w:r>
      <w:r>
        <w:rPr>
          <w:rFonts w:ascii="仿宋_GB2312" w:eastAsia="仿宋_GB2312" w:cs="仿宋_GB2312" w:hint="eastAsia"/>
          <w:sz w:val="32"/>
          <w:szCs w:val="32"/>
        </w:rPr>
        <w:t>劳动人事争议仲裁院；</w:t>
      </w:r>
      <w:r>
        <w:rPr>
          <w:rFonts w:ascii="仿宋_GB2312" w:eastAsia="仿宋_GB2312" w:hint="eastAsia"/>
          <w:sz w:val="32"/>
          <w:szCs w:val="32"/>
        </w:rPr>
        <w:t>（</w:t>
      </w:r>
      <w:r>
        <w:rPr>
          <w:rFonts w:ascii="仿宋_GB2312" w:eastAsia="仿宋_GB2312" w:cs="仿宋_GB2312" w:hint="eastAsia"/>
          <w:sz w:val="32"/>
          <w:szCs w:val="32"/>
          <w:lang w:val="zh-CN"/>
        </w:rPr>
        <w:t>股级）事业单位2个，</w:t>
      </w:r>
      <w:r>
        <w:rPr>
          <w:rFonts w:ascii="仿宋_GB2312" w:eastAsia="仿宋_GB2312" w:cs="仿宋_GB2312" w:hint="eastAsia"/>
          <w:sz w:val="32"/>
          <w:szCs w:val="32"/>
        </w:rPr>
        <w:t>信息中心及劳动保障监察执法中队；</w:t>
      </w:r>
      <w:r>
        <w:rPr>
          <w:rFonts w:ascii="仿宋_GB2312" w:eastAsia="仿宋_GB2312" w:hint="eastAsia"/>
          <w:sz w:val="32"/>
          <w:szCs w:val="32"/>
        </w:rPr>
        <w:t>内设股室6个 ，</w:t>
      </w:r>
      <w:r>
        <w:rPr>
          <w:rFonts w:ascii="仿宋_GB2312" w:eastAsia="仿宋_GB2312" w:cs="仿宋_GB2312" w:hint="eastAsia"/>
          <w:sz w:val="32"/>
          <w:szCs w:val="32"/>
        </w:rPr>
        <w:t>办公室、事业人员管理股、工资福利与退休管理股、社会保险管理股、劳动综合管理股、社会保险基金监督股。</w:t>
      </w:r>
    </w:p>
    <w:p>
      <w:pPr>
        <w:pStyle w:val="1"/>
        <w:ind w:right="440"/>
        <w:jc w:val="right"/>
      </w:pPr>
      <w:bookmarkStart w:id="33" w:name="_Toc146125641"/>
      <w:r>
        <w:rPr>
          <w:rFonts w:ascii="黑体" w:eastAsia="黑体" w:hint="eastAsia"/>
          <w:b w:val="0"/>
          <w:color w:val="000000"/>
        </w:rPr>
        <w:t>第二部分</w:t>
      </w:r>
      <w:r>
        <w:rPr>
          <w:rStyle w:val="25"/>
          <w:rFonts w:ascii="黑体" w:eastAsia="黑体" w:hint="eastAsia"/>
        </w:rPr>
        <w:t>2022年度部门决算情况说明</w:t>
      </w:r>
      <w:bookmarkEnd w:id="32"/>
      <w:bookmarkEnd w:id="33"/>
    </w:p>
    <w:p>
      <w:pPr>
        <w:pStyle w:val="31"/>
        <w:numPr>
          <w:ilvl w:val="0"/>
          <w:numId w:val="1"/>
        </w:numPr>
        <w:ind w:left="0" w:firstLineChars="0" w:firstLine="0"/>
        <w:outlineLvl w:val="1"/>
        <w:rPr>
          <w:rStyle w:val="26"/>
          <w:rFonts w:ascii="黑体" w:eastAsia="黑体"/>
          <w:b w:val="0"/>
        </w:rPr>
      </w:pPr>
      <w:bookmarkStart w:id="34" w:name="_Toc15377205"/>
      <w:bookmarkStart w:id="35" w:name="_Toc146125642"/>
      <w:r>
        <w:rPr>
          <w:rFonts w:ascii="黑体" w:eastAsia="黑体" w:hint="eastAsia"/>
          <w:color w:val="000000"/>
          <w:sz w:val="32"/>
          <w:szCs w:val="32"/>
        </w:rPr>
        <w:t>收</w:t>
      </w:r>
      <w:r>
        <w:rPr>
          <w:rStyle w:val="26"/>
          <w:rFonts w:ascii="黑体" w:eastAsia="黑体" w:hint="eastAsia"/>
          <w:b w:val="0"/>
        </w:rPr>
        <w:t>入支出决算总体情况说明</w:t>
      </w:r>
      <w:bookmarkEnd w:id="34"/>
      <w:bookmarkEnd w:id="35"/>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w:t>
      </w:r>
      <w:r>
        <w:rPr>
          <w:rFonts w:ascii="仿宋_GB2312" w:eastAsia="仿宋_GB2312" w:cs="仿宋_GB2312" w:hint="eastAsia"/>
          <w:color w:val="000000"/>
          <w:sz w:val="32"/>
          <w:szCs w:val="32"/>
        </w:rPr>
        <w:t>年总</w:t>
      </w:r>
      <w:r>
        <w:rPr>
          <w:rFonts w:ascii="仿宋_GB2312" w:eastAsia="仿宋_GB2312" w:cs="仿宋_GB2312" w:hint="eastAsia"/>
          <w:sz w:val="32"/>
          <w:szCs w:val="32"/>
        </w:rPr>
        <w:t>收入合计</w:t>
      </w:r>
      <w:r>
        <w:rPr>
          <w:rFonts w:ascii="仿宋_GB2312" w:eastAsia="仿宋_GB2312" w:cs="仿宋_GB2312" w:hint="eastAsia"/>
          <w:color w:val="FF0000"/>
          <w:sz w:val="32"/>
          <w:szCs w:val="32"/>
        </w:rPr>
        <w:t xml:space="preserve"> </w:t>
      </w:r>
      <w:r>
        <w:rPr>
          <w:rFonts w:ascii="仿宋_GB2312" w:eastAsia="仿宋_GB2312" w:cs="仿宋_GB2312" w:hint="eastAsia"/>
          <w:color w:val="000000"/>
          <w:sz w:val="32"/>
          <w:szCs w:val="32"/>
        </w:rPr>
        <w:t>677.54</w:t>
      </w:r>
      <w:r>
        <w:rPr>
          <w:rFonts w:ascii="仿宋_GB2312" w:eastAsia="仿宋_GB2312" w:cs="仿宋_GB2312" w:hint="eastAsia"/>
          <w:sz w:val="32"/>
          <w:szCs w:val="32"/>
        </w:rPr>
        <w:t>万元。</w:t>
      </w:r>
      <w:r>
        <w:rPr>
          <w:rFonts w:ascii="仿宋_GB2312" w:eastAsia="仿宋_GB2312" w:hint="eastAsia"/>
          <w:color w:val="000000"/>
          <w:spacing w:val="-2"/>
          <w:sz w:val="32"/>
          <w:szCs w:val="32"/>
        </w:rPr>
        <w:t>较上年收入(</w:t>
      </w:r>
      <w:r>
        <w:rPr>
          <w:rFonts w:ascii="仿宋_GB2312" w:eastAsia="仿宋_GB2312" w:hint="eastAsia"/>
          <w:spacing w:val="-2"/>
          <w:sz w:val="32"/>
          <w:szCs w:val="32"/>
        </w:rPr>
        <w:t>759.59</w:t>
      </w:r>
      <w:r>
        <w:rPr>
          <w:rFonts w:ascii="仿宋_GB2312" w:eastAsia="仿宋_GB2312" w:hint="eastAsia"/>
          <w:color w:val="000000"/>
          <w:spacing w:val="-2"/>
          <w:sz w:val="32"/>
          <w:szCs w:val="32"/>
        </w:rPr>
        <w:t>万元)</w:t>
      </w:r>
      <w:r>
        <w:rPr>
          <w:rFonts w:ascii="仿宋_GB2312" w:eastAsia="仿宋_GB2312" w:cs="仿宋_GB2312" w:hint="eastAsia"/>
          <w:sz w:val="32"/>
          <w:szCs w:val="32"/>
        </w:rPr>
        <w:t>减少82.05万元，减少10.80%。减少的主要原因是:1.人员减少,2项目资金减少。</w:t>
      </w:r>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2022年总支出合计</w:t>
      </w:r>
      <w:r>
        <w:rPr>
          <w:rFonts w:ascii="仿宋_GB2312" w:eastAsia="仿宋_GB2312" w:cs="仿宋_GB2312" w:hint="eastAsia"/>
          <w:color w:val="FF0000"/>
          <w:sz w:val="32"/>
          <w:szCs w:val="32"/>
        </w:rPr>
        <w:t xml:space="preserve"> </w:t>
      </w:r>
      <w:r>
        <w:rPr>
          <w:rFonts w:ascii="仿宋_GB2312" w:eastAsia="仿宋_GB2312" w:cs="仿宋_GB2312" w:hint="eastAsia"/>
          <w:color w:val="000000"/>
          <w:sz w:val="32"/>
          <w:szCs w:val="32"/>
        </w:rPr>
        <w:t>677.54</w:t>
      </w:r>
      <w:r>
        <w:rPr>
          <w:rFonts w:ascii="仿宋_GB2312" w:eastAsia="仿宋_GB2312" w:cs="仿宋_GB2312" w:hint="eastAsia"/>
          <w:sz w:val="32"/>
          <w:szCs w:val="32"/>
        </w:rPr>
        <w:t>万元 。较上年支出（759.59万元）减少82.05万元，减少10.80%。减少的主要原因是:1.人员减少,2项目资金减少。</w:t>
      </w:r>
    </w:p>
    <w:p>
      <w:pPr>
        <w:pStyle w:val="31"/>
        <w:ind w:firstLineChars="0" w:firstLine="0"/>
        <w:outlineLvl w:val="1"/>
        <w:rPr>
          <w:rFonts w:ascii="黑体" w:eastAsia="黑体"/>
          <w:color w:val="000000"/>
          <w:sz w:val="32"/>
          <w:szCs w:val="32"/>
        </w:rPr>
      </w:pPr>
      <w:bookmarkStart w:id="36" w:name="_Toc15377206"/>
      <w:bookmarkStart w:id="37" w:name="_Toc146125643"/>
      <w:r>
        <w:rPr>
          <w:rFonts w:ascii="黑体" w:eastAsia="黑体" w:hint="eastAsia"/>
          <w:color w:val="000000"/>
          <w:sz w:val="32"/>
          <w:szCs w:val="32"/>
        </w:rPr>
        <w:t>二、收入决算情况说明</w:t>
      </w:r>
      <w:bookmarkEnd w:id="36"/>
      <w:bookmarkEnd w:id="37"/>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年总收入合计677.54万元。其中：一般公共预算财政拨款收入677.54万元，占100%；政府性基金预算财政拨款收入0元，占0%；国有资本经营预算财政拨款收入0万元，占0%；上级补助收入0万元，占0%；事业收入0万元，占0%；经营收入0万元，占0%；附属单位上缴收入0万元，占0%；其他收入0万元，占0%。</w:t>
      </w:r>
    </w:p>
    <w:p>
      <w:pPr>
        <w:spacing w:line="600" w:lineRule="exact"/>
        <w:ind w:firstLineChars="200" w:firstLine="640"/>
        <w:outlineLvl w:val="1"/>
        <w:rPr>
          <w:rStyle w:val="26"/>
          <w:rFonts w:ascii="黑体" w:eastAsia="黑体"/>
          <w:b w:val="0"/>
        </w:rPr>
      </w:pPr>
      <w:bookmarkStart w:id="38" w:name="_Toc146125644"/>
      <w:r>
        <w:rPr>
          <w:rFonts w:ascii="黑体" w:eastAsia="黑体" w:hint="eastAsia"/>
          <w:color w:val="000000"/>
          <w:sz w:val="32"/>
          <w:szCs w:val="32"/>
        </w:rPr>
        <w:drawing>
          <wp:anchor distT="0" distB="0" distL="114300" distR="114300" simplePos="0" relativeHeight="21"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bookmarkStart w:id="39" w:name="_Toc15377207"/>
      <w:r>
        <w:rPr>
          <w:rFonts w:ascii="黑体" w:eastAsia="黑体" w:hint="eastAsia"/>
          <w:color w:val="000000"/>
          <w:sz w:val="32"/>
          <w:szCs w:val="32"/>
        </w:rPr>
        <w:t>三、支出决</w:t>
      </w:r>
      <w:r>
        <w:rPr>
          <w:rStyle w:val="26"/>
          <w:rFonts w:ascii="黑体" w:eastAsia="黑体" w:hint="eastAsia"/>
          <w:b w:val="0"/>
        </w:rPr>
        <w:t>算情况说明</w:t>
      </w:r>
      <w:bookmarkEnd w:id="38"/>
      <w:bookmarkEnd w:id="39"/>
    </w:p>
    <w:p>
      <w:pPr>
        <w:snapToGrid w:val="0"/>
        <w:spacing w:line="540" w:lineRule="exact"/>
        <w:ind w:firstLineChars="250" w:firstLine="800"/>
        <w:rPr>
          <w:rFonts w:ascii="仿宋_GB2312" w:eastAsia="仿宋_GB2312" w:cs="仿宋_GB2312"/>
          <w:color w:val="000000"/>
          <w:sz w:val="32"/>
          <w:szCs w:val="32"/>
        </w:rPr>
      </w:pPr>
      <w:r>
        <w:rPr>
          <w:rFonts w:ascii="仿宋_GB2312" w:eastAsia="仿宋_GB2312" w:cs="仿宋_GB2312" w:hint="eastAsia"/>
          <w:sz w:val="32"/>
          <w:szCs w:val="32"/>
        </w:rPr>
        <w:t>2022年总支出合计677.54万元 。其中基本支出574.48万元，占84.79 %，项目支出103.06万元，占15.21%。</w:t>
      </w:r>
      <w:r>
        <w:rPr>
          <w:rFonts w:ascii="仿宋_GB2312" w:eastAsia="仿宋_GB2312" w:hint="eastAsia"/>
          <w:color w:val="000000"/>
          <w:sz w:val="32"/>
          <w:szCs w:val="32"/>
        </w:rPr>
        <w:t>上缴上级支出0万元，占0%；经营支出0万元，占0%；对附属单位补助支出0万元，占0%。</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17"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Style w:val="26"/>
          <w:rFonts w:ascii="黑体" w:eastAsia="黑体"/>
          <w:b w:val="0"/>
        </w:rPr>
      </w:pPr>
      <w:bookmarkStart w:id="40" w:name="_Toc15377208"/>
      <w:bookmarkStart w:id="41" w:name="_Toc146125645"/>
      <w:r>
        <w:rPr>
          <w:rFonts w:ascii="黑体" w:eastAsia="黑体" w:hint="eastAsia"/>
          <w:color w:val="000000"/>
          <w:sz w:val="32"/>
          <w:szCs w:val="32"/>
        </w:rPr>
        <w:t>四、财</w:t>
      </w:r>
      <w:r>
        <w:rPr>
          <w:rStyle w:val="26"/>
          <w:rFonts w:ascii="黑体" w:eastAsia="黑体" w:hint="eastAsia"/>
          <w:b w:val="0"/>
        </w:rPr>
        <w:t>政拨款收入支出决算总体情况说明</w:t>
      </w:r>
      <w:bookmarkEnd w:id="40"/>
      <w:bookmarkEnd w:id="41"/>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2022年财政拨款收入合计677.54万元。与2021年（759.59万元）相比，财政拨款收入减少10.80%。减少的主要原因是:1.人员减少,2项目资金减少。</w:t>
      </w:r>
    </w:p>
    <w:p>
      <w:pPr>
        <w:snapToGrid w:val="0"/>
        <w:spacing w:line="540" w:lineRule="exact"/>
        <w:ind w:firstLineChars="250" w:firstLine="800"/>
        <w:rPr>
          <w:rFonts w:ascii="仿宋_GB2312" w:eastAsia="仿宋_GB2312"/>
          <w:color w:val="FF0000"/>
          <w:sz w:val="32"/>
          <w:szCs w:val="32"/>
        </w:rPr>
      </w:pPr>
      <w:r>
        <w:rPr>
          <w:rFonts w:ascii="仿宋_GB2312" w:eastAsia="仿宋_GB2312" w:cs="仿宋_GB2312" w:hint="eastAsia"/>
          <w:sz w:val="32"/>
          <w:szCs w:val="32"/>
        </w:rPr>
        <w:t xml:space="preserve">2022年财政拨款支出合计677.54万元 。较上年支出减少759.59万元，减少10.80%。 </w:t>
      </w:r>
    </w:p>
    <w:p>
      <w:pPr>
        <w:spacing w:line="600" w:lineRule="exact"/>
        <w:ind w:firstLineChars="200" w:firstLine="640"/>
        <w:outlineLvl w:val="1"/>
        <w:rPr>
          <w:rFonts w:ascii="黑体" w:eastAsia="黑体"/>
          <w:color w:val="000000"/>
          <w:sz w:val="32"/>
          <w:szCs w:val="32"/>
        </w:rPr>
      </w:pPr>
      <w:bookmarkStart w:id="42" w:name="_Toc146125646"/>
      <w:r>
        <w:rPr>
          <w:rFonts w:ascii="黑体" w:eastAsia="黑体" w:hint="eastAsia"/>
          <w:color w:val="000000"/>
          <w:sz w:val="32"/>
          <w:szCs w:val="32"/>
        </w:rPr>
        <w:drawing>
          <wp:anchor distT="0" distB="0" distL="114300" distR="114300" simplePos="0" relativeHeight="23"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bookmarkStart w:id="43" w:name="_Toc15377209"/>
      <w:r>
        <w:rPr>
          <w:rFonts w:ascii="黑体" w:eastAsia="黑体" w:hint="eastAsia"/>
          <w:color w:val="000000"/>
          <w:sz w:val="32"/>
          <w:szCs w:val="32"/>
        </w:rPr>
        <w:t>五、一般公共预算财政拨款支出决算情况说明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2022年一般公共预算财政拨款支出</w:t>
      </w:r>
      <w:r>
        <w:rPr>
          <w:rFonts w:ascii="仿宋_GB2312" w:eastAsia="仿宋_GB2312" w:hint="eastAsia"/>
          <w:sz w:val="32"/>
          <w:szCs w:val="32"/>
        </w:rPr>
        <w:t>677.54万元，占本年支出合计的100%。</w:t>
      </w:r>
      <w:r>
        <w:rPr>
          <w:rFonts w:ascii="仿宋_GB2312" w:eastAsia="仿宋_GB2312" w:cs="仿宋_GB2312" w:hint="eastAsia"/>
          <w:sz w:val="32"/>
          <w:szCs w:val="32"/>
        </w:rPr>
        <w:t>与2021年相比，一般公共预算财政拨款支出减少10.80%。减少的主要原因是:1.人员减少,2项目资金减少。</w:t>
      </w:r>
    </w:p>
    <w:p>
      <w:pPr>
        <w:snapToGrid w:val="0"/>
        <w:spacing w:line="540" w:lineRule="exact"/>
        <w:ind w:firstLineChars="250" w:firstLine="800"/>
        <w:rPr>
          <w:rFonts w:ascii="仿宋_GB2312" w:eastAsia="仿宋_GB2312" w:cs="仿宋_GB2312"/>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drawing>
          <wp:anchor distT="0" distB="0" distL="114300" distR="114300" simplePos="0" relativeHeight="25"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4" name="图表 8"/>
            <wp:cNvGraphicFramePr>
              <a:graphicFrameLocks noChangeAspect="0"/>
            </wp:cNvGraphicFramePr>
            <a:graphic>
              <a:graphicData uri="http://schemas.openxmlformats.org/drawingml/2006/chart">
                <c:chart xmlns:c="http://schemas.openxmlformats.org/drawingml/2006/chart" r:id="rId7"/>
              </a:graphicData>
            </a:graphic>
          </wp:anchor>
        </w:drawing>
      </w:r>
      <w:bookmarkStart w:id="45" w:name="_Toc15377211"/>
      <w:r>
        <w:rPr>
          <w:rFonts w:ascii="仿宋" w:eastAsia="仿宋" w:hint="eastAsia"/>
          <w:b/>
          <w:color w:val="000000"/>
          <w:sz w:val="32"/>
          <w:szCs w:val="32"/>
        </w:rPr>
        <w:t>（二）一般公共预算财政拨款支出决算结构情况</w:t>
      </w:r>
      <w:bookmarkEnd w:id="45"/>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2022年</w:t>
      </w:r>
      <w:r>
        <w:rPr>
          <w:rFonts w:ascii="仿宋_GB2312" w:eastAsia="仿宋_GB2312" w:hint="eastAsia"/>
          <w:sz w:val="32"/>
          <w:szCs w:val="32"/>
        </w:rPr>
        <w:t>一般公共预算财政拨款支出677.54万元，主要用于以下方面:</w:t>
      </w:r>
      <w:r>
        <w:rPr>
          <w:rFonts w:ascii="仿宋_GB2312" w:eastAsia="仿宋_GB2312" w:cs="仿宋_GB2312" w:hint="eastAsia"/>
          <w:sz w:val="32"/>
          <w:szCs w:val="32"/>
        </w:rPr>
        <w:t xml:space="preserve"> 其中教育支出0.57万元，占0.09%；社会保障和就业支出614.83万元，占90.74%;卫生健康支出25.71万元,占3.79%；住房保障支出36.43万元，占5.38%。</w:t>
      </w:r>
      <w:bookmarkStart w:id="46" w:name="_Toc15377444"/>
      <w:bookmarkStart w:id="47" w:name="_Toc15377213"/>
      <w:bookmarkStart w:id="48" w:name="_Toc15378460"/>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299085</wp:posOffset>
            </wp:positionH>
            <wp:positionV relativeFrom="paragraph">
              <wp:posOffset>349250</wp:posOffset>
            </wp:positionV>
            <wp:extent cx="4822825" cy="2298700"/>
            <wp:effectExtent l="0" t="0" r="0" b="0"/>
            <wp:wrapTopAndBottom/>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outlineLvl w:val="2"/>
        <w:rPr>
          <w:rStyle w:val="23"/>
          <w:rFonts w:ascii="仿宋" w:eastAsia="仿宋"/>
          <w:color w:val="000000"/>
          <w:sz w:val="32"/>
          <w:szCs w:val="32"/>
        </w:rPr>
      </w:pPr>
      <w:bookmarkStart w:id="49" w:name="_Toc15377212"/>
      <w:r>
        <w:rPr>
          <w:rFonts w:ascii="仿宋" w:eastAsia="仿宋" w:hint="eastAsia"/>
          <w:b/>
          <w:color w:val="000000"/>
          <w:sz w:val="32"/>
          <w:szCs w:val="32"/>
        </w:rPr>
        <w:t>（三）一般公共预算财政拨款支出决算具体情况</w:t>
      </w:r>
      <w:bookmarkStart w:id="50" w:name="_Toc15377214"/>
      <w:bookmarkEnd w:id="46"/>
      <w:bookmarkEnd w:id="47"/>
      <w:bookmarkEnd w:id="48"/>
      <w:bookmarkEnd w:id="49"/>
    </w:p>
    <w:p>
      <w:pPr>
        <w:snapToGrid w:val="0"/>
        <w:spacing w:line="540" w:lineRule="exact"/>
        <w:ind w:firstLineChars="246" w:firstLine="787"/>
        <w:rPr>
          <w:rFonts w:ascii="仿宋_GB2312" w:eastAsia="仿宋_GB2312"/>
          <w:sz w:val="32"/>
          <w:szCs w:val="32"/>
        </w:rPr>
      </w:pPr>
      <w:r>
        <w:rPr>
          <w:rFonts w:ascii="仿宋_GB2312" w:eastAsia="仿宋_GB2312" w:hint="eastAsia"/>
          <w:b/>
          <w:sz w:val="32"/>
          <w:szCs w:val="32"/>
        </w:rPr>
        <w:t>1、 教育支出 2050803培训支出：</w:t>
      </w:r>
      <w:r>
        <w:rPr>
          <w:rFonts w:ascii="仿宋_GB2312" w:eastAsia="仿宋_GB2312" w:hint="eastAsia"/>
          <w:sz w:val="32"/>
          <w:szCs w:val="32"/>
        </w:rPr>
        <w:t>支出决算为0.57万元，完成预算100%，决算数与预算数持平</w:t>
      </w:r>
    </w:p>
    <w:p>
      <w:pPr>
        <w:snapToGrid w:val="0"/>
        <w:spacing w:line="540" w:lineRule="exact"/>
        <w:ind w:firstLineChars="246" w:firstLine="787"/>
        <w:rPr>
          <w:rFonts w:ascii="仿宋_GB2312" w:eastAsia="仿宋_GB2312"/>
          <w:sz w:val="32"/>
          <w:szCs w:val="32"/>
        </w:rPr>
      </w:pPr>
      <w:r>
        <w:rPr>
          <w:rFonts w:ascii="仿宋_GB2312" w:eastAsia="仿宋_GB2312" w:hint="eastAsia"/>
          <w:b/>
          <w:sz w:val="32"/>
          <w:szCs w:val="32"/>
        </w:rPr>
        <w:t>2、社会保障和就业支出 2080101 行政运行</w:t>
      </w:r>
      <w:r>
        <w:rPr>
          <w:rFonts w:ascii="仿宋_GB2312" w:eastAsia="仿宋_GB2312" w:hint="eastAsia"/>
          <w:sz w:val="32"/>
          <w:szCs w:val="32"/>
        </w:rPr>
        <w:t>：支出决算为371.16万元，完成预算100%，决算数与预算数持平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社会保障和就业支出2080104综合业务管理</w:t>
      </w:r>
      <w:r>
        <w:rPr>
          <w:rFonts w:ascii="仿宋_GB2312" w:eastAsia="仿宋_GB2312" w:hint="eastAsia"/>
          <w:sz w:val="32"/>
          <w:szCs w:val="32"/>
        </w:rPr>
        <w:t>：支出决算为8万元，完成预算100%，决算数与预算数持平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2080105 劳动保障监察</w:t>
      </w:r>
      <w:r>
        <w:rPr>
          <w:rFonts w:ascii="仿宋_GB2312" w:eastAsia="仿宋_GB2312" w:hint="eastAsia"/>
          <w:sz w:val="32"/>
          <w:szCs w:val="32"/>
        </w:rPr>
        <w:t>：支出决算为17.85万元，完成预算100%，决算数与预算数持平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2080150 事业运行</w:t>
      </w:r>
      <w:r>
        <w:rPr>
          <w:rFonts w:ascii="仿宋_GB2312" w:eastAsia="仿宋_GB2312" w:hint="eastAsia"/>
          <w:sz w:val="32"/>
          <w:szCs w:val="32"/>
        </w:rPr>
        <w:t>：支出决算为78.34万元，完成预算100%，决算数与预算数持平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2080199其他人力资源和社会保障局和社会保障管理事务支出 ：</w:t>
      </w:r>
      <w:r>
        <w:rPr>
          <w:rFonts w:ascii="仿宋_GB2312" w:eastAsia="仿宋_GB2312" w:hint="eastAsia"/>
          <w:sz w:val="32"/>
          <w:szCs w:val="32"/>
        </w:rPr>
        <w:t>支出决算为76.65万元，完成预算100%，决算数与预算数持平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2080505  机关事业单位基本养老保险缴费支出：</w:t>
      </w:r>
      <w:r>
        <w:rPr>
          <w:rFonts w:ascii="仿宋_GB2312" w:eastAsia="仿宋_GB2312" w:hint="eastAsia"/>
          <w:sz w:val="32"/>
          <w:szCs w:val="32"/>
        </w:rPr>
        <w:t>支出决算为41.89万元，完成预算100%，决算数与预算数持平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2080506 机关事业单位职业年金缴费支出</w:t>
      </w:r>
      <w:r>
        <w:rPr>
          <w:rFonts w:ascii="仿宋_GB2312" w:eastAsia="仿宋_GB2312" w:hint="eastAsia"/>
          <w:sz w:val="32"/>
          <w:szCs w:val="32"/>
        </w:rPr>
        <w:t>：支出决算为20.94万元，完成预算100%，决算数与预算数持平</w:t>
      </w:r>
    </w:p>
    <w:p>
      <w:pPr>
        <w:snapToGrid w:val="0"/>
        <w:spacing w:line="540" w:lineRule="exact"/>
        <w:ind w:firstLineChars="49" w:firstLine="157"/>
        <w:rPr>
          <w:rFonts w:ascii="仿宋_GB2312" w:eastAsia="仿宋_GB2312"/>
          <w:sz w:val="32"/>
          <w:szCs w:val="32"/>
        </w:rPr>
      </w:pPr>
      <w:r>
        <w:rPr>
          <w:rFonts w:ascii="仿宋_GB2312" w:eastAsia="仿宋_GB2312" w:hint="eastAsia"/>
          <w:b/>
          <w:sz w:val="32"/>
          <w:szCs w:val="32"/>
        </w:rPr>
        <w:t xml:space="preserve">3.卫生健康支出  2101101行政单位医疗 </w:t>
      </w:r>
      <w:r>
        <w:rPr>
          <w:rFonts w:ascii="仿宋_GB2312" w:eastAsia="仿宋_GB2312" w:hint="eastAsia"/>
          <w:sz w:val="32"/>
          <w:szCs w:val="32"/>
        </w:rPr>
        <w:t>:支出决算为16.09万元，完成预算100%，决算数与预算数持平。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卫生健康支出 2101102事业单位医疗</w:t>
      </w:r>
      <w:r>
        <w:rPr>
          <w:rFonts w:ascii="仿宋_GB2312" w:eastAsia="仿宋_GB2312" w:hint="eastAsia"/>
          <w:sz w:val="32"/>
          <w:szCs w:val="32"/>
        </w:rPr>
        <w:t xml:space="preserve"> :支出决算为3.38万元，完成预算100%，决算数与预算数持平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卫生健康支出 2101103公务员医疗补助</w:t>
      </w:r>
      <w:r>
        <w:rPr>
          <w:rFonts w:ascii="仿宋_GB2312" w:eastAsia="仿宋_GB2312" w:hint="eastAsia"/>
          <w:sz w:val="32"/>
          <w:szCs w:val="32"/>
        </w:rPr>
        <w:t xml:space="preserve"> :支出决算为5.32万元，完成预算100%，决算数与预算数持平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 xml:space="preserve">卫生健康支出 210119其他行政事业单位医疗支出 </w:t>
      </w:r>
      <w:r>
        <w:rPr>
          <w:rFonts w:ascii="仿宋_GB2312" w:eastAsia="仿宋_GB2312" w:hint="eastAsia"/>
          <w:sz w:val="32"/>
          <w:szCs w:val="32"/>
        </w:rPr>
        <w:t>:支出决算为0.92万元，完成预算100%，决算数与预算数持平</w:t>
      </w:r>
    </w:p>
    <w:p>
      <w:pPr>
        <w:snapToGrid w:val="0"/>
        <w:spacing w:line="540" w:lineRule="exact"/>
        <w:ind w:firstLineChars="49" w:firstLine="157"/>
        <w:rPr>
          <w:rStyle w:val="23"/>
          <w:rFonts w:ascii="仿宋_GB2312" w:eastAsia="仿宋_GB2312"/>
          <w:b w:val="0"/>
          <w:sz w:val="32"/>
          <w:szCs w:val="32"/>
        </w:rPr>
      </w:pPr>
      <w:r>
        <w:rPr>
          <w:rFonts w:ascii="仿宋_GB2312" w:eastAsia="仿宋_GB2312" w:hint="eastAsia"/>
          <w:b/>
          <w:sz w:val="32"/>
          <w:szCs w:val="32"/>
        </w:rPr>
        <w:t>4. 住房保障支出 2210201 住房公积金:</w:t>
      </w:r>
      <w:r>
        <w:rPr>
          <w:rFonts w:ascii="仿宋_GB2312" w:eastAsia="仿宋_GB2312" w:hint="eastAsia"/>
          <w:sz w:val="32"/>
          <w:szCs w:val="32"/>
        </w:rPr>
        <w:t>支出决算为36.43万元，完成预算100%，决算数与预算数持平。</w:t>
      </w:r>
    </w:p>
    <w:p>
      <w:pPr>
        <w:spacing w:line="600" w:lineRule="exact"/>
        <w:ind w:firstLineChars="200" w:firstLine="640"/>
        <w:outlineLvl w:val="1"/>
        <w:rPr>
          <w:rFonts w:ascii="黑体" w:eastAsia="黑体"/>
          <w:b/>
          <w:bCs/>
          <w:color w:val="000000"/>
        </w:rPr>
      </w:pPr>
      <w:bookmarkStart w:id="51" w:name="_Toc146125647"/>
      <w:r>
        <w:rPr>
          <w:rFonts w:ascii="黑体" w:eastAsia="黑体" w:hint="eastAsia"/>
          <w:color w:val="000000"/>
          <w:sz w:val="32"/>
          <w:szCs w:val="32"/>
        </w:rPr>
        <w:t>六、一般公共预算财政拨款基本支出决算情况说明</w:t>
      </w:r>
      <w:bookmarkEnd w:id="50"/>
      <w:bookmarkEnd w:id="51"/>
      <w:r>
        <w:rPr>
          <w:rFonts w:ascii="黑体" w:eastAsia="黑体"/>
          <w:color w:val="000000"/>
          <w:sz w:val="32"/>
          <w:szCs w:val="32"/>
        </w:rPr>
        <w:tab/>
      </w:r>
    </w:p>
    <w:p>
      <w:pPr>
        <w:snapToGrid w:val="0"/>
        <w:spacing w:line="540" w:lineRule="exact"/>
        <w:ind w:firstLineChars="98" w:firstLine="314"/>
        <w:rPr>
          <w:rFonts w:ascii="仿宋_GB2312" w:eastAsia="仿宋_GB2312"/>
          <w:b/>
          <w:bCs/>
          <w:color w:val="000000"/>
          <w:sz w:val="32"/>
          <w:szCs w:val="32"/>
        </w:rPr>
      </w:pPr>
      <w:bookmarkStart w:id="52" w:name="_Toc15377215"/>
      <w:r>
        <w:rPr>
          <w:rFonts w:ascii="仿宋_GB2312" w:eastAsia="仿宋_GB2312" w:cs="仿宋_GB2312" w:hint="eastAsia"/>
          <w:sz w:val="32"/>
          <w:szCs w:val="32"/>
        </w:rPr>
        <w:t>2022年度一般公共预算财政拨款基本支出574.48万元，其中：</w:t>
      </w:r>
    </w:p>
    <w:p>
      <w:pPr>
        <w:snapToGrid w:val="0"/>
        <w:spacing w:line="540" w:lineRule="exact"/>
        <w:ind w:firstLineChars="100" w:firstLine="320"/>
        <w:rPr>
          <w:rFonts w:ascii="仿宋_GB2312" w:eastAsia="仿宋_GB2312"/>
          <w:b/>
          <w:bCs/>
          <w:color w:val="000000"/>
          <w:sz w:val="32"/>
          <w:szCs w:val="32"/>
        </w:rPr>
      </w:pPr>
      <w:r>
        <w:rPr>
          <w:rFonts w:ascii="仿宋_GB2312" w:eastAsia="仿宋_GB2312" w:cs="仿宋_GB2312" w:hint="eastAsia"/>
          <w:sz w:val="32"/>
          <w:szCs w:val="32"/>
        </w:rPr>
        <w:t>人员经费553.24万元，主要包括：基本工资106.11万元、津贴补贴107.05万元、奖金84.20万元、绩效工资15.43万元、机关事业单位基本养老保险缴费41.89万元、职业年金缴费20.94万元、职工基本医疗保险缴费19.47万元、公务员医疗补助5.32万元、其他社会保障缴费5.74万元、住房公积金36.43万元、其他工资福利支出41.61万元、生活补助9.03万元、 奖励金59.99万元 。</w:t>
      </w:r>
    </w:p>
    <w:p>
      <w:pPr>
        <w:snapToGrid w:val="0"/>
        <w:spacing w:line="540" w:lineRule="exact"/>
        <w:ind w:firstLineChars="196" w:firstLine="627"/>
        <w:rPr>
          <w:rFonts w:ascii="仿宋" w:eastAsia="仿宋" w:cs="仿宋_GB2312"/>
          <w:sz w:val="32"/>
          <w:szCs w:val="32"/>
        </w:rPr>
      </w:pPr>
      <w:r>
        <w:rPr>
          <w:rFonts w:ascii="仿宋_GB2312" w:eastAsia="仿宋_GB2312" w:cs="仿宋_GB2312" w:hint="eastAsia"/>
          <w:sz w:val="32"/>
          <w:szCs w:val="32"/>
        </w:rPr>
        <w:t>公用经费21.24万元，主要包括：办公费5.92万元、水费0.11万元、电费0.26万元、邮电费1.10万元、差旅费2万元、维修(护)费1.99万元、劳务费0.36万元,福利费0.50万元, 公务用车运行维护费7万元、其他交通费支出2万元</w:t>
      </w:r>
      <w:r>
        <w:rPr>
          <w:rFonts w:ascii="仿宋" w:eastAsia="仿宋" w:cs="仿宋_GB2312" w:hint="eastAsia"/>
          <w:sz w:val="32"/>
          <w:szCs w:val="32"/>
        </w:rPr>
        <w:t xml:space="preserve">。 </w:t>
      </w:r>
    </w:p>
    <w:p>
      <w:pPr>
        <w:spacing w:line="600" w:lineRule="exact"/>
        <w:ind w:firstLineChars="200" w:firstLine="640"/>
        <w:outlineLvl w:val="1"/>
        <w:rPr>
          <w:rStyle w:val="26"/>
          <w:rFonts w:ascii="黑体" w:eastAsia="黑体"/>
          <w:b w:val="0"/>
        </w:rPr>
      </w:pPr>
      <w:bookmarkStart w:id="53" w:name="_Toc146125648"/>
      <w:r>
        <w:rPr>
          <w:rFonts w:ascii="黑体" w:eastAsia="黑体" w:hint="eastAsia"/>
          <w:color w:val="000000"/>
          <w:sz w:val="32"/>
          <w:szCs w:val="32"/>
        </w:rPr>
        <w:t>七、</w:t>
      </w:r>
      <w:r>
        <w:rPr>
          <w:rStyle w:val="26"/>
          <w:rFonts w:ascii="黑体" w:eastAsia="黑体" w:hint="eastAsia"/>
        </w:rPr>
        <w:t>“</w:t>
      </w:r>
      <w:r>
        <w:rPr>
          <w:rStyle w:val="26"/>
          <w:rFonts w:ascii="黑体" w:eastAsia="黑体" w:hint="eastAsia"/>
          <w:b w:val="0"/>
        </w:rPr>
        <w:t>三公”经费财政拨款支出决算情况说明</w:t>
      </w:r>
      <w:bookmarkEnd w:id="52"/>
      <w:bookmarkEnd w:id="53"/>
    </w:p>
    <w:p>
      <w:pPr>
        <w:spacing w:line="600" w:lineRule="exact"/>
        <w:ind w:firstLine="640"/>
        <w:outlineLvl w:val="2"/>
        <w:rPr>
          <w:rFonts w:ascii="仿宋_GB2312" w:eastAsia="仿宋_GB2312"/>
          <w:b/>
          <w:color w:val="000000"/>
          <w:sz w:val="32"/>
          <w:szCs w:val="32"/>
        </w:rPr>
      </w:pPr>
      <w:bookmarkStart w:id="54" w:name="_Toc15377216"/>
      <w:r>
        <w:rPr>
          <w:rFonts w:ascii="仿宋_GB2312" w:eastAsia="仿宋_GB2312" w:hint="eastAsia"/>
          <w:b/>
          <w:color w:val="000000"/>
          <w:sz w:val="32"/>
          <w:szCs w:val="32"/>
        </w:rPr>
        <w:t>（一）“三公”经费财政拨款支出决算总体情况说明</w:t>
      </w:r>
      <w:bookmarkEnd w:id="54"/>
    </w:p>
    <w:p>
      <w:pPr>
        <w:snapToGrid w:val="0"/>
        <w:spacing w:line="540" w:lineRule="exact"/>
        <w:ind w:firstLineChars="98" w:firstLine="314"/>
        <w:rPr>
          <w:rFonts w:ascii="仿宋_GB2312" w:eastAsia="仿宋_GB2312"/>
          <w:b/>
          <w:bCs/>
          <w:color w:val="000000"/>
          <w:sz w:val="32"/>
          <w:szCs w:val="32"/>
        </w:rPr>
      </w:pPr>
      <w:bookmarkStart w:id="55" w:name="_Toc15377217"/>
      <w:r>
        <w:rPr>
          <w:rFonts w:ascii="仿宋_GB2312" w:eastAsia="仿宋_GB2312" w:cs="仿宋_GB2312" w:hint="eastAsia"/>
          <w:sz w:val="32"/>
          <w:szCs w:val="32"/>
        </w:rPr>
        <w:t>2022年度“三公”经费财政拨款支出决算</w:t>
      </w:r>
      <w:r>
        <w:rPr>
          <w:rFonts w:ascii="仿宋_GB2312" w:eastAsia="仿宋_GB2312" w:hint="eastAsia"/>
          <w:color w:val="333333"/>
          <w:sz w:val="32"/>
          <w:szCs w:val="32"/>
        </w:rPr>
        <w:t>数为7万元</w:t>
      </w:r>
      <w:r>
        <w:rPr>
          <w:rFonts w:ascii="仿宋_GB2312" w:eastAsia="仿宋_GB2312" w:cs="仿宋_GB2312" w:hint="eastAsia"/>
          <w:sz w:val="32"/>
          <w:szCs w:val="32"/>
        </w:rPr>
        <w:t>，完成预算数75.27%，预算数为9.30万元，决算数为7万元，决算比预算较少2.3万元，减少的主要原因是</w:t>
      </w:r>
      <w:r>
        <w:rPr>
          <w:rFonts w:ascii="仿宋_GB2312" w:eastAsia="仿宋_GB2312" w:cs="仿宋" w:hint="eastAsia"/>
          <w:color w:val="000000"/>
          <w:sz w:val="32"/>
          <w:szCs w:val="32"/>
        </w:rPr>
        <w:t xml:space="preserve">我单位厉行勤俭节约，严格控制“三公”经费支出 </w:t>
      </w:r>
      <w:r>
        <w:rPr>
          <w:rFonts w:ascii="仿宋_GB2312" w:eastAsia="仿宋_GB2312" w:cs="仿宋_GB2312" w:hint="eastAsia"/>
          <w:sz w:val="32"/>
          <w:szCs w:val="32"/>
        </w:rPr>
        <w:t>。</w:t>
      </w:r>
    </w:p>
    <w:p>
      <w:pPr>
        <w:spacing w:line="600" w:lineRule="exact"/>
        <w:ind w:firstLine="640"/>
        <w:outlineLvl w:val="2"/>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bookmarkEnd w:id="55"/>
    </w:p>
    <w:p>
      <w:pPr>
        <w:spacing w:line="600" w:lineRule="exact"/>
        <w:ind w:firstLine="640"/>
        <w:rPr>
          <w:rFonts w:ascii="仿宋_GB2312" w:eastAsia="仿宋_GB2312"/>
          <w:color w:val="000000"/>
          <w:sz w:val="32"/>
          <w:szCs w:val="32"/>
        </w:rPr>
      </w:pPr>
      <w:r>
        <w:rPr>
          <w:rFonts w:ascii="仿宋_GB2312" w:eastAsia="仿宋_GB2312" w:hint="eastAsia"/>
          <w:color w:val="333333"/>
          <w:sz w:val="32"/>
          <w:szCs w:val="32"/>
        </w:rPr>
        <w:t>2022年度“三公”经费财政拨款支出决算数为7万元，因公出国（境）费0万元；公务用车购置及运行维护费支出决算7万元，</w:t>
      </w:r>
      <w:r>
        <w:rPr>
          <w:rFonts w:ascii="仿宋_GB2312" w:eastAsia="仿宋_GB2312" w:hint="eastAsia"/>
          <w:color w:val="000000"/>
          <w:sz w:val="32"/>
          <w:szCs w:val="32"/>
        </w:rPr>
        <w:t>占100%</w:t>
      </w:r>
      <w:r>
        <w:rPr>
          <w:rFonts w:ascii="仿宋_GB2312" w:eastAsia="仿宋_GB2312" w:hint="eastAsia"/>
          <w:color w:val="333333"/>
          <w:sz w:val="32"/>
          <w:szCs w:val="32"/>
        </w:rPr>
        <w:t>；公务接待费支出决算0万元，</w:t>
      </w:r>
      <w:r>
        <w:rPr>
          <w:rFonts w:ascii="仿宋_GB2312" w:eastAsia="仿宋_GB2312" w:hint="eastAsia"/>
          <w:color w:val="000000"/>
          <w:sz w:val="32"/>
          <w:szCs w:val="32"/>
        </w:rPr>
        <w:t>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19" behindDoc="0" locked="0" layoutInCell="1" hidden="0" allowOverlap="1">
            <wp:simplePos x="0" y="0"/>
            <wp:positionH relativeFrom="column">
              <wp:posOffset>239395</wp:posOffset>
            </wp:positionH>
            <wp:positionV relativeFrom="paragraph">
              <wp:posOffset>147320</wp:posOffset>
            </wp:positionV>
            <wp:extent cx="5071109" cy="2591435"/>
            <wp:effectExtent l="0" t="0" r="0" b="0"/>
            <wp:wrapTopAndBottom/>
            <wp:docPr id="6" name="图表 2"/>
            <wp:cNvGraphicFramePr>
              <a:graphicFrameLocks noChangeAspect="0"/>
            </wp:cNvGraphicFramePr>
            <a:graphic>
              <a:graphicData uri="http://schemas.openxmlformats.org/drawingml/2006/chart">
                <c:chart xmlns:c="http://schemas.openxmlformats.org/drawingml/2006/chart" r:id="rId9"/>
              </a:graphicData>
            </a:graphic>
          </wp:anchor>
        </w:drawing>
      </w:r>
    </w:p>
    <w:p>
      <w:pPr>
        <w:snapToGrid w:val="0"/>
        <w:spacing w:line="540" w:lineRule="exact"/>
        <w:ind w:firstLineChars="150" w:firstLine="480"/>
        <w:rPr>
          <w:rFonts w:ascii="仿宋_GB2312" w:eastAsia="仿宋_GB2312"/>
          <w:b/>
          <w:bCs/>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Fonts w:ascii="仿宋_GB2312" w:eastAsia="仿宋_GB2312" w:cs="仿宋_GB2312" w:hint="eastAsia"/>
          <w:sz w:val="32"/>
          <w:szCs w:val="32"/>
        </w:rPr>
        <w:t>全年安排因公出国（境）团组0次，出国（境）0人。因公出国（境）支出决算比2021年比无变化。</w:t>
      </w:r>
    </w:p>
    <w:p>
      <w:pPr>
        <w:snapToGrid w:val="0"/>
        <w:spacing w:line="540" w:lineRule="exact"/>
        <w:ind w:firstLineChars="150" w:firstLine="480"/>
        <w:rPr>
          <w:rFonts w:ascii="仿宋_GB2312" w:eastAsia="仿宋_GB2312" w:cs="仿宋"/>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 w:eastAsia="仿宋" w:cs="仿宋_GB2312" w:hint="eastAsia"/>
          <w:sz w:val="32"/>
          <w:szCs w:val="32"/>
        </w:rPr>
        <w:t>：</w:t>
      </w:r>
      <w:r>
        <w:rPr>
          <w:rFonts w:ascii="仿宋_GB2312" w:eastAsia="仿宋_GB2312" w:cs="仿宋_GB2312" w:hint="eastAsia"/>
          <w:sz w:val="32"/>
          <w:szCs w:val="32"/>
        </w:rPr>
        <w:t>公务用车购置支出0万元。公务用车运行维护费支出7 万元。均用于开展人社工作日常事务时车辆的燃料费、维修费、过路过桥费、保险费等支出，公务用车购置及运行维护费支出决算比2021年 减少2 万元，减少22% 。</w:t>
      </w:r>
      <w:r>
        <w:rPr>
          <w:rFonts w:ascii="仿宋_GB2312" w:eastAsia="仿宋_GB2312" w:cs="仿宋" w:hint="eastAsia"/>
          <w:color w:val="000000"/>
          <w:sz w:val="32"/>
          <w:szCs w:val="32"/>
        </w:rPr>
        <w:t>主要原因是：我单位厉行勤俭节约，严格控制“三公”经费支出 。</w:t>
      </w:r>
    </w:p>
    <w:p>
      <w:pPr>
        <w:numPr>
          <w:ilvl w:val="0"/>
          <w:numId w:val="2"/>
        </w:numPr>
        <w:tabs>
          <w:tab w:val="clear" w:pos="0"/>
          <w:tab w:val="left" w:pos="0"/>
        </w:tabs>
        <w:spacing w:line="600" w:lineRule="exact"/>
        <w:ind w:left="0" w:firstLine="640"/>
        <w:rPr>
          <w:rFonts w:ascii="仿宋_GB2312" w:eastAsia="仿宋_GB2312" w:cs="仿宋"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万元，完成预算100%</w:t>
      </w:r>
      <w:r>
        <w:rPr>
          <w:rStyle w:val="23"/>
          <w:rFonts w:ascii="仿宋" w:eastAsia="仿宋" w:hint="eastAsia"/>
          <w:b w:val="0"/>
          <w:bCs/>
          <w:color w:val="000000"/>
          <w:sz w:val="32"/>
          <w:szCs w:val="32"/>
        </w:rPr>
        <w:t>。</w:t>
      </w:r>
      <w:r>
        <w:rPr>
          <w:rFonts w:ascii="仿宋_GB2312" w:eastAsia="仿宋_GB2312" w:cs="仿宋" w:hint="eastAsia"/>
          <w:color w:val="000000"/>
          <w:sz w:val="32"/>
          <w:szCs w:val="32"/>
          <w:lang w:bidi="ar-SA"/>
        </w:rPr>
        <w:t>公务接待费</w:t>
      </w:r>
      <w:r>
        <w:rPr>
          <w:rFonts w:ascii="仿宋_GB2312" w:eastAsia="仿宋_GB2312" w:cs="仿宋" w:hint="eastAsia"/>
          <w:color w:val="000000"/>
          <w:sz w:val="32"/>
          <w:szCs w:val="32"/>
          <w:lang w:bidi="ar-SA"/>
        </w:rPr>
        <w:t>0</w:t>
      </w:r>
      <w:r>
        <w:rPr>
          <w:rFonts w:ascii="仿宋_GB2312" w:eastAsia="仿宋_GB2312" w:cs="仿宋" w:hint="eastAsia"/>
          <w:color w:val="000000"/>
          <w:sz w:val="32"/>
          <w:szCs w:val="32"/>
          <w:lang w:bidi="ar-SA"/>
        </w:rPr>
        <w:t>万元，较上年减少</w:t>
      </w:r>
      <w:r>
        <w:rPr>
          <w:rFonts w:ascii="仿宋_GB2312" w:eastAsia="仿宋_GB2312" w:cs="仿宋" w:hint="eastAsia"/>
          <w:color w:val="000000"/>
          <w:sz w:val="32"/>
          <w:szCs w:val="32"/>
          <w:lang w:bidi="ar-SA"/>
        </w:rPr>
        <w:t>0</w:t>
      </w:r>
      <w:r>
        <w:rPr>
          <w:rFonts w:ascii="仿宋_GB2312" w:eastAsia="仿宋_GB2312" w:cs="仿宋" w:hint="eastAsia"/>
          <w:color w:val="000000"/>
          <w:sz w:val="32"/>
          <w:szCs w:val="32"/>
          <w:lang w:bidi="ar-SA"/>
        </w:rPr>
        <w:t>万元。</w:t>
      </w:r>
      <w:r>
        <w:rPr>
          <w:rFonts w:ascii="仿宋_GB2312" w:eastAsia="仿宋_GB2312" w:hint="eastAsia"/>
          <w:color w:val="000000"/>
          <w:sz w:val="32"/>
          <w:szCs w:val="32"/>
        </w:rPr>
        <w:t>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640"/>
        <w:outlineLvl w:val="1"/>
        <w:rPr>
          <w:rStyle w:val="26"/>
          <w:rFonts w:ascii="黑体" w:eastAsia="黑体"/>
        </w:rPr>
      </w:pPr>
      <w:bookmarkStart w:id="56" w:name="_Toc15377218"/>
      <w:bookmarkStart w:id="57" w:name="_Toc146125651"/>
      <w:r>
        <w:rPr>
          <w:rFonts w:ascii="黑体" w:eastAsia="黑体" w:hint="eastAsia"/>
          <w:color w:val="000000"/>
          <w:sz w:val="32"/>
          <w:szCs w:val="32"/>
        </w:rPr>
        <w:t>八、</w:t>
      </w:r>
      <w:r>
        <w:rPr>
          <w:rStyle w:val="26"/>
          <w:rFonts w:ascii="黑体" w:eastAsia="黑体" w:hint="eastAsia"/>
          <w:b w:val="0"/>
        </w:rPr>
        <w:t>政府性基金预算支出决算情况说明</w:t>
      </w:r>
      <w:bookmarkEnd w:id="56"/>
      <w:bookmarkEnd w:id="5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22年政府性基金预算拨款支出0万元。</w:t>
      </w:r>
    </w:p>
    <w:p>
      <w:pPr>
        <w:numPr>
          <w:ilvl w:val="0"/>
          <w:numId w:val="3"/>
        </w:numPr>
        <w:spacing w:line="600" w:lineRule="exact"/>
        <w:ind w:left="0" w:firstLine="640"/>
        <w:outlineLvl w:val="1"/>
        <w:rPr>
          <w:rStyle w:val="26"/>
          <w:rFonts w:ascii="黑体" w:eastAsia="黑体"/>
          <w:b w:val="0"/>
        </w:rPr>
      </w:pPr>
      <w:bookmarkStart w:id="58" w:name="_Toc15377219"/>
      <w:bookmarkStart w:id="59" w:name="_Toc146125652"/>
      <w:r>
        <w:rPr>
          <w:rStyle w:val="26"/>
          <w:rFonts w:ascii="黑体" w:eastAsia="黑体" w:hint="eastAsia"/>
          <w:b w:val="0"/>
        </w:rPr>
        <w:t>国有资本经营预算支出决算情况说明</w:t>
      </w:r>
      <w:bookmarkEnd w:id="58"/>
      <w:bookmarkEnd w:id="5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22年国有资本经营预算拨款支出0万元。</w:t>
      </w:r>
    </w:p>
    <w:p>
      <w:pPr>
        <w:numPr>
          <w:ilvl w:val="0"/>
          <w:numId w:val="3"/>
        </w:numPr>
        <w:spacing w:line="600" w:lineRule="exact"/>
        <w:ind w:left="0" w:firstLine="640"/>
        <w:outlineLvl w:val="1"/>
        <w:rPr>
          <w:rStyle w:val="26"/>
          <w:rFonts w:ascii="黑体" w:eastAsia="黑体"/>
          <w:b w:val="0"/>
          <w:color w:val="000000"/>
        </w:rPr>
      </w:pPr>
      <w:bookmarkStart w:id="60" w:name="_Toc146125653"/>
      <w:r>
        <w:rPr>
          <w:rStyle w:val="26"/>
          <w:rFonts w:ascii="黑体" w:eastAsia="黑体" w:hint="eastAsia"/>
          <w:b w:val="0"/>
          <w:color w:val="000000"/>
        </w:rPr>
        <w:t>预算绩效情况说明</w:t>
      </w:r>
      <w:bookmarkEnd w:id="60"/>
    </w:p>
    <w:p>
      <w:pPr>
        <w:spacing w:line="600" w:lineRule="exact"/>
        <w:ind w:firstLine="640"/>
        <w:outlineLvl w:val="2"/>
        <w:rPr>
          <w:rFonts w:ascii="仿宋_GB2312" w:eastAsia="仿宋_GB2312"/>
          <w:b/>
          <w:color w:val="000000"/>
          <w:sz w:val="32"/>
          <w:szCs w:val="32"/>
        </w:rPr>
      </w:pPr>
      <w:r>
        <w:rPr>
          <w:rFonts w:ascii="仿宋_GB2312" w:eastAsia="仿宋_GB2312" w:hint="eastAsia"/>
          <w:b/>
          <w:color w:val="000000"/>
          <w:sz w:val="32"/>
          <w:szCs w:val="32"/>
        </w:rPr>
        <w:t>（一）预算绩效管理工作开展情况。</w:t>
      </w:r>
    </w:p>
    <w:p>
      <w:pPr>
        <w:pStyle w:val="31"/>
        <w:spacing w:line="580" w:lineRule="exact"/>
        <w:rPr>
          <w:rFonts w:ascii="仿宋_GB2312" w:eastAsia="仿宋_GB2312" w:cs="仿宋_GB2312"/>
          <w:sz w:val="32"/>
          <w:szCs w:val="32"/>
        </w:rPr>
      </w:pPr>
      <w:r>
        <w:rPr>
          <w:rFonts w:ascii="仿宋_GB2312" w:eastAsia="仿宋_GB2312" w:cs="仿宋_GB2312" w:hint="eastAsia"/>
          <w:sz w:val="32"/>
          <w:szCs w:val="32"/>
        </w:rPr>
        <w:t>本部门按要求对2022年部门整体支出开展绩效自评，</w:t>
      </w:r>
      <w:r>
        <w:rPr>
          <w:rFonts w:ascii="仿宋_GB2312" w:eastAsia="仿宋_GB2312" w:hint="eastAsia"/>
          <w:sz w:val="32"/>
          <w:szCs w:val="32"/>
        </w:rPr>
        <w:t>经全面综合评价，我单位预算支出绩效自评得分86</w:t>
      </w:r>
      <w:r>
        <w:rPr>
          <w:rFonts w:ascii="仿宋_GB2312" w:eastAsia="仿宋_GB2312" w:hint="eastAsia"/>
          <w:color w:val="000000"/>
          <w:sz w:val="32"/>
          <w:szCs w:val="32"/>
        </w:rPr>
        <w:t>分</w:t>
      </w:r>
      <w:r>
        <w:rPr>
          <w:rFonts w:ascii="仿宋_GB2312" w:eastAsia="仿宋_GB2312" w:hint="eastAsia"/>
          <w:sz w:val="32"/>
          <w:szCs w:val="32"/>
        </w:rPr>
        <w:t xml:space="preserve"> 。我单位深入贯彻落实十九大关于“全面实施绩效管理”的要求，努力提升本单位绩效预算管理业务水平。加大资金使用效率，提升服务管理水平。</w:t>
      </w:r>
      <w:r>
        <w:rPr>
          <w:rFonts w:ascii="仿宋_GB2312" w:eastAsia="仿宋_GB2312" w:cs="仿宋_GB2312" w:hint="eastAsia"/>
          <w:sz w:val="32"/>
          <w:szCs w:val="32"/>
        </w:rPr>
        <w:t xml:space="preserve">本单位还组织了1个项目即“三支一扶”专项补助项目绩效评价，从评价情况来看我单位加快执行力度，提高财政资金的使用效益，严格按照规定时间节点完成各个环节工作，确保了2022年度高校毕业生“三支一扶”工作顺利开展。 </w:t>
      </w:r>
    </w:p>
    <w:p>
      <w:pPr>
        <w:spacing w:line="600" w:lineRule="exact"/>
        <w:ind w:firstLineChars="200" w:firstLine="640"/>
        <w:outlineLvl w:val="2"/>
        <w:rPr>
          <w:rFonts w:ascii="仿宋_GB2312" w:eastAsia="仿宋_GB2312"/>
          <w:b/>
          <w:color w:val="000000"/>
          <w:sz w:val="32"/>
          <w:szCs w:val="32"/>
        </w:rPr>
      </w:pPr>
      <w:r>
        <w:rPr>
          <w:rFonts w:ascii="仿宋_GB2312" w:eastAsia="仿宋_GB2312" w:hint="eastAsia"/>
          <w:b/>
          <w:color w:val="000000"/>
          <w:sz w:val="32"/>
          <w:szCs w:val="32"/>
        </w:rPr>
        <w:t>（二）项目绩效目标完成情况。</w:t>
      </w:r>
    </w:p>
    <w:p>
      <w:pPr>
        <w:adjustRightInd w:val="0"/>
        <w:snapToGrid w:val="0"/>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w:t>
      </w:r>
      <w:r>
        <w:rPr>
          <w:rFonts w:ascii="仿宋_GB2312" w:eastAsia="仿宋_GB2312" w:cs="仿宋_GB2312" w:hint="eastAsia"/>
          <w:sz w:val="32"/>
          <w:szCs w:val="32"/>
        </w:rPr>
        <w:t>三支一扶”专项资金严格按照文件要求执行，按时发放到位，对照预算计划完成目标。“三支一扶”专项资金共计72.52元，预算资金到位72.52元，执行率100.00%。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(2022年度)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w:t>
            </w:r>
            <w:r>
              <w:rPr>
                <w:rFonts w:ascii="宋体" w:cs="宋体" w:hint="eastAsia"/>
                <w:color w:val="000000"/>
                <w:kern w:val="0"/>
                <w:sz w:val="24"/>
              </w:rPr>
              <w:t>三支一扶</w:t>
            </w:r>
            <w:r>
              <w:rPr>
                <w:rFonts w:ascii="宋体" w:cs="宋体"/>
                <w:color w:val="000000"/>
                <w:kern w:val="0"/>
                <w:sz w:val="24"/>
              </w:rPr>
              <w:t>”</w:t>
            </w:r>
            <w:r>
              <w:rPr>
                <w:rFonts w:ascii="宋体" w:cs="宋体" w:hint="eastAsia"/>
                <w:color w:val="000000"/>
                <w:kern w:val="0"/>
                <w:sz w:val="24"/>
              </w:rPr>
              <w:t>专项补助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金川县人力资源和社会保障局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72.52万元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72.52万元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72.52万元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72.52万元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42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 xml:space="preserve">按时完成我县“三支一扶”人员工资、保险等支付 </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 xml:space="preserve"> 14名“三支一扶”工作人员</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2022年12月31日前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hint="eastAsia"/>
                <w:bCs/>
                <w:color w:val="000000"/>
                <w:lang w:val="zh-CN"/>
              </w:rPr>
              <w:t>工资及保险按季度一次拨付给“三支一扶”人员用人单位，用人单位按月及时为</w:t>
            </w:r>
            <w:r>
              <w:rPr>
                <w:rFonts w:ascii="仿宋_GB2312" w:eastAsia="仿宋_GB2312" w:hint="eastAsia"/>
                <w:bCs/>
              </w:rPr>
              <w:t>“</w:t>
            </w:r>
            <w:r>
              <w:rPr>
                <w:rFonts w:ascii="仿宋_GB2312" w:eastAsia="仿宋_GB2312" w:hint="eastAsia"/>
                <w:bCs/>
                <w:color w:val="000000"/>
                <w:lang w:val="zh-CN"/>
              </w:rPr>
              <w:t>三支一扶”人员发放工资并及时缴纳保险。培训费按州级通知及时支付到培训机构账户。体检费按时支付到体检医院账户</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工资、保险、安家费、体检费均按文件标准拨付</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72.52万元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color w:val="FF0000"/>
        </w:rPr>
      </w:pPr>
    </w:p>
    <w:p>
      <w:pPr>
        <w:rPr>
          <w:rFonts w:ascii="Calibri" w:hAnsi="Calibri"/>
          <w:color w:val="FF0000"/>
        </w:rPr>
      </w:pPr>
    </w:p>
    <w:p>
      <w:pPr>
        <w:spacing w:line="600" w:lineRule="exact"/>
        <w:ind w:firstLineChars="200" w:firstLine="640"/>
        <w:outlineLvl w:val="2"/>
        <w:rPr>
          <w:rFonts w:ascii="仿宋" w:eastAsia="仿宋" w:cs="仿宋_GB2312"/>
          <w:color w:val="000000"/>
          <w:sz w:val="32"/>
          <w:szCs w:val="32"/>
        </w:rPr>
      </w:pPr>
      <w:r>
        <w:rPr>
          <w:rFonts w:ascii="仿宋" w:eastAsia="仿宋" w:cs="楷体_GB2312" w:hint="eastAsia"/>
          <w:b/>
          <w:bCs/>
          <w:color w:val="000000"/>
          <w:sz w:val="32"/>
          <w:szCs w:val="32"/>
        </w:rPr>
        <w:t>（三）部门开展绩效评价结果。</w:t>
      </w:r>
    </w:p>
    <w:p>
      <w:pPr>
        <w:spacing w:line="58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本部门按要求对2022年部门整体支出绩效评价情况开展自评，</w:t>
      </w:r>
      <w:r>
        <w:rPr>
          <w:rFonts w:ascii="仿宋_GB2312" w:eastAsia="仿宋_GB2312" w:hint="eastAsia"/>
          <w:color w:val="000000"/>
          <w:sz w:val="32"/>
          <w:szCs w:val="32"/>
        </w:rPr>
        <w:t>《金川县人力资源和社会保障局2022年部门预算整体支出绩效评价报告》</w:t>
      </w:r>
      <w:r>
        <w:rPr>
          <w:rFonts w:ascii="仿宋_GB2312" w:eastAsia="仿宋_GB2312" w:cs="仿宋_GB2312" w:hint="eastAsia"/>
          <w:color w:val="000000"/>
          <w:sz w:val="32"/>
          <w:szCs w:val="32"/>
        </w:rPr>
        <w:t>见附件。</w:t>
      </w:r>
    </w:p>
    <w:p>
      <w:pPr>
        <w:spacing w:line="600" w:lineRule="exact"/>
        <w:ind w:firstLineChars="200" w:firstLine="640"/>
        <w:outlineLvl w:val="1"/>
        <w:rPr>
          <w:rStyle w:val="26"/>
          <w:rFonts w:ascii="黑体" w:eastAsia="黑体"/>
          <w:color w:val="000000"/>
        </w:rPr>
      </w:pPr>
      <w:bookmarkStart w:id="61" w:name="_Toc15377221"/>
      <w:bookmarkStart w:id="62" w:name="_Toc146125654"/>
      <w:r>
        <w:rPr>
          <w:rFonts w:ascii="黑体" w:eastAsia="黑体" w:hint="eastAsia"/>
          <w:color w:val="000000"/>
          <w:sz w:val="32"/>
          <w:szCs w:val="32"/>
        </w:rPr>
        <w:t>十</w:t>
      </w:r>
      <w:r>
        <w:rPr>
          <w:rStyle w:val="26"/>
          <w:rFonts w:ascii="黑体" w:eastAsia="黑体" w:hint="eastAsia"/>
          <w:color w:val="000000"/>
        </w:rPr>
        <w:t>一、</w:t>
      </w:r>
      <w:r>
        <w:rPr>
          <w:rStyle w:val="26"/>
          <w:rFonts w:ascii="黑体" w:eastAsia="黑体" w:hint="eastAsia"/>
          <w:b w:val="0"/>
          <w:color w:val="000000"/>
        </w:rPr>
        <w:t>其他重要事项的情况说明</w:t>
      </w:r>
      <w:bookmarkEnd w:id="61"/>
      <w:bookmarkEnd w:id="62"/>
    </w:p>
    <w:p>
      <w:pPr>
        <w:spacing w:line="600" w:lineRule="exact"/>
        <w:ind w:firstLineChars="200" w:firstLine="640"/>
        <w:outlineLvl w:val="2"/>
        <w:rPr>
          <w:rFonts w:ascii="仿宋" w:eastAsia="仿宋"/>
          <w:color w:val="000000"/>
          <w:sz w:val="32"/>
          <w:szCs w:val="32"/>
        </w:rPr>
      </w:pPr>
      <w:bookmarkStart w:id="63" w:name="_Toc15377222"/>
      <w:r>
        <w:rPr>
          <w:rFonts w:ascii="仿宋" w:eastAsia="仿宋" w:hint="eastAsia"/>
          <w:b/>
          <w:color w:val="000000"/>
          <w:sz w:val="32"/>
          <w:szCs w:val="32"/>
        </w:rPr>
        <w:t>（一）机关运行经费支出情况</w:t>
      </w:r>
      <w:bookmarkEnd w:id="63"/>
    </w:p>
    <w:p>
      <w:pPr>
        <w:spacing w:line="540" w:lineRule="exact"/>
        <w:ind w:firstLineChars="300" w:firstLine="960"/>
        <w:rPr>
          <w:rFonts w:ascii="仿宋_GB2312" w:eastAsia="仿宋_GB2312"/>
          <w:color w:val="000000"/>
          <w:sz w:val="32"/>
          <w:szCs w:val="32"/>
        </w:rPr>
      </w:pPr>
      <w:r>
        <w:rPr>
          <w:rFonts w:ascii="仿宋_GB2312" w:eastAsia="仿宋_GB2312" w:hint="eastAsia"/>
          <w:color w:val="000000"/>
          <w:sz w:val="32"/>
          <w:szCs w:val="32"/>
        </w:rPr>
        <w:t>2022年度，</w:t>
      </w:r>
      <w:r>
        <w:rPr>
          <w:rFonts w:ascii="仿宋_GB2312" w:eastAsia="仿宋_GB2312" w:hint="eastAsia"/>
          <w:color w:val="000000"/>
          <w:w w:val="90"/>
          <w:sz w:val="32"/>
          <w:szCs w:val="32"/>
        </w:rPr>
        <w:t>金川县人力资源和社会保障局</w:t>
      </w:r>
      <w:r>
        <w:rPr>
          <w:rFonts w:ascii="仿宋_GB2312" w:eastAsia="仿宋_GB2312" w:hint="eastAsia"/>
          <w:color w:val="000000"/>
          <w:sz w:val="32"/>
          <w:szCs w:val="32"/>
        </w:rPr>
        <w:t>机关运行经费  17.05 万元</w:t>
      </w:r>
      <w:r>
        <w:rPr>
          <w:rFonts w:ascii="仿宋_GB2312" w:eastAsia="仿宋_GB2312" w:hint="eastAsia"/>
          <w:sz w:val="32"/>
          <w:szCs w:val="32"/>
        </w:rPr>
        <w:t>。</w:t>
      </w:r>
      <w:r>
        <w:rPr>
          <w:rFonts w:ascii="仿宋_GB2312" w:eastAsia="仿宋_GB2312" w:hint="eastAsia"/>
          <w:color w:val="000000"/>
          <w:sz w:val="32"/>
          <w:szCs w:val="32"/>
        </w:rPr>
        <w:t>比2021年增加1.08万元，增长7%。主要是因为2</w:t>
      </w:r>
      <w:r>
        <w:rPr>
          <w:rFonts w:ascii="仿宋_GB2312" w:eastAsia="仿宋_GB2312"/>
          <w:color w:val="000000"/>
          <w:sz w:val="32"/>
          <w:szCs w:val="32"/>
        </w:rPr>
        <w:t>022</w:t>
      </w:r>
      <w:r>
        <w:rPr>
          <w:rFonts w:ascii="仿宋_GB2312" w:eastAsia="仿宋_GB2312" w:hint="eastAsia"/>
          <w:color w:val="000000"/>
          <w:sz w:val="32"/>
          <w:szCs w:val="32"/>
        </w:rPr>
        <w:t xml:space="preserve">年办公费用增加。 </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4" w:name="_Toc15377223"/>
      <w:r>
        <w:rPr>
          <w:rFonts w:ascii="仿宋" w:eastAsia="仿宋" w:hint="eastAsia"/>
          <w:b/>
          <w:color w:val="000000"/>
          <w:sz w:val="32"/>
          <w:szCs w:val="32"/>
        </w:rPr>
        <w:t>（二）政府采购支出情况</w:t>
      </w:r>
      <w:bookmarkEnd w:id="64"/>
    </w:p>
    <w:p>
      <w:pPr>
        <w:pStyle w:val="22"/>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bookmarkStart w:id="65" w:name="_Toc15377224"/>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6" w:name="_GoBack"/>
      <w:bookmarkEnd w:id="66"/>
      <w:r>
        <w:rPr>
          <w:rFonts w:ascii="仿宋" w:eastAsia="仿宋" w:hint="eastAsia"/>
          <w:b/>
          <w:color w:val="000000"/>
          <w:sz w:val="32"/>
          <w:szCs w:val="32"/>
        </w:rPr>
        <w:t>（三）国有资产占有使用情况</w:t>
      </w:r>
      <w:bookmarkEnd w:id="65"/>
    </w:p>
    <w:p>
      <w:pPr>
        <w:autoSpaceDE w:val="0"/>
        <w:autoSpaceDN w:val="0"/>
        <w:adjustRightInd w:val="0"/>
        <w:spacing w:line="54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截至2022年12月31日，我单位有公务用车辆2辆，均为一般公务用车；无单价50万元以上通用设备，无单价100万元以上专用设备。</w:t>
      </w:r>
    </w:p>
    <w:p>
      <w:pPr>
        <w:numPr>
          <w:ilvl w:val="0"/>
          <w:numId w:val="4"/>
        </w:numPr>
        <w:spacing w:line="600" w:lineRule="exact"/>
        <w:ind w:left="0" w:firstLineChars="150" w:firstLine="660"/>
        <w:jc w:val="center"/>
        <w:outlineLvl w:val="0"/>
        <w:rPr>
          <w:rFonts w:ascii="黑体" w:eastAsia="黑体"/>
          <w:bCs/>
          <w:color w:val="000000"/>
          <w:kern w:val="44"/>
          <w:sz w:val="44"/>
          <w:szCs w:val="44"/>
        </w:rPr>
      </w:pPr>
      <w:bookmarkStart w:id="67" w:name="_Toc15377225"/>
      <w:bookmarkStart w:id="68" w:name="_Toc146125655"/>
      <w:r>
        <w:rPr>
          <w:rFonts w:ascii="黑体" w:eastAsia="黑体" w:hint="eastAsia"/>
          <w:b/>
          <w:color w:val="000000"/>
          <w:sz w:val="44"/>
          <w:szCs w:val="44"/>
        </w:rPr>
        <w:t>名</w:t>
      </w:r>
      <w:r>
        <w:rPr>
          <w:rStyle w:val="25"/>
          <w:rFonts w:ascii="黑体" w:eastAsia="黑体" w:hint="eastAsia"/>
          <w:b w:val="0"/>
          <w:color w:val="000000"/>
        </w:rPr>
        <w:t>词解释</w:t>
      </w:r>
      <w:bookmarkEnd w:id="67"/>
      <w:bookmarkEnd w:id="68"/>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1.教育支出2050803培训支出： 反应各部门安排的用于培训的支出。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2.社会保障和就业支出2080101行政运行：反映行政单位的基本支出 </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3.社会保障和就业支出2080104综合业务管理 ：反映人力资源和社会保障管理方面综合性管理事务支出。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4.社会保障和就业支出2080105劳动保障监察：反映劳动保障监察事务支出 </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5.社会保障和就业支出2080150事业运行：反映事业单位的基本支出 </w:t>
      </w:r>
    </w:p>
    <w:p>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6.社会保障和就业支出2080199其他人力资源和社会保障局管理实务支出：</w:t>
      </w:r>
      <w:r>
        <w:rPr>
          <w:rFonts w:ascii="仿宋_GB2312" w:eastAsia="仿宋_GB2312" w:cs="仿宋_GB2312" w:hint="eastAsia"/>
          <w:color w:val="000000"/>
          <w:sz w:val="32"/>
          <w:szCs w:val="32"/>
        </w:rPr>
        <w:t>反映其他用于人力资源和社会保障局管理事务方面的支出。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7.社会保障和就业支出2080505机关事业单位基本养老保险缴费支出：反映机关事业单位实施养老保险制度的单位缴纳的基本养老保险费支出。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8.社会保障和就业支出2080506机关事业单位职业年金缴费支出：反映机关事业单位实施养老保险制度匝单位缴纳的职业年金支出。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9.卫生健康支出 2101101行政单位医疗：反映财政部门集中安排的行政单位基本医疗保险缴费缴费经费。</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10.卫生健康支出 2101102事业单位医疗：反映财政部门集中安排的事业单位基本医疗保险缴费缴费经费。</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11.卫生健康支出 2101103公务员医疗补助：反映财政部门集中安排的公务员医疗补助经费。</w:t>
      </w:r>
    </w:p>
    <w:p>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12. 卫生健康支出 2101199其他行政事业单位医疗支出：反</w:t>
      </w:r>
      <w:r>
        <w:rPr>
          <w:rFonts w:ascii="仿宋_GB2312" w:eastAsia="仿宋_GB2312" w:cs="仿宋_GB2312" w:hint="eastAsia"/>
          <w:color w:val="000000"/>
          <w:sz w:val="32"/>
          <w:szCs w:val="32"/>
        </w:rPr>
        <w:t>用于医疗保障方面的支出。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13.住房保障支出2210201住房公积金：反映行政事业单位按人力资源和社会保障部、财政部规定的基本工资和津贴补贴以及规定比例为职工缴纳的住房公积金。</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14.年末结转和结余：指本年度或以前年度预算安排、因客观条件发生变化无法按原计划实施，需延迟到以后年度按有关规定继续使用的资金。</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15.基本支出：指为保障机构正常运转、完成日常工作任务而发生的人员支出和公用支出。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16.项目支出：指在基本支出之外为完成特定行政任务和事业发展目标所发生的支出。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17.“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Style w:val="30"/>
        <w:spacing w:line="560" w:lineRule="exact"/>
        <w:ind w:firstLineChars="200" w:firstLine="640"/>
        <w:rPr>
          <w:rFonts w:ascii="仿宋_GB2312" w:eastAsia="仿宋_GB2312"/>
          <w:sz w:val="32"/>
          <w:szCs w:val="32"/>
        </w:rPr>
      </w:pPr>
    </w:p>
    <w:p>
      <w:pPr>
        <w:spacing w:line="600" w:lineRule="exact"/>
        <w:jc w:val="center"/>
        <w:outlineLvl w:val="0"/>
        <w:rPr>
          <w:rFonts w:ascii="黑体" w:eastAsia="黑体"/>
          <w:color w:val="FF0000"/>
          <w:sz w:val="44"/>
          <w:szCs w:val="44"/>
        </w:rPr>
      </w:pPr>
      <w:bookmarkStart w:id="69" w:name="_Toc15377226"/>
      <w:bookmarkStart w:id="70" w:name="_Toc15396614"/>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outlineLvl w:val="0"/>
        <w:rPr>
          <w:rFonts w:ascii="黑体" w:eastAsia="黑体"/>
          <w:color w:val="FF0000"/>
          <w:sz w:val="44"/>
          <w:szCs w:val="44"/>
        </w:rPr>
      </w:pPr>
    </w:p>
    <w:p>
      <w:pPr>
        <w:pStyle w:val="2"/>
        <w:rPr>
          <w:rStyle w:val="25"/>
          <w:rFonts w:ascii="仿宋" w:eastAsia="仿宋"/>
          <w:color w:val="000000"/>
          <w:sz w:val="32"/>
          <w:szCs w:val="32"/>
        </w:rPr>
      </w:pPr>
      <w:bookmarkStart w:id="71" w:name="_Toc15396615"/>
      <w:bookmarkStart w:id="72" w:name="_Toc146125656"/>
      <w:r>
        <w:rPr>
          <w:rStyle w:val="25"/>
          <w:rFonts w:ascii="仿宋" w:eastAsia="仿宋" w:hint="eastAsia"/>
          <w:color w:val="000000"/>
          <w:sz w:val="32"/>
          <w:szCs w:val="32"/>
        </w:rPr>
        <w:t>附件1</w:t>
      </w:r>
      <w:bookmarkEnd w:id="71"/>
      <w:bookmarkEnd w:id="72"/>
    </w:p>
    <w:p>
      <w:pPr>
        <w:numPr>
          <w:ilvl w:val="0"/>
          <w:numId w:val="4"/>
        </w:numPr>
        <w:spacing w:line="600" w:lineRule="exact"/>
        <w:ind w:left="0" w:firstLineChars="150" w:firstLine="660"/>
        <w:jc w:val="center"/>
        <w:outlineLvl w:val="0"/>
        <w:rPr>
          <w:rFonts w:ascii="黑体" w:eastAsia="黑体"/>
          <w:bCs/>
          <w:color w:val="000000"/>
          <w:kern w:val="44"/>
          <w:sz w:val="44"/>
          <w:szCs w:val="44"/>
        </w:rPr>
      </w:pPr>
      <w:bookmarkStart w:id="73" w:name="_Toc146125657"/>
      <w:r>
        <w:rPr>
          <w:rStyle w:val="25"/>
          <w:rFonts w:ascii="黑体" w:eastAsia="黑体" w:hint="eastAsia"/>
          <w:b w:val="0"/>
          <w:color w:val="000000"/>
        </w:rPr>
        <w:t>附件</w:t>
      </w:r>
      <w:bookmarkEnd w:id="69"/>
      <w:bookmarkEnd w:id="70"/>
      <w:bookmarkEnd w:id="73"/>
    </w:p>
    <w:p>
      <w:pPr>
        <w:spacing w:line="560" w:lineRule="exact"/>
        <w:jc w:val="center"/>
        <w:rPr>
          <w:rFonts w:ascii="方正小标宋简体" w:eastAsia="方正小标宋简体" w:cs="方正小标宋简体"/>
          <w:b/>
          <w:bCs/>
          <w:sz w:val="44"/>
          <w:szCs w:val="44"/>
        </w:rPr>
      </w:pPr>
    </w:p>
    <w:p>
      <w:pPr>
        <w:spacing w:line="560" w:lineRule="exact"/>
        <w:jc w:val="center"/>
        <w:rPr>
          <w:rFonts w:ascii="方正小标宋简体" w:eastAsia="方正小标宋简体" w:cs="方正小标宋简体"/>
          <w:b/>
          <w:bCs/>
          <w:sz w:val="44"/>
          <w:szCs w:val="44"/>
        </w:rPr>
      </w:pPr>
      <w:r>
        <w:rPr>
          <w:rFonts w:ascii="方正小标宋简体" w:eastAsia="方正小标宋简体" w:cs="方正小标宋简体" w:hint="eastAsia"/>
          <w:b/>
          <w:bCs/>
          <w:sz w:val="44"/>
          <w:szCs w:val="44"/>
        </w:rPr>
        <w:t>2022年金川县人力资源和社会保障局</w:t>
      </w:r>
    </w:p>
    <w:p>
      <w:pPr>
        <w:spacing w:line="560" w:lineRule="exact"/>
        <w:jc w:val="center"/>
        <w:rPr>
          <w:rFonts w:ascii="方正小标宋简体" w:eastAsia="方正小标宋简体" w:cs="方正小标宋简体"/>
          <w:b/>
          <w:bCs/>
          <w:sz w:val="44"/>
          <w:szCs w:val="44"/>
        </w:rPr>
      </w:pPr>
      <w:r>
        <w:rPr>
          <w:rFonts w:ascii="方正小标宋简体" w:eastAsia="方正小标宋简体" w:cs="方正小标宋简体" w:hint="eastAsia"/>
          <w:b/>
          <w:bCs/>
          <w:sz w:val="44"/>
          <w:szCs w:val="44"/>
        </w:rPr>
        <w:t>部门整体支出绩效评价自评报告</w:t>
      </w:r>
    </w:p>
    <w:p>
      <w:pPr>
        <w:spacing w:line="560" w:lineRule="exact"/>
        <w:ind w:firstLineChars="200" w:firstLine="640"/>
        <w:rPr>
          <w:rFonts w:ascii="仿宋_GB2312" w:eastAsia="仿宋_GB2312" w:cs="仿宋_GB2312"/>
          <w:bCs/>
          <w:sz w:val="32"/>
          <w:szCs w:val="32"/>
        </w:rPr>
      </w:pPr>
    </w:p>
    <w:p>
      <w:pPr>
        <w:spacing w:line="560" w:lineRule="exact"/>
        <w:ind w:firstLineChars="200" w:firstLine="640"/>
        <w:rPr>
          <w:rFonts w:ascii="仿宋_GB2312" w:eastAsia="仿宋_GB2312" w:cs="仿宋_GB2312"/>
          <w:bCs/>
          <w:sz w:val="32"/>
          <w:szCs w:val="32"/>
        </w:rPr>
      </w:pPr>
      <w:r>
        <w:rPr>
          <w:rFonts w:ascii="仿宋_GB2312" w:eastAsia="仿宋_GB2312" w:cs="仿宋_GB2312" w:hint="eastAsia"/>
          <w:bCs/>
          <w:sz w:val="32"/>
          <w:szCs w:val="32"/>
        </w:rPr>
        <w:t xml:space="preserve">本着科学、独立、客观、公正的原则，按照规定的绩效评价方法，我单位对2022年部门整体支出绩效进行了全面综合的自评。 现将自评情况报告如下：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rPr>
        <w:t>一、</w:t>
      </w:r>
      <w:r>
        <w:rPr>
          <w:rFonts w:ascii="仿宋_GB2312" w:eastAsia="仿宋_GB2312" w:cs="宋体" w:hint="eastAsia"/>
          <w:color w:val="000000"/>
          <w:kern w:val="0"/>
          <w:sz w:val="32"/>
          <w:szCs w:val="32"/>
          <w:shd w:val="clear" w:color="auto" w:fill="FFFFFF"/>
          <w:lang w:val="zh-CN"/>
        </w:rPr>
        <w:t>单位概况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lang w:val="zh-CN"/>
        </w:rPr>
        <w:t>我单位属于县政府工作部门。</w:t>
      </w:r>
      <w:r>
        <w:rPr>
          <w:rFonts w:ascii="仿宋_GB2312" w:eastAsia="仿宋_GB2312" w:hint="eastAsia"/>
          <w:sz w:val="32"/>
          <w:szCs w:val="32"/>
        </w:rPr>
        <w:t>根据编委核定，我单位内设（副科）级事业单位1个，（</w:t>
      </w:r>
      <w:r>
        <w:rPr>
          <w:rFonts w:ascii="仿宋_GB2312" w:eastAsia="仿宋_GB2312" w:cs="仿宋_GB2312" w:hint="eastAsia"/>
          <w:sz w:val="32"/>
          <w:szCs w:val="32"/>
          <w:lang w:val="zh-CN"/>
        </w:rPr>
        <w:t>股级）事业单位2个，</w:t>
      </w:r>
      <w:r>
        <w:rPr>
          <w:rFonts w:ascii="仿宋_GB2312" w:eastAsia="仿宋_GB2312" w:hint="eastAsia"/>
          <w:sz w:val="32"/>
          <w:szCs w:val="32"/>
        </w:rPr>
        <w:t>内设股室6个 。</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内设（副科）级事业单位是：劳动人事争议仲裁院；内设（</w:t>
      </w:r>
      <w:r>
        <w:rPr>
          <w:rFonts w:ascii="仿宋_GB2312" w:eastAsia="仿宋_GB2312" w:cs="仿宋_GB2312" w:hint="eastAsia"/>
          <w:sz w:val="32"/>
          <w:szCs w:val="32"/>
          <w:lang w:val="zh-CN"/>
        </w:rPr>
        <w:t>股级）事业单位</w:t>
      </w:r>
      <w:r>
        <w:rPr>
          <w:rFonts w:ascii="仿宋_GB2312" w:eastAsia="仿宋_GB2312" w:hint="eastAsia"/>
          <w:sz w:val="32"/>
          <w:szCs w:val="32"/>
        </w:rPr>
        <w:t>分别是：人力资源和社会保障局信息中心 、劳动监察执法中队。</w:t>
      </w:r>
    </w:p>
    <w:p>
      <w:pPr>
        <w:spacing w:line="560" w:lineRule="exact"/>
        <w:ind w:leftChars="76" w:left="160" w:firstLineChars="150" w:firstLine="480"/>
        <w:rPr>
          <w:rFonts w:ascii="仿宋_GB2312" w:eastAsia="仿宋_GB2312" w:cs="仿宋_GB2312"/>
          <w:sz w:val="32"/>
          <w:szCs w:val="32"/>
        </w:rPr>
      </w:pPr>
      <w:r>
        <w:rPr>
          <w:rFonts w:ascii="仿宋_GB2312" w:eastAsia="仿宋_GB2312" w:hint="eastAsia"/>
          <w:sz w:val="32"/>
          <w:szCs w:val="32"/>
        </w:rPr>
        <w:t>内设股室分别是：办公室、事业人员管理股、</w:t>
      </w:r>
      <w:r>
        <w:rPr>
          <w:rFonts w:ascii="仿宋_GB2312" w:eastAsia="仿宋_GB2312" w:cs="仿宋_GB2312" w:hint="eastAsia"/>
          <w:sz w:val="32"/>
          <w:szCs w:val="32"/>
        </w:rPr>
        <w:t>工资福利与退休管理股、</w:t>
      </w:r>
      <w:r>
        <w:rPr>
          <w:rFonts w:ascii="仿宋_GB2312" w:eastAsia="仿宋_GB2312" w:hint="eastAsia"/>
          <w:sz w:val="32"/>
          <w:szCs w:val="32"/>
        </w:rPr>
        <w:t>社会保险管理股、</w:t>
      </w:r>
      <w:r>
        <w:rPr>
          <w:rFonts w:ascii="仿宋_GB2312" w:eastAsia="仿宋_GB2312" w:cs="仿宋_GB2312" w:hint="eastAsia"/>
          <w:sz w:val="32"/>
          <w:szCs w:val="32"/>
        </w:rPr>
        <w:t>劳动综合管理股、社会保险基金监督股。</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spacing w:line="56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配置人力资源、促进充分就业、统筹城乡社会保险、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委、县政府和上级业务部门交办的其他工作。</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spacing w:line="560" w:lineRule="exact"/>
        <w:ind w:firstLineChars="100" w:firstLine="320"/>
        <w:rPr>
          <w:rFonts w:ascii="仿宋_GB2312" w:eastAsia="仿宋_GB2312" w:cs="仿宋_GB2312"/>
          <w:color w:val="000000"/>
          <w:sz w:val="32"/>
          <w:szCs w:val="32"/>
        </w:rPr>
      </w:pPr>
      <w:r>
        <w:rPr>
          <w:rFonts w:ascii="仿宋_GB2312" w:eastAsia="仿宋_GB2312" w:cs="仿宋_GB2312" w:hint="eastAsia"/>
          <w:sz w:val="32"/>
          <w:szCs w:val="32"/>
        </w:rPr>
        <w:t>我单位属独立编制机构和独立核算的行政单位。2022年末</w:t>
      </w:r>
      <w:r>
        <w:rPr>
          <w:rFonts w:ascii="仿宋_GB2312" w:eastAsia="仿宋_GB2312" w:cs="仿宋_GB2312" w:hint="eastAsia"/>
          <w:bCs/>
          <w:color w:val="000000"/>
          <w:sz w:val="32"/>
          <w:szCs w:val="32"/>
        </w:rPr>
        <w:t>人员编制为19名，其中行政编制10名，行政工</w:t>
      </w:r>
      <w:r>
        <w:rPr>
          <w:rFonts w:ascii="仿宋_GB2312" w:eastAsia="仿宋_GB2312" w:cs="仿宋_GB2312" w:hint="eastAsia"/>
          <w:color w:val="000000"/>
          <w:sz w:val="32"/>
          <w:szCs w:val="32"/>
        </w:rPr>
        <w:t>勤编制1名，事业编制8名（其中参照公务员法管理人员编制3人）。2022年年末实际人数21人，其中行政12人，行政工勤1人，参公3人，事业5人。</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widowControl/>
        <w:adjustRightInd w:val="0"/>
        <w:snapToGrid w:val="0"/>
        <w:spacing w:line="580" w:lineRule="exact"/>
        <w:ind w:firstLineChars="100" w:firstLine="320"/>
        <w:contextualSpacing/>
        <w:jc w:val="left"/>
        <w:rPr>
          <w:rFonts w:ascii="仿宋_GB2312" w:eastAsia="仿宋_GB2312" w:cs="仿宋_GB2312"/>
          <w:sz w:val="32"/>
          <w:szCs w:val="32"/>
        </w:rPr>
      </w:pPr>
      <w:r>
        <w:rPr>
          <w:rFonts w:ascii="仿宋_GB2312" w:eastAsia="仿宋_GB2312" w:cs="仿宋_GB2312" w:hint="eastAsia"/>
          <w:sz w:val="32"/>
          <w:szCs w:val="32"/>
        </w:rPr>
        <w:t>2022年度财政资金收入677.54万元.其中基本支出拨款</w:t>
      </w:r>
      <w:r>
        <w:rPr>
          <w:rFonts w:ascii="仿宋_GB2312" w:eastAsia="仿宋_GB2312" w:cs="仿宋_GB2312" w:hint="eastAsia"/>
          <w:color w:val="000000"/>
          <w:sz w:val="32"/>
          <w:szCs w:val="32"/>
        </w:rPr>
        <w:t>574.48</w:t>
      </w:r>
      <w:r>
        <w:rPr>
          <w:rFonts w:ascii="仿宋_GB2312" w:eastAsia="仿宋_GB2312" w:cs="仿宋_GB2312" w:hint="eastAsia"/>
          <w:sz w:val="32"/>
          <w:szCs w:val="32"/>
        </w:rPr>
        <w:t>万元，项目支出拨款</w:t>
      </w:r>
      <w:r>
        <w:rPr>
          <w:rFonts w:ascii="仿宋_GB2312" w:eastAsia="仿宋_GB2312" w:cs="仿宋_GB2312" w:hint="eastAsia"/>
          <w:color w:val="000000"/>
          <w:sz w:val="32"/>
          <w:szCs w:val="32"/>
        </w:rPr>
        <w:t>103.06</w:t>
      </w:r>
      <w:r>
        <w:rPr>
          <w:rFonts w:ascii="仿宋_GB2312" w:eastAsia="仿宋_GB2312" w:cs="仿宋_GB2312" w:hint="eastAsia"/>
          <w:sz w:val="32"/>
          <w:szCs w:val="32"/>
        </w:rPr>
        <w:t>万元.上年结转结余 0万元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pPr>
        <w:snapToGrid w:val="0"/>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2022年度财政资金支出677.54万元，其中其中基本支出574.48万元，项目支出103.06万元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 xml:space="preserve">三、部门整体预算绩效管理情况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ascii="仿宋_GB2312" w:eastAsia="仿宋_GB2312" w:cs="仿宋_GB2312" w:hint="eastAsia"/>
          <w:sz w:val="32"/>
          <w:szCs w:val="32"/>
        </w:rPr>
        <w:t>对绩效目标进行年度分析，及时上报相关报表。</w:t>
      </w:r>
      <w:r>
        <w:rPr>
          <w:rFonts w:ascii="仿宋_GB2312" w:eastAsia="仿宋_GB2312" w:cs="仿宋_GB2312" w:hint="eastAsia"/>
          <w:sz w:val="32"/>
          <w:szCs w:val="32"/>
          <w:lang w:val="zh-CN"/>
        </w:rPr>
        <w:t>从预算执行来情况看，预算资金覆盖所有人力资源和社会保障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ascii="仿宋_GB2312" w:eastAsia="仿宋_GB2312" w:cs="仿宋_GB2312" w:hint="eastAsia"/>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widowControl/>
        <w:adjustRightInd w:val="0"/>
        <w:snapToGrid w:val="0"/>
        <w:spacing w:line="540" w:lineRule="exact"/>
        <w:ind w:leftChars="50" w:left="105" w:firstLineChars="175" w:firstLine="560"/>
        <w:jc w:val="left"/>
        <w:rPr>
          <w:rFonts w:ascii="仿宋_GB2312" w:eastAsia="仿宋_GB2312" w:cs="宋体"/>
          <w:color w:val="000000"/>
          <w:kern w:val="0"/>
          <w:sz w:val="32"/>
          <w:szCs w:val="32"/>
          <w:lang w:val="zh-CN"/>
        </w:rPr>
      </w:pPr>
      <w:r>
        <w:rPr>
          <w:rFonts w:ascii="仿宋_GB2312" w:eastAsia="仿宋_GB2312" w:cs="仿宋_GB2312" w:hint="eastAsia"/>
          <w:sz w:val="32"/>
          <w:szCs w:val="32"/>
          <w:lang w:val="zh-CN"/>
        </w:rPr>
        <w:t>按要求将相关绩效信息随同决算公开 ；针对绩效管理过程中提出的问题及时进行整改，将绩效管理结果与预算安排进行；在规定时间内向财政部门反馈应用绩效结果报告。</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（一）评价结论。</w:t>
      </w:r>
    </w:p>
    <w:p>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评价结论为</w:t>
      </w:r>
      <w:r>
        <w:rPr>
          <w:rFonts w:ascii="仿宋_GB2312" w:eastAsia="仿宋_GB2312" w:cs="仿宋_GB2312" w:hint="eastAsia"/>
          <w:sz w:val="32"/>
          <w:szCs w:val="32"/>
        </w:rPr>
        <w:t>86分，部门预算执行情况良好，无不良记录及违规违纪行为，预算支出和决算支出情况基本相符，</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（二）存在问题。</w:t>
      </w:r>
    </w:p>
    <w:p>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预算绩效管理意识不够强，预算编制商品服务支出明细科目分解不够精确。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（三）改进建议。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1、加强预算绩效管理意识，提高财政资金的使用效益。在预算编制过程中，树立绩效目标意识，总结上一年度预算执行情况。科学、合理地编制当年预算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2、细化预算支出标准，提高预算编制水平。加强预算编制的前瞻性，按照新《预算法》及其实施条例的相关规定，按照策规定及本部门的发展规划,结合上一年度预算执行情况和本年度预算收支变化因素，科学、合理地编制本年预算草案。执行中确需调剂预算的按规定程序报经批准。</w:t>
      </w:r>
    </w:p>
    <w:p>
      <w:pPr>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br w:type="page"/>
      </w:r>
    </w:p>
    <w:p>
      <w:pPr>
        <w:spacing w:line="576" w:lineRule="exact"/>
        <w:jc w:val="center"/>
        <w:outlineLvl w:val="0"/>
        <w:rPr>
          <w:rFonts w:eastAsia="仿宋"/>
        </w:rPr>
      </w:pPr>
      <w:bookmarkStart w:id="74" w:name="_Toc26843625"/>
      <w:bookmarkStart w:id="75" w:name="_Toc15396618"/>
      <w:bookmarkStart w:id="76" w:name="_Toc146125658"/>
      <w:r>
        <w:rPr>
          <w:rFonts w:eastAsia="黑体"/>
          <w:sz w:val="44"/>
          <w:szCs w:val="44"/>
        </w:rPr>
        <w:t>第</w:t>
      </w:r>
      <w:r>
        <w:rPr>
          <w:rStyle w:val="1Char"/>
          <w:rFonts w:eastAsia="黑体"/>
          <w:b w:val="0"/>
        </w:rPr>
        <w:t>五部分 附表</w:t>
      </w:r>
      <w:bookmarkStart w:id="77" w:name="_Toc15396619"/>
      <w:bookmarkEnd w:id="74"/>
      <w:bookmarkEnd w:id="75"/>
      <w:bookmarkEnd w:id="76"/>
    </w:p>
    <w:p>
      <w:pPr>
        <w:pStyle w:val="2"/>
        <w:spacing w:line="576" w:lineRule="exact"/>
        <w:rPr>
          <w:rFonts w:ascii="Times New Roman" w:eastAsia="仿宋" w:hAnsi="Times New Roman"/>
        </w:rPr>
      </w:pPr>
      <w:bookmarkStart w:id="78" w:name="_Toc26843626"/>
      <w:bookmarkStart w:id="79" w:name="_Toc146125659"/>
      <w:r>
        <w:rPr>
          <w:rFonts w:ascii="Times New Roman" w:eastAsia="仿宋" w:hAnsi="Times New Roman"/>
          <w:b w:val="0"/>
        </w:rPr>
        <w:t>一、收</w:t>
      </w:r>
      <w:r>
        <w:rPr>
          <w:rStyle w:val="2Char"/>
          <w:rFonts w:ascii="Times New Roman" w:eastAsia="仿宋" w:hAnsi="Times New Roman"/>
        </w:rPr>
        <w:t>入支出决算总表</w:t>
      </w:r>
      <w:bookmarkEnd w:id="77"/>
      <w:bookmarkEnd w:id="78"/>
      <w:bookmarkEnd w:id="79"/>
    </w:p>
    <w:p>
      <w:pPr>
        <w:pStyle w:val="2"/>
        <w:spacing w:line="576" w:lineRule="exact"/>
        <w:rPr>
          <w:rFonts w:ascii="Times New Roman" w:eastAsia="仿宋" w:hAnsi="Times New Roman"/>
        </w:rPr>
      </w:pPr>
      <w:bookmarkStart w:id="80" w:name="_Toc15396620"/>
      <w:bookmarkStart w:id="81" w:name="_Toc26843627"/>
      <w:bookmarkStart w:id="82" w:name="_Toc146125660"/>
      <w:r>
        <w:rPr>
          <w:rFonts w:ascii="Times New Roman" w:eastAsia="仿宋" w:hAnsi="Times New Roman"/>
          <w:b w:val="0"/>
        </w:rPr>
        <w:t>二、收</w:t>
      </w:r>
      <w:r>
        <w:rPr>
          <w:rStyle w:val="2Char"/>
          <w:rFonts w:ascii="Times New Roman" w:eastAsia="仿宋" w:hAnsi="Times New Roman"/>
        </w:rPr>
        <w:t>入决算表</w:t>
      </w:r>
      <w:bookmarkEnd w:id="80"/>
      <w:bookmarkEnd w:id="81"/>
      <w:bookmarkEnd w:id="82"/>
    </w:p>
    <w:p>
      <w:pPr>
        <w:pStyle w:val="2"/>
        <w:spacing w:line="576" w:lineRule="exact"/>
        <w:rPr>
          <w:rFonts w:ascii="Times New Roman" w:eastAsia="仿宋" w:hAnsi="Times New Roman"/>
        </w:rPr>
      </w:pPr>
      <w:bookmarkStart w:id="83" w:name="_Toc26843628"/>
      <w:bookmarkStart w:id="84" w:name="_Toc15396621"/>
      <w:bookmarkStart w:id="85" w:name="_Toc146125661"/>
      <w:r>
        <w:rPr>
          <w:rStyle w:val="2Char"/>
          <w:rFonts w:ascii="Times New Roman" w:eastAsia="仿宋" w:hAnsi="Times New Roman"/>
        </w:rPr>
        <w:t>三、</w:t>
      </w:r>
      <w:r>
        <w:rPr>
          <w:rFonts w:ascii="Times New Roman" w:eastAsia="仿宋" w:hAnsi="Times New Roman"/>
          <w:b w:val="0"/>
        </w:rPr>
        <w:t>支</w:t>
      </w:r>
      <w:r>
        <w:rPr>
          <w:rStyle w:val="2Char"/>
          <w:rFonts w:ascii="Times New Roman" w:eastAsia="仿宋" w:hAnsi="Times New Roman"/>
        </w:rPr>
        <w:t>出决算表</w:t>
      </w:r>
      <w:bookmarkEnd w:id="83"/>
      <w:bookmarkEnd w:id="84"/>
      <w:bookmarkEnd w:id="85"/>
    </w:p>
    <w:p>
      <w:pPr>
        <w:pStyle w:val="2"/>
        <w:spacing w:line="576" w:lineRule="exact"/>
        <w:rPr>
          <w:rFonts w:ascii="Times New Roman" w:eastAsia="仿宋" w:hAnsi="Times New Roman"/>
          <w:b w:val="0"/>
        </w:rPr>
      </w:pPr>
      <w:bookmarkStart w:id="86" w:name="_Toc15396622"/>
      <w:bookmarkStart w:id="87" w:name="_Toc26843629"/>
      <w:bookmarkStart w:id="88" w:name="_Toc146125662"/>
      <w:r>
        <w:rPr>
          <w:rStyle w:val="2Char"/>
          <w:rFonts w:ascii="Times New Roman" w:eastAsia="仿宋" w:hAnsi="Times New Roman"/>
        </w:rPr>
        <w:t>四、</w:t>
      </w:r>
      <w:r>
        <w:rPr>
          <w:rFonts w:ascii="Times New Roman" w:eastAsia="仿宋" w:hAnsi="Times New Roman"/>
          <w:b w:val="0"/>
        </w:rPr>
        <w:t>财</w:t>
      </w:r>
      <w:r>
        <w:rPr>
          <w:rStyle w:val="2Char"/>
          <w:rFonts w:ascii="Times New Roman" w:eastAsia="仿宋" w:hAnsi="Times New Roman"/>
        </w:rPr>
        <w:t>政拨款收入支出决算总表</w:t>
      </w:r>
      <w:bookmarkEnd w:id="86"/>
      <w:bookmarkEnd w:id="87"/>
      <w:bookmarkEnd w:id="88"/>
    </w:p>
    <w:p>
      <w:pPr>
        <w:pStyle w:val="2"/>
        <w:spacing w:line="576" w:lineRule="exact"/>
        <w:rPr>
          <w:rStyle w:val="2Char"/>
          <w:rFonts w:ascii="Times New Roman" w:eastAsia="仿宋" w:hAnsi="Times New Roman"/>
        </w:rPr>
      </w:pPr>
      <w:bookmarkStart w:id="89" w:name="_Toc26843630"/>
      <w:bookmarkStart w:id="90" w:name="_Toc15396623"/>
      <w:bookmarkStart w:id="91" w:name="_Toc146125663"/>
      <w:r>
        <w:rPr>
          <w:rStyle w:val="2Char"/>
          <w:rFonts w:ascii="Times New Roman" w:eastAsia="仿宋" w:hAnsi="Times New Roman"/>
        </w:rPr>
        <w:t>五、</w:t>
      </w:r>
      <w:r>
        <w:rPr>
          <w:rFonts w:ascii="Times New Roman" w:eastAsia="仿宋" w:hAnsi="Times New Roman"/>
          <w:b w:val="0"/>
        </w:rPr>
        <w:t>财</w:t>
      </w:r>
      <w:r>
        <w:rPr>
          <w:rStyle w:val="2Char"/>
          <w:rFonts w:ascii="Times New Roman" w:eastAsia="仿宋" w:hAnsi="Times New Roman"/>
        </w:rPr>
        <w:t>政拨款支出决算明细表</w:t>
      </w:r>
      <w:bookmarkStart w:id="92" w:name="_Toc15396624"/>
      <w:bookmarkEnd w:id="89"/>
      <w:bookmarkEnd w:id="90"/>
      <w:bookmarkEnd w:id="91"/>
    </w:p>
    <w:p>
      <w:pPr>
        <w:pStyle w:val="2"/>
        <w:spacing w:line="576" w:lineRule="exact"/>
        <w:rPr>
          <w:rFonts w:ascii="Times New Roman" w:eastAsia="仿宋" w:hAnsi="Times New Roman"/>
        </w:rPr>
      </w:pPr>
      <w:bookmarkStart w:id="93" w:name="_Toc26843631"/>
      <w:bookmarkStart w:id="94" w:name="_Toc146125664"/>
      <w:r>
        <w:rPr>
          <w:rStyle w:val="2Char"/>
          <w:rFonts w:ascii="Times New Roman" w:eastAsia="仿宋" w:hAnsi="Times New Roman"/>
        </w:rPr>
        <w:t>六、</w:t>
      </w:r>
      <w:r>
        <w:rPr>
          <w:rFonts w:ascii="Times New Roman" w:eastAsia="仿宋" w:hAnsi="Times New Roman"/>
          <w:b w:val="0"/>
        </w:rPr>
        <w:t>一</w:t>
      </w:r>
      <w:r>
        <w:rPr>
          <w:rStyle w:val="2Char"/>
          <w:rFonts w:ascii="Times New Roman" w:eastAsia="仿宋" w:hAnsi="Times New Roman"/>
        </w:rPr>
        <w:t>般公共预算财政拨款支出决算表</w:t>
      </w:r>
      <w:bookmarkEnd w:id="92"/>
      <w:bookmarkEnd w:id="93"/>
      <w:bookmarkEnd w:id="94"/>
    </w:p>
    <w:p>
      <w:pPr>
        <w:pStyle w:val="2"/>
        <w:spacing w:line="576" w:lineRule="exact"/>
        <w:rPr>
          <w:rFonts w:ascii="Times New Roman" w:eastAsia="仿宋" w:hAnsi="Times New Roman"/>
        </w:rPr>
      </w:pPr>
      <w:bookmarkStart w:id="95" w:name="_Toc26843632"/>
      <w:bookmarkStart w:id="96" w:name="_Toc15396625"/>
      <w:bookmarkStart w:id="97" w:name="_Toc146125665"/>
      <w:r>
        <w:rPr>
          <w:rStyle w:val="2Char"/>
          <w:rFonts w:ascii="Times New Roman" w:eastAsia="仿宋" w:hAnsi="Times New Roman"/>
        </w:rPr>
        <w:t>七、</w:t>
      </w:r>
      <w:r>
        <w:rPr>
          <w:rFonts w:ascii="Times New Roman" w:eastAsia="仿宋" w:hAnsi="Times New Roman"/>
          <w:b w:val="0"/>
        </w:rPr>
        <w:t>一</w:t>
      </w:r>
      <w:r>
        <w:rPr>
          <w:rStyle w:val="2Char"/>
          <w:rFonts w:ascii="Times New Roman" w:eastAsia="仿宋" w:hAnsi="Times New Roman"/>
        </w:rPr>
        <w:t>般公共预算财政拨款支出决算明细表</w:t>
      </w:r>
      <w:bookmarkEnd w:id="95"/>
      <w:bookmarkEnd w:id="96"/>
      <w:bookmarkEnd w:id="97"/>
    </w:p>
    <w:p>
      <w:pPr>
        <w:pStyle w:val="2"/>
        <w:spacing w:line="576" w:lineRule="exact"/>
        <w:rPr>
          <w:rFonts w:ascii="Times New Roman" w:eastAsia="仿宋" w:hAnsi="Times New Roman"/>
        </w:rPr>
      </w:pPr>
      <w:bookmarkStart w:id="98" w:name="_Toc15396626"/>
      <w:bookmarkStart w:id="99" w:name="_Toc26843633"/>
      <w:bookmarkStart w:id="100" w:name="_Toc146125666"/>
      <w:r>
        <w:rPr>
          <w:rStyle w:val="2Char"/>
          <w:rFonts w:ascii="Times New Roman" w:eastAsia="仿宋" w:hAnsi="Times New Roman"/>
        </w:rPr>
        <w:t>八、</w:t>
      </w:r>
      <w:r>
        <w:rPr>
          <w:rFonts w:ascii="Times New Roman" w:eastAsia="仿宋" w:hAnsi="Times New Roman"/>
          <w:b w:val="0"/>
        </w:rPr>
        <w:t>一</w:t>
      </w:r>
      <w:r>
        <w:rPr>
          <w:rStyle w:val="2Char"/>
          <w:rFonts w:ascii="Times New Roman" w:eastAsia="仿宋" w:hAnsi="Times New Roman"/>
        </w:rPr>
        <w:t>般公共预算财政拨款基本支出决算表</w:t>
      </w:r>
      <w:bookmarkEnd w:id="98"/>
      <w:bookmarkEnd w:id="99"/>
      <w:bookmarkEnd w:id="100"/>
    </w:p>
    <w:p>
      <w:pPr>
        <w:pStyle w:val="2"/>
        <w:spacing w:line="576" w:lineRule="exact"/>
        <w:rPr>
          <w:rFonts w:ascii="Times New Roman" w:eastAsia="仿宋" w:hAnsi="Times New Roman"/>
        </w:rPr>
      </w:pPr>
      <w:bookmarkStart w:id="101" w:name="_Toc26843634"/>
      <w:bookmarkStart w:id="102" w:name="_Toc15396627"/>
      <w:bookmarkStart w:id="103" w:name="_Toc146125667"/>
      <w:r>
        <w:rPr>
          <w:rStyle w:val="2Char"/>
          <w:rFonts w:ascii="Times New Roman" w:eastAsia="仿宋" w:hAnsi="Times New Roman"/>
        </w:rPr>
        <w:t>九、</w:t>
      </w:r>
      <w:r>
        <w:rPr>
          <w:rFonts w:ascii="Times New Roman" w:eastAsia="仿宋" w:hAnsi="Times New Roman"/>
          <w:b w:val="0"/>
        </w:rPr>
        <w:t>一</w:t>
      </w:r>
      <w:r>
        <w:rPr>
          <w:rStyle w:val="2Char"/>
          <w:rFonts w:ascii="Times New Roman" w:eastAsia="仿宋" w:hAnsi="Times New Roman"/>
        </w:rPr>
        <w:t>般公共预算财政拨款项目支出决算表</w:t>
      </w:r>
      <w:bookmarkEnd w:id="101"/>
      <w:bookmarkEnd w:id="102"/>
      <w:bookmarkEnd w:id="103"/>
    </w:p>
    <w:p>
      <w:pPr>
        <w:pStyle w:val="2"/>
        <w:spacing w:line="576" w:lineRule="exact"/>
        <w:rPr>
          <w:rFonts w:ascii="Times New Roman" w:eastAsia="仿宋" w:hAnsi="Times New Roman"/>
        </w:rPr>
      </w:pPr>
      <w:bookmarkStart w:id="104" w:name="_Toc15396628"/>
      <w:bookmarkStart w:id="105" w:name="_Toc26843635"/>
      <w:bookmarkStart w:id="106" w:name="_Toc146125668"/>
      <w:r>
        <w:rPr>
          <w:rStyle w:val="2Char"/>
          <w:rFonts w:ascii="Times New Roman" w:eastAsia="仿宋" w:hAnsi="Times New Roman"/>
        </w:rPr>
        <w:t>十、</w:t>
      </w:r>
      <w:r>
        <w:rPr>
          <w:rFonts w:ascii="Times New Roman" w:eastAsia="仿宋" w:hAnsi="Times New Roman"/>
          <w:b w:val="0"/>
        </w:rPr>
        <w:t>一</w:t>
      </w:r>
      <w:r>
        <w:rPr>
          <w:rStyle w:val="2Char"/>
          <w:rFonts w:ascii="Times New Roman" w:eastAsia="仿宋" w:hAnsi="Times New Roman"/>
        </w:rPr>
        <w:t>般公共预算财政拨款“三公”经费支出决算表</w:t>
      </w:r>
      <w:bookmarkEnd w:id="104"/>
      <w:bookmarkEnd w:id="105"/>
      <w:bookmarkEnd w:id="106"/>
    </w:p>
    <w:p>
      <w:pPr>
        <w:pStyle w:val="2"/>
        <w:spacing w:line="576" w:lineRule="exact"/>
        <w:rPr>
          <w:rFonts w:ascii="Times New Roman" w:eastAsia="仿宋" w:hAnsi="Times New Roman"/>
        </w:rPr>
      </w:pPr>
      <w:bookmarkStart w:id="107" w:name="_Toc26843636"/>
      <w:bookmarkStart w:id="108" w:name="_Toc15396629"/>
      <w:bookmarkStart w:id="109" w:name="_Toc146125669"/>
      <w:r>
        <w:rPr>
          <w:rStyle w:val="2Char"/>
          <w:rFonts w:ascii="Times New Roman" w:eastAsia="仿宋" w:hAnsi="Times New Roman"/>
        </w:rPr>
        <w:t>十一、</w:t>
      </w:r>
      <w:r>
        <w:rPr>
          <w:rFonts w:ascii="Times New Roman" w:eastAsia="仿宋" w:hAnsi="Times New Roman"/>
          <w:b w:val="0"/>
        </w:rPr>
        <w:t>政</w:t>
      </w:r>
      <w:r>
        <w:rPr>
          <w:rStyle w:val="2Char"/>
          <w:rFonts w:ascii="Times New Roman" w:eastAsia="仿宋" w:hAnsi="Times New Roman"/>
        </w:rPr>
        <w:t>府性基金预算财政拨款收入支出决算表</w:t>
      </w:r>
      <w:bookmarkEnd w:id="107"/>
      <w:bookmarkEnd w:id="108"/>
      <w:bookmarkEnd w:id="109"/>
    </w:p>
    <w:p>
      <w:pPr>
        <w:pStyle w:val="2"/>
        <w:spacing w:line="576" w:lineRule="exact"/>
        <w:rPr>
          <w:rStyle w:val="2Char"/>
          <w:rFonts w:ascii="Times New Roman" w:eastAsia="仿宋" w:hAnsi="Times New Roman"/>
        </w:rPr>
      </w:pPr>
      <w:bookmarkStart w:id="110" w:name="_Toc15396631"/>
      <w:bookmarkStart w:id="111" w:name="_Toc26843638"/>
      <w:bookmarkStart w:id="112" w:name="_Toc19612"/>
      <w:bookmarkStart w:id="113" w:name="_Toc146125670"/>
      <w:r>
        <w:rPr>
          <w:rStyle w:val="2Char"/>
          <w:rFonts w:ascii="Times New Roman" w:eastAsia="仿宋" w:hAnsi="Times New Roman"/>
        </w:rPr>
        <w:t>十二、</w:t>
      </w:r>
      <w:r>
        <w:rPr>
          <w:rFonts w:ascii="Times New Roman" w:eastAsia="仿宋" w:hAnsi="Times New Roman"/>
          <w:b w:val="0"/>
        </w:rPr>
        <w:t>国</w:t>
      </w:r>
      <w:r>
        <w:rPr>
          <w:rStyle w:val="2Char"/>
          <w:rFonts w:ascii="Times New Roman" w:eastAsia="仿宋" w:hAnsi="Times New Roman"/>
        </w:rPr>
        <w:t>有资本经营预算财政拨款收入支出决算表</w:t>
      </w:r>
      <w:bookmarkEnd w:id="110"/>
      <w:bookmarkEnd w:id="111"/>
      <w:bookmarkEnd w:id="112"/>
      <w:bookmarkEnd w:id="113"/>
    </w:p>
    <w:p>
      <w:pPr>
        <w:spacing w:line="576" w:lineRule="exact"/>
        <w:rPr>
          <w:rFonts w:eastAsia="仿宋"/>
        </w:rPr>
      </w:pPr>
      <w:bookmarkStart w:id="114" w:name="_Toc26843639"/>
      <w:bookmarkStart w:id="115" w:name="_Toc11162"/>
      <w:bookmarkStart w:id="116" w:name="_Toc146125671"/>
      <w:r>
        <w:rPr>
          <w:rStyle w:val="2Char"/>
          <w:rFonts w:ascii="Times New Roman" w:eastAsia="仿宋" w:hAnsi="Times New Roman"/>
          <w:b w:val="0"/>
          <w:bCs w:val="0"/>
        </w:rPr>
        <w:t>十三、国有资本经营预算财政拨款支出决算表</w:t>
      </w:r>
      <w:bookmarkEnd w:id="114"/>
      <w:bookmarkEnd w:id="115"/>
      <w:bookmarkEnd w:id="116"/>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p>
    <w:p>
      <w:pPr>
        <w:pStyle w:val="2"/>
        <w:rPr>
          <w:rFonts w:ascii="仿宋_GB2312" w:eastAsia="仿宋_GB2312"/>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1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等线">
    <w:altName w:val="AR PL UKai CN"/>
    <w:panose1 w:val="02010600030101010101"/>
    <w:charset w:val="86"/>
    <w:family w:val="auto"/>
    <w:pitch w:val="variable"/>
    <w:sig w:usb0="A00002BF" w:usb1="38CF7CFA" w:usb2="00000016" w:usb3="00000000" w:csb0="0004000F" w:csb1="00000000"/>
  </w:font>
  <w:font w:name="Arial">
    <w:altName w:val="DejaVu Sans"/>
    <w:panose1 w:val="020B0604020202020204"/>
    <w:charset w:val="00"/>
    <w:family w:val="auto"/>
    <w:pitch w:val="variable"/>
    <w:sig w:usb0="00007A87" w:usb1="80000000" w:usb2="00000008"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Times New Roman">
    <w:altName w:val="DejaVu Sans"/>
    <w:panose1 w:val="02020603050405020304"/>
    <w:charset w:val="00"/>
    <w:family w:val="roman"/>
    <w:pitch w:val="variable"/>
    <w:sig w:usb0="E0002EFF" w:usb1="C000785B" w:usb2="00000009" w:usb3="00000000" w:csb0="000001FF" w:csb1="00000000"/>
  </w:font>
  <w:font w:name="宋体">
    <w:altName w:val="AR PL UKai CN"/>
    <w:panose1 w:val="02010600030101010101"/>
    <w:charset w:val="86"/>
    <w:family w:val="auto"/>
    <w:pitch w:val="variable"/>
    <w:sig w:usb0="00000203" w:usb1="288F0000" w:usb2="00000016" w:usb3="00000000" w:csb0="00040001" w:csb1="00000000"/>
  </w:font>
  <w:font w:name="Calibri">
    <w:altName w:val="DejaVu Sans"/>
    <w:panose1 w:val="020F0502020204030204"/>
    <w:charset w:val="00"/>
    <w:family w:val="swiss"/>
    <w:pitch w:val="variable"/>
    <w:sig w:usb0="E4002EFF" w:usb1="C000247B" w:usb2="00000009" w:usb3="00000000" w:csb0="000001FF" w:csb1="00000000"/>
  </w:font>
  <w:font w:name="楷体_GB2312">
    <w:altName w:val="微软雅黑"/>
    <w:panose1 w:val="00000000000000000000"/>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177787484"/>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100" w:beforeAutospacing="1" w:after="100" w:afterAutospacing="1"/>
      <w:jc w:val="left"/>
    </w:pPr>
    <w:rPr>
      <w:rFonts w:ascii="宋体" w:cs="宋体"/>
      <w:kern w:val="0"/>
      <w:sz w:val="24"/>
    </w:rPr>
  </w:style>
  <w:style w:type="character" w:styleId="23">
    <w:name w:val="Strong"/>
    <w:basedOn w:val="10"/>
    <w:rPr>
      <w:b/>
    </w:rPr>
  </w:style>
  <w:style w:type="character" w:styleId="24">
    <w:name w:val="Hyperlink"/>
    <w:basedOn w:val="10"/>
    <w:rPr>
      <w:color w:val="0000FF"/>
      <w:u w:val="single"/>
    </w:rPr>
  </w:style>
  <w:style w:type="character" w:customStyle="1" w:styleId="25">
    <w:name w:val="标题 1 Char"/>
    <w:basedOn w:val="10"/>
    <w:rPr>
      <w:rFonts w:ascii="Times New Roman" w:eastAsia="宋体" w:cs="Times New Roman" w:hAnsi="Times New Roman"/>
      <w:b/>
      <w:bCs/>
      <w:kern w:val="44"/>
      <w:sz w:val="44"/>
      <w:szCs w:val="44"/>
      <w:lang w:val="en-US" w:eastAsia="zh-CN" w:bidi="ar-SA"/>
    </w:rPr>
  </w:style>
  <w:style w:type="character" w:customStyle="1" w:styleId="26">
    <w:name w:val="标题 2 Char"/>
    <w:basedOn w:val="10"/>
    <w:rPr>
      <w:rFonts w:ascii="Cambria" w:eastAsia="宋体" w:cs="Times New Roman" w:hAnsi="Cambria"/>
      <w:b/>
      <w:bCs/>
      <w:kern w:val="2"/>
      <w:sz w:val="32"/>
      <w:szCs w:val="32"/>
      <w:lang w:val="en-US" w:eastAsia="zh-CN" w:bidi="ar-SA"/>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character" w:customStyle="1" w:styleId="33">
    <w:name w:val="ca-41"/>
    <w:basedOn w:val="10"/>
    <w:rPr>
      <w:rFonts w:ascii="仿宋_GB2312" w:eastAsia="仿宋_GB2312"/>
      <w:sz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677.54</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574.48</c:v>
                </c:pt>
                <c:pt idx="1">
                  <c:v>103.06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manualLayout>
          <c:layoutTarget val="inner"/>
          <c:xMode val="edge"/>
          <c:yMode val="edge"/>
          <c:x val="0.10053633"/>
          <c:y val="0.14826919"/>
          <c:w val="0.8695235"/>
          <c:h val="0.5945124"/>
        </c:manualLayout>
      </c:layout>
      <c:barChart>
        <c:barDir val="col"/>
        <c:grouping val="clustered"/>
        <c:varyColors val="0"/>
        <c:ser>
          <c:idx val="0"/>
          <c:order val="0"/>
          <c:tx>
            <c:strRef>
              <c:f>'Sheet1 (4)'!$A$2</c:f>
              <c:strCache>
                <c:ptCount val="1"/>
                <c:pt idx="0">
                  <c:v>2022年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677.54</c:v>
                </c:pt>
                <c:pt idx="1">
                  <c:v>677.54</c:v>
                </c:pt>
              </c:numCache>
            </c:numRef>
          </c:val>
        </c:ser>
        <c:ser>
          <c:idx val="1"/>
          <c:order val="1"/>
          <c:tx>
            <c:strRef>
              <c:f>'Sheet1 (4)'!$A$3</c:f>
              <c:strCache>
                <c:ptCount val="1"/>
                <c:pt idx="0">
                  <c:v>2021年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759.59</c:v>
                </c:pt>
                <c:pt idx="1">
                  <c:v>759.59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2022年</c:v>
                </c:pt>
                <c:pt idx="1">
                  <c:v>2021年</c:v>
                </c:pt>
              </c:strCache>
            </c:strRef>
          </c:cat>
          <c:val>
            <c:numRef>
              <c:f>'Sheet1 (5)'!$B$2:$B$3</c:f>
              <c:numCache>
                <c:formatCode>General</c:formatCode>
                <c:ptCount val="2"/>
                <c:pt idx="0">
                  <c:v>677.54</c:v>
                </c:pt>
                <c:pt idx="1">
                  <c:v>759.59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一般公共预算财政拨款支出决算结构</a:t>
            </a:r>
          </a:p>
        </c:rich>
      </c:tx>
      <c:layout/>
      <c:overlay val="0"/>
      <c:spPr>
        <a:ln>
          <a:noFill/>
        </a:ln>
      </c:spPr>
    </c:title>
    <c:autoTitleDeleted val="1"/>
    <c:plotArea>
      <c:layout/>
      <c:pieChart>
        <c:varyColors val="1"/>
        <c:ser>
          <c:idx val="0"/>
          <c:order val="0"/>
          <c:tx>
            <c:strRef>
              <c:f>'Sheet1 (6)'!$B$1</c:f>
              <c:strCache>
                <c:ptCount val="1"/>
                <c:pt idx="0">
                  <c:v>一般公共预算财政拨款支出决算结构</c:v>
                </c:pt>
              </c:strCache>
            </c:strRef>
          </c:tx>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1"/>
              <c:layout>
                <c:manualLayout>
                  <c:x val="-0.020973645"/>
                  <c:y val="0.044190824"/>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(6)'!$A$2:$A$4</c:f>
              <c:strCache>
                <c:ptCount val="3"/>
                <c:pt idx="0">
                  <c:v>社会保障和就业</c:v>
                </c:pt>
                <c:pt idx="1">
                  <c:v>卫生健康支出</c:v>
                </c:pt>
                <c:pt idx="2">
                  <c:v>住房保障支出</c:v>
                </c:pt>
              </c:strCache>
            </c:strRef>
          </c:cat>
          <c:val>
            <c:numRef>
              <c:f>'Sheet1 (6)'!$B$2:$B$4</c:f>
              <c:numCache>
                <c:formatCode>General</c:formatCode>
                <c:ptCount val="3"/>
                <c:pt idx="0">
                  <c:v>614.83</c:v>
                </c:pt>
                <c:pt idx="1">
                  <c:v>25.71</c:v>
                </c:pt>
                <c:pt idx="2">
                  <c:v>36.43</c:v>
                </c:pt>
              </c:numCache>
            </c:numRef>
          </c:val>
        </c:ser>
        <c:firstSliceAng val="0"/>
      </c:pieChart>
      <c:spPr>
        <a:noFill/>
      </c:spPr>
    </c:plotArea>
    <c:legend>
      <c:legendPos val="b"/>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7.0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38</TotalTime>
  <Application>Yozo_Office27021597764231179</Application>
  <Pages>29</Pages>
  <Words>11242</Words>
  <Characters>12386</Characters>
  <Lines>655</Lines>
  <Paragraphs>234</Paragraphs>
  <CharactersWithSpaces>12517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153</cp:revision>
  <cp:lastPrinted>2023-08-28T09:46:00Z</cp:lastPrinted>
  <dcterms:created xsi:type="dcterms:W3CDTF">2021-09-14T03:33:00Z</dcterms:created>
  <dcterms:modified xsi:type="dcterms:W3CDTF">2023-09-21T08:42:56Z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2052-11.1.0.8838</vt:lpwstr>
  </property>
  <property fmtid="{D5CDD505-2E9C-101B-9397-08002B2CF9AE}" pid="3" name="ICV">
    <vt:lpwstr>7446358C982B43FBBF5486ACE152A102</vt:lpwstr>
  </property>
</Properties>
</file>