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72"/>
          <w:szCs w:val="72"/>
        </w:rPr>
      </w:pPr>
      <w:bookmarkStart w:id="1" w:name="_Toc15396475"/>
      <w:bookmarkStart w:id="2" w:name="_Toc15377193"/>
      <w:bookmarkStart w:id="3" w:name="_Toc15377425"/>
      <w:bookmarkStart w:id="4" w:name="_Toc15378441"/>
      <w:bookmarkStart w:id="5" w:name="_Toc15396597"/>
      <w:r>
        <w:rPr>
          <w:rFonts w:hint="eastAsia" w:ascii="方正小标宋简体" w:eastAsia="方正小标宋简体"/>
          <w:color w:val="000000"/>
          <w:sz w:val="72"/>
          <w:szCs w:val="72"/>
        </w:rPr>
        <w:t>2020年度</w:t>
      </w:r>
      <w:bookmarkEnd w:id="1"/>
      <w:bookmarkEnd w:id="2"/>
      <w:bookmarkEnd w:id="3"/>
      <w:bookmarkEnd w:id="4"/>
      <w:bookmarkEnd w:id="5"/>
    </w:p>
    <w:p>
      <w:pPr>
        <w:adjustRightInd w:val="0"/>
        <w:snapToGrid w:val="0"/>
        <w:spacing w:line="360" w:lineRule="auto"/>
        <w:jc w:val="center"/>
        <w:outlineLvl w:val="0"/>
        <w:rPr>
          <w:rFonts w:hint="eastAsia" w:ascii="方正小标宋简体" w:eastAsia="方正小标宋简体"/>
          <w:color w:val="000000"/>
          <w:sz w:val="72"/>
          <w:szCs w:val="72"/>
        </w:rPr>
      </w:pPr>
      <w:bookmarkStart w:id="6" w:name="_Toc15396598"/>
      <w:bookmarkStart w:id="7" w:name="_Toc15378442"/>
      <w:bookmarkStart w:id="8" w:name="_Toc15377426"/>
      <w:bookmarkStart w:id="9" w:name="_Toc15396476"/>
      <w:bookmarkStart w:id="10" w:name="_Toc15377194"/>
      <w:r>
        <w:rPr>
          <w:rFonts w:hint="eastAsia" w:ascii="方正小标宋简体" w:eastAsia="方正小标宋简体"/>
          <w:color w:val="000000"/>
          <w:sz w:val="72"/>
          <w:szCs w:val="72"/>
        </w:rPr>
        <w:t xml:space="preserve"> 阿坝州</w:t>
      </w:r>
      <w:bookmarkEnd w:id="0"/>
      <w:bookmarkStart w:id="11" w:name="_Toc15306268"/>
      <w:r>
        <w:rPr>
          <w:rFonts w:hint="eastAsia" w:ascii="方正小标宋简体" w:eastAsia="方正小标宋简体"/>
          <w:color w:val="000000"/>
          <w:sz w:val="72"/>
          <w:szCs w:val="72"/>
        </w:rPr>
        <w:t>金川县人力资源和社会保障局部门决算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Pr>
        <w:pStyle w:val="10"/>
        <w:jc w:val="both"/>
        <w:rPr>
          <w:rFonts w:cs="Arial"/>
        </w:rPr>
      </w:pPr>
      <w:r>
        <w:fldChar w:fldCharType="begin"/>
      </w:r>
      <w:r>
        <w:instrText xml:space="preserve"> HYPERLINK \l "_Toc15396599" </w:instrText>
      </w:r>
      <w:r>
        <w:fldChar w:fldCharType="separate"/>
      </w:r>
      <w:r>
        <w:rPr>
          <w:rFonts w:hint="eastAsia"/>
        </w:rPr>
        <w:t xml:space="preserve">第一部分部门概况   </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 xml:space="preserve">一、基本职能及主要工作                                 </w:t>
      </w:r>
      <w:r>
        <w:rPr>
          <w:rFonts w:ascii="仿宋" w:eastAsia="仿宋"/>
          <w:sz w:val="28"/>
          <w:szCs w:val="28"/>
        </w:rPr>
        <w:tab/>
      </w:r>
      <w:r>
        <w:rPr>
          <w:rFonts w:hint="eastAsia" w:ascii="仿宋" w:eastAsia="仿宋"/>
          <w:sz w:val="28"/>
          <w:szCs w:val="28"/>
        </w:rPr>
        <w:t xml:space="preserve"> </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 xml:space="preserve">二、机构设置                                           </w:t>
      </w:r>
      <w:r>
        <w:rPr>
          <w:rFonts w:ascii="仿宋" w:eastAsia="仿宋"/>
          <w:sz w:val="28"/>
          <w:szCs w:val="28"/>
        </w:rPr>
        <w:tab/>
      </w:r>
      <w:r>
        <w:rPr>
          <w:rFonts w:hint="eastAsia" w:ascii="仿宋" w:eastAsia="仿宋"/>
          <w:sz w:val="28"/>
          <w:szCs w:val="28"/>
        </w:rPr>
        <w:t xml:space="preserve"> </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 xml:space="preserve">第二部分部门决算情况说明                                  </w:t>
      </w:r>
      <w:r>
        <w:tab/>
      </w:r>
      <w:r>
        <w:rPr>
          <w:rFonts w:hint="eastAsia"/>
        </w:rPr>
        <w:t xml:space="preserve"> </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 xml:space="preserve">入支出决算总体情况说明                           </w:t>
      </w:r>
      <w:r>
        <w:rPr>
          <w:rFonts w:ascii="仿宋" w:eastAsia="仿宋"/>
          <w:sz w:val="28"/>
          <w:szCs w:val="28"/>
        </w:rPr>
        <w:tab/>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 xml:space="preserve">入决算情况说明                                   </w:t>
      </w:r>
      <w:r>
        <w:rPr>
          <w:rFonts w:ascii="仿宋" w:eastAsia="仿宋"/>
          <w:sz w:val="28"/>
          <w:szCs w:val="28"/>
        </w:rPr>
        <w:tab/>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 xml:space="preserve">出决算情况说明                                   </w:t>
      </w:r>
      <w:r>
        <w:rPr>
          <w:rFonts w:ascii="仿宋" w:eastAsia="仿宋"/>
          <w:sz w:val="28"/>
          <w:szCs w:val="28"/>
        </w:rPr>
        <w:tab/>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 xml:space="preserve">政拨款收入支出决算总体情况说明                   </w:t>
      </w:r>
      <w:r>
        <w:rPr>
          <w:rFonts w:ascii="仿宋" w:eastAsia="仿宋"/>
          <w:sz w:val="28"/>
          <w:szCs w:val="28"/>
        </w:rPr>
        <w:tab/>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 xml:space="preserve">般公共预算财政拨款支出决算情况说明               </w:t>
      </w:r>
      <w:r>
        <w:rPr>
          <w:rFonts w:ascii="仿宋" w:eastAsia="仿宋"/>
          <w:sz w:val="28"/>
          <w:szCs w:val="28"/>
        </w:rPr>
        <w:tab/>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 xml:space="preserve">般公共预算财政拨款基本支出决算情况说明           </w:t>
      </w:r>
      <w:r>
        <w:rPr>
          <w:rFonts w:ascii="仿宋" w:eastAsia="仿宋"/>
          <w:sz w:val="28"/>
          <w:szCs w:val="28"/>
        </w:rPr>
        <w:tab/>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 xml:space="preserve">三公”经费财政拨款支出决算情况说明                </w:t>
      </w:r>
      <w:r>
        <w:rPr>
          <w:rFonts w:ascii="仿宋" w:eastAsia="仿宋"/>
          <w:sz w:val="28"/>
          <w:szCs w:val="28"/>
        </w:rPr>
        <w:tab/>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 xml:space="preserve">政府性基金预算支出决算情况说明                     </w:t>
      </w:r>
      <w:r>
        <w:rPr>
          <w:rFonts w:ascii="仿宋" w:eastAsia="仿宋"/>
          <w:sz w:val="28"/>
          <w:szCs w:val="28"/>
        </w:rPr>
        <w:tab/>
      </w:r>
      <w:r>
        <w:rPr>
          <w:rFonts w:ascii="仿宋" w:eastAsia="仿宋"/>
          <w:sz w:val="28"/>
          <w:szCs w:val="28"/>
        </w:rPr>
        <w:fldChar w:fldCharType="end"/>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 xml:space="preserve">有资本经营预算支出决算情况说明                   </w:t>
      </w:r>
      <w:r>
        <w:rPr>
          <w:rFonts w:ascii="仿宋" w:eastAsia="仿宋"/>
          <w:sz w:val="28"/>
          <w:szCs w:val="28"/>
        </w:rPr>
        <w:tab/>
      </w:r>
      <w:r>
        <w:rPr>
          <w:rFonts w:ascii="仿宋" w:eastAsia="仿宋"/>
          <w:sz w:val="28"/>
          <w:szCs w:val="28"/>
        </w:rPr>
        <w:fldChar w:fldCharType="end"/>
      </w:r>
    </w:p>
    <w:p>
      <w:pPr>
        <w:pStyle w:val="11"/>
        <w:ind w:left="420"/>
        <w:rPr>
          <w:rFonts w:ascii="仿宋" w:eastAsia="仿宋"/>
          <w:sz w:val="28"/>
          <w:szCs w:val="28"/>
        </w:rPr>
      </w:pPr>
      <w:r>
        <w:rPr>
          <w:rStyle w:val="15"/>
          <w:rFonts w:hint="eastAsia" w:ascii="仿宋" w:eastAsia="仿宋"/>
          <w:bCs/>
          <w:sz w:val="28"/>
          <w:szCs w:val="28"/>
        </w:rPr>
        <w:t xml:space="preserve"> 十、预算绩效情况说明    </w:t>
      </w:r>
    </w:p>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 xml:space="preserve">一、其他重要事项的情况说明                           </w:t>
      </w:r>
      <w:r>
        <w:rPr>
          <w:rFonts w:ascii="仿宋" w:eastAsia="仿宋"/>
          <w:sz w:val="28"/>
          <w:szCs w:val="28"/>
        </w:rPr>
        <w:tab/>
      </w:r>
      <w:r>
        <w:rPr>
          <w:rFonts w:ascii="仿宋" w:eastAsia="仿宋"/>
          <w:sz w:val="28"/>
          <w:szCs w:val="28"/>
        </w:rPr>
        <w:fldChar w:fldCharType="end"/>
      </w:r>
    </w:p>
    <w:p>
      <w:pPr>
        <w:pStyle w:val="10"/>
        <w:rPr>
          <w:rFonts w:cs="Arial"/>
        </w:rPr>
      </w:pPr>
      <w:r>
        <w:rPr>
          <w:rFonts w:hint="eastAsia"/>
        </w:rPr>
        <w:t xml:space="preserve"> </w:t>
      </w: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 xml:space="preserve">词解释                                         </w:t>
      </w:r>
      <w:r>
        <w:tab/>
      </w:r>
      <w:r>
        <w:rPr>
          <w:rFonts w:hint="eastAsia"/>
        </w:rPr>
        <w:t xml:space="preserve">  </w:t>
      </w:r>
      <w:r>
        <w:rPr>
          <w:rFonts w:hint="eastAsia"/>
        </w:rPr>
        <w:fldChar w:fldCharType="end"/>
      </w:r>
      <w:r>
        <w:rPr>
          <w:rFonts w:hint="eastAsia"/>
        </w:rPr>
        <w:t xml:space="preserve"> </w:t>
      </w:r>
    </w:p>
    <w:p>
      <w:pPr>
        <w:widowControl/>
        <w:ind w:firstLine="120" w:firstLineChars="50"/>
        <w:jc w:val="left"/>
        <w:rPr>
          <w:rFonts w:ascii="仿宋" w:eastAsia="仿宋"/>
          <w:color w:val="000000"/>
          <w:sz w:val="28"/>
          <w:szCs w:val="28"/>
        </w:rPr>
      </w:pPr>
      <w:r>
        <w:rPr>
          <w:rFonts w:ascii="仿宋" w:eastAsia="仿宋"/>
          <w:color w:val="000000"/>
          <w:sz w:val="24"/>
        </w:rPr>
        <w:fldChar w:fldCharType="end"/>
      </w:r>
      <w:bookmarkStart w:id="12" w:name="_Toc15396599"/>
      <w:bookmarkStart w:id="13" w:name="_Toc15377196"/>
      <w:r>
        <w:rPr>
          <w:rFonts w:hint="eastAsia" w:ascii="仿宋" w:eastAsia="仿宋"/>
          <w:color w:val="000000"/>
          <w:sz w:val="28"/>
          <w:szCs w:val="28"/>
        </w:rPr>
        <w:t>第四部分  附件</w:t>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left="640" w:hanging="640" w:hangingChars="200"/>
        <w:rPr>
          <w:rStyle w:val="17"/>
          <w:rFonts w:ascii="黑体" w:eastAsia="黑体"/>
          <w:b w:val="0"/>
          <w:bCs w:val="0"/>
        </w:rPr>
      </w:pPr>
      <w:bookmarkStart w:id="14" w:name="_Toc15396600"/>
      <w:bookmarkStart w:id="15" w:name="_Toc15377197"/>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8445"/>
      <w:bookmarkStart w:id="17"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snapToGrid w:val="0"/>
        <w:spacing w:line="540" w:lineRule="exact"/>
        <w:ind w:firstLine="320" w:firstLineChars="100"/>
        <w:rPr>
          <w:rFonts w:ascii="仿宋_GB2312" w:hAnsi="仿宋" w:eastAsia="仿宋_GB2312"/>
          <w:bCs/>
          <w:sz w:val="30"/>
          <w:szCs w:val="30"/>
        </w:rPr>
      </w:pPr>
      <w:r>
        <w:rPr>
          <w:rFonts w:hint="eastAsia" w:ascii="仿宋_GB2312" w:hAnsi="仿宋" w:eastAsia="仿宋_GB2312" w:cs="仿宋_GB2312"/>
          <w:sz w:val="32"/>
          <w:szCs w:val="32"/>
        </w:rPr>
        <w:t>配置人力资源、促进充分就业；统筹城乡社会保险；协调劳动关系；就业专项资金和社会保险基金监管；职业技能培训；职称制度改革和事业单位人事制度改革；综合管理行政机关公务员、事业单位工作人员、机关工勤人员及教育培训、流动调配工作、参与人才管理工作；负责军队转业干部安置、教育培训、管理服务工作；负责劳务开发及农民工工作；负责劳动人事争议仲裁、劳动关系、劳动监察执法工作；承担县委、县政府和上级业务部门交办的</w:t>
      </w:r>
      <w:r>
        <w:rPr>
          <w:rFonts w:hint="eastAsia" w:ascii="仿宋_GB2312" w:hAnsi="仿宋" w:eastAsia="仿宋_GB2312" w:cs="仿宋_GB2312"/>
          <w:sz w:val="32"/>
          <w:szCs w:val="32"/>
          <w:lang w:eastAsia="zh-CN"/>
        </w:rPr>
        <w:t>其他事项</w:t>
      </w:r>
      <w:r>
        <w:rPr>
          <w:rFonts w:hint="eastAsia" w:ascii="仿宋_GB2312" w:hAnsi="仿宋" w:eastAsia="仿宋_GB2312" w:cs="仿宋_GB2312"/>
          <w:sz w:val="32"/>
          <w:szCs w:val="32"/>
        </w:rPr>
        <w:t>。</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40" w:lineRule="exact"/>
        <w:ind w:firstLine="640" w:firstLineChars="200"/>
        <w:rPr>
          <w:rFonts w:ascii="仿宋_GB2312" w:hAnsi="仿宋" w:eastAsia="仿宋_GB2312" w:cs="仿宋_GB2312"/>
          <w:sz w:val="32"/>
          <w:szCs w:val="32"/>
        </w:rPr>
      </w:pPr>
      <w:bookmarkStart w:id="20" w:name="_Toc15377200"/>
      <w:bookmarkStart w:id="21" w:name="_Toc15396601"/>
      <w:r>
        <w:rPr>
          <w:rFonts w:hint="eastAsia" w:ascii="仿宋_GB2312" w:hAnsi="仿宋" w:eastAsia="仿宋_GB2312" w:cs="仿宋_GB2312"/>
          <w:sz w:val="32"/>
          <w:szCs w:val="32"/>
        </w:rPr>
        <w:t>1.</w:t>
      </w:r>
      <w:r>
        <w:rPr>
          <w:rFonts w:ascii="仿宋_GB2312" w:hAnsi="仿宋" w:eastAsia="仿宋_GB2312" w:cs="仿宋_GB2312"/>
          <w:sz w:val="32"/>
          <w:szCs w:val="32"/>
        </w:rPr>
        <w:t>汇聚合力、多措并举，疫情防控扎实应对。</w:t>
      </w:r>
      <w:r>
        <w:rPr>
          <w:rFonts w:hint="eastAsia" w:ascii="仿宋_GB2312" w:hAnsi="仿宋" w:eastAsia="仿宋_GB2312" w:cs="仿宋_GB2312"/>
          <w:sz w:val="32"/>
          <w:szCs w:val="32"/>
        </w:rPr>
        <w:t xml:space="preserve">   </w:t>
      </w:r>
    </w:p>
    <w:p>
      <w:pPr>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2.</w:t>
      </w:r>
      <w:r>
        <w:rPr>
          <w:rFonts w:ascii="仿宋_GB2312" w:hAnsi="仿宋" w:eastAsia="仿宋_GB2312" w:cs="仿宋_GB2312"/>
          <w:sz w:val="32"/>
          <w:szCs w:val="32"/>
        </w:rPr>
        <w:t>强基固本、精准发力，就业创业工作稳步推进。</w:t>
      </w:r>
      <w:r>
        <w:rPr>
          <w:rFonts w:hint="eastAsia" w:ascii="仿宋_GB2312" w:hAnsi="仿宋" w:eastAsia="仿宋_GB2312" w:cs="仿宋_GB2312"/>
          <w:sz w:val="32"/>
          <w:szCs w:val="32"/>
        </w:rPr>
        <w:t xml:space="preserve"> </w:t>
      </w:r>
    </w:p>
    <w:p>
      <w:pPr>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w:t>
      </w:r>
      <w:r>
        <w:rPr>
          <w:rFonts w:ascii="仿宋_GB2312" w:hAnsi="仿宋" w:eastAsia="仿宋_GB2312" w:cs="仿宋_GB2312"/>
          <w:sz w:val="32"/>
          <w:szCs w:val="32"/>
        </w:rPr>
        <w:t>真抓实干、统筹推进，社会保障体系建设成效显著。</w:t>
      </w:r>
      <w:r>
        <w:rPr>
          <w:rFonts w:hint="eastAsia" w:ascii="仿宋_GB2312" w:hAnsi="仿宋" w:eastAsia="仿宋_GB2312" w:cs="仿宋_GB2312"/>
          <w:sz w:val="32"/>
          <w:szCs w:val="32"/>
        </w:rPr>
        <w:t xml:space="preserve"> </w:t>
      </w:r>
      <w:r>
        <w:rPr>
          <w:rFonts w:hAnsi="仿宋" w:cs="仿宋_GB2312"/>
          <w:szCs w:val="32"/>
        </w:rPr>
        <w:t xml:space="preserve"> </w:t>
      </w:r>
    </w:p>
    <w:p>
      <w:pPr>
        <w:overflowPunct w:val="0"/>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4.</w:t>
      </w:r>
      <w:r>
        <w:rPr>
          <w:rFonts w:ascii="仿宋_GB2312" w:hAnsi="仿宋" w:eastAsia="仿宋_GB2312" w:cs="仿宋_GB2312"/>
          <w:sz w:val="32"/>
          <w:szCs w:val="32"/>
        </w:rPr>
        <w:t>明确目标、狠抓落实，人事人才管理服务高效提升。</w:t>
      </w:r>
      <w:r>
        <w:rPr>
          <w:rFonts w:hint="eastAsia" w:ascii="仿宋_GB2312" w:hAnsi="仿宋" w:eastAsia="仿宋_GB2312" w:cs="仿宋_GB2312"/>
          <w:sz w:val="32"/>
          <w:szCs w:val="32"/>
        </w:rPr>
        <w:t xml:space="preserve">       </w:t>
      </w:r>
    </w:p>
    <w:p>
      <w:pPr>
        <w:overflowPunct w:val="0"/>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6.</w:t>
      </w:r>
      <w:r>
        <w:rPr>
          <w:rFonts w:ascii="仿宋_GB2312" w:hAnsi="仿宋" w:eastAsia="仿宋_GB2312" w:cs="仿宋_GB2312"/>
          <w:sz w:val="32"/>
          <w:szCs w:val="32"/>
        </w:rPr>
        <w:t>突出重点、有的放矢，“阳光人社”工作不断深化。</w:t>
      </w:r>
      <w:r>
        <w:rPr>
          <w:rFonts w:hint="eastAsia" w:ascii="仿宋_GB2312" w:hAnsi="仿宋" w:eastAsia="仿宋_GB2312" w:cs="仿宋_GB2312"/>
          <w:sz w:val="32"/>
          <w:szCs w:val="32"/>
        </w:rPr>
        <w:t xml:space="preserve"> </w:t>
      </w:r>
    </w:p>
    <w:p>
      <w:pPr>
        <w:overflowPunct w:val="0"/>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7.</w:t>
      </w:r>
      <w:r>
        <w:rPr>
          <w:rFonts w:ascii="仿宋_GB2312" w:hAnsi="仿宋" w:eastAsia="仿宋_GB2312" w:cs="仿宋_GB2312"/>
          <w:sz w:val="32"/>
          <w:szCs w:val="32"/>
        </w:rPr>
        <w:t>精准靶向、一抓到底，人社扶贫成效持续巩固。</w:t>
      </w:r>
      <w:r>
        <w:rPr>
          <w:rFonts w:hint="eastAsia" w:ascii="仿宋_GB2312" w:hAnsi="仿宋" w:eastAsia="仿宋_GB2312" w:cs="仿宋_GB2312"/>
          <w:sz w:val="32"/>
          <w:szCs w:val="32"/>
        </w:rPr>
        <w:t xml:space="preserve">      </w:t>
      </w:r>
    </w:p>
    <w:p>
      <w:pPr>
        <w:spacing w:line="578" w:lineRule="exact"/>
        <w:ind w:firstLine="640" w:firstLineChars="200"/>
        <w:rPr>
          <w:rStyle w:val="17"/>
          <w:b w:val="0"/>
          <w:bCs w:val="0"/>
        </w:rPr>
      </w:pPr>
      <w:r>
        <w:rPr>
          <w:rStyle w:val="17"/>
          <w:rFonts w:hint="eastAsia" w:ascii="黑体" w:eastAsia="黑体"/>
          <w:b w:val="0"/>
          <w:bCs w:val="0"/>
        </w:rPr>
        <w:t>二、机构设置</w:t>
      </w:r>
      <w:bookmarkEnd w:id="20"/>
      <w:bookmarkEnd w:id="21"/>
    </w:p>
    <w:p>
      <w:pPr>
        <w:snapToGrid w:val="0"/>
        <w:spacing w:line="540" w:lineRule="exact"/>
        <w:ind w:firstLine="200"/>
        <w:rPr>
          <w:rFonts w:ascii="仿宋_GB2312" w:hAnsi="仿宋" w:eastAsia="仿宋_GB2312"/>
          <w:sz w:val="32"/>
          <w:szCs w:val="32"/>
        </w:rPr>
      </w:pPr>
      <w:bookmarkStart w:id="22" w:name="_Toc15396602"/>
      <w:bookmarkStart w:id="23" w:name="_Toc15377204"/>
      <w:r>
        <w:rPr>
          <w:rFonts w:hint="eastAsia" w:ascii="仿宋_GB2312" w:hAnsi="仿宋" w:eastAsia="仿宋_GB2312"/>
          <w:sz w:val="32"/>
          <w:szCs w:val="32"/>
        </w:rPr>
        <w:t xml:space="preserve"> </w:t>
      </w:r>
      <w:r>
        <w:rPr>
          <w:rFonts w:hint="eastAsia" w:ascii="仿宋_GB2312" w:hAnsi="仿宋" w:eastAsia="仿宋_GB2312" w:cs="仿宋_GB2312"/>
          <w:sz w:val="32"/>
          <w:szCs w:val="32"/>
        </w:rPr>
        <w:t>金川县人力资源和社会保障局为县政府工作部门，下设劳动人事争议仲裁院、信息中心两个事业单位 、19个股所级事业机构（乡镇就业和社会保障中心），因2020年乡镇事业机构改革，于2020年9月全部职能划转到各乡镇。内设办公室、事业人员管理股、工资福利与退休管理股、社会保险管理股、劳动综合管理股5个股室。</w:t>
      </w:r>
    </w:p>
    <w:p>
      <w:pPr>
        <w:pStyle w:val="2"/>
        <w:ind w:right="440"/>
        <w:jc w:val="right"/>
      </w:pPr>
      <w:r>
        <w:rPr>
          <w:rFonts w:hint="eastAsia" w:ascii="黑体" w:eastAsia="黑体"/>
          <w:b w:val="0"/>
          <w:color w:val="000000"/>
        </w:rPr>
        <w:t>第二部分</w:t>
      </w:r>
      <w:r>
        <w:rPr>
          <w:rStyle w:val="16"/>
          <w:rFonts w:hint="eastAsia" w:ascii="黑体" w:eastAsia="黑体"/>
          <w:b w:val="0"/>
          <w:bCs w:val="0"/>
        </w:rPr>
        <w:t>2020年度部门决算情况说明</w:t>
      </w:r>
      <w:bookmarkEnd w:id="22"/>
      <w:bookmarkEnd w:id="23"/>
    </w:p>
    <w:p>
      <w:pPr>
        <w:pStyle w:val="22"/>
        <w:numPr>
          <w:ilvl w:val="0"/>
          <w:numId w:val="1"/>
        </w:numPr>
        <w:ind w:left="0" w:firstLine="0" w:firstLineChars="0"/>
        <w:outlineLvl w:val="1"/>
        <w:rPr>
          <w:rStyle w:val="17"/>
          <w:rFonts w:ascii="黑体" w:eastAsia="黑体"/>
          <w:b w:val="0"/>
        </w:rPr>
      </w:pPr>
      <w:bookmarkStart w:id="24" w:name="_Toc15396603"/>
      <w:bookmarkStart w:id="25" w:name="_Toc15377205"/>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snapToGrid w:val="0"/>
        <w:spacing w:line="54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2020年总收入合计954.20万元。</w:t>
      </w:r>
      <w:r>
        <w:rPr>
          <w:rFonts w:hint="eastAsia" w:ascii="仿宋_GB2312" w:eastAsia="仿宋_GB2312"/>
          <w:color w:val="000000" w:themeColor="text1"/>
          <w:spacing w:val="-2"/>
          <w:sz w:val="32"/>
          <w:szCs w:val="32"/>
        </w:rPr>
        <w:t>较上年收入</w:t>
      </w:r>
      <w:r>
        <w:rPr>
          <w:rFonts w:hint="eastAsia" w:ascii="仿宋_GB2312" w:hAnsi="仿宋" w:eastAsia="仿宋_GB2312" w:cs="仿宋_GB2312"/>
          <w:sz w:val="32"/>
          <w:szCs w:val="32"/>
        </w:rPr>
        <w:t>减少203.87万元，减少17%。减少的主要原因是2020年9月乡镇事业机构改革，我单位下设19个乡镇社保所全部职能、人员划转到各乡镇。9月起所有乡镇社保员工资、保险由各乡镇负责发放。</w:t>
      </w:r>
    </w:p>
    <w:p>
      <w:pPr>
        <w:snapToGrid w:val="0"/>
        <w:spacing w:line="54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2020年总支出合计1031.39万元 。较上年支出减少138.80万元，减少12%。主要原因一是各乡镇社保员工资、保险划转待各乡镇 ；二是2020年支上年结转项目资金77.19万元。</w:t>
      </w:r>
    </w:p>
    <w:p>
      <w:pPr>
        <w:snapToGrid w:val="0"/>
        <w:spacing w:line="520" w:lineRule="exact"/>
        <w:ind w:firstLine="640" w:firstLineChars="200"/>
        <w:rPr>
          <w:rStyle w:val="17"/>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96604"/>
      <w:bookmarkStart w:id="27" w:name="_Toc15377206"/>
      <w:r>
        <w:rPr>
          <w:rFonts w:hint="eastAsia" w:ascii="黑体" w:eastAsia="黑体"/>
          <w:color w:val="000000"/>
          <w:sz w:val="32"/>
          <w:szCs w:val="32"/>
        </w:rPr>
        <w:t>二、收入决</w:t>
      </w:r>
      <w:r>
        <w:rPr>
          <w:rStyle w:val="17"/>
          <w:rFonts w:hint="eastAsia" w:ascii="黑体" w:eastAsia="黑体"/>
          <w:b w:val="0"/>
        </w:rPr>
        <w:t>算情况说明</w:t>
      </w:r>
      <w:bookmarkEnd w:id="26"/>
      <w:bookmarkEnd w:id="27"/>
    </w:p>
    <w:p>
      <w:pPr>
        <w:snapToGrid w:val="0"/>
        <w:spacing w:line="54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2020年总收入合计954.20万元。其中：一般公共预算财政拨款收入954.20万元，占100%；政府性基金预算财政拨款收入0元，占0%；国有资本经营预算财政拨款收入0万元，占0%；上级补助收入0万元，占0%；事业收入0万元，占0%；经营收入0万元，占0%；附属单位上缴收入0万元，占0%；其他收入0万元，占0%。</w:t>
      </w:r>
    </w:p>
    <w:p>
      <w:pPr>
        <w:spacing w:line="600" w:lineRule="exact"/>
        <w:ind w:firstLine="640" w:firstLineChars="200"/>
        <w:outlineLvl w:val="1"/>
        <w:rPr>
          <w:rFonts w:hint="eastAsia" w:ascii="仿宋_GB2312" w:eastAsia="仿宋_GB2312"/>
          <w:color w:val="000000"/>
          <w:sz w:val="32"/>
          <w:szCs w:val="32"/>
        </w:rPr>
      </w:pPr>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96605"/>
      <w:bookmarkStart w:id="29" w:name="_Toc15377207"/>
      <w:r>
        <w:rPr>
          <w:rFonts w:hint="eastAsia" w:ascii="黑体" w:eastAsia="黑体"/>
          <w:color w:val="000000"/>
          <w:sz w:val="32"/>
          <w:szCs w:val="32"/>
        </w:rPr>
        <w:t>三、支出决</w:t>
      </w:r>
      <w:r>
        <w:rPr>
          <w:rStyle w:val="17"/>
          <w:rFonts w:hint="eastAsia" w:ascii="黑体" w:eastAsia="黑体"/>
          <w:b w:val="0"/>
        </w:rPr>
        <w:t>算情况说明</w:t>
      </w:r>
      <w:bookmarkEnd w:id="28"/>
      <w:bookmarkEnd w:id="29"/>
    </w:p>
    <w:p>
      <w:pPr>
        <w:snapToGrid w:val="0"/>
        <w:spacing w:line="540" w:lineRule="exact"/>
        <w:ind w:firstLine="800" w:firstLineChars="250"/>
        <w:rPr>
          <w:rFonts w:hint="eastAsia" w:ascii="仿宋_GB2312" w:hAnsi="仿宋" w:eastAsia="仿宋_GB2312" w:cs="仿宋_GB2312"/>
          <w:color w:val="000000" w:themeColor="text1"/>
          <w:sz w:val="32"/>
          <w:szCs w:val="32"/>
        </w:rPr>
      </w:pPr>
      <w:r>
        <w:rPr>
          <w:rFonts w:hint="eastAsia" w:ascii="仿宋_GB2312" w:hAnsi="仿宋" w:eastAsia="仿宋_GB2312" w:cs="仿宋_GB2312"/>
          <w:sz w:val="32"/>
          <w:szCs w:val="32"/>
        </w:rPr>
        <w:t>2020年总支出合计1031.39万元 。其中基本支出880.19万元，占85 %，项目支出151.20万元，占 15%。</w:t>
      </w:r>
      <w:r>
        <w:rPr>
          <w:rFonts w:hint="eastAsia" w:ascii="仿宋_GB2312" w:eastAsia="仿宋_GB2312"/>
          <w:color w:val="000000" w:themeColor="text1"/>
          <w:sz w:val="32"/>
          <w:szCs w:val="32"/>
        </w:rPr>
        <w:t>上缴上级支出0万元，占0%；经营支出0万元，占0%；对附属单位补助支出0万元，占0%。</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7"/>
          <w:rFonts w:ascii="黑体" w:eastAsia="黑体"/>
          <w:b w:val="0"/>
        </w:rPr>
      </w:pPr>
      <w:bookmarkStart w:id="30" w:name="_Toc15377208"/>
      <w:bookmarkStart w:id="31" w:name="_Toc15396606"/>
      <w:r>
        <w:rPr>
          <w:rFonts w:hint="eastAsia" w:ascii="黑体" w:eastAsia="黑体"/>
          <w:color w:val="000000"/>
          <w:sz w:val="32"/>
          <w:szCs w:val="32"/>
        </w:rPr>
        <w:t>四、财</w:t>
      </w:r>
      <w:r>
        <w:rPr>
          <w:rStyle w:val="17"/>
          <w:rFonts w:hint="eastAsia" w:ascii="黑体" w:eastAsia="黑体"/>
          <w:b w:val="0"/>
        </w:rPr>
        <w:t>政拨款收入支出决算总体情况说明</w:t>
      </w:r>
      <w:bookmarkEnd w:id="30"/>
      <w:bookmarkEnd w:id="31"/>
    </w:p>
    <w:p>
      <w:pPr>
        <w:snapToGrid w:val="0"/>
        <w:spacing w:line="540" w:lineRule="exact"/>
        <w:ind w:firstLine="960" w:firstLineChars="300"/>
        <w:rPr>
          <w:rFonts w:hint="eastAsia" w:ascii="仿宋_GB2312" w:eastAsia="仿宋_GB2312"/>
          <w:color w:val="FF0000"/>
          <w:sz w:val="32"/>
          <w:szCs w:val="32"/>
        </w:rPr>
      </w:pPr>
      <w:r>
        <w:rPr>
          <w:rFonts w:hint="eastAsia" w:ascii="仿宋_GB2312" w:hAnsi="仿宋" w:eastAsia="仿宋_GB2312" w:cs="仿宋_GB2312"/>
          <w:sz w:val="32"/>
          <w:szCs w:val="32"/>
        </w:rPr>
        <w:t xml:space="preserve">2020年财政拨款收入合计954.20万元。与2019年相比，财政拨款收入减少203.87万元，减少17%。减少的主要原因是2020年9月乡镇事业机构改革，我单位下设19个乡镇社保所全部职能、人员划转到各乡镇。9月起所有乡镇社保员工资、保险由各乡镇负责发放。2020年财政拨款支出合计1031.39万元 。较上年支出减少138.80万元，减少12%。 </w:t>
      </w:r>
    </w:p>
    <w:p>
      <w:pPr>
        <w:spacing w:line="600" w:lineRule="exact"/>
        <w:ind w:firstLine="640" w:firstLineChars="200"/>
        <w:rPr>
          <w:rStyle w:val="17"/>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40" w:lineRule="exact"/>
        <w:ind w:firstLine="960" w:firstLineChars="300"/>
        <w:rPr>
          <w:rFonts w:hint="eastAsia" w:ascii="仿宋_GB2312" w:hAnsi="仿宋" w:eastAsia="仿宋_GB2312" w:cs="仿宋_GB2312"/>
          <w:color w:val="000000" w:themeColor="text1"/>
          <w:sz w:val="32"/>
          <w:szCs w:val="32"/>
        </w:rPr>
      </w:pPr>
      <w:r>
        <w:rPr>
          <w:rFonts w:hint="eastAsia" w:ascii="仿宋_GB2312" w:hAnsi="仿宋" w:eastAsia="仿宋_GB2312" w:cs="仿宋_GB2312"/>
          <w:sz w:val="32"/>
          <w:szCs w:val="32"/>
        </w:rPr>
        <w:t>2020年一般公共预算财政拨款支出</w:t>
      </w:r>
      <w:r>
        <w:rPr>
          <w:rFonts w:hint="eastAsia" w:ascii="仿宋_GB2312" w:eastAsia="仿宋_GB2312"/>
          <w:sz w:val="32"/>
          <w:szCs w:val="32"/>
        </w:rPr>
        <w:t xml:space="preserve"> 1031.39万元，占本年支出合计的100%。</w:t>
      </w:r>
      <w:r>
        <w:rPr>
          <w:rFonts w:hint="eastAsia" w:ascii="仿宋_GB2312" w:hAnsi="仿宋" w:eastAsia="仿宋_GB2312" w:cs="仿宋_GB2312"/>
          <w:sz w:val="32"/>
          <w:szCs w:val="32"/>
        </w:rPr>
        <w:t>与2019年相比，一般公共预算财政拨款支出减少138.80万元，减少12%。主要原因一是各乡镇社保员工资、保险划转待各乡镇 ；二是2020年</w:t>
      </w:r>
      <w:r>
        <w:rPr>
          <w:rFonts w:hint="eastAsia" w:ascii="仿宋_GB2312" w:eastAsia="仿宋_GB2312"/>
          <w:color w:val="000000" w:themeColor="text1"/>
          <w:spacing w:val="-2"/>
          <w:sz w:val="32"/>
          <w:szCs w:val="32"/>
        </w:rPr>
        <w:t>财政拨款支出包含了上年结转项目。</w:t>
      </w:r>
    </w:p>
    <w:p>
      <w:pPr>
        <w:snapToGrid w:val="0"/>
        <w:spacing w:line="520" w:lineRule="exact"/>
        <w:rPr>
          <w:rFonts w:ascii="仿宋_GB2312" w:eastAsia="仿宋_GB2312"/>
          <w:color w:val="FF0000"/>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napToGrid w:val="0"/>
        <w:spacing w:line="54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2020年</w:t>
      </w:r>
      <w:r>
        <w:rPr>
          <w:rFonts w:hint="eastAsia" w:ascii="仿宋_GB2312" w:eastAsia="仿宋_GB2312"/>
          <w:sz w:val="32"/>
          <w:szCs w:val="32"/>
        </w:rPr>
        <w:t>一般公共预算财政拨款支出1031.39万元，主要用于以下方面:</w:t>
      </w:r>
      <w:r>
        <w:rPr>
          <w:rFonts w:hint="eastAsia" w:ascii="仿宋_GB2312" w:hAnsi="仿宋" w:eastAsia="仿宋_GB2312" w:cs="仿宋_GB2312"/>
          <w:sz w:val="32"/>
          <w:szCs w:val="32"/>
        </w:rPr>
        <w:t xml:space="preserve"> 其中一般公共服务支出338.78万元 ,占32.82 %，教育支出1.72万元，占0.2%；社会保障和就业支出571.98万元，占 55.46%;卫生健康支出45.25万元,占4.38%；住房保障支出73.66万元，占 7.14%。</w:t>
      </w:r>
    </w:p>
    <w:p>
      <w:pPr>
        <w:spacing w:line="600" w:lineRule="exact"/>
        <w:ind w:firstLine="640"/>
        <w:rPr>
          <w:rFonts w:hint="eastAsia" w:ascii="仿宋_GB2312" w:eastAsia="仿宋_GB2312"/>
          <w:color w:val="FF0000"/>
          <w:sz w:val="32"/>
          <w:szCs w:val="32"/>
        </w:rPr>
      </w:pPr>
    </w:p>
    <w:p>
      <w:pPr>
        <w:spacing w:line="600" w:lineRule="exact"/>
        <w:ind w:firstLine="8353" w:firstLineChars="2600"/>
        <w:outlineLvl w:val="2"/>
        <w:rPr>
          <w:rFonts w:ascii="仿宋" w:eastAsia="仿宋"/>
          <w:b/>
          <w:color w:val="000000"/>
          <w:sz w:val="32"/>
          <w:szCs w:val="32"/>
        </w:rPr>
      </w:pPr>
      <w:bookmarkStart w:id="36" w:name="_Toc15377213"/>
      <w:bookmarkStart w:id="37" w:name="_Toc15378460"/>
      <w:bookmarkStart w:id="38" w:name="_Toc15377444"/>
    </w:p>
    <w:p>
      <w:pPr>
        <w:spacing w:line="600" w:lineRule="exact"/>
        <w:ind w:firstLine="8353" w:firstLineChars="2600"/>
        <w:outlineLvl w:val="2"/>
        <w:rPr>
          <w:rFonts w:ascii="仿宋" w:eastAsia="仿宋"/>
          <w:b/>
          <w:color w:val="000000"/>
          <w:sz w:val="32"/>
          <w:szCs w:val="32"/>
        </w:rPr>
      </w:pPr>
    </w:p>
    <w:p>
      <w:pPr>
        <w:spacing w:line="600" w:lineRule="exact"/>
        <w:ind w:firstLine="8320" w:firstLineChars="2600"/>
        <w:outlineLvl w:val="2"/>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299085</wp:posOffset>
            </wp:positionH>
            <wp:positionV relativeFrom="paragraph">
              <wp:posOffset>349250</wp:posOffset>
            </wp:positionV>
            <wp:extent cx="4822825" cy="2298700"/>
            <wp:effectExtent l="19050" t="0" r="15875" b="635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Style w:val="14"/>
          <w:rFonts w:ascii="仿宋" w:eastAsia="仿宋"/>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6"/>
      <w:bookmarkEnd w:id="37"/>
      <w:bookmarkEnd w:id="38"/>
      <w:bookmarkEnd w:id="39"/>
      <w:bookmarkStart w:id="40" w:name="_Toc15396608"/>
      <w:bookmarkStart w:id="41" w:name="_Toc15377214"/>
    </w:p>
    <w:p>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1.一般公共服务支出 2011050事业运行</w:t>
      </w:r>
      <w:r>
        <w:rPr>
          <w:rFonts w:hint="eastAsia" w:ascii="仿宋_GB2312" w:eastAsia="仿宋_GB2312"/>
          <w:sz w:val="32"/>
          <w:szCs w:val="32"/>
        </w:rPr>
        <w:t>：支出决算为267.01万元，完成预算100%，决算数与预算数持平</w:t>
      </w:r>
    </w:p>
    <w:p>
      <w:pPr>
        <w:snapToGrid w:val="0"/>
        <w:spacing w:line="540" w:lineRule="exact"/>
        <w:ind w:firstLine="411" w:firstLineChars="196"/>
        <w:rPr>
          <w:rFonts w:ascii="仿宋_GB2312" w:eastAsia="仿宋_GB2312"/>
          <w:sz w:val="32"/>
          <w:szCs w:val="32"/>
        </w:rPr>
      </w:pPr>
      <w:r>
        <w:rPr>
          <w:rFonts w:hint="eastAsia"/>
        </w:rPr>
        <w:t xml:space="preserve">     </w:t>
      </w:r>
      <w:r>
        <w:rPr>
          <w:rFonts w:hint="eastAsia" w:ascii="仿宋_GB2312" w:eastAsia="仿宋_GB2312"/>
          <w:b/>
          <w:sz w:val="32"/>
          <w:szCs w:val="32"/>
        </w:rPr>
        <w:t>一般公共服务支出 2011099其他人力资源事务支出：</w:t>
      </w:r>
      <w:r>
        <w:rPr>
          <w:rFonts w:hint="eastAsia" w:ascii="仿宋_GB2312" w:eastAsia="仿宋_GB2312"/>
          <w:sz w:val="32"/>
          <w:szCs w:val="32"/>
        </w:rPr>
        <w:t>支出决算数为71.70万元 。完成预算100%，决算数与预算数持平</w:t>
      </w:r>
    </w:p>
    <w:p>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2.教育支出 2050803培训支出：</w:t>
      </w:r>
      <w:r>
        <w:rPr>
          <w:rFonts w:hint="eastAsia" w:ascii="仿宋_GB2312" w:eastAsia="仿宋_GB2312"/>
          <w:sz w:val="32"/>
          <w:szCs w:val="32"/>
        </w:rPr>
        <w:t>支出决算为1.72万元，完成预算100%，决算数与预算数持平</w:t>
      </w:r>
    </w:p>
    <w:p>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3.社会保障和就业支出 2080101 行政运行</w:t>
      </w:r>
      <w:r>
        <w:rPr>
          <w:rFonts w:hint="eastAsia" w:ascii="仿宋_GB2312" w:eastAsia="仿宋_GB2312"/>
          <w:sz w:val="32"/>
          <w:szCs w:val="32"/>
        </w:rPr>
        <w:t>：支出决算为389.07万元，完成预算100%，决算数与预算数持平</w:t>
      </w:r>
    </w:p>
    <w:p>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20800199其他人力资源和社会保障局和社会保障管理事务支出 ：</w:t>
      </w:r>
      <w:r>
        <w:rPr>
          <w:rFonts w:hint="eastAsia" w:ascii="仿宋_GB2312" w:eastAsia="仿宋_GB2312"/>
          <w:sz w:val="32"/>
          <w:szCs w:val="32"/>
        </w:rPr>
        <w:t>支出决算为77.19万元，完成预算100%，决算数与预算数持平</w:t>
      </w:r>
    </w:p>
    <w:p>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2080505  机关事业单位基本养老保险缴费支出：</w:t>
      </w:r>
      <w:r>
        <w:rPr>
          <w:rFonts w:hint="eastAsia" w:ascii="仿宋_GB2312" w:eastAsia="仿宋_GB2312"/>
          <w:sz w:val="32"/>
          <w:szCs w:val="32"/>
        </w:rPr>
        <w:t>支出决算为70.47万元，完成预算100%，决算数与预算数持平</w:t>
      </w:r>
    </w:p>
    <w:p>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2080506 机关事业单位职业年金缴费支出</w:t>
      </w:r>
      <w:r>
        <w:rPr>
          <w:rFonts w:hint="eastAsia" w:ascii="仿宋_GB2312" w:eastAsia="仿宋_GB2312"/>
          <w:sz w:val="32"/>
          <w:szCs w:val="32"/>
        </w:rPr>
        <w:t>：支出决算为35.23万元，完成预算100%，决算数与预算数持平</w:t>
      </w:r>
    </w:p>
    <w:p>
      <w:pPr>
        <w:snapToGrid w:val="0"/>
        <w:spacing w:line="540" w:lineRule="exact"/>
        <w:ind w:firstLine="157" w:firstLineChars="49"/>
        <w:rPr>
          <w:rFonts w:ascii="仿宋_GB2312" w:eastAsia="仿宋_GB2312"/>
          <w:sz w:val="32"/>
          <w:szCs w:val="32"/>
        </w:rPr>
      </w:pPr>
      <w:r>
        <w:rPr>
          <w:rFonts w:hint="eastAsia" w:ascii="仿宋_GB2312" w:eastAsia="仿宋_GB2312"/>
          <w:b/>
          <w:sz w:val="32"/>
          <w:szCs w:val="32"/>
        </w:rPr>
        <w:t>4.卫生健康支出 2100410 突发公共卫生事件应急处理</w:t>
      </w:r>
      <w:r>
        <w:rPr>
          <w:rFonts w:hint="eastAsia" w:ascii="仿宋_GB2312" w:eastAsia="仿宋_GB2312"/>
          <w:sz w:val="32"/>
          <w:szCs w:val="32"/>
        </w:rPr>
        <w:t>：支出决算为0.52万元，完成预算100%，决算数与预算数持平</w:t>
      </w:r>
    </w:p>
    <w:p>
      <w:pPr>
        <w:snapToGrid w:val="0"/>
        <w:spacing w:line="540" w:lineRule="exact"/>
        <w:ind w:firstLine="472" w:firstLineChars="147"/>
        <w:rPr>
          <w:rFonts w:ascii="仿宋_GB2312" w:eastAsia="仿宋_GB2312"/>
          <w:sz w:val="32"/>
          <w:szCs w:val="32"/>
        </w:rPr>
      </w:pPr>
      <w:r>
        <w:rPr>
          <w:rFonts w:hint="eastAsia" w:ascii="仿宋_GB2312" w:eastAsia="仿宋_GB2312"/>
          <w:b/>
          <w:sz w:val="32"/>
          <w:szCs w:val="32"/>
        </w:rPr>
        <w:t xml:space="preserve">卫生健康支出 2101101行政单位医疗 </w:t>
      </w:r>
      <w:r>
        <w:rPr>
          <w:rFonts w:hint="eastAsia" w:ascii="仿宋_GB2312" w:eastAsia="仿宋_GB2312"/>
          <w:sz w:val="32"/>
          <w:szCs w:val="32"/>
        </w:rPr>
        <w:t>:支出决算为16.36万元，完成预算100%，决算数与预算数持平。</w:t>
      </w:r>
    </w:p>
    <w:p>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卫生健康支出 2101102事业单位医疗</w:t>
      </w:r>
      <w:r>
        <w:rPr>
          <w:rFonts w:hint="eastAsia" w:ascii="仿宋_GB2312" w:eastAsia="仿宋_GB2312"/>
          <w:sz w:val="32"/>
          <w:szCs w:val="32"/>
        </w:rPr>
        <w:t xml:space="preserve"> :支出决算为16.36万元，完成预算100%，决算数与预算数持平</w:t>
      </w:r>
    </w:p>
    <w:p>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卫生健康支出 2101103公务员医疗补助</w:t>
      </w:r>
      <w:r>
        <w:rPr>
          <w:rFonts w:hint="eastAsia" w:ascii="仿宋_GB2312" w:eastAsia="仿宋_GB2312"/>
          <w:sz w:val="32"/>
          <w:szCs w:val="32"/>
        </w:rPr>
        <w:t xml:space="preserve"> :支出决算为5.96万元，完成预算100%，决算数与预算数持平</w:t>
      </w:r>
    </w:p>
    <w:p>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 xml:space="preserve">卫生健康支出 210119其他行政事业单位医疗支出 </w:t>
      </w:r>
      <w:r>
        <w:rPr>
          <w:rFonts w:hint="eastAsia" w:ascii="仿宋_GB2312" w:eastAsia="仿宋_GB2312"/>
          <w:sz w:val="32"/>
          <w:szCs w:val="32"/>
        </w:rPr>
        <w:t>:支出决算为5.2万元，完成预算100%，决算数与预算数持平</w:t>
      </w:r>
    </w:p>
    <w:p>
      <w:pPr>
        <w:snapToGrid w:val="0"/>
        <w:spacing w:line="540" w:lineRule="exact"/>
        <w:ind w:firstLine="157" w:firstLineChars="49"/>
        <w:rPr>
          <w:rStyle w:val="14"/>
          <w:rFonts w:ascii="仿宋_GB2312" w:eastAsia="仿宋_GB2312"/>
          <w:b w:val="0"/>
          <w:sz w:val="32"/>
          <w:szCs w:val="32"/>
        </w:rPr>
      </w:pPr>
      <w:r>
        <w:rPr>
          <w:rFonts w:hint="eastAsia" w:ascii="仿宋_GB2312" w:eastAsia="仿宋_GB2312"/>
          <w:b/>
          <w:sz w:val="32"/>
          <w:szCs w:val="32"/>
        </w:rPr>
        <w:t>5. 住房保障支出 2210201 住房公积金:</w:t>
      </w:r>
      <w:r>
        <w:rPr>
          <w:rFonts w:hint="eastAsia" w:ascii="仿宋_GB2312" w:eastAsia="仿宋_GB2312"/>
          <w:sz w:val="32"/>
          <w:szCs w:val="32"/>
        </w:rPr>
        <w:t>支出决算为73.61万元，完成预算100%，决算数与预算数持平。</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napToGrid w:val="0"/>
        <w:spacing w:line="540" w:lineRule="exact"/>
        <w:ind w:firstLine="313" w:firstLineChars="98"/>
        <w:rPr>
          <w:rFonts w:hint="eastAsia" w:ascii="仿宋_GB2312" w:hAnsi="仿宋" w:eastAsia="仿宋_GB2312"/>
          <w:b/>
          <w:bCs/>
          <w:color w:val="000000"/>
          <w:sz w:val="32"/>
          <w:szCs w:val="32"/>
        </w:rPr>
      </w:pPr>
      <w:bookmarkStart w:id="42" w:name="_Toc15377215"/>
      <w:bookmarkStart w:id="43" w:name="_Toc15396609"/>
      <w:r>
        <w:rPr>
          <w:rFonts w:hint="eastAsia" w:ascii="仿宋_GB2312" w:hAnsi="仿宋" w:eastAsia="仿宋_GB2312" w:cs="仿宋_GB2312"/>
          <w:sz w:val="32"/>
          <w:szCs w:val="32"/>
        </w:rPr>
        <w:t>2020年度一般公共预算财政拨款基本支出880.19万元，其中：</w:t>
      </w:r>
    </w:p>
    <w:p>
      <w:pPr>
        <w:snapToGrid w:val="0"/>
        <w:spacing w:line="540" w:lineRule="exact"/>
        <w:ind w:firstLine="320" w:firstLineChars="100"/>
        <w:rPr>
          <w:rFonts w:hint="eastAsia" w:ascii="仿宋_GB2312" w:hAnsi="仿宋" w:eastAsia="仿宋_GB2312"/>
          <w:b/>
          <w:bCs/>
          <w:color w:val="000000"/>
          <w:sz w:val="32"/>
          <w:szCs w:val="32"/>
        </w:rPr>
      </w:pPr>
      <w:r>
        <w:rPr>
          <w:rFonts w:hint="eastAsia" w:ascii="仿宋_GB2312" w:hAnsi="仿宋" w:eastAsia="仿宋_GB2312" w:cs="仿宋_GB2312"/>
          <w:sz w:val="32"/>
          <w:szCs w:val="32"/>
        </w:rPr>
        <w:t>人员经费812.61万元，主要包括：基本工资181.65万元、津贴补贴192.59万元、奖金8.19万元、绩效工资76.88万元、机关事业单位基本养老保险缴费70.47万元、职业年金缴费35.24万元、职工基本医疗保险缴费33.58万元、公务员医疗补助5.96万元、其他社会保障缴费14.30万元、住房公积金73.66万元、 其他工资福利支出39.21万元、生活补助1.79万元、退休费3.48万元 、奖励金75.61万元 。</w:t>
      </w:r>
    </w:p>
    <w:p>
      <w:pPr>
        <w:snapToGrid w:val="0"/>
        <w:spacing w:line="540" w:lineRule="exact"/>
        <w:ind w:firstLine="627" w:firstLineChars="196"/>
        <w:rPr>
          <w:rFonts w:ascii="仿宋" w:hAnsi="仿宋" w:eastAsia="仿宋" w:cs="仿宋_GB2312"/>
          <w:sz w:val="32"/>
          <w:szCs w:val="32"/>
        </w:rPr>
      </w:pPr>
      <w:r>
        <w:rPr>
          <w:rFonts w:hint="eastAsia" w:ascii="仿宋_GB2312" w:hAnsi="仿宋" w:eastAsia="仿宋_GB2312" w:cs="仿宋_GB2312"/>
          <w:sz w:val="32"/>
          <w:szCs w:val="32"/>
        </w:rPr>
        <w:t>公用经费67.58万元，主要包括：办公费28.38万元、手续费0.09万元、水费0.46万元、电费3万元、邮电费5.45万元、差旅费15.99万元、维修（护）费1.34万元 、公务接待费0.03万元、劳务费2.27万元、福利费0.10万元、公务用车运行维护费9.99万元、其他交通费支出0.48万元</w:t>
      </w:r>
      <w:r>
        <w:rPr>
          <w:rFonts w:hint="eastAsia" w:ascii="仿宋" w:hAnsi="仿宋" w:eastAsia="仿宋" w:cs="仿宋_GB2312"/>
          <w:sz w:val="32"/>
          <w:szCs w:val="32"/>
        </w:rPr>
        <w:t xml:space="preserve">。 </w:t>
      </w:r>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hint="eastAsia" w:ascii="仿宋_GB2312" w:eastAsia="仿宋_GB2312"/>
          <w:b/>
          <w:color w:val="000000"/>
          <w:sz w:val="32"/>
          <w:szCs w:val="32"/>
        </w:rPr>
      </w:pPr>
      <w:bookmarkStart w:id="44" w:name="_Toc15377216"/>
      <w:r>
        <w:rPr>
          <w:rFonts w:hint="eastAsia" w:ascii="仿宋_GB2312" w:eastAsia="仿宋_GB2312"/>
          <w:b/>
          <w:color w:val="000000"/>
          <w:sz w:val="32"/>
          <w:szCs w:val="32"/>
        </w:rPr>
        <w:t>（一）“三公”经费财政拨款支出决算总体情况说明</w:t>
      </w:r>
      <w:bookmarkEnd w:id="44"/>
    </w:p>
    <w:p>
      <w:pPr>
        <w:snapToGrid w:val="0"/>
        <w:spacing w:line="540" w:lineRule="exact"/>
        <w:ind w:firstLine="313" w:firstLineChars="98"/>
        <w:rPr>
          <w:rFonts w:hint="eastAsia" w:ascii="仿宋_GB2312" w:hAnsi="仿宋" w:eastAsia="仿宋_GB2312"/>
          <w:b/>
          <w:bCs/>
          <w:color w:val="000000"/>
          <w:sz w:val="32"/>
          <w:szCs w:val="32"/>
        </w:rPr>
      </w:pPr>
      <w:bookmarkStart w:id="45" w:name="_Toc15377217"/>
      <w:r>
        <w:rPr>
          <w:rFonts w:hint="eastAsia" w:ascii="仿宋_GB2312" w:hAnsi="仿宋" w:eastAsia="仿宋_GB2312" w:cs="仿宋_GB2312"/>
          <w:sz w:val="32"/>
          <w:szCs w:val="32"/>
        </w:rPr>
        <w:t>2020年度“三公”经费财政拨款支出决算</w:t>
      </w:r>
      <w:r>
        <w:rPr>
          <w:rFonts w:hint="eastAsia" w:ascii="仿宋_GB2312" w:hAnsi="仿宋" w:eastAsia="仿宋_GB2312"/>
          <w:color w:val="333333"/>
          <w:sz w:val="32"/>
          <w:szCs w:val="32"/>
        </w:rPr>
        <w:t>数为10.02万元</w:t>
      </w:r>
      <w:r>
        <w:rPr>
          <w:rFonts w:hint="eastAsia" w:ascii="仿宋_GB2312" w:hAnsi="仿宋" w:eastAsia="仿宋_GB2312" w:cs="仿宋_GB2312"/>
          <w:sz w:val="32"/>
          <w:szCs w:val="32"/>
        </w:rPr>
        <w:t>，完成预算数100%，决算数与预算数持平。</w:t>
      </w:r>
    </w:p>
    <w:p>
      <w:pPr>
        <w:spacing w:line="600" w:lineRule="exact"/>
        <w:ind w:firstLine="640"/>
        <w:outlineLvl w:val="2"/>
        <w:rPr>
          <w:rFonts w:hint="eastAsia" w:ascii="仿宋_GB2312" w:eastAsia="仿宋_GB2312"/>
          <w:b/>
          <w:color w:val="000000"/>
          <w:sz w:val="32"/>
          <w:szCs w:val="32"/>
        </w:rPr>
      </w:pPr>
      <w:r>
        <w:rPr>
          <w:rFonts w:hint="eastAsia" w:ascii="仿宋_GB2312" w:eastAsia="仿宋_GB2312"/>
          <w:b/>
          <w:color w:val="000000"/>
          <w:sz w:val="32"/>
          <w:szCs w:val="32"/>
        </w:rPr>
        <w:t>（二）“三公”经费财政拨款支出决算具体情况说明</w:t>
      </w:r>
      <w:bookmarkEnd w:id="45"/>
    </w:p>
    <w:p>
      <w:pPr>
        <w:spacing w:line="600" w:lineRule="exact"/>
        <w:ind w:firstLine="640"/>
        <w:rPr>
          <w:rFonts w:hint="eastAsia" w:ascii="仿宋_GB2312" w:eastAsia="仿宋_GB2312"/>
          <w:color w:val="000000"/>
          <w:sz w:val="32"/>
          <w:szCs w:val="32"/>
        </w:rPr>
      </w:pPr>
      <w:r>
        <w:rPr>
          <w:rFonts w:hint="eastAsia" w:ascii="仿宋_GB2312" w:hAnsi="仿宋" w:eastAsia="仿宋_GB2312"/>
          <w:color w:val="333333"/>
          <w:sz w:val="32"/>
          <w:szCs w:val="32"/>
        </w:rPr>
        <w:t>2020年度“三公”经费财政拨款支出决算数为10.02万元，因公出国（境）费0万元；公务用车购置及运行维护费支出决算9.99万元，</w:t>
      </w:r>
      <w:r>
        <w:rPr>
          <w:rFonts w:hint="eastAsia" w:ascii="仿宋_GB2312" w:hAnsi="仿宋" w:eastAsia="仿宋_GB2312"/>
          <w:color w:val="000000"/>
          <w:sz w:val="32"/>
          <w:szCs w:val="32"/>
        </w:rPr>
        <w:t>占99.7%</w:t>
      </w:r>
      <w:r>
        <w:rPr>
          <w:rFonts w:hint="eastAsia" w:ascii="仿宋_GB2312" w:hAnsi="仿宋" w:eastAsia="仿宋_GB2312"/>
          <w:color w:val="333333"/>
          <w:sz w:val="32"/>
          <w:szCs w:val="32"/>
        </w:rPr>
        <w:t>；公务接待费支出决算0.03万元，</w:t>
      </w:r>
      <w:r>
        <w:rPr>
          <w:rFonts w:hint="eastAsia" w:ascii="仿宋_GB2312" w:hAnsi="仿宋" w:eastAsia="仿宋_GB2312"/>
          <w:color w:val="000000"/>
          <w:sz w:val="32"/>
          <w:szCs w:val="32"/>
        </w:rPr>
        <w:t>占0.3%。</w:t>
      </w:r>
      <w:r>
        <w:rPr>
          <w:rFonts w:hint="eastAsia" w:ascii="仿宋_GB2312" w:eastAsia="仿宋_GB2312"/>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napToGrid w:val="0"/>
        <w:spacing w:line="540" w:lineRule="exact"/>
        <w:ind w:firstLine="482" w:firstLineChars="150"/>
        <w:rPr>
          <w:rFonts w:hint="eastAsia" w:ascii="仿宋_GB2312" w:hAnsi="仿宋" w:eastAsia="仿宋_GB2312"/>
          <w:b/>
          <w:bCs/>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Fonts w:hint="eastAsia" w:ascii="仿宋_GB2312" w:hAnsi="仿宋" w:eastAsia="仿宋_GB2312" w:cs="仿宋_GB2312"/>
          <w:sz w:val="32"/>
          <w:szCs w:val="32"/>
        </w:rPr>
        <w:t>全年安排因公出国（境）团组0次，出国（境）0人。因公出国（境）支出决算比2019年比无变化。</w:t>
      </w:r>
    </w:p>
    <w:p>
      <w:pPr>
        <w:snapToGrid w:val="0"/>
        <w:spacing w:line="540" w:lineRule="exact"/>
        <w:ind w:firstLine="482" w:firstLineChars="150"/>
        <w:rPr>
          <w:rFonts w:hint="eastAsia" w:ascii="仿宋_GB2312" w:hAnsi="仿宋" w:eastAsia="仿宋_GB2312"/>
          <w:b/>
          <w:bCs/>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 w:hAnsi="仿宋" w:eastAsia="仿宋" w:cs="仿宋_GB2312"/>
          <w:sz w:val="32"/>
          <w:szCs w:val="32"/>
        </w:rPr>
        <w:t>：</w:t>
      </w:r>
      <w:r>
        <w:rPr>
          <w:rFonts w:hint="eastAsia" w:ascii="仿宋_GB2312" w:hAnsi="仿宋" w:eastAsia="仿宋_GB2312" w:cs="仿宋_GB2312"/>
          <w:sz w:val="32"/>
          <w:szCs w:val="32"/>
        </w:rPr>
        <w:t>公务用车购置支出0万元。公务用车运行维护费支出9.99万元。均用于开展人社工作日常事务时车辆的燃料费、维修费、过路过桥费、保险费等支出，公务用车购置及运行维护费支出决算比2019年增加0.2万元，增长2%。</w:t>
      </w:r>
      <w:r>
        <w:rPr>
          <w:rFonts w:hint="eastAsia" w:ascii="仿宋_GB2312" w:eastAsia="仿宋_GB2312" w:cs="仿宋"/>
          <w:color w:val="000000"/>
          <w:sz w:val="32"/>
          <w:szCs w:val="32"/>
        </w:rPr>
        <w:t xml:space="preserve">增加原因是车辆老化，维修维护费用高。 </w:t>
      </w:r>
    </w:p>
    <w:p>
      <w:pPr>
        <w:numPr>
          <w:ilvl w:val="0"/>
          <w:numId w:val="2"/>
        </w:numPr>
        <w:spacing w:line="600" w:lineRule="exact"/>
        <w:ind w:firstLine="640"/>
        <w:rPr>
          <w:rFonts w:hint="eastAsia"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 xml:space="preserve"> </w:t>
      </w:r>
      <w:r>
        <w:rPr>
          <w:rFonts w:hint="eastAsia" w:ascii="仿宋_GB2312" w:eastAsia="仿宋_GB2312" w:cs="仿宋"/>
          <w:color w:val="000000"/>
          <w:sz w:val="32"/>
          <w:szCs w:val="32"/>
        </w:rPr>
        <w:t>0.03万元，较上年减少0.05万元，减少6%，减少原因是严格执行有关规定，实行“先审批，后接待”制度，严格控制接待标准和陪餐人数，降低接待费用。</w:t>
      </w:r>
      <w:r>
        <w:rPr>
          <w:rFonts w:hint="eastAsia" w:ascii="仿宋_GB2312" w:hAnsi="仿宋" w:eastAsia="仿宋_GB2312" w:cs="仿宋_GB2312"/>
          <w:sz w:val="32"/>
          <w:szCs w:val="32"/>
        </w:rPr>
        <w:t>主要用于行业内部交叉检查工作发生的接待</w:t>
      </w:r>
      <w:r>
        <w:rPr>
          <w:rFonts w:hint="eastAsia" w:ascii="仿宋_GB2312" w:eastAsia="仿宋_GB2312"/>
          <w:color w:val="000000"/>
          <w:sz w:val="32"/>
          <w:szCs w:val="32"/>
        </w:rPr>
        <w:t>用餐费等。国内公务接待 1批次，接待4人次 。</w:t>
      </w:r>
    </w:p>
    <w:p>
      <w:pPr>
        <w:spacing w:line="600" w:lineRule="exact"/>
        <w:ind w:firstLine="640"/>
        <w:outlineLvl w:val="1"/>
        <w:rPr>
          <w:rFonts w:hint="eastAsia" w:ascii="仿宋_GB2312" w:eastAsia="仿宋_GB2312"/>
          <w:color w:val="000000"/>
          <w:sz w:val="32"/>
          <w:szCs w:val="32"/>
        </w:rPr>
      </w:pPr>
      <w:r>
        <w:rPr>
          <w:rFonts w:hint="eastAsia" w:ascii="仿宋_GB2312" w:eastAsia="仿宋_GB2312"/>
          <w:b/>
          <w:color w:val="000000"/>
          <w:sz w:val="32"/>
          <w:szCs w:val="32"/>
        </w:rPr>
        <w:t>外事接待支出</w:t>
      </w:r>
      <w:r>
        <w:rPr>
          <w:rFonts w:hint="eastAsia" w:ascii="仿宋_GB2312" w:eastAsia="仿宋_GB2312"/>
          <w:color w:val="000000"/>
          <w:sz w:val="32"/>
          <w:szCs w:val="32"/>
        </w:rPr>
        <w:t>0万元，外事接待0批次，0人，共计支出0万元。</w:t>
      </w:r>
      <w:bookmarkStart w:id="46" w:name="_Toc15377218"/>
      <w:bookmarkStart w:id="47" w:name="_Toc15396610"/>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3"/>
        </w:numPr>
        <w:spacing w:line="600" w:lineRule="exact"/>
        <w:ind w:firstLine="640"/>
        <w:outlineLvl w:val="1"/>
        <w:rPr>
          <w:rStyle w:val="17"/>
          <w:rFonts w:ascii="黑体" w:eastAsia="黑体"/>
          <w:b w:val="0"/>
        </w:rPr>
      </w:pPr>
      <w:bookmarkStart w:id="48" w:name="_Toc15377219"/>
      <w:bookmarkStart w:id="49" w:name="_Toc15396611"/>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2"/>
        <w:numPr>
          <w:ilvl w:val="0"/>
          <w:numId w:val="4"/>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_GB2312" w:eastAsia="仿宋_GB2312" w:cs="楷体_GB2312"/>
          <w:b/>
          <w:bCs/>
          <w:sz w:val="32"/>
          <w:szCs w:val="32"/>
        </w:rPr>
        <w:t>预算绩效管理工作开展情况</w:t>
      </w:r>
      <w:r>
        <w:rPr>
          <w:rFonts w:hint="eastAsia" w:ascii="仿宋" w:eastAsia="仿宋" w:cs="楷体_GB2312"/>
          <w:b/>
          <w:bCs/>
          <w:sz w:val="32"/>
          <w:szCs w:val="32"/>
        </w:rPr>
        <w:t>。</w:t>
      </w:r>
    </w:p>
    <w:p>
      <w:pPr>
        <w:pStyle w:val="22"/>
        <w:spacing w:line="580" w:lineRule="exact"/>
        <w:ind w:firstLine="0" w:firstLineChars="0"/>
        <w:rPr>
          <w:rFonts w:ascii="仿宋_GB2312" w:eastAsia="仿宋_GB2312" w:cs="仿宋_GB2312"/>
          <w:sz w:val="32"/>
          <w:szCs w:val="32"/>
        </w:rPr>
      </w:pPr>
      <w:r>
        <w:rPr>
          <w:rFonts w:hint="eastAsia" w:ascii="仿宋_GB2312" w:eastAsia="仿宋_GB2312" w:cs="仿宋_GB2312"/>
          <w:sz w:val="32"/>
          <w:szCs w:val="32"/>
        </w:rPr>
        <w:t xml:space="preserve">  本部门按要求对2020年部门整体支出开展绩效自评，</w:t>
      </w:r>
      <w:r>
        <w:rPr>
          <w:rFonts w:hint="eastAsia" w:ascii="仿宋_GB2312" w:eastAsia="仿宋_GB2312"/>
          <w:sz w:val="32"/>
          <w:szCs w:val="32"/>
        </w:rPr>
        <w:t>经全面综合评价，我单位预算支出绩效自评得分85</w:t>
      </w:r>
      <w:r>
        <w:rPr>
          <w:rFonts w:hint="eastAsia" w:ascii="仿宋_GB2312" w:eastAsia="仿宋_GB2312"/>
          <w:color w:val="000000"/>
          <w:sz w:val="32"/>
          <w:szCs w:val="32"/>
        </w:rPr>
        <w:t>分</w:t>
      </w:r>
      <w:r>
        <w:rPr>
          <w:rFonts w:hint="eastAsia" w:ascii="仿宋_GB2312" w:eastAsia="仿宋_GB2312"/>
          <w:sz w:val="32"/>
          <w:szCs w:val="32"/>
        </w:rPr>
        <w:t xml:space="preserve"> 。我单位深入贯彻落实十九大关于“全面实施绩效管理”的要求，努力提升本单位绩效预算管理业务水平。加大资金使用效率，提升服务管理水平。</w:t>
      </w:r>
      <w:r>
        <w:rPr>
          <w:rFonts w:hint="eastAsia" w:ascii="仿宋_GB2312" w:eastAsia="仿宋_GB2312" w:cs="仿宋_GB2312"/>
          <w:sz w:val="32"/>
          <w:szCs w:val="32"/>
        </w:rPr>
        <w:t xml:space="preserve">本单位还组织了1个项目即“三支一扶”专项补助项目绩效评价，从评价情况来看我单位加快执行力度，提高财政资金的使用效益，严格按照规定时间节点完成各个环节工作，确保了2020年度高校毕业生“三支一扶”工作顺利开展。 </w:t>
      </w:r>
    </w:p>
    <w:p>
      <w:pPr>
        <w:numPr>
          <w:ilvl w:val="0"/>
          <w:numId w:val="5"/>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adjustRightInd w:val="0"/>
        <w:snapToGrid w:val="0"/>
        <w:spacing w:line="56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 xml:space="preserve"> </w:t>
      </w:r>
      <w:r>
        <w:rPr>
          <w:rFonts w:ascii="仿宋_GB2312" w:eastAsia="仿宋_GB2312" w:cs="仿宋_GB2312"/>
          <w:sz w:val="32"/>
          <w:szCs w:val="32"/>
        </w:rPr>
        <w:t>“</w:t>
      </w:r>
      <w:r>
        <w:rPr>
          <w:rFonts w:hint="eastAsia" w:ascii="仿宋_GB2312" w:eastAsia="仿宋_GB2312" w:cs="仿宋_GB2312"/>
          <w:sz w:val="32"/>
          <w:szCs w:val="32"/>
        </w:rPr>
        <w:t>三支一扶”专项资金严格按照文件要求执行，按时发放到位，对照预算计划完成目标。“三支一扶”专项资金共计1109842.72元，预算资金到位1109842.72元，执行率100.00%。</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2"/>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w:t>
            </w:r>
            <w:r>
              <w:rPr>
                <w:rFonts w:hint="eastAsia" w:ascii="宋体" w:cs="宋体"/>
                <w:color w:val="000000"/>
                <w:kern w:val="0"/>
                <w:sz w:val="24"/>
              </w:rPr>
              <w:t>三支一扶</w:t>
            </w:r>
            <w:r>
              <w:rPr>
                <w:rFonts w:ascii="宋体" w:cs="宋体"/>
                <w:color w:val="000000"/>
                <w:kern w:val="0"/>
                <w:sz w:val="24"/>
              </w:rPr>
              <w:t>”</w:t>
            </w:r>
            <w:r>
              <w:rPr>
                <w:rFonts w:hint="eastAsia" w:ascii="宋体" w:cs="宋体"/>
                <w:color w:val="000000"/>
                <w:kern w:val="0"/>
                <w:sz w:val="24"/>
              </w:rPr>
              <w:t>专项补助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金川县人力资源和社会保障局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110.98万元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110.98万元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110.98万元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110.98万元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 xml:space="preserve">按时完成我县“三支一扶”人员工资、保险等支付 </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 xml:space="preserve"> 18名“三支一扶”工作人员</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eastAsia="仿宋_GB2312" w:cs="宋体"/>
                <w:color w:val="000000"/>
                <w:sz w:val="24"/>
              </w:rPr>
            </w:pPr>
            <w:r>
              <w:rPr>
                <w:rFonts w:hint="eastAsia" w:ascii="仿宋_GB2312" w:hAnsi="仿宋" w:eastAsia="仿宋_GB2312"/>
                <w:bCs/>
                <w:color w:val="000000" w:themeColor="text1"/>
                <w:lang w:val="zh-CN"/>
              </w:rPr>
              <w:t>工资及保险按半年一次拨付给“三支一扶”人员用人单位，用人单位按月及时为</w:t>
            </w:r>
            <w:r>
              <w:rPr>
                <w:rFonts w:hint="eastAsia" w:ascii="仿宋_GB2312" w:hAnsi="仿宋" w:eastAsia="仿宋_GB2312"/>
                <w:bCs/>
              </w:rPr>
              <w:t>“</w:t>
            </w:r>
            <w:r>
              <w:rPr>
                <w:rFonts w:hint="eastAsia" w:ascii="仿宋_GB2312" w:hAnsi="仿宋" w:eastAsia="仿宋_GB2312"/>
                <w:bCs/>
                <w:color w:val="000000" w:themeColor="text1"/>
                <w:lang w:val="zh-CN"/>
              </w:rPr>
              <w:t>三支一扶”人员发放工资并及时缴纳保险。培训费按州级通知及时支付到培训机构账户。体检费按时支付到体检医院账户</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工资、保险、安家费、体检费均按文件标准拨付</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110.98万元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rPr>
          <w:rFonts w:ascii="Calibri" w:hAnsi="Calibri"/>
          <w:color w:val="FF0000"/>
        </w:rPr>
      </w:pPr>
    </w:p>
    <w:p>
      <w:pPr>
        <w:numPr>
          <w:ilvl w:val="0"/>
          <w:numId w:val="5"/>
        </w:numPr>
        <w:spacing w:line="580" w:lineRule="exact"/>
        <w:ind w:firstLine="643" w:firstLineChars="200"/>
        <w:rPr>
          <w:rFonts w:ascii="仿宋" w:eastAsia="仿宋" w:cs="仿宋_GB2312"/>
          <w:color w:val="000000" w:themeColor="text1"/>
          <w:sz w:val="32"/>
          <w:szCs w:val="32"/>
        </w:rPr>
      </w:pPr>
      <w:r>
        <w:rPr>
          <w:rFonts w:hint="eastAsia" w:ascii="仿宋" w:eastAsia="仿宋" w:cs="楷体_GB2312"/>
          <w:b/>
          <w:bCs/>
          <w:color w:val="000000" w:themeColor="text1"/>
          <w:sz w:val="32"/>
          <w:szCs w:val="32"/>
        </w:rPr>
        <w:t>部门开展绩效评价结果。</w:t>
      </w:r>
    </w:p>
    <w:p>
      <w:pPr>
        <w:spacing w:line="580" w:lineRule="exact"/>
        <w:ind w:firstLine="640" w:firstLineChars="200"/>
        <w:rPr>
          <w:rFonts w:ascii="仿宋_GB2312" w:eastAsia="仿宋_GB2312" w:cs="仿宋_GB2312"/>
          <w:color w:val="000000" w:themeColor="text1"/>
          <w:sz w:val="32"/>
          <w:szCs w:val="32"/>
        </w:rPr>
      </w:pPr>
      <w:r>
        <w:rPr>
          <w:rFonts w:hint="eastAsia" w:ascii="仿宋_GB2312" w:eastAsia="仿宋_GB2312" w:cs="仿宋_GB2312"/>
          <w:color w:val="000000" w:themeColor="text1"/>
          <w:sz w:val="32"/>
          <w:szCs w:val="32"/>
        </w:rPr>
        <w:t>本部门按要求对2020年部门整体支出绩效评价情况开展自评，</w:t>
      </w:r>
      <w:r>
        <w:rPr>
          <w:rFonts w:hint="eastAsia" w:ascii="仿宋_GB2312" w:eastAsia="仿宋_GB2312"/>
          <w:color w:val="000000" w:themeColor="text1"/>
          <w:sz w:val="32"/>
          <w:szCs w:val="32"/>
        </w:rPr>
        <w:t>《金川县人力资源和社会保障局2020年部门预算整体支出绩效评价报告》</w:t>
      </w:r>
      <w:r>
        <w:rPr>
          <w:rFonts w:hint="eastAsia" w:ascii="仿宋_GB2312" w:eastAsia="仿宋_GB2312" w:cs="仿宋_GB2312"/>
          <w:color w:val="000000" w:themeColor="text1"/>
          <w:sz w:val="32"/>
          <w:szCs w:val="32"/>
        </w:rPr>
        <w:t>见附件。</w:t>
      </w:r>
    </w:p>
    <w:p>
      <w:pPr>
        <w:spacing w:line="600" w:lineRule="exact"/>
        <w:ind w:firstLine="640" w:firstLineChars="200"/>
        <w:outlineLvl w:val="1"/>
        <w:rPr>
          <w:rStyle w:val="17"/>
          <w:rFonts w:ascii="黑体" w:eastAsia="黑体"/>
          <w:color w:val="000000" w:themeColor="text1"/>
        </w:rPr>
      </w:pPr>
      <w:bookmarkStart w:id="50" w:name="_Toc15396612"/>
      <w:bookmarkStart w:id="51" w:name="_Toc15377221"/>
      <w:r>
        <w:rPr>
          <w:rFonts w:hint="eastAsia" w:ascii="黑体" w:eastAsia="黑体"/>
          <w:color w:val="000000" w:themeColor="text1"/>
          <w:sz w:val="32"/>
          <w:szCs w:val="32"/>
        </w:rPr>
        <w:t>十</w:t>
      </w:r>
      <w:r>
        <w:rPr>
          <w:rStyle w:val="17"/>
          <w:rFonts w:hint="eastAsia" w:ascii="黑体" w:eastAsia="黑体"/>
          <w:color w:val="000000" w:themeColor="text1"/>
        </w:rPr>
        <w:t>一、</w:t>
      </w:r>
      <w:r>
        <w:rPr>
          <w:rStyle w:val="17"/>
          <w:rFonts w:hint="eastAsia" w:ascii="黑体" w:eastAsia="黑体"/>
          <w:b w:val="0"/>
          <w:color w:val="000000" w:themeColor="text1"/>
        </w:rPr>
        <w:t>其他重要事项的情况说明</w:t>
      </w:r>
      <w:bookmarkEnd w:id="50"/>
      <w:bookmarkEnd w:id="51"/>
    </w:p>
    <w:p>
      <w:pPr>
        <w:spacing w:line="600" w:lineRule="exact"/>
        <w:ind w:firstLine="643" w:firstLineChars="200"/>
        <w:outlineLvl w:val="2"/>
        <w:rPr>
          <w:rFonts w:ascii="仿宋" w:eastAsia="仿宋"/>
          <w:color w:val="000000" w:themeColor="text1"/>
          <w:sz w:val="32"/>
          <w:szCs w:val="32"/>
        </w:rPr>
      </w:pPr>
      <w:bookmarkStart w:id="52" w:name="_Toc15377222"/>
      <w:r>
        <w:rPr>
          <w:rFonts w:hint="eastAsia" w:ascii="仿宋" w:eastAsia="仿宋"/>
          <w:b/>
          <w:color w:val="000000" w:themeColor="text1"/>
          <w:sz w:val="32"/>
          <w:szCs w:val="32"/>
        </w:rPr>
        <w:t>（一）机关运行经费支出情况</w:t>
      </w:r>
      <w:bookmarkEnd w:id="52"/>
    </w:p>
    <w:p>
      <w:pPr>
        <w:spacing w:line="540" w:lineRule="exact"/>
        <w:ind w:firstLine="960" w:firstLineChars="300"/>
        <w:rPr>
          <w:rFonts w:hint="eastAsia" w:ascii="仿宋_GB2312" w:hAnsi="仿宋" w:eastAsia="仿宋_GB2312"/>
          <w:color w:val="000000" w:themeColor="text1"/>
          <w:sz w:val="32"/>
          <w:szCs w:val="32"/>
        </w:rPr>
      </w:pPr>
      <w:r>
        <w:rPr>
          <w:rFonts w:hint="eastAsia" w:ascii="仿宋_GB2312" w:hAnsi="仿宋" w:eastAsia="仿宋_GB2312"/>
          <w:color w:val="000000"/>
          <w:sz w:val="32"/>
          <w:szCs w:val="32"/>
        </w:rPr>
        <w:t>2020年度，</w:t>
      </w:r>
      <w:r>
        <w:rPr>
          <w:rFonts w:hint="eastAsia" w:ascii="仿宋_GB2312" w:hAnsi="仿宋" w:eastAsia="仿宋_GB2312"/>
          <w:color w:val="000000"/>
          <w:w w:val="90"/>
          <w:sz w:val="32"/>
          <w:szCs w:val="32"/>
        </w:rPr>
        <w:t>金川县人力资源和社会保障局</w:t>
      </w:r>
      <w:r>
        <w:rPr>
          <w:rFonts w:hint="eastAsia" w:ascii="仿宋_GB2312" w:hAnsi="仿宋" w:eastAsia="仿宋_GB2312"/>
          <w:color w:val="000000"/>
          <w:sz w:val="32"/>
          <w:szCs w:val="32"/>
        </w:rPr>
        <w:t>机关运行经费</w:t>
      </w:r>
      <w:r>
        <w:rPr>
          <w:rFonts w:hint="eastAsia" w:ascii="仿宋_GB2312" w:hAnsi="仿宋" w:eastAsia="仿宋_GB2312"/>
          <w:sz w:val="32"/>
          <w:szCs w:val="32"/>
        </w:rPr>
        <w:t>62.18</w:t>
      </w:r>
      <w:r>
        <w:rPr>
          <w:rFonts w:hint="eastAsia" w:ascii="仿宋_GB2312" w:hAnsi="仿宋" w:eastAsia="仿宋_GB2312"/>
          <w:color w:val="000000"/>
          <w:sz w:val="32"/>
          <w:szCs w:val="32"/>
        </w:rPr>
        <w:t>万元。</w:t>
      </w:r>
      <w:r>
        <w:rPr>
          <w:rFonts w:hint="eastAsia" w:ascii="仿宋_GB2312" w:eastAsia="仿宋_GB2312"/>
          <w:color w:val="000000" w:themeColor="text1"/>
          <w:sz w:val="32"/>
          <w:szCs w:val="32"/>
        </w:rPr>
        <w:t>比2019年增加37.17万元，上升148%。主要原因年初预算资金人均增长140%。</w:t>
      </w:r>
    </w:p>
    <w:p>
      <w:pPr>
        <w:autoSpaceDE w:val="0"/>
        <w:autoSpaceDN w:val="0"/>
        <w:adjustRightInd w:val="0"/>
        <w:spacing w:line="600" w:lineRule="exact"/>
        <w:ind w:firstLine="643" w:firstLineChars="200"/>
        <w:jc w:val="left"/>
        <w:outlineLvl w:val="2"/>
        <w:rPr>
          <w:rFonts w:ascii="仿宋" w:eastAsia="仿宋"/>
          <w:b/>
          <w:color w:val="000000" w:themeColor="text1"/>
          <w:sz w:val="32"/>
          <w:szCs w:val="32"/>
        </w:rPr>
      </w:pPr>
      <w:bookmarkStart w:id="53" w:name="_Toc15377223"/>
      <w:r>
        <w:rPr>
          <w:rFonts w:hint="eastAsia" w:ascii="仿宋" w:eastAsia="仿宋"/>
          <w:b/>
          <w:color w:val="000000" w:themeColor="text1"/>
          <w:sz w:val="32"/>
          <w:szCs w:val="32"/>
        </w:rPr>
        <w:t>（二）政府采购支出情况</w:t>
      </w:r>
      <w:bookmarkEnd w:id="53"/>
    </w:p>
    <w:p>
      <w:pPr>
        <w:spacing w:line="540" w:lineRule="exact"/>
        <w:ind w:firstLine="640" w:firstLineChars="200"/>
        <w:rPr>
          <w:rFonts w:hint="eastAsia" w:ascii="仿宋_GB2312" w:hAnsi="仿宋" w:eastAsia="仿宋_GB2312" w:cs="仿宋_GB2312"/>
          <w:sz w:val="32"/>
          <w:szCs w:val="32"/>
        </w:rPr>
      </w:pPr>
      <w:bookmarkStart w:id="54" w:name="_Toc15377224"/>
      <w:r>
        <w:rPr>
          <w:rFonts w:hint="eastAsia" w:ascii="仿宋_GB2312" w:hAnsi="仿宋" w:eastAsia="仿宋_GB2312" w:cs="仿宋_GB2312"/>
          <w:sz w:val="32"/>
          <w:szCs w:val="32"/>
        </w:rPr>
        <w:t xml:space="preserve">2020年度，金川县人力资源和社会保障局政府采购支出总额75.72万元，其中：政府采购货物支出75.72万元，主要用于金川县基层人社公共服务平台建设办公设备采购。政府采购工程支出0万元、政府采购服务支出0万元。 </w:t>
      </w:r>
    </w:p>
    <w:p>
      <w:pPr>
        <w:autoSpaceDE w:val="0"/>
        <w:autoSpaceDN w:val="0"/>
        <w:adjustRightInd w:val="0"/>
        <w:spacing w:line="600" w:lineRule="exact"/>
        <w:ind w:firstLine="643" w:firstLineChars="200"/>
        <w:jc w:val="left"/>
        <w:outlineLvl w:val="2"/>
        <w:rPr>
          <w:rFonts w:ascii="仿宋" w:eastAsia="仿宋"/>
          <w:b/>
          <w:color w:val="000000" w:themeColor="text1"/>
          <w:sz w:val="32"/>
          <w:szCs w:val="32"/>
        </w:rPr>
      </w:pPr>
      <w:r>
        <w:rPr>
          <w:rFonts w:hint="eastAsia" w:ascii="仿宋" w:eastAsia="仿宋"/>
          <w:b/>
          <w:color w:val="000000" w:themeColor="text1"/>
          <w:sz w:val="32"/>
          <w:szCs w:val="32"/>
        </w:rPr>
        <w:t>（三）国有资产占有使用情况</w:t>
      </w:r>
      <w:bookmarkEnd w:id="54"/>
    </w:p>
    <w:p>
      <w:pPr>
        <w:autoSpaceDE w:val="0"/>
        <w:autoSpaceDN w:val="0"/>
        <w:adjustRightInd w:val="0"/>
        <w:spacing w:line="540" w:lineRule="exact"/>
        <w:ind w:firstLine="640" w:firstLineChars="20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截至2020年12月31日，我单位有公务用车辆2辆，均为一般公务用车；无单价50万元以上通用设备，无单价100万元以上专用设备。</w:t>
      </w:r>
    </w:p>
    <w:p>
      <w:pPr>
        <w:numPr>
          <w:ilvl w:val="0"/>
          <w:numId w:val="6"/>
        </w:numPr>
        <w:spacing w:line="600" w:lineRule="exact"/>
        <w:ind w:firstLine="663" w:firstLineChars="150"/>
        <w:jc w:val="center"/>
        <w:outlineLvl w:val="0"/>
        <w:rPr>
          <w:rStyle w:val="16"/>
          <w:rFonts w:ascii="黑体" w:eastAsia="黑体"/>
          <w:b w:val="0"/>
          <w:color w:val="000000" w:themeColor="text1"/>
        </w:rPr>
      </w:pPr>
      <w:bookmarkStart w:id="55" w:name="_Toc15396613"/>
      <w:bookmarkStart w:id="56" w:name="_Toc15377225"/>
      <w:r>
        <w:rPr>
          <w:rFonts w:hint="eastAsia" w:ascii="黑体" w:eastAsia="黑体"/>
          <w:b/>
          <w:color w:val="000000" w:themeColor="text1"/>
          <w:sz w:val="44"/>
          <w:szCs w:val="44"/>
        </w:rPr>
        <w:t>名</w:t>
      </w:r>
      <w:r>
        <w:rPr>
          <w:rStyle w:val="16"/>
          <w:rFonts w:hint="eastAsia" w:ascii="黑体" w:eastAsia="黑体"/>
          <w:b w:val="0"/>
          <w:color w:val="000000" w:themeColor="text1"/>
        </w:rPr>
        <w:t>词解释</w:t>
      </w:r>
      <w:bookmarkEnd w:id="55"/>
      <w:bookmarkEnd w:id="56"/>
    </w:p>
    <w:p>
      <w:pPr>
        <w:spacing w:line="54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1.一般公共服务2011050 事业运行：指反映事业单位的基本支出。</w:t>
      </w:r>
    </w:p>
    <w:p>
      <w:pPr>
        <w:spacing w:line="54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2.一般公共服务2011099——其他人力资源和社会保障局事物支出：指反映其他人力资源事物方面的支出 </w:t>
      </w:r>
    </w:p>
    <w:p>
      <w:pPr>
        <w:spacing w:line="54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3.教育支出2050803培训支出： </w:t>
      </w:r>
      <w:r>
        <w:rPr>
          <w:rFonts w:hint="eastAsia" w:ascii="仿宋_GB2312" w:hAnsi="仿宋" w:eastAsia="仿宋_GB2312" w:cs="仿宋_GB2312"/>
          <w:sz w:val="32"/>
          <w:szCs w:val="32"/>
          <w:lang w:eastAsia="zh-CN"/>
        </w:rPr>
        <w:t>反映</w:t>
      </w:r>
      <w:r>
        <w:rPr>
          <w:rFonts w:hint="eastAsia" w:ascii="仿宋_GB2312" w:hAnsi="仿宋" w:eastAsia="仿宋_GB2312" w:cs="仿宋_GB2312"/>
          <w:sz w:val="32"/>
          <w:szCs w:val="32"/>
        </w:rPr>
        <w:t>各部门安排的用于培训的支出。</w:t>
      </w:r>
    </w:p>
    <w:p>
      <w:pPr>
        <w:spacing w:line="54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4.社会保障和就业支出2080101行政运行：反映行政单位的基本支出 </w:t>
      </w:r>
    </w:p>
    <w:p>
      <w:pPr>
        <w:spacing w:line="540" w:lineRule="exac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sz w:val="32"/>
          <w:szCs w:val="32"/>
        </w:rPr>
        <w:t>5.社会保障和就业支出2080199其他人力资源和社会保</w:t>
      </w:r>
      <w:bookmarkStart w:id="60" w:name="_GoBack"/>
      <w:bookmarkEnd w:id="60"/>
      <w:r>
        <w:rPr>
          <w:rFonts w:hint="eastAsia" w:ascii="仿宋_GB2312" w:hAnsi="仿宋" w:eastAsia="仿宋_GB2312" w:cs="仿宋_GB2312"/>
          <w:sz w:val="32"/>
          <w:szCs w:val="32"/>
        </w:rPr>
        <w:t>障局管理实务支出：</w:t>
      </w:r>
      <w:r>
        <w:rPr>
          <w:rFonts w:hint="eastAsia" w:ascii="仿宋_GB2312" w:hAnsi="仿宋" w:eastAsia="仿宋_GB2312" w:cs="仿宋_GB2312"/>
          <w:color w:val="000000"/>
          <w:sz w:val="32"/>
          <w:szCs w:val="32"/>
        </w:rPr>
        <w:t>反映其他用于人力资源和社会保障局管理事务方面的支出。</w:t>
      </w:r>
    </w:p>
    <w:p>
      <w:pPr>
        <w:spacing w:line="54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6.社会保障和就业支出2080505机关事业单位基本养老保险缴费支出：反映机关事业单位实施养老保险制度的单位缴纳的基本养老保险费支出。</w:t>
      </w:r>
    </w:p>
    <w:p>
      <w:pPr>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7.社会保障和就业支出2080506机关事业单位职业年金缴费支出：反映机关事业单位实施养老保险制度匝单位缴纳的职业年金支出。</w:t>
      </w:r>
    </w:p>
    <w:p>
      <w:pPr>
        <w:pStyle w:val="8"/>
        <w:spacing w:line="540" w:lineRule="exact"/>
        <w:rPr>
          <w:rFonts w:hint="eastAsia" w:ascii="仿宋_GB2312" w:eastAsia="仿宋_GB2312"/>
          <w:color w:val="000000"/>
        </w:rPr>
      </w:pPr>
      <w:r>
        <w:rPr>
          <w:rFonts w:hint="eastAsia" w:ascii="仿宋_GB2312" w:hAnsi="仿宋" w:eastAsia="仿宋_GB2312" w:cs="仿宋_GB2312"/>
          <w:sz w:val="32"/>
          <w:szCs w:val="32"/>
        </w:rPr>
        <w:t xml:space="preserve">  8.卫生健康支出 2100410突发公共卫生事件应急处理：反</w:t>
      </w:r>
      <w:r>
        <w:rPr>
          <w:rFonts w:hint="eastAsia" w:ascii="仿宋_GB2312" w:hAnsi="仿宋" w:eastAsia="仿宋_GB2312" w:cs="仿宋_GB2312"/>
          <w:color w:val="000000"/>
          <w:sz w:val="32"/>
          <w:szCs w:val="32"/>
        </w:rPr>
        <w:t>映用于突发公共卫生事件应急处理的支出。</w:t>
      </w:r>
    </w:p>
    <w:p>
      <w:pPr>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9.卫生健康支出 2101101行政单位医疗：反映财政部门集中安排的行政单位基本医疗保险</w:t>
      </w:r>
      <w:r>
        <w:rPr>
          <w:rFonts w:hint="eastAsia" w:ascii="仿宋_GB2312" w:hAnsi="仿宋" w:eastAsia="仿宋_GB2312" w:cs="仿宋_GB2312"/>
          <w:sz w:val="32"/>
          <w:szCs w:val="32"/>
          <w:lang w:eastAsia="zh-CN"/>
        </w:rPr>
        <w:t>缴费</w:t>
      </w:r>
      <w:r>
        <w:rPr>
          <w:rFonts w:hint="eastAsia" w:ascii="仿宋_GB2312" w:hAnsi="仿宋" w:eastAsia="仿宋_GB2312" w:cs="仿宋_GB2312"/>
          <w:sz w:val="32"/>
          <w:szCs w:val="32"/>
        </w:rPr>
        <w:t>经费。</w:t>
      </w:r>
    </w:p>
    <w:p>
      <w:pPr>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10.卫生健康支出 2101102事业单位医疗：反映财政部门集中安排的事业单位基本医疗保险</w:t>
      </w:r>
      <w:r>
        <w:rPr>
          <w:rFonts w:hint="eastAsia" w:ascii="仿宋_GB2312" w:hAnsi="仿宋" w:eastAsia="仿宋_GB2312" w:cs="仿宋_GB2312"/>
          <w:sz w:val="32"/>
          <w:szCs w:val="32"/>
          <w:lang w:eastAsia="zh-CN"/>
        </w:rPr>
        <w:t>缴费</w:t>
      </w:r>
      <w:r>
        <w:rPr>
          <w:rFonts w:hint="eastAsia" w:ascii="仿宋_GB2312" w:hAnsi="仿宋" w:eastAsia="仿宋_GB2312" w:cs="仿宋_GB2312"/>
          <w:sz w:val="32"/>
          <w:szCs w:val="32"/>
        </w:rPr>
        <w:t>经费。</w:t>
      </w:r>
    </w:p>
    <w:p>
      <w:pPr>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11.卫生健康支出 2101103公务员医疗补助：反映财政部门集中安排的公务员医疗补助经费。</w:t>
      </w:r>
    </w:p>
    <w:p>
      <w:pPr>
        <w:spacing w:line="540" w:lineRule="exact"/>
        <w:rPr>
          <w:rFonts w:hint="eastAsia" w:ascii="仿宋_GB2312" w:hAnsi="仿宋" w:eastAsia="仿宋_GB2312" w:cs="仿宋_GB2312"/>
          <w:color w:val="000000"/>
          <w:sz w:val="32"/>
          <w:szCs w:val="32"/>
        </w:rPr>
      </w:pPr>
      <w:r>
        <w:rPr>
          <w:rFonts w:hint="eastAsia" w:ascii="仿宋_GB2312" w:hAnsi="仿宋" w:eastAsia="仿宋_GB2312" w:cs="仿宋_GB2312"/>
          <w:sz w:val="32"/>
          <w:szCs w:val="32"/>
        </w:rPr>
        <w:t xml:space="preserve">  12. 卫生健康支出 2101199其他行政事业单位医疗支出：</w:t>
      </w:r>
      <w:r>
        <w:rPr>
          <w:rFonts w:hint="eastAsia" w:ascii="仿宋_GB2312" w:hAnsi="仿宋" w:eastAsia="仿宋_GB2312" w:cs="仿宋_GB2312"/>
          <w:sz w:val="32"/>
          <w:szCs w:val="32"/>
          <w:lang w:eastAsia="zh-CN"/>
        </w:rPr>
        <w:t>反映</w:t>
      </w:r>
      <w:r>
        <w:rPr>
          <w:rFonts w:hint="eastAsia" w:ascii="仿宋_GB2312" w:hAnsi="仿宋" w:eastAsia="仿宋_GB2312" w:cs="仿宋_GB2312"/>
          <w:color w:val="000000"/>
          <w:sz w:val="32"/>
          <w:szCs w:val="32"/>
        </w:rPr>
        <w:t>于医疗保障方面的支出。</w:t>
      </w:r>
    </w:p>
    <w:p>
      <w:pPr>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13.住房保障支出2210201住房公积金：反映行政事业单位按人力资源和社会保障部、财政部规定的基本工资和津贴补贴以及规定比例为职工缴纳的住房公积金。</w:t>
      </w:r>
    </w:p>
    <w:p>
      <w:pPr>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14.年末结转和结余：指本年度或以前年度预算安排、因客观条件发生变化无法按原计划实施，需延迟到以后年度按有关规定继续使用的资金。</w:t>
      </w:r>
    </w:p>
    <w:p>
      <w:pPr>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15.基本支出：指为保障机构正常运转、完成日常工作任务而发生的人员支出和公用支出。</w:t>
      </w:r>
    </w:p>
    <w:p>
      <w:pPr>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16.项目支出：指在基本支出之外为完成特定行政任务和事业发展目标所发生的支出。</w:t>
      </w:r>
    </w:p>
    <w:p>
      <w:pPr>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17.“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pStyle w:val="21"/>
        <w:spacing w:line="560" w:lineRule="exact"/>
        <w:ind w:firstLine="640" w:firstLineChars="200"/>
        <w:rPr>
          <w:rFonts w:ascii="仿宋_GB2312" w:eastAsia="仿宋_GB2312"/>
          <w:color w:val="000000" w:themeColor="text1"/>
          <w:sz w:val="32"/>
          <w:szCs w:val="32"/>
        </w:rPr>
      </w:pPr>
    </w:p>
    <w:p>
      <w:pPr>
        <w:spacing w:line="600" w:lineRule="exact"/>
        <w:jc w:val="center"/>
        <w:outlineLvl w:val="0"/>
        <w:rPr>
          <w:rFonts w:ascii="黑体" w:eastAsia="黑体"/>
          <w:color w:val="FF0000"/>
          <w:sz w:val="44"/>
          <w:szCs w:val="44"/>
        </w:rPr>
      </w:pPr>
      <w:bookmarkStart w:id="57" w:name="_Toc15396614"/>
      <w:bookmarkStart w:id="58" w:name="_Toc15377226"/>
      <w:r>
        <w:rPr>
          <w:rFonts w:hint="eastAsia" w:ascii="黑体" w:eastAsia="黑体"/>
          <w:color w:val="FF0000"/>
          <w:sz w:val="44"/>
          <w:szCs w:val="44"/>
        </w:rPr>
        <w:t xml:space="preserve"> </w:t>
      </w: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pStyle w:val="3"/>
        <w:rPr>
          <w:rStyle w:val="16"/>
          <w:rFonts w:ascii="仿宋" w:eastAsia="仿宋"/>
          <w:b w:val="0"/>
          <w:bCs w:val="0"/>
          <w:color w:val="000000" w:themeColor="text1"/>
          <w:sz w:val="32"/>
          <w:szCs w:val="32"/>
        </w:rPr>
      </w:pPr>
      <w:bookmarkStart w:id="59" w:name="_Toc15396615"/>
      <w:r>
        <w:rPr>
          <w:rStyle w:val="16"/>
          <w:rFonts w:hint="eastAsia" w:ascii="仿宋" w:eastAsia="仿宋"/>
          <w:b w:val="0"/>
          <w:bCs w:val="0"/>
          <w:color w:val="000000" w:themeColor="text1"/>
          <w:sz w:val="32"/>
          <w:szCs w:val="32"/>
        </w:rPr>
        <w:t>附件1</w:t>
      </w:r>
      <w:bookmarkEnd w:id="59"/>
    </w:p>
    <w:p>
      <w:pPr>
        <w:numPr>
          <w:ilvl w:val="0"/>
          <w:numId w:val="6"/>
        </w:numPr>
        <w:spacing w:line="600" w:lineRule="exact"/>
        <w:ind w:firstLine="660" w:firstLineChars="150"/>
        <w:jc w:val="center"/>
        <w:outlineLvl w:val="0"/>
        <w:rPr>
          <w:rFonts w:ascii="黑体" w:eastAsia="黑体"/>
          <w:bCs/>
          <w:color w:val="000000" w:themeColor="text1"/>
          <w:kern w:val="44"/>
          <w:sz w:val="44"/>
          <w:szCs w:val="44"/>
        </w:rPr>
      </w:pPr>
      <w:r>
        <w:rPr>
          <w:rStyle w:val="16"/>
          <w:rFonts w:hint="eastAsia" w:ascii="黑体" w:eastAsia="黑体"/>
          <w:b w:val="0"/>
          <w:color w:val="000000" w:themeColor="text1"/>
        </w:rPr>
        <w:t>附件</w:t>
      </w:r>
      <w:bookmarkEnd w:id="57"/>
      <w:bookmarkEnd w:id="58"/>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2020年金川县人力资源和社会保障局</w:t>
      </w:r>
    </w:p>
    <w:p>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部门整体支出绩效评价自评报告</w:t>
      </w:r>
    </w:p>
    <w:p>
      <w:pPr>
        <w:spacing w:line="560" w:lineRule="exact"/>
        <w:ind w:firstLine="640" w:firstLineChars="200"/>
        <w:rPr>
          <w:rFonts w:hint="eastAsia" w:ascii="仿宋_GB2312" w:hAnsi="仿宋_GB2312" w:eastAsia="仿宋_GB2312" w:cs="仿宋_GB2312"/>
          <w:bCs/>
          <w:sz w:val="32"/>
          <w:szCs w:val="32"/>
        </w:rPr>
      </w:pP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根据《金川县财政局关于开展2021年部门、政策和项目支出绩效评价工作的通知》(金财监绩[2021]26号)文件精神，本着科学、独立、客观、公正的原则，按照规定的绩效评价方法，我单位对2020年部门整体支出绩效进行了全面综合的自评。 现将自评情况报告如下： </w:t>
      </w:r>
      <w:r>
        <w:rPr>
          <w:rFonts w:hint="eastAsia" w:ascii="仿宋_GB2312" w:eastAsia="仿宋_GB2312"/>
          <w:b/>
          <w:sz w:val="32"/>
          <w:szCs w:val="32"/>
          <w:shd w:val="clear" w:color="auto" w:fill="FFFFFF"/>
        </w:rPr>
        <w:t xml:space="preserve"> </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rPr>
        <w:t>一、</w:t>
      </w:r>
      <w:r>
        <w:rPr>
          <w:rFonts w:hint="eastAsia" w:ascii="仿宋_GB2312" w:eastAsia="仿宋_GB2312" w:cs="宋体"/>
          <w:color w:val="000000"/>
          <w:kern w:val="0"/>
          <w:sz w:val="32"/>
          <w:szCs w:val="32"/>
          <w:shd w:val="clear" w:color="auto" w:fill="FFFFFF"/>
          <w:lang w:val="zh-CN"/>
        </w:rPr>
        <w:t>单位概况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cs="仿宋_GB2312"/>
          <w:sz w:val="32"/>
          <w:szCs w:val="32"/>
          <w:lang w:val="zh-CN"/>
        </w:rPr>
        <w:t>我单位属于县政府工作部门。</w:t>
      </w:r>
      <w:r>
        <w:rPr>
          <w:rFonts w:hint="eastAsia" w:ascii="仿宋_GB2312" w:hAnsi="仿宋" w:eastAsia="仿宋_GB2312"/>
          <w:sz w:val="32"/>
          <w:szCs w:val="32"/>
        </w:rPr>
        <w:t>根据编委核定，我单位内设（副科）级事业单位1个，（</w:t>
      </w:r>
      <w:r>
        <w:rPr>
          <w:rFonts w:hint="eastAsia" w:ascii="仿宋_GB2312" w:hAnsi="仿宋" w:eastAsia="仿宋_GB2312" w:cs="仿宋_GB2312"/>
          <w:sz w:val="32"/>
          <w:szCs w:val="32"/>
          <w:lang w:val="zh-CN"/>
        </w:rPr>
        <w:t>股级）事业单位24个，</w:t>
      </w:r>
      <w:r>
        <w:rPr>
          <w:rFonts w:hint="eastAsia" w:ascii="仿宋_GB2312" w:hAnsi="仿宋" w:eastAsia="仿宋_GB2312"/>
          <w:sz w:val="32"/>
          <w:szCs w:val="32"/>
        </w:rPr>
        <w:t>内设股室6个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内设事业单位分别是：劳动保障监察大队、劳动人事争议仲裁院、人力资源和社会保障局信息中心 、22个乡镇就业和社会保障所。</w:t>
      </w:r>
    </w:p>
    <w:p>
      <w:pPr>
        <w:spacing w:line="560" w:lineRule="exact"/>
        <w:ind w:left="160" w:leftChars="76" w:firstLine="480" w:firstLineChars="150"/>
        <w:rPr>
          <w:rFonts w:hint="eastAsia" w:ascii="仿宋_GB2312" w:hAnsi="仿宋" w:eastAsia="仿宋_GB2312" w:cs="仿宋_GB2312"/>
          <w:sz w:val="32"/>
          <w:szCs w:val="32"/>
        </w:rPr>
      </w:pPr>
      <w:r>
        <w:rPr>
          <w:rFonts w:hint="eastAsia" w:ascii="仿宋_GB2312" w:hAnsi="仿宋" w:eastAsia="仿宋_GB2312"/>
          <w:sz w:val="32"/>
          <w:szCs w:val="32"/>
        </w:rPr>
        <w:t>内设股室分别是：办公室、事业人员管理股、</w:t>
      </w:r>
      <w:r>
        <w:rPr>
          <w:rFonts w:hint="eastAsia" w:ascii="仿宋_GB2312" w:hAnsi="仿宋" w:eastAsia="仿宋_GB2312" w:cs="仿宋_GB2312"/>
          <w:sz w:val="32"/>
          <w:szCs w:val="32"/>
        </w:rPr>
        <w:t>工资福利与退休管理股、</w:t>
      </w:r>
      <w:r>
        <w:rPr>
          <w:rFonts w:hint="eastAsia" w:ascii="仿宋_GB2312" w:hAnsi="仿宋" w:eastAsia="仿宋_GB2312"/>
          <w:sz w:val="32"/>
          <w:szCs w:val="32"/>
        </w:rPr>
        <w:t>社会保险管理股、</w:t>
      </w:r>
      <w:r>
        <w:rPr>
          <w:rFonts w:hint="eastAsia" w:ascii="仿宋_GB2312" w:hAnsi="仿宋" w:eastAsia="仿宋_GB2312" w:cs="仿宋_GB2312"/>
          <w:sz w:val="32"/>
          <w:szCs w:val="32"/>
        </w:rPr>
        <w:t>劳动综合管理股、社会保险基金监督股。</w:t>
      </w:r>
    </w:p>
    <w:p>
      <w:pPr>
        <w:spacing w:line="560" w:lineRule="exact"/>
        <w:ind w:left="160" w:leftChars="76" w:firstLine="480" w:firstLineChars="150"/>
        <w:rPr>
          <w:rFonts w:hint="eastAsia" w:ascii="仿宋_GB2312" w:hAnsi="仿宋" w:eastAsia="仿宋_GB2312" w:cs="仿宋_GB2312"/>
          <w:sz w:val="32"/>
          <w:szCs w:val="32"/>
        </w:rPr>
      </w:pPr>
      <w:r>
        <w:rPr>
          <w:rFonts w:hint="eastAsia" w:ascii="仿宋_GB2312" w:hAnsi="仿宋" w:eastAsia="仿宋_GB2312" w:cs="仿宋_GB2312"/>
          <w:sz w:val="32"/>
          <w:szCs w:val="32"/>
        </w:rPr>
        <w:t>2020年9月乡镇事业单位机构改革，22</w:t>
      </w:r>
      <w:r>
        <w:rPr>
          <w:rFonts w:hint="eastAsia" w:ascii="仿宋_GB2312" w:hAnsi="仿宋" w:eastAsia="仿宋_GB2312"/>
          <w:sz w:val="32"/>
          <w:szCs w:val="32"/>
        </w:rPr>
        <w:t>个乡镇就业和社会保障所，所有职能及编制和人员全部划转到各乡镇。</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pPr>
        <w:spacing w:line="560" w:lineRule="exact"/>
        <w:ind w:firstLine="320" w:firstLineChars="100"/>
        <w:rPr>
          <w:rFonts w:hint="eastAsia" w:ascii="仿宋_GB2312" w:hAnsi="仿宋" w:eastAsia="仿宋_GB2312" w:cs="仿宋_GB2312"/>
          <w:sz w:val="32"/>
          <w:szCs w:val="32"/>
        </w:rPr>
      </w:pPr>
      <w:r>
        <w:rPr>
          <w:rFonts w:hint="eastAsia" w:ascii="仿宋_GB2312" w:hAnsi="仿宋" w:eastAsia="仿宋_GB2312" w:cs="仿宋_GB2312"/>
          <w:sz w:val="32"/>
          <w:szCs w:val="32"/>
        </w:rPr>
        <w:t>配置人力资源、促进充分就业、统筹城乡社会保险、就业专项资金和社会保险基金监管、职业技能培训、职称制度改革和事业单位人事制度改革，综合管理事业单位工作人员、机关工勤人员及教育培训、流动调配工作，参与人才管理工作；负责劳务开发及农民工工作；负责劳动人事争议仲裁、劳动关系、劳动监察执法工作；承担委、县政府和上级业务部门交办的其他工作。</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spacing w:line="560" w:lineRule="exact"/>
        <w:ind w:firstLine="320" w:firstLineChars="100"/>
        <w:rPr>
          <w:rFonts w:hint="eastAsia" w:ascii="仿宋_GB2312" w:hAnsi="仿宋" w:eastAsia="仿宋_GB2312" w:cs="仿宋_GB2312"/>
          <w:color w:val="000000" w:themeColor="text1"/>
          <w:sz w:val="32"/>
          <w:szCs w:val="32"/>
        </w:rPr>
      </w:pPr>
      <w:r>
        <w:rPr>
          <w:rFonts w:hint="eastAsia" w:ascii="仿宋_GB2312" w:hAnsi="仿宋" w:eastAsia="仿宋_GB2312" w:cs="仿宋_GB2312"/>
          <w:sz w:val="32"/>
          <w:szCs w:val="32"/>
        </w:rPr>
        <w:t>我单位属独立编制机构和独立核算的行政单位。2020年末</w:t>
      </w:r>
      <w:r>
        <w:rPr>
          <w:rFonts w:hint="eastAsia" w:ascii="仿宋_GB2312" w:hAnsi="仿宋" w:eastAsia="仿宋_GB2312" w:cs="仿宋_GB2312"/>
          <w:bCs/>
          <w:color w:val="000000"/>
          <w:sz w:val="32"/>
          <w:szCs w:val="32"/>
        </w:rPr>
        <w:t>人员编制为19名，其中行政编制10名，行政工</w:t>
      </w:r>
      <w:r>
        <w:rPr>
          <w:rFonts w:hint="eastAsia" w:ascii="仿宋_GB2312" w:hAnsi="仿宋" w:eastAsia="仿宋_GB2312" w:cs="仿宋_GB2312"/>
          <w:color w:val="000000"/>
          <w:sz w:val="32"/>
          <w:szCs w:val="32"/>
        </w:rPr>
        <w:t>勤编制1名，事业编制8名（其中参照公务员法管理人员编制3人）。</w:t>
      </w:r>
      <w:r>
        <w:rPr>
          <w:rFonts w:hint="eastAsia" w:ascii="仿宋_GB2312" w:hAnsi="仿宋" w:eastAsia="仿宋_GB2312" w:cs="仿宋_GB2312"/>
          <w:color w:val="000000" w:themeColor="text1"/>
          <w:sz w:val="32"/>
          <w:szCs w:val="32"/>
        </w:rPr>
        <w:t>2020年年末实际人数61人，其中行政28人，行政工勤1人，事业32人。</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320" w:firstLineChars="100"/>
        <w:contextualSpacing/>
        <w:jc w:val="left"/>
        <w:rPr>
          <w:rFonts w:hint="eastAsia" w:ascii="仿宋_GB2312" w:hAnsi="仿宋" w:eastAsia="仿宋_GB2312" w:cs="仿宋_GB2312"/>
          <w:sz w:val="32"/>
          <w:szCs w:val="32"/>
        </w:rPr>
      </w:pPr>
      <w:r>
        <w:rPr>
          <w:rFonts w:hint="eastAsia" w:ascii="仿宋_GB2312" w:hAnsi="仿宋" w:eastAsia="仿宋_GB2312" w:cs="仿宋_GB2312"/>
          <w:sz w:val="32"/>
          <w:szCs w:val="32"/>
        </w:rPr>
        <w:t>2020年度财政资金收入954.20万元.其中基本支出拨款</w:t>
      </w:r>
      <w:r>
        <w:rPr>
          <w:rFonts w:hint="eastAsia" w:ascii="仿宋_GB2312" w:hAnsi="仿宋" w:eastAsia="仿宋_GB2312" w:cs="仿宋_GB2312"/>
          <w:color w:val="000000"/>
          <w:sz w:val="32"/>
          <w:szCs w:val="32"/>
        </w:rPr>
        <w:t>880.19</w:t>
      </w:r>
      <w:r>
        <w:rPr>
          <w:rFonts w:hint="eastAsia" w:ascii="仿宋_GB2312" w:hAnsi="仿宋" w:eastAsia="仿宋_GB2312" w:cs="仿宋_GB2312"/>
          <w:sz w:val="32"/>
          <w:szCs w:val="32"/>
        </w:rPr>
        <w:t>万元，项目支出拨款</w:t>
      </w:r>
      <w:r>
        <w:rPr>
          <w:rFonts w:hint="eastAsia" w:ascii="仿宋_GB2312" w:hAnsi="仿宋" w:eastAsia="仿宋_GB2312" w:cs="仿宋_GB2312"/>
          <w:color w:val="000000"/>
          <w:sz w:val="32"/>
          <w:szCs w:val="32"/>
        </w:rPr>
        <w:t>74.01</w:t>
      </w:r>
      <w:r>
        <w:rPr>
          <w:rFonts w:hint="eastAsia" w:ascii="仿宋_GB2312" w:hAnsi="仿宋" w:eastAsia="仿宋_GB2312" w:cs="仿宋_GB2312"/>
          <w:sz w:val="32"/>
          <w:szCs w:val="32"/>
        </w:rPr>
        <w:t>万元.上年结转结余 77.19万元(基本支出0万元,项目支出77.19万元)。</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snapToGrid w:val="0"/>
        <w:spacing w:line="540" w:lineRule="exact"/>
        <w:rPr>
          <w:rFonts w:hint="eastAsia" w:ascii="仿宋_GB2312" w:hAnsi="仿宋" w:eastAsia="仿宋_GB2312" w:cs="仿宋_GB2312"/>
          <w:sz w:val="32"/>
          <w:szCs w:val="32"/>
        </w:rPr>
      </w:pPr>
      <w:r>
        <w:rPr>
          <w:rFonts w:hint="eastAsia" w:ascii="仿宋_GB2312" w:hAnsi="仿宋" w:eastAsia="仿宋_GB2312" w:cs="仿宋_GB2312"/>
          <w:sz w:val="32"/>
          <w:szCs w:val="32"/>
        </w:rPr>
        <w:t xml:space="preserve">  2020年度财政资金支出1031.39万元，</w:t>
      </w:r>
      <w:r>
        <w:rPr>
          <w:rFonts w:hint="eastAsia" w:ascii="仿宋_GB2312" w:hAnsi="仿宋" w:eastAsia="仿宋_GB2312" w:cs="仿宋_GB2312"/>
          <w:sz w:val="32"/>
          <w:szCs w:val="32"/>
          <w:lang w:eastAsia="zh-CN"/>
        </w:rPr>
        <w:t>其中</w:t>
      </w:r>
      <w:r>
        <w:rPr>
          <w:rFonts w:hint="eastAsia" w:ascii="仿宋_GB2312" w:hAnsi="仿宋" w:eastAsia="仿宋_GB2312" w:cs="仿宋_GB2312"/>
          <w:sz w:val="32"/>
          <w:szCs w:val="32"/>
        </w:rPr>
        <w:t>基本支出880.19万元，项目支出151.20万元(培训费支出1.72万元、2020年疫情防控生活补助0.52万元、 高校毕业生“三支一扶”生活补助〔阿州财社（2020）9、10号〕71.77万元、人社基层服务能力建设资金〔阿州财社（2019）49号〕77.19万元（专用设备采购75.72万元,培训费1.47万元）</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 xml:space="preserve">三、部门整体预算绩效管理情况 </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zh-CN"/>
        </w:rPr>
        <w:t>严格按照县财政局部门预算编制通知要求，按时完成局机关年初预算编制工作。在编制过程中，认真核实单位实际财政供养人数和单位实有编制情况，正确编制人员经费和公用经费等，做到尽量细化项目资金支出预算范围和科目，及时上报相关股室进行审核，确保预算编制的准确性。</w:t>
      </w:r>
      <w:r>
        <w:rPr>
          <w:rFonts w:hint="eastAsia" w:ascii="仿宋_GB2312" w:hAnsi="仿宋" w:eastAsia="仿宋_GB2312" w:cs="仿宋_GB2312"/>
          <w:sz w:val="32"/>
          <w:szCs w:val="32"/>
        </w:rPr>
        <w:t>对绩效目标进行年度分析，及时上报相关报表。</w:t>
      </w:r>
      <w:r>
        <w:rPr>
          <w:rFonts w:hint="eastAsia" w:ascii="仿宋_GB2312" w:hAnsi="仿宋" w:eastAsia="仿宋_GB2312" w:cs="仿宋_GB2312"/>
          <w:sz w:val="32"/>
          <w:szCs w:val="32"/>
          <w:lang w:val="zh-CN"/>
        </w:rPr>
        <w:t>从预算执行来情况看，预算资金覆盖所有人力资源和社会保障局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r>
        <w:rPr>
          <w:rFonts w:hint="eastAsia" w:ascii="仿宋_GB2312" w:hAnsi="仿宋" w:eastAsia="仿宋_GB2312" w:cs="仿宋_GB2312"/>
          <w:sz w:val="32"/>
          <w:szCs w:val="32"/>
        </w:rPr>
        <w:t>资金使用管理逐步加强。全年预算完成率达100%。单位支出严格按照国家财经法规和财务管理制度规定执行，正确组织资金的分配、调度和使用，费用开支有标准、有预算，所有支出均通过我单位政府财政管理系统直接支付和授权方支付方式办理，资金使用无截留、挤占、挪用、虚列支出等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napToGrid w:val="0"/>
        <w:spacing w:line="540" w:lineRule="exact"/>
        <w:ind w:left="105" w:leftChars="50" w:firstLine="560" w:firstLineChars="175"/>
        <w:jc w:val="left"/>
        <w:rPr>
          <w:rFonts w:hint="eastAsia" w:ascii="仿宋_GB2312" w:hAnsi="宋体" w:eastAsia="仿宋_GB2312" w:cs="宋体"/>
          <w:color w:val="000000"/>
          <w:kern w:val="0"/>
          <w:sz w:val="32"/>
          <w:szCs w:val="32"/>
          <w:lang w:val="zh-CN"/>
        </w:rPr>
      </w:pPr>
      <w:r>
        <w:rPr>
          <w:rFonts w:hint="eastAsia" w:ascii="仿宋_GB2312" w:hAnsi="仿宋" w:eastAsia="仿宋_GB2312" w:cs="仿宋_GB2312"/>
          <w:sz w:val="32"/>
          <w:szCs w:val="32"/>
          <w:lang w:val="zh-CN"/>
        </w:rPr>
        <w:t>按要求将相关绩效信息随同决算公开 ；针对绩效管理过程中提出的问题及时进行整改，将绩效管理结果与预算安排进行；在规定时间内向财政部门反馈应用绩效结果报告。</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spacing w:line="56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评价结论为</w:t>
      </w:r>
      <w:r>
        <w:rPr>
          <w:rFonts w:hint="eastAsia" w:ascii="仿宋_GB2312" w:hAnsi="仿宋" w:eastAsia="仿宋_GB2312" w:cs="仿宋_GB2312"/>
          <w:sz w:val="32"/>
          <w:szCs w:val="32"/>
        </w:rPr>
        <w:t>85分，部门预算执行情况良好，无不良记录及违规违纪行为，预算支出和决算支出情况基本相符，</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pPr>
        <w:spacing w:line="56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rPr>
        <w:t>预算绩效管理意识不够强，预算编制商品服务支出明细科目分解不够精确。</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r>
        <w:rPr>
          <w:rFonts w:hint="eastAsia" w:ascii="仿宋_GB2312" w:eastAsia="仿宋_GB2312" w:cs="宋体"/>
          <w:color w:val="000000"/>
          <w:kern w:val="0"/>
          <w:sz w:val="32"/>
          <w:szCs w:val="32"/>
          <w:shd w:val="clear" w:color="auto" w:fill="FFFFFF"/>
        </w:rPr>
        <w:t xml:space="preserve"> </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1、加强预算绩效管理意识，提高财政资金的使用效益。在预算编制过程中，树立绩效目标意识，总结上一年度预算执行情况。科学、合理地编制当年预算 。</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2、细化预算支出标准，提高预算编制水平。加强预算编制的前瞻性，按照新《预算法》及其实施条例的相关规定，按照</w:t>
      </w:r>
      <w:r>
        <w:rPr>
          <w:rFonts w:hint="eastAsia" w:ascii="仿宋_GB2312" w:eastAsia="仿宋_GB2312" w:cs="宋体"/>
          <w:color w:val="000000"/>
          <w:kern w:val="0"/>
          <w:sz w:val="32"/>
          <w:szCs w:val="32"/>
          <w:shd w:val="clear" w:color="auto" w:fill="FFFFFF"/>
          <w:lang w:eastAsia="zh-CN"/>
        </w:rPr>
        <w:t>政策</w:t>
      </w:r>
      <w:r>
        <w:rPr>
          <w:rFonts w:hint="eastAsia" w:ascii="仿宋_GB2312" w:eastAsia="仿宋_GB2312" w:cs="宋体"/>
          <w:color w:val="000000"/>
          <w:kern w:val="0"/>
          <w:sz w:val="32"/>
          <w:szCs w:val="32"/>
          <w:shd w:val="clear" w:color="auto" w:fill="FFFFFF"/>
        </w:rPr>
        <w:t>规定及本部门的发展规划,结合上一年度预算执行情况和本年度预算收支变化因素，科学、合理地编制本年预算草案。执行中确需调剂预算的按规定程序报经批准。</w:t>
      </w:r>
    </w:p>
    <w:p>
      <w:pPr>
        <w:spacing w:line="600" w:lineRule="exact"/>
        <w:jc w:val="center"/>
        <w:outlineLvl w:val="0"/>
        <w:rPr>
          <w:rFonts w:hint="eastAsia" w:ascii="仿宋_GB2312" w:eastAsia="仿宋_GB2312"/>
          <w:b/>
          <w:color w:val="000000"/>
          <w:sz w:val="32"/>
          <w:szCs w:val="32"/>
        </w:rPr>
      </w:pPr>
    </w:p>
    <w:p>
      <w:pPr>
        <w:pStyle w:val="3"/>
        <w:rPr>
          <w:rFonts w:hint="eastAsia" w:ascii="仿宋_GB2312" w:eastAsia="仿宋_GB2312"/>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20</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78D72DD4"/>
    <w:multiLevelType w:val="singleLevel"/>
    <w:tmpl w:val="78D72DD4"/>
    <w:lvl w:ilvl="0" w:tentative="0">
      <w:start w:val="3"/>
      <w:numFmt w:val="decimal"/>
      <w:lvlText w:val="%1."/>
      <w:lvlJc w:val="left"/>
      <w:pPr>
        <w:tabs>
          <w:tab w:val="left" w:pos="0"/>
        </w:tabs>
        <w:ind w:left="0" w:firstLine="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712C1B"/>
    <w:rsid w:val="00004CDC"/>
    <w:rsid w:val="00016A4D"/>
    <w:rsid w:val="00031E5F"/>
    <w:rsid w:val="00060236"/>
    <w:rsid w:val="00062A0C"/>
    <w:rsid w:val="00083B99"/>
    <w:rsid w:val="00094C8C"/>
    <w:rsid w:val="00110041"/>
    <w:rsid w:val="0018049A"/>
    <w:rsid w:val="001A4560"/>
    <w:rsid w:val="001C3076"/>
    <w:rsid w:val="001F4920"/>
    <w:rsid w:val="00244228"/>
    <w:rsid w:val="002512E8"/>
    <w:rsid w:val="00272941"/>
    <w:rsid w:val="0028239E"/>
    <w:rsid w:val="002D5EB3"/>
    <w:rsid w:val="00304FE1"/>
    <w:rsid w:val="003132E6"/>
    <w:rsid w:val="00345882"/>
    <w:rsid w:val="00377B29"/>
    <w:rsid w:val="00392E15"/>
    <w:rsid w:val="003B6171"/>
    <w:rsid w:val="004C358C"/>
    <w:rsid w:val="004F0EBA"/>
    <w:rsid w:val="005B2D45"/>
    <w:rsid w:val="00645DBD"/>
    <w:rsid w:val="006509C3"/>
    <w:rsid w:val="00684B72"/>
    <w:rsid w:val="00712C1B"/>
    <w:rsid w:val="0073447D"/>
    <w:rsid w:val="007510D3"/>
    <w:rsid w:val="00785EEF"/>
    <w:rsid w:val="007A7089"/>
    <w:rsid w:val="007E0982"/>
    <w:rsid w:val="007F234A"/>
    <w:rsid w:val="0080188B"/>
    <w:rsid w:val="008626B8"/>
    <w:rsid w:val="00863A0C"/>
    <w:rsid w:val="00875DF6"/>
    <w:rsid w:val="008B5CA2"/>
    <w:rsid w:val="00936091"/>
    <w:rsid w:val="00944FBB"/>
    <w:rsid w:val="00951229"/>
    <w:rsid w:val="00956F74"/>
    <w:rsid w:val="0095750D"/>
    <w:rsid w:val="009773F0"/>
    <w:rsid w:val="009E20F6"/>
    <w:rsid w:val="009F6D65"/>
    <w:rsid w:val="00A10799"/>
    <w:rsid w:val="00A16784"/>
    <w:rsid w:val="00A242B1"/>
    <w:rsid w:val="00A841B0"/>
    <w:rsid w:val="00AC0C7B"/>
    <w:rsid w:val="00AC18C4"/>
    <w:rsid w:val="00B00FBD"/>
    <w:rsid w:val="00B1554F"/>
    <w:rsid w:val="00B43FEB"/>
    <w:rsid w:val="00B83E01"/>
    <w:rsid w:val="00B95F98"/>
    <w:rsid w:val="00BA64F2"/>
    <w:rsid w:val="00C10CD3"/>
    <w:rsid w:val="00C562A0"/>
    <w:rsid w:val="00C60F5B"/>
    <w:rsid w:val="00C642AA"/>
    <w:rsid w:val="00CA7842"/>
    <w:rsid w:val="00CB04C9"/>
    <w:rsid w:val="00CC0568"/>
    <w:rsid w:val="00D11694"/>
    <w:rsid w:val="00D16F5F"/>
    <w:rsid w:val="00D410D8"/>
    <w:rsid w:val="00D62338"/>
    <w:rsid w:val="00DB58A8"/>
    <w:rsid w:val="00E43E3F"/>
    <w:rsid w:val="00EA329F"/>
    <w:rsid w:val="00EB78EF"/>
    <w:rsid w:val="00EC7913"/>
    <w:rsid w:val="00EE2DD8"/>
    <w:rsid w:val="00EE5FE8"/>
    <w:rsid w:val="00F02B5B"/>
    <w:rsid w:val="00F11969"/>
    <w:rsid w:val="00F966D5"/>
    <w:rsid w:val="00FC2F69"/>
    <w:rsid w:val="00FD62B4"/>
    <w:rsid w:val="1E9A1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uiPriority w:val="0"/>
    <w:pPr>
      <w:keepNext/>
      <w:keepLines/>
      <w:spacing w:before="340" w:after="330" w:line="578" w:lineRule="auto"/>
      <w:outlineLvl w:val="0"/>
    </w:pPr>
    <w:rPr>
      <w:b/>
      <w:bCs/>
      <w:kern w:val="44"/>
      <w:sz w:val="44"/>
      <w:szCs w:val="44"/>
    </w:rPr>
  </w:style>
  <w:style w:type="paragraph" w:styleId="3">
    <w:name w:val="heading 2"/>
    <w:basedOn w:val="1"/>
    <w:next w:val="1"/>
    <w:link w:val="17"/>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spacing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link w:val="25"/>
    <w:uiPriority w:val="99"/>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character" w:styleId="14">
    <w:name w:val="Strong"/>
    <w:basedOn w:val="13"/>
    <w:uiPriority w:val="0"/>
    <w:rPr>
      <w:b/>
    </w:rPr>
  </w:style>
  <w:style w:type="character" w:styleId="15">
    <w:name w:val="Hyperlink"/>
    <w:basedOn w:val="13"/>
    <w:uiPriority w:val="0"/>
    <w:rPr>
      <w:color w:val="0000FF"/>
      <w:u w:val="single"/>
    </w:rPr>
  </w:style>
  <w:style w:type="character" w:customStyle="1" w:styleId="16">
    <w:name w:val="标题 1 Char"/>
    <w:basedOn w:val="13"/>
    <w:link w:val="2"/>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uiPriority w:val="0"/>
    <w:rPr>
      <w:rFonts w:ascii="Cambria" w:hAnsi="Cambria" w:eastAsia="宋体" w:cs="Times New Roman"/>
      <w:b/>
      <w:bCs/>
      <w:kern w:val="2"/>
      <w:sz w:val="32"/>
      <w:szCs w:val="32"/>
      <w:lang w:val="en-US" w:eastAsia="zh-CN" w:bidi="ar-SA"/>
    </w:rPr>
  </w:style>
  <w:style w:type="character" w:customStyle="1" w:styleId="18">
    <w:name w:val="Header Char"/>
    <w:basedOn w:val="13"/>
    <w:uiPriority w:val="0"/>
    <w:rPr>
      <w:rFonts w:ascii="Times New Roman" w:hAnsi="Times New Roman"/>
      <w:sz w:val="18"/>
      <w:szCs w:val="18"/>
    </w:rPr>
  </w:style>
  <w:style w:type="character" w:customStyle="1" w:styleId="19">
    <w:name w:val="Footer Char"/>
    <w:basedOn w:val="13"/>
    <w:uiPriority w:val="0"/>
    <w:rPr>
      <w:rFonts w:ascii="Times New Roman" w:hAnsi="Times New Roman"/>
      <w:sz w:val="18"/>
      <w:szCs w:val="18"/>
    </w:rPr>
  </w:style>
  <w:style w:type="character" w:customStyle="1" w:styleId="20">
    <w:name w:val="Body Text Char"/>
    <w:basedOn w:val="13"/>
    <w:uiPriority w:val="0"/>
    <w:rPr>
      <w:rFonts w:ascii="Times New Roman" w:hAnsi="Times New Roman"/>
      <w:szCs w:val="24"/>
    </w:r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uiPriority w:val="0"/>
    <w:pPr>
      <w:ind w:firstLine="200" w:firstLineChars="200"/>
    </w:pPr>
  </w:style>
  <w:style w:type="paragraph" w:customStyle="1" w:styleId="23">
    <w:name w:val="TOC 标题1"/>
    <w:basedOn w:val="2"/>
    <w:next w:val="1"/>
    <w:uiPriority w:val="0"/>
    <w:pPr>
      <w:widowControl/>
      <w:spacing w:before="480" w:after="0" w:line="276" w:lineRule="auto"/>
      <w:jc w:val="left"/>
      <w:outlineLvl w:val="9"/>
    </w:pPr>
    <w:rPr>
      <w:rFonts w:ascii="Cambria" w:hAnsi="Cambria"/>
      <w:color w:val="376092"/>
      <w:kern w:val="0"/>
      <w:sz w:val="28"/>
      <w:szCs w:val="28"/>
    </w:rPr>
  </w:style>
  <w:style w:type="character" w:customStyle="1" w:styleId="24">
    <w:name w:val="ca-41"/>
    <w:basedOn w:val="13"/>
    <w:uiPriority w:val="0"/>
    <w:rPr>
      <w:rFonts w:hint="eastAsia" w:ascii="仿宋_GB2312" w:eastAsia="仿宋_GB2312"/>
      <w:sz w:val="32"/>
    </w:rPr>
  </w:style>
  <w:style w:type="character" w:customStyle="1" w:styleId="25">
    <w:name w:val="页脚 Char"/>
    <w:basedOn w:val="13"/>
    <w:link w:val="8"/>
    <w:uiPriority w:val="99"/>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00000001"/>
          <c:y val="0.22913043"/>
          <c:w val="0.928372699999999"/>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1158.07</c:v>
                </c:pt>
                <c:pt idx="1">
                  <c:v>954.2</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1170.19</c:v>
                </c:pt>
                <c:pt idx="1">
                  <c:v>1031.39</c:v>
                </c:pt>
              </c:numCache>
            </c:numRef>
          </c:val>
        </c:ser>
        <c:dLbls>
          <c:showLegendKey val="0"/>
          <c:showVal val="0"/>
          <c:showCatName val="0"/>
          <c:showSerName val="0"/>
          <c:showPercent val="0"/>
          <c:showBubbleSize val="0"/>
        </c:dLbls>
        <c:gapWidth val="219"/>
        <c:overlap val="-27"/>
        <c:axId val="152123264"/>
        <c:axId val="156361472"/>
      </c:barChart>
      <c:catAx>
        <c:axId val="152123264"/>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56361472"/>
        <c:crosses val="autoZero"/>
        <c:auto val="1"/>
        <c:lblAlgn val="ctr"/>
        <c:lblOffset val="100"/>
        <c:noMultiLvlLbl val="0"/>
      </c:catAx>
      <c:valAx>
        <c:axId val="15636147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52123264"/>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954.02</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880.19</c:v>
                </c:pt>
                <c:pt idx="1">
                  <c:v>151.2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1158.07</c:v>
                </c:pt>
                <c:pt idx="1">
                  <c:v>1170.19</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954.2</c:v>
                </c:pt>
                <c:pt idx="1">
                  <c:v>1031.39</c:v>
                </c:pt>
              </c:numCache>
            </c:numRef>
          </c:val>
        </c:ser>
        <c:dLbls>
          <c:showLegendKey val="0"/>
          <c:showVal val="1"/>
          <c:showCatName val="0"/>
          <c:showSerName val="0"/>
          <c:showPercent val="0"/>
          <c:showBubbleSize val="0"/>
        </c:dLbls>
        <c:gapWidth val="219"/>
        <c:overlap val="-27"/>
        <c:axId val="277775872"/>
        <c:axId val="282732416"/>
      </c:barChart>
      <c:catAx>
        <c:axId val="27777587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282732416"/>
        <c:crosses val="autoZero"/>
        <c:auto val="1"/>
        <c:lblAlgn val="ctr"/>
        <c:lblOffset val="100"/>
        <c:noMultiLvlLbl val="0"/>
      </c:catAx>
      <c:valAx>
        <c:axId val="28273241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27777587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0000001"/>
          <c:w val="0.92429096"/>
          <c:h val="0.627633040000001"/>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1170.19</c:v>
                </c:pt>
                <c:pt idx="1">
                  <c:v>1031.39</c:v>
                </c:pt>
              </c:numCache>
            </c:numRef>
          </c:val>
        </c:ser>
        <c:dLbls>
          <c:showLegendKey val="0"/>
          <c:showVal val="1"/>
          <c:showCatName val="0"/>
          <c:showSerName val="0"/>
          <c:showPercent val="0"/>
          <c:showBubbleSize val="0"/>
        </c:dLbls>
        <c:gapWidth val="219"/>
        <c:overlap val="-27"/>
        <c:axId val="283011712"/>
        <c:axId val="283062656"/>
      </c:barChart>
      <c:catAx>
        <c:axId val="28301171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283062656"/>
        <c:crosses val="autoZero"/>
        <c:auto val="1"/>
        <c:lblAlgn val="ctr"/>
        <c:lblOffset val="100"/>
        <c:noMultiLvlLbl val="0"/>
      </c:catAx>
      <c:valAx>
        <c:axId val="28306265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28301171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一般公共预算财政拨款支出决算结构</a:t>
            </a:r>
            <a:endParaRPr lang="zh-CN"/>
          </a:p>
        </c:rich>
      </c:tx>
      <c:layout/>
      <c:overlay val="0"/>
    </c:title>
    <c:autoTitleDeleted val="0"/>
    <c:plotArea>
      <c:layout/>
      <c:pieChart>
        <c:varyColors val="1"/>
        <c:ser>
          <c:idx val="0"/>
          <c:order val="0"/>
          <c:tx>
            <c:strRef>
              <c:f>'Sheet1 (6)'!$B$1</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Lbl>
              <c:idx val="1"/>
              <c:layout>
                <c:manualLayout>
                  <c:x val="-0.0209736450000001"/>
                  <c:y val="0.04419082400000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00000001"/>
                  <c:y val="0.004965708000000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卫生健康支出</c:v>
                </c:pt>
                <c:pt idx="3">
                  <c:v>住房保障支出</c:v>
                </c:pt>
              </c:strCache>
            </c:strRef>
          </c:cat>
          <c:val>
            <c:numRef>
              <c:f>'Sheet1 (6)'!$B$2:$B$5</c:f>
              <c:numCache>
                <c:formatCode>General</c:formatCode>
                <c:ptCount val="4"/>
                <c:pt idx="0">
                  <c:v>338.78</c:v>
                </c:pt>
                <c:pt idx="1">
                  <c:v>571.98</c:v>
                </c:pt>
                <c:pt idx="2">
                  <c:v>45.25</c:v>
                </c:pt>
                <c:pt idx="3">
                  <c:v>73.66</c:v>
                </c:pt>
              </c:numCache>
            </c:numRef>
          </c:val>
        </c:ser>
        <c:dLbls>
          <c:showLegendKey val="0"/>
          <c:showVal val="1"/>
          <c:showCatName val="0"/>
          <c:showSerName val="0"/>
          <c:showPercent val="0"/>
          <c:showBubbleSize val="0"/>
          <c:showLeaderLines val="1"/>
        </c:dLbls>
        <c:firstSliceAng val="0"/>
      </c:pie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000000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9.99</c:v>
                </c:pt>
                <c:pt idx="2">
                  <c:v>0.03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1354</Words>
  <Characters>7724</Characters>
  <Lines>64</Lines>
  <Paragraphs>18</Paragraphs>
  <TotalTime>635</TotalTime>
  <ScaleCrop>false</ScaleCrop>
  <LinksUpToDate>false</LinksUpToDate>
  <CharactersWithSpaces>9060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2021-09-14T03:33:00Z</dcterms:created>
  <dc:creator>张彬茜</dc:creator>
  <cp:lastModifiedBy>平淡无奇</cp:lastModifiedBy>
  <cp:lastPrinted>2021-09-18T02:37:00Z</cp:lastPrinted>
  <dcterms:modified xsi:type="dcterms:W3CDTF">2021-09-27T08:16:44Z</dcterms:modified>
  <dc:title>四川省***</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