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796299">
      <w:pPr>
        <w:spacing w:line="56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lang w:val="en-US" w:eastAsia="zh-CN"/>
        </w:rPr>
        <w:t>金川县</w:t>
      </w:r>
      <w:r>
        <w:rPr>
          <w:rFonts w:hint="eastAsia" w:ascii="Times New Roman" w:hAnsi="Times New Roman" w:eastAsia="方正小标宋_GBK" w:cs="Times New Roman"/>
          <w:sz w:val="44"/>
          <w:szCs w:val="44"/>
          <w:lang w:val="en-US" w:eastAsia="zh-CN"/>
        </w:rPr>
        <w:t>民政局</w:t>
      </w:r>
      <w:r>
        <w:rPr>
          <w:rFonts w:ascii="Times New Roman" w:hAnsi="Times New Roman" w:eastAsia="方正小标宋_GBK" w:cs="Times New Roman"/>
          <w:sz w:val="44"/>
          <w:szCs w:val="44"/>
          <w:lang w:val="en-US" w:eastAsia="zh-CN"/>
        </w:rPr>
        <w:t>2025年部门</w:t>
      </w:r>
      <w:r>
        <w:rPr>
          <w:rFonts w:ascii="Times New Roman" w:hAnsi="Times New Roman" w:eastAsia="方正小标宋_GBK" w:cs="Times New Roman"/>
          <w:sz w:val="44"/>
          <w:szCs w:val="44"/>
        </w:rPr>
        <w:t>预算绩效目标</w:t>
      </w:r>
    </w:p>
    <w:p w14:paraId="0BBEB545">
      <w:pPr>
        <w:spacing w:line="560" w:lineRule="exact"/>
        <w:jc w:val="center"/>
        <w:rPr>
          <w:rFonts w:ascii="Times New Roman" w:hAnsi="Times New Roman" w:eastAsia="方正小标宋_GBK" w:cs="Times New Roman"/>
          <w:sz w:val="44"/>
          <w:szCs w:val="44"/>
          <w:lang w:eastAsia="zh-CN"/>
        </w:rPr>
      </w:pPr>
      <w:r>
        <w:rPr>
          <w:rFonts w:ascii="Times New Roman" w:hAnsi="Times New Roman" w:eastAsia="方正小标宋_GBK" w:cs="Times New Roman"/>
          <w:sz w:val="44"/>
          <w:szCs w:val="44"/>
        </w:rPr>
        <w:t>情况说明</w:t>
      </w:r>
    </w:p>
    <w:p w14:paraId="09D163CB">
      <w:pPr>
        <w:tabs>
          <w:tab w:val="center" w:pos="4153"/>
          <w:tab w:val="right" w:pos="8306"/>
        </w:tabs>
        <w:jc w:val="left"/>
      </w:pPr>
    </w:p>
    <w:p w14:paraId="40A17824">
      <w:pPr>
        <w:pageBreakBefore w:val="0"/>
        <w:kinsoku/>
        <w:wordWrap/>
        <w:overflowPunct/>
        <w:topLinePunct w:val="0"/>
        <w:autoSpaceDE/>
        <w:autoSpaceDN/>
        <w:bidi w:val="0"/>
        <w:spacing w:line="560" w:lineRule="exact"/>
        <w:ind w:firstLine="640" w:firstLineChars="200"/>
        <w:rPr>
          <w:rFonts w:hint="eastAsia" w:ascii="仿宋_GB2312" w:eastAsia="仿宋_GB2312" w:cs="仿宋_GB2312"/>
          <w:b w:val="0"/>
          <w:sz w:val="32"/>
          <w:szCs w:val="32"/>
          <w:lang w:val="en-US" w:eastAsia="zh-CN"/>
        </w:rPr>
      </w:pPr>
      <w:r>
        <w:rPr>
          <w:rFonts w:hint="eastAsia" w:ascii="仿宋_GB2312" w:eastAsia="仿宋_GB2312" w:cs="仿宋_GB2312"/>
          <w:b w:val="0"/>
          <w:sz w:val="32"/>
          <w:szCs w:val="32"/>
          <w:lang w:val="en-US" w:eastAsia="zh-CN"/>
        </w:rPr>
        <w:t>2025年，我单位部门预算2225.72万元 ，均严格按绩效管理要求实现绩效目标管理，其中重点项目10个，现将情况说明如下：</w:t>
      </w:r>
    </w:p>
    <w:p w14:paraId="13DCB67C">
      <w:pPr>
        <w:pageBreakBefore w:val="0"/>
        <w:kinsoku/>
        <w:wordWrap/>
        <w:overflowPunct/>
        <w:topLinePunct w:val="0"/>
        <w:autoSpaceDE/>
        <w:autoSpaceDN/>
        <w:bidi w:val="0"/>
        <w:spacing w:line="560" w:lineRule="exact"/>
        <w:ind w:firstLine="640" w:firstLineChars="200"/>
        <w:rPr>
          <w:rFonts w:hint="eastAsia" w:ascii="方正黑体_GBK" w:hAnsi="方正黑体_GBK" w:eastAsia="方正黑体_GBK" w:cs="方正黑体_GBK"/>
          <w:b w:val="0"/>
          <w:sz w:val="32"/>
          <w:szCs w:val="32"/>
          <w:lang w:val="en-US" w:eastAsia="zh-CN"/>
        </w:rPr>
      </w:pPr>
      <w:r>
        <w:rPr>
          <w:rFonts w:hint="eastAsia" w:ascii="方正黑体_GBK" w:hAnsi="方正黑体_GBK" w:eastAsia="方正黑体_GBK" w:cs="方正黑体_GBK"/>
          <w:b w:val="0"/>
          <w:sz w:val="32"/>
          <w:szCs w:val="32"/>
          <w:lang w:val="en-US" w:eastAsia="zh-CN"/>
        </w:rPr>
        <w:t>一、单位预算绩效管理工作开展情况</w:t>
      </w:r>
    </w:p>
    <w:p w14:paraId="37139BFD">
      <w:pPr>
        <w:pageBreakBefore w:val="0"/>
        <w:kinsoku/>
        <w:wordWrap/>
        <w:overflowPunct/>
        <w:topLinePunct w:val="0"/>
        <w:autoSpaceDE/>
        <w:autoSpaceDN/>
        <w:bidi w:val="0"/>
        <w:spacing w:line="560" w:lineRule="exact"/>
        <w:ind w:left="0" w:firstLine="640" w:firstLineChars="200"/>
        <w:rPr>
          <w:rFonts w:hint="eastAsia" w:ascii="仿宋_GB2312" w:eastAsia="仿宋_GB2312" w:cs="仿宋_GB2312"/>
          <w:b w:val="0"/>
          <w:sz w:val="32"/>
          <w:szCs w:val="32"/>
          <w:lang w:val="en-US" w:eastAsia="zh-CN"/>
        </w:rPr>
      </w:pPr>
      <w:r>
        <w:rPr>
          <w:rFonts w:hint="eastAsia" w:ascii="仿宋_GB2312" w:eastAsia="仿宋_GB2312" w:cs="仿宋_GB2312"/>
          <w:b w:val="0"/>
          <w:sz w:val="32"/>
          <w:szCs w:val="32"/>
          <w:lang w:val="en-US" w:eastAsia="zh-CN"/>
        </w:rPr>
        <w:t>完成了2025年本级部门预算整体绩效目标申报和10个项目预算绩效目标申报，并编报10个项目预算事前绩效评估报告。</w:t>
      </w:r>
    </w:p>
    <w:p w14:paraId="6A4DC454">
      <w:pPr>
        <w:pageBreakBefore w:val="0"/>
        <w:numPr>
          <w:ilvl w:val="0"/>
          <w:numId w:val="1"/>
        </w:numPr>
        <w:kinsoku/>
        <w:wordWrap/>
        <w:overflowPunct/>
        <w:topLinePunct w:val="0"/>
        <w:autoSpaceDE/>
        <w:autoSpaceDN/>
        <w:bidi w:val="0"/>
        <w:spacing w:line="560" w:lineRule="exact"/>
        <w:ind w:left="0" w:firstLine="640" w:firstLineChars="200"/>
        <w:rPr>
          <w:rFonts w:hint="eastAsia" w:ascii="方正黑体_GBK" w:hAnsi="方正黑体_GBK" w:eastAsia="方正黑体_GBK" w:cs="方正黑体_GBK"/>
          <w:b w:val="0"/>
          <w:sz w:val="32"/>
          <w:szCs w:val="32"/>
          <w:lang w:val="en-US" w:eastAsia="zh-CN"/>
        </w:rPr>
      </w:pPr>
      <w:r>
        <w:rPr>
          <w:rFonts w:hint="eastAsia" w:ascii="方正黑体_GBK" w:hAnsi="方正黑体_GBK" w:eastAsia="方正黑体_GBK" w:cs="方正黑体_GBK"/>
          <w:b w:val="0"/>
          <w:sz w:val="32"/>
          <w:szCs w:val="32"/>
          <w:lang w:val="en-US" w:eastAsia="zh-CN"/>
        </w:rPr>
        <w:t>单位整体绩效目标</w:t>
      </w:r>
    </w:p>
    <w:p w14:paraId="004211BF">
      <w:pPr>
        <w:pageBreakBefore w:val="0"/>
        <w:kinsoku/>
        <w:wordWrap/>
        <w:overflowPunct/>
        <w:topLinePunct w:val="0"/>
        <w:autoSpaceDE/>
        <w:autoSpaceDN/>
        <w:bidi w:val="0"/>
        <w:spacing w:line="560" w:lineRule="exact"/>
        <w:ind w:left="0" w:firstLine="640" w:firstLineChars="200"/>
        <w:rPr>
          <w:rFonts w:hint="eastAsia" w:ascii="仿宋_GB2312" w:eastAsia="仿宋_GB2312" w:cs="仿宋_GB2312"/>
          <w:b w:val="0"/>
          <w:sz w:val="32"/>
          <w:szCs w:val="32"/>
          <w:lang w:val="en-US" w:eastAsia="zh-CN"/>
        </w:rPr>
      </w:pPr>
      <w:r>
        <w:rPr>
          <w:rFonts w:hint="eastAsia" w:ascii="仿宋_GB2312" w:eastAsia="仿宋_GB2312" w:cs="仿宋_GB2312"/>
          <w:b w:val="0"/>
          <w:sz w:val="32"/>
          <w:szCs w:val="32"/>
          <w:lang w:val="en-US" w:eastAsia="zh-CN"/>
        </w:rPr>
        <w:t>民政工作要以习近平新时代中国特色社会主义思想为指导，深入学习贯彻习近平总书记对四川和民政工作系列重要指示精神，全面贯彻落实党的二十大和十九届二中、三中、四中、五中、六中全会精神，以及省委十一届二次全会精神和第十七次全省民政会议精神，紧扣乡村振兴和共同富裕目标， 坚持以人民为中心的发展理念，践行“民政为民、民政爱民”工作理念，坚持防控新冠感染疫情和民政业务工作“两手抓、两促进”，贯彻社会政策要 托底的要求，聚焦共同富裕、聚焦特殊群体、聚焦群众关切，固根基、补短板、强弱项、提质量，开展“民政工作落实年”活动，更好履行基本民生保 障、基层社会治理、基本社会服务等职责，为确保如期全面实现第二个百年奋斗目标贡献民政力量。一是巩固民政领域脱贫攻坚战成果；二是全面促进 养老服务发展；三是扎实做好儿童福利保障工作；四是深化基层群众自治和社区治理创新；五是依法加强社会组织管理服务；六是稳妥推进区划地名和 界限管理；七是加快发展社会福利事业；八是不断提升社会事务管理水平；九是夯实民政事业高质量发展基础；十是持之以恒纵深推进全面从严治党。</w:t>
      </w:r>
    </w:p>
    <w:p w14:paraId="064F9BA2">
      <w:pPr>
        <w:pStyle w:val="6"/>
        <w:rPr>
          <w:rFonts w:hint="eastAsia"/>
          <w:lang w:val="en-US" w:eastAsia="zh-CN"/>
        </w:rPr>
      </w:pPr>
    </w:p>
    <w:p w14:paraId="1FAE056B">
      <w:pPr>
        <w:pageBreakBefore w:val="0"/>
        <w:kinsoku/>
        <w:wordWrap/>
        <w:overflowPunct/>
        <w:topLinePunct w:val="0"/>
        <w:autoSpaceDE/>
        <w:autoSpaceDN/>
        <w:bidi w:val="0"/>
        <w:spacing w:line="560" w:lineRule="exact"/>
        <w:ind w:left="0" w:firstLine="640" w:firstLineChars="200"/>
        <w:rPr>
          <w:rFonts w:hint="eastAsia" w:ascii="方正黑体_GBK" w:hAnsi="方正黑体_GBK" w:eastAsia="方正黑体_GBK" w:cs="方正黑体_GBK"/>
          <w:b w:val="0"/>
          <w:sz w:val="32"/>
          <w:szCs w:val="32"/>
          <w:lang w:val="en-US" w:eastAsia="zh-CN"/>
        </w:rPr>
      </w:pPr>
      <w:r>
        <w:rPr>
          <w:rFonts w:hint="eastAsia" w:ascii="方正黑体_GBK" w:hAnsi="方正黑体_GBK" w:eastAsia="方正黑体_GBK" w:cs="方正黑体_GBK"/>
          <w:b w:val="0"/>
          <w:sz w:val="32"/>
          <w:szCs w:val="32"/>
          <w:lang w:val="en-US" w:eastAsia="zh-CN"/>
        </w:rPr>
        <w:t>三、重点项目绩效目标</w:t>
      </w:r>
    </w:p>
    <w:p w14:paraId="3D63238C">
      <w:pPr>
        <w:pageBreakBefore w:val="0"/>
        <w:kinsoku/>
        <w:wordWrap/>
        <w:overflowPunct/>
        <w:topLinePunct w:val="0"/>
        <w:autoSpaceDE/>
        <w:autoSpaceDN/>
        <w:bidi w:val="0"/>
        <w:spacing w:line="560" w:lineRule="exact"/>
        <w:ind w:firstLine="640" w:firstLineChars="200"/>
        <w:rPr>
          <w:rFonts w:hint="default" w:ascii="仿宋" w:hAnsi="仿宋" w:eastAsia="仿宋_GB2312"/>
          <w:b w:val="0"/>
          <w:color w:val="C00000"/>
          <w:sz w:val="32"/>
          <w:szCs w:val="32"/>
          <w:shd w:val="clear" w:color="auto" w:fill="FFFFFF"/>
          <w:lang w:val="en-US" w:eastAsia="zh-CN"/>
        </w:rPr>
      </w:pPr>
      <w:r>
        <w:rPr>
          <w:rFonts w:hint="eastAsia" w:ascii="仿宋_GB2312" w:eastAsia="仿宋_GB2312" w:cs="仿宋_GB2312"/>
          <w:b w:val="0"/>
          <w:bCs/>
          <w:color w:val="C00000"/>
          <w:sz w:val="32"/>
          <w:szCs w:val="32"/>
          <w:lang w:val="en-US" w:eastAsia="zh-CN"/>
        </w:rPr>
        <w:t>重点项目1：城市低保</w:t>
      </w:r>
    </w:p>
    <w:p w14:paraId="69D3686C">
      <w:pPr>
        <w:pageBreakBefore w:val="0"/>
        <w:kinsoku/>
        <w:wordWrap/>
        <w:overflowPunct/>
        <w:topLinePunct w:val="0"/>
        <w:autoSpaceDE/>
        <w:autoSpaceDN/>
        <w:bidi w:val="0"/>
        <w:spacing w:line="560" w:lineRule="exact"/>
        <w:ind w:firstLine="640" w:firstLineChars="200"/>
        <w:rPr>
          <w:rFonts w:hint="eastAsia" w:ascii="仿宋" w:hAnsi="仿宋" w:eastAsia="仿宋_GB2312" w:cs="仿宋_GB2312"/>
          <w:b w:val="0"/>
          <w:color w:val="000000"/>
          <w:sz w:val="32"/>
          <w:szCs w:val="32"/>
          <w:shd w:val="clear" w:color="auto" w:fill="FFFFFF"/>
          <w:lang w:val="en-US" w:eastAsia="zh-CN"/>
        </w:rPr>
      </w:pPr>
      <w:r>
        <w:rPr>
          <w:rFonts w:hint="eastAsia" w:ascii="仿宋_GB2312" w:eastAsia="仿宋_GB2312" w:cs="仿宋_GB2312"/>
          <w:b w:val="0"/>
          <w:sz w:val="32"/>
          <w:szCs w:val="32"/>
          <w:lang w:val="en-US" w:eastAsia="zh-CN"/>
        </w:rPr>
        <w:t>项目年度绩效目标：</w:t>
      </w:r>
      <w:r>
        <w:rPr>
          <w:rFonts w:hint="eastAsia" w:ascii="仿宋" w:hAnsi="仿宋" w:eastAsia="仿宋_GB2312"/>
          <w:b w:val="0"/>
          <w:color w:val="000000"/>
          <w:sz w:val="32"/>
          <w:szCs w:val="32"/>
          <w:shd w:val="clear" w:color="auto" w:fill="FFFFFF"/>
          <w:lang w:val="en-US" w:eastAsia="zh-CN"/>
        </w:rPr>
        <w:t xml:space="preserve"> 促进我县城乡低保规范化建设，“以人为本，为民解困”的宗旨。坚持“应保尽保、应救尽救、应补尽补”的基本原则，有序、有效推进，健全、完善城乡社会救助体系，及时有效解决城乡居民困难问题。</w:t>
      </w:r>
    </w:p>
    <w:p w14:paraId="0E239331">
      <w:pPr>
        <w:pageBreakBefore w:val="0"/>
        <w:kinsoku/>
        <w:wordWrap/>
        <w:overflowPunct/>
        <w:topLinePunct w:val="0"/>
        <w:autoSpaceDE/>
        <w:autoSpaceDN/>
        <w:bidi w:val="0"/>
        <w:spacing w:line="560" w:lineRule="exact"/>
        <w:ind w:firstLine="640" w:firstLineChars="200"/>
        <w:rPr>
          <w:rFonts w:hint="eastAsia" w:ascii="仿宋" w:hAnsi="仿宋" w:eastAsia="仿宋_GB2312"/>
          <w:b w:val="0"/>
          <w:sz w:val="32"/>
          <w:szCs w:val="30"/>
        </w:rPr>
      </w:pPr>
      <w:r>
        <w:rPr>
          <w:rFonts w:hint="eastAsia" w:ascii="仿宋_GB2312" w:eastAsia="仿宋_GB2312" w:cs="仿宋_GB2312"/>
          <w:b w:val="0"/>
          <w:sz w:val="32"/>
          <w:szCs w:val="32"/>
          <w:lang w:val="en-US" w:eastAsia="zh-CN"/>
        </w:rPr>
        <w:t>绩效指标设置情况：</w:t>
      </w:r>
      <w:r>
        <w:rPr>
          <w:rFonts w:ascii="仿宋" w:hAnsi="仿宋" w:eastAsia="仿宋_GB2312"/>
          <w:b w:val="0"/>
          <w:color w:val="000000"/>
          <w:sz w:val="32"/>
          <w:szCs w:val="30"/>
        </w:rPr>
        <w:t>根据</w:t>
      </w:r>
      <w:r>
        <w:rPr>
          <w:rFonts w:hint="eastAsia" w:ascii="仿宋" w:hAnsi="仿宋" w:eastAsia="仿宋_GB2312" w:cs="仿宋"/>
          <w:b w:val="0"/>
          <w:bCs w:val="0"/>
          <w:color w:val="auto"/>
          <w:sz w:val="32"/>
          <w:szCs w:val="32"/>
        </w:rPr>
        <w:t>《四川省最低生活保障工作规程》的通知（川民发〔20</w:t>
      </w:r>
      <w:r>
        <w:rPr>
          <w:rFonts w:hint="eastAsia" w:ascii="仿宋" w:hAnsi="仿宋" w:eastAsia="仿宋_GB2312" w:cs="仿宋"/>
          <w:b w:val="0"/>
          <w:bCs w:val="0"/>
          <w:color w:val="auto"/>
          <w:sz w:val="32"/>
          <w:szCs w:val="32"/>
          <w:lang w:val="en-US" w:eastAsia="zh-CN"/>
        </w:rPr>
        <w:t>21</w:t>
      </w:r>
      <w:r>
        <w:rPr>
          <w:rFonts w:hint="eastAsia" w:ascii="仿宋" w:hAnsi="仿宋" w:eastAsia="仿宋_GB2312" w:cs="仿宋"/>
          <w:b w:val="0"/>
          <w:bCs w:val="0"/>
          <w:color w:val="auto"/>
          <w:sz w:val="32"/>
          <w:szCs w:val="32"/>
        </w:rPr>
        <w:t>〕1</w:t>
      </w:r>
      <w:r>
        <w:rPr>
          <w:rFonts w:hint="eastAsia" w:ascii="仿宋" w:hAnsi="仿宋" w:eastAsia="仿宋_GB2312" w:cs="仿宋"/>
          <w:b w:val="0"/>
          <w:bCs w:val="0"/>
          <w:color w:val="auto"/>
          <w:sz w:val="32"/>
          <w:szCs w:val="32"/>
          <w:lang w:val="en-US" w:eastAsia="zh-CN"/>
        </w:rPr>
        <w:t>80</w:t>
      </w:r>
      <w:r>
        <w:rPr>
          <w:rFonts w:hint="eastAsia" w:ascii="仿宋" w:hAnsi="仿宋" w:eastAsia="仿宋_GB2312" w:cs="仿宋"/>
          <w:b w:val="0"/>
          <w:bCs w:val="0"/>
          <w:color w:val="auto"/>
          <w:sz w:val="32"/>
          <w:szCs w:val="32"/>
        </w:rPr>
        <w:t>号）</w:t>
      </w:r>
      <w:r>
        <w:rPr>
          <w:rFonts w:hint="eastAsia" w:ascii="仿宋" w:hAnsi="仿宋" w:eastAsia="仿宋_GB2312" w:cs="仿宋"/>
          <w:b w:val="0"/>
          <w:bCs w:val="0"/>
          <w:color w:val="auto"/>
          <w:sz w:val="32"/>
          <w:szCs w:val="32"/>
          <w:lang w:eastAsia="zh-CN"/>
        </w:rPr>
        <w:t>、</w:t>
      </w:r>
      <w:r>
        <w:rPr>
          <w:rFonts w:hint="eastAsia" w:ascii="仿宋_GB2312" w:eastAsia="仿宋_GB2312"/>
          <w:b w:val="0"/>
          <w:color w:val="000000"/>
          <w:sz w:val="32"/>
          <w:szCs w:val="32"/>
          <w:highlight w:val="none"/>
          <w:lang w:eastAsia="zh-CN"/>
        </w:rPr>
        <w:t>阿坝州民政局、阿坝州发展和改革委员会、阿坝州财政局、阿坝州统计局、国家统计局阿坝调查部队</w:t>
      </w:r>
      <w:r>
        <w:rPr>
          <w:rFonts w:hint="eastAsia" w:ascii="仿宋_GB2312" w:eastAsia="仿宋_GB2312"/>
          <w:b w:val="0"/>
          <w:color w:val="000000"/>
          <w:sz w:val="32"/>
          <w:szCs w:val="32"/>
          <w:highlight w:val="none"/>
        </w:rPr>
        <w:t>《</w:t>
      </w:r>
      <w:r>
        <w:rPr>
          <w:rFonts w:hint="eastAsia" w:ascii="仿宋_GB2312" w:eastAsia="仿宋_GB2312"/>
          <w:b w:val="0"/>
          <w:color w:val="000000"/>
          <w:sz w:val="32"/>
          <w:szCs w:val="32"/>
          <w:highlight w:val="none"/>
          <w:lang w:eastAsia="zh-CN"/>
        </w:rPr>
        <w:t>关于调整城乡</w:t>
      </w:r>
      <w:r>
        <w:rPr>
          <w:rFonts w:hint="eastAsia" w:ascii="仿宋_GB2312" w:eastAsia="仿宋_GB2312"/>
          <w:b w:val="0"/>
          <w:color w:val="000000"/>
          <w:sz w:val="32"/>
          <w:szCs w:val="32"/>
          <w:highlight w:val="none"/>
          <w:lang w:val="en-US" w:eastAsia="zh-CN"/>
        </w:rPr>
        <w:t>居民最</w:t>
      </w:r>
      <w:r>
        <w:rPr>
          <w:rFonts w:hint="eastAsia" w:ascii="仿宋_GB2312" w:eastAsia="仿宋_GB2312"/>
          <w:b w:val="0"/>
          <w:color w:val="000000"/>
          <w:sz w:val="32"/>
          <w:szCs w:val="32"/>
          <w:highlight w:val="none"/>
        </w:rPr>
        <w:t>低生活保障</w:t>
      </w:r>
      <w:r>
        <w:rPr>
          <w:rFonts w:hint="eastAsia" w:ascii="仿宋_GB2312" w:eastAsia="仿宋_GB2312"/>
          <w:b w:val="0"/>
          <w:color w:val="000000"/>
          <w:sz w:val="32"/>
          <w:szCs w:val="32"/>
          <w:highlight w:val="none"/>
          <w:lang w:eastAsia="zh-CN"/>
        </w:rPr>
        <w:t>和特困人员基本生活标准</w:t>
      </w:r>
      <w:r>
        <w:rPr>
          <w:rFonts w:hint="eastAsia" w:ascii="仿宋_GB2312" w:eastAsia="仿宋_GB2312"/>
          <w:b w:val="0"/>
          <w:color w:val="000000"/>
          <w:sz w:val="32"/>
          <w:szCs w:val="32"/>
          <w:highlight w:val="none"/>
        </w:rPr>
        <w:t>的通知》</w:t>
      </w:r>
      <w:r>
        <w:rPr>
          <w:rFonts w:hint="eastAsia" w:ascii="仿宋_GB2312" w:eastAsia="仿宋_GB2312"/>
          <w:b w:val="0"/>
          <w:color w:val="000000"/>
          <w:sz w:val="32"/>
          <w:szCs w:val="32"/>
          <w:highlight w:val="none"/>
          <w:lang w:eastAsia="zh-CN"/>
        </w:rPr>
        <w:t>阿州民政</w:t>
      </w:r>
      <w:r>
        <w:rPr>
          <w:rFonts w:hint="eastAsia" w:ascii="仿宋_GB2312" w:eastAsia="仿宋_GB2312"/>
          <w:b w:val="0"/>
          <w:color w:val="000000"/>
          <w:sz w:val="32"/>
          <w:szCs w:val="32"/>
          <w:highlight w:val="none"/>
        </w:rPr>
        <w:t>〔20</w:t>
      </w:r>
      <w:r>
        <w:rPr>
          <w:rFonts w:hint="eastAsia" w:ascii="仿宋_GB2312" w:eastAsia="仿宋_GB2312"/>
          <w:b w:val="0"/>
          <w:color w:val="000000"/>
          <w:sz w:val="32"/>
          <w:szCs w:val="32"/>
          <w:highlight w:val="none"/>
          <w:lang w:val="en-US" w:eastAsia="zh-CN"/>
        </w:rPr>
        <w:t>23</w:t>
      </w:r>
      <w:r>
        <w:rPr>
          <w:rFonts w:hint="eastAsia" w:ascii="仿宋_GB2312" w:eastAsia="仿宋_GB2312"/>
          <w:b w:val="0"/>
          <w:color w:val="000000"/>
          <w:sz w:val="32"/>
          <w:szCs w:val="32"/>
          <w:highlight w:val="none"/>
        </w:rPr>
        <w:t>〕</w:t>
      </w:r>
      <w:r>
        <w:rPr>
          <w:rFonts w:hint="eastAsia" w:ascii="仿宋_GB2312" w:eastAsia="仿宋_GB2312"/>
          <w:b w:val="0"/>
          <w:color w:val="000000"/>
          <w:sz w:val="32"/>
          <w:szCs w:val="32"/>
          <w:highlight w:val="none"/>
          <w:lang w:val="en-US" w:eastAsia="zh-CN"/>
        </w:rPr>
        <w:t>51</w:t>
      </w:r>
      <w:r>
        <w:rPr>
          <w:rFonts w:hint="eastAsia" w:ascii="仿宋_GB2312" w:eastAsia="仿宋_GB2312"/>
          <w:b w:val="0"/>
          <w:color w:val="000000"/>
          <w:sz w:val="32"/>
          <w:szCs w:val="32"/>
          <w:highlight w:val="none"/>
        </w:rPr>
        <w:t>号</w:t>
      </w:r>
      <w:r>
        <w:rPr>
          <w:rFonts w:hint="eastAsia" w:ascii="仿宋_GB2312" w:eastAsia="仿宋_GB2312"/>
          <w:b w:val="0"/>
          <w:color w:val="000000"/>
          <w:sz w:val="32"/>
          <w:szCs w:val="32"/>
          <w:highlight w:val="none"/>
          <w:lang w:eastAsia="zh-CN"/>
        </w:rPr>
        <w:t>、</w:t>
      </w:r>
      <w:r>
        <w:rPr>
          <w:rFonts w:hint="eastAsia" w:ascii="仿宋" w:hAnsi="仿宋" w:eastAsia="仿宋_GB2312" w:cs="仿宋"/>
          <w:b w:val="0"/>
          <w:color w:val="000000"/>
          <w:sz w:val="32"/>
          <w:szCs w:val="32"/>
        </w:rPr>
        <w:t>关于转发</w:t>
      </w:r>
      <w:r>
        <w:rPr>
          <w:rFonts w:hint="eastAsia" w:ascii="仿宋" w:hAnsi="仿宋" w:eastAsia="仿宋_GB2312" w:cs="仿宋"/>
          <w:b w:val="0"/>
          <w:color w:val="000000"/>
          <w:sz w:val="32"/>
          <w:szCs w:val="32"/>
          <w:lang w:eastAsia="zh-CN"/>
        </w:rPr>
        <w:t>《</w:t>
      </w:r>
      <w:r>
        <w:rPr>
          <w:rFonts w:hint="eastAsia" w:ascii="仿宋" w:hAnsi="仿宋" w:eastAsia="仿宋_GB2312" w:cs="仿宋"/>
          <w:b w:val="0"/>
          <w:color w:val="000000"/>
          <w:sz w:val="32"/>
          <w:szCs w:val="32"/>
        </w:rPr>
        <w:t>州民政局关于进一步开展全州最低生活保障扩围增</w:t>
      </w:r>
      <w:r>
        <w:rPr>
          <w:rFonts w:hint="eastAsia" w:ascii="仿宋" w:hAnsi="仿宋" w:eastAsia="仿宋_GB2312" w:cs="仿宋"/>
          <w:b w:val="0"/>
          <w:color w:val="000000"/>
          <w:sz w:val="32"/>
          <w:szCs w:val="32"/>
          <w:lang w:eastAsia="zh-CN"/>
        </w:rPr>
        <w:t>效</w:t>
      </w:r>
      <w:r>
        <w:rPr>
          <w:rFonts w:hint="eastAsia" w:ascii="仿宋" w:hAnsi="仿宋" w:eastAsia="仿宋_GB2312" w:cs="仿宋"/>
          <w:b w:val="0"/>
          <w:color w:val="000000"/>
          <w:sz w:val="32"/>
          <w:szCs w:val="32"/>
        </w:rPr>
        <w:t>工作</w:t>
      </w:r>
      <w:r>
        <w:rPr>
          <w:rFonts w:hint="eastAsia" w:ascii="仿宋" w:hAnsi="仿宋" w:eastAsia="仿宋_GB2312" w:cs="仿宋"/>
          <w:b w:val="0"/>
          <w:color w:val="000000"/>
          <w:sz w:val="32"/>
          <w:szCs w:val="32"/>
          <w:lang w:eastAsia="zh-CN"/>
        </w:rPr>
        <w:t>》</w:t>
      </w:r>
      <w:r>
        <w:rPr>
          <w:rFonts w:hint="eastAsia" w:ascii="仿宋" w:hAnsi="仿宋" w:eastAsia="仿宋_GB2312" w:cs="仿宋"/>
          <w:b w:val="0"/>
          <w:color w:val="000000"/>
          <w:sz w:val="32"/>
          <w:szCs w:val="32"/>
        </w:rPr>
        <w:t>的通知</w:t>
      </w:r>
      <w:r>
        <w:rPr>
          <w:rFonts w:hint="eastAsia" w:ascii="仿宋" w:hAnsi="仿宋" w:eastAsia="仿宋_GB2312" w:cs="仿宋"/>
          <w:b w:val="0"/>
          <w:color w:val="000000"/>
          <w:sz w:val="32"/>
          <w:szCs w:val="32"/>
          <w:lang w:eastAsia="zh-CN"/>
        </w:rPr>
        <w:t>金民发</w:t>
      </w:r>
      <w:r>
        <w:rPr>
          <w:rFonts w:hint="eastAsia" w:ascii="仿宋_GB2312" w:eastAsia="仿宋_GB2312"/>
          <w:b w:val="0"/>
          <w:color w:val="000000"/>
          <w:sz w:val="32"/>
          <w:szCs w:val="32"/>
          <w:highlight w:val="none"/>
        </w:rPr>
        <w:t>〔20</w:t>
      </w:r>
      <w:r>
        <w:rPr>
          <w:rFonts w:hint="eastAsia" w:ascii="仿宋_GB2312" w:eastAsia="仿宋_GB2312"/>
          <w:b w:val="0"/>
          <w:color w:val="000000"/>
          <w:sz w:val="32"/>
          <w:szCs w:val="32"/>
          <w:highlight w:val="none"/>
          <w:lang w:val="en-US" w:eastAsia="zh-CN"/>
        </w:rPr>
        <w:t>23</w:t>
      </w:r>
      <w:r>
        <w:rPr>
          <w:rFonts w:hint="eastAsia" w:ascii="仿宋_GB2312" w:eastAsia="仿宋_GB2312"/>
          <w:b w:val="0"/>
          <w:color w:val="000000"/>
          <w:sz w:val="32"/>
          <w:szCs w:val="32"/>
          <w:highlight w:val="none"/>
        </w:rPr>
        <w:t>〕</w:t>
      </w:r>
      <w:r>
        <w:rPr>
          <w:rFonts w:hint="eastAsia" w:ascii="仿宋_GB2312" w:eastAsia="仿宋_GB2312"/>
          <w:b w:val="0"/>
          <w:color w:val="000000"/>
          <w:sz w:val="32"/>
          <w:szCs w:val="32"/>
          <w:highlight w:val="none"/>
          <w:lang w:val="en-US" w:eastAsia="zh-CN"/>
        </w:rPr>
        <w:t>28</w:t>
      </w:r>
      <w:r>
        <w:rPr>
          <w:rFonts w:hint="eastAsia" w:ascii="仿宋_GB2312" w:eastAsia="仿宋_GB2312"/>
          <w:b w:val="0"/>
          <w:color w:val="000000"/>
          <w:sz w:val="32"/>
          <w:szCs w:val="32"/>
          <w:highlight w:val="none"/>
        </w:rPr>
        <w:t>号</w:t>
      </w:r>
      <w:r>
        <w:rPr>
          <w:rFonts w:hint="eastAsia" w:ascii="仿宋" w:hAnsi="仿宋" w:eastAsia="仿宋_GB2312" w:cs="仿宋"/>
          <w:b w:val="0"/>
          <w:color w:val="000000"/>
          <w:sz w:val="32"/>
          <w:szCs w:val="32"/>
          <w:highlight w:val="none"/>
        </w:rPr>
        <w:t>文件</w:t>
      </w:r>
      <w:r>
        <w:rPr>
          <w:rFonts w:hint="eastAsia" w:ascii="仿宋" w:hAnsi="仿宋" w:eastAsia="仿宋_GB2312" w:cs="仿宋"/>
          <w:b w:val="0"/>
          <w:bCs w:val="0"/>
          <w:color w:val="auto"/>
          <w:sz w:val="32"/>
          <w:szCs w:val="32"/>
          <w:lang w:eastAsia="zh-CN"/>
        </w:rPr>
        <w:t>相关规定执行。</w:t>
      </w:r>
      <w:r>
        <w:rPr>
          <w:rFonts w:ascii="仿宋" w:hAnsi="仿宋" w:eastAsia="仿宋_GB2312"/>
          <w:b w:val="0"/>
          <w:sz w:val="32"/>
          <w:szCs w:val="30"/>
        </w:rPr>
        <w:t xml:space="preserve"> </w:t>
      </w:r>
      <w:r>
        <w:rPr>
          <w:rFonts w:hint="eastAsia" w:ascii="仿宋" w:hAnsi="仿宋" w:eastAsia="仿宋_GB2312" w:cs="仿宋"/>
          <w:b w:val="0"/>
          <w:bCs w:val="0"/>
          <w:color w:val="333333"/>
          <w:kern w:val="2"/>
          <w:sz w:val="32"/>
          <w:szCs w:val="32"/>
          <w:lang w:val="en-US" w:eastAsia="zh-CN" w:bidi="ar"/>
        </w:rPr>
        <w:t>促进我县城乡低保规范化建设，</w:t>
      </w:r>
      <w:r>
        <w:rPr>
          <w:rFonts w:hint="eastAsia" w:ascii="仿宋" w:hAnsi="仿宋" w:eastAsia="仿宋_GB2312" w:cs="仿宋"/>
          <w:b w:val="0"/>
          <w:i w:val="0"/>
          <w:iCs w:val="0"/>
          <w:caps w:val="0"/>
          <w:color w:val="000000"/>
          <w:spacing w:val="0"/>
          <w:sz w:val="32"/>
          <w:szCs w:val="32"/>
          <w:shd w:val="clear" w:fill="FFFFFF"/>
        </w:rPr>
        <w:t>“以人为本，为民解困”的宗旨。坚持“应保尽保、应救尽救、应补尽补”的基本原则，</w:t>
      </w:r>
      <w:r>
        <w:rPr>
          <w:rFonts w:ascii="仿宋" w:hAnsi="仿宋" w:eastAsia="仿宋_GB2312"/>
          <w:b w:val="0"/>
          <w:sz w:val="32"/>
          <w:szCs w:val="30"/>
        </w:rPr>
        <w:t>有序、有效推进，健全、完善城乡社会救助体系，及时有效解决城乡居民困难</w:t>
      </w:r>
      <w:r>
        <w:rPr>
          <w:rFonts w:hint="eastAsia" w:ascii="仿宋" w:hAnsi="仿宋" w:eastAsia="仿宋_GB2312"/>
          <w:b w:val="0"/>
          <w:sz w:val="32"/>
          <w:szCs w:val="30"/>
          <w:lang w:eastAsia="zh-CN"/>
        </w:rPr>
        <w:t>问题</w:t>
      </w:r>
      <w:r>
        <w:rPr>
          <w:rFonts w:hint="eastAsia" w:ascii="仿宋" w:hAnsi="仿宋" w:eastAsia="仿宋_GB2312"/>
          <w:b w:val="0"/>
          <w:sz w:val="32"/>
          <w:szCs w:val="30"/>
        </w:rPr>
        <w:t>。</w:t>
      </w:r>
    </w:p>
    <w:p w14:paraId="2081EF62">
      <w:pPr>
        <w:pageBreakBefore w:val="0"/>
        <w:kinsoku/>
        <w:wordWrap/>
        <w:overflowPunct/>
        <w:topLinePunct w:val="0"/>
        <w:autoSpaceDE/>
        <w:autoSpaceDN/>
        <w:bidi w:val="0"/>
        <w:snapToGrid w:val="0"/>
        <w:spacing w:line="560" w:lineRule="exact"/>
        <w:ind w:firstLine="640" w:firstLineChars="200"/>
        <w:rPr>
          <w:rFonts w:ascii="黑体" w:eastAsia="仿宋_GB2312"/>
          <w:b w:val="0"/>
          <w:sz w:val="32"/>
          <w:szCs w:val="32"/>
        </w:rPr>
      </w:pPr>
      <w:r>
        <w:rPr>
          <w:rFonts w:hint="eastAsia" w:ascii="黑体" w:eastAsia="仿宋_GB2312"/>
          <w:b w:val="0"/>
          <w:sz w:val="32"/>
          <w:szCs w:val="32"/>
          <w:lang w:val="en-US" w:eastAsia="zh-CN"/>
        </w:rPr>
        <w:t>（一）</w:t>
      </w:r>
      <w:r>
        <w:rPr>
          <w:rFonts w:hint="eastAsia" w:ascii="黑体" w:eastAsia="仿宋_GB2312"/>
          <w:b w:val="0"/>
          <w:sz w:val="32"/>
          <w:szCs w:val="32"/>
        </w:rPr>
        <w:t>评估原则</w:t>
      </w:r>
    </w:p>
    <w:p w14:paraId="296BD33C">
      <w:pPr>
        <w:pageBreakBefore w:val="0"/>
        <w:kinsoku/>
        <w:wordWrap/>
        <w:overflowPunct/>
        <w:topLinePunct w:val="0"/>
        <w:autoSpaceDE/>
        <w:autoSpaceDN/>
        <w:bidi w:val="0"/>
        <w:snapToGrid w:val="0"/>
        <w:spacing w:line="560" w:lineRule="exact"/>
        <w:ind w:firstLine="640" w:firstLineChars="200"/>
        <w:rPr>
          <w:rFonts w:eastAsia="仿宋_GB2312"/>
          <w:b w:val="0"/>
          <w:sz w:val="32"/>
        </w:rPr>
      </w:pPr>
      <w:r>
        <w:rPr>
          <w:rFonts w:hint="eastAsia" w:ascii="Times New Roman" w:hAnsi="Times New Roman" w:eastAsia="仿宋_GB2312"/>
          <w:b w:val="0"/>
          <w:sz w:val="32"/>
          <w:szCs w:val="32"/>
        </w:rPr>
        <w:t>根据202</w:t>
      </w:r>
      <w:r>
        <w:rPr>
          <w:rFonts w:hint="eastAsia" w:ascii="Times New Roman" w:hAnsi="Times New Roman" w:eastAsia="仿宋_GB2312"/>
          <w:b w:val="0"/>
          <w:sz w:val="32"/>
          <w:szCs w:val="32"/>
          <w:lang w:val="en-US" w:eastAsia="zh-CN"/>
        </w:rPr>
        <w:t>5</w:t>
      </w:r>
      <w:r>
        <w:rPr>
          <w:rFonts w:hint="eastAsia" w:ascii="Times New Roman" w:hAnsi="Times New Roman" w:eastAsia="仿宋_GB2312"/>
          <w:b w:val="0"/>
          <w:sz w:val="32"/>
          <w:szCs w:val="32"/>
        </w:rPr>
        <w:t>年预算编制要求，绩效评估本着真正过紧日子的原则，厉行节约、精打细算，从严从紧控制项目申报和预算安排，非必要项目和工作内容可压尽压、应压尽压，做到客观、绩效、精准。</w:t>
      </w:r>
    </w:p>
    <w:p w14:paraId="16D96A59">
      <w:pPr>
        <w:pageBreakBefore w:val="0"/>
        <w:kinsoku/>
        <w:wordWrap/>
        <w:overflowPunct/>
        <w:topLinePunct w:val="0"/>
        <w:autoSpaceDE/>
        <w:autoSpaceDN/>
        <w:bidi w:val="0"/>
        <w:snapToGrid w:val="0"/>
        <w:spacing w:line="560" w:lineRule="exact"/>
        <w:ind w:firstLine="640" w:firstLineChars="200"/>
        <w:rPr>
          <w:rFonts w:ascii="Times New Roman" w:hAnsi="Times New Roman" w:eastAsia="仿宋_GB2312"/>
          <w:b w:val="0"/>
          <w:sz w:val="32"/>
          <w:szCs w:val="32"/>
        </w:rPr>
      </w:pPr>
      <w:r>
        <w:rPr>
          <w:rFonts w:hint="eastAsia" w:ascii="黑体" w:eastAsia="仿宋_GB2312"/>
          <w:b w:val="0"/>
          <w:sz w:val="32"/>
          <w:szCs w:val="32"/>
          <w:lang w:val="en-US" w:eastAsia="zh-CN"/>
        </w:rPr>
        <w:t>（二）</w:t>
      </w:r>
      <w:r>
        <w:rPr>
          <w:rFonts w:hint="eastAsia" w:ascii="黑体" w:eastAsia="仿宋_GB2312"/>
          <w:b w:val="0"/>
          <w:sz w:val="32"/>
          <w:szCs w:val="32"/>
        </w:rPr>
        <w:t>评估目的</w:t>
      </w:r>
    </w:p>
    <w:p w14:paraId="1B389664">
      <w:pPr>
        <w:pageBreakBefore w:val="0"/>
        <w:kinsoku/>
        <w:wordWrap/>
        <w:overflowPunct/>
        <w:topLinePunct w:val="0"/>
        <w:autoSpaceDE/>
        <w:autoSpaceDN/>
        <w:bidi w:val="0"/>
        <w:snapToGrid w:val="0"/>
        <w:spacing w:line="560" w:lineRule="exact"/>
        <w:ind w:firstLine="640" w:firstLineChars="200"/>
        <w:rPr>
          <w:rFonts w:ascii="Times New Roman" w:hAnsi="Times New Roman" w:eastAsia="仿宋_GB2312"/>
          <w:b w:val="0"/>
          <w:sz w:val="32"/>
          <w:szCs w:val="32"/>
        </w:rPr>
      </w:pPr>
      <w:r>
        <w:rPr>
          <w:rFonts w:hint="eastAsia" w:ascii="Times New Roman" w:hAnsi="Times New Roman" w:eastAsia="仿宋_GB2312"/>
          <w:b w:val="0"/>
          <w:sz w:val="32"/>
          <w:szCs w:val="32"/>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2AA3972B">
      <w:pPr>
        <w:pStyle w:val="12"/>
        <w:pageBreakBefore w:val="0"/>
        <w:kinsoku/>
        <w:wordWrap/>
        <w:overflowPunct/>
        <w:topLinePunct w:val="0"/>
        <w:autoSpaceDE/>
        <w:autoSpaceDN/>
        <w:bidi w:val="0"/>
        <w:snapToGrid w:val="0"/>
        <w:spacing w:line="560" w:lineRule="exact"/>
        <w:ind w:left="709" w:firstLine="0" w:firstLineChars="0"/>
        <w:rPr>
          <w:rFonts w:hint="eastAsia" w:ascii="黑体" w:hAnsi="Calibri" w:eastAsia="仿宋_GB2312" w:cs="Times New Roman"/>
          <w:b w:val="0"/>
          <w:kern w:val="2"/>
          <w:sz w:val="32"/>
          <w:szCs w:val="32"/>
          <w:lang w:val="en-US" w:eastAsia="zh-CN" w:bidi="ar-SA"/>
        </w:rPr>
      </w:pPr>
      <w:r>
        <w:rPr>
          <w:rFonts w:hint="eastAsia" w:ascii="黑体" w:eastAsia="仿宋_GB2312" w:cs="Times New Roman"/>
          <w:b w:val="0"/>
          <w:kern w:val="2"/>
          <w:sz w:val="32"/>
          <w:szCs w:val="32"/>
          <w:lang w:val="en-US" w:eastAsia="zh-CN" w:bidi="ar-SA"/>
        </w:rPr>
        <w:t>（三）</w:t>
      </w:r>
      <w:r>
        <w:rPr>
          <w:rFonts w:hint="eastAsia" w:ascii="黑体" w:hAnsi="Calibri" w:eastAsia="仿宋_GB2312" w:cs="Times New Roman"/>
          <w:b w:val="0"/>
          <w:kern w:val="2"/>
          <w:sz w:val="32"/>
          <w:szCs w:val="32"/>
          <w:lang w:val="en-US" w:eastAsia="zh-CN" w:bidi="ar-SA"/>
        </w:rPr>
        <w:t>评估方式和方法</w:t>
      </w:r>
    </w:p>
    <w:p w14:paraId="53791161">
      <w:pPr>
        <w:pageBreakBefore w:val="0"/>
        <w:kinsoku/>
        <w:wordWrap/>
        <w:overflowPunct/>
        <w:topLinePunct w:val="0"/>
        <w:autoSpaceDE/>
        <w:autoSpaceDN/>
        <w:bidi w:val="0"/>
        <w:snapToGrid w:val="0"/>
        <w:spacing w:line="560" w:lineRule="exact"/>
        <w:ind w:firstLine="640" w:firstLineChars="200"/>
        <w:jc w:val="left"/>
        <w:rPr>
          <w:rFonts w:ascii="楷体_GB2312" w:eastAsia="仿宋_GB2312"/>
          <w:b w:val="0"/>
          <w:sz w:val="32"/>
          <w:szCs w:val="32"/>
        </w:rPr>
      </w:pPr>
      <w:r>
        <w:rPr>
          <w:rFonts w:hint="eastAsia" w:ascii="楷体_GB2312" w:eastAsia="仿宋_GB2312"/>
          <w:b w:val="0"/>
          <w:sz w:val="32"/>
          <w:szCs w:val="32"/>
          <w:lang w:val="en-US" w:eastAsia="zh-CN"/>
        </w:rPr>
        <w:t>1、</w:t>
      </w:r>
      <w:r>
        <w:rPr>
          <w:rFonts w:ascii="楷体_GB2312" w:eastAsia="仿宋_GB2312"/>
          <w:b w:val="0"/>
          <w:sz w:val="32"/>
          <w:szCs w:val="32"/>
        </w:rPr>
        <w:t>评估</w:t>
      </w:r>
      <w:r>
        <w:rPr>
          <w:rFonts w:hint="eastAsia" w:ascii="楷体_GB2312" w:eastAsia="仿宋_GB2312"/>
          <w:b w:val="0"/>
          <w:sz w:val="32"/>
          <w:szCs w:val="32"/>
          <w:lang w:eastAsia="zh-CN"/>
        </w:rPr>
        <w:t>方式</w:t>
      </w:r>
    </w:p>
    <w:p w14:paraId="3CDAA01B">
      <w:pPr>
        <w:pageBreakBefore w:val="0"/>
        <w:kinsoku/>
        <w:wordWrap/>
        <w:overflowPunct/>
        <w:topLinePunct w:val="0"/>
        <w:autoSpaceDE/>
        <w:autoSpaceDN/>
        <w:bidi w:val="0"/>
        <w:snapToGrid w:val="0"/>
        <w:spacing w:line="560" w:lineRule="exact"/>
        <w:ind w:firstLine="640" w:firstLineChars="200"/>
        <w:rPr>
          <w:rFonts w:ascii="Times New Roman" w:hAnsi="Times New Roman" w:eastAsia="仿宋_GB2312"/>
          <w:b w:val="0"/>
          <w:sz w:val="32"/>
          <w:szCs w:val="32"/>
        </w:rPr>
      </w:pPr>
      <w:r>
        <w:rPr>
          <w:rFonts w:hint="eastAsia" w:ascii="Times New Roman" w:hAnsi="Times New Roman" w:eastAsia="仿宋_GB2312"/>
          <w:b w:val="0"/>
          <w:sz w:val="32"/>
          <w:szCs w:val="32"/>
        </w:rPr>
        <w:t>按照有关规定和工作安排，我单位开展自行评估，通过</w:t>
      </w:r>
      <w:r>
        <w:rPr>
          <w:rFonts w:hint="eastAsia" w:ascii="仿宋_GB2312" w:hAnsi="仿宋" w:eastAsia="仿宋_GB2312" w:cs="宋体"/>
          <w:b w:val="0"/>
          <w:sz w:val="32"/>
          <w:u w:val="none"/>
        </w:rPr>
        <w:t>网络调查</w:t>
      </w:r>
      <w:r>
        <w:rPr>
          <w:rFonts w:hint="eastAsia" w:ascii="仿宋_GB2312" w:hAnsi="仿宋" w:eastAsia="仿宋_GB2312" w:cs="宋体"/>
          <w:b w:val="0"/>
          <w:sz w:val="32"/>
          <w:u w:val="none"/>
          <w:lang w:val="en-US" w:eastAsia="zh-CN"/>
        </w:rPr>
        <w:t>、</w:t>
      </w:r>
      <w:r>
        <w:rPr>
          <w:rFonts w:hint="eastAsia" w:ascii="仿宋_GB2312" w:hAnsi="仿宋" w:eastAsia="仿宋_GB2312" w:cs="宋体"/>
          <w:b w:val="0"/>
          <w:sz w:val="32"/>
          <w:u w:val="none"/>
        </w:rPr>
        <w:t>电话咨询</w:t>
      </w:r>
      <w:r>
        <w:rPr>
          <w:rFonts w:hint="eastAsia" w:ascii="仿宋_GB2312" w:hAnsi="仿宋" w:eastAsia="仿宋_GB2312" w:cs="宋体"/>
          <w:b w:val="0"/>
          <w:sz w:val="32"/>
          <w:u w:val="none"/>
          <w:lang w:val="en-US" w:eastAsia="zh-CN"/>
        </w:rPr>
        <w:t>、</w:t>
      </w:r>
      <w:r>
        <w:rPr>
          <w:rFonts w:hint="eastAsia" w:ascii="仿宋_GB2312" w:hAnsi="仿宋" w:eastAsia="仿宋_GB2312" w:cs="宋体"/>
          <w:b w:val="0"/>
          <w:sz w:val="32"/>
          <w:u w:val="none"/>
        </w:rPr>
        <w:t>召开座谈会</w:t>
      </w:r>
      <w:r>
        <w:rPr>
          <w:rFonts w:hint="eastAsia" w:ascii="仿宋_GB2312" w:hAnsi="仿宋" w:eastAsia="仿宋_GB2312" w:cs="宋体"/>
          <w:b w:val="0"/>
          <w:sz w:val="32"/>
          <w:u w:val="none"/>
          <w:lang w:val="en-US" w:eastAsia="zh-CN"/>
        </w:rPr>
        <w:t>、</w:t>
      </w:r>
      <w:r>
        <w:rPr>
          <w:rFonts w:hint="eastAsia" w:ascii="仿宋_GB2312" w:hAnsi="仿宋" w:eastAsia="仿宋_GB2312" w:cs="宋体"/>
          <w:b w:val="0"/>
          <w:sz w:val="32"/>
          <w:u w:val="none"/>
        </w:rPr>
        <w:t>问卷调查</w:t>
      </w:r>
      <w:r>
        <w:rPr>
          <w:rFonts w:hint="eastAsia" w:ascii="仿宋_GB2312" w:hAnsi="仿宋" w:eastAsia="仿宋_GB2312" w:cs="宋体"/>
          <w:b w:val="0"/>
          <w:sz w:val="32"/>
          <w:u w:val="none"/>
          <w:lang w:eastAsia="zh-CN"/>
        </w:rPr>
        <w:t>、</w:t>
      </w:r>
      <w:r>
        <w:rPr>
          <w:rFonts w:hint="eastAsia" w:ascii="仿宋_GB2312" w:hAnsi="仿宋" w:eastAsia="仿宋_GB2312" w:cs="宋体"/>
          <w:b w:val="0"/>
          <w:sz w:val="32"/>
          <w:u w:val="none"/>
        </w:rPr>
        <w:t>人大代表和</w:t>
      </w:r>
      <w:r>
        <w:rPr>
          <w:rFonts w:hint="eastAsia" w:ascii="仿宋_GB2312" w:hAnsi="仿宋" w:eastAsia="仿宋_GB2312" w:cs="宋体"/>
          <w:b w:val="0"/>
          <w:sz w:val="32"/>
        </w:rPr>
        <w:t>政协委员参与等方式</w:t>
      </w:r>
      <w:r>
        <w:rPr>
          <w:rFonts w:hint="eastAsia" w:ascii="仿宋_GB2312" w:hAnsi="仿宋" w:eastAsia="仿宋_GB2312" w:cs="宋体"/>
          <w:b w:val="0"/>
          <w:sz w:val="32"/>
          <w:lang w:eastAsia="zh-CN"/>
        </w:rPr>
        <w:t>，</w:t>
      </w:r>
      <w:r>
        <w:rPr>
          <w:rFonts w:hint="eastAsia" w:ascii="Times New Roman" w:hAnsi="Times New Roman" w:eastAsia="仿宋_GB2312"/>
          <w:b w:val="0"/>
          <w:sz w:val="32"/>
          <w:szCs w:val="32"/>
        </w:rPr>
        <w:t>收集被评估</w:t>
      </w:r>
      <w:r>
        <w:rPr>
          <w:rFonts w:ascii="Times New Roman" w:hAnsi="Times New Roman" w:eastAsia="仿宋_GB2312"/>
          <w:b w:val="0"/>
          <w:sz w:val="32"/>
          <w:szCs w:val="32"/>
        </w:rPr>
        <w:t>项目</w:t>
      </w:r>
      <w:r>
        <w:rPr>
          <w:rFonts w:hint="eastAsia" w:ascii="Times New Roman" w:hAnsi="Times New Roman" w:eastAsia="仿宋_GB2312"/>
          <w:b w:val="0"/>
          <w:sz w:val="32"/>
          <w:szCs w:val="32"/>
        </w:rPr>
        <w:t>相关</w:t>
      </w:r>
      <w:r>
        <w:rPr>
          <w:rFonts w:ascii="Times New Roman" w:hAnsi="Times New Roman" w:eastAsia="仿宋_GB2312"/>
          <w:b w:val="0"/>
          <w:sz w:val="32"/>
          <w:szCs w:val="32"/>
        </w:rPr>
        <w:t>基础资料，查阅资料、</w:t>
      </w:r>
      <w:r>
        <w:rPr>
          <w:rFonts w:hint="eastAsia" w:ascii="Times New Roman" w:hAnsi="Times New Roman" w:eastAsia="仿宋_GB2312"/>
          <w:b w:val="0"/>
          <w:sz w:val="32"/>
          <w:szCs w:val="32"/>
        </w:rPr>
        <w:t>收集数据信息</w:t>
      </w:r>
      <w:r>
        <w:rPr>
          <w:rFonts w:ascii="Times New Roman" w:hAnsi="Times New Roman" w:eastAsia="仿宋_GB2312"/>
          <w:b w:val="0"/>
          <w:sz w:val="32"/>
          <w:szCs w:val="32"/>
        </w:rPr>
        <w:t>等</w:t>
      </w:r>
      <w:r>
        <w:rPr>
          <w:rFonts w:hint="eastAsia" w:ascii="Times New Roman" w:hAnsi="Times New Roman" w:eastAsia="仿宋_GB2312"/>
          <w:b w:val="0"/>
          <w:sz w:val="32"/>
          <w:szCs w:val="32"/>
        </w:rPr>
        <w:t>，深入论证</w:t>
      </w:r>
      <w:r>
        <w:rPr>
          <w:rFonts w:ascii="Times New Roman" w:hAnsi="Times New Roman" w:eastAsia="仿宋_GB2312"/>
          <w:b w:val="0"/>
          <w:sz w:val="32"/>
          <w:szCs w:val="32"/>
        </w:rPr>
        <w:t>分析后，形成绩效评估报告。</w:t>
      </w:r>
    </w:p>
    <w:p w14:paraId="00F94CC2">
      <w:pPr>
        <w:pageBreakBefore w:val="0"/>
        <w:kinsoku/>
        <w:wordWrap/>
        <w:overflowPunct/>
        <w:topLinePunct w:val="0"/>
        <w:autoSpaceDE/>
        <w:autoSpaceDN/>
        <w:bidi w:val="0"/>
        <w:snapToGrid w:val="0"/>
        <w:spacing w:line="560" w:lineRule="exact"/>
        <w:ind w:firstLine="640" w:firstLineChars="200"/>
        <w:jc w:val="left"/>
        <w:rPr>
          <w:rFonts w:ascii="楷体_GB2312" w:eastAsia="仿宋_GB2312"/>
          <w:b w:val="0"/>
          <w:sz w:val="32"/>
          <w:szCs w:val="32"/>
        </w:rPr>
      </w:pPr>
      <w:r>
        <w:rPr>
          <w:rFonts w:hint="eastAsia" w:ascii="楷体_GB2312" w:eastAsia="仿宋_GB2312"/>
          <w:b w:val="0"/>
          <w:sz w:val="32"/>
          <w:szCs w:val="32"/>
          <w:lang w:val="en-US" w:eastAsia="zh-CN"/>
        </w:rPr>
        <w:t>2、</w:t>
      </w:r>
      <w:r>
        <w:rPr>
          <w:rFonts w:hint="eastAsia" w:ascii="楷体_GB2312" w:eastAsia="仿宋_GB2312"/>
          <w:b w:val="0"/>
          <w:sz w:val="32"/>
          <w:szCs w:val="32"/>
        </w:rPr>
        <w:t>评估方法</w:t>
      </w:r>
    </w:p>
    <w:p w14:paraId="35A6C8A5">
      <w:pPr>
        <w:pageBreakBefore w:val="0"/>
        <w:kinsoku/>
        <w:wordWrap/>
        <w:overflowPunct/>
        <w:topLinePunct w:val="0"/>
        <w:autoSpaceDE/>
        <w:autoSpaceDN/>
        <w:bidi w:val="0"/>
        <w:snapToGrid w:val="0"/>
        <w:spacing w:line="560" w:lineRule="exact"/>
        <w:ind w:firstLine="640" w:firstLineChars="200"/>
        <w:rPr>
          <w:rFonts w:ascii="Times New Roman" w:hAnsi="Times New Roman" w:eastAsia="仿宋_GB2312"/>
          <w:b w:val="0"/>
          <w:sz w:val="32"/>
          <w:szCs w:val="32"/>
        </w:rPr>
      </w:pPr>
      <w:r>
        <w:rPr>
          <w:rFonts w:hint="eastAsia" w:ascii="Times New Roman" w:hAnsi="Times New Roman" w:eastAsia="仿宋_GB2312"/>
          <w:b w:val="0"/>
          <w:sz w:val="32"/>
          <w:szCs w:val="32"/>
        </w:rPr>
        <w:t>本项目</w:t>
      </w:r>
      <w:r>
        <w:rPr>
          <w:rFonts w:hint="eastAsia" w:ascii="Times New Roman" w:hAnsi="Times New Roman" w:eastAsia="仿宋_GB2312"/>
          <w:b w:val="0"/>
          <w:sz w:val="32"/>
          <w:szCs w:val="32"/>
          <w:lang w:eastAsia="zh-CN"/>
        </w:rPr>
        <w:t>采用</w:t>
      </w:r>
      <w:r>
        <w:rPr>
          <w:rFonts w:hint="eastAsia" w:ascii="仿宋_GB2312" w:hAnsi="仿宋" w:eastAsia="仿宋_GB2312" w:cs="宋体"/>
          <w:b w:val="0"/>
          <w:sz w:val="32"/>
        </w:rPr>
        <w:t>成本效益分析法、比较法、因素分析法、最低成本法、公众评判法等</w:t>
      </w:r>
      <w:r>
        <w:rPr>
          <w:rFonts w:hint="eastAsia" w:ascii="Times New Roman" w:hAnsi="Times New Roman" w:eastAsia="仿宋_GB2312"/>
          <w:b w:val="0"/>
          <w:sz w:val="32"/>
          <w:szCs w:val="32"/>
        </w:rPr>
        <w:t>，对项目的立项必要性、投入经济性、目标合理性、方案可行性以及筹资合规性实施评估。</w:t>
      </w:r>
    </w:p>
    <w:p w14:paraId="42D41028">
      <w:pPr>
        <w:pageBreakBefore w:val="0"/>
        <w:kinsoku/>
        <w:wordWrap/>
        <w:overflowPunct/>
        <w:topLinePunct w:val="0"/>
        <w:autoSpaceDE/>
        <w:autoSpaceDN/>
        <w:bidi w:val="0"/>
        <w:snapToGrid w:val="0"/>
        <w:spacing w:line="560" w:lineRule="exact"/>
        <w:ind w:left="709"/>
        <w:jc w:val="left"/>
        <w:rPr>
          <w:rFonts w:ascii="黑体" w:eastAsia="仿宋_GB2312"/>
          <w:b w:val="0"/>
          <w:sz w:val="32"/>
          <w:szCs w:val="32"/>
        </w:rPr>
      </w:pPr>
      <w:r>
        <w:rPr>
          <w:rFonts w:hint="eastAsia" w:ascii="黑体" w:eastAsia="仿宋_GB2312"/>
          <w:b w:val="0"/>
          <w:sz w:val="32"/>
          <w:szCs w:val="32"/>
          <w:lang w:eastAsia="zh-CN"/>
        </w:rPr>
        <w:t>（</w:t>
      </w:r>
      <w:r>
        <w:rPr>
          <w:rFonts w:hint="eastAsia" w:ascii="黑体" w:eastAsia="仿宋_GB2312"/>
          <w:b w:val="0"/>
          <w:sz w:val="32"/>
          <w:szCs w:val="32"/>
          <w:lang w:val="en-US" w:eastAsia="zh-CN"/>
        </w:rPr>
        <w:t>四</w:t>
      </w:r>
      <w:r>
        <w:rPr>
          <w:rFonts w:hint="eastAsia" w:ascii="黑体" w:eastAsia="仿宋_GB2312"/>
          <w:b w:val="0"/>
          <w:sz w:val="32"/>
          <w:szCs w:val="32"/>
          <w:lang w:eastAsia="zh-CN"/>
        </w:rPr>
        <w:t>）</w:t>
      </w:r>
      <w:r>
        <w:rPr>
          <w:rFonts w:hint="eastAsia" w:ascii="黑体" w:eastAsia="仿宋_GB2312"/>
          <w:b w:val="0"/>
          <w:sz w:val="32"/>
          <w:szCs w:val="32"/>
        </w:rPr>
        <w:t>评估内容</w:t>
      </w:r>
    </w:p>
    <w:p w14:paraId="38C70111">
      <w:pPr>
        <w:pageBreakBefore w:val="0"/>
        <w:kinsoku/>
        <w:wordWrap/>
        <w:overflowPunct/>
        <w:topLinePunct w:val="0"/>
        <w:autoSpaceDE/>
        <w:autoSpaceDN/>
        <w:bidi w:val="0"/>
        <w:snapToGrid w:val="0"/>
        <w:spacing w:line="560" w:lineRule="exact"/>
        <w:ind w:left="709"/>
        <w:jc w:val="left"/>
        <w:rPr>
          <w:rFonts w:ascii="楷体_GB2312" w:eastAsia="仿宋_GB2312"/>
          <w:b w:val="0"/>
          <w:sz w:val="32"/>
          <w:szCs w:val="32"/>
        </w:rPr>
      </w:pPr>
      <w:r>
        <w:rPr>
          <w:rFonts w:hint="eastAsia" w:ascii="楷体_GB2312" w:eastAsia="仿宋_GB2312"/>
          <w:b w:val="0"/>
          <w:sz w:val="32"/>
          <w:szCs w:val="32"/>
          <w:lang w:val="en-US" w:eastAsia="zh-CN"/>
        </w:rPr>
        <w:t>1、</w:t>
      </w:r>
      <w:r>
        <w:rPr>
          <w:rFonts w:hint="eastAsia" w:ascii="楷体_GB2312" w:eastAsia="仿宋_GB2312"/>
          <w:b w:val="0"/>
          <w:sz w:val="32"/>
          <w:szCs w:val="32"/>
        </w:rPr>
        <w:t>立项必要性</w:t>
      </w:r>
    </w:p>
    <w:p w14:paraId="6137597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仿宋_GB2312"/>
          <w:b w:val="0"/>
          <w:sz w:val="32"/>
          <w:szCs w:val="32"/>
          <w:lang w:val="en-US" w:eastAsia="zh-CN"/>
        </w:rPr>
      </w:pPr>
      <w:r>
        <w:rPr>
          <w:rFonts w:ascii="仿宋" w:hAnsi="仿宋" w:eastAsia="仿宋_GB2312"/>
          <w:b w:val="0"/>
          <w:color w:val="000000"/>
          <w:sz w:val="32"/>
          <w:szCs w:val="30"/>
        </w:rPr>
        <w:t>根据</w:t>
      </w:r>
      <w:r>
        <w:rPr>
          <w:rFonts w:hint="eastAsia" w:ascii="仿宋" w:hAnsi="仿宋" w:eastAsia="仿宋_GB2312" w:cs="仿宋"/>
          <w:b w:val="0"/>
          <w:bCs w:val="0"/>
          <w:color w:val="auto"/>
          <w:sz w:val="32"/>
          <w:szCs w:val="32"/>
        </w:rPr>
        <w:t>《四川省最低生活保障工作规程》的通知（川民发〔20</w:t>
      </w:r>
      <w:r>
        <w:rPr>
          <w:rFonts w:hint="eastAsia" w:ascii="仿宋" w:hAnsi="仿宋" w:eastAsia="仿宋_GB2312" w:cs="仿宋"/>
          <w:b w:val="0"/>
          <w:bCs w:val="0"/>
          <w:color w:val="auto"/>
          <w:sz w:val="32"/>
          <w:szCs w:val="32"/>
          <w:lang w:val="en-US" w:eastAsia="zh-CN"/>
        </w:rPr>
        <w:t>21</w:t>
      </w:r>
      <w:r>
        <w:rPr>
          <w:rFonts w:hint="eastAsia" w:ascii="仿宋" w:hAnsi="仿宋" w:eastAsia="仿宋_GB2312" w:cs="仿宋"/>
          <w:b w:val="0"/>
          <w:bCs w:val="0"/>
          <w:color w:val="auto"/>
          <w:sz w:val="32"/>
          <w:szCs w:val="32"/>
        </w:rPr>
        <w:t>〕1</w:t>
      </w:r>
      <w:r>
        <w:rPr>
          <w:rFonts w:hint="eastAsia" w:ascii="仿宋" w:hAnsi="仿宋" w:eastAsia="仿宋_GB2312" w:cs="仿宋"/>
          <w:b w:val="0"/>
          <w:bCs w:val="0"/>
          <w:color w:val="auto"/>
          <w:sz w:val="32"/>
          <w:szCs w:val="32"/>
          <w:lang w:val="en-US" w:eastAsia="zh-CN"/>
        </w:rPr>
        <w:t>80</w:t>
      </w:r>
      <w:r>
        <w:rPr>
          <w:rFonts w:hint="eastAsia" w:ascii="仿宋" w:hAnsi="仿宋" w:eastAsia="仿宋_GB2312" w:cs="仿宋"/>
          <w:b w:val="0"/>
          <w:bCs w:val="0"/>
          <w:color w:val="auto"/>
          <w:sz w:val="32"/>
          <w:szCs w:val="32"/>
        </w:rPr>
        <w:t>号）</w:t>
      </w:r>
      <w:r>
        <w:rPr>
          <w:rFonts w:hint="eastAsia" w:ascii="仿宋" w:hAnsi="仿宋" w:eastAsia="仿宋_GB2312" w:cs="仿宋"/>
          <w:b w:val="0"/>
          <w:bCs w:val="0"/>
          <w:color w:val="auto"/>
          <w:sz w:val="32"/>
          <w:szCs w:val="32"/>
          <w:lang w:eastAsia="zh-CN"/>
        </w:rPr>
        <w:t>、</w:t>
      </w:r>
      <w:r>
        <w:rPr>
          <w:rFonts w:hint="eastAsia" w:ascii="仿宋_GB2312" w:eastAsia="仿宋_GB2312"/>
          <w:b w:val="0"/>
          <w:color w:val="000000"/>
          <w:sz w:val="32"/>
          <w:szCs w:val="32"/>
          <w:highlight w:val="none"/>
          <w:lang w:eastAsia="zh-CN"/>
        </w:rPr>
        <w:t>阿坝州民政局、阿坝州发展和改革委员会、阿坝州财政局、阿坝州统计局、国家统计局、阿坝调查部队</w:t>
      </w:r>
      <w:r>
        <w:rPr>
          <w:rFonts w:hint="eastAsia" w:ascii="仿宋_GB2312" w:eastAsia="仿宋_GB2312"/>
          <w:b w:val="0"/>
          <w:color w:val="000000"/>
          <w:sz w:val="32"/>
          <w:szCs w:val="32"/>
          <w:highlight w:val="none"/>
        </w:rPr>
        <w:t>《</w:t>
      </w:r>
      <w:r>
        <w:rPr>
          <w:rFonts w:hint="eastAsia" w:ascii="仿宋_GB2312" w:eastAsia="仿宋_GB2312"/>
          <w:b w:val="0"/>
          <w:color w:val="000000"/>
          <w:sz w:val="32"/>
          <w:szCs w:val="32"/>
          <w:highlight w:val="none"/>
          <w:lang w:eastAsia="zh-CN"/>
        </w:rPr>
        <w:t>关于调整城乡</w:t>
      </w:r>
      <w:r>
        <w:rPr>
          <w:rFonts w:hint="eastAsia" w:ascii="仿宋_GB2312" w:eastAsia="仿宋_GB2312"/>
          <w:b w:val="0"/>
          <w:color w:val="000000"/>
          <w:sz w:val="32"/>
          <w:szCs w:val="32"/>
          <w:highlight w:val="none"/>
          <w:lang w:val="en-US" w:eastAsia="zh-CN"/>
        </w:rPr>
        <w:t>居民最</w:t>
      </w:r>
      <w:r>
        <w:rPr>
          <w:rFonts w:hint="eastAsia" w:ascii="仿宋_GB2312" w:eastAsia="仿宋_GB2312"/>
          <w:b w:val="0"/>
          <w:color w:val="000000"/>
          <w:sz w:val="32"/>
          <w:szCs w:val="32"/>
          <w:highlight w:val="none"/>
        </w:rPr>
        <w:t>低生活保障</w:t>
      </w:r>
      <w:r>
        <w:rPr>
          <w:rFonts w:hint="eastAsia" w:ascii="仿宋_GB2312" w:eastAsia="仿宋_GB2312"/>
          <w:b w:val="0"/>
          <w:color w:val="000000"/>
          <w:sz w:val="32"/>
          <w:szCs w:val="32"/>
          <w:highlight w:val="none"/>
          <w:lang w:eastAsia="zh-CN"/>
        </w:rPr>
        <w:t>和特困人员基本生活标准</w:t>
      </w:r>
      <w:r>
        <w:rPr>
          <w:rFonts w:hint="eastAsia" w:ascii="仿宋_GB2312" w:eastAsia="仿宋_GB2312"/>
          <w:b w:val="0"/>
          <w:color w:val="000000"/>
          <w:sz w:val="32"/>
          <w:szCs w:val="32"/>
          <w:highlight w:val="none"/>
        </w:rPr>
        <w:t>的通知》</w:t>
      </w:r>
      <w:r>
        <w:rPr>
          <w:rFonts w:hint="eastAsia" w:ascii="仿宋_GB2312" w:eastAsia="仿宋_GB2312"/>
          <w:b w:val="0"/>
          <w:color w:val="000000"/>
          <w:sz w:val="32"/>
          <w:szCs w:val="32"/>
          <w:highlight w:val="none"/>
          <w:lang w:eastAsia="zh-CN"/>
        </w:rPr>
        <w:t>阿州民政</w:t>
      </w:r>
      <w:r>
        <w:rPr>
          <w:rFonts w:hint="eastAsia" w:ascii="仿宋_GB2312" w:eastAsia="仿宋_GB2312"/>
          <w:b w:val="0"/>
          <w:color w:val="000000"/>
          <w:sz w:val="32"/>
          <w:szCs w:val="32"/>
          <w:highlight w:val="none"/>
        </w:rPr>
        <w:t>〔20</w:t>
      </w:r>
      <w:r>
        <w:rPr>
          <w:rFonts w:hint="eastAsia" w:ascii="仿宋_GB2312" w:eastAsia="仿宋_GB2312"/>
          <w:b w:val="0"/>
          <w:color w:val="000000"/>
          <w:sz w:val="32"/>
          <w:szCs w:val="32"/>
          <w:highlight w:val="none"/>
          <w:lang w:val="en-US" w:eastAsia="zh-CN"/>
        </w:rPr>
        <w:t>23</w:t>
      </w:r>
      <w:r>
        <w:rPr>
          <w:rFonts w:hint="eastAsia" w:ascii="仿宋_GB2312" w:eastAsia="仿宋_GB2312"/>
          <w:b w:val="0"/>
          <w:color w:val="000000"/>
          <w:sz w:val="32"/>
          <w:szCs w:val="32"/>
          <w:highlight w:val="none"/>
        </w:rPr>
        <w:t>〕</w:t>
      </w:r>
      <w:r>
        <w:rPr>
          <w:rFonts w:hint="eastAsia" w:ascii="仿宋_GB2312" w:eastAsia="仿宋_GB2312"/>
          <w:b w:val="0"/>
          <w:color w:val="000000"/>
          <w:sz w:val="32"/>
          <w:szCs w:val="32"/>
          <w:highlight w:val="none"/>
          <w:lang w:val="en-US" w:eastAsia="zh-CN"/>
        </w:rPr>
        <w:t>51</w:t>
      </w:r>
      <w:r>
        <w:rPr>
          <w:rFonts w:hint="eastAsia" w:ascii="仿宋_GB2312" w:eastAsia="仿宋_GB2312"/>
          <w:b w:val="0"/>
          <w:color w:val="000000"/>
          <w:sz w:val="32"/>
          <w:szCs w:val="32"/>
          <w:highlight w:val="none"/>
        </w:rPr>
        <w:t>号</w:t>
      </w:r>
      <w:r>
        <w:rPr>
          <w:rFonts w:hint="eastAsia" w:ascii="仿宋_GB2312" w:eastAsia="仿宋_GB2312"/>
          <w:b w:val="0"/>
          <w:color w:val="000000"/>
          <w:sz w:val="32"/>
          <w:szCs w:val="32"/>
          <w:highlight w:val="none"/>
          <w:lang w:eastAsia="zh-CN"/>
        </w:rPr>
        <w:t>、</w:t>
      </w:r>
      <w:r>
        <w:rPr>
          <w:rFonts w:hint="eastAsia" w:ascii="仿宋" w:hAnsi="仿宋" w:eastAsia="仿宋_GB2312" w:cs="仿宋"/>
          <w:b w:val="0"/>
          <w:color w:val="000000"/>
          <w:sz w:val="32"/>
          <w:szCs w:val="32"/>
        </w:rPr>
        <w:t>关于转发</w:t>
      </w:r>
      <w:r>
        <w:rPr>
          <w:rFonts w:hint="eastAsia" w:ascii="仿宋" w:hAnsi="仿宋" w:eastAsia="仿宋_GB2312" w:cs="仿宋"/>
          <w:b w:val="0"/>
          <w:color w:val="000000"/>
          <w:sz w:val="32"/>
          <w:szCs w:val="32"/>
          <w:lang w:eastAsia="zh-CN"/>
        </w:rPr>
        <w:t>《</w:t>
      </w:r>
      <w:r>
        <w:rPr>
          <w:rFonts w:hint="eastAsia" w:ascii="仿宋" w:hAnsi="仿宋" w:eastAsia="仿宋_GB2312" w:cs="仿宋"/>
          <w:b w:val="0"/>
          <w:color w:val="000000"/>
          <w:sz w:val="32"/>
          <w:szCs w:val="32"/>
        </w:rPr>
        <w:t>州民政局关于进一步开展全州最低生活保障扩围增</w:t>
      </w:r>
      <w:r>
        <w:rPr>
          <w:rFonts w:hint="eastAsia" w:ascii="仿宋" w:hAnsi="仿宋" w:eastAsia="仿宋_GB2312" w:cs="仿宋"/>
          <w:b w:val="0"/>
          <w:color w:val="000000"/>
          <w:sz w:val="32"/>
          <w:szCs w:val="32"/>
          <w:lang w:eastAsia="zh-CN"/>
        </w:rPr>
        <w:t>效</w:t>
      </w:r>
      <w:r>
        <w:rPr>
          <w:rFonts w:hint="eastAsia" w:ascii="仿宋" w:hAnsi="仿宋" w:eastAsia="仿宋_GB2312" w:cs="仿宋"/>
          <w:b w:val="0"/>
          <w:color w:val="000000"/>
          <w:sz w:val="32"/>
          <w:szCs w:val="32"/>
        </w:rPr>
        <w:t>工作</w:t>
      </w:r>
      <w:r>
        <w:rPr>
          <w:rFonts w:hint="eastAsia" w:ascii="仿宋" w:hAnsi="仿宋" w:eastAsia="仿宋_GB2312" w:cs="仿宋"/>
          <w:b w:val="0"/>
          <w:color w:val="000000"/>
          <w:sz w:val="32"/>
          <w:szCs w:val="32"/>
          <w:lang w:eastAsia="zh-CN"/>
        </w:rPr>
        <w:t>》</w:t>
      </w:r>
      <w:r>
        <w:rPr>
          <w:rFonts w:hint="eastAsia" w:ascii="仿宋" w:hAnsi="仿宋" w:eastAsia="仿宋_GB2312" w:cs="仿宋"/>
          <w:b w:val="0"/>
          <w:color w:val="000000"/>
          <w:sz w:val="32"/>
          <w:szCs w:val="32"/>
        </w:rPr>
        <w:t>的通知</w:t>
      </w:r>
      <w:r>
        <w:rPr>
          <w:rFonts w:hint="eastAsia" w:ascii="仿宋" w:hAnsi="仿宋" w:eastAsia="仿宋_GB2312" w:cs="仿宋"/>
          <w:b w:val="0"/>
          <w:color w:val="000000"/>
          <w:sz w:val="32"/>
          <w:szCs w:val="32"/>
          <w:lang w:eastAsia="zh-CN"/>
        </w:rPr>
        <w:t>金民发</w:t>
      </w:r>
      <w:r>
        <w:rPr>
          <w:rFonts w:hint="eastAsia" w:ascii="仿宋_GB2312" w:eastAsia="仿宋_GB2312"/>
          <w:b w:val="0"/>
          <w:color w:val="000000"/>
          <w:sz w:val="32"/>
          <w:szCs w:val="32"/>
          <w:highlight w:val="none"/>
        </w:rPr>
        <w:t>〔20</w:t>
      </w:r>
      <w:r>
        <w:rPr>
          <w:rFonts w:hint="eastAsia" w:ascii="仿宋_GB2312" w:eastAsia="仿宋_GB2312"/>
          <w:b w:val="0"/>
          <w:color w:val="000000"/>
          <w:sz w:val="32"/>
          <w:szCs w:val="32"/>
          <w:highlight w:val="none"/>
          <w:lang w:val="en-US" w:eastAsia="zh-CN"/>
        </w:rPr>
        <w:t>23</w:t>
      </w:r>
      <w:r>
        <w:rPr>
          <w:rFonts w:hint="eastAsia" w:ascii="仿宋_GB2312" w:eastAsia="仿宋_GB2312"/>
          <w:b w:val="0"/>
          <w:color w:val="000000"/>
          <w:sz w:val="32"/>
          <w:szCs w:val="32"/>
          <w:highlight w:val="none"/>
        </w:rPr>
        <w:t>〕</w:t>
      </w:r>
      <w:r>
        <w:rPr>
          <w:rFonts w:hint="eastAsia" w:ascii="仿宋_GB2312" w:eastAsia="仿宋_GB2312"/>
          <w:b w:val="0"/>
          <w:color w:val="000000"/>
          <w:sz w:val="32"/>
          <w:szCs w:val="32"/>
          <w:highlight w:val="none"/>
          <w:lang w:val="en-US" w:eastAsia="zh-CN"/>
        </w:rPr>
        <w:t>28</w:t>
      </w:r>
      <w:r>
        <w:rPr>
          <w:rFonts w:hint="eastAsia" w:ascii="仿宋_GB2312" w:eastAsia="仿宋_GB2312"/>
          <w:b w:val="0"/>
          <w:color w:val="000000"/>
          <w:sz w:val="32"/>
          <w:szCs w:val="32"/>
          <w:highlight w:val="none"/>
        </w:rPr>
        <w:t>号</w:t>
      </w:r>
      <w:r>
        <w:rPr>
          <w:rFonts w:hint="eastAsia" w:ascii="仿宋" w:hAnsi="仿宋" w:eastAsia="仿宋_GB2312" w:cs="仿宋"/>
          <w:b w:val="0"/>
          <w:color w:val="000000"/>
          <w:sz w:val="32"/>
          <w:szCs w:val="32"/>
          <w:highlight w:val="none"/>
        </w:rPr>
        <w:t>文件</w:t>
      </w:r>
      <w:r>
        <w:rPr>
          <w:rFonts w:hint="eastAsia" w:ascii="仿宋" w:hAnsi="仿宋" w:eastAsia="仿宋_GB2312" w:cs="仿宋"/>
          <w:b w:val="0"/>
          <w:bCs w:val="0"/>
          <w:color w:val="auto"/>
          <w:sz w:val="32"/>
          <w:szCs w:val="32"/>
          <w:lang w:eastAsia="zh-CN"/>
        </w:rPr>
        <w:t>相关规定执行。</w:t>
      </w:r>
      <w:r>
        <w:rPr>
          <w:rFonts w:ascii="仿宋" w:hAnsi="仿宋" w:eastAsia="仿宋_GB2312"/>
          <w:b w:val="0"/>
          <w:sz w:val="32"/>
          <w:szCs w:val="30"/>
        </w:rPr>
        <w:t xml:space="preserve"> </w:t>
      </w:r>
      <w:r>
        <w:rPr>
          <w:rFonts w:hint="eastAsia" w:ascii="仿宋" w:hAnsi="仿宋" w:eastAsia="仿宋_GB2312" w:cs="仿宋"/>
          <w:b w:val="0"/>
          <w:bCs w:val="0"/>
          <w:color w:val="333333"/>
          <w:kern w:val="2"/>
          <w:sz w:val="32"/>
          <w:szCs w:val="32"/>
          <w:lang w:val="en-US" w:eastAsia="zh-CN" w:bidi="ar"/>
        </w:rPr>
        <w:t>促进我县城乡低保规范化建设，</w:t>
      </w:r>
      <w:r>
        <w:rPr>
          <w:rFonts w:hint="eastAsia" w:ascii="仿宋" w:hAnsi="仿宋" w:eastAsia="仿宋_GB2312" w:cs="仿宋"/>
          <w:b w:val="0"/>
          <w:i w:val="0"/>
          <w:iCs w:val="0"/>
          <w:caps w:val="0"/>
          <w:color w:val="000000"/>
          <w:spacing w:val="0"/>
          <w:sz w:val="32"/>
          <w:szCs w:val="32"/>
          <w:shd w:val="clear" w:fill="FFFFFF"/>
        </w:rPr>
        <w:t>“以人为本，为民解困”的宗旨。</w:t>
      </w:r>
      <w:r>
        <w:rPr>
          <w:rFonts w:hint="eastAsia" w:ascii="仿宋" w:hAnsi="仿宋" w:eastAsia="仿宋_GB2312" w:cs="仿宋"/>
          <w:b w:val="0"/>
          <w:i w:val="0"/>
          <w:iCs w:val="0"/>
          <w:caps w:val="0"/>
          <w:color w:val="000000"/>
          <w:spacing w:val="0"/>
          <w:sz w:val="32"/>
          <w:szCs w:val="32"/>
          <w:shd w:val="clear" w:fill="FFFFFF"/>
          <w:lang w:eastAsia="zh-CN"/>
        </w:rPr>
        <w:t>在一定范围内进行公示、确保公开、公正、公平。</w:t>
      </w:r>
    </w:p>
    <w:p w14:paraId="7CE46BB5">
      <w:pPr>
        <w:pageBreakBefore w:val="0"/>
        <w:kinsoku/>
        <w:wordWrap/>
        <w:overflowPunct/>
        <w:topLinePunct w:val="0"/>
        <w:autoSpaceDE/>
        <w:autoSpaceDN/>
        <w:bidi w:val="0"/>
        <w:snapToGrid w:val="0"/>
        <w:spacing w:line="560" w:lineRule="exact"/>
        <w:ind w:firstLine="627" w:firstLineChars="196"/>
        <w:jc w:val="left"/>
        <w:rPr>
          <w:rFonts w:ascii="Times New Roman" w:hAnsi="Times New Roman" w:eastAsia="仿宋_GB2312"/>
          <w:b w:val="0"/>
          <w:sz w:val="32"/>
          <w:szCs w:val="32"/>
        </w:rPr>
      </w:pPr>
      <w:r>
        <w:rPr>
          <w:rFonts w:hint="eastAsia" w:ascii="Times New Roman" w:hAnsi="Times New Roman" w:eastAsia="仿宋_GB2312"/>
          <w:b w:val="0"/>
          <w:sz w:val="32"/>
          <w:szCs w:val="32"/>
          <w:lang w:val="en-US" w:eastAsia="zh-CN"/>
        </w:rPr>
        <w:t>2、</w:t>
      </w:r>
      <w:r>
        <w:rPr>
          <w:rFonts w:ascii="Times New Roman" w:hAnsi="Times New Roman" w:eastAsia="仿宋_GB2312"/>
          <w:b w:val="0"/>
          <w:sz w:val="32"/>
          <w:szCs w:val="32"/>
        </w:rPr>
        <w:t>投入经济性</w:t>
      </w:r>
    </w:p>
    <w:p w14:paraId="1FFA5D9A">
      <w:pPr>
        <w:pStyle w:val="10"/>
        <w:pageBreakBefore w:val="0"/>
        <w:kinsoku/>
        <w:wordWrap/>
        <w:overflowPunct/>
        <w:topLinePunct w:val="0"/>
        <w:autoSpaceDE/>
        <w:autoSpaceDN/>
        <w:bidi w:val="0"/>
        <w:spacing w:line="560" w:lineRule="exact"/>
        <w:ind w:left="0" w:firstLine="640" w:firstLineChars="200"/>
        <w:rPr>
          <w:rFonts w:hint="eastAsia" w:ascii="仿宋_GB2312" w:eastAsia="仿宋_GB2312"/>
          <w:b w:val="0"/>
          <w:sz w:val="32"/>
          <w:u w:val="single"/>
        </w:rPr>
      </w:pPr>
      <w:r>
        <w:rPr>
          <w:rFonts w:ascii="仿宋" w:hAnsi="仿宋" w:eastAsia="仿宋_GB2312"/>
          <w:b w:val="0"/>
          <w:color w:val="000000"/>
          <w:sz w:val="32"/>
          <w:szCs w:val="30"/>
        </w:rPr>
        <w:t>根据</w:t>
      </w:r>
      <w:r>
        <w:rPr>
          <w:rFonts w:hint="eastAsia" w:ascii="仿宋" w:hAnsi="仿宋" w:eastAsia="仿宋_GB2312" w:cs="仿宋"/>
          <w:b w:val="0"/>
          <w:bCs w:val="0"/>
          <w:color w:val="auto"/>
          <w:sz w:val="32"/>
          <w:szCs w:val="32"/>
        </w:rPr>
        <w:t>《四川省最低生活保障工作规程》的通知（川民发〔20</w:t>
      </w:r>
      <w:r>
        <w:rPr>
          <w:rFonts w:hint="eastAsia" w:ascii="仿宋" w:hAnsi="仿宋" w:eastAsia="仿宋_GB2312" w:cs="仿宋"/>
          <w:b w:val="0"/>
          <w:bCs w:val="0"/>
          <w:color w:val="auto"/>
          <w:sz w:val="32"/>
          <w:szCs w:val="32"/>
          <w:lang w:val="en-US" w:eastAsia="zh-CN"/>
        </w:rPr>
        <w:t>21</w:t>
      </w:r>
      <w:r>
        <w:rPr>
          <w:rFonts w:hint="eastAsia" w:ascii="仿宋" w:hAnsi="仿宋" w:eastAsia="仿宋_GB2312" w:cs="仿宋"/>
          <w:b w:val="0"/>
          <w:bCs w:val="0"/>
          <w:color w:val="auto"/>
          <w:sz w:val="32"/>
          <w:szCs w:val="32"/>
        </w:rPr>
        <w:t>〕1</w:t>
      </w:r>
      <w:r>
        <w:rPr>
          <w:rFonts w:hint="eastAsia" w:ascii="仿宋" w:hAnsi="仿宋" w:eastAsia="仿宋_GB2312" w:cs="仿宋"/>
          <w:b w:val="0"/>
          <w:bCs w:val="0"/>
          <w:color w:val="auto"/>
          <w:sz w:val="32"/>
          <w:szCs w:val="32"/>
          <w:lang w:val="en-US" w:eastAsia="zh-CN"/>
        </w:rPr>
        <w:t>80</w:t>
      </w:r>
      <w:r>
        <w:rPr>
          <w:rFonts w:hint="eastAsia" w:ascii="仿宋" w:hAnsi="仿宋" w:eastAsia="仿宋_GB2312" w:cs="仿宋"/>
          <w:b w:val="0"/>
          <w:bCs w:val="0"/>
          <w:color w:val="auto"/>
          <w:sz w:val="32"/>
          <w:szCs w:val="32"/>
        </w:rPr>
        <w:t>号）</w:t>
      </w:r>
      <w:r>
        <w:rPr>
          <w:rFonts w:hint="eastAsia" w:ascii="仿宋_GB2312" w:eastAsia="仿宋_GB2312"/>
          <w:b w:val="0"/>
          <w:sz w:val="32"/>
          <w:szCs w:val="32"/>
          <w:lang w:eastAsia="zh-CN"/>
        </w:rPr>
        <w:t>、</w:t>
      </w:r>
      <w:r>
        <w:rPr>
          <w:rFonts w:hint="eastAsia" w:ascii="仿宋_GB2312" w:eastAsia="仿宋_GB2312"/>
          <w:b w:val="0"/>
          <w:color w:val="000000"/>
          <w:sz w:val="32"/>
          <w:szCs w:val="32"/>
          <w:highlight w:val="none"/>
          <w:lang w:eastAsia="zh-CN"/>
        </w:rPr>
        <w:t>阿坝州民政局、阿坝州发展和改革委员会、阿坝州财政局、阿坝州统计局、国家统计局</w:t>
      </w:r>
      <w:r>
        <w:rPr>
          <w:rFonts w:hint="eastAsia" w:ascii="仿宋_GB2312"/>
          <w:b w:val="0"/>
          <w:color w:val="000000"/>
          <w:sz w:val="32"/>
          <w:szCs w:val="32"/>
          <w:highlight w:val="none"/>
          <w:lang w:eastAsia="zh-CN"/>
        </w:rPr>
        <w:t>、</w:t>
      </w:r>
      <w:r>
        <w:rPr>
          <w:rFonts w:hint="eastAsia" w:ascii="仿宋_GB2312" w:eastAsia="仿宋_GB2312"/>
          <w:b w:val="0"/>
          <w:color w:val="000000"/>
          <w:sz w:val="32"/>
          <w:szCs w:val="32"/>
          <w:highlight w:val="none"/>
          <w:lang w:eastAsia="zh-CN"/>
        </w:rPr>
        <w:t>阿坝调查部队</w:t>
      </w:r>
      <w:r>
        <w:rPr>
          <w:rFonts w:hint="eastAsia" w:ascii="仿宋_GB2312" w:eastAsia="仿宋_GB2312"/>
          <w:b w:val="0"/>
          <w:color w:val="000000"/>
          <w:sz w:val="32"/>
          <w:szCs w:val="32"/>
          <w:highlight w:val="none"/>
        </w:rPr>
        <w:t>《</w:t>
      </w:r>
      <w:r>
        <w:rPr>
          <w:rFonts w:hint="eastAsia" w:ascii="仿宋_GB2312" w:eastAsia="仿宋_GB2312"/>
          <w:b w:val="0"/>
          <w:color w:val="000000"/>
          <w:sz w:val="32"/>
          <w:szCs w:val="32"/>
          <w:highlight w:val="none"/>
          <w:lang w:eastAsia="zh-CN"/>
        </w:rPr>
        <w:t>关于调整城乡</w:t>
      </w:r>
      <w:r>
        <w:rPr>
          <w:rFonts w:hint="eastAsia" w:ascii="仿宋_GB2312" w:eastAsia="仿宋_GB2312"/>
          <w:b w:val="0"/>
          <w:color w:val="000000"/>
          <w:sz w:val="32"/>
          <w:szCs w:val="32"/>
          <w:highlight w:val="none"/>
          <w:lang w:val="en-US" w:eastAsia="zh-CN"/>
        </w:rPr>
        <w:t>居民</w:t>
      </w:r>
      <w:r>
        <w:rPr>
          <w:rFonts w:hint="eastAsia" w:ascii="仿宋_GB2312" w:eastAsia="仿宋_GB2312"/>
          <w:b w:val="0"/>
          <w:color w:val="000000"/>
          <w:sz w:val="32"/>
          <w:szCs w:val="32"/>
          <w:highlight w:val="none"/>
        </w:rPr>
        <w:t>最低生活保障</w:t>
      </w:r>
      <w:r>
        <w:rPr>
          <w:rFonts w:hint="eastAsia" w:ascii="仿宋_GB2312" w:eastAsia="仿宋_GB2312"/>
          <w:b w:val="0"/>
          <w:color w:val="000000"/>
          <w:sz w:val="32"/>
          <w:szCs w:val="32"/>
          <w:highlight w:val="none"/>
          <w:lang w:eastAsia="zh-CN"/>
        </w:rPr>
        <w:t>和特困人员基本生活标准</w:t>
      </w:r>
      <w:r>
        <w:rPr>
          <w:rFonts w:hint="eastAsia" w:ascii="仿宋_GB2312" w:eastAsia="仿宋_GB2312"/>
          <w:b w:val="0"/>
          <w:color w:val="000000"/>
          <w:sz w:val="32"/>
          <w:szCs w:val="32"/>
          <w:highlight w:val="none"/>
        </w:rPr>
        <w:t>的通知》</w:t>
      </w:r>
      <w:r>
        <w:rPr>
          <w:rFonts w:hint="eastAsia" w:ascii="仿宋_GB2312" w:eastAsia="仿宋_GB2312"/>
          <w:b w:val="0"/>
          <w:color w:val="000000"/>
          <w:sz w:val="32"/>
          <w:szCs w:val="32"/>
          <w:highlight w:val="none"/>
          <w:lang w:eastAsia="zh-CN"/>
        </w:rPr>
        <w:t>阿州民政</w:t>
      </w:r>
      <w:r>
        <w:rPr>
          <w:rFonts w:hint="eastAsia" w:ascii="仿宋_GB2312" w:eastAsia="仿宋_GB2312"/>
          <w:b w:val="0"/>
          <w:color w:val="000000"/>
          <w:sz w:val="32"/>
          <w:szCs w:val="32"/>
          <w:highlight w:val="none"/>
        </w:rPr>
        <w:t>〔20</w:t>
      </w:r>
      <w:r>
        <w:rPr>
          <w:rFonts w:hint="eastAsia" w:ascii="仿宋_GB2312" w:eastAsia="仿宋_GB2312"/>
          <w:b w:val="0"/>
          <w:color w:val="000000"/>
          <w:sz w:val="32"/>
          <w:szCs w:val="32"/>
          <w:highlight w:val="none"/>
          <w:lang w:val="en-US" w:eastAsia="zh-CN"/>
        </w:rPr>
        <w:t>23</w:t>
      </w:r>
      <w:r>
        <w:rPr>
          <w:rFonts w:hint="eastAsia" w:ascii="仿宋_GB2312" w:eastAsia="仿宋_GB2312"/>
          <w:b w:val="0"/>
          <w:color w:val="000000"/>
          <w:sz w:val="32"/>
          <w:szCs w:val="32"/>
          <w:highlight w:val="none"/>
        </w:rPr>
        <w:t>〕</w:t>
      </w:r>
      <w:r>
        <w:rPr>
          <w:rFonts w:hint="eastAsia" w:ascii="仿宋_GB2312" w:eastAsia="仿宋_GB2312"/>
          <w:b w:val="0"/>
          <w:color w:val="000000"/>
          <w:sz w:val="32"/>
          <w:szCs w:val="32"/>
          <w:highlight w:val="none"/>
          <w:lang w:val="en-US" w:eastAsia="zh-CN"/>
        </w:rPr>
        <w:t>51</w:t>
      </w:r>
      <w:r>
        <w:rPr>
          <w:rFonts w:hint="eastAsia" w:ascii="仿宋_GB2312" w:eastAsia="仿宋_GB2312"/>
          <w:b w:val="0"/>
          <w:color w:val="000000"/>
          <w:sz w:val="32"/>
          <w:szCs w:val="32"/>
          <w:highlight w:val="none"/>
        </w:rPr>
        <w:t>号</w:t>
      </w:r>
      <w:r>
        <w:rPr>
          <w:rFonts w:hint="eastAsia" w:ascii="仿宋_GB2312" w:eastAsia="仿宋_GB2312"/>
          <w:b w:val="0"/>
          <w:color w:val="000000"/>
          <w:sz w:val="32"/>
          <w:szCs w:val="32"/>
          <w:highlight w:val="none"/>
          <w:lang w:eastAsia="zh-CN"/>
        </w:rPr>
        <w:t>、</w:t>
      </w:r>
      <w:r>
        <w:rPr>
          <w:rFonts w:hint="eastAsia" w:ascii="仿宋" w:hAnsi="仿宋" w:eastAsia="仿宋_GB2312" w:cs="仿宋"/>
          <w:b w:val="0"/>
          <w:color w:val="000000"/>
          <w:sz w:val="32"/>
          <w:szCs w:val="32"/>
        </w:rPr>
        <w:t>关于转发</w:t>
      </w:r>
      <w:r>
        <w:rPr>
          <w:rFonts w:hint="eastAsia" w:ascii="仿宋" w:hAnsi="仿宋" w:eastAsia="仿宋_GB2312" w:cs="仿宋"/>
          <w:b w:val="0"/>
          <w:color w:val="000000"/>
          <w:sz w:val="32"/>
          <w:szCs w:val="32"/>
          <w:lang w:eastAsia="zh-CN"/>
        </w:rPr>
        <w:t>《</w:t>
      </w:r>
      <w:r>
        <w:rPr>
          <w:rFonts w:hint="eastAsia" w:ascii="仿宋" w:hAnsi="仿宋" w:eastAsia="仿宋_GB2312" w:cs="仿宋"/>
          <w:b w:val="0"/>
          <w:color w:val="000000"/>
          <w:sz w:val="32"/>
          <w:szCs w:val="32"/>
        </w:rPr>
        <w:t>州民政局关于进一步开展全州最低生活保障扩围增</w:t>
      </w:r>
      <w:r>
        <w:rPr>
          <w:rFonts w:hint="eastAsia" w:ascii="仿宋" w:hAnsi="仿宋" w:eastAsia="仿宋_GB2312" w:cs="仿宋"/>
          <w:b w:val="0"/>
          <w:color w:val="000000"/>
          <w:sz w:val="32"/>
          <w:szCs w:val="32"/>
          <w:lang w:eastAsia="zh-CN"/>
        </w:rPr>
        <w:t>效</w:t>
      </w:r>
      <w:r>
        <w:rPr>
          <w:rFonts w:hint="eastAsia" w:ascii="仿宋" w:hAnsi="仿宋" w:eastAsia="仿宋_GB2312" w:cs="仿宋"/>
          <w:b w:val="0"/>
          <w:color w:val="000000"/>
          <w:sz w:val="32"/>
          <w:szCs w:val="32"/>
        </w:rPr>
        <w:t>工作</w:t>
      </w:r>
      <w:r>
        <w:rPr>
          <w:rFonts w:hint="eastAsia" w:ascii="仿宋" w:hAnsi="仿宋" w:eastAsia="仿宋_GB2312" w:cs="仿宋"/>
          <w:b w:val="0"/>
          <w:color w:val="000000"/>
          <w:sz w:val="32"/>
          <w:szCs w:val="32"/>
          <w:lang w:eastAsia="zh-CN"/>
        </w:rPr>
        <w:t>》</w:t>
      </w:r>
      <w:r>
        <w:rPr>
          <w:rFonts w:hint="eastAsia" w:ascii="仿宋" w:hAnsi="仿宋" w:eastAsia="仿宋_GB2312" w:cs="仿宋"/>
          <w:b w:val="0"/>
          <w:color w:val="000000"/>
          <w:sz w:val="32"/>
          <w:szCs w:val="32"/>
        </w:rPr>
        <w:t>的通知</w:t>
      </w:r>
      <w:r>
        <w:rPr>
          <w:rFonts w:hint="eastAsia" w:ascii="仿宋" w:hAnsi="仿宋" w:eastAsia="仿宋_GB2312" w:cs="仿宋"/>
          <w:b w:val="0"/>
          <w:color w:val="000000"/>
          <w:sz w:val="32"/>
          <w:szCs w:val="32"/>
          <w:lang w:eastAsia="zh-CN"/>
        </w:rPr>
        <w:t>金民发</w:t>
      </w:r>
      <w:r>
        <w:rPr>
          <w:rFonts w:hint="eastAsia" w:ascii="仿宋_GB2312" w:eastAsia="仿宋_GB2312"/>
          <w:b w:val="0"/>
          <w:color w:val="000000"/>
          <w:sz w:val="32"/>
          <w:szCs w:val="32"/>
          <w:highlight w:val="none"/>
        </w:rPr>
        <w:t>〔20</w:t>
      </w:r>
      <w:r>
        <w:rPr>
          <w:rFonts w:hint="eastAsia" w:ascii="仿宋_GB2312" w:eastAsia="仿宋_GB2312"/>
          <w:b w:val="0"/>
          <w:color w:val="000000"/>
          <w:sz w:val="32"/>
          <w:szCs w:val="32"/>
          <w:highlight w:val="none"/>
          <w:lang w:val="en-US" w:eastAsia="zh-CN"/>
        </w:rPr>
        <w:t>23</w:t>
      </w:r>
      <w:r>
        <w:rPr>
          <w:rFonts w:hint="eastAsia" w:ascii="仿宋_GB2312" w:eastAsia="仿宋_GB2312"/>
          <w:b w:val="0"/>
          <w:color w:val="000000"/>
          <w:sz w:val="32"/>
          <w:szCs w:val="32"/>
          <w:highlight w:val="none"/>
        </w:rPr>
        <w:t>〕</w:t>
      </w:r>
      <w:r>
        <w:rPr>
          <w:rFonts w:hint="eastAsia" w:ascii="仿宋_GB2312" w:eastAsia="仿宋_GB2312"/>
          <w:b w:val="0"/>
          <w:color w:val="000000"/>
          <w:sz w:val="32"/>
          <w:szCs w:val="32"/>
          <w:highlight w:val="none"/>
          <w:lang w:val="en-US" w:eastAsia="zh-CN"/>
        </w:rPr>
        <w:t>28</w:t>
      </w:r>
      <w:r>
        <w:rPr>
          <w:rFonts w:hint="eastAsia" w:ascii="仿宋_GB2312" w:eastAsia="仿宋_GB2312"/>
          <w:b w:val="0"/>
          <w:color w:val="000000"/>
          <w:sz w:val="32"/>
          <w:szCs w:val="32"/>
          <w:highlight w:val="none"/>
        </w:rPr>
        <w:t>号</w:t>
      </w:r>
      <w:r>
        <w:rPr>
          <w:rFonts w:hint="eastAsia" w:ascii="仿宋" w:hAnsi="仿宋" w:eastAsia="仿宋_GB2312" w:cs="仿宋"/>
          <w:b w:val="0"/>
          <w:color w:val="000000"/>
          <w:sz w:val="32"/>
          <w:szCs w:val="32"/>
          <w:highlight w:val="none"/>
        </w:rPr>
        <w:t>文件</w:t>
      </w:r>
      <w:r>
        <w:rPr>
          <w:rFonts w:hint="eastAsia" w:ascii="仿宋" w:hAnsi="仿宋" w:eastAsia="仿宋_GB2312" w:cs="仿宋"/>
          <w:b w:val="0"/>
          <w:bCs w:val="0"/>
          <w:color w:val="auto"/>
          <w:sz w:val="32"/>
          <w:szCs w:val="32"/>
          <w:lang w:eastAsia="zh-CN"/>
        </w:rPr>
        <w:t>相关规定执行。</w:t>
      </w:r>
      <w:r>
        <w:rPr>
          <w:rFonts w:hint="eastAsia" w:ascii="仿宋" w:hAnsi="仿宋" w:eastAsia="仿宋_GB2312" w:cs="仿宋"/>
          <w:b w:val="0"/>
          <w:bCs w:val="0"/>
          <w:color w:val="333333"/>
          <w:kern w:val="2"/>
          <w:sz w:val="32"/>
          <w:szCs w:val="32"/>
          <w:lang w:val="en-US" w:eastAsia="zh-CN" w:bidi="ar"/>
        </w:rPr>
        <w:t>促进我县城乡低保规范化建设，</w:t>
      </w:r>
      <w:r>
        <w:rPr>
          <w:rFonts w:hint="eastAsia" w:ascii="仿宋" w:hAnsi="仿宋" w:eastAsia="仿宋_GB2312" w:cs="仿宋"/>
          <w:b w:val="0"/>
          <w:i w:val="0"/>
          <w:iCs w:val="0"/>
          <w:caps w:val="0"/>
          <w:color w:val="000000"/>
          <w:spacing w:val="0"/>
          <w:sz w:val="32"/>
          <w:szCs w:val="32"/>
          <w:shd w:val="clear" w:fill="FFFFFF"/>
        </w:rPr>
        <w:t>“以人为本，为民解困”的宗旨。坚持“应保尽保、应救尽救、应补尽补”的基本原则，</w:t>
      </w:r>
      <w:r>
        <w:rPr>
          <w:rFonts w:ascii="仿宋" w:hAnsi="仿宋" w:eastAsia="仿宋_GB2312"/>
          <w:b w:val="0"/>
          <w:sz w:val="32"/>
          <w:szCs w:val="30"/>
        </w:rPr>
        <w:t>有序、有效推进，健全、完善城乡社会救助体系，及时有效解决城乡居民困难</w:t>
      </w:r>
      <w:r>
        <w:rPr>
          <w:rFonts w:hint="eastAsia" w:ascii="仿宋" w:hAnsi="仿宋" w:eastAsia="仿宋_GB2312"/>
          <w:b w:val="0"/>
          <w:sz w:val="32"/>
          <w:szCs w:val="30"/>
          <w:lang w:eastAsia="zh-CN"/>
        </w:rPr>
        <w:t>问题</w:t>
      </w:r>
      <w:r>
        <w:rPr>
          <w:rFonts w:hint="eastAsia" w:ascii="仿宋" w:hAnsi="仿宋" w:eastAsia="仿宋_GB2312"/>
          <w:b w:val="0"/>
          <w:sz w:val="32"/>
          <w:szCs w:val="30"/>
        </w:rPr>
        <w:t>。</w:t>
      </w:r>
      <w:r>
        <w:rPr>
          <w:rFonts w:hint="eastAsia" w:ascii="仿宋_GB2312" w:eastAsia="仿宋_GB2312"/>
          <w:b w:val="0"/>
          <w:sz w:val="32"/>
          <w:u w:val="single"/>
        </w:rPr>
        <w:t xml:space="preserve">  </w:t>
      </w:r>
    </w:p>
    <w:p w14:paraId="3F754982">
      <w:pPr>
        <w:pStyle w:val="10"/>
        <w:pageBreakBefore w:val="0"/>
        <w:kinsoku/>
        <w:wordWrap/>
        <w:overflowPunct/>
        <w:topLinePunct w:val="0"/>
        <w:autoSpaceDE/>
        <w:autoSpaceDN/>
        <w:bidi w:val="0"/>
        <w:spacing w:line="560" w:lineRule="exact"/>
        <w:ind w:left="0" w:firstLine="640" w:firstLineChars="200"/>
        <w:jc w:val="center"/>
        <w:rPr>
          <w:rFonts w:hint="eastAsia" w:ascii="仿宋_GB2312" w:eastAsia="仿宋_GB2312"/>
          <w:b w:val="0"/>
          <w:sz w:val="32"/>
        </w:rPr>
      </w:pPr>
      <w:r>
        <w:rPr>
          <w:rFonts w:hint="eastAsia" w:ascii="仿宋_GB2312" w:eastAsia="仿宋_GB2312"/>
          <w:b w:val="0"/>
          <w:sz w:val="32"/>
          <w:u w:val="none"/>
          <w:lang w:eastAsia="zh-CN"/>
        </w:rPr>
        <w:t>城市低保</w:t>
      </w:r>
      <w:r>
        <w:rPr>
          <w:rFonts w:hint="eastAsia" w:ascii="仿宋_GB2312" w:eastAsia="仿宋_GB2312"/>
          <w:b w:val="0"/>
          <w:sz w:val="32"/>
          <w:u w:val="none"/>
        </w:rPr>
        <w:t>项目事前绩效评估汇总表</w:t>
      </w:r>
      <w:r>
        <w:rPr>
          <w:rFonts w:hint="eastAsia" w:ascii="仿宋_GB2312" w:eastAsia="仿宋_GB2312"/>
          <w:b w:val="0"/>
          <w:sz w:val="32"/>
          <w:u w:val="none"/>
          <w:lang w:val="en-US" w:eastAsia="zh-CN"/>
        </w:rPr>
        <w:t xml:space="preserve">  单位：万元</w:t>
      </w:r>
    </w:p>
    <w:tbl>
      <w:tblPr>
        <w:tblStyle w:val="8"/>
        <w:tblW w:w="8220" w:type="dxa"/>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206"/>
        <w:gridCol w:w="1225"/>
        <w:gridCol w:w="1112"/>
        <w:gridCol w:w="1338"/>
        <w:gridCol w:w="1144"/>
        <w:gridCol w:w="1397"/>
      </w:tblGrid>
      <w:tr w14:paraId="3544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798" w:type="dxa"/>
            <w:tcBorders>
              <w:bottom w:val="single" w:color="auto" w:sz="4" w:space="0"/>
              <w:right w:val="single" w:color="auto" w:sz="4" w:space="0"/>
            </w:tcBorders>
            <w:vAlign w:val="top"/>
          </w:tcPr>
          <w:p w14:paraId="6C05EBEE">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序号</w:t>
            </w:r>
          </w:p>
        </w:tc>
        <w:tc>
          <w:tcPr>
            <w:tcW w:w="1206" w:type="dxa"/>
            <w:tcBorders>
              <w:left w:val="single" w:color="auto" w:sz="4" w:space="0"/>
              <w:bottom w:val="single" w:color="auto" w:sz="4" w:space="0"/>
              <w:right w:val="single" w:color="auto" w:sz="4" w:space="0"/>
            </w:tcBorders>
            <w:vAlign w:val="top"/>
          </w:tcPr>
          <w:p w14:paraId="259794B3">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项目内容</w:t>
            </w:r>
          </w:p>
        </w:tc>
        <w:tc>
          <w:tcPr>
            <w:tcW w:w="1225" w:type="dxa"/>
            <w:tcBorders>
              <w:left w:val="single" w:color="auto" w:sz="4" w:space="0"/>
              <w:bottom w:val="single" w:color="auto" w:sz="4" w:space="0"/>
              <w:right w:val="single" w:color="auto" w:sz="4" w:space="0"/>
            </w:tcBorders>
            <w:vAlign w:val="top"/>
          </w:tcPr>
          <w:p w14:paraId="7D0D8FCF">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申报预算</w:t>
            </w:r>
          </w:p>
        </w:tc>
        <w:tc>
          <w:tcPr>
            <w:tcW w:w="1112" w:type="dxa"/>
            <w:tcBorders>
              <w:left w:val="single" w:color="auto" w:sz="4" w:space="0"/>
              <w:bottom w:val="single" w:color="auto" w:sz="4" w:space="0"/>
              <w:right w:val="single" w:color="auto" w:sz="4" w:space="0"/>
            </w:tcBorders>
            <w:vAlign w:val="top"/>
          </w:tcPr>
          <w:p w14:paraId="064EE3ED">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送审金额</w:t>
            </w:r>
          </w:p>
        </w:tc>
        <w:tc>
          <w:tcPr>
            <w:tcW w:w="1338" w:type="dxa"/>
            <w:tcBorders>
              <w:left w:val="single" w:color="auto" w:sz="4" w:space="0"/>
              <w:bottom w:val="single" w:color="auto" w:sz="4" w:space="0"/>
              <w:right w:val="single" w:color="auto" w:sz="4" w:space="0"/>
            </w:tcBorders>
            <w:vAlign w:val="top"/>
          </w:tcPr>
          <w:p w14:paraId="2E446947">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建议控制数</w:t>
            </w:r>
          </w:p>
        </w:tc>
        <w:tc>
          <w:tcPr>
            <w:tcW w:w="1144" w:type="dxa"/>
            <w:tcBorders>
              <w:left w:val="single" w:color="auto" w:sz="4" w:space="0"/>
              <w:bottom w:val="single" w:color="auto" w:sz="4" w:space="0"/>
              <w:right w:val="single" w:color="auto" w:sz="4" w:space="0"/>
            </w:tcBorders>
            <w:vAlign w:val="top"/>
          </w:tcPr>
          <w:p w14:paraId="31DC7B56">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left="0" w:leftChars="0" w:firstLine="0" w:firstLineChars="0"/>
              <w:rPr>
                <w:rFonts w:hint="eastAsia" w:ascii="仿宋_GB2312" w:eastAsia="仿宋_GB2312"/>
                <w:b w:val="0"/>
                <w:sz w:val="32"/>
                <w:szCs w:val="21"/>
              </w:rPr>
            </w:pPr>
            <w:r>
              <w:rPr>
                <w:rFonts w:hint="eastAsia" w:ascii="仿宋_GB2312" w:eastAsia="仿宋_GB2312"/>
                <w:b w:val="0"/>
                <w:sz w:val="32"/>
                <w:szCs w:val="21"/>
              </w:rPr>
              <w:t>核减</w:t>
            </w:r>
            <w:r>
              <w:rPr>
                <w:rFonts w:hint="eastAsia" w:ascii="仿宋_GB2312" w:eastAsia="仿宋_GB2312"/>
                <w:b w:val="0"/>
                <w:sz w:val="32"/>
                <w:szCs w:val="21"/>
                <w:lang w:eastAsia="zh-CN"/>
              </w:rPr>
              <w:t>金额</w:t>
            </w:r>
          </w:p>
        </w:tc>
        <w:tc>
          <w:tcPr>
            <w:tcW w:w="1397" w:type="dxa"/>
            <w:vMerge w:val="restart"/>
            <w:tcBorders>
              <w:left w:val="single" w:color="auto" w:sz="4" w:space="0"/>
              <w:bottom w:val="single" w:color="auto" w:sz="4" w:space="0"/>
            </w:tcBorders>
            <w:vAlign w:val="top"/>
          </w:tcPr>
          <w:p w14:paraId="7258C2AA">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p w14:paraId="4E7CF273">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备注</w:t>
            </w:r>
          </w:p>
        </w:tc>
      </w:tr>
      <w:tr w14:paraId="377A9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98" w:type="dxa"/>
            <w:tcBorders>
              <w:top w:val="single" w:color="auto" w:sz="4" w:space="0"/>
              <w:bottom w:val="single" w:color="auto" w:sz="4" w:space="0"/>
              <w:right w:val="single" w:color="auto" w:sz="4" w:space="0"/>
            </w:tcBorders>
            <w:vAlign w:val="top"/>
          </w:tcPr>
          <w:p w14:paraId="1F72FBBD">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lang w:val="en-US" w:eastAsia="zh-CN"/>
              </w:rPr>
            </w:pPr>
            <w:r>
              <w:rPr>
                <w:rFonts w:hint="eastAsia" w:ascii="仿宋_GB2312" w:eastAsia="仿宋_GB2312"/>
                <w:b w:val="0"/>
                <w:sz w:val="32"/>
                <w:szCs w:val="21"/>
                <w:lang w:val="en-US" w:eastAsia="zh-CN"/>
              </w:rPr>
              <w:t>1</w:t>
            </w:r>
          </w:p>
        </w:tc>
        <w:tc>
          <w:tcPr>
            <w:tcW w:w="1206" w:type="dxa"/>
            <w:tcBorders>
              <w:top w:val="single" w:color="auto" w:sz="4" w:space="0"/>
              <w:left w:val="single" w:color="auto" w:sz="4" w:space="0"/>
              <w:bottom w:val="single" w:color="auto" w:sz="4" w:space="0"/>
              <w:right w:val="single" w:color="auto" w:sz="4" w:space="0"/>
            </w:tcBorders>
            <w:vAlign w:val="top"/>
          </w:tcPr>
          <w:p w14:paraId="28E4C76A">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eastAsia="仿宋_GB2312"/>
                <w:b w:val="0"/>
                <w:sz w:val="32"/>
                <w:szCs w:val="21"/>
                <w:lang w:val="en-US" w:eastAsia="zh-CN"/>
              </w:rPr>
              <w:t>87.12</w:t>
            </w:r>
          </w:p>
        </w:tc>
        <w:tc>
          <w:tcPr>
            <w:tcW w:w="1225" w:type="dxa"/>
            <w:tcBorders>
              <w:top w:val="single" w:color="auto" w:sz="4" w:space="0"/>
              <w:left w:val="single" w:color="auto" w:sz="4" w:space="0"/>
              <w:bottom w:val="single" w:color="auto" w:sz="4" w:space="0"/>
              <w:right w:val="single" w:color="auto" w:sz="4" w:space="0"/>
            </w:tcBorders>
            <w:vAlign w:val="top"/>
          </w:tcPr>
          <w:p w14:paraId="1C0FC24D">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eastAsia="仿宋_GB2312"/>
                <w:b w:val="0"/>
                <w:sz w:val="32"/>
                <w:szCs w:val="21"/>
                <w:lang w:val="en-US" w:eastAsia="zh-CN"/>
              </w:rPr>
              <w:t>87.12</w:t>
            </w:r>
          </w:p>
        </w:tc>
        <w:tc>
          <w:tcPr>
            <w:tcW w:w="1112" w:type="dxa"/>
            <w:tcBorders>
              <w:top w:val="single" w:color="auto" w:sz="4" w:space="0"/>
              <w:left w:val="single" w:color="auto" w:sz="4" w:space="0"/>
              <w:bottom w:val="single" w:color="auto" w:sz="4" w:space="0"/>
              <w:right w:val="single" w:color="auto" w:sz="4" w:space="0"/>
            </w:tcBorders>
            <w:vAlign w:val="top"/>
          </w:tcPr>
          <w:p w14:paraId="49FDE2B1">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eastAsia="仿宋_GB2312"/>
                <w:b w:val="0"/>
                <w:sz w:val="32"/>
                <w:szCs w:val="21"/>
                <w:lang w:val="en-US" w:eastAsia="zh-CN"/>
              </w:rPr>
              <w:t>87.12</w:t>
            </w:r>
          </w:p>
        </w:tc>
        <w:tc>
          <w:tcPr>
            <w:tcW w:w="1338" w:type="dxa"/>
            <w:tcBorders>
              <w:top w:val="single" w:color="auto" w:sz="4" w:space="0"/>
              <w:left w:val="single" w:color="auto" w:sz="4" w:space="0"/>
              <w:bottom w:val="single" w:color="auto" w:sz="4" w:space="0"/>
              <w:right w:val="single" w:color="auto" w:sz="4" w:space="0"/>
            </w:tcBorders>
            <w:vAlign w:val="top"/>
          </w:tcPr>
          <w:p w14:paraId="7CB8D32C">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144" w:type="dxa"/>
            <w:tcBorders>
              <w:top w:val="single" w:color="auto" w:sz="4" w:space="0"/>
              <w:left w:val="single" w:color="auto" w:sz="4" w:space="0"/>
              <w:bottom w:val="single" w:color="auto" w:sz="4" w:space="0"/>
              <w:right w:val="single" w:color="auto" w:sz="4" w:space="0"/>
            </w:tcBorders>
            <w:vAlign w:val="top"/>
          </w:tcPr>
          <w:p w14:paraId="6BDFB273">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397" w:type="dxa"/>
            <w:vMerge w:val="continue"/>
            <w:tcBorders>
              <w:left w:val="single" w:color="auto" w:sz="4" w:space="0"/>
            </w:tcBorders>
            <w:vAlign w:val="top"/>
          </w:tcPr>
          <w:p w14:paraId="18911EBC">
            <w:pPr>
              <w:pageBreakBefore w:val="0"/>
              <w:kinsoku/>
              <w:wordWrap/>
              <w:overflowPunct/>
              <w:topLinePunct w:val="0"/>
              <w:autoSpaceDE/>
              <w:autoSpaceDN/>
              <w:bidi w:val="0"/>
              <w:spacing w:line="560" w:lineRule="exact"/>
              <w:rPr>
                <w:rFonts w:eastAsia="仿宋_GB2312"/>
                <w:b w:val="0"/>
                <w:sz w:val="32"/>
              </w:rPr>
            </w:pPr>
          </w:p>
        </w:tc>
      </w:tr>
      <w:tr w14:paraId="6B268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0" w:hRule="atLeast"/>
        </w:trPr>
        <w:tc>
          <w:tcPr>
            <w:tcW w:w="798" w:type="dxa"/>
            <w:tcBorders>
              <w:top w:val="single" w:color="auto" w:sz="4" w:space="0"/>
              <w:bottom w:val="single" w:color="auto" w:sz="4" w:space="0"/>
              <w:right w:val="single" w:color="auto" w:sz="4" w:space="0"/>
            </w:tcBorders>
            <w:vAlign w:val="top"/>
          </w:tcPr>
          <w:p w14:paraId="7A6FA4BE">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206" w:type="dxa"/>
            <w:tcBorders>
              <w:top w:val="single" w:color="auto" w:sz="4" w:space="0"/>
              <w:left w:val="single" w:color="auto" w:sz="4" w:space="0"/>
              <w:bottom w:val="single" w:color="auto" w:sz="4" w:space="0"/>
              <w:right w:val="single" w:color="auto" w:sz="4" w:space="0"/>
            </w:tcBorders>
            <w:vAlign w:val="top"/>
          </w:tcPr>
          <w:p w14:paraId="527085FE">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225" w:type="dxa"/>
            <w:tcBorders>
              <w:top w:val="single" w:color="auto" w:sz="4" w:space="0"/>
              <w:left w:val="single" w:color="auto" w:sz="4" w:space="0"/>
              <w:bottom w:val="single" w:color="auto" w:sz="4" w:space="0"/>
              <w:right w:val="single" w:color="auto" w:sz="4" w:space="0"/>
            </w:tcBorders>
            <w:vAlign w:val="top"/>
          </w:tcPr>
          <w:p w14:paraId="3F107DF3">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112" w:type="dxa"/>
            <w:tcBorders>
              <w:top w:val="single" w:color="auto" w:sz="4" w:space="0"/>
              <w:left w:val="single" w:color="auto" w:sz="4" w:space="0"/>
              <w:bottom w:val="single" w:color="auto" w:sz="4" w:space="0"/>
              <w:right w:val="single" w:color="auto" w:sz="4" w:space="0"/>
            </w:tcBorders>
            <w:vAlign w:val="top"/>
          </w:tcPr>
          <w:p w14:paraId="03AC3E27">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338" w:type="dxa"/>
            <w:tcBorders>
              <w:top w:val="single" w:color="auto" w:sz="4" w:space="0"/>
              <w:left w:val="single" w:color="auto" w:sz="4" w:space="0"/>
              <w:bottom w:val="single" w:color="auto" w:sz="4" w:space="0"/>
              <w:right w:val="single" w:color="auto" w:sz="4" w:space="0"/>
            </w:tcBorders>
            <w:vAlign w:val="top"/>
          </w:tcPr>
          <w:p w14:paraId="2EE76ECA">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144" w:type="dxa"/>
            <w:tcBorders>
              <w:top w:val="single" w:color="auto" w:sz="4" w:space="0"/>
              <w:left w:val="single" w:color="auto" w:sz="4" w:space="0"/>
              <w:bottom w:val="single" w:color="auto" w:sz="4" w:space="0"/>
              <w:right w:val="single" w:color="auto" w:sz="4" w:space="0"/>
            </w:tcBorders>
            <w:vAlign w:val="top"/>
          </w:tcPr>
          <w:p w14:paraId="714BA5E5">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397" w:type="dxa"/>
            <w:tcBorders>
              <w:left w:val="single" w:color="auto" w:sz="4" w:space="0"/>
              <w:bottom w:val="single" w:color="auto" w:sz="4" w:space="0"/>
            </w:tcBorders>
            <w:vAlign w:val="top"/>
          </w:tcPr>
          <w:p w14:paraId="49071669">
            <w:pPr>
              <w:pageBreakBefore w:val="0"/>
              <w:kinsoku/>
              <w:wordWrap/>
              <w:overflowPunct/>
              <w:topLinePunct w:val="0"/>
              <w:autoSpaceDE/>
              <w:autoSpaceDN/>
              <w:bidi w:val="0"/>
              <w:spacing w:line="560" w:lineRule="exact"/>
              <w:rPr>
                <w:rFonts w:eastAsia="仿宋_GB2312"/>
                <w:b w:val="0"/>
                <w:sz w:val="32"/>
              </w:rPr>
            </w:pPr>
          </w:p>
        </w:tc>
      </w:tr>
    </w:tbl>
    <w:p w14:paraId="635A014F">
      <w:pPr>
        <w:pageBreakBefore w:val="0"/>
        <w:kinsoku/>
        <w:wordWrap/>
        <w:overflowPunct/>
        <w:topLinePunct w:val="0"/>
        <w:autoSpaceDE/>
        <w:autoSpaceDN/>
        <w:bidi w:val="0"/>
        <w:snapToGrid w:val="0"/>
        <w:spacing w:line="560" w:lineRule="exact"/>
        <w:ind w:firstLine="640" w:firstLineChars="200"/>
        <w:rPr>
          <w:rFonts w:ascii="Times New Roman" w:hAnsi="Times New Roman" w:eastAsia="仿宋_GB2312"/>
          <w:b w:val="0"/>
          <w:sz w:val="32"/>
          <w:szCs w:val="32"/>
        </w:rPr>
      </w:pPr>
      <w:r>
        <w:rPr>
          <w:rFonts w:hint="eastAsia" w:ascii="Times New Roman" w:hAnsi="Times New Roman" w:eastAsia="仿宋_GB2312"/>
          <w:b w:val="0"/>
          <w:sz w:val="32"/>
          <w:szCs w:val="32"/>
          <w:lang w:val="en-US" w:eastAsia="zh-CN"/>
        </w:rPr>
        <w:t>3、</w:t>
      </w:r>
      <w:r>
        <w:rPr>
          <w:rFonts w:ascii="Times New Roman" w:hAnsi="Times New Roman" w:eastAsia="仿宋_GB2312"/>
          <w:b w:val="0"/>
          <w:sz w:val="32"/>
          <w:szCs w:val="32"/>
        </w:rPr>
        <w:t>目标合理性</w:t>
      </w:r>
    </w:p>
    <w:p w14:paraId="5043E48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320" w:firstLineChars="100"/>
        <w:textAlignment w:val="auto"/>
        <w:rPr>
          <w:rFonts w:hint="eastAsia" w:ascii="仿宋_GB2312" w:hAnsi="宋体" w:eastAsia="仿宋_GB2312"/>
          <w:b w:val="0"/>
          <w:sz w:val="32"/>
          <w:szCs w:val="32"/>
        </w:rPr>
      </w:pPr>
      <w:r>
        <w:rPr>
          <w:rFonts w:hint="eastAsia" w:ascii="仿宋_GB2312" w:hAnsi="宋体" w:eastAsia="仿宋_GB2312"/>
          <w:b w:val="0"/>
          <w:sz w:val="32"/>
          <w:szCs w:val="32"/>
        </w:rPr>
        <w:t xml:space="preserve"> </w:t>
      </w:r>
      <w:r>
        <w:rPr>
          <w:rFonts w:hint="eastAsia" w:ascii="仿宋_GB2312" w:hAnsi="宋体" w:eastAsia="仿宋_GB2312"/>
          <w:b w:val="0"/>
          <w:sz w:val="32"/>
          <w:szCs w:val="30"/>
        </w:rPr>
        <w:t>该项目设定的绩效目标与本部门202</w:t>
      </w:r>
      <w:r>
        <w:rPr>
          <w:rFonts w:hint="eastAsia" w:ascii="仿宋_GB2312" w:hAnsi="宋体" w:eastAsia="仿宋_GB2312"/>
          <w:b w:val="0"/>
          <w:sz w:val="32"/>
          <w:szCs w:val="30"/>
          <w:lang w:val="en-US" w:eastAsia="zh-CN"/>
        </w:rPr>
        <w:t>5</w:t>
      </w:r>
      <w:r>
        <w:rPr>
          <w:rFonts w:hint="eastAsia" w:ascii="仿宋_GB2312" w:hAnsi="宋体" w:eastAsia="仿宋_GB2312"/>
          <w:b w:val="0"/>
          <w:sz w:val="32"/>
          <w:szCs w:val="30"/>
        </w:rPr>
        <w:t>年度工作目标一致，绩效目标一级指标大致</w:t>
      </w:r>
      <w:r>
        <w:rPr>
          <w:rFonts w:hint="eastAsia" w:ascii="仿宋_GB2312" w:hAnsi="宋体" w:eastAsia="仿宋_GB2312"/>
          <w:b w:val="0"/>
          <w:sz w:val="32"/>
          <w:szCs w:val="32"/>
        </w:rPr>
        <w:t>分为</w:t>
      </w:r>
      <w:r>
        <w:rPr>
          <w:rFonts w:hint="eastAsia" w:ascii="仿宋_GB2312" w:hAnsi="宋体" w:eastAsia="仿宋_GB2312"/>
          <w:b w:val="0"/>
          <w:sz w:val="32"/>
          <w:szCs w:val="32"/>
          <w:lang w:val="en-US" w:eastAsia="zh-CN"/>
        </w:rPr>
        <w:t>四</w:t>
      </w:r>
      <w:r>
        <w:rPr>
          <w:rFonts w:hint="eastAsia" w:ascii="仿宋_GB2312" w:hAnsi="宋体" w:eastAsia="仿宋_GB2312"/>
          <w:b w:val="0"/>
          <w:sz w:val="32"/>
          <w:szCs w:val="32"/>
        </w:rPr>
        <w:t>部分：产出指标、效益指标、满意度指标</w:t>
      </w:r>
      <w:r>
        <w:rPr>
          <w:rFonts w:hint="eastAsia" w:ascii="仿宋_GB2312" w:hAnsi="宋体" w:eastAsia="仿宋_GB2312"/>
          <w:b w:val="0"/>
          <w:sz w:val="32"/>
          <w:szCs w:val="32"/>
          <w:lang w:eastAsia="zh-CN"/>
        </w:rPr>
        <w:t>、</w:t>
      </w:r>
      <w:r>
        <w:rPr>
          <w:rFonts w:hint="eastAsia" w:ascii="仿宋_GB2312" w:hAnsi="宋体" w:eastAsia="仿宋_GB2312"/>
          <w:b w:val="0"/>
          <w:sz w:val="32"/>
          <w:szCs w:val="32"/>
          <w:lang w:val="en-US" w:eastAsia="zh-CN"/>
        </w:rPr>
        <w:t>成本指标</w:t>
      </w:r>
      <w:r>
        <w:rPr>
          <w:rFonts w:hint="eastAsia" w:ascii="仿宋_GB2312" w:hAnsi="宋体" w:eastAsia="仿宋_GB2312"/>
          <w:b w:val="0"/>
          <w:sz w:val="32"/>
          <w:szCs w:val="32"/>
        </w:rPr>
        <w:t>。</w:t>
      </w:r>
    </w:p>
    <w:p w14:paraId="3338FD0C">
      <w:pPr>
        <w:keepNext w:val="0"/>
        <w:keepLines w:val="0"/>
        <w:pageBreakBefore w:val="0"/>
        <w:widowControl w:val="0"/>
        <w:suppressLineNumbers w:val="0"/>
        <w:suppressAutoHyphens/>
        <w:kinsoku/>
        <w:wordWrap/>
        <w:overflowPunct/>
        <w:topLinePunct w:val="0"/>
        <w:autoSpaceDE/>
        <w:autoSpaceDN/>
        <w:bidi w:val="0"/>
        <w:adjustRightInd/>
        <w:snapToGrid w:val="0"/>
        <w:spacing w:line="560" w:lineRule="exact"/>
        <w:ind w:left="0"/>
        <w:rPr>
          <w:rFonts w:hint="default" w:ascii="Times New Roman" w:hAnsi="Times New Roman" w:eastAsia="仿宋_GB2312"/>
          <w:b w:val="0"/>
          <w:kern w:val="2"/>
          <w:sz w:val="32"/>
          <w:szCs w:val="32"/>
        </w:rPr>
      </w:pPr>
      <w:r>
        <w:rPr>
          <w:rFonts w:hint="eastAsia" w:ascii="Times New Roman" w:hAnsi="Times New Roman" w:eastAsia="仿宋_GB2312"/>
          <w:b w:val="0"/>
          <w:kern w:val="2"/>
          <w:sz w:val="32"/>
          <w:szCs w:val="21"/>
          <w:lang w:val="en-US" w:eastAsia="zh-CN"/>
        </w:rPr>
        <w:t>城市低保</w:t>
      </w:r>
      <w:r>
        <w:rPr>
          <w:rFonts w:hint="eastAsia" w:ascii="宋体" w:eastAsia="仿宋_GB2312"/>
          <w:b w:val="0"/>
          <w:kern w:val="2"/>
          <w:sz w:val="32"/>
          <w:szCs w:val="21"/>
        </w:rPr>
        <w:t>项目绩效目标表</w:t>
      </w:r>
    </w:p>
    <w:p w14:paraId="103BA80A">
      <w:pPr>
        <w:pageBreakBefore w:val="0"/>
        <w:tabs>
          <w:tab w:val="center" w:pos="4153"/>
          <w:tab w:val="right" w:pos="8306"/>
        </w:tabs>
        <w:kinsoku/>
        <w:wordWrap/>
        <w:overflowPunct/>
        <w:topLinePunct w:val="0"/>
        <w:autoSpaceDE/>
        <w:autoSpaceDN/>
        <w:bidi w:val="0"/>
        <w:spacing w:line="560" w:lineRule="exact"/>
        <w:rPr>
          <w:rFonts w:hint="eastAsia" w:eastAsia="仿宋_GB2312"/>
          <w:b w:val="0"/>
          <w:sz w:val="32"/>
        </w:rPr>
      </w:pPr>
    </w:p>
    <w:tbl>
      <w:tblPr>
        <w:tblStyle w:val="8"/>
        <w:tblW w:w="77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6"/>
        <w:gridCol w:w="1836"/>
        <w:gridCol w:w="2376"/>
        <w:gridCol w:w="576"/>
        <w:gridCol w:w="540"/>
        <w:gridCol w:w="645"/>
        <w:gridCol w:w="666"/>
      </w:tblGrid>
      <w:tr w14:paraId="1CC57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6C7E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一级指标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DCA9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二级指标</w:t>
            </w: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5832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三级指标</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54A1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指标性质</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DE43F">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指标值</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CFA0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度量单位</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F74B2">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权重（%）</w:t>
            </w:r>
          </w:p>
        </w:tc>
      </w:tr>
      <w:tr w14:paraId="6A584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1DBF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DFEA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C7CFA">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城市低保B类人数</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82BF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E325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34</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1CBF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A3DD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11B2D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4324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CAED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C5065">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城市低保C类人数</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70D9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5D03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47</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B4E8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179D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1747D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9009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4FD3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BC41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城市低保A类人数</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98AA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68E9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19</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39C0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8361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626DB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01DD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278F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质量指标</w:t>
            </w: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273A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补助资金发放准确率</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59C9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16DE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0646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7758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15</w:t>
            </w:r>
          </w:p>
        </w:tc>
      </w:tr>
      <w:tr w14:paraId="28B07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D8CB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F0CE2">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时效指标</w:t>
            </w: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49464">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资金及时足额拨付到位</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4317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8A1F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EA05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5C25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244F4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1551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9652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可持续影响指标</w:t>
            </w: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5CEA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符合条件的受助对象幸福感</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3A00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定性</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F008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高</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AA30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8BDA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20</w:t>
            </w:r>
          </w:p>
        </w:tc>
      </w:tr>
      <w:tr w14:paraId="6E434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EE1E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E8E7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经济效益指标</w:t>
            </w: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2A914">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按时发放城市低保对象救助</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97F0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450D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316A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540D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51532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DFB9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0F44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服务对象满意度指标</w:t>
            </w: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E459A">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群众满意度</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5728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906D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AFC4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A9B6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3EBF9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E14A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8333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经济成本指标</w:t>
            </w: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3B10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城市低保标准A档</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D444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3AF3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740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85BE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元/月</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050A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2F3E0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20E3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A82B7">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经济成本指标</w:t>
            </w: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62E2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城市低保标准B档</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11B7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E13C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690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C48F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元/月</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306B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3</w:t>
            </w:r>
          </w:p>
        </w:tc>
      </w:tr>
      <w:tr w14:paraId="04D83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A224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1F98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经济成本指标</w:t>
            </w: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B997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城市低保标准C档</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3539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74D2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640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B057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元/月</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65A0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w:t>
            </w:r>
          </w:p>
        </w:tc>
      </w:tr>
    </w:tbl>
    <w:p w14:paraId="4D786634">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lang w:val="en-US" w:eastAsia="zh-CN"/>
        </w:rPr>
      </w:pPr>
    </w:p>
    <w:p w14:paraId="61E73BBF">
      <w:pPr>
        <w:pageBreakBefore w:val="0"/>
        <w:kinsoku/>
        <w:wordWrap/>
        <w:overflowPunct/>
        <w:topLinePunct w:val="0"/>
        <w:autoSpaceDE/>
        <w:autoSpaceDN/>
        <w:bidi w:val="0"/>
        <w:snapToGrid w:val="0"/>
        <w:spacing w:line="560" w:lineRule="exact"/>
        <w:ind w:firstLine="640" w:firstLineChars="200"/>
        <w:rPr>
          <w:rFonts w:ascii="仿宋_GB2312" w:eastAsia="仿宋_GB2312"/>
          <w:b w:val="0"/>
          <w:bCs/>
          <w:sz w:val="32"/>
          <w:szCs w:val="32"/>
        </w:rPr>
      </w:pPr>
      <w:r>
        <w:rPr>
          <w:rFonts w:hint="eastAsia" w:ascii="楷体_GB2312" w:eastAsia="仿宋_GB2312"/>
          <w:b w:val="0"/>
          <w:sz w:val="32"/>
          <w:lang w:val="en-US" w:eastAsia="zh-CN"/>
        </w:rPr>
        <w:t>4、</w:t>
      </w:r>
      <w:r>
        <w:rPr>
          <w:rFonts w:hint="eastAsia" w:ascii="楷体_GB2312" w:eastAsia="仿宋_GB2312"/>
          <w:b w:val="0"/>
          <w:sz w:val="32"/>
        </w:rPr>
        <w:t>实施可行性</w:t>
      </w:r>
    </w:p>
    <w:p w14:paraId="13BDD7FC">
      <w:pPr>
        <w:pageBreakBefore w:val="0"/>
        <w:kinsoku/>
        <w:wordWrap/>
        <w:overflowPunct/>
        <w:topLinePunct w:val="0"/>
        <w:autoSpaceDE/>
        <w:autoSpaceDN/>
        <w:bidi w:val="0"/>
        <w:snapToGrid w:val="0"/>
        <w:spacing w:line="560" w:lineRule="exact"/>
        <w:ind w:firstLine="640" w:firstLineChars="200"/>
        <w:rPr>
          <w:rFonts w:hint="default"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eastAsia="zh-CN"/>
        </w:rPr>
        <w:t>项目技术</w:t>
      </w:r>
      <w:r>
        <w:rPr>
          <w:rFonts w:hint="eastAsia" w:ascii="仿宋_GB2312" w:hAnsi="仿宋_GB2312" w:eastAsia="仿宋_GB2312" w:cs="仿宋_GB2312"/>
          <w:b w:val="0"/>
          <w:sz w:val="32"/>
          <w:szCs w:val="32"/>
          <w:lang w:val="en-US" w:eastAsia="zh-CN"/>
        </w:rPr>
        <w:t>路径</w:t>
      </w:r>
      <w:r>
        <w:rPr>
          <w:rFonts w:hint="eastAsia" w:ascii="仿宋_GB2312" w:hAnsi="仿宋_GB2312" w:eastAsia="仿宋_GB2312" w:cs="仿宋_GB2312"/>
          <w:b w:val="0"/>
          <w:sz w:val="32"/>
          <w:szCs w:val="32"/>
          <w:lang w:eastAsia="zh-CN"/>
        </w:rPr>
        <w:t>可行，工作内容、方法、进度安排合理，保障措施相对完备，组织机构健全，职责分工基本合理，于每月支付，进一步明确项目路线，细化工作内容，完善技术手段。</w:t>
      </w:r>
    </w:p>
    <w:p w14:paraId="4D33C4C9">
      <w:pPr>
        <w:pageBreakBefore w:val="0"/>
        <w:kinsoku/>
        <w:wordWrap/>
        <w:overflowPunct/>
        <w:topLinePunct w:val="0"/>
        <w:autoSpaceDE/>
        <w:autoSpaceDN/>
        <w:bidi w:val="0"/>
        <w:snapToGrid w:val="0"/>
        <w:spacing w:line="560" w:lineRule="exact"/>
        <w:ind w:firstLine="640" w:firstLineChars="200"/>
        <w:rPr>
          <w:rFonts w:ascii="楷体_GB2312" w:eastAsia="仿宋_GB2312"/>
          <w:b w:val="0"/>
          <w:sz w:val="32"/>
        </w:rPr>
      </w:pPr>
      <w:r>
        <w:rPr>
          <w:rFonts w:hint="eastAsia" w:ascii="楷体_GB2312" w:eastAsia="仿宋_GB2312"/>
          <w:b w:val="0"/>
          <w:sz w:val="32"/>
          <w:lang w:val="en-US" w:eastAsia="zh-CN"/>
        </w:rPr>
        <w:t>5、</w:t>
      </w:r>
      <w:r>
        <w:rPr>
          <w:rFonts w:hint="eastAsia" w:ascii="楷体_GB2312" w:eastAsia="仿宋_GB2312"/>
          <w:b w:val="0"/>
          <w:sz w:val="32"/>
        </w:rPr>
        <w:t>筹资合规性</w:t>
      </w:r>
    </w:p>
    <w:p w14:paraId="6DA2B5F0">
      <w:pPr>
        <w:pageBreakBefore w:val="0"/>
        <w:kinsoku/>
        <w:wordWrap/>
        <w:overflowPunct/>
        <w:topLinePunct w:val="0"/>
        <w:autoSpaceDE/>
        <w:autoSpaceDN/>
        <w:bidi w:val="0"/>
        <w:snapToGrid w:val="0"/>
        <w:spacing w:line="560" w:lineRule="exact"/>
        <w:ind w:firstLine="640" w:firstLineChars="200"/>
        <w:rPr>
          <w:rFonts w:hint="eastAsia" w:ascii="仿宋_GB2312" w:hAnsi="仿宋_GB2312" w:eastAsia="仿宋_GB2312" w:cs="仿宋_GB2312"/>
          <w:b w:val="0"/>
          <w:sz w:val="32"/>
          <w:szCs w:val="32"/>
        </w:rPr>
      </w:pPr>
      <w:r>
        <w:rPr>
          <w:rFonts w:hint="eastAsia" w:ascii="仿宋_GB2312" w:hAnsi="仿宋_GB2312" w:eastAsia="仿宋_GB2312" w:cs="仿宋_GB2312"/>
          <w:b w:val="0"/>
          <w:sz w:val="32"/>
          <w:szCs w:val="32"/>
        </w:rPr>
        <w:t>本单位为县级的一级预算单位，所有资金均为同级财政下达安排的一般公共预算资金，该项目投入规模符合实际，投入渠道及方式合法合规、真实可靠，</w:t>
      </w:r>
      <w:r>
        <w:rPr>
          <w:rFonts w:hint="eastAsia" w:ascii="仿宋_GB2312" w:hAnsi="仿宋_GB2312" w:eastAsia="仿宋_GB2312" w:cs="仿宋_GB2312"/>
          <w:b w:val="0"/>
          <w:kern w:val="2"/>
          <w:sz w:val="32"/>
          <w:szCs w:val="32"/>
        </w:rPr>
        <w:t>筹资结构合理，资金来源渠道明确，各渠道资金到位时间、条件能够落实</w:t>
      </w:r>
      <w:r>
        <w:rPr>
          <w:rFonts w:hint="eastAsia" w:ascii="仿宋_GB2312" w:hAnsi="仿宋_GB2312" w:eastAsia="仿宋_GB2312" w:cs="仿宋_GB2312"/>
          <w:b w:val="0"/>
          <w:sz w:val="32"/>
          <w:szCs w:val="32"/>
        </w:rPr>
        <w:t>。</w:t>
      </w:r>
    </w:p>
    <w:p w14:paraId="3BA186E5">
      <w:pPr>
        <w:pageBreakBefore w:val="0"/>
        <w:kinsoku/>
        <w:wordWrap/>
        <w:overflowPunct/>
        <w:topLinePunct w:val="0"/>
        <w:autoSpaceDE/>
        <w:autoSpaceDN/>
        <w:bidi w:val="0"/>
        <w:snapToGrid w:val="0"/>
        <w:spacing w:line="560" w:lineRule="exact"/>
        <w:ind w:firstLine="640" w:firstLineChars="200"/>
        <w:rPr>
          <w:rFonts w:ascii="Times New Roman" w:hAnsi="Times New Roman" w:eastAsia="仿宋_GB2312"/>
          <w:b w:val="0"/>
          <w:sz w:val="32"/>
          <w:szCs w:val="32"/>
        </w:rPr>
      </w:pPr>
      <w:r>
        <w:rPr>
          <w:rFonts w:hint="eastAsia" w:ascii="黑体" w:eastAsia="仿宋_GB2312"/>
          <w:b w:val="0"/>
          <w:sz w:val="32"/>
          <w:szCs w:val="32"/>
          <w:lang w:eastAsia="zh-CN"/>
        </w:rPr>
        <w:t>（</w:t>
      </w:r>
      <w:r>
        <w:rPr>
          <w:rFonts w:hint="eastAsia" w:ascii="黑体" w:eastAsia="仿宋_GB2312"/>
          <w:b w:val="0"/>
          <w:sz w:val="32"/>
          <w:szCs w:val="32"/>
          <w:lang w:val="en-US" w:eastAsia="zh-CN"/>
        </w:rPr>
        <w:t>五</w:t>
      </w:r>
      <w:r>
        <w:rPr>
          <w:rFonts w:hint="eastAsia" w:ascii="黑体" w:eastAsia="仿宋_GB2312"/>
          <w:b w:val="0"/>
          <w:sz w:val="32"/>
          <w:szCs w:val="32"/>
          <w:lang w:eastAsia="zh-CN"/>
        </w:rPr>
        <w:t>）</w:t>
      </w:r>
      <w:r>
        <w:rPr>
          <w:rFonts w:hint="eastAsia" w:ascii="黑体" w:eastAsia="仿宋_GB2312"/>
          <w:b w:val="0"/>
          <w:sz w:val="32"/>
          <w:szCs w:val="32"/>
        </w:rPr>
        <w:t>评估结论</w:t>
      </w:r>
    </w:p>
    <w:p w14:paraId="39CDC65E">
      <w:pPr>
        <w:pStyle w:val="10"/>
        <w:pageBreakBefore w:val="0"/>
        <w:kinsoku/>
        <w:wordWrap/>
        <w:overflowPunct/>
        <w:topLinePunct w:val="0"/>
        <w:autoSpaceDE/>
        <w:autoSpaceDN/>
        <w:bidi w:val="0"/>
        <w:spacing w:line="560" w:lineRule="exact"/>
        <w:ind w:left="49" w:firstLine="640" w:firstLineChars="200"/>
        <w:rPr>
          <w:rFonts w:hint="eastAsia" w:ascii="Times New Roman" w:hAnsi="Times New Roman" w:eastAsia="仿宋_GB2312"/>
          <w:b w:val="0"/>
          <w:sz w:val="32"/>
          <w:szCs w:val="32"/>
        </w:rPr>
      </w:pPr>
      <w:r>
        <w:rPr>
          <w:rFonts w:hint="eastAsia" w:eastAsia="仿宋_GB2312"/>
          <w:b w:val="0"/>
          <w:sz w:val="32"/>
          <w:szCs w:val="32"/>
          <w:lang w:eastAsia="zh-CN"/>
        </w:rPr>
        <w:t>综合前述评估内容来看，</w:t>
      </w:r>
      <w:r>
        <w:rPr>
          <w:rFonts w:hint="eastAsia" w:ascii="仿宋_GB2312" w:eastAsia="仿宋_GB2312"/>
          <w:b w:val="0"/>
          <w:sz w:val="32"/>
          <w:lang w:val="en-US" w:eastAsia="zh-CN"/>
        </w:rPr>
        <w:t>评分95分，</w:t>
      </w:r>
      <w:r>
        <w:rPr>
          <w:rFonts w:hint="eastAsia" w:eastAsia="仿宋_GB2312"/>
          <w:b w:val="0"/>
          <w:sz w:val="32"/>
          <w:szCs w:val="32"/>
          <w:lang w:eastAsia="zh-CN"/>
        </w:rPr>
        <w:t>该项目立项必要性和依据充分，绩效目标明确，具备实施条件，具有公共性，符合财务资金扶持方向等，建议予以支持，预算控制在</w:t>
      </w:r>
      <w:r>
        <w:rPr>
          <w:rFonts w:hint="eastAsia" w:eastAsia="仿宋_GB2312"/>
          <w:b w:val="0"/>
          <w:sz w:val="32"/>
          <w:szCs w:val="32"/>
          <w:lang w:val="en-US" w:eastAsia="zh-CN"/>
        </w:rPr>
        <w:t>87.12万元以内，</w:t>
      </w:r>
      <w:r>
        <w:rPr>
          <w:rFonts w:hint="eastAsia" w:ascii="仿宋_GB2312" w:eastAsia="仿宋_GB2312"/>
          <w:b w:val="0"/>
          <w:sz w:val="32"/>
        </w:rPr>
        <w:t>该项目申请资金总预算</w:t>
      </w:r>
      <w:r>
        <w:rPr>
          <w:rFonts w:hint="eastAsia" w:ascii="仿宋_GB2312" w:eastAsia="仿宋_GB2312"/>
          <w:b w:val="0"/>
          <w:sz w:val="32"/>
          <w:u w:val="none" w:color="auto"/>
        </w:rPr>
        <w:t xml:space="preserve"> </w:t>
      </w:r>
      <w:r>
        <w:rPr>
          <w:rFonts w:hint="eastAsia" w:eastAsia="仿宋_GB2312"/>
          <w:b w:val="0"/>
          <w:sz w:val="32"/>
          <w:szCs w:val="32"/>
          <w:lang w:val="en-US" w:eastAsia="zh-CN"/>
        </w:rPr>
        <w:t>87.12</w:t>
      </w:r>
      <w:r>
        <w:rPr>
          <w:rFonts w:hint="eastAsia" w:ascii="仿宋_GB2312" w:eastAsia="仿宋_GB2312"/>
          <w:b w:val="0"/>
          <w:sz w:val="32"/>
        </w:rPr>
        <w:t>万元，经评审，建议预算申报数</w:t>
      </w:r>
      <w:r>
        <w:rPr>
          <w:rFonts w:hint="eastAsia" w:eastAsia="仿宋_GB2312"/>
          <w:b w:val="0"/>
          <w:sz w:val="32"/>
          <w:szCs w:val="32"/>
          <w:lang w:val="en-US" w:eastAsia="zh-CN"/>
        </w:rPr>
        <w:t>87.12</w:t>
      </w:r>
      <w:r>
        <w:rPr>
          <w:rFonts w:hint="eastAsia" w:ascii="仿宋_GB2312" w:eastAsia="仿宋_GB2312"/>
          <w:b w:val="0"/>
          <w:sz w:val="32"/>
        </w:rPr>
        <w:t>万元我单位将进一步</w:t>
      </w:r>
      <w:r>
        <w:rPr>
          <w:rFonts w:hint="eastAsia" w:ascii="仿宋_GB2312" w:eastAsia="仿宋_GB2312"/>
          <w:b w:val="0"/>
          <w:sz w:val="32"/>
          <w:u w:val="none"/>
        </w:rPr>
        <w:t>优化完善实施方案和绩效目标，加强运行监控，节约财政资金并提升资金效益，提升预算绩效管理水平</w:t>
      </w:r>
      <w:r>
        <w:rPr>
          <w:rFonts w:hint="eastAsia" w:ascii="仿宋_GB2312" w:eastAsia="仿宋_GB2312"/>
          <w:b w:val="0"/>
          <w:sz w:val="32"/>
          <w:u w:val="none"/>
          <w:lang w:eastAsia="zh-CN"/>
        </w:rPr>
        <w:t>。</w:t>
      </w:r>
    </w:p>
    <w:p w14:paraId="010FC9CC">
      <w:pPr>
        <w:pageBreakBefore w:val="0"/>
        <w:numPr>
          <w:ilvl w:val="0"/>
          <w:numId w:val="0"/>
        </w:numPr>
        <w:kinsoku/>
        <w:wordWrap/>
        <w:overflowPunct/>
        <w:topLinePunct w:val="0"/>
        <w:autoSpaceDE/>
        <w:autoSpaceDN/>
        <w:bidi w:val="0"/>
        <w:spacing w:line="560" w:lineRule="exact"/>
        <w:ind w:firstLine="640" w:firstLineChars="200"/>
        <w:rPr>
          <w:rFonts w:hint="eastAsia" w:ascii="黑体" w:eastAsia="仿宋_GB2312"/>
          <w:b w:val="0"/>
          <w:sz w:val="32"/>
          <w:szCs w:val="32"/>
        </w:rPr>
      </w:pPr>
      <w:r>
        <w:rPr>
          <w:rFonts w:hint="eastAsia" w:ascii="黑体" w:eastAsia="仿宋_GB2312"/>
          <w:b w:val="0"/>
          <w:sz w:val="32"/>
          <w:szCs w:val="32"/>
          <w:lang w:eastAsia="zh-CN"/>
        </w:rPr>
        <w:t>（</w:t>
      </w:r>
      <w:r>
        <w:rPr>
          <w:rFonts w:hint="eastAsia" w:ascii="黑体" w:eastAsia="仿宋_GB2312"/>
          <w:b w:val="0"/>
          <w:sz w:val="32"/>
          <w:szCs w:val="32"/>
          <w:lang w:val="en-US" w:eastAsia="zh-CN"/>
        </w:rPr>
        <w:t>六</w:t>
      </w:r>
      <w:r>
        <w:rPr>
          <w:rFonts w:hint="eastAsia" w:ascii="黑体" w:eastAsia="仿宋_GB2312"/>
          <w:b w:val="0"/>
          <w:sz w:val="32"/>
          <w:szCs w:val="32"/>
          <w:lang w:eastAsia="zh-CN"/>
        </w:rPr>
        <w:t>）</w:t>
      </w:r>
      <w:r>
        <w:rPr>
          <w:rFonts w:hint="eastAsia" w:ascii="黑体" w:eastAsia="仿宋_GB2312"/>
          <w:b w:val="0"/>
          <w:sz w:val="32"/>
          <w:szCs w:val="32"/>
        </w:rPr>
        <w:t>其它说明事项</w:t>
      </w:r>
    </w:p>
    <w:p w14:paraId="7BE7F0DC">
      <w:pPr>
        <w:pageBreakBefore w:val="0"/>
        <w:kinsoku/>
        <w:wordWrap/>
        <w:overflowPunct/>
        <w:topLinePunct w:val="0"/>
        <w:autoSpaceDE/>
        <w:autoSpaceDN/>
        <w:bidi w:val="0"/>
        <w:spacing w:line="560" w:lineRule="exact"/>
        <w:rPr>
          <w:rFonts w:hint="eastAsia" w:eastAsia="仿宋_GB2312"/>
          <w:b w:val="0"/>
          <w:sz w:val="32"/>
        </w:rPr>
      </w:pPr>
      <w:r>
        <w:rPr>
          <w:rFonts w:hint="eastAsia" w:ascii="仿宋_GB2312" w:hAnsi="Times New Roman" w:eastAsia="仿宋_GB2312" w:cs="Times New Roman"/>
          <w:b w:val="0"/>
          <w:kern w:val="2"/>
          <w:sz w:val="32"/>
          <w:szCs w:val="32"/>
          <w:lang w:val="en-US" w:eastAsia="zh-CN" w:bidi="ar-SA"/>
        </w:rPr>
        <w:t xml:space="preserve">    </w:t>
      </w:r>
      <w:r>
        <w:rPr>
          <w:rFonts w:hint="eastAsia" w:ascii="仿宋_GB2312" w:hAnsi="仿宋_GB2312" w:eastAsia="仿宋_GB2312" w:cs="仿宋_GB2312"/>
          <w:b w:val="0"/>
          <w:sz w:val="32"/>
          <w:szCs w:val="32"/>
        </w:rPr>
        <w:t>该项目预算编制真实完整，预算编制内容科学合理、明确细化，与绩效目标、实施方案紧密衔接，预算标准依据充分、测算准确</w:t>
      </w:r>
      <w:r>
        <w:rPr>
          <w:rFonts w:hint="eastAsia" w:ascii="仿宋_GB2312" w:hAnsi="仿宋_GB2312" w:eastAsia="仿宋_GB2312" w:cs="仿宋_GB2312"/>
          <w:b w:val="0"/>
          <w:sz w:val="32"/>
          <w:szCs w:val="32"/>
          <w:lang w:eastAsia="zh-CN"/>
        </w:rPr>
        <w:t>。</w:t>
      </w:r>
    </w:p>
    <w:p w14:paraId="293C2232">
      <w:pPr>
        <w:pageBreakBefore w:val="0"/>
        <w:kinsoku/>
        <w:wordWrap/>
        <w:overflowPunct/>
        <w:topLinePunct w:val="0"/>
        <w:autoSpaceDE/>
        <w:autoSpaceDN/>
        <w:bidi w:val="0"/>
        <w:spacing w:line="560" w:lineRule="exact"/>
        <w:ind w:firstLine="640" w:firstLineChars="200"/>
        <w:rPr>
          <w:rFonts w:hint="eastAsia" w:ascii="仿宋_GB2312" w:hAnsi="宋体" w:eastAsia="仿宋_GB2312" w:cs="Times New Roman"/>
          <w:b w:val="0"/>
          <w:bCs/>
          <w:color w:val="C00000"/>
          <w:sz w:val="32"/>
          <w:szCs w:val="32"/>
          <w:lang w:val="zh-CN" w:eastAsia="zh-CN"/>
        </w:rPr>
      </w:pPr>
      <w:r>
        <w:rPr>
          <w:rFonts w:hint="eastAsia" w:ascii="仿宋_GB2312" w:eastAsia="仿宋_GB2312" w:cs="仿宋_GB2312"/>
          <w:b w:val="0"/>
          <w:bCs/>
          <w:color w:val="C00000"/>
          <w:sz w:val="32"/>
          <w:szCs w:val="32"/>
          <w:lang w:val="en-US" w:eastAsia="zh-CN"/>
        </w:rPr>
        <w:t>重点项目2：</w:t>
      </w:r>
      <w:r>
        <w:rPr>
          <w:rFonts w:hint="eastAsia" w:ascii="仿宋_GB2312" w:hAnsi="宋体" w:eastAsia="仿宋_GB2312" w:cs="Times New Roman"/>
          <w:b w:val="0"/>
          <w:bCs/>
          <w:color w:val="C00000"/>
          <w:sz w:val="32"/>
          <w:szCs w:val="32"/>
          <w:lang w:val="zh-CN" w:eastAsia="zh-CN"/>
        </w:rPr>
        <w:t>长寿老人</w:t>
      </w:r>
    </w:p>
    <w:p w14:paraId="110EA1E0">
      <w:pPr>
        <w:pageBreakBefore w:val="0"/>
        <w:kinsoku/>
        <w:wordWrap/>
        <w:overflowPunct/>
        <w:topLinePunct w:val="0"/>
        <w:autoSpaceDE/>
        <w:autoSpaceDN/>
        <w:bidi w:val="0"/>
        <w:spacing w:line="560" w:lineRule="exact"/>
        <w:ind w:firstLine="640" w:firstLineChars="200"/>
        <w:rPr>
          <w:rFonts w:hint="eastAsia" w:ascii="仿宋_GB2312" w:eastAsia="仿宋_GB2312" w:cs="仿宋_GB2312"/>
          <w:b w:val="0"/>
          <w:sz w:val="32"/>
          <w:szCs w:val="32"/>
          <w:lang w:val="en-US" w:eastAsia="zh-CN"/>
        </w:rPr>
      </w:pPr>
      <w:r>
        <w:rPr>
          <w:rFonts w:hint="eastAsia" w:ascii="仿宋_GB2312" w:eastAsia="仿宋_GB2312" w:cs="仿宋_GB2312"/>
          <w:b w:val="0"/>
          <w:sz w:val="32"/>
          <w:szCs w:val="32"/>
          <w:lang w:val="en-US" w:eastAsia="zh-CN"/>
        </w:rPr>
        <w:t>项目年度绩效目标：</w:t>
      </w:r>
      <w:r>
        <w:rPr>
          <w:rFonts w:hint="eastAsia" w:ascii="仿宋_GB2312" w:hAnsi="宋体" w:eastAsia="仿宋_GB2312" w:cs="Times New Roman"/>
          <w:b w:val="0"/>
          <w:sz w:val="32"/>
          <w:szCs w:val="32"/>
          <w:lang w:val="zh-CN"/>
        </w:rPr>
        <w:t>80周岁及以上高龄津贴政策的实施，使老年人享有最基本的养老保障，在一定程度上解决他们因年老体弱、丧失劳动能力、生存条件恶劣带来的许多实际困难，让长寿老人在生活上得到了基本生活保障，从而改善他们的生活和生活条件。</w:t>
      </w:r>
    </w:p>
    <w:p w14:paraId="7D941FD5">
      <w:pPr>
        <w:pageBreakBefore w:val="0"/>
        <w:widowControl/>
        <w:kinsoku/>
        <w:wordWrap/>
        <w:overflowPunct/>
        <w:topLinePunct w:val="0"/>
        <w:autoSpaceDE/>
        <w:autoSpaceDN/>
        <w:bidi w:val="0"/>
        <w:spacing w:line="560" w:lineRule="exact"/>
        <w:ind w:firstLine="640" w:firstLineChars="200"/>
        <w:jc w:val="left"/>
        <w:rPr>
          <w:rFonts w:hint="eastAsia" w:ascii="仿宋_GB2312" w:hAnsi="宋体" w:eastAsia="仿宋_GB2312" w:cs="Times New Roman"/>
          <w:b w:val="0"/>
          <w:sz w:val="32"/>
          <w:szCs w:val="32"/>
          <w:lang w:val="zh-CN"/>
        </w:rPr>
      </w:pPr>
      <w:r>
        <w:rPr>
          <w:rFonts w:hint="eastAsia" w:ascii="仿宋_GB2312" w:eastAsia="仿宋_GB2312" w:cs="仿宋_GB2312"/>
          <w:b w:val="0"/>
          <w:sz w:val="32"/>
          <w:szCs w:val="32"/>
          <w:lang w:val="en-US" w:eastAsia="zh-CN"/>
        </w:rPr>
        <w:t>绩效指标设置情况：</w:t>
      </w:r>
      <w:r>
        <w:rPr>
          <w:rFonts w:hint="eastAsia" w:ascii="仿宋_GB2312" w:hAnsi="宋体" w:eastAsia="仿宋_GB2312" w:cs="Times New Roman"/>
          <w:b w:val="0"/>
          <w:sz w:val="32"/>
          <w:szCs w:val="32"/>
          <w:lang w:val="zh-CN"/>
        </w:rPr>
        <w:t>根据《中华人民共和国老年人权益保障法》、阿府办发〔2012〕42、阿州民政〔2018〕175号文件精神,凡符合80周岁至89周岁老年人80元/人·月；90周岁至99周岁老年人150元/人·月；100周岁以上老年人400元/人·月，春节慰问金每人1000元。金委办[2015]39号发《金川县关于增加90周岁以上高龄老人生活补助的实施方案的通知》精神，90周岁老年人1000元/人·月,90-99周岁每增加一岁，每人补助增加100元/月；年满100周岁老年人2000元/人·月，100周岁以上，每人补助增加200元/月。（年满90周岁以上且有工资收入的老年人除外，享受90周岁至99周岁老年人150元/人·月；100周岁以上老年人400元/人·月）</w:t>
      </w:r>
    </w:p>
    <w:p w14:paraId="436C48E0">
      <w:pPr>
        <w:pageBreakBefore w:val="0"/>
        <w:widowControl/>
        <w:kinsoku/>
        <w:wordWrap/>
        <w:overflowPunct/>
        <w:topLinePunct w:val="0"/>
        <w:autoSpaceDE/>
        <w:autoSpaceDN/>
        <w:bidi w:val="0"/>
        <w:spacing w:line="560" w:lineRule="exact"/>
        <w:ind w:firstLine="640" w:firstLineChars="200"/>
        <w:jc w:val="left"/>
        <w:rPr>
          <w:rFonts w:hint="default" w:ascii="仿宋_GB2312" w:hAnsi="宋体" w:eastAsia="仿宋_GB2312" w:cs="Times New Roman"/>
          <w:b w:val="0"/>
          <w:sz w:val="32"/>
          <w:szCs w:val="32"/>
          <w:lang w:val="en-US" w:eastAsia="zh-CN"/>
        </w:rPr>
      </w:pPr>
      <w:r>
        <w:rPr>
          <w:rFonts w:hint="eastAsia" w:ascii="仿宋_GB2312" w:hAnsi="宋体" w:eastAsia="仿宋_GB2312" w:cs="Times New Roman"/>
          <w:b w:val="0"/>
          <w:sz w:val="32"/>
          <w:szCs w:val="32"/>
          <w:lang w:val="en-US" w:eastAsia="zh-CN"/>
        </w:rPr>
        <w:t>2、2025年长寿老人生活补贴预算2517人，标准80-3000元/人，资金为487.17万元，县级配套资金为406.45万元。</w:t>
      </w:r>
    </w:p>
    <w:p w14:paraId="3E9F2C24">
      <w:pPr>
        <w:pageBreakBefore w:val="0"/>
        <w:kinsoku/>
        <w:wordWrap/>
        <w:overflowPunct/>
        <w:topLinePunct w:val="0"/>
        <w:autoSpaceDE/>
        <w:autoSpaceDN/>
        <w:bidi w:val="0"/>
        <w:snapToGrid w:val="0"/>
        <w:spacing w:line="560" w:lineRule="exact"/>
        <w:ind w:firstLine="640" w:firstLineChars="200"/>
        <w:rPr>
          <w:rFonts w:ascii="黑体" w:eastAsia="仿宋_GB2312"/>
          <w:b w:val="0"/>
          <w:sz w:val="32"/>
          <w:szCs w:val="32"/>
        </w:rPr>
      </w:pPr>
      <w:r>
        <w:rPr>
          <w:rFonts w:hint="eastAsia" w:ascii="仿宋_GB2312" w:hAnsi="仿宋_GB2312" w:eastAsia="仿宋_GB2312" w:cs="仿宋_GB2312"/>
          <w:b w:val="0"/>
          <w:bCs/>
          <w:color w:val="auto"/>
          <w:sz w:val="32"/>
          <w:szCs w:val="32"/>
          <w:highlight w:val="none"/>
          <w:lang w:val="en-US" w:eastAsia="zh-CN"/>
        </w:rPr>
        <w:t>（一）评估原则</w:t>
      </w:r>
    </w:p>
    <w:p w14:paraId="79E71FFA">
      <w:pPr>
        <w:pageBreakBefore w:val="0"/>
        <w:numPr>
          <w:ilvl w:val="0"/>
          <w:numId w:val="0"/>
        </w:numPr>
        <w:kinsoku/>
        <w:wordWrap/>
        <w:overflowPunct/>
        <w:topLinePunct w:val="0"/>
        <w:autoSpaceDE/>
        <w:autoSpaceDN/>
        <w:bidi w:val="0"/>
        <w:spacing w:line="560" w:lineRule="exact"/>
        <w:ind w:firstLine="640" w:firstLineChars="200"/>
        <w:outlineLvl w:val="0"/>
        <w:rPr>
          <w:rFonts w:hint="eastAsia" w:ascii="仿宋_GB2312" w:hAnsi="仿宋_GB2312" w:eastAsia="仿宋_GB2312" w:cs="仿宋_GB2312"/>
          <w:b w:val="0"/>
          <w:bCs/>
          <w:color w:val="auto"/>
          <w:kern w:val="2"/>
          <w:sz w:val="32"/>
          <w:szCs w:val="32"/>
          <w:highlight w:val="none"/>
          <w:lang w:val="en-US" w:eastAsia="zh-CN"/>
        </w:rPr>
      </w:pPr>
      <w:r>
        <w:rPr>
          <w:rFonts w:hint="eastAsia" w:ascii="仿宋_GB2312" w:hAnsi="仿宋_GB2312" w:eastAsia="仿宋_GB2312" w:cs="仿宋_GB2312"/>
          <w:b w:val="0"/>
          <w:bCs/>
          <w:color w:val="auto"/>
          <w:kern w:val="2"/>
          <w:sz w:val="32"/>
          <w:szCs w:val="32"/>
          <w:highlight w:val="none"/>
          <w:lang w:val="en-US" w:eastAsia="zh-CN"/>
        </w:rPr>
        <w:t>根据2025年预算编制要求，绩效评估本着真正过紧日子的原则，厉行节约、精打细算，从严从紧控制项目申报和预算安排，非必要项目和工作内容可压尽压、应压尽压，做到客观、绩效、精准。</w:t>
      </w:r>
    </w:p>
    <w:p w14:paraId="11B24F27">
      <w:pPr>
        <w:pageBreakBefore w:val="0"/>
        <w:kinsoku/>
        <w:wordWrap/>
        <w:overflowPunct/>
        <w:topLinePunct w:val="0"/>
        <w:autoSpaceDE/>
        <w:autoSpaceDN/>
        <w:bidi w:val="0"/>
        <w:snapToGrid w:val="0"/>
        <w:spacing w:line="560" w:lineRule="exact"/>
        <w:ind w:firstLine="640" w:firstLineChars="200"/>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（二）评估目的</w:t>
      </w:r>
    </w:p>
    <w:p w14:paraId="2EC5A6F2">
      <w:pPr>
        <w:pageBreakBefore w:val="0"/>
        <w:numPr>
          <w:ilvl w:val="0"/>
          <w:numId w:val="0"/>
        </w:numPr>
        <w:kinsoku/>
        <w:wordWrap/>
        <w:overflowPunct/>
        <w:topLinePunct w:val="0"/>
        <w:autoSpaceDE/>
        <w:autoSpaceDN/>
        <w:bidi w:val="0"/>
        <w:spacing w:line="560" w:lineRule="exact"/>
        <w:ind w:firstLine="640" w:firstLineChars="200"/>
        <w:outlineLvl w:val="0"/>
        <w:rPr>
          <w:rFonts w:hint="eastAsia" w:ascii="仿宋_GB2312" w:hAnsi="仿宋_GB2312" w:eastAsia="仿宋_GB2312" w:cs="仿宋_GB2312"/>
          <w:b w:val="0"/>
          <w:bCs/>
          <w:color w:val="auto"/>
          <w:kern w:val="2"/>
          <w:sz w:val="32"/>
          <w:szCs w:val="32"/>
          <w:highlight w:val="none"/>
          <w:lang w:val="en-US" w:eastAsia="zh-CN"/>
        </w:rPr>
      </w:pPr>
      <w:r>
        <w:rPr>
          <w:rFonts w:hint="eastAsia" w:ascii="仿宋_GB2312" w:hAnsi="仿宋_GB2312" w:eastAsia="仿宋_GB2312" w:cs="仿宋_GB2312"/>
          <w:b w:val="0"/>
          <w:bCs/>
          <w:color w:val="auto"/>
          <w:kern w:val="2"/>
          <w:sz w:val="32"/>
          <w:szCs w:val="32"/>
          <w:highlight w:val="none"/>
          <w:lang w:val="en-US" w:eastAsia="zh-CN"/>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0FA98751">
      <w:pPr>
        <w:pageBreakBefore w:val="0"/>
        <w:kinsoku/>
        <w:wordWrap/>
        <w:overflowPunct/>
        <w:topLinePunct w:val="0"/>
        <w:autoSpaceDE/>
        <w:autoSpaceDN/>
        <w:bidi w:val="0"/>
        <w:snapToGrid w:val="0"/>
        <w:spacing w:line="560" w:lineRule="exact"/>
        <w:ind w:firstLine="640" w:firstLineChars="200"/>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（三）评估方式和方法</w:t>
      </w:r>
    </w:p>
    <w:p w14:paraId="4366EE1A">
      <w:pPr>
        <w:pageBreakBefore w:val="0"/>
        <w:numPr>
          <w:ilvl w:val="0"/>
          <w:numId w:val="0"/>
        </w:numPr>
        <w:kinsoku/>
        <w:wordWrap/>
        <w:overflowPunct/>
        <w:topLinePunct w:val="0"/>
        <w:autoSpaceDE/>
        <w:autoSpaceDN/>
        <w:bidi w:val="0"/>
        <w:spacing w:line="560" w:lineRule="exact"/>
        <w:ind w:firstLine="640" w:firstLineChars="200"/>
        <w:outlineLvl w:val="0"/>
        <w:rPr>
          <w:rFonts w:hint="eastAsia" w:ascii="仿宋_GB2312" w:hAnsi="仿宋_GB2312" w:eastAsia="仿宋_GB2312" w:cs="仿宋_GB2312"/>
          <w:b w:val="0"/>
          <w:bCs w:val="0"/>
          <w:color w:val="auto"/>
          <w:kern w:val="2"/>
          <w:sz w:val="32"/>
          <w:szCs w:val="32"/>
          <w:highlight w:val="none"/>
          <w:lang w:val="en-US" w:eastAsia="zh-CN"/>
        </w:rPr>
      </w:pPr>
      <w:r>
        <w:rPr>
          <w:rFonts w:hint="eastAsia" w:ascii="仿宋_GB2312" w:hAnsi="仿宋_GB2312" w:eastAsia="仿宋_GB2312" w:cs="仿宋_GB2312"/>
          <w:b w:val="0"/>
          <w:bCs w:val="0"/>
          <w:color w:val="auto"/>
          <w:kern w:val="2"/>
          <w:sz w:val="32"/>
          <w:szCs w:val="32"/>
          <w:highlight w:val="none"/>
          <w:lang w:val="en-US" w:eastAsia="zh-CN"/>
        </w:rPr>
        <w:t>1、评估方式</w:t>
      </w:r>
    </w:p>
    <w:p w14:paraId="56610486">
      <w:pPr>
        <w:pageBreakBefore w:val="0"/>
        <w:numPr>
          <w:ilvl w:val="0"/>
          <w:numId w:val="0"/>
        </w:numPr>
        <w:kinsoku/>
        <w:wordWrap/>
        <w:overflowPunct/>
        <w:topLinePunct w:val="0"/>
        <w:autoSpaceDE/>
        <w:autoSpaceDN/>
        <w:bidi w:val="0"/>
        <w:spacing w:line="560" w:lineRule="exact"/>
        <w:ind w:firstLine="640" w:firstLineChars="200"/>
        <w:outlineLvl w:val="0"/>
        <w:rPr>
          <w:rFonts w:hint="eastAsia" w:ascii="仿宋_GB2312" w:hAnsi="仿宋_GB2312" w:eastAsia="仿宋_GB2312" w:cs="仿宋_GB2312"/>
          <w:b w:val="0"/>
          <w:bCs/>
          <w:color w:val="auto"/>
          <w:kern w:val="2"/>
          <w:sz w:val="32"/>
          <w:szCs w:val="32"/>
          <w:highlight w:val="none"/>
          <w:lang w:val="en-US" w:eastAsia="zh-CN"/>
        </w:rPr>
      </w:pPr>
      <w:r>
        <w:rPr>
          <w:rFonts w:hint="eastAsia" w:ascii="仿宋_GB2312" w:hAnsi="仿宋_GB2312" w:eastAsia="仿宋_GB2312" w:cs="仿宋_GB2312"/>
          <w:b w:val="0"/>
          <w:bCs/>
          <w:color w:val="auto"/>
          <w:kern w:val="2"/>
          <w:sz w:val="32"/>
          <w:szCs w:val="32"/>
          <w:highlight w:val="none"/>
          <w:lang w:val="en-US" w:eastAsia="zh-CN"/>
        </w:rPr>
        <w:t>按照有关规定和工作安排，我单位开展自行评估，通过电话咨询、召开座谈会、问卷调查等方式，收集被评估项目相关基础资料，查阅资料、收集数据信息等，深入论证分析后，形成绩效评估报告。</w:t>
      </w:r>
    </w:p>
    <w:p w14:paraId="091560C1">
      <w:pPr>
        <w:pageBreakBefore w:val="0"/>
        <w:numPr>
          <w:ilvl w:val="0"/>
          <w:numId w:val="0"/>
        </w:numPr>
        <w:kinsoku/>
        <w:wordWrap/>
        <w:overflowPunct/>
        <w:topLinePunct w:val="0"/>
        <w:autoSpaceDE/>
        <w:autoSpaceDN/>
        <w:bidi w:val="0"/>
        <w:spacing w:line="560" w:lineRule="exact"/>
        <w:ind w:firstLine="640" w:firstLineChars="200"/>
        <w:outlineLvl w:val="0"/>
        <w:rPr>
          <w:rFonts w:hint="eastAsia" w:ascii="仿宋_GB2312" w:hAnsi="仿宋_GB2312" w:eastAsia="仿宋_GB2312" w:cs="仿宋_GB2312"/>
          <w:b w:val="0"/>
          <w:bCs w:val="0"/>
          <w:color w:val="auto"/>
          <w:kern w:val="2"/>
          <w:sz w:val="32"/>
          <w:szCs w:val="32"/>
          <w:highlight w:val="none"/>
          <w:lang w:val="en-US" w:eastAsia="zh-CN"/>
        </w:rPr>
      </w:pPr>
      <w:r>
        <w:rPr>
          <w:rFonts w:hint="eastAsia" w:ascii="仿宋_GB2312" w:hAnsi="仿宋_GB2312" w:eastAsia="仿宋_GB2312" w:cs="仿宋_GB2312"/>
          <w:b w:val="0"/>
          <w:bCs w:val="0"/>
          <w:color w:val="auto"/>
          <w:kern w:val="2"/>
          <w:sz w:val="32"/>
          <w:szCs w:val="32"/>
          <w:highlight w:val="none"/>
          <w:lang w:val="en-US" w:eastAsia="zh-CN"/>
        </w:rPr>
        <w:t>2、评估方法</w:t>
      </w:r>
    </w:p>
    <w:p w14:paraId="72D613F4">
      <w:pPr>
        <w:pageBreakBefore w:val="0"/>
        <w:numPr>
          <w:ilvl w:val="0"/>
          <w:numId w:val="0"/>
        </w:numPr>
        <w:kinsoku/>
        <w:wordWrap/>
        <w:overflowPunct/>
        <w:topLinePunct w:val="0"/>
        <w:autoSpaceDE/>
        <w:autoSpaceDN/>
        <w:bidi w:val="0"/>
        <w:spacing w:line="560" w:lineRule="exact"/>
        <w:ind w:firstLine="640" w:firstLineChars="200"/>
        <w:outlineLvl w:val="0"/>
        <w:rPr>
          <w:rFonts w:hint="eastAsia" w:ascii="仿宋_GB2312" w:hAnsi="仿宋_GB2312" w:eastAsia="仿宋_GB2312" w:cs="仿宋_GB2312"/>
          <w:b w:val="0"/>
          <w:bCs/>
          <w:color w:val="auto"/>
          <w:kern w:val="2"/>
          <w:sz w:val="32"/>
          <w:szCs w:val="32"/>
          <w:highlight w:val="none"/>
          <w:lang w:val="en-US" w:eastAsia="zh-CN"/>
        </w:rPr>
      </w:pPr>
      <w:r>
        <w:rPr>
          <w:rFonts w:hint="eastAsia" w:ascii="仿宋_GB2312" w:hAnsi="仿宋_GB2312" w:eastAsia="仿宋_GB2312" w:cs="仿宋_GB2312"/>
          <w:b w:val="0"/>
          <w:bCs/>
          <w:color w:val="auto"/>
          <w:kern w:val="2"/>
          <w:sz w:val="32"/>
          <w:szCs w:val="32"/>
          <w:highlight w:val="none"/>
          <w:lang w:val="en-US" w:eastAsia="zh-CN"/>
        </w:rPr>
        <w:t>本项目通过与项目相关人员座谈或讨论、市场调研等方法了解项目情况，收集相关资料，综合分析相关情况后，对项目的立项必要性、投入经济性、目标合理性、方案可行性以及筹资合规性实施评估。</w:t>
      </w:r>
    </w:p>
    <w:p w14:paraId="4A4A8011">
      <w:pPr>
        <w:pageBreakBefore w:val="0"/>
        <w:kinsoku/>
        <w:wordWrap/>
        <w:overflowPunct/>
        <w:topLinePunct w:val="0"/>
        <w:autoSpaceDE/>
        <w:autoSpaceDN/>
        <w:bidi w:val="0"/>
        <w:snapToGrid w:val="0"/>
        <w:spacing w:line="560" w:lineRule="exact"/>
        <w:ind w:firstLine="640" w:firstLineChars="200"/>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（四）评估内容</w:t>
      </w:r>
    </w:p>
    <w:p w14:paraId="591F4F0E">
      <w:pPr>
        <w:pageBreakBefore w:val="0"/>
        <w:numPr>
          <w:ilvl w:val="0"/>
          <w:numId w:val="0"/>
        </w:numPr>
        <w:kinsoku/>
        <w:wordWrap/>
        <w:overflowPunct/>
        <w:topLinePunct w:val="0"/>
        <w:autoSpaceDE/>
        <w:autoSpaceDN/>
        <w:bidi w:val="0"/>
        <w:spacing w:line="560" w:lineRule="exact"/>
        <w:ind w:firstLine="640" w:firstLineChars="200"/>
        <w:outlineLvl w:val="0"/>
        <w:rPr>
          <w:rFonts w:hint="eastAsia" w:ascii="仿宋_GB2312" w:hAnsi="仿宋_GB2312" w:eastAsia="仿宋_GB2312" w:cs="仿宋_GB2312"/>
          <w:b w:val="0"/>
          <w:bCs w:val="0"/>
          <w:color w:val="auto"/>
          <w:kern w:val="2"/>
          <w:sz w:val="32"/>
          <w:szCs w:val="32"/>
          <w:highlight w:val="none"/>
          <w:lang w:val="en-US" w:eastAsia="zh-CN"/>
        </w:rPr>
      </w:pPr>
      <w:r>
        <w:rPr>
          <w:rFonts w:hint="eastAsia" w:ascii="仿宋_GB2312" w:hAnsi="仿宋_GB2312" w:eastAsia="仿宋_GB2312" w:cs="仿宋_GB2312"/>
          <w:b w:val="0"/>
          <w:bCs w:val="0"/>
          <w:color w:val="auto"/>
          <w:kern w:val="2"/>
          <w:sz w:val="32"/>
          <w:szCs w:val="32"/>
          <w:highlight w:val="none"/>
          <w:lang w:val="en-US" w:eastAsia="zh-CN"/>
        </w:rPr>
        <w:t>1、立项必要性</w:t>
      </w:r>
    </w:p>
    <w:p w14:paraId="333F8FE0">
      <w:pPr>
        <w:pageBreakBefore w:val="0"/>
        <w:numPr>
          <w:ilvl w:val="0"/>
          <w:numId w:val="0"/>
        </w:numPr>
        <w:kinsoku/>
        <w:wordWrap/>
        <w:overflowPunct/>
        <w:topLinePunct w:val="0"/>
        <w:autoSpaceDE/>
        <w:autoSpaceDN/>
        <w:bidi w:val="0"/>
        <w:spacing w:line="560" w:lineRule="exact"/>
        <w:ind w:firstLine="640" w:firstLineChars="200"/>
        <w:outlineLvl w:val="0"/>
        <w:rPr>
          <w:rFonts w:hint="eastAsia" w:ascii="Times New Roman" w:hAnsi="Times New Roman" w:eastAsia="仿宋_GB2312"/>
          <w:b w:val="0"/>
          <w:sz w:val="32"/>
          <w:szCs w:val="32"/>
          <w:lang w:val="en-US" w:eastAsia="zh-CN"/>
        </w:rPr>
      </w:pPr>
      <w:r>
        <w:rPr>
          <w:rFonts w:hint="eastAsia" w:ascii="仿宋_GB2312" w:hAnsi="仿宋_GB2312" w:eastAsia="仿宋_GB2312" w:cs="仿宋_GB2312"/>
          <w:b w:val="0"/>
          <w:sz w:val="32"/>
          <w:szCs w:val="32"/>
          <w:lang w:val="zh-CN" w:eastAsia="zh-CN"/>
        </w:rPr>
        <w:t>根据</w:t>
      </w:r>
      <w:r>
        <w:rPr>
          <w:rFonts w:hint="eastAsia" w:ascii="仿宋_GB2312" w:hAnsi="仿宋_GB2312" w:eastAsia="仿宋_GB2312" w:cs="仿宋_GB2312"/>
          <w:b w:val="0"/>
          <w:sz w:val="32"/>
          <w:szCs w:val="32"/>
          <w:lang w:val="en-US" w:eastAsia="zh-CN"/>
        </w:rPr>
        <w:t>《中华人民共和国老年人权益保障法》、阿府办发〔2012〕42号、阿州民政〔2018〕175号、金委办[2015]39号</w:t>
      </w:r>
      <w:r>
        <w:rPr>
          <w:rFonts w:hint="eastAsia" w:ascii="仿宋_GB2312" w:hAnsi="仿宋_GB2312" w:eastAsia="仿宋_GB2312" w:cs="仿宋_GB2312"/>
          <w:b w:val="0"/>
          <w:sz w:val="32"/>
          <w:szCs w:val="32"/>
          <w:lang w:val="zh-CN" w:eastAsia="zh-CN"/>
        </w:rPr>
        <w:t xml:space="preserve">文件精神， </w:t>
      </w:r>
      <w:r>
        <w:rPr>
          <w:rFonts w:hint="eastAsia" w:ascii="仿宋_GB2312" w:hAnsi="仿宋_GB2312" w:eastAsia="仿宋_GB2312" w:cs="仿宋_GB2312"/>
          <w:b w:val="0"/>
          <w:sz w:val="32"/>
          <w:szCs w:val="32"/>
          <w:lang w:val="en-US" w:eastAsia="zh-CN"/>
        </w:rPr>
        <w:t>为</w:t>
      </w:r>
      <w:r>
        <w:rPr>
          <w:rFonts w:hint="eastAsia" w:ascii="仿宋_GB2312" w:hAnsi="仿宋_GB2312" w:eastAsia="仿宋_GB2312" w:cs="仿宋_GB2312"/>
          <w:b w:val="0"/>
          <w:sz w:val="32"/>
          <w:szCs w:val="32"/>
          <w:lang w:val="zh-CN" w:eastAsia="zh-CN"/>
        </w:rPr>
        <w:t>我县</w:t>
      </w:r>
      <w:r>
        <w:rPr>
          <w:rFonts w:hint="eastAsia" w:ascii="仿宋_GB2312" w:hAnsi="仿宋_GB2312" w:eastAsia="仿宋_GB2312" w:cs="仿宋_GB2312"/>
          <w:b w:val="0"/>
          <w:sz w:val="32"/>
          <w:szCs w:val="32"/>
          <w:lang w:val="en-US" w:eastAsia="zh-CN"/>
        </w:rPr>
        <w:t>80周岁以上老年人发放高龄津贴，为百岁老人发放春节慰问金。在一定程度上解决他（她）们因年老休弱、丧失劳动能力，生存条件恶劣带来的许多实际困难，让</w:t>
      </w:r>
      <w:r>
        <w:rPr>
          <w:rFonts w:hint="eastAsia" w:ascii="仿宋_GB2312" w:hAnsi="仿宋_GB2312" w:eastAsia="仿宋_GB2312" w:cs="仿宋_GB2312"/>
          <w:b w:val="0"/>
          <w:sz w:val="32"/>
          <w:szCs w:val="32"/>
          <w:lang w:val="zh-CN" w:eastAsia="zh-CN"/>
        </w:rPr>
        <w:t>长寿老人</w:t>
      </w:r>
      <w:r>
        <w:rPr>
          <w:rFonts w:hint="eastAsia" w:ascii="仿宋_GB2312" w:hAnsi="仿宋_GB2312" w:eastAsia="仿宋_GB2312" w:cs="仿宋_GB2312"/>
          <w:b w:val="0"/>
          <w:sz w:val="32"/>
          <w:szCs w:val="32"/>
          <w:lang w:val="en-US" w:eastAsia="zh-CN"/>
        </w:rPr>
        <w:t>在生活上得到了基本生活保障，从而改善了他（她）们的生存和生活条件。</w:t>
      </w:r>
    </w:p>
    <w:p w14:paraId="7ADFE594">
      <w:pPr>
        <w:pageBreakBefore w:val="0"/>
        <w:numPr>
          <w:ilvl w:val="0"/>
          <w:numId w:val="0"/>
        </w:numPr>
        <w:kinsoku/>
        <w:wordWrap/>
        <w:overflowPunct/>
        <w:topLinePunct w:val="0"/>
        <w:autoSpaceDE/>
        <w:autoSpaceDN/>
        <w:bidi w:val="0"/>
        <w:spacing w:line="560" w:lineRule="exact"/>
        <w:ind w:firstLine="640" w:firstLineChars="200"/>
        <w:outlineLvl w:val="0"/>
        <w:rPr>
          <w:rFonts w:hint="eastAsia" w:ascii="仿宋_GB2312" w:hAnsi="仿宋_GB2312" w:eastAsia="仿宋_GB2312" w:cs="仿宋_GB2312"/>
          <w:b w:val="0"/>
          <w:bCs w:val="0"/>
          <w:color w:val="auto"/>
          <w:kern w:val="2"/>
          <w:sz w:val="32"/>
          <w:szCs w:val="32"/>
          <w:highlight w:val="none"/>
          <w:lang w:val="en-US" w:eastAsia="zh-CN"/>
        </w:rPr>
      </w:pPr>
      <w:r>
        <w:rPr>
          <w:rFonts w:hint="eastAsia" w:ascii="仿宋_GB2312" w:hAnsi="仿宋_GB2312" w:eastAsia="仿宋_GB2312" w:cs="仿宋_GB2312"/>
          <w:b w:val="0"/>
          <w:bCs w:val="0"/>
          <w:color w:val="auto"/>
          <w:kern w:val="2"/>
          <w:sz w:val="32"/>
          <w:szCs w:val="32"/>
          <w:highlight w:val="none"/>
          <w:lang w:val="en-US" w:eastAsia="zh-CN"/>
        </w:rPr>
        <w:t>2、投入经济性</w:t>
      </w:r>
    </w:p>
    <w:p w14:paraId="51C45103">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仿宋_GB2312" w:eastAsia="仿宋_GB2312"/>
          <w:b w:val="0"/>
          <w:sz w:val="32"/>
          <w:u w:val="single"/>
        </w:rPr>
      </w:pPr>
      <w:r>
        <w:rPr>
          <w:rFonts w:hint="eastAsia" w:ascii="仿宋_GB2312" w:hAnsi="宋体" w:eastAsia="仿宋_GB2312" w:cs="Times New Roman"/>
          <w:b w:val="0"/>
          <w:sz w:val="32"/>
          <w:szCs w:val="32"/>
          <w:lang w:val="en-US" w:eastAsia="zh-CN"/>
        </w:rPr>
        <w:t>2025年高龄老人生活补贴预算2577人，标准80-2600元/人，资金为485.172万元。</w:t>
      </w:r>
      <w:r>
        <w:rPr>
          <w:rFonts w:hint="eastAsia" w:ascii="仿宋_GB2312" w:eastAsia="仿宋_GB2312"/>
          <w:b w:val="0"/>
          <w:sz w:val="32"/>
        </w:rPr>
        <w:t>该项目申报预算</w:t>
      </w:r>
      <w:r>
        <w:rPr>
          <w:rFonts w:hint="eastAsia" w:ascii="仿宋_GB2312" w:eastAsia="仿宋_GB2312"/>
          <w:b w:val="0"/>
          <w:sz w:val="32"/>
          <w:szCs w:val="32"/>
          <w:lang w:val="en-US" w:eastAsia="zh-CN"/>
        </w:rPr>
        <w:t>895.48</w:t>
      </w:r>
      <w:r>
        <w:rPr>
          <w:rFonts w:hint="eastAsia" w:ascii="仿宋_GB2312" w:eastAsia="仿宋_GB2312"/>
          <w:b w:val="0"/>
          <w:sz w:val="32"/>
        </w:rPr>
        <w:t>万元，年度申报金</w:t>
      </w:r>
      <w:r>
        <w:rPr>
          <w:rFonts w:hint="eastAsia" w:ascii="仿宋_GB2312" w:eastAsia="仿宋_GB2312"/>
          <w:b w:val="0"/>
          <w:sz w:val="32"/>
          <w:szCs w:val="32"/>
        </w:rPr>
        <w:t>额为</w:t>
      </w:r>
      <w:r>
        <w:rPr>
          <w:rFonts w:hint="eastAsia" w:ascii="仿宋_GB2312" w:eastAsia="仿宋_GB2312"/>
          <w:b w:val="0"/>
          <w:sz w:val="32"/>
          <w:szCs w:val="32"/>
          <w:lang w:val="en-US" w:eastAsia="zh-CN"/>
        </w:rPr>
        <w:t>895.48</w:t>
      </w:r>
      <w:r>
        <w:rPr>
          <w:rFonts w:hint="eastAsia" w:ascii="仿宋_GB2312" w:eastAsia="仿宋_GB2312"/>
          <w:b w:val="0"/>
          <w:sz w:val="32"/>
        </w:rPr>
        <w:t>万元，具体测算过程为</w:t>
      </w:r>
      <w:r>
        <w:rPr>
          <w:rFonts w:hint="eastAsia" w:ascii="仿宋_GB2312" w:eastAsia="仿宋_GB2312"/>
          <w:b w:val="0"/>
          <w:sz w:val="32"/>
          <w:lang w:eastAsia="zh-CN"/>
        </w:rPr>
        <w:t>：</w:t>
      </w:r>
      <w:r>
        <w:rPr>
          <w:rFonts w:hint="eastAsia" w:ascii="仿宋_GB2312" w:hAnsi="Times New Roman" w:eastAsia="仿宋_GB2312" w:cs="Times New Roman"/>
          <w:b w:val="0"/>
          <w:sz w:val="32"/>
          <w:lang w:eastAsia="zh-CN"/>
        </w:rPr>
        <w:t>（</w:t>
      </w:r>
      <w:r>
        <w:rPr>
          <w:rFonts w:hint="eastAsia" w:ascii="仿宋_GB2312" w:hAnsi="Times New Roman" w:eastAsia="仿宋_GB2312" w:cs="Times New Roman"/>
          <w:b w:val="0"/>
          <w:sz w:val="32"/>
          <w:lang w:val="en-US" w:eastAsia="zh-CN"/>
        </w:rPr>
        <w:t>截至2</w:t>
      </w:r>
      <w:r>
        <w:rPr>
          <w:rFonts w:hint="eastAsia" w:ascii="仿宋_GB2312" w:eastAsia="仿宋_GB2312" w:cs="Times New Roman"/>
          <w:b w:val="0"/>
          <w:sz w:val="32"/>
          <w:lang w:val="en-US" w:eastAsia="zh-CN"/>
        </w:rPr>
        <w:t>4</w:t>
      </w:r>
      <w:r>
        <w:rPr>
          <w:rFonts w:hint="eastAsia" w:ascii="仿宋_GB2312" w:hAnsi="Times New Roman" w:eastAsia="仿宋_GB2312" w:cs="Times New Roman"/>
          <w:b w:val="0"/>
          <w:sz w:val="32"/>
          <w:lang w:val="en-US" w:eastAsia="zh-CN"/>
        </w:rPr>
        <w:t>年10月，</w:t>
      </w:r>
      <w:r>
        <w:rPr>
          <w:rFonts w:hint="eastAsia" w:ascii="仿宋" w:hAnsi="仿宋" w:eastAsia="仿宋_GB2312" w:cs="仿宋"/>
          <w:b w:val="0"/>
          <w:bCs w:val="0"/>
          <w:color w:val="auto"/>
          <w:sz w:val="32"/>
          <w:szCs w:val="32"/>
          <w:lang w:eastAsia="zh-CN"/>
        </w:rPr>
        <w:t>（80-89周岁生活补助2337*80*12=228.192万元；90-99周岁174人，每人每月1000元，每增长1岁，每人每月增加100元，需资金240.66万元：100周岁以上有6人，每人每月2000元，每增长一岁每人每月增加200元，需资金16.32万元；按照已有人员来预算共需资金485.172万元。高龄津贴按照州、县财政分级承担的办法纳入财政预算，由原资金渠道列支解决，即：80周岁至99周岁老年人每年所需的经费由州财政承担30%，各县财政承担70%。100周岁以上老年人仍按州、县财政各承担50%的标准分级承担，春节慰问金由州财政解决。1、80岁-89岁州级684576元,县级1597344元；2、90-99岁州级93960元,县级2312640元；3、100岁以上州级8640元,县级154560元。</w:t>
      </w:r>
      <w:r>
        <w:rPr>
          <w:rFonts w:hint="eastAsia" w:ascii="仿宋_GB2312" w:hAnsi="Times New Roman" w:eastAsia="仿宋_GB2312" w:cs="Times New Roman"/>
          <w:b w:val="0"/>
          <w:sz w:val="32"/>
          <w:lang w:val="en-US" w:eastAsia="zh-CN"/>
        </w:rPr>
        <w:t>）</w:t>
      </w:r>
      <w:r>
        <w:rPr>
          <w:rFonts w:hint="eastAsia" w:ascii="仿宋_GB2312" w:eastAsia="仿宋_GB2312"/>
          <w:b w:val="0"/>
          <w:sz w:val="32"/>
        </w:rPr>
        <w:t>资金来源为</w:t>
      </w:r>
      <w:r>
        <w:rPr>
          <w:rFonts w:hint="eastAsia" w:ascii="仿宋_GB2312" w:eastAsia="仿宋_GB2312"/>
          <w:b w:val="0"/>
          <w:sz w:val="32"/>
          <w:lang w:eastAsia="zh-CN"/>
        </w:rPr>
        <w:t>上级</w:t>
      </w:r>
      <w:r>
        <w:rPr>
          <w:rFonts w:hint="eastAsia" w:ascii="仿宋_GB2312" w:eastAsia="仿宋_GB2312"/>
          <w:b w:val="0"/>
          <w:sz w:val="32"/>
          <w:lang w:val="en-US" w:eastAsia="zh-CN"/>
        </w:rPr>
        <w:t>和本级</w:t>
      </w:r>
      <w:r>
        <w:rPr>
          <w:rFonts w:hint="eastAsia" w:ascii="仿宋_GB2312" w:eastAsia="仿宋_GB2312"/>
          <w:b w:val="0"/>
          <w:sz w:val="32"/>
          <w:u w:val="single"/>
        </w:rPr>
        <w:t>财政资金</w:t>
      </w:r>
      <w:r>
        <w:rPr>
          <w:rFonts w:hint="eastAsia" w:ascii="仿宋_GB2312" w:eastAsia="仿宋_GB2312"/>
          <w:b w:val="0"/>
          <w:sz w:val="32"/>
          <w:lang w:eastAsia="zh-CN"/>
        </w:rPr>
        <w:t>。</w:t>
      </w:r>
      <w:r>
        <w:rPr>
          <w:rFonts w:hint="eastAsia" w:ascii="仿宋_GB2312" w:eastAsia="仿宋_GB2312"/>
          <w:b w:val="0"/>
          <w:sz w:val="32"/>
        </w:rPr>
        <w:t>本次对项目投入经济性的评估是在项目事前绩效评估、预算测算的基础上，按照厉行节约的要求，结合项目</w:t>
      </w:r>
      <w:r>
        <w:rPr>
          <w:rFonts w:hint="eastAsia" w:ascii="仿宋_GB2312" w:eastAsia="仿宋_GB2312"/>
          <w:b w:val="0"/>
          <w:sz w:val="32"/>
          <w:lang w:eastAsia="zh-CN"/>
        </w:rPr>
        <w:t>202</w:t>
      </w:r>
      <w:r>
        <w:rPr>
          <w:rFonts w:hint="eastAsia" w:ascii="仿宋_GB2312" w:eastAsia="仿宋_GB2312"/>
          <w:b w:val="0"/>
          <w:sz w:val="32"/>
          <w:lang w:val="en-US" w:eastAsia="zh-CN"/>
        </w:rPr>
        <w:t>5</w:t>
      </w:r>
      <w:r>
        <w:rPr>
          <w:rFonts w:hint="eastAsia" w:ascii="仿宋_GB2312" w:eastAsia="仿宋_GB2312"/>
          <w:b w:val="0"/>
          <w:sz w:val="32"/>
        </w:rPr>
        <w:t>年开支情况结合实际需求、相关费用标准及市场价格水平，重点对数量是否合理、投入是否经济、预算测算是否准确、测算过程是否详细、测算依据是否充分等方面进行了评估。评估认为，该项目任务数量</w:t>
      </w:r>
      <w:r>
        <w:rPr>
          <w:rFonts w:hint="eastAsia" w:ascii="仿宋_GB2312" w:eastAsia="仿宋_GB2312"/>
          <w:b w:val="0"/>
          <w:sz w:val="32"/>
          <w:u w:val="single"/>
        </w:rPr>
        <w:t>基本合理</w:t>
      </w:r>
      <w:r>
        <w:rPr>
          <w:rFonts w:hint="eastAsia" w:ascii="仿宋_GB2312" w:eastAsia="仿宋_GB2312"/>
          <w:b w:val="0"/>
          <w:sz w:val="32"/>
        </w:rPr>
        <w:t>、预算测算过程</w:t>
      </w:r>
      <w:r>
        <w:rPr>
          <w:rFonts w:hint="eastAsia" w:ascii="仿宋_GB2312" w:eastAsia="仿宋_GB2312"/>
          <w:b w:val="0"/>
          <w:sz w:val="32"/>
          <w:u w:val="single"/>
        </w:rPr>
        <w:t>较为详细</w:t>
      </w:r>
      <w:r>
        <w:rPr>
          <w:rFonts w:hint="eastAsia" w:ascii="仿宋_GB2312" w:eastAsia="仿宋_GB2312"/>
          <w:b w:val="0"/>
          <w:sz w:val="32"/>
        </w:rPr>
        <w:t>、测算依据</w:t>
      </w:r>
      <w:r>
        <w:rPr>
          <w:rFonts w:hint="eastAsia" w:ascii="仿宋_GB2312" w:eastAsia="仿宋_GB2312"/>
          <w:b w:val="0"/>
          <w:sz w:val="32"/>
          <w:u w:val="single"/>
        </w:rPr>
        <w:t>基本充分</w:t>
      </w:r>
      <w:r>
        <w:rPr>
          <w:rFonts w:hint="eastAsia" w:ascii="仿宋_GB2312" w:eastAsia="仿宋_GB2312"/>
          <w:b w:val="0"/>
          <w:sz w:val="32"/>
        </w:rPr>
        <w:t>、</w:t>
      </w:r>
      <w:r>
        <w:rPr>
          <w:rFonts w:hint="eastAsia" w:ascii="仿宋_GB2312" w:eastAsia="仿宋_GB2312"/>
          <w:b w:val="0"/>
          <w:sz w:val="32"/>
          <w:u w:val="single"/>
        </w:rPr>
        <w:t>有一定的</w:t>
      </w:r>
      <w:r>
        <w:rPr>
          <w:rFonts w:hint="eastAsia" w:ascii="仿宋_GB2312" w:eastAsia="仿宋_GB2312"/>
          <w:b w:val="0"/>
          <w:sz w:val="32"/>
        </w:rPr>
        <w:t>经济性。建议预算控制在</w:t>
      </w:r>
      <w:r>
        <w:rPr>
          <w:rFonts w:hint="eastAsia" w:ascii="仿宋_GB2312" w:eastAsia="仿宋_GB2312"/>
          <w:b w:val="0"/>
          <w:sz w:val="32"/>
          <w:szCs w:val="32"/>
          <w:lang w:val="en-US" w:eastAsia="zh-CN"/>
        </w:rPr>
        <w:t>485.172</w:t>
      </w:r>
      <w:r>
        <w:rPr>
          <w:rFonts w:hint="eastAsia" w:ascii="仿宋_GB2312" w:eastAsia="仿宋_GB2312"/>
          <w:b w:val="0"/>
          <w:sz w:val="32"/>
          <w:szCs w:val="32"/>
        </w:rPr>
        <w:t>万元以内，与申报数相比，评减</w:t>
      </w:r>
      <w:r>
        <w:rPr>
          <w:rFonts w:hint="eastAsia" w:ascii="仿宋_GB2312" w:eastAsia="仿宋_GB2312"/>
          <w:b w:val="0"/>
          <w:sz w:val="32"/>
          <w:szCs w:val="32"/>
          <w:u w:val="single"/>
          <w:lang w:val="en-US" w:eastAsia="zh-CN"/>
        </w:rPr>
        <w:t>0</w:t>
      </w:r>
      <w:r>
        <w:rPr>
          <w:rFonts w:hint="eastAsia" w:ascii="仿宋_GB2312" w:eastAsia="仿宋_GB2312"/>
          <w:b w:val="0"/>
          <w:sz w:val="32"/>
          <w:szCs w:val="32"/>
        </w:rPr>
        <w:t>万元，评减率</w:t>
      </w:r>
      <w:r>
        <w:rPr>
          <w:rFonts w:hint="eastAsia" w:ascii="仿宋_GB2312" w:eastAsia="仿宋_GB2312"/>
          <w:b w:val="0"/>
          <w:sz w:val="32"/>
          <w:szCs w:val="32"/>
          <w:u w:val="single"/>
          <w:lang w:val="en-US" w:eastAsia="zh-CN"/>
        </w:rPr>
        <w:t>0</w:t>
      </w:r>
      <w:r>
        <w:rPr>
          <w:rFonts w:hint="eastAsia" w:ascii="仿宋_GB2312" w:eastAsia="仿宋_GB2312"/>
          <w:b w:val="0"/>
          <w:sz w:val="32"/>
          <w:szCs w:val="32"/>
        </w:rPr>
        <w:t>％（详</w:t>
      </w:r>
      <w:r>
        <w:rPr>
          <w:rFonts w:hint="eastAsia" w:ascii="仿宋_GB2312" w:eastAsia="仿宋_GB2312"/>
          <w:b w:val="0"/>
          <w:sz w:val="32"/>
        </w:rPr>
        <w:t>见下表）。</w:t>
      </w:r>
    </w:p>
    <w:p w14:paraId="713ECE1D">
      <w:pPr>
        <w:pStyle w:val="10"/>
        <w:pageBreakBefore w:val="0"/>
        <w:kinsoku/>
        <w:wordWrap/>
        <w:overflowPunct/>
        <w:topLinePunct w:val="0"/>
        <w:autoSpaceDE/>
        <w:autoSpaceDN/>
        <w:bidi w:val="0"/>
        <w:spacing w:line="560" w:lineRule="exact"/>
        <w:ind w:left="0" w:firstLine="640" w:firstLineChars="200"/>
        <w:jc w:val="center"/>
        <w:rPr>
          <w:rFonts w:hint="eastAsia" w:ascii="仿宋_GB2312" w:eastAsia="仿宋_GB2312"/>
          <w:b w:val="0"/>
          <w:sz w:val="32"/>
        </w:rPr>
      </w:pPr>
      <w:r>
        <w:rPr>
          <w:rFonts w:hint="eastAsia" w:ascii="仿宋_GB2312" w:eastAsia="仿宋_GB2312"/>
          <w:b w:val="0"/>
          <w:sz w:val="32"/>
          <w:u w:val="none"/>
          <w:lang w:val="en-US" w:eastAsia="zh-CN"/>
        </w:rPr>
        <w:t>长寿老人</w:t>
      </w:r>
      <w:r>
        <w:rPr>
          <w:rFonts w:hint="eastAsia" w:ascii="仿宋_GB2312" w:eastAsia="仿宋_GB2312"/>
          <w:b w:val="0"/>
          <w:sz w:val="32"/>
          <w:u w:val="none"/>
        </w:rPr>
        <w:t>项目事前绩效评估汇总表</w:t>
      </w:r>
      <w:r>
        <w:rPr>
          <w:rFonts w:hint="eastAsia" w:ascii="仿宋_GB2312" w:eastAsia="仿宋_GB2312"/>
          <w:b w:val="0"/>
          <w:sz w:val="32"/>
          <w:u w:val="none"/>
          <w:lang w:val="en-US" w:eastAsia="zh-CN"/>
        </w:rPr>
        <w:t xml:space="preserve">  单位：万元</w:t>
      </w:r>
    </w:p>
    <w:tbl>
      <w:tblPr>
        <w:tblStyle w:val="8"/>
        <w:tblW w:w="0" w:type="auto"/>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206"/>
        <w:gridCol w:w="1225"/>
        <w:gridCol w:w="1112"/>
        <w:gridCol w:w="1338"/>
        <w:gridCol w:w="1144"/>
        <w:gridCol w:w="1397"/>
      </w:tblGrid>
      <w:tr w14:paraId="64D74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798" w:type="dxa"/>
            <w:tcBorders>
              <w:bottom w:val="single" w:color="auto" w:sz="4" w:space="0"/>
              <w:right w:val="single" w:color="auto" w:sz="4" w:space="0"/>
            </w:tcBorders>
            <w:noWrap w:val="0"/>
            <w:vAlign w:val="top"/>
          </w:tcPr>
          <w:p w14:paraId="137E7C57">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序号</w:t>
            </w:r>
          </w:p>
        </w:tc>
        <w:tc>
          <w:tcPr>
            <w:tcW w:w="1206" w:type="dxa"/>
            <w:tcBorders>
              <w:left w:val="single" w:color="auto" w:sz="4" w:space="0"/>
              <w:bottom w:val="single" w:color="auto" w:sz="4" w:space="0"/>
              <w:right w:val="single" w:color="auto" w:sz="4" w:space="0"/>
            </w:tcBorders>
            <w:noWrap w:val="0"/>
            <w:vAlign w:val="top"/>
          </w:tcPr>
          <w:p w14:paraId="5CAD5DC4">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项目内容</w:t>
            </w:r>
          </w:p>
        </w:tc>
        <w:tc>
          <w:tcPr>
            <w:tcW w:w="1225" w:type="dxa"/>
            <w:tcBorders>
              <w:left w:val="single" w:color="auto" w:sz="4" w:space="0"/>
              <w:bottom w:val="single" w:color="auto" w:sz="4" w:space="0"/>
              <w:right w:val="single" w:color="auto" w:sz="4" w:space="0"/>
            </w:tcBorders>
            <w:noWrap w:val="0"/>
            <w:vAlign w:val="top"/>
          </w:tcPr>
          <w:p w14:paraId="50E7B350">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申报预算</w:t>
            </w:r>
          </w:p>
        </w:tc>
        <w:tc>
          <w:tcPr>
            <w:tcW w:w="1112" w:type="dxa"/>
            <w:tcBorders>
              <w:left w:val="single" w:color="auto" w:sz="4" w:space="0"/>
              <w:bottom w:val="single" w:color="auto" w:sz="4" w:space="0"/>
              <w:right w:val="single" w:color="auto" w:sz="4" w:space="0"/>
            </w:tcBorders>
            <w:noWrap w:val="0"/>
            <w:vAlign w:val="top"/>
          </w:tcPr>
          <w:p w14:paraId="37D12CF5">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送审金额</w:t>
            </w:r>
          </w:p>
        </w:tc>
        <w:tc>
          <w:tcPr>
            <w:tcW w:w="1338" w:type="dxa"/>
            <w:tcBorders>
              <w:left w:val="single" w:color="auto" w:sz="4" w:space="0"/>
              <w:bottom w:val="single" w:color="auto" w:sz="4" w:space="0"/>
              <w:right w:val="single" w:color="auto" w:sz="4" w:space="0"/>
            </w:tcBorders>
            <w:noWrap w:val="0"/>
            <w:vAlign w:val="top"/>
          </w:tcPr>
          <w:p w14:paraId="0A5ACBCD">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建议控制数</w:t>
            </w:r>
          </w:p>
        </w:tc>
        <w:tc>
          <w:tcPr>
            <w:tcW w:w="1144" w:type="dxa"/>
            <w:tcBorders>
              <w:left w:val="single" w:color="auto" w:sz="4" w:space="0"/>
              <w:bottom w:val="single" w:color="auto" w:sz="4" w:space="0"/>
              <w:right w:val="single" w:color="auto" w:sz="4" w:space="0"/>
            </w:tcBorders>
            <w:noWrap w:val="0"/>
            <w:vAlign w:val="top"/>
          </w:tcPr>
          <w:p w14:paraId="45997D17">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left="0" w:leftChars="0" w:firstLine="0" w:firstLineChars="0"/>
              <w:rPr>
                <w:rFonts w:hint="eastAsia" w:ascii="仿宋_GB2312" w:eastAsia="仿宋_GB2312"/>
                <w:b w:val="0"/>
                <w:sz w:val="32"/>
                <w:szCs w:val="21"/>
              </w:rPr>
            </w:pPr>
            <w:r>
              <w:rPr>
                <w:rFonts w:hint="eastAsia" w:ascii="仿宋_GB2312" w:eastAsia="仿宋_GB2312"/>
                <w:b w:val="0"/>
                <w:sz w:val="32"/>
                <w:szCs w:val="21"/>
              </w:rPr>
              <w:t>核减</w:t>
            </w:r>
            <w:r>
              <w:rPr>
                <w:rFonts w:hint="eastAsia" w:ascii="仿宋_GB2312" w:eastAsia="仿宋_GB2312"/>
                <w:b w:val="0"/>
                <w:sz w:val="32"/>
                <w:szCs w:val="21"/>
                <w:lang w:eastAsia="zh-CN"/>
              </w:rPr>
              <w:t>金额</w:t>
            </w:r>
          </w:p>
        </w:tc>
        <w:tc>
          <w:tcPr>
            <w:tcW w:w="1397" w:type="dxa"/>
            <w:vMerge w:val="restart"/>
            <w:tcBorders>
              <w:left w:val="single" w:color="auto" w:sz="4" w:space="0"/>
              <w:bottom w:val="single" w:color="auto" w:sz="4" w:space="0"/>
            </w:tcBorders>
            <w:noWrap w:val="0"/>
            <w:vAlign w:val="top"/>
          </w:tcPr>
          <w:p w14:paraId="14B662C4">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p w14:paraId="4545E874">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备注</w:t>
            </w:r>
          </w:p>
        </w:tc>
      </w:tr>
      <w:tr w14:paraId="4FCF7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98" w:type="dxa"/>
            <w:tcBorders>
              <w:top w:val="single" w:color="auto" w:sz="4" w:space="0"/>
              <w:bottom w:val="single" w:color="auto" w:sz="4" w:space="0"/>
              <w:right w:val="single" w:color="auto" w:sz="4" w:space="0"/>
            </w:tcBorders>
            <w:noWrap w:val="0"/>
            <w:vAlign w:val="top"/>
          </w:tcPr>
          <w:p w14:paraId="519F1CEA">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lang w:val="en-US" w:eastAsia="zh-CN"/>
              </w:rPr>
            </w:pPr>
            <w:r>
              <w:rPr>
                <w:rFonts w:hint="eastAsia" w:ascii="仿宋_GB2312" w:eastAsia="仿宋_GB2312"/>
                <w:b w:val="0"/>
                <w:sz w:val="32"/>
                <w:szCs w:val="21"/>
                <w:lang w:val="en-US" w:eastAsia="zh-CN"/>
              </w:rPr>
              <w:t>1</w:t>
            </w:r>
          </w:p>
        </w:tc>
        <w:tc>
          <w:tcPr>
            <w:tcW w:w="1206" w:type="dxa"/>
            <w:tcBorders>
              <w:top w:val="single" w:color="auto" w:sz="4" w:space="0"/>
              <w:left w:val="single" w:color="auto" w:sz="4" w:space="0"/>
              <w:bottom w:val="single" w:color="auto" w:sz="4" w:space="0"/>
              <w:right w:val="single" w:color="auto" w:sz="4" w:space="0"/>
            </w:tcBorders>
            <w:noWrap w:val="0"/>
            <w:vAlign w:val="top"/>
          </w:tcPr>
          <w:p w14:paraId="0BC7F2F8">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eastAsia="仿宋_GB2312"/>
                <w:b w:val="0"/>
                <w:sz w:val="32"/>
                <w:szCs w:val="21"/>
                <w:lang w:val="en-US" w:eastAsia="zh-CN"/>
              </w:rPr>
              <w:t>485.172</w:t>
            </w:r>
          </w:p>
        </w:tc>
        <w:tc>
          <w:tcPr>
            <w:tcW w:w="1225" w:type="dxa"/>
            <w:tcBorders>
              <w:top w:val="single" w:color="auto" w:sz="4" w:space="0"/>
              <w:left w:val="single" w:color="auto" w:sz="4" w:space="0"/>
              <w:bottom w:val="single" w:color="auto" w:sz="4" w:space="0"/>
              <w:right w:val="single" w:color="auto" w:sz="4" w:space="0"/>
            </w:tcBorders>
            <w:noWrap w:val="0"/>
            <w:vAlign w:val="top"/>
          </w:tcPr>
          <w:p w14:paraId="640B33D6">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eastAsia="仿宋_GB2312"/>
                <w:b w:val="0"/>
                <w:sz w:val="32"/>
                <w:szCs w:val="21"/>
                <w:lang w:val="en-US" w:eastAsia="zh-CN"/>
              </w:rPr>
              <w:t>485.172</w:t>
            </w:r>
          </w:p>
        </w:tc>
        <w:tc>
          <w:tcPr>
            <w:tcW w:w="1112" w:type="dxa"/>
            <w:tcBorders>
              <w:top w:val="single" w:color="auto" w:sz="4" w:space="0"/>
              <w:left w:val="single" w:color="auto" w:sz="4" w:space="0"/>
              <w:bottom w:val="single" w:color="auto" w:sz="4" w:space="0"/>
              <w:right w:val="single" w:color="auto" w:sz="4" w:space="0"/>
            </w:tcBorders>
            <w:noWrap w:val="0"/>
            <w:vAlign w:val="top"/>
          </w:tcPr>
          <w:p w14:paraId="7E84F971">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eastAsia="仿宋_GB2312"/>
                <w:b w:val="0"/>
                <w:sz w:val="32"/>
                <w:szCs w:val="21"/>
                <w:lang w:val="en-US" w:eastAsia="zh-CN"/>
              </w:rPr>
              <w:t>485.172</w:t>
            </w:r>
          </w:p>
        </w:tc>
        <w:tc>
          <w:tcPr>
            <w:tcW w:w="1338" w:type="dxa"/>
            <w:tcBorders>
              <w:top w:val="single" w:color="auto" w:sz="4" w:space="0"/>
              <w:left w:val="single" w:color="auto" w:sz="4" w:space="0"/>
              <w:bottom w:val="single" w:color="auto" w:sz="4" w:space="0"/>
              <w:right w:val="single" w:color="auto" w:sz="4" w:space="0"/>
            </w:tcBorders>
            <w:noWrap w:val="0"/>
            <w:vAlign w:val="top"/>
          </w:tcPr>
          <w:p w14:paraId="3165D522">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144" w:type="dxa"/>
            <w:tcBorders>
              <w:top w:val="single" w:color="auto" w:sz="4" w:space="0"/>
              <w:left w:val="single" w:color="auto" w:sz="4" w:space="0"/>
              <w:bottom w:val="single" w:color="auto" w:sz="4" w:space="0"/>
              <w:right w:val="single" w:color="auto" w:sz="4" w:space="0"/>
            </w:tcBorders>
            <w:noWrap w:val="0"/>
            <w:vAlign w:val="top"/>
          </w:tcPr>
          <w:p w14:paraId="4CC0D3BE">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397" w:type="dxa"/>
            <w:vMerge w:val="continue"/>
            <w:tcBorders>
              <w:left w:val="single" w:color="auto" w:sz="4" w:space="0"/>
            </w:tcBorders>
            <w:noWrap w:val="0"/>
            <w:vAlign w:val="top"/>
          </w:tcPr>
          <w:p w14:paraId="11D4BDBE">
            <w:pPr>
              <w:pageBreakBefore w:val="0"/>
              <w:kinsoku/>
              <w:wordWrap/>
              <w:overflowPunct/>
              <w:topLinePunct w:val="0"/>
              <w:autoSpaceDE/>
              <w:autoSpaceDN/>
              <w:bidi w:val="0"/>
              <w:spacing w:line="560" w:lineRule="exact"/>
              <w:rPr>
                <w:rFonts w:eastAsia="仿宋_GB2312"/>
                <w:b w:val="0"/>
                <w:sz w:val="32"/>
              </w:rPr>
            </w:pPr>
          </w:p>
        </w:tc>
      </w:tr>
      <w:tr w14:paraId="402E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98" w:type="dxa"/>
            <w:tcBorders>
              <w:top w:val="single" w:color="auto" w:sz="4" w:space="0"/>
              <w:bottom w:val="single" w:color="auto" w:sz="4" w:space="0"/>
              <w:right w:val="single" w:color="auto" w:sz="4" w:space="0"/>
            </w:tcBorders>
            <w:noWrap w:val="0"/>
            <w:vAlign w:val="top"/>
          </w:tcPr>
          <w:p w14:paraId="41526ACB">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206" w:type="dxa"/>
            <w:tcBorders>
              <w:top w:val="single" w:color="auto" w:sz="4" w:space="0"/>
              <w:left w:val="single" w:color="auto" w:sz="4" w:space="0"/>
              <w:bottom w:val="single" w:color="auto" w:sz="4" w:space="0"/>
              <w:right w:val="single" w:color="auto" w:sz="4" w:space="0"/>
            </w:tcBorders>
            <w:noWrap w:val="0"/>
            <w:vAlign w:val="top"/>
          </w:tcPr>
          <w:p w14:paraId="33FCD4BC">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2C033C1C">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112" w:type="dxa"/>
            <w:tcBorders>
              <w:top w:val="single" w:color="auto" w:sz="4" w:space="0"/>
              <w:left w:val="single" w:color="auto" w:sz="4" w:space="0"/>
              <w:bottom w:val="single" w:color="auto" w:sz="4" w:space="0"/>
              <w:right w:val="single" w:color="auto" w:sz="4" w:space="0"/>
            </w:tcBorders>
            <w:noWrap w:val="0"/>
            <w:vAlign w:val="top"/>
          </w:tcPr>
          <w:p w14:paraId="6C7F4515">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338" w:type="dxa"/>
            <w:tcBorders>
              <w:top w:val="single" w:color="auto" w:sz="4" w:space="0"/>
              <w:left w:val="single" w:color="auto" w:sz="4" w:space="0"/>
              <w:bottom w:val="single" w:color="auto" w:sz="4" w:space="0"/>
              <w:right w:val="single" w:color="auto" w:sz="4" w:space="0"/>
            </w:tcBorders>
            <w:noWrap w:val="0"/>
            <w:vAlign w:val="top"/>
          </w:tcPr>
          <w:p w14:paraId="31BF1590">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144" w:type="dxa"/>
            <w:tcBorders>
              <w:top w:val="single" w:color="auto" w:sz="4" w:space="0"/>
              <w:left w:val="single" w:color="auto" w:sz="4" w:space="0"/>
              <w:bottom w:val="single" w:color="auto" w:sz="4" w:space="0"/>
              <w:right w:val="single" w:color="auto" w:sz="4" w:space="0"/>
            </w:tcBorders>
            <w:noWrap w:val="0"/>
            <w:vAlign w:val="top"/>
          </w:tcPr>
          <w:p w14:paraId="7D103A52">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397" w:type="dxa"/>
            <w:tcBorders>
              <w:left w:val="single" w:color="auto" w:sz="4" w:space="0"/>
              <w:bottom w:val="single" w:color="auto" w:sz="4" w:space="0"/>
            </w:tcBorders>
            <w:noWrap w:val="0"/>
            <w:vAlign w:val="top"/>
          </w:tcPr>
          <w:p w14:paraId="6B708B96">
            <w:pPr>
              <w:pageBreakBefore w:val="0"/>
              <w:kinsoku/>
              <w:wordWrap/>
              <w:overflowPunct/>
              <w:topLinePunct w:val="0"/>
              <w:autoSpaceDE/>
              <w:autoSpaceDN/>
              <w:bidi w:val="0"/>
              <w:spacing w:line="560" w:lineRule="exact"/>
              <w:rPr>
                <w:rFonts w:eastAsia="仿宋_GB2312"/>
                <w:b w:val="0"/>
                <w:sz w:val="32"/>
              </w:rPr>
            </w:pPr>
          </w:p>
        </w:tc>
      </w:tr>
    </w:tbl>
    <w:p w14:paraId="0BF0B84D">
      <w:pPr>
        <w:pageBreakBefore w:val="0"/>
        <w:numPr>
          <w:ilvl w:val="0"/>
          <w:numId w:val="0"/>
        </w:numPr>
        <w:kinsoku/>
        <w:wordWrap/>
        <w:overflowPunct/>
        <w:topLinePunct w:val="0"/>
        <w:autoSpaceDE/>
        <w:autoSpaceDN/>
        <w:bidi w:val="0"/>
        <w:spacing w:line="560" w:lineRule="exact"/>
        <w:ind w:firstLine="640" w:firstLineChars="200"/>
        <w:outlineLvl w:val="0"/>
        <w:rPr>
          <w:rFonts w:hint="eastAsia" w:ascii="仿宋_GB2312" w:hAnsi="宋体" w:eastAsia="仿宋_GB2312" w:cs="Times New Roman"/>
          <w:b w:val="0"/>
          <w:sz w:val="32"/>
          <w:szCs w:val="32"/>
          <w:lang w:val="en-US" w:eastAsia="zh-CN"/>
        </w:rPr>
      </w:pPr>
      <w:r>
        <w:rPr>
          <w:rFonts w:hint="eastAsia" w:ascii="仿宋_GB2312" w:hAnsi="宋体" w:eastAsia="仿宋_GB2312" w:cs="Times New Roman"/>
          <w:b w:val="0"/>
          <w:sz w:val="32"/>
          <w:szCs w:val="32"/>
          <w:lang w:val="en-US" w:eastAsia="zh-CN"/>
        </w:rPr>
        <w:t xml:space="preserve"> </w:t>
      </w:r>
    </w:p>
    <w:p w14:paraId="1CF1E172">
      <w:pPr>
        <w:pageBreakBefore w:val="0"/>
        <w:numPr>
          <w:ilvl w:val="0"/>
          <w:numId w:val="0"/>
        </w:numPr>
        <w:kinsoku/>
        <w:wordWrap/>
        <w:overflowPunct/>
        <w:topLinePunct w:val="0"/>
        <w:autoSpaceDE/>
        <w:autoSpaceDN/>
        <w:bidi w:val="0"/>
        <w:spacing w:line="560" w:lineRule="exact"/>
        <w:ind w:firstLine="640" w:firstLineChars="200"/>
        <w:outlineLvl w:val="0"/>
        <w:rPr>
          <w:rFonts w:hint="eastAsia" w:ascii="仿宋_GB2312" w:hAnsi="仿宋_GB2312" w:eastAsia="仿宋_GB2312" w:cs="仿宋_GB2312"/>
          <w:b w:val="0"/>
          <w:sz w:val="32"/>
          <w:szCs w:val="32"/>
        </w:rPr>
      </w:pPr>
      <w:r>
        <w:rPr>
          <w:rFonts w:hint="eastAsia" w:ascii="仿宋_GB2312" w:hAnsi="宋体" w:eastAsia="仿宋_GB2312" w:cs="Times New Roman"/>
          <w:b w:val="0"/>
          <w:sz w:val="32"/>
          <w:szCs w:val="32"/>
          <w:lang w:val="en-US" w:eastAsia="zh-CN"/>
        </w:rPr>
        <w:t>高龄津贴按照州、县财政分级承担的办法纳入财政预算，由原资金渠道列支解决，即：80周岁至99周岁老年人每年所需的经费由州财政承担30%，各县财政承担70%。100周岁以上老年人仍按州、县财政各承担50%的标准分级承担，春节慰问金由州财政解决。</w:t>
      </w:r>
    </w:p>
    <w:p w14:paraId="4C2458B3">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3、</w:t>
      </w:r>
      <w:r>
        <w:rPr>
          <w:rFonts w:hint="eastAsia" w:ascii="楷体_GB2312" w:hAnsi="楷体_GB2312" w:eastAsia="仿宋_GB2312" w:cs="楷体_GB2312"/>
          <w:b w:val="0"/>
          <w:sz w:val="32"/>
        </w:rPr>
        <w:t>目标合理性</w:t>
      </w:r>
    </w:p>
    <w:p w14:paraId="3EE56ABD">
      <w:pPr>
        <w:pageBreakBefore w:val="0"/>
        <w:kinsoku/>
        <w:wordWrap/>
        <w:overflowPunct/>
        <w:topLinePunct w:val="0"/>
        <w:autoSpaceDE/>
        <w:autoSpaceDN/>
        <w:bidi w:val="0"/>
        <w:snapToGrid w:val="0"/>
        <w:spacing w:line="560" w:lineRule="exact"/>
        <w:ind w:firstLine="640" w:firstLineChars="200"/>
        <w:rPr>
          <w:rFonts w:hint="eastAsia" w:ascii="仿宋_GB2312" w:hAnsi="宋体" w:eastAsia="仿宋_GB2312"/>
          <w:b w:val="0"/>
          <w:sz w:val="32"/>
          <w:szCs w:val="32"/>
        </w:rPr>
      </w:pPr>
      <w:r>
        <w:rPr>
          <w:rFonts w:hint="eastAsia" w:ascii="仿宋_GB2312" w:hAnsi="宋体" w:eastAsia="仿宋_GB2312"/>
          <w:b w:val="0"/>
          <w:sz w:val="32"/>
          <w:szCs w:val="30"/>
        </w:rPr>
        <w:t>该项目设定的绩效目标与本部门202</w:t>
      </w:r>
      <w:r>
        <w:rPr>
          <w:rFonts w:hint="eastAsia" w:ascii="仿宋_GB2312" w:hAnsi="宋体" w:eastAsia="仿宋_GB2312"/>
          <w:b w:val="0"/>
          <w:sz w:val="32"/>
          <w:szCs w:val="30"/>
          <w:lang w:val="en-US" w:eastAsia="zh-CN"/>
        </w:rPr>
        <w:t>5</w:t>
      </w:r>
      <w:r>
        <w:rPr>
          <w:rFonts w:hint="eastAsia" w:ascii="仿宋_GB2312" w:hAnsi="宋体" w:eastAsia="仿宋_GB2312"/>
          <w:b w:val="0"/>
          <w:sz w:val="32"/>
          <w:szCs w:val="30"/>
        </w:rPr>
        <w:t>年度工作目标一致，绩效目标一级指标大致</w:t>
      </w:r>
      <w:r>
        <w:rPr>
          <w:rFonts w:hint="eastAsia" w:ascii="仿宋_GB2312" w:hAnsi="宋体" w:eastAsia="仿宋_GB2312"/>
          <w:b w:val="0"/>
          <w:sz w:val="32"/>
          <w:szCs w:val="32"/>
        </w:rPr>
        <w:t>分为</w:t>
      </w:r>
      <w:r>
        <w:rPr>
          <w:rFonts w:hint="eastAsia" w:ascii="仿宋_GB2312" w:hAnsi="宋体" w:eastAsia="仿宋_GB2312"/>
          <w:b w:val="0"/>
          <w:sz w:val="32"/>
          <w:szCs w:val="32"/>
          <w:lang w:val="en-US" w:eastAsia="zh-CN"/>
        </w:rPr>
        <w:t>四</w:t>
      </w:r>
      <w:r>
        <w:rPr>
          <w:rFonts w:hint="eastAsia" w:ascii="仿宋_GB2312" w:hAnsi="宋体" w:eastAsia="仿宋_GB2312"/>
          <w:b w:val="0"/>
          <w:sz w:val="32"/>
          <w:szCs w:val="32"/>
        </w:rPr>
        <w:t>部分：产出指标、效益指标、满意度指标</w:t>
      </w:r>
      <w:r>
        <w:rPr>
          <w:rFonts w:hint="eastAsia" w:ascii="仿宋_GB2312" w:hAnsi="宋体" w:eastAsia="仿宋_GB2312"/>
          <w:b w:val="0"/>
          <w:sz w:val="32"/>
          <w:szCs w:val="32"/>
          <w:lang w:eastAsia="zh-CN"/>
        </w:rPr>
        <w:t>、</w:t>
      </w:r>
      <w:r>
        <w:rPr>
          <w:rFonts w:hint="eastAsia" w:ascii="仿宋_GB2312" w:hAnsi="宋体" w:eastAsia="仿宋_GB2312"/>
          <w:b w:val="0"/>
          <w:sz w:val="32"/>
          <w:szCs w:val="32"/>
          <w:lang w:val="en-US" w:eastAsia="zh-CN"/>
        </w:rPr>
        <w:t>成本指标</w:t>
      </w:r>
      <w:r>
        <w:rPr>
          <w:rFonts w:hint="eastAsia" w:ascii="仿宋_GB2312" w:hAnsi="宋体" w:eastAsia="仿宋_GB2312"/>
          <w:b w:val="0"/>
          <w:sz w:val="32"/>
          <w:szCs w:val="32"/>
        </w:rPr>
        <w:t>。</w:t>
      </w:r>
    </w:p>
    <w:p w14:paraId="006D1051">
      <w:pPr>
        <w:pageBreakBefore w:val="0"/>
        <w:tabs>
          <w:tab w:val="center" w:pos="4153"/>
          <w:tab w:val="right" w:pos="8306"/>
        </w:tabs>
        <w:kinsoku/>
        <w:wordWrap/>
        <w:overflowPunct/>
        <w:topLinePunct w:val="0"/>
        <w:autoSpaceDE/>
        <w:autoSpaceDN/>
        <w:bidi w:val="0"/>
        <w:spacing w:line="560" w:lineRule="exact"/>
        <w:rPr>
          <w:rFonts w:hint="eastAsia" w:ascii="宋体" w:eastAsia="仿宋_GB2312"/>
          <w:b w:val="0"/>
          <w:kern w:val="2"/>
          <w:sz w:val="32"/>
          <w:szCs w:val="21"/>
          <w:lang w:val="en-US" w:eastAsia="zh-CN"/>
        </w:rPr>
      </w:pPr>
      <w:r>
        <w:rPr>
          <w:rFonts w:hint="eastAsia" w:ascii="Times New Roman" w:hAnsi="Times New Roman" w:eastAsia="仿宋_GB2312"/>
          <w:b w:val="0"/>
          <w:kern w:val="2"/>
          <w:sz w:val="32"/>
          <w:szCs w:val="21"/>
          <w:lang w:val="en-US" w:eastAsia="zh-CN"/>
        </w:rPr>
        <w:t>长寿老人</w:t>
      </w:r>
      <w:r>
        <w:rPr>
          <w:rFonts w:hint="eastAsia" w:ascii="宋体" w:eastAsia="仿宋_GB2312"/>
          <w:b w:val="0"/>
          <w:kern w:val="2"/>
          <w:sz w:val="32"/>
          <w:szCs w:val="21"/>
        </w:rPr>
        <w:t>项目绩效目标表</w:t>
      </w:r>
      <w:r>
        <w:rPr>
          <w:rFonts w:hint="eastAsia" w:ascii="宋体" w:eastAsia="仿宋_GB2312"/>
          <w:b w:val="0"/>
          <w:kern w:val="2"/>
          <w:sz w:val="32"/>
          <w:szCs w:val="21"/>
          <w:lang w:val="en-US" w:eastAsia="zh-CN"/>
        </w:rPr>
        <w:t xml:space="preserve"> </w:t>
      </w:r>
    </w:p>
    <w:tbl>
      <w:tblPr>
        <w:tblStyle w:val="8"/>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68"/>
        <w:gridCol w:w="1390"/>
        <w:gridCol w:w="1651"/>
        <w:gridCol w:w="477"/>
        <w:gridCol w:w="607"/>
        <w:gridCol w:w="527"/>
        <w:gridCol w:w="542"/>
        <w:gridCol w:w="2367"/>
      </w:tblGrid>
      <w:tr w14:paraId="6A0C7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8" w:type="dxa"/>
            <w:tcBorders>
              <w:top w:val="single" w:color="000000" w:sz="4" w:space="0"/>
              <w:left w:val="single" w:color="000000" w:sz="4" w:space="0"/>
              <w:bottom w:val="single" w:color="000000" w:sz="4" w:space="0"/>
              <w:right w:val="single" w:color="000000" w:sz="4" w:space="0"/>
            </w:tcBorders>
            <w:noWrap/>
            <w:vAlign w:val="center"/>
          </w:tcPr>
          <w:p w14:paraId="53A304A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一级指标</w:t>
            </w:r>
          </w:p>
        </w:tc>
        <w:tc>
          <w:tcPr>
            <w:tcW w:w="1390" w:type="dxa"/>
            <w:tcBorders>
              <w:top w:val="single" w:color="000000" w:sz="4" w:space="0"/>
              <w:left w:val="single" w:color="000000" w:sz="4" w:space="0"/>
              <w:bottom w:val="single" w:color="000000" w:sz="4" w:space="0"/>
              <w:right w:val="single" w:color="000000" w:sz="4" w:space="0"/>
            </w:tcBorders>
            <w:noWrap/>
            <w:vAlign w:val="center"/>
          </w:tcPr>
          <w:p w14:paraId="6723B20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二级指标</w:t>
            </w:r>
          </w:p>
        </w:tc>
        <w:tc>
          <w:tcPr>
            <w:tcW w:w="1651" w:type="dxa"/>
            <w:tcBorders>
              <w:top w:val="single" w:color="000000" w:sz="4" w:space="0"/>
              <w:left w:val="single" w:color="000000" w:sz="4" w:space="0"/>
              <w:bottom w:val="single" w:color="000000" w:sz="4" w:space="0"/>
              <w:right w:val="single" w:color="000000" w:sz="4" w:space="0"/>
            </w:tcBorders>
            <w:noWrap/>
            <w:vAlign w:val="center"/>
          </w:tcPr>
          <w:p w14:paraId="2C1CF897">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三级指标</w:t>
            </w:r>
          </w:p>
        </w:tc>
        <w:tc>
          <w:tcPr>
            <w:tcW w:w="477" w:type="dxa"/>
            <w:tcBorders>
              <w:top w:val="single" w:color="000000" w:sz="4" w:space="0"/>
              <w:left w:val="single" w:color="000000" w:sz="4" w:space="0"/>
              <w:bottom w:val="single" w:color="000000" w:sz="4" w:space="0"/>
              <w:right w:val="single" w:color="000000" w:sz="4" w:space="0"/>
            </w:tcBorders>
            <w:noWrap/>
            <w:vAlign w:val="center"/>
          </w:tcPr>
          <w:p w14:paraId="419EFCE4">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指标性质</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40A76E16">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指标值</w:t>
            </w:r>
          </w:p>
        </w:tc>
        <w:tc>
          <w:tcPr>
            <w:tcW w:w="527" w:type="dxa"/>
            <w:tcBorders>
              <w:top w:val="single" w:color="000000" w:sz="4" w:space="0"/>
              <w:left w:val="single" w:color="000000" w:sz="4" w:space="0"/>
              <w:bottom w:val="single" w:color="000000" w:sz="4" w:space="0"/>
              <w:right w:val="single" w:color="000000" w:sz="4" w:space="0"/>
            </w:tcBorders>
            <w:noWrap/>
            <w:vAlign w:val="center"/>
          </w:tcPr>
          <w:p w14:paraId="6062891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度量单位</w:t>
            </w:r>
          </w:p>
        </w:tc>
        <w:tc>
          <w:tcPr>
            <w:tcW w:w="542" w:type="dxa"/>
            <w:tcBorders>
              <w:top w:val="single" w:color="000000" w:sz="4" w:space="0"/>
              <w:left w:val="single" w:color="000000" w:sz="4" w:space="0"/>
              <w:bottom w:val="single" w:color="000000" w:sz="4" w:space="0"/>
              <w:right w:val="single" w:color="000000" w:sz="4" w:space="0"/>
            </w:tcBorders>
            <w:noWrap/>
            <w:vAlign w:val="center"/>
          </w:tcPr>
          <w:p w14:paraId="544EFE55">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权重（%）</w:t>
            </w:r>
          </w:p>
        </w:tc>
        <w:tc>
          <w:tcPr>
            <w:tcW w:w="2367" w:type="dxa"/>
            <w:tcBorders>
              <w:top w:val="single" w:color="000000" w:sz="4" w:space="0"/>
              <w:left w:val="single" w:color="000000" w:sz="4" w:space="0"/>
              <w:bottom w:val="single" w:color="000000" w:sz="4" w:space="0"/>
              <w:right w:val="single" w:color="000000" w:sz="4" w:space="0"/>
            </w:tcBorders>
            <w:noWrap/>
            <w:vAlign w:val="center"/>
          </w:tcPr>
          <w:p w14:paraId="2E0059C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备注</w:t>
            </w:r>
          </w:p>
        </w:tc>
      </w:tr>
      <w:tr w14:paraId="54CD5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8" w:type="dxa"/>
            <w:tcBorders>
              <w:top w:val="single" w:color="000000" w:sz="4" w:space="0"/>
              <w:left w:val="single" w:color="000000" w:sz="4" w:space="0"/>
              <w:bottom w:val="single" w:color="000000" w:sz="4" w:space="0"/>
              <w:right w:val="single" w:color="000000" w:sz="4" w:space="0"/>
            </w:tcBorders>
            <w:noWrap/>
            <w:vAlign w:val="center"/>
          </w:tcPr>
          <w:p w14:paraId="62B186A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390" w:type="dxa"/>
            <w:tcBorders>
              <w:top w:val="single" w:color="000000" w:sz="4" w:space="0"/>
              <w:left w:val="single" w:color="000000" w:sz="4" w:space="0"/>
              <w:bottom w:val="single" w:color="000000" w:sz="4" w:space="0"/>
              <w:right w:val="single" w:color="000000" w:sz="4" w:space="0"/>
            </w:tcBorders>
            <w:noWrap/>
            <w:vAlign w:val="center"/>
          </w:tcPr>
          <w:p w14:paraId="1515D196">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1651" w:type="dxa"/>
            <w:tcBorders>
              <w:top w:val="single" w:color="000000" w:sz="4" w:space="0"/>
              <w:left w:val="single" w:color="000000" w:sz="4" w:space="0"/>
              <w:bottom w:val="single" w:color="000000" w:sz="4" w:space="0"/>
              <w:right w:val="single" w:color="000000" w:sz="4" w:space="0"/>
            </w:tcBorders>
            <w:noWrap/>
            <w:vAlign w:val="center"/>
          </w:tcPr>
          <w:p w14:paraId="585DB3EF">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长寿老人100岁以上</w:t>
            </w:r>
          </w:p>
        </w:tc>
        <w:tc>
          <w:tcPr>
            <w:tcW w:w="477" w:type="dxa"/>
            <w:tcBorders>
              <w:top w:val="single" w:color="000000" w:sz="4" w:space="0"/>
              <w:left w:val="single" w:color="000000" w:sz="4" w:space="0"/>
              <w:bottom w:val="single" w:color="000000" w:sz="4" w:space="0"/>
              <w:right w:val="single" w:color="000000" w:sz="4" w:space="0"/>
            </w:tcBorders>
            <w:noWrap/>
            <w:vAlign w:val="center"/>
          </w:tcPr>
          <w:p w14:paraId="5C00C4F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40149E5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6</w:t>
            </w:r>
          </w:p>
        </w:tc>
        <w:tc>
          <w:tcPr>
            <w:tcW w:w="527" w:type="dxa"/>
            <w:tcBorders>
              <w:top w:val="single" w:color="000000" w:sz="4" w:space="0"/>
              <w:left w:val="single" w:color="000000" w:sz="4" w:space="0"/>
              <w:bottom w:val="single" w:color="000000" w:sz="4" w:space="0"/>
              <w:right w:val="single" w:color="000000" w:sz="4" w:space="0"/>
            </w:tcBorders>
            <w:noWrap/>
            <w:vAlign w:val="center"/>
          </w:tcPr>
          <w:p w14:paraId="7204ACF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542" w:type="dxa"/>
            <w:tcBorders>
              <w:top w:val="single" w:color="000000" w:sz="4" w:space="0"/>
              <w:left w:val="single" w:color="000000" w:sz="4" w:space="0"/>
              <w:bottom w:val="single" w:color="000000" w:sz="4" w:space="0"/>
              <w:right w:val="single" w:color="000000" w:sz="4" w:space="0"/>
            </w:tcBorders>
            <w:noWrap/>
            <w:vAlign w:val="center"/>
          </w:tcPr>
          <w:p w14:paraId="0707C74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c>
          <w:tcPr>
            <w:tcW w:w="2367" w:type="dxa"/>
            <w:tcBorders>
              <w:top w:val="single" w:color="000000" w:sz="4" w:space="0"/>
              <w:left w:val="single" w:color="000000" w:sz="4" w:space="0"/>
              <w:bottom w:val="single" w:color="000000" w:sz="4" w:space="0"/>
              <w:right w:val="single" w:color="000000" w:sz="4" w:space="0"/>
            </w:tcBorders>
            <w:noWrap/>
            <w:vAlign w:val="center"/>
          </w:tcPr>
          <w:p w14:paraId="5E545A53">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r>
      <w:tr w14:paraId="40569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8" w:type="dxa"/>
            <w:tcBorders>
              <w:top w:val="single" w:color="000000" w:sz="4" w:space="0"/>
              <w:left w:val="single" w:color="000000" w:sz="4" w:space="0"/>
              <w:bottom w:val="single" w:color="000000" w:sz="4" w:space="0"/>
              <w:right w:val="single" w:color="000000" w:sz="4" w:space="0"/>
            </w:tcBorders>
            <w:noWrap/>
            <w:vAlign w:val="center"/>
          </w:tcPr>
          <w:p w14:paraId="04A950E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390" w:type="dxa"/>
            <w:tcBorders>
              <w:top w:val="single" w:color="000000" w:sz="4" w:space="0"/>
              <w:left w:val="single" w:color="000000" w:sz="4" w:space="0"/>
              <w:bottom w:val="single" w:color="000000" w:sz="4" w:space="0"/>
              <w:right w:val="single" w:color="000000" w:sz="4" w:space="0"/>
            </w:tcBorders>
            <w:noWrap/>
            <w:vAlign w:val="center"/>
          </w:tcPr>
          <w:p w14:paraId="64931DE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1651" w:type="dxa"/>
            <w:tcBorders>
              <w:top w:val="single" w:color="000000" w:sz="4" w:space="0"/>
              <w:left w:val="single" w:color="000000" w:sz="4" w:space="0"/>
              <w:bottom w:val="single" w:color="000000" w:sz="4" w:space="0"/>
              <w:right w:val="single" w:color="000000" w:sz="4" w:space="0"/>
            </w:tcBorders>
            <w:noWrap/>
            <w:vAlign w:val="center"/>
          </w:tcPr>
          <w:p w14:paraId="045250F5">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长寿老人80-89</w:t>
            </w:r>
          </w:p>
        </w:tc>
        <w:tc>
          <w:tcPr>
            <w:tcW w:w="477" w:type="dxa"/>
            <w:tcBorders>
              <w:top w:val="single" w:color="000000" w:sz="4" w:space="0"/>
              <w:left w:val="single" w:color="000000" w:sz="4" w:space="0"/>
              <w:bottom w:val="single" w:color="000000" w:sz="4" w:space="0"/>
              <w:right w:val="single" w:color="000000" w:sz="4" w:space="0"/>
            </w:tcBorders>
            <w:noWrap/>
            <w:vAlign w:val="center"/>
          </w:tcPr>
          <w:p w14:paraId="5CF4706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5C03094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2337</w:t>
            </w:r>
          </w:p>
        </w:tc>
        <w:tc>
          <w:tcPr>
            <w:tcW w:w="527" w:type="dxa"/>
            <w:tcBorders>
              <w:top w:val="single" w:color="000000" w:sz="4" w:space="0"/>
              <w:left w:val="single" w:color="000000" w:sz="4" w:space="0"/>
              <w:bottom w:val="single" w:color="000000" w:sz="4" w:space="0"/>
              <w:right w:val="single" w:color="000000" w:sz="4" w:space="0"/>
            </w:tcBorders>
            <w:noWrap/>
            <w:vAlign w:val="center"/>
          </w:tcPr>
          <w:p w14:paraId="6DDA8F1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542" w:type="dxa"/>
            <w:tcBorders>
              <w:top w:val="single" w:color="000000" w:sz="4" w:space="0"/>
              <w:left w:val="single" w:color="000000" w:sz="4" w:space="0"/>
              <w:bottom w:val="single" w:color="000000" w:sz="4" w:space="0"/>
              <w:right w:val="single" w:color="000000" w:sz="4" w:space="0"/>
            </w:tcBorders>
            <w:noWrap/>
            <w:vAlign w:val="center"/>
          </w:tcPr>
          <w:p w14:paraId="5716E1C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c>
          <w:tcPr>
            <w:tcW w:w="2367" w:type="dxa"/>
            <w:tcBorders>
              <w:top w:val="single" w:color="000000" w:sz="4" w:space="0"/>
              <w:left w:val="single" w:color="000000" w:sz="4" w:space="0"/>
              <w:bottom w:val="single" w:color="000000" w:sz="4" w:space="0"/>
              <w:right w:val="single" w:color="000000" w:sz="4" w:space="0"/>
            </w:tcBorders>
            <w:noWrap/>
            <w:vAlign w:val="center"/>
          </w:tcPr>
          <w:p w14:paraId="42C50D30">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r>
      <w:tr w14:paraId="502D2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8" w:type="dxa"/>
            <w:tcBorders>
              <w:top w:val="single" w:color="000000" w:sz="4" w:space="0"/>
              <w:left w:val="single" w:color="000000" w:sz="4" w:space="0"/>
              <w:bottom w:val="single" w:color="000000" w:sz="4" w:space="0"/>
              <w:right w:val="single" w:color="000000" w:sz="4" w:space="0"/>
            </w:tcBorders>
            <w:noWrap/>
            <w:vAlign w:val="center"/>
          </w:tcPr>
          <w:p w14:paraId="2B7A79B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390" w:type="dxa"/>
            <w:tcBorders>
              <w:top w:val="single" w:color="000000" w:sz="4" w:space="0"/>
              <w:left w:val="single" w:color="000000" w:sz="4" w:space="0"/>
              <w:bottom w:val="single" w:color="000000" w:sz="4" w:space="0"/>
              <w:right w:val="single" w:color="000000" w:sz="4" w:space="0"/>
            </w:tcBorders>
            <w:noWrap/>
            <w:vAlign w:val="center"/>
          </w:tcPr>
          <w:p w14:paraId="7B35070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1651" w:type="dxa"/>
            <w:tcBorders>
              <w:top w:val="single" w:color="000000" w:sz="4" w:space="0"/>
              <w:left w:val="single" w:color="000000" w:sz="4" w:space="0"/>
              <w:bottom w:val="single" w:color="000000" w:sz="4" w:space="0"/>
              <w:right w:val="single" w:color="000000" w:sz="4" w:space="0"/>
            </w:tcBorders>
            <w:noWrap/>
            <w:vAlign w:val="center"/>
          </w:tcPr>
          <w:p w14:paraId="418FA27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长寿老人90-99岁</w:t>
            </w:r>
          </w:p>
        </w:tc>
        <w:tc>
          <w:tcPr>
            <w:tcW w:w="477" w:type="dxa"/>
            <w:tcBorders>
              <w:top w:val="single" w:color="000000" w:sz="4" w:space="0"/>
              <w:left w:val="single" w:color="000000" w:sz="4" w:space="0"/>
              <w:bottom w:val="single" w:color="000000" w:sz="4" w:space="0"/>
              <w:right w:val="single" w:color="000000" w:sz="4" w:space="0"/>
            </w:tcBorders>
            <w:noWrap/>
            <w:vAlign w:val="center"/>
          </w:tcPr>
          <w:p w14:paraId="60A74C4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2ACBD39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174</w:t>
            </w:r>
          </w:p>
        </w:tc>
        <w:tc>
          <w:tcPr>
            <w:tcW w:w="527" w:type="dxa"/>
            <w:tcBorders>
              <w:top w:val="single" w:color="000000" w:sz="4" w:space="0"/>
              <w:left w:val="single" w:color="000000" w:sz="4" w:space="0"/>
              <w:bottom w:val="single" w:color="000000" w:sz="4" w:space="0"/>
              <w:right w:val="single" w:color="000000" w:sz="4" w:space="0"/>
            </w:tcBorders>
            <w:noWrap/>
            <w:vAlign w:val="center"/>
          </w:tcPr>
          <w:p w14:paraId="45BE002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542" w:type="dxa"/>
            <w:tcBorders>
              <w:top w:val="single" w:color="000000" w:sz="4" w:space="0"/>
              <w:left w:val="single" w:color="000000" w:sz="4" w:space="0"/>
              <w:bottom w:val="single" w:color="000000" w:sz="4" w:space="0"/>
              <w:right w:val="single" w:color="000000" w:sz="4" w:space="0"/>
            </w:tcBorders>
            <w:noWrap/>
            <w:vAlign w:val="center"/>
          </w:tcPr>
          <w:p w14:paraId="1D3A4BE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c>
          <w:tcPr>
            <w:tcW w:w="2367" w:type="dxa"/>
            <w:tcBorders>
              <w:top w:val="single" w:color="000000" w:sz="4" w:space="0"/>
              <w:left w:val="single" w:color="000000" w:sz="4" w:space="0"/>
              <w:bottom w:val="single" w:color="000000" w:sz="4" w:space="0"/>
              <w:right w:val="single" w:color="000000" w:sz="4" w:space="0"/>
            </w:tcBorders>
            <w:noWrap/>
            <w:vAlign w:val="center"/>
          </w:tcPr>
          <w:p w14:paraId="2BE19361">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r>
      <w:tr w14:paraId="6F138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8" w:type="dxa"/>
            <w:tcBorders>
              <w:top w:val="single" w:color="000000" w:sz="4" w:space="0"/>
              <w:left w:val="single" w:color="000000" w:sz="4" w:space="0"/>
              <w:bottom w:val="single" w:color="000000" w:sz="4" w:space="0"/>
              <w:right w:val="single" w:color="000000" w:sz="4" w:space="0"/>
            </w:tcBorders>
            <w:noWrap/>
            <w:vAlign w:val="center"/>
          </w:tcPr>
          <w:p w14:paraId="2926E93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390" w:type="dxa"/>
            <w:tcBorders>
              <w:top w:val="single" w:color="000000" w:sz="4" w:space="0"/>
              <w:left w:val="single" w:color="000000" w:sz="4" w:space="0"/>
              <w:bottom w:val="single" w:color="000000" w:sz="4" w:space="0"/>
              <w:right w:val="single" w:color="000000" w:sz="4" w:space="0"/>
            </w:tcBorders>
            <w:noWrap/>
            <w:vAlign w:val="center"/>
          </w:tcPr>
          <w:p w14:paraId="715B527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时效指标</w:t>
            </w:r>
          </w:p>
        </w:tc>
        <w:tc>
          <w:tcPr>
            <w:tcW w:w="1651" w:type="dxa"/>
            <w:tcBorders>
              <w:top w:val="single" w:color="000000" w:sz="4" w:space="0"/>
              <w:left w:val="single" w:color="000000" w:sz="4" w:space="0"/>
              <w:bottom w:val="single" w:color="000000" w:sz="4" w:space="0"/>
              <w:right w:val="single" w:color="000000" w:sz="4" w:space="0"/>
            </w:tcBorders>
            <w:noWrap/>
            <w:vAlign w:val="center"/>
          </w:tcPr>
          <w:p w14:paraId="3AB44EAF">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资金拨付及时率</w:t>
            </w:r>
          </w:p>
        </w:tc>
        <w:tc>
          <w:tcPr>
            <w:tcW w:w="477" w:type="dxa"/>
            <w:tcBorders>
              <w:top w:val="single" w:color="000000" w:sz="4" w:space="0"/>
              <w:left w:val="single" w:color="000000" w:sz="4" w:space="0"/>
              <w:bottom w:val="single" w:color="000000" w:sz="4" w:space="0"/>
              <w:right w:val="single" w:color="000000" w:sz="4" w:space="0"/>
            </w:tcBorders>
            <w:noWrap/>
            <w:vAlign w:val="center"/>
          </w:tcPr>
          <w:p w14:paraId="6055571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113D254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527" w:type="dxa"/>
            <w:tcBorders>
              <w:top w:val="single" w:color="000000" w:sz="4" w:space="0"/>
              <w:left w:val="single" w:color="000000" w:sz="4" w:space="0"/>
              <w:bottom w:val="single" w:color="000000" w:sz="4" w:space="0"/>
              <w:right w:val="single" w:color="000000" w:sz="4" w:space="0"/>
            </w:tcBorders>
            <w:noWrap/>
            <w:vAlign w:val="center"/>
          </w:tcPr>
          <w:p w14:paraId="480A7FE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2" w:type="dxa"/>
            <w:tcBorders>
              <w:top w:val="single" w:color="000000" w:sz="4" w:space="0"/>
              <w:left w:val="single" w:color="000000" w:sz="4" w:space="0"/>
              <w:bottom w:val="single" w:color="000000" w:sz="4" w:space="0"/>
              <w:right w:val="single" w:color="000000" w:sz="4" w:space="0"/>
            </w:tcBorders>
            <w:noWrap/>
            <w:vAlign w:val="center"/>
          </w:tcPr>
          <w:p w14:paraId="281BB2B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c>
          <w:tcPr>
            <w:tcW w:w="2367" w:type="dxa"/>
            <w:tcBorders>
              <w:top w:val="single" w:color="000000" w:sz="4" w:space="0"/>
              <w:left w:val="single" w:color="000000" w:sz="4" w:space="0"/>
              <w:bottom w:val="single" w:color="000000" w:sz="4" w:space="0"/>
              <w:right w:val="single" w:color="000000" w:sz="4" w:space="0"/>
            </w:tcBorders>
            <w:noWrap/>
            <w:vAlign w:val="center"/>
          </w:tcPr>
          <w:p w14:paraId="6715F4FE">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r>
      <w:tr w14:paraId="4D63D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8" w:type="dxa"/>
            <w:tcBorders>
              <w:top w:val="single" w:color="000000" w:sz="4" w:space="0"/>
              <w:left w:val="single" w:color="000000" w:sz="4" w:space="0"/>
              <w:bottom w:val="single" w:color="000000" w:sz="4" w:space="0"/>
              <w:right w:val="single" w:color="000000" w:sz="4" w:space="0"/>
            </w:tcBorders>
            <w:noWrap/>
            <w:vAlign w:val="center"/>
          </w:tcPr>
          <w:p w14:paraId="23392E2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390" w:type="dxa"/>
            <w:tcBorders>
              <w:top w:val="single" w:color="000000" w:sz="4" w:space="0"/>
              <w:left w:val="single" w:color="000000" w:sz="4" w:space="0"/>
              <w:bottom w:val="single" w:color="000000" w:sz="4" w:space="0"/>
              <w:right w:val="single" w:color="000000" w:sz="4" w:space="0"/>
            </w:tcBorders>
            <w:noWrap/>
            <w:vAlign w:val="center"/>
          </w:tcPr>
          <w:p w14:paraId="70F37144">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质量指标</w:t>
            </w:r>
          </w:p>
        </w:tc>
        <w:tc>
          <w:tcPr>
            <w:tcW w:w="1651" w:type="dxa"/>
            <w:tcBorders>
              <w:top w:val="single" w:color="000000" w:sz="4" w:space="0"/>
              <w:left w:val="single" w:color="000000" w:sz="4" w:space="0"/>
              <w:bottom w:val="single" w:color="000000" w:sz="4" w:space="0"/>
              <w:right w:val="single" w:color="000000" w:sz="4" w:space="0"/>
            </w:tcBorders>
            <w:noWrap/>
            <w:vAlign w:val="center"/>
          </w:tcPr>
          <w:p w14:paraId="57B9AD9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长寿老人发放补助准确率</w:t>
            </w:r>
          </w:p>
        </w:tc>
        <w:tc>
          <w:tcPr>
            <w:tcW w:w="477" w:type="dxa"/>
            <w:tcBorders>
              <w:top w:val="single" w:color="000000" w:sz="4" w:space="0"/>
              <w:left w:val="single" w:color="000000" w:sz="4" w:space="0"/>
              <w:bottom w:val="single" w:color="000000" w:sz="4" w:space="0"/>
              <w:right w:val="single" w:color="000000" w:sz="4" w:space="0"/>
            </w:tcBorders>
            <w:noWrap/>
            <w:vAlign w:val="center"/>
          </w:tcPr>
          <w:p w14:paraId="096495F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2502FDD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527" w:type="dxa"/>
            <w:tcBorders>
              <w:top w:val="single" w:color="000000" w:sz="4" w:space="0"/>
              <w:left w:val="single" w:color="000000" w:sz="4" w:space="0"/>
              <w:bottom w:val="single" w:color="000000" w:sz="4" w:space="0"/>
              <w:right w:val="single" w:color="000000" w:sz="4" w:space="0"/>
            </w:tcBorders>
            <w:noWrap/>
            <w:vAlign w:val="center"/>
          </w:tcPr>
          <w:p w14:paraId="68FF790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2" w:type="dxa"/>
            <w:tcBorders>
              <w:top w:val="single" w:color="000000" w:sz="4" w:space="0"/>
              <w:left w:val="single" w:color="000000" w:sz="4" w:space="0"/>
              <w:bottom w:val="single" w:color="000000" w:sz="4" w:space="0"/>
              <w:right w:val="single" w:color="000000" w:sz="4" w:space="0"/>
            </w:tcBorders>
            <w:noWrap/>
            <w:vAlign w:val="center"/>
          </w:tcPr>
          <w:p w14:paraId="61763AF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c>
          <w:tcPr>
            <w:tcW w:w="2367" w:type="dxa"/>
            <w:tcBorders>
              <w:top w:val="single" w:color="000000" w:sz="4" w:space="0"/>
              <w:left w:val="single" w:color="000000" w:sz="4" w:space="0"/>
              <w:bottom w:val="single" w:color="000000" w:sz="4" w:space="0"/>
              <w:right w:val="single" w:color="000000" w:sz="4" w:space="0"/>
            </w:tcBorders>
            <w:noWrap/>
            <w:vAlign w:val="center"/>
          </w:tcPr>
          <w:p w14:paraId="19ED605D">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r>
      <w:tr w14:paraId="5FD9A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8" w:type="dxa"/>
            <w:tcBorders>
              <w:top w:val="single" w:color="000000" w:sz="4" w:space="0"/>
              <w:left w:val="single" w:color="000000" w:sz="4" w:space="0"/>
              <w:bottom w:val="single" w:color="000000" w:sz="4" w:space="0"/>
              <w:right w:val="single" w:color="000000" w:sz="4" w:space="0"/>
            </w:tcBorders>
            <w:noWrap/>
            <w:vAlign w:val="center"/>
          </w:tcPr>
          <w:p w14:paraId="13AB536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390" w:type="dxa"/>
            <w:tcBorders>
              <w:top w:val="single" w:color="000000" w:sz="4" w:space="0"/>
              <w:left w:val="single" w:color="000000" w:sz="4" w:space="0"/>
              <w:bottom w:val="single" w:color="000000" w:sz="4" w:space="0"/>
              <w:right w:val="single" w:color="000000" w:sz="4" w:space="0"/>
            </w:tcBorders>
            <w:noWrap/>
            <w:vAlign w:val="center"/>
          </w:tcPr>
          <w:p w14:paraId="3B16F6A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可持续发展指标</w:t>
            </w:r>
          </w:p>
        </w:tc>
        <w:tc>
          <w:tcPr>
            <w:tcW w:w="1651" w:type="dxa"/>
            <w:tcBorders>
              <w:top w:val="single" w:color="000000" w:sz="4" w:space="0"/>
              <w:left w:val="single" w:color="000000" w:sz="4" w:space="0"/>
              <w:bottom w:val="single" w:color="000000" w:sz="4" w:space="0"/>
              <w:right w:val="single" w:color="000000" w:sz="4" w:space="0"/>
            </w:tcBorders>
            <w:noWrap/>
            <w:vAlign w:val="center"/>
          </w:tcPr>
          <w:p w14:paraId="0F5C6DDA">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基本生活保障制度</w:t>
            </w:r>
          </w:p>
        </w:tc>
        <w:tc>
          <w:tcPr>
            <w:tcW w:w="477" w:type="dxa"/>
            <w:tcBorders>
              <w:top w:val="single" w:color="000000" w:sz="4" w:space="0"/>
              <w:left w:val="single" w:color="000000" w:sz="4" w:space="0"/>
              <w:bottom w:val="single" w:color="000000" w:sz="4" w:space="0"/>
              <w:right w:val="single" w:color="000000" w:sz="4" w:space="0"/>
            </w:tcBorders>
            <w:noWrap/>
            <w:vAlign w:val="center"/>
          </w:tcPr>
          <w:p w14:paraId="5A8C8EB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61647FF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527" w:type="dxa"/>
            <w:tcBorders>
              <w:top w:val="single" w:color="000000" w:sz="4" w:space="0"/>
              <w:left w:val="single" w:color="000000" w:sz="4" w:space="0"/>
              <w:bottom w:val="single" w:color="000000" w:sz="4" w:space="0"/>
              <w:right w:val="single" w:color="000000" w:sz="4" w:space="0"/>
            </w:tcBorders>
            <w:noWrap/>
            <w:vAlign w:val="center"/>
          </w:tcPr>
          <w:p w14:paraId="292D2B0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2" w:type="dxa"/>
            <w:tcBorders>
              <w:top w:val="single" w:color="000000" w:sz="4" w:space="0"/>
              <w:left w:val="single" w:color="000000" w:sz="4" w:space="0"/>
              <w:bottom w:val="single" w:color="000000" w:sz="4" w:space="0"/>
              <w:right w:val="single" w:color="000000" w:sz="4" w:space="0"/>
            </w:tcBorders>
            <w:noWrap/>
            <w:vAlign w:val="center"/>
          </w:tcPr>
          <w:p w14:paraId="16576EC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c>
          <w:tcPr>
            <w:tcW w:w="2367" w:type="dxa"/>
            <w:tcBorders>
              <w:top w:val="single" w:color="000000" w:sz="4" w:space="0"/>
              <w:left w:val="single" w:color="000000" w:sz="4" w:space="0"/>
              <w:bottom w:val="single" w:color="000000" w:sz="4" w:space="0"/>
              <w:right w:val="single" w:color="000000" w:sz="4" w:space="0"/>
            </w:tcBorders>
            <w:noWrap/>
            <w:vAlign w:val="center"/>
          </w:tcPr>
          <w:p w14:paraId="7843366D">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r>
      <w:tr w14:paraId="6CB0C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8" w:type="dxa"/>
            <w:tcBorders>
              <w:top w:val="single" w:color="000000" w:sz="4" w:space="0"/>
              <w:left w:val="single" w:color="000000" w:sz="4" w:space="0"/>
              <w:bottom w:val="single" w:color="000000" w:sz="4" w:space="0"/>
              <w:right w:val="single" w:color="000000" w:sz="4" w:space="0"/>
            </w:tcBorders>
            <w:noWrap/>
            <w:vAlign w:val="center"/>
          </w:tcPr>
          <w:p w14:paraId="4DEF9D8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390" w:type="dxa"/>
            <w:tcBorders>
              <w:top w:val="single" w:color="000000" w:sz="4" w:space="0"/>
              <w:left w:val="single" w:color="000000" w:sz="4" w:space="0"/>
              <w:bottom w:val="single" w:color="000000" w:sz="4" w:space="0"/>
              <w:right w:val="single" w:color="000000" w:sz="4" w:space="0"/>
            </w:tcBorders>
            <w:noWrap/>
            <w:vAlign w:val="center"/>
          </w:tcPr>
          <w:p w14:paraId="0717FB16">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社会效益指标</w:t>
            </w:r>
          </w:p>
        </w:tc>
        <w:tc>
          <w:tcPr>
            <w:tcW w:w="1651" w:type="dxa"/>
            <w:tcBorders>
              <w:top w:val="single" w:color="000000" w:sz="4" w:space="0"/>
              <w:left w:val="single" w:color="000000" w:sz="4" w:space="0"/>
              <w:bottom w:val="single" w:color="000000" w:sz="4" w:space="0"/>
              <w:right w:val="single" w:color="000000" w:sz="4" w:space="0"/>
            </w:tcBorders>
            <w:noWrap/>
            <w:vAlign w:val="center"/>
          </w:tcPr>
          <w:p w14:paraId="6143B134">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长寿老人幸福指数</w:t>
            </w:r>
          </w:p>
        </w:tc>
        <w:tc>
          <w:tcPr>
            <w:tcW w:w="477" w:type="dxa"/>
            <w:tcBorders>
              <w:top w:val="single" w:color="000000" w:sz="4" w:space="0"/>
              <w:left w:val="single" w:color="000000" w:sz="4" w:space="0"/>
              <w:bottom w:val="single" w:color="000000" w:sz="4" w:space="0"/>
              <w:right w:val="single" w:color="000000" w:sz="4" w:space="0"/>
            </w:tcBorders>
            <w:noWrap/>
            <w:vAlign w:val="center"/>
          </w:tcPr>
          <w:p w14:paraId="71E97F4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定性</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1E0A2DC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高中低</w:t>
            </w:r>
          </w:p>
        </w:tc>
        <w:tc>
          <w:tcPr>
            <w:tcW w:w="527" w:type="dxa"/>
            <w:tcBorders>
              <w:top w:val="single" w:color="000000" w:sz="4" w:space="0"/>
              <w:left w:val="single" w:color="000000" w:sz="4" w:space="0"/>
              <w:bottom w:val="single" w:color="000000" w:sz="4" w:space="0"/>
              <w:right w:val="single" w:color="000000" w:sz="4" w:space="0"/>
            </w:tcBorders>
            <w:noWrap/>
            <w:vAlign w:val="center"/>
          </w:tcPr>
          <w:p w14:paraId="706BDDBB">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c>
          <w:tcPr>
            <w:tcW w:w="542" w:type="dxa"/>
            <w:tcBorders>
              <w:top w:val="single" w:color="000000" w:sz="4" w:space="0"/>
              <w:left w:val="single" w:color="000000" w:sz="4" w:space="0"/>
              <w:bottom w:val="single" w:color="000000" w:sz="4" w:space="0"/>
              <w:right w:val="single" w:color="000000" w:sz="4" w:space="0"/>
            </w:tcBorders>
            <w:noWrap/>
            <w:vAlign w:val="center"/>
          </w:tcPr>
          <w:p w14:paraId="40FDD9B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c>
          <w:tcPr>
            <w:tcW w:w="2367" w:type="dxa"/>
            <w:tcBorders>
              <w:top w:val="single" w:color="000000" w:sz="4" w:space="0"/>
              <w:left w:val="single" w:color="000000" w:sz="4" w:space="0"/>
              <w:bottom w:val="single" w:color="000000" w:sz="4" w:space="0"/>
              <w:right w:val="single" w:color="000000" w:sz="4" w:space="0"/>
            </w:tcBorders>
            <w:noWrap/>
            <w:vAlign w:val="center"/>
          </w:tcPr>
          <w:p w14:paraId="094E97BC">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r>
      <w:tr w14:paraId="0F73A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8" w:type="dxa"/>
            <w:tcBorders>
              <w:top w:val="single" w:color="000000" w:sz="4" w:space="0"/>
              <w:left w:val="single" w:color="000000" w:sz="4" w:space="0"/>
              <w:bottom w:val="single" w:color="000000" w:sz="4" w:space="0"/>
              <w:right w:val="single" w:color="000000" w:sz="4" w:space="0"/>
            </w:tcBorders>
            <w:noWrap/>
            <w:vAlign w:val="center"/>
          </w:tcPr>
          <w:p w14:paraId="32DE054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390" w:type="dxa"/>
            <w:tcBorders>
              <w:top w:val="single" w:color="000000" w:sz="4" w:space="0"/>
              <w:left w:val="single" w:color="000000" w:sz="4" w:space="0"/>
              <w:bottom w:val="single" w:color="000000" w:sz="4" w:space="0"/>
              <w:right w:val="single" w:color="000000" w:sz="4" w:space="0"/>
            </w:tcBorders>
            <w:noWrap/>
            <w:vAlign w:val="center"/>
          </w:tcPr>
          <w:p w14:paraId="4B2D923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经济效益指标</w:t>
            </w:r>
          </w:p>
        </w:tc>
        <w:tc>
          <w:tcPr>
            <w:tcW w:w="1651" w:type="dxa"/>
            <w:tcBorders>
              <w:top w:val="single" w:color="000000" w:sz="4" w:space="0"/>
              <w:left w:val="single" w:color="000000" w:sz="4" w:space="0"/>
              <w:bottom w:val="single" w:color="000000" w:sz="4" w:space="0"/>
              <w:right w:val="single" w:color="000000" w:sz="4" w:space="0"/>
            </w:tcBorders>
            <w:noWrap/>
            <w:vAlign w:val="center"/>
          </w:tcPr>
          <w:p w14:paraId="6F5B3497">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长寿老人生活水平</w:t>
            </w:r>
          </w:p>
        </w:tc>
        <w:tc>
          <w:tcPr>
            <w:tcW w:w="477" w:type="dxa"/>
            <w:tcBorders>
              <w:top w:val="single" w:color="000000" w:sz="4" w:space="0"/>
              <w:left w:val="single" w:color="000000" w:sz="4" w:space="0"/>
              <w:bottom w:val="single" w:color="000000" w:sz="4" w:space="0"/>
              <w:right w:val="single" w:color="000000" w:sz="4" w:space="0"/>
            </w:tcBorders>
            <w:noWrap/>
            <w:vAlign w:val="center"/>
          </w:tcPr>
          <w:p w14:paraId="75D8423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定性</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009EBE6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高中低</w:t>
            </w:r>
          </w:p>
        </w:tc>
        <w:tc>
          <w:tcPr>
            <w:tcW w:w="527" w:type="dxa"/>
            <w:tcBorders>
              <w:top w:val="single" w:color="000000" w:sz="4" w:space="0"/>
              <w:left w:val="single" w:color="000000" w:sz="4" w:space="0"/>
              <w:bottom w:val="single" w:color="000000" w:sz="4" w:space="0"/>
              <w:right w:val="single" w:color="000000" w:sz="4" w:space="0"/>
            </w:tcBorders>
            <w:noWrap/>
            <w:vAlign w:val="center"/>
          </w:tcPr>
          <w:p w14:paraId="37B5763F">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c>
          <w:tcPr>
            <w:tcW w:w="542" w:type="dxa"/>
            <w:tcBorders>
              <w:top w:val="single" w:color="000000" w:sz="4" w:space="0"/>
              <w:left w:val="single" w:color="000000" w:sz="4" w:space="0"/>
              <w:bottom w:val="single" w:color="000000" w:sz="4" w:space="0"/>
              <w:right w:val="single" w:color="000000" w:sz="4" w:space="0"/>
            </w:tcBorders>
            <w:noWrap/>
            <w:vAlign w:val="center"/>
          </w:tcPr>
          <w:p w14:paraId="69FEEA8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c>
          <w:tcPr>
            <w:tcW w:w="2367" w:type="dxa"/>
            <w:tcBorders>
              <w:top w:val="single" w:color="000000" w:sz="4" w:space="0"/>
              <w:left w:val="single" w:color="000000" w:sz="4" w:space="0"/>
              <w:bottom w:val="single" w:color="000000" w:sz="4" w:space="0"/>
              <w:right w:val="single" w:color="000000" w:sz="4" w:space="0"/>
            </w:tcBorders>
            <w:noWrap/>
            <w:vAlign w:val="center"/>
          </w:tcPr>
          <w:p w14:paraId="6CFC5254">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r>
      <w:tr w14:paraId="607D2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8" w:type="dxa"/>
            <w:tcBorders>
              <w:top w:val="single" w:color="000000" w:sz="4" w:space="0"/>
              <w:left w:val="single" w:color="000000" w:sz="4" w:space="0"/>
              <w:bottom w:val="single" w:color="000000" w:sz="4" w:space="0"/>
              <w:right w:val="single" w:color="000000" w:sz="4" w:space="0"/>
            </w:tcBorders>
            <w:noWrap/>
            <w:vAlign w:val="center"/>
          </w:tcPr>
          <w:p w14:paraId="19C126D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1390" w:type="dxa"/>
            <w:tcBorders>
              <w:top w:val="single" w:color="000000" w:sz="4" w:space="0"/>
              <w:left w:val="single" w:color="000000" w:sz="4" w:space="0"/>
              <w:bottom w:val="single" w:color="000000" w:sz="4" w:space="0"/>
              <w:right w:val="single" w:color="000000" w:sz="4" w:space="0"/>
            </w:tcBorders>
            <w:noWrap/>
            <w:vAlign w:val="center"/>
          </w:tcPr>
          <w:p w14:paraId="4D04CE8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服务对象满意度指标</w:t>
            </w:r>
          </w:p>
        </w:tc>
        <w:tc>
          <w:tcPr>
            <w:tcW w:w="1651" w:type="dxa"/>
            <w:tcBorders>
              <w:top w:val="single" w:color="000000" w:sz="4" w:space="0"/>
              <w:left w:val="single" w:color="000000" w:sz="4" w:space="0"/>
              <w:bottom w:val="single" w:color="000000" w:sz="4" w:space="0"/>
              <w:right w:val="single" w:color="000000" w:sz="4" w:space="0"/>
            </w:tcBorders>
            <w:noWrap/>
            <w:vAlign w:val="center"/>
          </w:tcPr>
          <w:p w14:paraId="621C79E7">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政策知晓率</w:t>
            </w:r>
          </w:p>
        </w:tc>
        <w:tc>
          <w:tcPr>
            <w:tcW w:w="477" w:type="dxa"/>
            <w:tcBorders>
              <w:top w:val="single" w:color="000000" w:sz="4" w:space="0"/>
              <w:left w:val="single" w:color="000000" w:sz="4" w:space="0"/>
              <w:bottom w:val="single" w:color="000000" w:sz="4" w:space="0"/>
              <w:right w:val="single" w:color="000000" w:sz="4" w:space="0"/>
            </w:tcBorders>
            <w:noWrap/>
            <w:vAlign w:val="center"/>
          </w:tcPr>
          <w:p w14:paraId="65EC055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3B003B4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527" w:type="dxa"/>
            <w:tcBorders>
              <w:top w:val="single" w:color="000000" w:sz="4" w:space="0"/>
              <w:left w:val="single" w:color="000000" w:sz="4" w:space="0"/>
              <w:bottom w:val="single" w:color="000000" w:sz="4" w:space="0"/>
              <w:right w:val="single" w:color="000000" w:sz="4" w:space="0"/>
            </w:tcBorders>
            <w:noWrap/>
            <w:vAlign w:val="center"/>
          </w:tcPr>
          <w:p w14:paraId="2977DE1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2" w:type="dxa"/>
            <w:tcBorders>
              <w:top w:val="single" w:color="000000" w:sz="4" w:space="0"/>
              <w:left w:val="single" w:color="000000" w:sz="4" w:space="0"/>
              <w:bottom w:val="single" w:color="000000" w:sz="4" w:space="0"/>
              <w:right w:val="single" w:color="000000" w:sz="4" w:space="0"/>
            </w:tcBorders>
            <w:noWrap/>
            <w:vAlign w:val="center"/>
          </w:tcPr>
          <w:p w14:paraId="0A24AC6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c>
          <w:tcPr>
            <w:tcW w:w="2367" w:type="dxa"/>
            <w:tcBorders>
              <w:top w:val="single" w:color="000000" w:sz="4" w:space="0"/>
              <w:left w:val="single" w:color="000000" w:sz="4" w:space="0"/>
              <w:bottom w:val="single" w:color="000000" w:sz="4" w:space="0"/>
              <w:right w:val="single" w:color="000000" w:sz="4" w:space="0"/>
            </w:tcBorders>
            <w:noWrap/>
            <w:vAlign w:val="center"/>
          </w:tcPr>
          <w:p w14:paraId="75C85A97">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r>
      <w:tr w14:paraId="0FAF9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8" w:type="dxa"/>
            <w:tcBorders>
              <w:top w:val="single" w:color="000000" w:sz="4" w:space="0"/>
              <w:left w:val="single" w:color="000000" w:sz="4" w:space="0"/>
              <w:bottom w:val="single" w:color="000000" w:sz="4" w:space="0"/>
              <w:right w:val="single" w:color="000000" w:sz="4" w:space="0"/>
            </w:tcBorders>
            <w:noWrap/>
            <w:vAlign w:val="center"/>
          </w:tcPr>
          <w:p w14:paraId="2D15FDB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1390" w:type="dxa"/>
            <w:tcBorders>
              <w:top w:val="single" w:color="000000" w:sz="4" w:space="0"/>
              <w:left w:val="single" w:color="000000" w:sz="4" w:space="0"/>
              <w:bottom w:val="single" w:color="000000" w:sz="4" w:space="0"/>
              <w:right w:val="single" w:color="000000" w:sz="4" w:space="0"/>
            </w:tcBorders>
            <w:noWrap/>
            <w:vAlign w:val="center"/>
          </w:tcPr>
          <w:p w14:paraId="248B96F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帮扶对象满意度指标</w:t>
            </w:r>
          </w:p>
        </w:tc>
        <w:tc>
          <w:tcPr>
            <w:tcW w:w="1651" w:type="dxa"/>
            <w:tcBorders>
              <w:top w:val="single" w:color="000000" w:sz="4" w:space="0"/>
              <w:left w:val="single" w:color="000000" w:sz="4" w:space="0"/>
              <w:bottom w:val="single" w:color="000000" w:sz="4" w:space="0"/>
              <w:right w:val="single" w:color="000000" w:sz="4" w:space="0"/>
            </w:tcBorders>
            <w:noWrap/>
            <w:vAlign w:val="center"/>
          </w:tcPr>
          <w:p w14:paraId="679B136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工作满意度</w:t>
            </w:r>
          </w:p>
        </w:tc>
        <w:tc>
          <w:tcPr>
            <w:tcW w:w="477" w:type="dxa"/>
            <w:tcBorders>
              <w:top w:val="single" w:color="000000" w:sz="4" w:space="0"/>
              <w:left w:val="single" w:color="000000" w:sz="4" w:space="0"/>
              <w:bottom w:val="single" w:color="000000" w:sz="4" w:space="0"/>
              <w:right w:val="single" w:color="000000" w:sz="4" w:space="0"/>
            </w:tcBorders>
            <w:noWrap/>
            <w:vAlign w:val="center"/>
          </w:tcPr>
          <w:p w14:paraId="62AA8C6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555D277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527" w:type="dxa"/>
            <w:tcBorders>
              <w:top w:val="single" w:color="000000" w:sz="4" w:space="0"/>
              <w:left w:val="single" w:color="000000" w:sz="4" w:space="0"/>
              <w:bottom w:val="single" w:color="000000" w:sz="4" w:space="0"/>
              <w:right w:val="single" w:color="000000" w:sz="4" w:space="0"/>
            </w:tcBorders>
            <w:noWrap/>
            <w:vAlign w:val="center"/>
          </w:tcPr>
          <w:p w14:paraId="65AA922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2" w:type="dxa"/>
            <w:tcBorders>
              <w:top w:val="single" w:color="000000" w:sz="4" w:space="0"/>
              <w:left w:val="single" w:color="000000" w:sz="4" w:space="0"/>
              <w:bottom w:val="single" w:color="000000" w:sz="4" w:space="0"/>
              <w:right w:val="single" w:color="000000" w:sz="4" w:space="0"/>
            </w:tcBorders>
            <w:noWrap/>
            <w:vAlign w:val="center"/>
          </w:tcPr>
          <w:p w14:paraId="300165C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c>
          <w:tcPr>
            <w:tcW w:w="2367" w:type="dxa"/>
            <w:tcBorders>
              <w:top w:val="single" w:color="000000" w:sz="4" w:space="0"/>
              <w:left w:val="single" w:color="000000" w:sz="4" w:space="0"/>
              <w:bottom w:val="single" w:color="000000" w:sz="4" w:space="0"/>
              <w:right w:val="single" w:color="000000" w:sz="4" w:space="0"/>
            </w:tcBorders>
            <w:noWrap/>
            <w:vAlign w:val="center"/>
          </w:tcPr>
          <w:p w14:paraId="26982637">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r>
      <w:tr w14:paraId="2BF33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8" w:type="dxa"/>
            <w:tcBorders>
              <w:top w:val="single" w:color="000000" w:sz="4" w:space="0"/>
              <w:left w:val="single" w:color="000000" w:sz="4" w:space="0"/>
              <w:bottom w:val="single" w:color="000000" w:sz="4" w:space="0"/>
              <w:right w:val="single" w:color="000000" w:sz="4" w:space="0"/>
            </w:tcBorders>
            <w:noWrap/>
            <w:vAlign w:val="center"/>
          </w:tcPr>
          <w:p w14:paraId="29BDA2B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390" w:type="dxa"/>
            <w:tcBorders>
              <w:top w:val="single" w:color="000000" w:sz="4" w:space="0"/>
              <w:left w:val="single" w:color="000000" w:sz="4" w:space="0"/>
              <w:bottom w:val="single" w:color="000000" w:sz="4" w:space="0"/>
              <w:right w:val="single" w:color="000000" w:sz="4" w:space="0"/>
            </w:tcBorders>
            <w:noWrap/>
            <w:vAlign w:val="center"/>
          </w:tcPr>
          <w:p w14:paraId="17F399E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经济成本指标</w:t>
            </w:r>
          </w:p>
        </w:tc>
        <w:tc>
          <w:tcPr>
            <w:tcW w:w="1651" w:type="dxa"/>
            <w:tcBorders>
              <w:top w:val="single" w:color="000000" w:sz="4" w:space="0"/>
              <w:left w:val="single" w:color="000000" w:sz="4" w:space="0"/>
              <w:bottom w:val="single" w:color="000000" w:sz="4" w:space="0"/>
              <w:right w:val="single" w:color="000000" w:sz="4" w:space="0"/>
            </w:tcBorders>
            <w:noWrap/>
            <w:vAlign w:val="center"/>
          </w:tcPr>
          <w:p w14:paraId="3BF6CC0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80-89岁标准</w:t>
            </w:r>
          </w:p>
        </w:tc>
        <w:tc>
          <w:tcPr>
            <w:tcW w:w="477" w:type="dxa"/>
            <w:tcBorders>
              <w:top w:val="single" w:color="000000" w:sz="4" w:space="0"/>
              <w:left w:val="single" w:color="000000" w:sz="4" w:space="0"/>
              <w:bottom w:val="single" w:color="000000" w:sz="4" w:space="0"/>
              <w:right w:val="single" w:color="000000" w:sz="4" w:space="0"/>
            </w:tcBorders>
            <w:noWrap/>
            <w:vAlign w:val="center"/>
          </w:tcPr>
          <w:p w14:paraId="6427D0B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1411E4B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80</w:t>
            </w:r>
          </w:p>
        </w:tc>
        <w:tc>
          <w:tcPr>
            <w:tcW w:w="527" w:type="dxa"/>
            <w:tcBorders>
              <w:top w:val="single" w:color="000000" w:sz="4" w:space="0"/>
              <w:left w:val="single" w:color="000000" w:sz="4" w:space="0"/>
              <w:bottom w:val="single" w:color="000000" w:sz="4" w:space="0"/>
              <w:right w:val="single" w:color="000000" w:sz="4" w:space="0"/>
            </w:tcBorders>
            <w:noWrap/>
            <w:vAlign w:val="center"/>
          </w:tcPr>
          <w:p w14:paraId="24B2090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元/人</w:t>
            </w:r>
          </w:p>
        </w:tc>
        <w:tc>
          <w:tcPr>
            <w:tcW w:w="542" w:type="dxa"/>
            <w:tcBorders>
              <w:top w:val="single" w:color="000000" w:sz="4" w:space="0"/>
              <w:left w:val="single" w:color="000000" w:sz="4" w:space="0"/>
              <w:bottom w:val="single" w:color="000000" w:sz="4" w:space="0"/>
              <w:right w:val="single" w:color="000000" w:sz="4" w:space="0"/>
            </w:tcBorders>
            <w:noWrap/>
            <w:vAlign w:val="center"/>
          </w:tcPr>
          <w:p w14:paraId="246F5F5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c>
          <w:tcPr>
            <w:tcW w:w="2367" w:type="dxa"/>
            <w:tcBorders>
              <w:top w:val="single" w:color="000000" w:sz="4" w:space="0"/>
              <w:left w:val="single" w:color="000000" w:sz="4" w:space="0"/>
              <w:bottom w:val="single" w:color="000000" w:sz="4" w:space="0"/>
              <w:right w:val="single" w:color="000000" w:sz="4" w:space="0"/>
            </w:tcBorders>
            <w:noWrap/>
            <w:vAlign w:val="center"/>
          </w:tcPr>
          <w:p w14:paraId="575EBADC">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r>
      <w:tr w14:paraId="09BE2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8" w:type="dxa"/>
            <w:tcBorders>
              <w:top w:val="single" w:color="000000" w:sz="4" w:space="0"/>
              <w:left w:val="single" w:color="000000" w:sz="4" w:space="0"/>
              <w:bottom w:val="single" w:color="000000" w:sz="4" w:space="0"/>
              <w:right w:val="single" w:color="000000" w:sz="4" w:space="0"/>
            </w:tcBorders>
            <w:noWrap/>
            <w:vAlign w:val="center"/>
          </w:tcPr>
          <w:p w14:paraId="7C31286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390" w:type="dxa"/>
            <w:tcBorders>
              <w:top w:val="single" w:color="000000" w:sz="4" w:space="0"/>
              <w:left w:val="single" w:color="000000" w:sz="4" w:space="0"/>
              <w:bottom w:val="single" w:color="000000" w:sz="4" w:space="0"/>
              <w:right w:val="single" w:color="000000" w:sz="4" w:space="0"/>
            </w:tcBorders>
            <w:noWrap/>
            <w:vAlign w:val="center"/>
          </w:tcPr>
          <w:p w14:paraId="5C9D24B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经济成本指标</w:t>
            </w:r>
          </w:p>
        </w:tc>
        <w:tc>
          <w:tcPr>
            <w:tcW w:w="1651" w:type="dxa"/>
            <w:tcBorders>
              <w:top w:val="single" w:color="000000" w:sz="4" w:space="0"/>
              <w:left w:val="single" w:color="000000" w:sz="4" w:space="0"/>
              <w:bottom w:val="single" w:color="000000" w:sz="4" w:space="0"/>
              <w:right w:val="single" w:color="000000" w:sz="4" w:space="0"/>
            </w:tcBorders>
            <w:noWrap/>
            <w:vAlign w:val="center"/>
          </w:tcPr>
          <w:p w14:paraId="2CA9F66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100岁以上标准</w:t>
            </w:r>
          </w:p>
        </w:tc>
        <w:tc>
          <w:tcPr>
            <w:tcW w:w="477" w:type="dxa"/>
            <w:tcBorders>
              <w:top w:val="single" w:color="000000" w:sz="4" w:space="0"/>
              <w:left w:val="single" w:color="000000" w:sz="4" w:space="0"/>
              <w:bottom w:val="single" w:color="000000" w:sz="4" w:space="0"/>
              <w:right w:val="single" w:color="000000" w:sz="4" w:space="0"/>
            </w:tcBorders>
            <w:noWrap/>
            <w:vAlign w:val="center"/>
          </w:tcPr>
          <w:p w14:paraId="5E9EECB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0A880B1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2000</w:t>
            </w:r>
          </w:p>
        </w:tc>
        <w:tc>
          <w:tcPr>
            <w:tcW w:w="527" w:type="dxa"/>
            <w:tcBorders>
              <w:top w:val="single" w:color="000000" w:sz="4" w:space="0"/>
              <w:left w:val="single" w:color="000000" w:sz="4" w:space="0"/>
              <w:bottom w:val="single" w:color="000000" w:sz="4" w:space="0"/>
              <w:right w:val="single" w:color="000000" w:sz="4" w:space="0"/>
            </w:tcBorders>
            <w:noWrap/>
            <w:vAlign w:val="center"/>
          </w:tcPr>
          <w:p w14:paraId="28B7294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元/人</w:t>
            </w:r>
          </w:p>
        </w:tc>
        <w:tc>
          <w:tcPr>
            <w:tcW w:w="542" w:type="dxa"/>
            <w:tcBorders>
              <w:top w:val="single" w:color="000000" w:sz="4" w:space="0"/>
              <w:left w:val="single" w:color="000000" w:sz="4" w:space="0"/>
              <w:bottom w:val="single" w:color="000000" w:sz="4" w:space="0"/>
              <w:right w:val="single" w:color="000000" w:sz="4" w:space="0"/>
            </w:tcBorders>
            <w:noWrap/>
            <w:vAlign w:val="center"/>
          </w:tcPr>
          <w:p w14:paraId="0D08FD9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c>
          <w:tcPr>
            <w:tcW w:w="2367" w:type="dxa"/>
            <w:tcBorders>
              <w:top w:val="single" w:color="000000" w:sz="4" w:space="0"/>
              <w:left w:val="single" w:color="000000" w:sz="4" w:space="0"/>
              <w:bottom w:val="single" w:color="000000" w:sz="4" w:space="0"/>
              <w:right w:val="single" w:color="000000" w:sz="4" w:space="0"/>
            </w:tcBorders>
            <w:noWrap/>
            <w:vAlign w:val="center"/>
          </w:tcPr>
          <w:p w14:paraId="498843A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每增加1岁。每人补助增加200元/月</w:t>
            </w:r>
          </w:p>
        </w:tc>
      </w:tr>
      <w:tr w14:paraId="7FBDF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8" w:type="dxa"/>
            <w:tcBorders>
              <w:top w:val="single" w:color="000000" w:sz="4" w:space="0"/>
              <w:left w:val="single" w:color="000000" w:sz="4" w:space="0"/>
              <w:bottom w:val="single" w:color="000000" w:sz="4" w:space="0"/>
              <w:right w:val="single" w:color="000000" w:sz="4" w:space="0"/>
            </w:tcBorders>
            <w:noWrap/>
            <w:vAlign w:val="center"/>
          </w:tcPr>
          <w:p w14:paraId="0118EDB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390" w:type="dxa"/>
            <w:tcBorders>
              <w:top w:val="single" w:color="000000" w:sz="4" w:space="0"/>
              <w:left w:val="single" w:color="000000" w:sz="4" w:space="0"/>
              <w:bottom w:val="single" w:color="000000" w:sz="4" w:space="0"/>
              <w:right w:val="single" w:color="000000" w:sz="4" w:space="0"/>
            </w:tcBorders>
            <w:noWrap/>
            <w:vAlign w:val="center"/>
          </w:tcPr>
          <w:p w14:paraId="5FDD8236">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经济成本指标</w:t>
            </w:r>
          </w:p>
        </w:tc>
        <w:tc>
          <w:tcPr>
            <w:tcW w:w="1651" w:type="dxa"/>
            <w:tcBorders>
              <w:top w:val="single" w:color="000000" w:sz="4" w:space="0"/>
              <w:left w:val="single" w:color="000000" w:sz="4" w:space="0"/>
              <w:bottom w:val="single" w:color="000000" w:sz="4" w:space="0"/>
              <w:right w:val="single" w:color="000000" w:sz="4" w:space="0"/>
            </w:tcBorders>
            <w:noWrap/>
            <w:vAlign w:val="center"/>
          </w:tcPr>
          <w:p w14:paraId="07912A5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90-99岁标准</w:t>
            </w:r>
          </w:p>
        </w:tc>
        <w:tc>
          <w:tcPr>
            <w:tcW w:w="477" w:type="dxa"/>
            <w:tcBorders>
              <w:top w:val="single" w:color="000000" w:sz="4" w:space="0"/>
              <w:left w:val="single" w:color="000000" w:sz="4" w:space="0"/>
              <w:bottom w:val="single" w:color="000000" w:sz="4" w:space="0"/>
              <w:right w:val="single" w:color="000000" w:sz="4" w:space="0"/>
            </w:tcBorders>
            <w:noWrap/>
            <w:vAlign w:val="center"/>
          </w:tcPr>
          <w:p w14:paraId="212EAAD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4EE2C85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1000</w:t>
            </w:r>
          </w:p>
        </w:tc>
        <w:tc>
          <w:tcPr>
            <w:tcW w:w="527" w:type="dxa"/>
            <w:tcBorders>
              <w:top w:val="single" w:color="000000" w:sz="4" w:space="0"/>
              <w:left w:val="single" w:color="000000" w:sz="4" w:space="0"/>
              <w:bottom w:val="single" w:color="000000" w:sz="4" w:space="0"/>
              <w:right w:val="single" w:color="000000" w:sz="4" w:space="0"/>
            </w:tcBorders>
            <w:noWrap/>
            <w:vAlign w:val="center"/>
          </w:tcPr>
          <w:p w14:paraId="7A8077E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元/人</w:t>
            </w:r>
          </w:p>
        </w:tc>
        <w:tc>
          <w:tcPr>
            <w:tcW w:w="542" w:type="dxa"/>
            <w:tcBorders>
              <w:top w:val="single" w:color="000000" w:sz="4" w:space="0"/>
              <w:left w:val="single" w:color="000000" w:sz="4" w:space="0"/>
              <w:bottom w:val="single" w:color="000000" w:sz="4" w:space="0"/>
              <w:right w:val="single" w:color="000000" w:sz="4" w:space="0"/>
            </w:tcBorders>
            <w:noWrap/>
            <w:vAlign w:val="center"/>
          </w:tcPr>
          <w:p w14:paraId="4A0143B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c>
          <w:tcPr>
            <w:tcW w:w="2367" w:type="dxa"/>
            <w:tcBorders>
              <w:top w:val="single" w:color="000000" w:sz="4" w:space="0"/>
              <w:left w:val="single" w:color="000000" w:sz="4" w:space="0"/>
              <w:bottom w:val="single" w:color="000000" w:sz="4" w:space="0"/>
              <w:right w:val="single" w:color="000000" w:sz="4" w:space="0"/>
            </w:tcBorders>
            <w:noWrap/>
            <w:vAlign w:val="center"/>
          </w:tcPr>
          <w:p w14:paraId="51D333C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每增加1岁。每人补助增加100元/月</w:t>
            </w:r>
          </w:p>
        </w:tc>
      </w:tr>
    </w:tbl>
    <w:p w14:paraId="14C2A53E">
      <w:pPr>
        <w:pageBreakBefore w:val="0"/>
        <w:tabs>
          <w:tab w:val="center" w:pos="4153"/>
          <w:tab w:val="right" w:pos="8306"/>
        </w:tabs>
        <w:kinsoku/>
        <w:wordWrap/>
        <w:overflowPunct/>
        <w:topLinePunct w:val="0"/>
        <w:autoSpaceDE/>
        <w:autoSpaceDN/>
        <w:bidi w:val="0"/>
        <w:spacing w:line="560" w:lineRule="exact"/>
        <w:rPr>
          <w:rFonts w:hint="eastAsia" w:ascii="宋体" w:eastAsia="仿宋_GB2312"/>
          <w:b w:val="0"/>
          <w:kern w:val="2"/>
          <w:sz w:val="32"/>
          <w:szCs w:val="21"/>
          <w:lang w:val="en-US" w:eastAsia="zh-CN"/>
        </w:rPr>
      </w:pPr>
    </w:p>
    <w:p w14:paraId="5D7594D4">
      <w:pPr>
        <w:pageBreakBefore w:val="0"/>
        <w:kinsoku/>
        <w:wordWrap/>
        <w:overflowPunct/>
        <w:topLinePunct w:val="0"/>
        <w:autoSpaceDE/>
        <w:autoSpaceDN/>
        <w:bidi w:val="0"/>
        <w:snapToGrid w:val="0"/>
        <w:spacing w:line="560" w:lineRule="exact"/>
        <w:ind w:firstLine="640" w:firstLineChars="200"/>
        <w:rPr>
          <w:rFonts w:ascii="仿宋_GB2312" w:eastAsia="仿宋_GB2312"/>
          <w:b w:val="0"/>
          <w:bCs/>
          <w:sz w:val="32"/>
          <w:szCs w:val="32"/>
        </w:rPr>
      </w:pPr>
      <w:r>
        <w:rPr>
          <w:rFonts w:hint="eastAsia" w:ascii="楷体_GB2312" w:eastAsia="仿宋_GB2312"/>
          <w:b w:val="0"/>
          <w:sz w:val="32"/>
          <w:lang w:val="en-US" w:eastAsia="zh-CN"/>
        </w:rPr>
        <w:t>4、</w:t>
      </w:r>
      <w:r>
        <w:rPr>
          <w:rFonts w:hint="eastAsia" w:ascii="楷体_GB2312" w:eastAsia="仿宋_GB2312"/>
          <w:b w:val="0"/>
          <w:sz w:val="32"/>
        </w:rPr>
        <w:t>实施可行性</w:t>
      </w:r>
    </w:p>
    <w:p w14:paraId="3E066640">
      <w:pPr>
        <w:pageBreakBefore w:val="0"/>
        <w:kinsoku/>
        <w:wordWrap/>
        <w:overflowPunct/>
        <w:topLinePunct w:val="0"/>
        <w:autoSpaceDE/>
        <w:autoSpaceDN/>
        <w:bidi w:val="0"/>
        <w:snapToGrid w:val="0"/>
        <w:spacing w:line="560" w:lineRule="exact"/>
        <w:ind w:firstLine="640" w:firstLineChars="200"/>
        <w:rPr>
          <w:rFonts w:hint="default"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eastAsia="zh-CN"/>
        </w:rPr>
        <w:t>项目技术</w:t>
      </w:r>
      <w:r>
        <w:rPr>
          <w:rFonts w:hint="eastAsia" w:ascii="仿宋_GB2312" w:hAnsi="仿宋_GB2312" w:eastAsia="仿宋_GB2312" w:cs="仿宋_GB2312"/>
          <w:b w:val="0"/>
          <w:sz w:val="32"/>
          <w:szCs w:val="32"/>
          <w:lang w:val="en-US" w:eastAsia="zh-CN"/>
        </w:rPr>
        <w:t>路径</w:t>
      </w:r>
      <w:r>
        <w:rPr>
          <w:rFonts w:hint="eastAsia" w:ascii="仿宋_GB2312" w:hAnsi="仿宋_GB2312" w:eastAsia="仿宋_GB2312" w:cs="仿宋_GB2312"/>
          <w:b w:val="0"/>
          <w:sz w:val="32"/>
          <w:szCs w:val="32"/>
          <w:lang w:eastAsia="zh-CN"/>
        </w:rPr>
        <w:t>可行，工作内容、方法、进度安排合理，保障措施相对完备，组织机构健全，职责分工基本合理，于每月支付，进一步明确项目路线，细化工作内容，完善技术手段。</w:t>
      </w:r>
    </w:p>
    <w:p w14:paraId="5D3271ED">
      <w:pPr>
        <w:pageBreakBefore w:val="0"/>
        <w:kinsoku/>
        <w:wordWrap/>
        <w:overflowPunct/>
        <w:topLinePunct w:val="0"/>
        <w:autoSpaceDE/>
        <w:autoSpaceDN/>
        <w:bidi w:val="0"/>
        <w:snapToGrid w:val="0"/>
        <w:spacing w:line="560" w:lineRule="exact"/>
        <w:ind w:firstLine="640" w:firstLineChars="200"/>
        <w:rPr>
          <w:rFonts w:ascii="楷体_GB2312" w:eastAsia="仿宋_GB2312"/>
          <w:b w:val="0"/>
          <w:sz w:val="32"/>
          <w:szCs w:val="32"/>
        </w:rPr>
      </w:pPr>
      <w:r>
        <w:rPr>
          <w:rFonts w:hint="eastAsia" w:ascii="楷体_GB2312" w:eastAsia="仿宋_GB2312"/>
          <w:b w:val="0"/>
          <w:sz w:val="32"/>
          <w:szCs w:val="32"/>
          <w:lang w:val="en-US" w:eastAsia="zh-CN"/>
        </w:rPr>
        <w:t>5、</w:t>
      </w:r>
      <w:r>
        <w:rPr>
          <w:rFonts w:hint="eastAsia" w:ascii="楷体_GB2312" w:eastAsia="仿宋_GB2312"/>
          <w:b w:val="0"/>
          <w:sz w:val="32"/>
          <w:szCs w:val="32"/>
        </w:rPr>
        <w:t>筹资合规性</w:t>
      </w:r>
    </w:p>
    <w:p w14:paraId="007CAC3E">
      <w:pPr>
        <w:pageBreakBefore w:val="0"/>
        <w:kinsoku/>
        <w:wordWrap/>
        <w:overflowPunct/>
        <w:topLinePunct w:val="0"/>
        <w:autoSpaceDE/>
        <w:autoSpaceDN/>
        <w:bidi w:val="0"/>
        <w:snapToGrid w:val="0"/>
        <w:spacing w:line="560" w:lineRule="exact"/>
        <w:ind w:firstLine="640" w:firstLineChars="200"/>
        <w:rPr>
          <w:rFonts w:hint="eastAsia" w:ascii="仿宋_GB2312" w:hAnsi="宋体" w:eastAsia="仿宋_GB2312"/>
          <w:b w:val="0"/>
          <w:sz w:val="32"/>
          <w:szCs w:val="32"/>
          <w:lang w:eastAsia="zh-CN"/>
        </w:rPr>
      </w:pPr>
      <w:r>
        <w:rPr>
          <w:rFonts w:hint="eastAsia" w:ascii="仿宋_GB2312" w:hAnsi="宋体" w:eastAsia="仿宋_GB2312"/>
          <w:b w:val="0"/>
          <w:sz w:val="32"/>
          <w:szCs w:val="32"/>
          <w:lang w:eastAsia="zh-CN"/>
        </w:rPr>
        <w:t>资金来源符合相关规定，资金支出方式基本合理，风险可控。</w:t>
      </w:r>
    </w:p>
    <w:p w14:paraId="09642A34">
      <w:pPr>
        <w:pageBreakBefore w:val="0"/>
        <w:kinsoku/>
        <w:wordWrap/>
        <w:overflowPunct/>
        <w:topLinePunct w:val="0"/>
        <w:autoSpaceDE/>
        <w:autoSpaceDN/>
        <w:bidi w:val="0"/>
        <w:snapToGrid w:val="0"/>
        <w:spacing w:line="560" w:lineRule="exact"/>
        <w:ind w:firstLine="640" w:firstLineChars="200"/>
        <w:rPr>
          <w:rFonts w:ascii="Times New Roman" w:hAnsi="Times New Roman" w:eastAsia="仿宋_GB2312"/>
          <w:b w:val="0"/>
          <w:sz w:val="32"/>
          <w:szCs w:val="32"/>
        </w:rPr>
      </w:pPr>
      <w:r>
        <w:rPr>
          <w:rFonts w:hint="eastAsia" w:ascii="黑体" w:eastAsia="仿宋_GB2312"/>
          <w:b w:val="0"/>
          <w:sz w:val="32"/>
          <w:szCs w:val="32"/>
          <w:lang w:eastAsia="zh-CN"/>
        </w:rPr>
        <w:t>（</w:t>
      </w:r>
      <w:r>
        <w:rPr>
          <w:rFonts w:hint="eastAsia" w:ascii="黑体" w:eastAsia="仿宋_GB2312"/>
          <w:b w:val="0"/>
          <w:sz w:val="32"/>
          <w:szCs w:val="32"/>
          <w:lang w:val="en-US" w:eastAsia="zh-CN"/>
        </w:rPr>
        <w:t>五</w:t>
      </w:r>
      <w:r>
        <w:rPr>
          <w:rFonts w:hint="eastAsia" w:ascii="黑体" w:eastAsia="仿宋_GB2312"/>
          <w:b w:val="0"/>
          <w:sz w:val="32"/>
          <w:szCs w:val="32"/>
          <w:lang w:eastAsia="zh-CN"/>
        </w:rPr>
        <w:t>）</w:t>
      </w:r>
      <w:r>
        <w:rPr>
          <w:rFonts w:hint="eastAsia" w:ascii="黑体" w:eastAsia="仿宋_GB2312"/>
          <w:b w:val="0"/>
          <w:sz w:val="32"/>
          <w:szCs w:val="32"/>
        </w:rPr>
        <w:t>评估结论</w:t>
      </w:r>
    </w:p>
    <w:p w14:paraId="25C93AFA">
      <w:pPr>
        <w:pStyle w:val="10"/>
        <w:pageBreakBefore w:val="0"/>
        <w:kinsoku/>
        <w:wordWrap/>
        <w:overflowPunct/>
        <w:topLinePunct w:val="0"/>
        <w:autoSpaceDE/>
        <w:autoSpaceDN/>
        <w:bidi w:val="0"/>
        <w:spacing w:line="560" w:lineRule="exact"/>
        <w:ind w:left="49" w:firstLine="640" w:firstLineChars="200"/>
        <w:rPr>
          <w:rFonts w:hint="eastAsia" w:ascii="Times New Roman" w:hAnsi="Times New Roman" w:eastAsia="仿宋_GB2312"/>
          <w:b w:val="0"/>
          <w:sz w:val="32"/>
          <w:szCs w:val="32"/>
        </w:rPr>
      </w:pPr>
      <w:r>
        <w:rPr>
          <w:rFonts w:hint="eastAsia" w:eastAsia="仿宋_GB2312"/>
          <w:b w:val="0"/>
          <w:sz w:val="32"/>
          <w:szCs w:val="32"/>
          <w:lang w:eastAsia="zh-CN"/>
        </w:rPr>
        <w:t>综合前述评估内容来看，</w:t>
      </w:r>
      <w:r>
        <w:rPr>
          <w:rFonts w:hint="eastAsia" w:ascii="仿宋_GB2312" w:eastAsia="仿宋_GB2312"/>
          <w:b w:val="0"/>
          <w:sz w:val="32"/>
          <w:szCs w:val="32"/>
          <w:lang w:val="en-US" w:eastAsia="zh-CN"/>
        </w:rPr>
        <w:t>评分93分，</w:t>
      </w:r>
      <w:r>
        <w:rPr>
          <w:rFonts w:hint="eastAsia" w:eastAsia="仿宋_GB2312"/>
          <w:b w:val="0"/>
          <w:sz w:val="32"/>
          <w:szCs w:val="32"/>
          <w:lang w:eastAsia="zh-CN"/>
        </w:rPr>
        <w:t>该项目立项必要性和依据充分，绩效目标明确，具备实施条件，具有公共性，符合财务资金扶持方向等，建议予以支持，预算控制在</w:t>
      </w:r>
      <w:r>
        <w:rPr>
          <w:rFonts w:hint="eastAsia" w:ascii="仿宋_GB2312" w:hAnsi="仿宋_GB2312" w:eastAsia="仿宋_GB2312" w:cs="仿宋_GB2312"/>
          <w:b w:val="0"/>
          <w:bCs/>
          <w:color w:val="auto"/>
          <w:sz w:val="32"/>
          <w:szCs w:val="32"/>
          <w:highlight w:val="none"/>
          <w:lang w:val="en-US" w:eastAsia="zh-CN"/>
        </w:rPr>
        <w:t>406.4544</w:t>
      </w:r>
      <w:r>
        <w:rPr>
          <w:rFonts w:hint="eastAsia" w:eastAsia="仿宋_GB2312"/>
          <w:b w:val="0"/>
          <w:sz w:val="32"/>
          <w:szCs w:val="32"/>
          <w:lang w:val="en-US" w:eastAsia="zh-CN"/>
        </w:rPr>
        <w:t>万元以内，</w:t>
      </w:r>
      <w:r>
        <w:rPr>
          <w:rFonts w:hint="eastAsia" w:ascii="仿宋_GB2312" w:eastAsia="仿宋_GB2312"/>
          <w:b w:val="0"/>
          <w:sz w:val="32"/>
          <w:szCs w:val="32"/>
        </w:rPr>
        <w:t>该项目申请资金总预算</w:t>
      </w:r>
      <w:r>
        <w:rPr>
          <w:rFonts w:hint="eastAsia" w:ascii="仿宋_GB2312" w:hAnsi="仿宋_GB2312" w:eastAsia="仿宋_GB2312" w:cs="仿宋_GB2312"/>
          <w:b w:val="0"/>
          <w:bCs/>
          <w:color w:val="auto"/>
          <w:sz w:val="32"/>
          <w:szCs w:val="32"/>
          <w:highlight w:val="none"/>
          <w:lang w:val="en-US" w:eastAsia="zh-CN"/>
        </w:rPr>
        <w:t>406.4544</w:t>
      </w:r>
      <w:r>
        <w:rPr>
          <w:rFonts w:hint="eastAsia" w:ascii="仿宋_GB2312" w:eastAsia="仿宋_GB2312"/>
          <w:b w:val="0"/>
          <w:sz w:val="32"/>
          <w:szCs w:val="32"/>
        </w:rPr>
        <w:t>万元，经评审，建议预算申报数</w:t>
      </w:r>
      <w:r>
        <w:rPr>
          <w:rFonts w:hint="eastAsia" w:ascii="仿宋_GB2312" w:hAnsi="仿宋_GB2312" w:eastAsia="仿宋_GB2312" w:cs="仿宋_GB2312"/>
          <w:b w:val="0"/>
          <w:bCs/>
          <w:color w:val="auto"/>
          <w:sz w:val="32"/>
          <w:szCs w:val="32"/>
          <w:highlight w:val="none"/>
          <w:lang w:val="en-US" w:eastAsia="zh-CN"/>
        </w:rPr>
        <w:t>406.4544</w:t>
      </w:r>
      <w:r>
        <w:rPr>
          <w:rFonts w:hint="eastAsia" w:ascii="仿宋_GB2312" w:eastAsia="仿宋_GB2312"/>
          <w:b w:val="0"/>
          <w:sz w:val="32"/>
          <w:szCs w:val="32"/>
        </w:rPr>
        <w:t>万元我单位将进一步</w:t>
      </w:r>
      <w:r>
        <w:rPr>
          <w:rFonts w:hint="eastAsia" w:ascii="仿宋_GB2312" w:eastAsia="仿宋_GB2312"/>
          <w:b w:val="0"/>
          <w:sz w:val="32"/>
          <w:szCs w:val="32"/>
          <w:u w:val="none"/>
        </w:rPr>
        <w:t>优化完善实施方案和绩效目标，加强运行监控，节约财政资金并提升资金效益，提升预算绩效管理水平</w:t>
      </w:r>
      <w:r>
        <w:rPr>
          <w:rFonts w:hint="eastAsia" w:ascii="仿宋_GB2312" w:eastAsia="仿宋_GB2312"/>
          <w:b w:val="0"/>
          <w:sz w:val="32"/>
          <w:szCs w:val="32"/>
          <w:u w:val="none"/>
          <w:lang w:eastAsia="zh-CN"/>
        </w:rPr>
        <w:t>。</w:t>
      </w:r>
    </w:p>
    <w:p w14:paraId="4BE1FE96">
      <w:pPr>
        <w:pageBreakBefore w:val="0"/>
        <w:numPr>
          <w:ilvl w:val="0"/>
          <w:numId w:val="0"/>
        </w:numPr>
        <w:kinsoku/>
        <w:wordWrap/>
        <w:overflowPunct/>
        <w:topLinePunct w:val="0"/>
        <w:autoSpaceDE/>
        <w:autoSpaceDN/>
        <w:bidi w:val="0"/>
        <w:spacing w:line="560" w:lineRule="exact"/>
        <w:ind w:firstLine="640" w:firstLineChars="200"/>
        <w:rPr>
          <w:rFonts w:hint="eastAsia" w:ascii="黑体" w:eastAsia="仿宋_GB2312"/>
          <w:b w:val="0"/>
          <w:sz w:val="32"/>
          <w:szCs w:val="32"/>
        </w:rPr>
      </w:pPr>
      <w:r>
        <w:rPr>
          <w:rFonts w:hint="eastAsia" w:ascii="黑体" w:eastAsia="仿宋_GB2312"/>
          <w:b w:val="0"/>
          <w:sz w:val="32"/>
          <w:szCs w:val="32"/>
          <w:lang w:eastAsia="zh-CN"/>
        </w:rPr>
        <w:t>（</w:t>
      </w:r>
      <w:r>
        <w:rPr>
          <w:rFonts w:hint="eastAsia" w:ascii="黑体" w:eastAsia="仿宋_GB2312"/>
          <w:b w:val="0"/>
          <w:sz w:val="32"/>
          <w:szCs w:val="32"/>
          <w:lang w:val="en-US" w:eastAsia="zh-CN"/>
        </w:rPr>
        <w:t>六</w:t>
      </w:r>
      <w:r>
        <w:rPr>
          <w:rFonts w:hint="eastAsia" w:ascii="黑体" w:eastAsia="仿宋_GB2312"/>
          <w:b w:val="0"/>
          <w:sz w:val="32"/>
          <w:szCs w:val="32"/>
          <w:lang w:eastAsia="zh-CN"/>
        </w:rPr>
        <w:t>）</w:t>
      </w:r>
      <w:r>
        <w:rPr>
          <w:rFonts w:hint="eastAsia" w:ascii="黑体" w:eastAsia="仿宋_GB2312"/>
          <w:b w:val="0"/>
          <w:sz w:val="32"/>
          <w:szCs w:val="32"/>
        </w:rPr>
        <w:t>其</w:t>
      </w:r>
      <w:r>
        <w:rPr>
          <w:rFonts w:hint="eastAsia" w:ascii="黑体" w:eastAsia="仿宋_GB2312"/>
          <w:b w:val="0"/>
          <w:sz w:val="32"/>
          <w:szCs w:val="32"/>
          <w:lang w:val="en-US" w:eastAsia="zh-CN"/>
        </w:rPr>
        <w:t>他</w:t>
      </w:r>
      <w:r>
        <w:rPr>
          <w:rFonts w:hint="eastAsia" w:ascii="黑体" w:eastAsia="仿宋_GB2312"/>
          <w:b w:val="0"/>
          <w:sz w:val="32"/>
          <w:szCs w:val="32"/>
        </w:rPr>
        <w:t>说明事项</w:t>
      </w:r>
    </w:p>
    <w:p w14:paraId="638E0783">
      <w:pPr>
        <w:pageBreakBefore w:val="0"/>
        <w:widowControl/>
        <w:kinsoku/>
        <w:wordWrap/>
        <w:overflowPunct/>
        <w:topLinePunct w:val="0"/>
        <w:autoSpaceDE/>
        <w:autoSpaceDN/>
        <w:bidi w:val="0"/>
        <w:spacing w:line="240" w:lineRule="auto"/>
        <w:ind w:firstLine="0" w:firstLineChars="0"/>
        <w:jc w:val="left"/>
        <w:rPr>
          <w:rFonts w:hint="eastAsia" w:ascii="仿宋_GB2312" w:hAnsi="宋体" w:eastAsia="仿宋_GB2312" w:cs="Times New Roman"/>
          <w:b w:val="0"/>
          <w:sz w:val="32"/>
          <w:szCs w:val="32"/>
          <w:lang w:val="zh-CN" w:eastAsia="zh-CN"/>
        </w:rPr>
      </w:pPr>
      <w:r>
        <w:rPr>
          <w:rFonts w:hint="eastAsia" w:ascii="仿宋_GB2312" w:hAnsi="Times New Roman" w:eastAsia="仿宋_GB2312" w:cs="Times New Roman"/>
          <w:b w:val="0"/>
          <w:kern w:val="2"/>
          <w:sz w:val="32"/>
          <w:szCs w:val="32"/>
          <w:lang w:val="en-US" w:eastAsia="zh-CN" w:bidi="ar-SA"/>
        </w:rPr>
        <w:t xml:space="preserve">  </w:t>
      </w:r>
      <w:r>
        <w:rPr>
          <w:rFonts w:hint="eastAsia" w:ascii="仿宋_GB2312" w:hAnsi="仿宋_GB2312" w:eastAsia="仿宋_GB2312" w:cs="仿宋_GB2312"/>
          <w:b w:val="0"/>
          <w:sz w:val="32"/>
          <w:szCs w:val="32"/>
        </w:rPr>
        <w:t>该项目预算编制真实完整，预算编制内容科学合理、明确细化，与绩效目标、实施方案紧密衔接，预算标准依据充分、测算准确</w:t>
      </w:r>
      <w:r>
        <w:rPr>
          <w:rFonts w:hint="eastAsia" w:ascii="仿宋_GB2312" w:hAnsi="仿宋_GB2312" w:eastAsia="仿宋_GB2312" w:cs="仿宋_GB2312"/>
          <w:b w:val="0"/>
          <w:sz w:val="32"/>
          <w:szCs w:val="32"/>
          <w:lang w:eastAsia="zh-CN"/>
        </w:rPr>
        <w:t>。</w:t>
      </w:r>
    </w:p>
    <w:p w14:paraId="13E7AF9B">
      <w:pPr>
        <w:pageBreakBefore w:val="0"/>
        <w:tabs>
          <w:tab w:val="center" w:pos="4153"/>
          <w:tab w:val="right" w:pos="8306"/>
        </w:tabs>
        <w:kinsoku/>
        <w:wordWrap/>
        <w:overflowPunct/>
        <w:topLinePunct w:val="0"/>
        <w:autoSpaceDE/>
        <w:autoSpaceDN/>
        <w:bidi w:val="0"/>
        <w:spacing w:line="560" w:lineRule="exact"/>
        <w:rPr>
          <w:rFonts w:hint="eastAsia" w:ascii="仿宋_GB2312" w:hAnsi="宋体" w:eastAsia="仿宋_GB2312"/>
          <w:b w:val="0"/>
          <w:bCs/>
          <w:sz w:val="32"/>
          <w:szCs w:val="32"/>
          <w:lang w:eastAsia="zh-CN"/>
        </w:rPr>
      </w:pPr>
      <w:r>
        <w:rPr>
          <w:rFonts w:hint="eastAsia" w:ascii="仿宋_GB2312" w:hAnsi="宋体" w:eastAsia="仿宋_GB2312"/>
          <w:b w:val="0"/>
          <w:bCs/>
          <w:color w:val="C00000"/>
          <w:sz w:val="32"/>
          <w:szCs w:val="32"/>
          <w:lang w:eastAsia="zh-CN"/>
        </w:rPr>
        <w:t>重点项目</w:t>
      </w:r>
      <w:r>
        <w:rPr>
          <w:rFonts w:hint="eastAsia" w:ascii="仿宋_GB2312" w:hAnsi="宋体" w:eastAsia="仿宋_GB2312"/>
          <w:b w:val="0"/>
          <w:bCs/>
          <w:color w:val="C00000"/>
          <w:sz w:val="32"/>
          <w:szCs w:val="32"/>
          <w:lang w:val="en-US" w:eastAsia="zh-CN"/>
        </w:rPr>
        <w:t>3</w:t>
      </w:r>
      <w:r>
        <w:rPr>
          <w:rFonts w:hint="eastAsia" w:ascii="仿宋_GB2312" w:hAnsi="宋体" w:eastAsia="仿宋_GB2312"/>
          <w:b w:val="0"/>
          <w:bCs/>
          <w:color w:val="C00000"/>
          <w:sz w:val="32"/>
          <w:szCs w:val="32"/>
          <w:lang w:eastAsia="zh-CN"/>
        </w:rPr>
        <w:t>：困难残疾人生活补贴</w:t>
      </w:r>
    </w:p>
    <w:p w14:paraId="7F047D1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Times New Roman" w:eastAsia="仿宋_GB2312" w:cs="Times New Roman"/>
          <w:b w:val="0"/>
          <w:kern w:val="2"/>
          <w:sz w:val="32"/>
          <w:szCs w:val="32"/>
          <w:lang w:val="en-US" w:eastAsia="zh-CN" w:bidi="ar-SA"/>
        </w:rPr>
      </w:pPr>
      <w:r>
        <w:rPr>
          <w:rFonts w:hint="eastAsia" w:ascii="仿宋_GB2312" w:hAnsi="仿宋_GB2312" w:eastAsia="仿宋_GB2312" w:cs="仿宋_GB2312"/>
          <w:b w:val="0"/>
          <w:sz w:val="32"/>
          <w:szCs w:val="32"/>
          <w:lang w:val="en-US" w:eastAsia="zh-CN"/>
        </w:rPr>
        <w:t>项目年度绩效目标：</w:t>
      </w:r>
      <w:r>
        <w:rPr>
          <w:rFonts w:hint="eastAsia" w:ascii="仿宋_GB2312" w:hAnsi="Times New Roman" w:eastAsia="仿宋_GB2312" w:cs="Times New Roman"/>
          <w:b w:val="0"/>
          <w:kern w:val="2"/>
          <w:sz w:val="32"/>
          <w:szCs w:val="32"/>
          <w:lang w:val="en-US" w:eastAsia="zh-CN" w:bidi="ar-SA"/>
        </w:rPr>
        <w:t>所有符合条件的残疾人享受惠民政策，实行动态管理，提升群众满意度。保障残疾人的基本生活。促进残疾人的就业。改善医疗康复残疾人政策还应关注残疾人的医疗康复。确保残疾人能够获得平等的教育和文化机会。帮助残疾人更好地参与社会生活。鼓励社会各界加强对残疾人的关注和支持，帮助他们更好地融入社会大家庭。</w:t>
      </w:r>
    </w:p>
    <w:p w14:paraId="779D691D">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仿宋_GB2312" w:hAnsi="仿宋" w:eastAsia="仿宋_GB2312" w:cs="Times New Roman"/>
          <w:b w:val="0"/>
          <w:color w:val="auto"/>
          <w:sz w:val="32"/>
          <w:szCs w:val="32"/>
          <w:lang w:val="en-US" w:eastAsia="zh-CN"/>
        </w:rPr>
      </w:pPr>
      <w:r>
        <w:rPr>
          <w:rFonts w:hint="eastAsia" w:ascii="仿宋_GB2312" w:eastAsia="仿宋_GB2312" w:cs="仿宋_GB2312"/>
          <w:b w:val="0"/>
          <w:sz w:val="32"/>
          <w:szCs w:val="32"/>
          <w:lang w:val="en-US" w:eastAsia="zh-CN"/>
        </w:rPr>
        <w:t>绩效指标设置情况：</w:t>
      </w:r>
      <w:r>
        <w:rPr>
          <w:rFonts w:hint="eastAsia" w:ascii="仿宋_GB2312" w:hAnsi="仿宋" w:eastAsia="仿宋_GB2312"/>
          <w:b w:val="0"/>
          <w:color w:val="auto"/>
          <w:sz w:val="32"/>
          <w:szCs w:val="32"/>
        </w:rPr>
        <w:t>截止20</w:t>
      </w:r>
      <w:r>
        <w:rPr>
          <w:rFonts w:hint="eastAsia" w:ascii="仿宋_GB2312" w:hAnsi="仿宋" w:eastAsia="仿宋_GB2312"/>
          <w:b w:val="0"/>
          <w:color w:val="auto"/>
          <w:sz w:val="32"/>
          <w:szCs w:val="32"/>
          <w:lang w:val="en-US" w:eastAsia="zh-CN"/>
        </w:rPr>
        <w:t>24</w:t>
      </w:r>
      <w:r>
        <w:rPr>
          <w:rFonts w:hint="eastAsia" w:ascii="仿宋_GB2312" w:hAnsi="仿宋" w:eastAsia="仿宋_GB2312"/>
          <w:b w:val="0"/>
          <w:color w:val="auto"/>
          <w:sz w:val="32"/>
          <w:szCs w:val="32"/>
        </w:rPr>
        <w:t>年</w:t>
      </w:r>
      <w:r>
        <w:rPr>
          <w:rFonts w:hint="eastAsia" w:ascii="仿宋_GB2312" w:hAnsi="仿宋" w:eastAsia="仿宋_GB2312"/>
          <w:b w:val="0"/>
          <w:color w:val="auto"/>
          <w:sz w:val="32"/>
          <w:szCs w:val="32"/>
          <w:lang w:val="en-US" w:eastAsia="zh-CN"/>
        </w:rPr>
        <w:t>10</w:t>
      </w:r>
      <w:r>
        <w:rPr>
          <w:rFonts w:hint="eastAsia" w:ascii="仿宋_GB2312" w:hAnsi="仿宋" w:eastAsia="仿宋_GB2312"/>
          <w:b w:val="0"/>
          <w:color w:val="auto"/>
          <w:sz w:val="32"/>
          <w:szCs w:val="32"/>
        </w:rPr>
        <w:t>月底，我县困难残疾人生活补贴对象共有</w:t>
      </w:r>
      <w:r>
        <w:rPr>
          <w:rFonts w:hint="eastAsia" w:ascii="仿宋_GB2312" w:hAnsi="仿宋" w:eastAsia="仿宋_GB2312"/>
          <w:b w:val="0"/>
          <w:color w:val="auto"/>
          <w:sz w:val="32"/>
          <w:szCs w:val="32"/>
          <w:lang w:val="en-US" w:eastAsia="zh-CN"/>
        </w:rPr>
        <w:t>732</w:t>
      </w:r>
      <w:r>
        <w:rPr>
          <w:rFonts w:hint="eastAsia" w:ascii="仿宋_GB2312" w:hAnsi="仿宋" w:eastAsia="仿宋_GB2312"/>
          <w:b w:val="0"/>
          <w:color w:val="auto"/>
          <w:sz w:val="32"/>
          <w:szCs w:val="32"/>
        </w:rPr>
        <w:t>人，根据</w:t>
      </w:r>
      <w:r>
        <w:rPr>
          <w:rFonts w:hint="eastAsia" w:ascii="仿宋_GB2312" w:hAnsi="仿宋" w:eastAsia="仿宋_GB2312"/>
          <w:b w:val="0"/>
          <w:color w:val="auto"/>
          <w:sz w:val="32"/>
          <w:szCs w:val="32"/>
          <w:lang w:val="en-US" w:eastAsia="zh-CN"/>
        </w:rPr>
        <w:t>现有</w:t>
      </w:r>
      <w:r>
        <w:rPr>
          <w:rFonts w:hint="eastAsia" w:ascii="仿宋_GB2312" w:hAnsi="仿宋" w:eastAsia="仿宋_GB2312"/>
          <w:b w:val="0"/>
          <w:color w:val="auto"/>
          <w:sz w:val="32"/>
          <w:szCs w:val="32"/>
        </w:rPr>
        <w:t>困难残疾人每人每月发放生活补贴</w:t>
      </w:r>
      <w:r>
        <w:rPr>
          <w:rFonts w:hint="eastAsia" w:ascii="仿宋_GB2312" w:hAnsi="仿宋" w:eastAsia="仿宋_GB2312"/>
          <w:b w:val="0"/>
          <w:color w:val="auto"/>
          <w:sz w:val="32"/>
          <w:szCs w:val="32"/>
          <w:lang w:val="en-US" w:eastAsia="zh-CN"/>
        </w:rPr>
        <w:t>100</w:t>
      </w:r>
      <w:r>
        <w:rPr>
          <w:rFonts w:hint="eastAsia" w:ascii="仿宋_GB2312" w:hAnsi="仿宋" w:eastAsia="仿宋_GB2312"/>
          <w:b w:val="0"/>
          <w:color w:val="auto"/>
          <w:sz w:val="32"/>
          <w:szCs w:val="32"/>
        </w:rPr>
        <w:t>元。</w:t>
      </w:r>
      <w:r>
        <w:rPr>
          <w:rFonts w:hint="eastAsia" w:ascii="仿宋_GB2312" w:hAnsi="仿宋" w:eastAsia="仿宋_GB2312"/>
          <w:b w:val="0"/>
          <w:color w:val="auto"/>
          <w:sz w:val="32"/>
          <w:szCs w:val="32"/>
          <w:lang w:val="en-US" w:eastAsia="zh-CN"/>
        </w:rPr>
        <w:t>2025年困难残疾人生活补贴</w:t>
      </w:r>
      <w:r>
        <w:rPr>
          <w:rFonts w:hint="eastAsia" w:ascii="仿宋_GB2312" w:hAnsi="仿宋" w:eastAsia="仿宋_GB2312" w:cs="Times New Roman"/>
          <w:b w:val="0"/>
          <w:color w:val="auto"/>
          <w:sz w:val="32"/>
          <w:szCs w:val="32"/>
          <w:lang w:val="en-US" w:eastAsia="zh-CN"/>
        </w:rPr>
        <w:t>预算为87.84万元。</w:t>
      </w:r>
    </w:p>
    <w:p w14:paraId="4DD7065C">
      <w:pPr>
        <w:pStyle w:val="6"/>
        <w:pageBreakBefore w:val="0"/>
        <w:kinsoku/>
        <w:wordWrap/>
        <w:overflowPunct/>
        <w:topLinePunct w:val="0"/>
        <w:autoSpaceDE/>
        <w:autoSpaceDN/>
        <w:bidi w:val="0"/>
        <w:spacing w:line="560" w:lineRule="exact"/>
        <w:rPr>
          <w:rFonts w:hint="eastAsia" w:eastAsia="仿宋_GB2312"/>
          <w:b w:val="0"/>
          <w:sz w:val="32"/>
          <w:lang w:val="en-US" w:eastAsia="zh-CN"/>
        </w:rPr>
      </w:pPr>
      <w:r>
        <w:rPr>
          <w:rFonts w:hint="eastAsia" w:ascii="仿宋_GB2312" w:eastAsia="仿宋_GB2312"/>
          <w:b w:val="0"/>
          <w:sz w:val="32"/>
          <w:lang w:eastAsia="zh-CN"/>
        </w:rPr>
        <w:t>困难</w:t>
      </w:r>
      <w:r>
        <w:rPr>
          <w:rFonts w:hint="eastAsia" w:ascii="仿宋_GB2312" w:eastAsia="仿宋_GB2312"/>
          <w:b w:val="0"/>
          <w:sz w:val="32"/>
        </w:rPr>
        <w:t>残疾</w:t>
      </w:r>
      <w:r>
        <w:rPr>
          <w:rFonts w:hint="eastAsia" w:ascii="仿宋_GB2312" w:eastAsia="仿宋_GB2312"/>
          <w:b w:val="0"/>
          <w:sz w:val="32"/>
          <w:lang w:val="en-US" w:eastAsia="zh-CN"/>
        </w:rPr>
        <w:t>732</w:t>
      </w:r>
      <w:r>
        <w:rPr>
          <w:rFonts w:hint="eastAsia" w:ascii="仿宋_GB2312" w:eastAsia="仿宋_GB2312"/>
          <w:b w:val="0"/>
          <w:sz w:val="32"/>
        </w:rPr>
        <w:t>人，</w:t>
      </w:r>
      <w:r>
        <w:rPr>
          <w:rFonts w:hint="eastAsia" w:ascii="仿宋_GB2312" w:eastAsia="仿宋_GB2312"/>
          <w:b w:val="0"/>
          <w:sz w:val="32"/>
          <w:lang w:val="en-US" w:eastAsia="zh-CN"/>
        </w:rPr>
        <w:t>100</w:t>
      </w:r>
      <w:r>
        <w:rPr>
          <w:rFonts w:hint="eastAsia" w:ascii="仿宋_GB2312" w:eastAsia="仿宋_GB2312"/>
          <w:b w:val="0"/>
          <w:sz w:val="32"/>
        </w:rPr>
        <w:t>元/月/人，</w:t>
      </w:r>
      <w:r>
        <w:rPr>
          <w:rFonts w:hint="eastAsia" w:ascii="仿宋_GB2312" w:eastAsia="仿宋_GB2312"/>
          <w:b w:val="0"/>
          <w:sz w:val="32"/>
          <w:lang w:val="en-US" w:eastAsia="zh-CN"/>
        </w:rPr>
        <w:t>732</w:t>
      </w:r>
      <w:r>
        <w:rPr>
          <w:rFonts w:hint="eastAsia" w:ascii="仿宋_GB2312" w:eastAsia="仿宋_GB2312"/>
          <w:b w:val="0"/>
          <w:sz w:val="32"/>
        </w:rPr>
        <w:t>*</w:t>
      </w:r>
      <w:r>
        <w:rPr>
          <w:rFonts w:hint="eastAsia" w:ascii="仿宋_GB2312" w:eastAsia="仿宋_GB2312"/>
          <w:b w:val="0"/>
          <w:sz w:val="32"/>
          <w:lang w:val="en-US" w:eastAsia="zh-CN"/>
        </w:rPr>
        <w:t>100</w:t>
      </w:r>
      <w:r>
        <w:rPr>
          <w:rFonts w:hint="eastAsia" w:ascii="仿宋_GB2312" w:eastAsia="仿宋_GB2312"/>
          <w:b w:val="0"/>
          <w:sz w:val="32"/>
        </w:rPr>
        <w:t>*12=</w:t>
      </w:r>
      <w:r>
        <w:rPr>
          <w:rFonts w:hint="eastAsia" w:ascii="仿宋_GB2312" w:eastAsia="仿宋_GB2312"/>
          <w:b w:val="0"/>
          <w:sz w:val="32"/>
          <w:lang w:val="en-US" w:eastAsia="zh-CN"/>
        </w:rPr>
        <w:t>87.84</w:t>
      </w:r>
      <w:r>
        <w:rPr>
          <w:rFonts w:hint="eastAsia" w:ascii="仿宋_GB2312" w:eastAsia="仿宋_GB2312"/>
          <w:b w:val="0"/>
          <w:sz w:val="32"/>
        </w:rPr>
        <w:t>万元；</w:t>
      </w:r>
    </w:p>
    <w:p w14:paraId="7A050D17">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方正黑体_GBK" w:eastAsia="仿宋_GB2312"/>
          <w:b w:val="0"/>
          <w:sz w:val="32"/>
        </w:rPr>
      </w:pPr>
      <w:r>
        <w:rPr>
          <w:rFonts w:hint="eastAsia" w:ascii="方正黑体_GBK"/>
          <w:b w:val="0"/>
          <w:sz w:val="32"/>
          <w:lang w:eastAsia="zh-CN"/>
        </w:rPr>
        <w:t>（</w:t>
      </w:r>
      <w:r>
        <w:rPr>
          <w:rFonts w:hint="eastAsia" w:ascii="方正黑体_GBK"/>
          <w:b w:val="0"/>
          <w:sz w:val="32"/>
          <w:lang w:val="en-US" w:eastAsia="zh-CN"/>
        </w:rPr>
        <w:t>一</w:t>
      </w:r>
      <w:r>
        <w:rPr>
          <w:rFonts w:hint="eastAsia" w:ascii="方正黑体_GBK"/>
          <w:b w:val="0"/>
          <w:sz w:val="32"/>
          <w:lang w:eastAsia="zh-CN"/>
        </w:rPr>
        <w:t>）</w:t>
      </w:r>
      <w:r>
        <w:rPr>
          <w:rFonts w:hint="eastAsia" w:ascii="方正黑体_GBK" w:eastAsia="仿宋_GB2312"/>
          <w:b w:val="0"/>
          <w:sz w:val="32"/>
        </w:rPr>
        <w:t>评估原则</w:t>
      </w:r>
    </w:p>
    <w:p w14:paraId="11F199F3">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仿宋_GB2312" w:eastAsia="仿宋_GB2312"/>
          <w:b w:val="0"/>
          <w:sz w:val="32"/>
        </w:rPr>
      </w:pPr>
      <w:r>
        <w:rPr>
          <w:rFonts w:hint="eastAsia" w:ascii="仿宋_GB2312" w:eastAsia="仿宋_GB2312"/>
          <w:b w:val="0"/>
          <w:sz w:val="32"/>
        </w:rPr>
        <w:t>根据</w:t>
      </w:r>
      <w:r>
        <w:rPr>
          <w:rFonts w:hint="eastAsia" w:ascii="仿宋_GB2312" w:eastAsia="仿宋_GB2312"/>
          <w:b w:val="0"/>
          <w:sz w:val="32"/>
          <w:u w:val="single"/>
          <w:lang w:val="en-US" w:eastAsia="zh-CN"/>
        </w:rPr>
        <w:t>2025</w:t>
      </w:r>
      <w:r>
        <w:rPr>
          <w:rFonts w:hint="eastAsia" w:ascii="仿宋_GB2312" w:eastAsia="仿宋_GB2312"/>
          <w:b w:val="0"/>
          <w:sz w:val="32"/>
        </w:rPr>
        <w:t>年预算编制要求，绩效评估本着真正过紧日子的原则，厉行节约、节用为民，从严从紧控制项目申报和预算安排，非必要项目和工作内容可压尽压、应压尽压，做到客观、绩效、精准。</w:t>
      </w:r>
    </w:p>
    <w:p w14:paraId="0437DD8C">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方正黑体_GBK" w:eastAsia="仿宋_GB2312"/>
          <w:b w:val="0"/>
          <w:sz w:val="32"/>
        </w:rPr>
      </w:pPr>
      <w:r>
        <w:rPr>
          <w:rFonts w:hint="eastAsia" w:ascii="方正黑体_GBK"/>
          <w:b w:val="0"/>
          <w:sz w:val="32"/>
          <w:lang w:eastAsia="zh-CN"/>
        </w:rPr>
        <w:t>（</w:t>
      </w:r>
      <w:r>
        <w:rPr>
          <w:rFonts w:hint="eastAsia" w:ascii="方正黑体_GBK"/>
          <w:b w:val="0"/>
          <w:sz w:val="32"/>
          <w:lang w:val="en-US" w:eastAsia="zh-CN"/>
        </w:rPr>
        <w:t>二</w:t>
      </w:r>
      <w:r>
        <w:rPr>
          <w:rFonts w:hint="eastAsia" w:ascii="方正黑体_GBK"/>
          <w:b w:val="0"/>
          <w:sz w:val="32"/>
          <w:lang w:eastAsia="zh-CN"/>
        </w:rPr>
        <w:t>）</w:t>
      </w:r>
      <w:r>
        <w:rPr>
          <w:rFonts w:hint="eastAsia" w:ascii="方正黑体_GBK" w:eastAsia="仿宋_GB2312"/>
          <w:b w:val="0"/>
          <w:sz w:val="32"/>
        </w:rPr>
        <w:t>评估目的</w:t>
      </w:r>
    </w:p>
    <w:p w14:paraId="2C02EBE5">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仿宋_GB2312" w:eastAsia="仿宋_GB2312"/>
          <w:b w:val="0"/>
          <w:sz w:val="32"/>
        </w:rPr>
      </w:pPr>
      <w:r>
        <w:rPr>
          <w:rFonts w:hint="eastAsia" w:ascii="仿宋_GB2312" w:eastAsia="仿宋_GB2312"/>
          <w:b w:val="0"/>
          <w:sz w:val="32"/>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251A1D91">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方正黑体_GBK" w:eastAsia="仿宋_GB2312"/>
          <w:b w:val="0"/>
          <w:sz w:val="32"/>
        </w:rPr>
      </w:pPr>
      <w:r>
        <w:rPr>
          <w:rFonts w:hint="eastAsia" w:ascii="方正黑体_GBK"/>
          <w:b w:val="0"/>
          <w:sz w:val="32"/>
          <w:lang w:eastAsia="zh-CN"/>
        </w:rPr>
        <w:t>（</w:t>
      </w:r>
      <w:r>
        <w:rPr>
          <w:rFonts w:hint="eastAsia" w:ascii="方正黑体_GBK"/>
          <w:b w:val="0"/>
          <w:sz w:val="32"/>
          <w:lang w:val="en-US" w:eastAsia="zh-CN"/>
        </w:rPr>
        <w:t>三</w:t>
      </w:r>
      <w:r>
        <w:rPr>
          <w:rFonts w:hint="eastAsia" w:ascii="方正黑体_GBK"/>
          <w:b w:val="0"/>
          <w:sz w:val="32"/>
          <w:lang w:eastAsia="zh-CN"/>
        </w:rPr>
        <w:t>）</w:t>
      </w:r>
      <w:r>
        <w:rPr>
          <w:rFonts w:hint="eastAsia" w:ascii="方正黑体_GBK" w:eastAsia="仿宋_GB2312"/>
          <w:b w:val="0"/>
          <w:sz w:val="32"/>
        </w:rPr>
        <w:t>评估程序和方法</w:t>
      </w:r>
    </w:p>
    <w:p w14:paraId="58118BCD">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楷体_GB2312" w:eastAsia="仿宋_GB2312"/>
          <w:b w:val="0"/>
          <w:bCs/>
          <w:sz w:val="32"/>
        </w:rPr>
      </w:pPr>
      <w:r>
        <w:rPr>
          <w:rFonts w:hint="eastAsia" w:ascii="楷体_GB2312"/>
          <w:b w:val="0"/>
          <w:bCs/>
          <w:sz w:val="32"/>
          <w:lang w:val="en-US" w:eastAsia="zh-CN"/>
        </w:rPr>
        <w:t>1、</w:t>
      </w:r>
      <w:r>
        <w:rPr>
          <w:rFonts w:hint="eastAsia" w:ascii="楷体_GB2312" w:eastAsia="仿宋_GB2312"/>
          <w:b w:val="0"/>
          <w:bCs/>
          <w:sz w:val="32"/>
        </w:rPr>
        <w:t>评估程序</w:t>
      </w:r>
    </w:p>
    <w:p w14:paraId="65E7FFC2">
      <w:pPr>
        <w:pStyle w:val="10"/>
        <w:keepNext w:val="0"/>
        <w:keepLines w:val="0"/>
        <w:pageBreakBefore w:val="0"/>
        <w:kinsoku/>
        <w:wordWrap/>
        <w:overflowPunct/>
        <w:topLinePunct w:val="0"/>
        <w:autoSpaceDE/>
        <w:autoSpaceDN/>
        <w:bidi w:val="0"/>
        <w:spacing w:line="560" w:lineRule="exact"/>
        <w:ind w:firstLine="640" w:firstLineChars="200"/>
        <w:rPr>
          <w:rFonts w:hint="eastAsia" w:ascii="仿宋_GB2312" w:eastAsia="仿宋_GB2312"/>
          <w:b w:val="0"/>
          <w:sz w:val="32"/>
        </w:rPr>
      </w:pPr>
      <w:r>
        <w:rPr>
          <w:rFonts w:hint="eastAsia" w:ascii="仿宋_GB2312" w:eastAsia="仿宋_GB2312"/>
          <w:b w:val="0"/>
          <w:sz w:val="32"/>
          <w:u w:val="single" w:color="auto"/>
          <w:lang w:val="en-US" w:eastAsia="zh-CN"/>
        </w:rPr>
        <w:t>2025</w:t>
      </w:r>
      <w:r>
        <w:rPr>
          <w:rFonts w:hint="eastAsia" w:ascii="仿宋_GB2312" w:eastAsia="仿宋_GB2312"/>
          <w:b w:val="0"/>
          <w:sz w:val="32"/>
        </w:rPr>
        <w:t>年度预算项目绩效评估工作通过</w:t>
      </w:r>
      <w:r>
        <w:rPr>
          <w:rFonts w:hint="eastAsia" w:ascii="仿宋_GB2312" w:eastAsia="仿宋_GB2312"/>
          <w:b w:val="0"/>
          <w:sz w:val="32"/>
          <w:u w:val="single"/>
        </w:rPr>
        <w:t>线上与线下相结合</w:t>
      </w:r>
      <w:r>
        <w:rPr>
          <w:rFonts w:hint="eastAsia" w:ascii="仿宋_GB2312" w:eastAsia="仿宋_GB2312"/>
          <w:b w:val="0"/>
          <w:sz w:val="32"/>
        </w:rPr>
        <w:t>方式开展。按照有关规定和工作安排，我单位开展自行评估，通过</w:t>
      </w:r>
      <w:r>
        <w:rPr>
          <w:rFonts w:hint="eastAsia" w:ascii="仿宋_GB2312" w:eastAsia="仿宋_GB2312"/>
          <w:b w:val="0"/>
          <w:sz w:val="32"/>
          <w:u w:val="single"/>
        </w:rPr>
        <w:t>自行成立</w:t>
      </w:r>
      <w:r>
        <w:rPr>
          <w:rFonts w:hint="eastAsia" w:ascii="仿宋_GB2312" w:eastAsia="仿宋_GB2312"/>
          <w:b w:val="0"/>
          <w:sz w:val="32"/>
        </w:rPr>
        <w:t>等方式组建评估组，通过收集被评估项目相关基础资料，并查阅资料、收集数据信息等，深入论证分析后，形成绩效评估报告。</w:t>
      </w:r>
    </w:p>
    <w:p w14:paraId="1680C73E">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楷体_GB2312" w:eastAsia="仿宋_GB2312"/>
          <w:b w:val="0"/>
          <w:bCs/>
          <w:sz w:val="32"/>
        </w:rPr>
      </w:pPr>
      <w:r>
        <w:rPr>
          <w:rFonts w:hint="eastAsia" w:ascii="楷体_GB2312"/>
          <w:b w:val="0"/>
          <w:bCs/>
          <w:sz w:val="32"/>
          <w:lang w:val="en-US" w:eastAsia="zh-CN"/>
        </w:rPr>
        <w:t>2、</w:t>
      </w:r>
      <w:r>
        <w:rPr>
          <w:rFonts w:hint="eastAsia" w:ascii="楷体_GB2312" w:eastAsia="仿宋_GB2312"/>
          <w:b w:val="0"/>
          <w:bCs/>
          <w:sz w:val="32"/>
        </w:rPr>
        <w:t>评估方法</w:t>
      </w:r>
    </w:p>
    <w:p w14:paraId="67FFFD15">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仿宋_GB2312" w:eastAsia="仿宋_GB2312"/>
          <w:b w:val="0"/>
          <w:sz w:val="32"/>
        </w:rPr>
      </w:pPr>
      <w:r>
        <w:rPr>
          <w:rFonts w:hint="eastAsia" w:ascii="仿宋_GB2312" w:eastAsia="仿宋_GB2312"/>
          <w:b w:val="0"/>
          <w:sz w:val="32"/>
        </w:rPr>
        <w:t>本项目通过</w:t>
      </w:r>
      <w:r>
        <w:rPr>
          <w:rFonts w:hint="eastAsia" w:ascii="仿宋_GB2312" w:eastAsia="仿宋_GB2312"/>
          <w:b w:val="0"/>
          <w:sz w:val="32"/>
          <w:u w:val="single"/>
          <w:lang w:val="en-US" w:eastAsia="zh-CN"/>
        </w:rPr>
        <w:t>实地走访</w:t>
      </w:r>
      <w:r>
        <w:rPr>
          <w:rFonts w:hint="eastAsia" w:ascii="仿宋_GB2312" w:eastAsia="仿宋_GB2312"/>
          <w:b w:val="0"/>
          <w:sz w:val="32"/>
        </w:rPr>
        <w:t>了解项目情况，收集相关资料，综合分析相关情况后，对项目的立项必要性、投入经济性、目标合理性、方案可行性以及筹资合规性实施评估。</w:t>
      </w:r>
    </w:p>
    <w:p w14:paraId="4961E2B8">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方正黑体_GBK" w:eastAsia="仿宋_GB2312"/>
          <w:b w:val="0"/>
          <w:sz w:val="32"/>
        </w:rPr>
      </w:pPr>
      <w:r>
        <w:rPr>
          <w:rFonts w:hint="eastAsia" w:ascii="方正黑体_GBK"/>
          <w:b w:val="0"/>
          <w:sz w:val="32"/>
          <w:lang w:val="en-US" w:eastAsia="zh-CN"/>
        </w:rPr>
        <w:t>（四）</w:t>
      </w:r>
      <w:r>
        <w:rPr>
          <w:rFonts w:hint="eastAsia" w:ascii="方正黑体_GBK" w:eastAsia="仿宋_GB2312"/>
          <w:b w:val="0"/>
          <w:sz w:val="32"/>
        </w:rPr>
        <w:t>评估内容</w:t>
      </w:r>
    </w:p>
    <w:p w14:paraId="342613BD">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楷体_GB2312" w:eastAsia="仿宋_GB2312"/>
          <w:b w:val="0"/>
          <w:bCs/>
          <w:sz w:val="32"/>
        </w:rPr>
      </w:pPr>
      <w:r>
        <w:rPr>
          <w:rFonts w:hint="eastAsia" w:ascii="楷体_GB2312"/>
          <w:b w:val="0"/>
          <w:bCs/>
          <w:sz w:val="32"/>
          <w:lang w:val="en-US" w:eastAsia="zh-CN"/>
        </w:rPr>
        <w:t>1、</w:t>
      </w:r>
      <w:r>
        <w:rPr>
          <w:rFonts w:hint="eastAsia" w:ascii="楷体_GB2312" w:eastAsia="仿宋_GB2312"/>
          <w:b w:val="0"/>
          <w:bCs/>
          <w:sz w:val="32"/>
        </w:rPr>
        <w:t>立项必要性</w:t>
      </w:r>
    </w:p>
    <w:p w14:paraId="3D94FF9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Times New Roman" w:eastAsia="仿宋_GB2312" w:cs="Times New Roman"/>
          <w:b w:val="0"/>
          <w:kern w:val="2"/>
          <w:sz w:val="32"/>
          <w:szCs w:val="32"/>
          <w:lang w:val="en-US" w:eastAsia="zh-CN" w:bidi="ar-SA"/>
        </w:rPr>
      </w:pPr>
      <w:r>
        <w:rPr>
          <w:rFonts w:hint="eastAsia" w:ascii="仿宋_GB2312" w:hAnsi="Times New Roman" w:eastAsia="仿宋_GB2312" w:cs="Times New Roman"/>
          <w:b w:val="0"/>
          <w:kern w:val="2"/>
          <w:sz w:val="32"/>
          <w:szCs w:val="32"/>
          <w:lang w:val="en-US" w:eastAsia="zh-CN" w:bidi="ar-SA"/>
        </w:rPr>
        <w:t>根据</w:t>
      </w:r>
      <w:r>
        <w:rPr>
          <w:rFonts w:hint="eastAsia" w:ascii="仿宋_GB2312" w:hAnsi="仿宋" w:eastAsia="仿宋_GB2312"/>
          <w:b w:val="0"/>
          <w:sz w:val="32"/>
          <w:szCs w:val="32"/>
        </w:rPr>
        <w:t>《</w:t>
      </w:r>
      <w:r>
        <w:rPr>
          <w:rFonts w:hint="eastAsia" w:ascii="仿宋_GB2312" w:hAnsi="仿宋" w:eastAsia="仿宋_GB2312"/>
          <w:b w:val="0"/>
          <w:sz w:val="32"/>
          <w:szCs w:val="32"/>
          <w:lang w:eastAsia="zh-CN"/>
        </w:rPr>
        <w:t>阿坝州民政局</w:t>
      </w:r>
      <w:r>
        <w:rPr>
          <w:rFonts w:hint="eastAsia" w:ascii="仿宋_GB2312" w:hAnsi="仿宋" w:eastAsia="仿宋_GB2312"/>
          <w:b w:val="0"/>
          <w:sz w:val="32"/>
          <w:szCs w:val="32"/>
          <w:lang w:val="en-US" w:eastAsia="zh-CN"/>
        </w:rPr>
        <w:t xml:space="preserve"> 阿坝州财政局 阿坝州残疾人联合会关于重度残疾人护理补贴提标扩面</w:t>
      </w:r>
      <w:r>
        <w:rPr>
          <w:rFonts w:hint="eastAsia" w:ascii="仿宋_GB2312" w:hAnsi="仿宋" w:eastAsia="仿宋_GB2312"/>
          <w:b w:val="0"/>
          <w:sz w:val="32"/>
          <w:szCs w:val="32"/>
        </w:rPr>
        <w:t>》</w:t>
      </w:r>
      <w:r>
        <w:rPr>
          <w:rFonts w:hint="eastAsia" w:ascii="仿宋_GB2312" w:hAnsi="仿宋" w:eastAsia="仿宋_GB2312"/>
          <w:b w:val="0"/>
          <w:sz w:val="32"/>
          <w:szCs w:val="32"/>
          <w:lang w:eastAsia="zh-CN"/>
        </w:rPr>
        <w:t>的通知</w:t>
      </w:r>
      <w:r>
        <w:rPr>
          <w:rFonts w:hint="eastAsia" w:ascii="仿宋_GB2312" w:hAnsi="仿宋" w:eastAsia="仿宋_GB2312"/>
          <w:b w:val="0"/>
          <w:sz w:val="32"/>
          <w:szCs w:val="32"/>
        </w:rPr>
        <w:t>（</w:t>
      </w:r>
      <w:r>
        <w:rPr>
          <w:rFonts w:hint="eastAsia" w:ascii="仿宋_GB2312" w:hAnsi="仿宋" w:eastAsia="仿宋_GB2312"/>
          <w:b w:val="0"/>
          <w:sz w:val="32"/>
          <w:szCs w:val="32"/>
          <w:lang w:eastAsia="zh-CN"/>
        </w:rPr>
        <w:t>阿州</w:t>
      </w:r>
      <w:r>
        <w:rPr>
          <w:rFonts w:hint="eastAsia" w:ascii="仿宋_GB2312" w:hAnsi="仿宋" w:eastAsia="仿宋_GB2312"/>
          <w:b w:val="0"/>
          <w:sz w:val="32"/>
          <w:szCs w:val="32"/>
          <w:lang w:val="en-US" w:eastAsia="zh-CN"/>
        </w:rPr>
        <w:t xml:space="preserve"> 民政</w:t>
      </w:r>
      <w:r>
        <w:rPr>
          <w:rFonts w:hint="eastAsia" w:ascii="仿宋_GB2312" w:hAnsi="仿宋" w:eastAsia="仿宋_GB2312"/>
          <w:b w:val="0"/>
          <w:sz w:val="32"/>
          <w:szCs w:val="32"/>
        </w:rPr>
        <w:t>发〔</w:t>
      </w:r>
      <w:r>
        <w:rPr>
          <w:rFonts w:hint="eastAsia" w:ascii="仿宋_GB2312" w:hAnsi="仿宋" w:eastAsia="仿宋_GB2312"/>
          <w:b w:val="0"/>
          <w:sz w:val="32"/>
          <w:szCs w:val="32"/>
          <w:lang w:val="en-US" w:eastAsia="zh-CN"/>
        </w:rPr>
        <w:t>2023</w:t>
      </w:r>
      <w:r>
        <w:rPr>
          <w:rFonts w:hint="eastAsia" w:ascii="仿宋_GB2312" w:hAnsi="仿宋" w:eastAsia="仿宋_GB2312"/>
          <w:b w:val="0"/>
          <w:sz w:val="32"/>
          <w:szCs w:val="32"/>
        </w:rPr>
        <w:t>〕</w:t>
      </w:r>
      <w:r>
        <w:rPr>
          <w:rFonts w:hint="eastAsia" w:ascii="仿宋_GB2312" w:hAnsi="仿宋" w:eastAsia="仿宋_GB2312"/>
          <w:b w:val="0"/>
          <w:sz w:val="32"/>
          <w:szCs w:val="32"/>
          <w:lang w:val="en-US" w:eastAsia="zh-CN"/>
        </w:rPr>
        <w:t>16</w:t>
      </w:r>
      <w:r>
        <w:rPr>
          <w:rFonts w:hint="eastAsia" w:ascii="仿宋_GB2312" w:hAnsi="仿宋" w:eastAsia="仿宋_GB2312"/>
          <w:b w:val="0"/>
          <w:sz w:val="32"/>
          <w:szCs w:val="32"/>
        </w:rPr>
        <w:t>号）</w:t>
      </w:r>
      <w:r>
        <w:rPr>
          <w:rFonts w:hint="eastAsia" w:ascii="仿宋_GB2312" w:hAnsi="Times New Roman" w:eastAsia="仿宋_GB2312" w:cs="Times New Roman"/>
          <w:b w:val="0"/>
          <w:kern w:val="2"/>
          <w:sz w:val="32"/>
          <w:szCs w:val="32"/>
          <w:lang w:val="en-US" w:eastAsia="zh-CN" w:bidi="ar-SA"/>
        </w:rPr>
        <w:t>文件；《州民政局关于进一步开展全州最低生活保障扩围增效工作》的通知</w:t>
      </w:r>
      <w:r>
        <w:rPr>
          <w:rFonts w:hint="eastAsia" w:ascii="仿宋_GB2312" w:hAnsi="仿宋" w:eastAsia="仿宋_GB2312"/>
          <w:b w:val="0"/>
          <w:sz w:val="32"/>
          <w:szCs w:val="32"/>
        </w:rPr>
        <w:t>（</w:t>
      </w:r>
      <w:r>
        <w:rPr>
          <w:rFonts w:hint="eastAsia" w:ascii="仿宋_GB2312" w:hAnsi="仿宋" w:eastAsia="仿宋_GB2312"/>
          <w:b w:val="0"/>
          <w:sz w:val="32"/>
          <w:szCs w:val="32"/>
          <w:lang w:eastAsia="zh-CN"/>
        </w:rPr>
        <w:t>阿州</w:t>
      </w:r>
      <w:r>
        <w:rPr>
          <w:rFonts w:hint="eastAsia" w:ascii="仿宋_GB2312" w:hAnsi="仿宋" w:eastAsia="仿宋_GB2312"/>
          <w:b w:val="0"/>
          <w:sz w:val="32"/>
          <w:szCs w:val="32"/>
          <w:lang w:val="en-US" w:eastAsia="zh-CN"/>
        </w:rPr>
        <w:t xml:space="preserve"> 民政</w:t>
      </w:r>
      <w:r>
        <w:rPr>
          <w:rFonts w:hint="eastAsia" w:ascii="仿宋_GB2312" w:hAnsi="仿宋" w:eastAsia="仿宋_GB2312"/>
          <w:b w:val="0"/>
          <w:sz w:val="32"/>
          <w:szCs w:val="32"/>
        </w:rPr>
        <w:t>发〔</w:t>
      </w:r>
      <w:r>
        <w:rPr>
          <w:rFonts w:hint="eastAsia" w:ascii="仿宋_GB2312" w:hAnsi="仿宋" w:eastAsia="仿宋_GB2312"/>
          <w:b w:val="0"/>
          <w:sz w:val="32"/>
          <w:szCs w:val="32"/>
          <w:lang w:val="en-US" w:eastAsia="zh-CN"/>
        </w:rPr>
        <w:t>2023</w:t>
      </w:r>
      <w:r>
        <w:rPr>
          <w:rFonts w:hint="eastAsia" w:ascii="仿宋_GB2312" w:hAnsi="仿宋" w:eastAsia="仿宋_GB2312"/>
          <w:b w:val="0"/>
          <w:sz w:val="32"/>
          <w:szCs w:val="32"/>
        </w:rPr>
        <w:t>〕</w:t>
      </w:r>
      <w:r>
        <w:rPr>
          <w:rFonts w:hint="eastAsia" w:ascii="仿宋_GB2312" w:hAnsi="仿宋" w:eastAsia="仿宋_GB2312"/>
          <w:b w:val="0"/>
          <w:sz w:val="32"/>
          <w:szCs w:val="32"/>
          <w:lang w:val="en-US" w:eastAsia="zh-CN"/>
        </w:rPr>
        <w:t>20</w:t>
      </w:r>
      <w:r>
        <w:rPr>
          <w:rFonts w:hint="eastAsia" w:ascii="仿宋_GB2312" w:hAnsi="仿宋" w:eastAsia="仿宋_GB2312"/>
          <w:b w:val="0"/>
          <w:sz w:val="32"/>
          <w:szCs w:val="32"/>
        </w:rPr>
        <w:t>号）</w:t>
      </w:r>
      <w:r>
        <w:rPr>
          <w:rFonts w:hint="eastAsia" w:ascii="仿宋_GB2312" w:hAnsi="Times New Roman" w:eastAsia="仿宋_GB2312" w:cs="Times New Roman"/>
          <w:b w:val="0"/>
          <w:kern w:val="2"/>
          <w:sz w:val="32"/>
          <w:szCs w:val="32"/>
          <w:lang w:val="en-US" w:eastAsia="zh-CN" w:bidi="ar-SA"/>
        </w:rPr>
        <w:t>文件相关规定执行。对符合条件的困难残疾对象发放补助资金。</w:t>
      </w:r>
    </w:p>
    <w:p w14:paraId="733A3F22">
      <w:pPr>
        <w:pStyle w:val="10"/>
        <w:keepNext w:val="0"/>
        <w:keepLines w:val="0"/>
        <w:pageBreakBefore w:val="0"/>
        <w:kinsoku/>
        <w:wordWrap/>
        <w:overflowPunct/>
        <w:topLinePunct w:val="0"/>
        <w:autoSpaceDE/>
        <w:autoSpaceDN/>
        <w:bidi w:val="0"/>
        <w:spacing w:line="560" w:lineRule="exact"/>
        <w:ind w:firstLine="640" w:firstLineChars="200"/>
        <w:rPr>
          <w:rFonts w:hint="eastAsia" w:ascii="楷体_GB2312" w:eastAsia="仿宋_GB2312"/>
          <w:b w:val="0"/>
          <w:bCs/>
          <w:sz w:val="32"/>
        </w:rPr>
      </w:pPr>
      <w:r>
        <w:rPr>
          <w:rFonts w:hint="eastAsia" w:ascii="楷体_GB2312"/>
          <w:b w:val="0"/>
          <w:bCs/>
          <w:sz w:val="32"/>
          <w:lang w:val="en-US" w:eastAsia="zh-CN"/>
        </w:rPr>
        <w:t>2、</w:t>
      </w:r>
      <w:r>
        <w:rPr>
          <w:rFonts w:hint="eastAsia" w:ascii="楷体_GB2312" w:eastAsia="仿宋_GB2312"/>
          <w:b w:val="0"/>
          <w:bCs/>
          <w:sz w:val="32"/>
        </w:rPr>
        <w:t>投入经济性</w:t>
      </w:r>
    </w:p>
    <w:p w14:paraId="0E6D25F4">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仿宋_GB2312" w:eastAsia="仿宋_GB2312"/>
          <w:b w:val="0"/>
          <w:sz w:val="32"/>
          <w:u w:val="single"/>
        </w:rPr>
      </w:pPr>
      <w:r>
        <w:rPr>
          <w:rFonts w:hint="eastAsia" w:ascii="仿宋_GB2312" w:eastAsia="仿宋_GB2312"/>
          <w:b w:val="0"/>
          <w:sz w:val="32"/>
        </w:rPr>
        <w:t>该项目申报预算</w:t>
      </w:r>
      <w:r>
        <w:rPr>
          <w:rFonts w:hint="eastAsia" w:ascii="仿宋_GB2312" w:eastAsia="仿宋_GB2312"/>
          <w:b w:val="0"/>
          <w:sz w:val="32"/>
          <w:lang w:val="en-US" w:eastAsia="zh-CN"/>
        </w:rPr>
        <w:t>87.84</w:t>
      </w:r>
      <w:r>
        <w:rPr>
          <w:rFonts w:hint="eastAsia" w:ascii="仿宋_GB2312" w:eastAsia="仿宋_GB2312"/>
          <w:b w:val="0"/>
          <w:sz w:val="32"/>
        </w:rPr>
        <w:t>万元，年度申报金额为</w:t>
      </w:r>
      <w:r>
        <w:rPr>
          <w:rFonts w:hint="eastAsia" w:ascii="仿宋_GB2312" w:eastAsia="仿宋_GB2312"/>
          <w:b w:val="0"/>
          <w:sz w:val="32"/>
          <w:lang w:val="en-US" w:eastAsia="zh-CN"/>
        </w:rPr>
        <w:t>87.84</w:t>
      </w:r>
      <w:r>
        <w:rPr>
          <w:rFonts w:hint="eastAsia" w:ascii="仿宋_GB2312" w:eastAsia="仿宋_GB2312"/>
          <w:b w:val="0"/>
          <w:sz w:val="32"/>
        </w:rPr>
        <w:t>万元，具体测算过程为</w:t>
      </w:r>
      <w:r>
        <w:rPr>
          <w:rFonts w:hint="eastAsia" w:ascii="仿宋_GB2312" w:eastAsia="仿宋_GB2312"/>
          <w:b w:val="0"/>
          <w:sz w:val="32"/>
          <w:lang w:eastAsia="zh-CN"/>
        </w:rPr>
        <w:t>：</w:t>
      </w:r>
      <w:r>
        <w:rPr>
          <w:rFonts w:hint="eastAsia" w:ascii="仿宋_GB2312" w:hAnsi="Times New Roman" w:eastAsia="仿宋_GB2312" w:cs="Times New Roman"/>
          <w:b w:val="0"/>
          <w:sz w:val="32"/>
          <w:lang w:eastAsia="zh-CN"/>
        </w:rPr>
        <w:t>（</w:t>
      </w:r>
      <w:r>
        <w:rPr>
          <w:rFonts w:hint="eastAsia" w:ascii="仿宋_GB2312" w:hAnsi="Times New Roman" w:eastAsia="仿宋_GB2312" w:cs="Times New Roman"/>
          <w:b w:val="0"/>
          <w:sz w:val="32"/>
          <w:lang w:val="en-US" w:eastAsia="zh-CN"/>
        </w:rPr>
        <w:t>截至2</w:t>
      </w:r>
      <w:r>
        <w:rPr>
          <w:rFonts w:hint="eastAsia" w:ascii="仿宋_GB2312" w:eastAsia="仿宋_GB2312" w:cs="Times New Roman"/>
          <w:b w:val="0"/>
          <w:sz w:val="32"/>
          <w:lang w:val="en-US" w:eastAsia="zh-CN"/>
        </w:rPr>
        <w:t>4</w:t>
      </w:r>
      <w:r>
        <w:rPr>
          <w:rFonts w:hint="eastAsia" w:ascii="仿宋_GB2312" w:hAnsi="Times New Roman" w:eastAsia="仿宋_GB2312" w:cs="Times New Roman"/>
          <w:b w:val="0"/>
          <w:sz w:val="32"/>
          <w:lang w:val="en-US" w:eastAsia="zh-CN"/>
        </w:rPr>
        <w:t>年10月，</w:t>
      </w:r>
      <w:r>
        <w:rPr>
          <w:rFonts w:hint="eastAsia" w:ascii="仿宋_GB2312" w:eastAsia="仿宋_GB2312" w:cs="Times New Roman"/>
          <w:b w:val="0"/>
          <w:sz w:val="32"/>
          <w:lang w:val="en-US" w:eastAsia="zh-CN"/>
        </w:rPr>
        <w:t>金川县困难残疾人数为732人，</w:t>
      </w:r>
      <w:r>
        <w:rPr>
          <w:rFonts w:hint="eastAsia" w:ascii="仿宋_GB2312" w:hAnsi="Times New Roman" w:eastAsia="仿宋_GB2312" w:cs="Times New Roman"/>
          <w:b w:val="0"/>
          <w:sz w:val="32"/>
          <w:lang w:val="en-US" w:eastAsia="zh-CN"/>
        </w:rPr>
        <w:t>按照</w:t>
      </w:r>
      <w:r>
        <w:rPr>
          <w:rFonts w:hint="eastAsia" w:ascii="仿宋_GB2312" w:eastAsia="仿宋_GB2312" w:cs="Times New Roman"/>
          <w:b w:val="0"/>
          <w:sz w:val="32"/>
          <w:lang w:val="en-US" w:eastAsia="zh-CN"/>
        </w:rPr>
        <w:t>100</w:t>
      </w:r>
      <w:r>
        <w:rPr>
          <w:rFonts w:hint="eastAsia" w:ascii="仿宋_GB2312" w:hAnsi="Times New Roman" w:eastAsia="仿宋_GB2312" w:cs="Times New Roman"/>
          <w:b w:val="0"/>
          <w:sz w:val="32"/>
          <w:lang w:val="en-US" w:eastAsia="zh-CN"/>
        </w:rPr>
        <w:t>元/月/人</w:t>
      </w:r>
      <w:r>
        <w:rPr>
          <w:rFonts w:hint="eastAsia" w:ascii="仿宋_GB2312" w:eastAsia="仿宋_GB2312" w:cs="Times New Roman"/>
          <w:b w:val="0"/>
          <w:sz w:val="32"/>
          <w:lang w:val="en-US" w:eastAsia="zh-CN"/>
        </w:rPr>
        <w:t>补差</w:t>
      </w:r>
      <w:r>
        <w:rPr>
          <w:rFonts w:hint="eastAsia" w:ascii="仿宋_GB2312" w:hAnsi="Times New Roman" w:eastAsia="仿宋_GB2312" w:cs="Times New Roman"/>
          <w:b w:val="0"/>
          <w:sz w:val="32"/>
          <w:lang w:val="en-US" w:eastAsia="zh-CN"/>
        </w:rPr>
        <w:t>发放，预计2</w:t>
      </w:r>
      <w:r>
        <w:rPr>
          <w:rFonts w:hint="eastAsia" w:ascii="仿宋_GB2312" w:eastAsia="仿宋_GB2312" w:cs="Times New Roman"/>
          <w:b w:val="0"/>
          <w:sz w:val="32"/>
          <w:lang w:val="en-US" w:eastAsia="zh-CN"/>
        </w:rPr>
        <w:t>5</w:t>
      </w:r>
      <w:r>
        <w:rPr>
          <w:rFonts w:hint="eastAsia" w:ascii="仿宋_GB2312" w:hAnsi="Times New Roman" w:eastAsia="仿宋_GB2312" w:cs="Times New Roman"/>
          <w:b w:val="0"/>
          <w:sz w:val="32"/>
          <w:lang w:val="en-US" w:eastAsia="zh-CN"/>
        </w:rPr>
        <w:t>年预算为</w:t>
      </w:r>
      <w:r>
        <w:rPr>
          <w:rFonts w:hint="eastAsia" w:ascii="仿宋_GB2312" w:eastAsia="仿宋_GB2312"/>
          <w:b w:val="0"/>
          <w:sz w:val="32"/>
          <w:lang w:val="en-US" w:eastAsia="zh-CN"/>
        </w:rPr>
        <w:t>87.84</w:t>
      </w:r>
      <w:r>
        <w:rPr>
          <w:rFonts w:hint="eastAsia" w:ascii="仿宋_GB2312" w:hAnsi="Times New Roman" w:eastAsia="仿宋_GB2312" w:cs="Times New Roman"/>
          <w:b w:val="0"/>
          <w:sz w:val="32"/>
          <w:lang w:val="en-US" w:eastAsia="zh-CN"/>
        </w:rPr>
        <w:t>万元（其中：县级配套31.62万元）</w:t>
      </w:r>
      <w:r>
        <w:rPr>
          <w:rFonts w:hint="eastAsia" w:ascii="仿宋_GB2312" w:eastAsia="仿宋_GB2312"/>
          <w:b w:val="0"/>
          <w:sz w:val="32"/>
        </w:rPr>
        <w:t>资金来源为</w:t>
      </w:r>
      <w:r>
        <w:rPr>
          <w:rFonts w:hint="eastAsia" w:ascii="仿宋_GB2312" w:eastAsia="仿宋_GB2312"/>
          <w:b w:val="0"/>
          <w:sz w:val="32"/>
          <w:lang w:eastAsia="zh-CN"/>
        </w:rPr>
        <w:t>上级</w:t>
      </w:r>
      <w:r>
        <w:rPr>
          <w:rFonts w:hint="eastAsia" w:ascii="仿宋_GB2312" w:eastAsia="仿宋_GB2312"/>
          <w:b w:val="0"/>
          <w:sz w:val="32"/>
          <w:u w:val="single"/>
        </w:rPr>
        <w:t>财政资金</w:t>
      </w:r>
      <w:r>
        <w:rPr>
          <w:rFonts w:hint="eastAsia" w:ascii="仿宋_GB2312" w:eastAsia="仿宋_GB2312"/>
          <w:b w:val="0"/>
          <w:sz w:val="32"/>
          <w:lang w:eastAsia="zh-CN"/>
        </w:rPr>
        <w:t>。</w:t>
      </w:r>
      <w:r>
        <w:rPr>
          <w:rFonts w:hint="eastAsia" w:ascii="仿宋_GB2312" w:eastAsia="仿宋_GB2312"/>
          <w:b w:val="0"/>
          <w:sz w:val="32"/>
        </w:rPr>
        <w:t>本次对项目投入经济性的评估是在项目事前绩效评估、预算测算的基础上，按照厉行节约的要求，结合项目</w:t>
      </w:r>
      <w:r>
        <w:rPr>
          <w:rFonts w:hint="eastAsia" w:ascii="仿宋_GB2312" w:eastAsia="仿宋_GB2312"/>
          <w:b w:val="0"/>
          <w:sz w:val="32"/>
          <w:lang w:eastAsia="zh-CN"/>
        </w:rPr>
        <w:t>202</w:t>
      </w:r>
      <w:r>
        <w:rPr>
          <w:rFonts w:hint="eastAsia" w:ascii="仿宋_GB2312" w:eastAsia="仿宋_GB2312"/>
          <w:b w:val="0"/>
          <w:sz w:val="32"/>
          <w:lang w:val="en-US" w:eastAsia="zh-CN"/>
        </w:rPr>
        <w:t>5</w:t>
      </w:r>
      <w:r>
        <w:rPr>
          <w:rFonts w:hint="eastAsia" w:ascii="仿宋_GB2312" w:eastAsia="仿宋_GB2312"/>
          <w:b w:val="0"/>
          <w:sz w:val="32"/>
        </w:rPr>
        <w:t>年开支情况结合实际需求、相关费用标准及市场价格水平，重点对数量是否合理、投入是否经济、预算测算是否准确、测算过程是否详细、测算依据是否充分等方面进行了评估。评估认为，该项目任务数量</w:t>
      </w:r>
      <w:r>
        <w:rPr>
          <w:rFonts w:hint="eastAsia" w:ascii="仿宋_GB2312" w:eastAsia="仿宋_GB2312"/>
          <w:b w:val="0"/>
          <w:sz w:val="32"/>
          <w:u w:val="single"/>
        </w:rPr>
        <w:t>基本合理</w:t>
      </w:r>
      <w:r>
        <w:rPr>
          <w:rFonts w:hint="eastAsia" w:ascii="仿宋_GB2312" w:eastAsia="仿宋_GB2312"/>
          <w:b w:val="0"/>
          <w:sz w:val="32"/>
        </w:rPr>
        <w:t>、预算测算过程</w:t>
      </w:r>
      <w:r>
        <w:rPr>
          <w:rFonts w:hint="eastAsia" w:ascii="仿宋_GB2312" w:eastAsia="仿宋_GB2312"/>
          <w:b w:val="0"/>
          <w:sz w:val="32"/>
          <w:u w:val="single"/>
        </w:rPr>
        <w:t>较为详细</w:t>
      </w:r>
      <w:r>
        <w:rPr>
          <w:rFonts w:hint="eastAsia" w:ascii="仿宋_GB2312" w:eastAsia="仿宋_GB2312"/>
          <w:b w:val="0"/>
          <w:sz w:val="32"/>
        </w:rPr>
        <w:t>、测算依据</w:t>
      </w:r>
      <w:r>
        <w:rPr>
          <w:rFonts w:hint="eastAsia" w:ascii="仿宋_GB2312" w:eastAsia="仿宋_GB2312"/>
          <w:b w:val="0"/>
          <w:sz w:val="32"/>
          <w:u w:val="single"/>
        </w:rPr>
        <w:t>基本充分</w:t>
      </w:r>
      <w:r>
        <w:rPr>
          <w:rFonts w:hint="eastAsia" w:ascii="仿宋_GB2312" w:eastAsia="仿宋_GB2312"/>
          <w:b w:val="0"/>
          <w:sz w:val="32"/>
        </w:rPr>
        <w:t>、</w:t>
      </w:r>
      <w:r>
        <w:rPr>
          <w:rFonts w:hint="eastAsia" w:ascii="仿宋_GB2312" w:eastAsia="仿宋_GB2312"/>
          <w:b w:val="0"/>
          <w:sz w:val="32"/>
          <w:u w:val="single"/>
        </w:rPr>
        <w:t>有一定的</w:t>
      </w:r>
      <w:r>
        <w:rPr>
          <w:rFonts w:hint="eastAsia" w:ascii="仿宋_GB2312" w:eastAsia="仿宋_GB2312"/>
          <w:b w:val="0"/>
          <w:sz w:val="32"/>
        </w:rPr>
        <w:t>经济性。建议预算控制在</w:t>
      </w:r>
      <w:r>
        <w:rPr>
          <w:rFonts w:hint="eastAsia" w:ascii="仿宋_GB2312" w:eastAsia="仿宋_GB2312"/>
          <w:b w:val="0"/>
          <w:sz w:val="32"/>
          <w:lang w:val="en-US" w:eastAsia="zh-CN"/>
        </w:rPr>
        <w:t>87.84</w:t>
      </w:r>
      <w:r>
        <w:rPr>
          <w:rFonts w:hint="eastAsia" w:ascii="仿宋_GB2312" w:eastAsia="仿宋_GB2312"/>
          <w:b w:val="0"/>
          <w:sz w:val="32"/>
        </w:rPr>
        <w:t>万元以内，与申报数相比，评减</w:t>
      </w:r>
      <w:r>
        <w:rPr>
          <w:rFonts w:hint="eastAsia" w:ascii="仿宋_GB2312" w:eastAsia="仿宋_GB2312"/>
          <w:b w:val="0"/>
          <w:sz w:val="32"/>
          <w:u w:val="single"/>
          <w:lang w:val="en-US" w:eastAsia="zh-CN"/>
        </w:rPr>
        <w:t>0</w:t>
      </w:r>
      <w:r>
        <w:rPr>
          <w:rFonts w:hint="eastAsia" w:ascii="仿宋_GB2312" w:eastAsia="仿宋_GB2312"/>
          <w:b w:val="0"/>
          <w:sz w:val="32"/>
        </w:rPr>
        <w:t>万元，评减率</w:t>
      </w:r>
      <w:r>
        <w:rPr>
          <w:rFonts w:hint="eastAsia" w:ascii="仿宋_GB2312" w:eastAsia="仿宋_GB2312"/>
          <w:b w:val="0"/>
          <w:sz w:val="32"/>
          <w:u w:val="single"/>
          <w:lang w:val="en-US" w:eastAsia="zh-CN"/>
        </w:rPr>
        <w:t>0</w:t>
      </w:r>
      <w:r>
        <w:rPr>
          <w:rFonts w:hint="eastAsia" w:ascii="仿宋_GB2312" w:eastAsia="仿宋_GB2312"/>
          <w:b w:val="0"/>
          <w:sz w:val="32"/>
        </w:rPr>
        <w:t>％（详见下表）。</w:t>
      </w:r>
    </w:p>
    <w:p w14:paraId="4EBFE881">
      <w:pPr>
        <w:pStyle w:val="10"/>
        <w:keepNext w:val="0"/>
        <w:keepLines w:val="0"/>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eastAsia="仿宋_GB2312"/>
          <w:b w:val="0"/>
          <w:sz w:val="32"/>
          <w:lang w:eastAsia="zh-CN"/>
        </w:rPr>
      </w:pPr>
      <w:r>
        <w:rPr>
          <w:rFonts w:hint="eastAsia" w:ascii="仿宋_GB2312" w:eastAsia="仿宋_GB2312" w:cs="Times New Roman"/>
          <w:b w:val="0"/>
          <w:sz w:val="32"/>
          <w:u w:val="none"/>
          <w:lang w:val="en-US" w:eastAsia="zh-CN"/>
        </w:rPr>
        <w:t>金川县困难残疾</w:t>
      </w:r>
      <w:r>
        <w:rPr>
          <w:rFonts w:hint="eastAsia" w:ascii="仿宋_GB2312" w:hAnsi="Times New Roman" w:eastAsia="仿宋_GB2312" w:cs="Times New Roman"/>
          <w:b w:val="0"/>
          <w:sz w:val="32"/>
          <w:u w:val="none"/>
        </w:rPr>
        <w:t>事前绩</w:t>
      </w:r>
      <w:r>
        <w:rPr>
          <w:rFonts w:hint="eastAsia" w:ascii="仿宋_GB2312" w:eastAsia="仿宋_GB2312"/>
          <w:b w:val="0"/>
          <w:sz w:val="32"/>
          <w:u w:val="none"/>
        </w:rPr>
        <w:t>效评估汇总表</w:t>
      </w:r>
      <w:r>
        <w:rPr>
          <w:rFonts w:hint="eastAsia" w:ascii="仿宋_GB2312" w:eastAsia="仿宋_GB2312"/>
          <w:b w:val="0"/>
          <w:sz w:val="32"/>
          <w:u w:val="none"/>
          <w:lang w:eastAsia="zh-CN"/>
        </w:rPr>
        <w:t>（万元）</w:t>
      </w:r>
    </w:p>
    <w:tbl>
      <w:tblPr>
        <w:tblStyle w:val="8"/>
        <w:tblW w:w="0" w:type="auto"/>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7"/>
        <w:gridCol w:w="2211"/>
        <w:gridCol w:w="1207"/>
        <w:gridCol w:w="1120"/>
        <w:gridCol w:w="1309"/>
        <w:gridCol w:w="916"/>
        <w:gridCol w:w="582"/>
      </w:tblGrid>
      <w:tr w14:paraId="5F99A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497" w:type="dxa"/>
            <w:tcBorders>
              <w:bottom w:val="single" w:color="auto" w:sz="4" w:space="0"/>
              <w:right w:val="single" w:color="auto" w:sz="4" w:space="0"/>
            </w:tcBorders>
            <w:noWrap w:val="0"/>
            <w:vAlign w:val="top"/>
          </w:tcPr>
          <w:p w14:paraId="24009CB2">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序号</w:t>
            </w:r>
          </w:p>
        </w:tc>
        <w:tc>
          <w:tcPr>
            <w:tcW w:w="2211" w:type="dxa"/>
            <w:tcBorders>
              <w:left w:val="single" w:color="auto" w:sz="4" w:space="0"/>
              <w:bottom w:val="single" w:color="auto" w:sz="4" w:space="0"/>
              <w:right w:val="single" w:color="auto" w:sz="4" w:space="0"/>
            </w:tcBorders>
            <w:noWrap w:val="0"/>
            <w:vAlign w:val="top"/>
          </w:tcPr>
          <w:p w14:paraId="3A11B37F">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项目内容</w:t>
            </w:r>
          </w:p>
        </w:tc>
        <w:tc>
          <w:tcPr>
            <w:tcW w:w="1207" w:type="dxa"/>
            <w:tcBorders>
              <w:left w:val="single" w:color="auto" w:sz="4" w:space="0"/>
              <w:bottom w:val="single" w:color="auto" w:sz="4" w:space="0"/>
              <w:right w:val="single" w:color="auto" w:sz="4" w:space="0"/>
            </w:tcBorders>
            <w:noWrap w:val="0"/>
            <w:vAlign w:val="top"/>
          </w:tcPr>
          <w:p w14:paraId="43FB2875">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申报预 算</w:t>
            </w:r>
          </w:p>
        </w:tc>
        <w:tc>
          <w:tcPr>
            <w:tcW w:w="1120" w:type="dxa"/>
            <w:tcBorders>
              <w:left w:val="single" w:color="auto" w:sz="4" w:space="0"/>
              <w:bottom w:val="single" w:color="auto" w:sz="4" w:space="0"/>
              <w:right w:val="single" w:color="auto" w:sz="4" w:space="0"/>
            </w:tcBorders>
            <w:noWrap w:val="0"/>
            <w:vAlign w:val="top"/>
          </w:tcPr>
          <w:p w14:paraId="159C777C">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送审金额</w:t>
            </w:r>
          </w:p>
        </w:tc>
        <w:tc>
          <w:tcPr>
            <w:tcW w:w="1309" w:type="dxa"/>
            <w:tcBorders>
              <w:left w:val="single" w:color="auto" w:sz="4" w:space="0"/>
              <w:bottom w:val="single" w:color="auto" w:sz="4" w:space="0"/>
              <w:right w:val="single" w:color="auto" w:sz="4" w:space="0"/>
            </w:tcBorders>
            <w:noWrap w:val="0"/>
            <w:vAlign w:val="top"/>
          </w:tcPr>
          <w:p w14:paraId="27FE13BD">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建议控制数</w:t>
            </w:r>
          </w:p>
        </w:tc>
        <w:tc>
          <w:tcPr>
            <w:tcW w:w="916" w:type="dxa"/>
            <w:tcBorders>
              <w:left w:val="single" w:color="auto" w:sz="4" w:space="0"/>
              <w:bottom w:val="single" w:color="auto" w:sz="4" w:space="0"/>
              <w:right w:val="single" w:color="auto" w:sz="4" w:space="0"/>
            </w:tcBorders>
            <w:noWrap w:val="0"/>
            <w:vAlign w:val="top"/>
          </w:tcPr>
          <w:p w14:paraId="28ADE3E4">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320" w:firstLineChars="100"/>
              <w:rPr>
                <w:rFonts w:hint="eastAsia" w:ascii="仿宋_GB2312" w:eastAsia="仿宋_GB2312"/>
                <w:b w:val="0"/>
                <w:sz w:val="32"/>
                <w:szCs w:val="21"/>
              </w:rPr>
            </w:pPr>
            <w:r>
              <w:rPr>
                <w:rFonts w:hint="eastAsia" w:ascii="仿宋_GB2312" w:eastAsia="仿宋_GB2312"/>
                <w:b w:val="0"/>
                <w:sz w:val="32"/>
                <w:szCs w:val="21"/>
              </w:rPr>
              <w:t>核减</w:t>
            </w:r>
          </w:p>
        </w:tc>
        <w:tc>
          <w:tcPr>
            <w:tcW w:w="582" w:type="dxa"/>
            <w:vMerge w:val="restart"/>
            <w:tcBorders>
              <w:left w:val="single" w:color="auto" w:sz="4" w:space="0"/>
              <w:bottom w:val="single" w:color="auto" w:sz="4" w:space="0"/>
            </w:tcBorders>
            <w:noWrap w:val="0"/>
            <w:vAlign w:val="top"/>
          </w:tcPr>
          <w:p w14:paraId="702B5182">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p w14:paraId="1BD2E0D0">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备注</w:t>
            </w:r>
          </w:p>
        </w:tc>
      </w:tr>
      <w:tr w14:paraId="71201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497" w:type="dxa"/>
            <w:tcBorders>
              <w:top w:val="single" w:color="auto" w:sz="4" w:space="0"/>
              <w:bottom w:val="single" w:color="auto" w:sz="4" w:space="0"/>
              <w:right w:val="single" w:color="auto" w:sz="4" w:space="0"/>
            </w:tcBorders>
            <w:noWrap w:val="0"/>
            <w:vAlign w:val="top"/>
          </w:tcPr>
          <w:p w14:paraId="428B742A">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lang w:val="en-US" w:eastAsia="zh-CN"/>
              </w:rPr>
            </w:pPr>
            <w:r>
              <w:rPr>
                <w:rFonts w:hint="eastAsia" w:ascii="仿宋_GB2312" w:eastAsia="仿宋_GB2312"/>
                <w:b w:val="0"/>
                <w:sz w:val="32"/>
                <w:szCs w:val="21"/>
                <w:lang w:val="en-US" w:eastAsia="zh-CN"/>
              </w:rPr>
              <w:t>1</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23C61EB8">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eastAsia="仿宋_GB2312"/>
                <w:b w:val="0"/>
                <w:sz w:val="32"/>
                <w:szCs w:val="21"/>
                <w:lang w:val="en-US" w:eastAsia="zh-CN"/>
              </w:rPr>
              <w:t>困难残疾人生活补贴</w:t>
            </w:r>
          </w:p>
        </w:tc>
        <w:tc>
          <w:tcPr>
            <w:tcW w:w="1207" w:type="dxa"/>
            <w:tcBorders>
              <w:top w:val="single" w:color="auto" w:sz="4" w:space="0"/>
              <w:left w:val="single" w:color="auto" w:sz="4" w:space="0"/>
              <w:bottom w:val="single" w:color="auto" w:sz="4" w:space="0"/>
              <w:right w:val="single" w:color="auto" w:sz="4" w:space="0"/>
            </w:tcBorders>
            <w:noWrap w:val="0"/>
            <w:vAlign w:val="top"/>
          </w:tcPr>
          <w:p w14:paraId="6497D9D2">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eastAsia="仿宋_GB2312"/>
                <w:b w:val="0"/>
                <w:sz w:val="32"/>
                <w:lang w:val="en-US" w:eastAsia="zh-CN"/>
              </w:rPr>
              <w:t>31.62</w:t>
            </w:r>
          </w:p>
        </w:tc>
        <w:tc>
          <w:tcPr>
            <w:tcW w:w="1120" w:type="dxa"/>
            <w:tcBorders>
              <w:top w:val="single" w:color="auto" w:sz="4" w:space="0"/>
              <w:left w:val="single" w:color="auto" w:sz="4" w:space="0"/>
              <w:bottom w:val="single" w:color="auto" w:sz="4" w:space="0"/>
              <w:right w:val="single" w:color="auto" w:sz="4" w:space="0"/>
            </w:tcBorders>
            <w:noWrap w:val="0"/>
            <w:vAlign w:val="top"/>
          </w:tcPr>
          <w:p w14:paraId="35352FD4">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eastAsia="仿宋_GB2312"/>
                <w:b w:val="0"/>
                <w:sz w:val="32"/>
                <w:lang w:val="en-US" w:eastAsia="zh-CN"/>
              </w:rPr>
              <w:t>31.62</w:t>
            </w:r>
          </w:p>
        </w:tc>
        <w:tc>
          <w:tcPr>
            <w:tcW w:w="1309" w:type="dxa"/>
            <w:tcBorders>
              <w:top w:val="single" w:color="auto" w:sz="4" w:space="0"/>
              <w:left w:val="single" w:color="auto" w:sz="4" w:space="0"/>
              <w:bottom w:val="single" w:color="auto" w:sz="4" w:space="0"/>
              <w:right w:val="single" w:color="auto" w:sz="4" w:space="0"/>
            </w:tcBorders>
            <w:noWrap w:val="0"/>
            <w:vAlign w:val="top"/>
          </w:tcPr>
          <w:p w14:paraId="21C2BF0C">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eastAsia="仿宋_GB2312"/>
                <w:b w:val="0"/>
                <w:sz w:val="32"/>
                <w:lang w:val="en-US" w:eastAsia="zh-CN"/>
              </w:rPr>
              <w:t>31.62</w:t>
            </w:r>
          </w:p>
        </w:tc>
        <w:tc>
          <w:tcPr>
            <w:tcW w:w="916" w:type="dxa"/>
            <w:tcBorders>
              <w:top w:val="single" w:color="auto" w:sz="4" w:space="0"/>
              <w:left w:val="single" w:color="auto" w:sz="4" w:space="0"/>
              <w:bottom w:val="single" w:color="auto" w:sz="4" w:space="0"/>
              <w:right w:val="single" w:color="auto" w:sz="4" w:space="0"/>
            </w:tcBorders>
            <w:noWrap w:val="0"/>
            <w:vAlign w:val="top"/>
          </w:tcPr>
          <w:p w14:paraId="0F8B8DDD">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lang w:val="en-US" w:eastAsia="zh-CN"/>
              </w:rPr>
            </w:pPr>
          </w:p>
        </w:tc>
        <w:tc>
          <w:tcPr>
            <w:tcW w:w="582" w:type="dxa"/>
            <w:vMerge w:val="continue"/>
            <w:tcBorders>
              <w:left w:val="single" w:color="auto" w:sz="4" w:space="0"/>
              <w:bottom w:val="single" w:color="auto" w:sz="4" w:space="0"/>
            </w:tcBorders>
            <w:noWrap w:val="0"/>
            <w:vAlign w:val="top"/>
          </w:tcPr>
          <w:p w14:paraId="0626ABF5">
            <w:pPr>
              <w:keepNext w:val="0"/>
              <w:keepLines w:val="0"/>
              <w:pageBreakBefore w:val="0"/>
              <w:kinsoku/>
              <w:wordWrap/>
              <w:overflowPunct/>
              <w:topLinePunct w:val="0"/>
              <w:autoSpaceDE/>
              <w:autoSpaceDN/>
              <w:bidi w:val="0"/>
              <w:spacing w:line="560" w:lineRule="exact"/>
              <w:rPr>
                <w:rFonts w:eastAsia="仿宋_GB2312"/>
                <w:b w:val="0"/>
                <w:sz w:val="32"/>
              </w:rPr>
            </w:pPr>
          </w:p>
        </w:tc>
      </w:tr>
      <w:tr w14:paraId="105C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97" w:type="dxa"/>
            <w:tcBorders>
              <w:top w:val="single" w:color="auto" w:sz="4" w:space="0"/>
              <w:right w:val="single" w:color="auto" w:sz="4" w:space="0"/>
            </w:tcBorders>
            <w:noWrap w:val="0"/>
            <w:vAlign w:val="top"/>
          </w:tcPr>
          <w:p w14:paraId="73CB7B30">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2211" w:type="dxa"/>
            <w:tcBorders>
              <w:top w:val="single" w:color="auto" w:sz="4" w:space="0"/>
              <w:left w:val="single" w:color="auto" w:sz="4" w:space="0"/>
              <w:right w:val="single" w:color="auto" w:sz="4" w:space="0"/>
            </w:tcBorders>
            <w:noWrap w:val="0"/>
            <w:vAlign w:val="top"/>
          </w:tcPr>
          <w:p w14:paraId="5F6F2A20">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合计（万元）</w:t>
            </w:r>
          </w:p>
        </w:tc>
        <w:tc>
          <w:tcPr>
            <w:tcW w:w="1207" w:type="dxa"/>
            <w:tcBorders>
              <w:top w:val="single" w:color="auto" w:sz="4" w:space="0"/>
              <w:left w:val="single" w:color="auto" w:sz="4" w:space="0"/>
              <w:right w:val="single" w:color="auto" w:sz="4" w:space="0"/>
            </w:tcBorders>
            <w:noWrap w:val="0"/>
            <w:vAlign w:val="top"/>
          </w:tcPr>
          <w:p w14:paraId="59C67BE8">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eastAsia="仿宋_GB2312"/>
                <w:b w:val="0"/>
                <w:sz w:val="32"/>
                <w:lang w:val="en-US" w:eastAsia="zh-CN"/>
              </w:rPr>
              <w:t>31.62</w:t>
            </w:r>
          </w:p>
        </w:tc>
        <w:tc>
          <w:tcPr>
            <w:tcW w:w="1120" w:type="dxa"/>
            <w:tcBorders>
              <w:top w:val="single" w:color="auto" w:sz="4" w:space="0"/>
              <w:left w:val="single" w:color="auto" w:sz="4" w:space="0"/>
              <w:right w:val="single" w:color="auto" w:sz="4" w:space="0"/>
            </w:tcBorders>
            <w:noWrap w:val="0"/>
            <w:vAlign w:val="top"/>
          </w:tcPr>
          <w:p w14:paraId="1529D3B4">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eastAsia="仿宋_GB2312"/>
                <w:b w:val="0"/>
                <w:sz w:val="32"/>
                <w:lang w:val="en-US" w:eastAsia="zh-CN"/>
              </w:rPr>
              <w:t>31.62</w:t>
            </w:r>
          </w:p>
        </w:tc>
        <w:tc>
          <w:tcPr>
            <w:tcW w:w="1309" w:type="dxa"/>
            <w:tcBorders>
              <w:top w:val="single" w:color="auto" w:sz="4" w:space="0"/>
              <w:left w:val="single" w:color="auto" w:sz="4" w:space="0"/>
              <w:right w:val="single" w:color="auto" w:sz="4" w:space="0"/>
            </w:tcBorders>
            <w:noWrap w:val="0"/>
            <w:vAlign w:val="top"/>
          </w:tcPr>
          <w:p w14:paraId="72F41767">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eastAsia="仿宋_GB2312"/>
                <w:b w:val="0"/>
                <w:sz w:val="32"/>
                <w:lang w:val="en-US" w:eastAsia="zh-CN"/>
              </w:rPr>
              <w:t>31.62</w:t>
            </w:r>
          </w:p>
        </w:tc>
        <w:tc>
          <w:tcPr>
            <w:tcW w:w="916" w:type="dxa"/>
            <w:tcBorders>
              <w:top w:val="single" w:color="auto" w:sz="4" w:space="0"/>
              <w:left w:val="single" w:color="auto" w:sz="4" w:space="0"/>
              <w:right w:val="single" w:color="auto" w:sz="4" w:space="0"/>
            </w:tcBorders>
            <w:noWrap w:val="0"/>
            <w:vAlign w:val="top"/>
          </w:tcPr>
          <w:p w14:paraId="22C4F51B">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582" w:type="dxa"/>
            <w:tcBorders>
              <w:top w:val="single" w:color="auto" w:sz="4" w:space="0"/>
              <w:left w:val="single" w:color="auto" w:sz="4" w:space="0"/>
            </w:tcBorders>
            <w:noWrap w:val="0"/>
            <w:vAlign w:val="top"/>
          </w:tcPr>
          <w:p w14:paraId="11FCF2B0">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r>
    </w:tbl>
    <w:p w14:paraId="245FB4EE">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楷体_GB2312" w:eastAsia="仿宋_GB2312"/>
          <w:b w:val="0"/>
          <w:bCs/>
          <w:sz w:val="32"/>
        </w:rPr>
      </w:pPr>
      <w:r>
        <w:rPr>
          <w:rFonts w:hint="eastAsia" w:ascii="楷体_GB2312"/>
          <w:b w:val="0"/>
          <w:bCs/>
          <w:sz w:val="32"/>
          <w:lang w:val="en-US" w:eastAsia="zh-CN"/>
        </w:rPr>
        <w:t>3、</w:t>
      </w:r>
      <w:r>
        <w:rPr>
          <w:rFonts w:hint="eastAsia" w:ascii="楷体_GB2312" w:eastAsia="仿宋_GB2312"/>
          <w:b w:val="0"/>
          <w:bCs/>
          <w:sz w:val="32"/>
        </w:rPr>
        <w:t>目标合理性</w:t>
      </w:r>
    </w:p>
    <w:p w14:paraId="3D6D29EB">
      <w:pPr>
        <w:pStyle w:val="10"/>
        <w:keepNext w:val="0"/>
        <w:keepLines w:val="0"/>
        <w:pageBreakBefore w:val="0"/>
        <w:kinsoku/>
        <w:wordWrap/>
        <w:overflowPunct/>
        <w:topLinePunct w:val="0"/>
        <w:autoSpaceDE/>
        <w:autoSpaceDN/>
        <w:bidi w:val="0"/>
        <w:spacing w:line="560" w:lineRule="exact"/>
        <w:ind w:left="0" w:firstLine="640" w:firstLineChars="200"/>
        <w:rPr>
          <w:rFonts w:hint="default" w:ascii="仿宋_GB2312" w:eastAsia="仿宋_GB2312"/>
          <w:b w:val="0"/>
          <w:sz w:val="32"/>
          <w:lang w:val="en-US" w:eastAsia="zh-CN"/>
        </w:rPr>
      </w:pPr>
      <w:r>
        <w:rPr>
          <w:rFonts w:hint="eastAsia" w:ascii="仿宋_GB2312" w:eastAsia="仿宋_GB2312"/>
          <w:b w:val="0"/>
          <w:sz w:val="32"/>
          <w:lang w:val="en-US" w:eastAsia="zh-CN"/>
        </w:rPr>
        <w:t>本项目设置绩效目标5项，分别为成本指标1项，产出指标2项，效益指标1项，满意度指标1项，详见项目目标绩效表，本项目</w:t>
      </w:r>
      <w:r>
        <w:rPr>
          <w:rFonts w:hint="eastAsia" w:ascii="仿宋_GB2312" w:eastAsia="仿宋_GB2312"/>
          <w:b w:val="0"/>
          <w:sz w:val="32"/>
        </w:rPr>
        <w:t>绩效目标和绩效指标量化可考核，全面完整，契合政策或项目实质，与部门的长期规划目标、年度工作目标相一致，产出和效果</w:t>
      </w:r>
      <w:r>
        <w:rPr>
          <w:rFonts w:hint="eastAsia" w:ascii="仿宋_GB2312" w:eastAsia="仿宋_GB2312"/>
          <w:b w:val="0"/>
          <w:sz w:val="32"/>
          <w:lang w:val="en-US" w:eastAsia="zh-CN"/>
        </w:rPr>
        <w:t>相</w:t>
      </w:r>
      <w:r>
        <w:rPr>
          <w:rFonts w:hint="eastAsia" w:ascii="仿宋_GB2312" w:eastAsia="仿宋_GB2312"/>
          <w:b w:val="0"/>
          <w:sz w:val="32"/>
        </w:rPr>
        <w:t>关联，满意度指标预测</w:t>
      </w:r>
      <w:r>
        <w:rPr>
          <w:rFonts w:hint="eastAsia" w:ascii="仿宋_GB2312" w:eastAsia="仿宋_GB2312"/>
          <w:b w:val="0"/>
          <w:sz w:val="32"/>
          <w:lang w:val="en-US" w:eastAsia="zh-CN"/>
        </w:rPr>
        <w:t>为100%。</w:t>
      </w:r>
    </w:p>
    <w:p w14:paraId="20053B52">
      <w:pPr>
        <w:pStyle w:val="10"/>
        <w:keepNext w:val="0"/>
        <w:keepLines w:val="0"/>
        <w:pageBreakBefore w:val="0"/>
        <w:kinsoku/>
        <w:wordWrap/>
        <w:overflowPunct/>
        <w:topLinePunct w:val="0"/>
        <w:autoSpaceDE/>
        <w:autoSpaceDN/>
        <w:bidi w:val="0"/>
        <w:spacing w:line="560" w:lineRule="exact"/>
        <w:ind w:left="0" w:leftChars="0" w:right="0" w:rightChars="0" w:firstLine="0" w:firstLineChars="0"/>
        <w:jc w:val="center"/>
        <w:rPr>
          <w:rFonts w:hint="eastAsia" w:ascii="方正黑体_GBK" w:eastAsia="仿宋_GB2312"/>
          <w:b w:val="0"/>
          <w:sz w:val="32"/>
        </w:rPr>
      </w:pPr>
      <w:r>
        <w:rPr>
          <w:rFonts w:hint="eastAsia" w:ascii="仿宋_GB2312" w:eastAsia="仿宋_GB2312"/>
          <w:b w:val="0"/>
          <w:sz w:val="32"/>
          <w:lang w:eastAsia="zh-CN"/>
        </w:rPr>
        <w:t>金川县</w:t>
      </w:r>
      <w:r>
        <w:rPr>
          <w:rFonts w:hint="eastAsia" w:ascii="仿宋_GB2312" w:eastAsia="仿宋_GB2312" w:cs="Times New Roman"/>
          <w:b w:val="0"/>
          <w:sz w:val="32"/>
          <w:lang w:val="en-US" w:eastAsia="zh-CN"/>
        </w:rPr>
        <w:t>困难残疾人</w:t>
      </w:r>
      <w:r>
        <w:rPr>
          <w:rFonts w:hint="eastAsia" w:ascii="仿宋_GB2312" w:hAnsi="Times New Roman" w:eastAsia="仿宋_GB2312" w:cs="Times New Roman"/>
          <w:b w:val="0"/>
          <w:sz w:val="32"/>
          <w:lang w:eastAsia="zh-CN"/>
        </w:rPr>
        <w:t>绩</w:t>
      </w:r>
      <w:r>
        <w:rPr>
          <w:rFonts w:hint="eastAsia" w:ascii="仿宋_GB2312" w:eastAsia="仿宋_GB2312"/>
          <w:b w:val="0"/>
          <w:sz w:val="32"/>
        </w:rPr>
        <w:t>效目标表</w:t>
      </w:r>
    </w:p>
    <w:tbl>
      <w:tblPr>
        <w:tblStyle w:val="8"/>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16"/>
        <w:gridCol w:w="1836"/>
        <w:gridCol w:w="2736"/>
        <w:gridCol w:w="576"/>
        <w:gridCol w:w="570"/>
        <w:gridCol w:w="645"/>
        <w:gridCol w:w="666"/>
      </w:tblGrid>
      <w:tr w14:paraId="58D42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noWrap/>
            <w:vAlign w:val="center"/>
          </w:tcPr>
          <w:p w14:paraId="0A32B93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一级指标</w:t>
            </w:r>
          </w:p>
        </w:tc>
        <w:tc>
          <w:tcPr>
            <w:tcW w:w="1836" w:type="dxa"/>
            <w:tcBorders>
              <w:top w:val="single" w:color="000000" w:sz="4" w:space="0"/>
              <w:left w:val="single" w:color="000000" w:sz="4" w:space="0"/>
              <w:bottom w:val="single" w:color="000000" w:sz="4" w:space="0"/>
              <w:right w:val="single" w:color="000000" w:sz="4" w:space="0"/>
            </w:tcBorders>
            <w:noWrap/>
            <w:vAlign w:val="center"/>
          </w:tcPr>
          <w:p w14:paraId="5CB99D9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二级指标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14:paraId="14E4C6D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三级指标</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40B9413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指标性质</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5AFAADD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指标值</w:t>
            </w: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1A88363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度量单位</w:t>
            </w:r>
          </w:p>
        </w:tc>
        <w:tc>
          <w:tcPr>
            <w:tcW w:w="666" w:type="dxa"/>
            <w:tcBorders>
              <w:top w:val="single" w:color="000000" w:sz="4" w:space="0"/>
              <w:left w:val="single" w:color="000000" w:sz="4" w:space="0"/>
              <w:bottom w:val="single" w:color="000000" w:sz="4" w:space="0"/>
              <w:right w:val="single" w:color="000000" w:sz="4" w:space="0"/>
            </w:tcBorders>
            <w:noWrap/>
            <w:vAlign w:val="center"/>
          </w:tcPr>
          <w:p w14:paraId="36704F5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权重（%）</w:t>
            </w:r>
          </w:p>
        </w:tc>
      </w:tr>
      <w:tr w14:paraId="33970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noWrap/>
            <w:vAlign w:val="center"/>
          </w:tcPr>
          <w:p w14:paraId="371EDAF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noWrap/>
            <w:vAlign w:val="center"/>
          </w:tcPr>
          <w:p w14:paraId="65A3A21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14:paraId="4EFD120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困难残疾人人数</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23C1485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43D15D0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732</w:t>
            </w: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099520E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666" w:type="dxa"/>
            <w:tcBorders>
              <w:top w:val="single" w:color="000000" w:sz="4" w:space="0"/>
              <w:left w:val="single" w:color="000000" w:sz="4" w:space="0"/>
              <w:bottom w:val="single" w:color="000000" w:sz="4" w:space="0"/>
              <w:right w:val="single" w:color="000000" w:sz="4" w:space="0"/>
            </w:tcBorders>
            <w:noWrap/>
            <w:vAlign w:val="center"/>
          </w:tcPr>
          <w:p w14:paraId="4D4CBBD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20</w:t>
            </w:r>
          </w:p>
        </w:tc>
      </w:tr>
      <w:tr w14:paraId="0B26D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noWrap/>
            <w:vAlign w:val="center"/>
          </w:tcPr>
          <w:p w14:paraId="6779D28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noWrap/>
            <w:vAlign w:val="center"/>
          </w:tcPr>
          <w:p w14:paraId="14D1976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质量指标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14:paraId="78C7423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困难残疾人补助资金发放准确率</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0A401FB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2C935D0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4FAA99A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noWrap/>
            <w:vAlign w:val="center"/>
          </w:tcPr>
          <w:p w14:paraId="5500DA1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1E789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noWrap/>
            <w:vAlign w:val="center"/>
          </w:tcPr>
          <w:p w14:paraId="4A69146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noWrap/>
            <w:vAlign w:val="center"/>
          </w:tcPr>
          <w:p w14:paraId="3D1C0AB5">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时效指标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14:paraId="73036182">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按月发放率</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5418D7C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366E73F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7CAC3CA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noWrap/>
            <w:vAlign w:val="center"/>
          </w:tcPr>
          <w:p w14:paraId="4261D13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582CC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noWrap/>
            <w:vAlign w:val="center"/>
          </w:tcPr>
          <w:p w14:paraId="795EBCB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noWrap/>
            <w:vAlign w:val="center"/>
          </w:tcPr>
          <w:p w14:paraId="1D4D2E3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社会效益指标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14:paraId="3B36BBF5">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受助人员基本生活</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18CF9DF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定性</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5FC38DF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高</w:t>
            </w: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38A74CE3">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c>
          <w:tcPr>
            <w:tcW w:w="666" w:type="dxa"/>
            <w:tcBorders>
              <w:top w:val="single" w:color="000000" w:sz="4" w:space="0"/>
              <w:left w:val="single" w:color="000000" w:sz="4" w:space="0"/>
              <w:bottom w:val="single" w:color="000000" w:sz="4" w:space="0"/>
              <w:right w:val="single" w:color="000000" w:sz="4" w:space="0"/>
            </w:tcBorders>
            <w:noWrap/>
            <w:vAlign w:val="center"/>
          </w:tcPr>
          <w:p w14:paraId="458AC6B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4413F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noWrap/>
            <w:vAlign w:val="center"/>
          </w:tcPr>
          <w:p w14:paraId="1C22EB7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noWrap/>
            <w:vAlign w:val="center"/>
          </w:tcPr>
          <w:p w14:paraId="431A061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可持续影响指标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14:paraId="406C769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符合条件的受助对象幸福感</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2A26E62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定性</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0D879B5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高</w:t>
            </w: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48ED7D45">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c>
          <w:tcPr>
            <w:tcW w:w="666" w:type="dxa"/>
            <w:tcBorders>
              <w:top w:val="single" w:color="000000" w:sz="4" w:space="0"/>
              <w:left w:val="single" w:color="000000" w:sz="4" w:space="0"/>
              <w:bottom w:val="single" w:color="000000" w:sz="4" w:space="0"/>
              <w:right w:val="single" w:color="000000" w:sz="4" w:space="0"/>
            </w:tcBorders>
            <w:noWrap/>
            <w:vAlign w:val="center"/>
          </w:tcPr>
          <w:p w14:paraId="46DCE95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20</w:t>
            </w:r>
          </w:p>
        </w:tc>
      </w:tr>
      <w:tr w14:paraId="4C63E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noWrap/>
            <w:vAlign w:val="center"/>
          </w:tcPr>
          <w:p w14:paraId="1900148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1836" w:type="dxa"/>
            <w:tcBorders>
              <w:top w:val="single" w:color="000000" w:sz="4" w:space="0"/>
              <w:left w:val="single" w:color="000000" w:sz="4" w:space="0"/>
              <w:bottom w:val="single" w:color="000000" w:sz="4" w:space="0"/>
              <w:right w:val="single" w:color="000000" w:sz="4" w:space="0"/>
            </w:tcBorders>
            <w:noWrap/>
            <w:vAlign w:val="center"/>
          </w:tcPr>
          <w:p w14:paraId="0FD459A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服务对象满意度指标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14:paraId="19A06DE4">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受助困难残疾人满意度</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617426A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67C8014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0C228A0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noWrap/>
            <w:vAlign w:val="center"/>
          </w:tcPr>
          <w:p w14:paraId="36EEA17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0C3CA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noWrap/>
            <w:vAlign w:val="center"/>
          </w:tcPr>
          <w:p w14:paraId="5F999D0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noWrap/>
            <w:vAlign w:val="center"/>
          </w:tcPr>
          <w:p w14:paraId="71C8162F">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经济成本指标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14:paraId="3E13FD8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困难残疾人标准</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6B5DBDE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5427FC1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4351D45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元/月</w:t>
            </w:r>
          </w:p>
        </w:tc>
        <w:tc>
          <w:tcPr>
            <w:tcW w:w="666" w:type="dxa"/>
            <w:tcBorders>
              <w:top w:val="single" w:color="000000" w:sz="4" w:space="0"/>
              <w:left w:val="single" w:color="000000" w:sz="4" w:space="0"/>
              <w:bottom w:val="single" w:color="000000" w:sz="4" w:space="0"/>
              <w:right w:val="single" w:color="000000" w:sz="4" w:space="0"/>
            </w:tcBorders>
            <w:noWrap/>
            <w:vAlign w:val="center"/>
          </w:tcPr>
          <w:p w14:paraId="1211FD6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bl>
    <w:p w14:paraId="32057F47">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楷体_GB2312" w:eastAsia="仿宋_GB2312"/>
          <w:b w:val="0"/>
          <w:bCs/>
          <w:sz w:val="32"/>
        </w:rPr>
      </w:pPr>
      <w:r>
        <w:rPr>
          <w:rFonts w:hint="eastAsia" w:ascii="楷体_GB2312"/>
          <w:b w:val="0"/>
          <w:bCs/>
          <w:sz w:val="32"/>
          <w:lang w:val="en-US" w:eastAsia="zh-CN"/>
        </w:rPr>
        <w:t>4、</w:t>
      </w:r>
      <w:r>
        <w:rPr>
          <w:rFonts w:hint="eastAsia" w:ascii="楷体_GB2312" w:eastAsia="仿宋_GB2312"/>
          <w:b w:val="0"/>
          <w:bCs/>
          <w:sz w:val="32"/>
        </w:rPr>
        <w:t>实施可行性</w:t>
      </w:r>
    </w:p>
    <w:p w14:paraId="47F4A6A4">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仿宋_GB2312" w:eastAsia="仿宋_GB2312"/>
          <w:b w:val="0"/>
          <w:sz w:val="32"/>
        </w:rPr>
      </w:pPr>
      <w:r>
        <w:rPr>
          <w:rFonts w:hint="eastAsia" w:ascii="仿宋_GB2312" w:eastAsia="仿宋_GB2312"/>
          <w:b w:val="0"/>
          <w:sz w:val="32"/>
        </w:rPr>
        <w:t>本项目从政治、经济及社会效益结论分析，项目具有较强的社会效益和抗风险能力；从建设前置条件分析，项目已具备基本建设条件。项目的建设解决了</w:t>
      </w:r>
      <w:r>
        <w:rPr>
          <w:rFonts w:hint="eastAsia" w:ascii="仿宋_GB2312" w:eastAsia="仿宋_GB2312"/>
          <w:b w:val="0"/>
          <w:sz w:val="32"/>
          <w:lang w:eastAsia="zh-CN"/>
        </w:rPr>
        <w:t>困境儿童</w:t>
      </w:r>
      <w:r>
        <w:rPr>
          <w:rFonts w:hint="eastAsia" w:ascii="仿宋_GB2312" w:eastAsia="仿宋_GB2312"/>
          <w:b w:val="0"/>
          <w:sz w:val="32"/>
        </w:rPr>
        <w:t>的难题，为未来发展打下坚实基础，因此本项目的建设不仅必要，且非常迫切。</w:t>
      </w:r>
    </w:p>
    <w:p w14:paraId="2EC728B9">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楷体_GB2312" w:eastAsia="仿宋_GB2312"/>
          <w:b w:val="0"/>
          <w:bCs/>
          <w:sz w:val="32"/>
        </w:rPr>
      </w:pPr>
      <w:r>
        <w:rPr>
          <w:rFonts w:hint="eastAsia" w:ascii="楷体_GB2312"/>
          <w:b w:val="0"/>
          <w:bCs/>
          <w:sz w:val="32"/>
          <w:lang w:val="en-US" w:eastAsia="zh-CN"/>
        </w:rPr>
        <w:t>5、</w:t>
      </w:r>
      <w:r>
        <w:rPr>
          <w:rFonts w:hint="eastAsia" w:ascii="楷体_GB2312" w:eastAsia="仿宋_GB2312"/>
          <w:b w:val="0"/>
          <w:bCs/>
          <w:sz w:val="32"/>
        </w:rPr>
        <w:t>筹资合规性</w:t>
      </w:r>
    </w:p>
    <w:p w14:paraId="5ED4D9D8">
      <w:pPr>
        <w:pStyle w:val="10"/>
        <w:keepNext w:val="0"/>
        <w:keepLines w:val="0"/>
        <w:pageBreakBefore w:val="0"/>
        <w:kinsoku/>
        <w:wordWrap/>
        <w:overflowPunct/>
        <w:topLinePunct w:val="0"/>
        <w:autoSpaceDE/>
        <w:autoSpaceDN/>
        <w:bidi w:val="0"/>
        <w:spacing w:line="560" w:lineRule="exact"/>
        <w:ind w:left="0" w:firstLine="640" w:firstLineChars="200"/>
        <w:rPr>
          <w:rFonts w:hint="default" w:ascii="仿宋_GB2312" w:hAnsi="Times New Roman" w:eastAsia="仿宋_GB2312" w:cs="Times New Roman"/>
          <w:b w:val="0"/>
          <w:sz w:val="32"/>
          <w:lang w:val="en-US" w:eastAsia="zh-CN"/>
        </w:rPr>
      </w:pPr>
      <w:r>
        <w:rPr>
          <w:rFonts w:hint="eastAsia" w:ascii="仿宋_GB2312" w:hAnsi="Times New Roman" w:eastAsia="仿宋_GB2312" w:cs="Times New Roman"/>
          <w:b w:val="0"/>
          <w:sz w:val="32"/>
          <w:lang w:val="en-US" w:eastAsia="zh-CN"/>
        </w:rPr>
        <w:t>该项目为中央</w:t>
      </w:r>
      <w:r>
        <w:rPr>
          <w:rFonts w:hint="eastAsia" w:ascii="仿宋_GB2312" w:eastAsia="仿宋_GB2312" w:cs="Times New Roman"/>
          <w:b w:val="0"/>
          <w:sz w:val="32"/>
          <w:lang w:val="en-US" w:eastAsia="zh-CN"/>
        </w:rPr>
        <w:t>、地方</w:t>
      </w:r>
      <w:r>
        <w:rPr>
          <w:rFonts w:hint="eastAsia" w:ascii="仿宋_GB2312" w:hAnsi="Times New Roman" w:eastAsia="仿宋_GB2312" w:cs="Times New Roman"/>
          <w:b w:val="0"/>
          <w:sz w:val="32"/>
          <w:lang w:val="en-US" w:eastAsia="zh-CN"/>
        </w:rPr>
        <w:t>投资资金，地方配套资金</w:t>
      </w:r>
      <w:r>
        <w:rPr>
          <w:rFonts w:hint="eastAsia" w:ascii="仿宋_GB2312" w:eastAsia="仿宋_GB2312"/>
          <w:b w:val="0"/>
          <w:color w:val="FF0000"/>
          <w:sz w:val="32"/>
          <w:lang w:val="en-US" w:eastAsia="zh-CN"/>
        </w:rPr>
        <w:t>31.62</w:t>
      </w:r>
      <w:r>
        <w:rPr>
          <w:rFonts w:hint="eastAsia" w:ascii="仿宋_GB2312" w:hAnsi="Times New Roman" w:eastAsia="仿宋_GB2312" w:cs="Times New Roman"/>
          <w:b w:val="0"/>
          <w:sz w:val="32"/>
          <w:lang w:val="en-US" w:eastAsia="zh-CN"/>
        </w:rPr>
        <w:t>万元。</w:t>
      </w:r>
    </w:p>
    <w:p w14:paraId="34DD4FA5">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方正黑体_GBK" w:eastAsia="仿宋_GB2312"/>
          <w:b w:val="0"/>
          <w:sz w:val="32"/>
        </w:rPr>
      </w:pPr>
      <w:r>
        <w:rPr>
          <w:rFonts w:hint="eastAsia" w:ascii="方正黑体_GBK"/>
          <w:b w:val="0"/>
          <w:sz w:val="32"/>
          <w:lang w:eastAsia="zh-CN"/>
        </w:rPr>
        <w:t>（</w:t>
      </w:r>
      <w:r>
        <w:rPr>
          <w:rFonts w:hint="eastAsia" w:ascii="方正黑体_GBK"/>
          <w:b w:val="0"/>
          <w:sz w:val="32"/>
          <w:lang w:val="en-US" w:eastAsia="zh-CN"/>
        </w:rPr>
        <w:t>五</w:t>
      </w:r>
      <w:r>
        <w:rPr>
          <w:rFonts w:hint="eastAsia" w:ascii="方正黑体_GBK"/>
          <w:b w:val="0"/>
          <w:sz w:val="32"/>
          <w:lang w:eastAsia="zh-CN"/>
        </w:rPr>
        <w:t>）</w:t>
      </w:r>
      <w:r>
        <w:rPr>
          <w:rFonts w:hint="eastAsia" w:ascii="方正黑体_GBK" w:eastAsia="仿宋_GB2312"/>
          <w:b w:val="0"/>
          <w:sz w:val="32"/>
        </w:rPr>
        <w:t>评估结论</w:t>
      </w:r>
    </w:p>
    <w:p w14:paraId="64FABF6E">
      <w:pPr>
        <w:pStyle w:val="10"/>
        <w:keepNext w:val="0"/>
        <w:keepLines w:val="0"/>
        <w:pageBreakBefore w:val="0"/>
        <w:kinsoku/>
        <w:wordWrap/>
        <w:overflowPunct/>
        <w:topLinePunct w:val="0"/>
        <w:autoSpaceDE/>
        <w:autoSpaceDN/>
        <w:bidi w:val="0"/>
        <w:spacing w:line="560" w:lineRule="exact"/>
        <w:ind w:left="49" w:firstLine="640" w:firstLineChars="200"/>
        <w:rPr>
          <w:rFonts w:hint="eastAsia" w:ascii="仿宋_GB2312" w:eastAsia="仿宋_GB2312"/>
          <w:b w:val="0"/>
          <w:sz w:val="32"/>
          <w:u w:val="single"/>
          <w:lang w:eastAsia="zh-CN"/>
        </w:rPr>
      </w:pPr>
      <w:r>
        <w:rPr>
          <w:rFonts w:hint="eastAsia" w:ascii="仿宋_GB2312" w:eastAsia="仿宋_GB2312"/>
          <w:b w:val="0"/>
          <w:sz w:val="32"/>
        </w:rPr>
        <w:t>综合前述评估内容来看，</w:t>
      </w:r>
      <w:r>
        <w:rPr>
          <w:rFonts w:hint="eastAsia" w:ascii="仿宋_GB2312" w:eastAsia="仿宋_GB2312"/>
          <w:b w:val="0"/>
          <w:sz w:val="32"/>
          <w:lang w:val="en-US" w:eastAsia="zh-CN"/>
        </w:rPr>
        <w:t>评分95分，</w:t>
      </w:r>
      <w:r>
        <w:rPr>
          <w:rFonts w:hint="eastAsia" w:ascii="仿宋_GB2312" w:eastAsia="仿宋_GB2312"/>
          <w:b w:val="0"/>
          <w:sz w:val="32"/>
        </w:rPr>
        <w:t>该项目立项必要性和依据充分，绩效目标明确，具备实施条件，具有公共性，符合财政资金支持方向等。</w:t>
      </w:r>
      <w:r>
        <w:rPr>
          <w:rFonts w:hint="eastAsia" w:ascii="仿宋_GB2312" w:eastAsia="仿宋_GB2312"/>
          <w:b w:val="0"/>
          <w:bCs/>
          <w:sz w:val="32"/>
        </w:rPr>
        <w:t>建议</w:t>
      </w:r>
      <w:r>
        <w:rPr>
          <w:rFonts w:hint="eastAsia" w:ascii="仿宋_GB2312" w:eastAsia="仿宋_GB2312"/>
          <w:b w:val="0"/>
          <w:sz w:val="32"/>
          <w:u w:val="single"/>
        </w:rPr>
        <w:t>予以支持</w:t>
      </w:r>
      <w:r>
        <w:rPr>
          <w:rFonts w:hint="eastAsia" w:ascii="仿宋_GB2312" w:eastAsia="仿宋_GB2312"/>
          <w:b w:val="0"/>
          <w:sz w:val="32"/>
        </w:rPr>
        <w:t>，预算控制在</w:t>
      </w:r>
      <w:r>
        <w:rPr>
          <w:rFonts w:hint="eastAsia" w:ascii="仿宋_GB2312" w:eastAsia="仿宋_GB2312"/>
          <w:b w:val="0"/>
          <w:sz w:val="32"/>
          <w:lang w:val="en-US" w:eastAsia="zh-CN"/>
        </w:rPr>
        <w:t>87.84</w:t>
      </w:r>
      <w:r>
        <w:rPr>
          <w:rFonts w:hint="eastAsia" w:ascii="仿宋_GB2312" w:eastAsia="仿宋_GB2312"/>
          <w:b w:val="0"/>
          <w:sz w:val="32"/>
        </w:rPr>
        <w:t>万元以内。该项目申请资金总预算</w:t>
      </w:r>
      <w:r>
        <w:rPr>
          <w:rFonts w:hint="eastAsia" w:ascii="仿宋_GB2312" w:eastAsia="仿宋_GB2312"/>
          <w:b w:val="0"/>
          <w:sz w:val="32"/>
          <w:lang w:val="en-US" w:eastAsia="zh-CN"/>
        </w:rPr>
        <w:t>87.84</w:t>
      </w:r>
      <w:r>
        <w:rPr>
          <w:rFonts w:hint="eastAsia" w:ascii="仿宋_GB2312" w:eastAsia="仿宋_GB2312"/>
          <w:b w:val="0"/>
          <w:sz w:val="32"/>
        </w:rPr>
        <w:t>万元，经评审，建议预算申报数</w:t>
      </w:r>
      <w:r>
        <w:rPr>
          <w:rFonts w:hint="eastAsia" w:ascii="仿宋_GB2312" w:eastAsia="仿宋_GB2312"/>
          <w:b w:val="0"/>
          <w:sz w:val="32"/>
          <w:lang w:val="en-US" w:eastAsia="zh-CN"/>
        </w:rPr>
        <w:t>87.84</w:t>
      </w:r>
      <w:r>
        <w:rPr>
          <w:rFonts w:hint="eastAsia" w:ascii="仿宋_GB2312" w:eastAsia="仿宋_GB2312"/>
          <w:b w:val="0"/>
          <w:sz w:val="32"/>
        </w:rPr>
        <w:t>万元,合计评减</w:t>
      </w:r>
      <w:r>
        <w:rPr>
          <w:rFonts w:hint="eastAsia" w:ascii="仿宋_GB2312" w:eastAsia="仿宋_GB2312"/>
          <w:b w:val="0"/>
          <w:sz w:val="32"/>
          <w:u w:val="single" w:color="auto"/>
          <w:lang w:val="en-US" w:eastAsia="zh-CN"/>
        </w:rPr>
        <w:t>0</w:t>
      </w:r>
      <w:r>
        <w:rPr>
          <w:rFonts w:hint="eastAsia" w:ascii="仿宋_GB2312" w:eastAsia="仿宋_GB2312"/>
          <w:b w:val="0"/>
          <w:sz w:val="32"/>
        </w:rPr>
        <w:t>万元，评减率</w:t>
      </w:r>
      <w:r>
        <w:rPr>
          <w:rFonts w:hint="eastAsia" w:ascii="仿宋_GB2312" w:eastAsia="仿宋_GB2312"/>
          <w:b w:val="0"/>
          <w:sz w:val="32"/>
          <w:u w:val="single" w:color="auto"/>
          <w:lang w:val="en-US" w:eastAsia="zh-CN"/>
        </w:rPr>
        <w:t>0%</w:t>
      </w:r>
      <w:r>
        <w:rPr>
          <w:rFonts w:hint="eastAsia" w:ascii="仿宋_GB2312" w:eastAsia="仿宋_GB2312"/>
          <w:b w:val="0"/>
          <w:sz w:val="32"/>
        </w:rPr>
        <w:t>。我单位将进一步</w:t>
      </w:r>
      <w:r>
        <w:rPr>
          <w:rFonts w:hint="eastAsia" w:ascii="仿宋_GB2312" w:eastAsia="仿宋_GB2312"/>
          <w:b w:val="0"/>
          <w:sz w:val="32"/>
          <w:u w:val="single"/>
        </w:rPr>
        <w:t>优化完善实施方案和绩效目标，加强运行监控，节约财政资金并提升资金效益，提升预算绩效管理水平</w:t>
      </w:r>
      <w:r>
        <w:rPr>
          <w:rFonts w:hint="eastAsia" w:ascii="仿宋_GB2312" w:eastAsia="仿宋_GB2312"/>
          <w:b w:val="0"/>
          <w:sz w:val="32"/>
          <w:u w:val="single"/>
          <w:lang w:eastAsia="zh-CN"/>
        </w:rPr>
        <w:t>，</w:t>
      </w:r>
      <w:r>
        <w:rPr>
          <w:rFonts w:hint="eastAsia" w:ascii="仿宋_GB2312" w:eastAsia="仿宋_GB2312"/>
          <w:b w:val="0"/>
          <w:sz w:val="32"/>
          <w:u w:val="single"/>
          <w:lang w:val="en-US" w:eastAsia="zh-CN"/>
        </w:rPr>
        <w:t>保障项目实施</w:t>
      </w:r>
      <w:r>
        <w:rPr>
          <w:rFonts w:hint="eastAsia" w:ascii="仿宋_GB2312" w:eastAsia="仿宋_GB2312"/>
          <w:b w:val="0"/>
          <w:sz w:val="32"/>
          <w:u w:val="single"/>
          <w:lang w:eastAsia="zh-CN"/>
        </w:rPr>
        <w:t>。</w:t>
      </w:r>
    </w:p>
    <w:p w14:paraId="5FE175D1">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方正黑体_GBK" w:hAnsi="Times New Roman" w:eastAsia="仿宋_GB2312" w:cs="Times New Roman"/>
          <w:b w:val="0"/>
          <w:sz w:val="32"/>
        </w:rPr>
      </w:pPr>
      <w:r>
        <w:rPr>
          <w:rFonts w:hint="eastAsia" w:ascii="方正黑体_GBK" w:cs="Times New Roman"/>
          <w:b w:val="0"/>
          <w:sz w:val="32"/>
          <w:lang w:eastAsia="zh-CN"/>
        </w:rPr>
        <w:t>（</w:t>
      </w:r>
      <w:r>
        <w:rPr>
          <w:rFonts w:hint="eastAsia" w:ascii="方正黑体_GBK" w:cs="Times New Roman"/>
          <w:b w:val="0"/>
          <w:sz w:val="32"/>
          <w:lang w:val="en-US" w:eastAsia="zh-CN"/>
        </w:rPr>
        <w:t>六</w:t>
      </w:r>
      <w:r>
        <w:rPr>
          <w:rFonts w:hint="eastAsia" w:ascii="方正黑体_GBK" w:cs="Times New Roman"/>
          <w:b w:val="0"/>
          <w:sz w:val="32"/>
          <w:lang w:eastAsia="zh-CN"/>
        </w:rPr>
        <w:t>）</w:t>
      </w:r>
      <w:r>
        <w:rPr>
          <w:rFonts w:hint="eastAsia" w:ascii="方正黑体_GBK" w:hAnsi="Times New Roman" w:eastAsia="仿宋_GB2312" w:cs="Times New Roman"/>
          <w:b w:val="0"/>
          <w:sz w:val="32"/>
        </w:rPr>
        <w:t>其它说明事项</w:t>
      </w:r>
    </w:p>
    <w:p w14:paraId="4D889ED1">
      <w:pPr>
        <w:pageBreakBefore w:val="0"/>
        <w:tabs>
          <w:tab w:val="center" w:pos="4153"/>
          <w:tab w:val="right" w:pos="8306"/>
        </w:tabs>
        <w:kinsoku/>
        <w:wordWrap/>
        <w:overflowPunct/>
        <w:topLinePunct w:val="0"/>
        <w:autoSpaceDE/>
        <w:autoSpaceDN/>
        <w:bidi w:val="0"/>
        <w:spacing w:line="560" w:lineRule="exact"/>
        <w:ind w:firstLine="640" w:firstLineChars="200"/>
        <w:rPr>
          <w:rFonts w:eastAsia="仿宋_GB2312"/>
          <w:b w:val="0"/>
          <w:sz w:val="32"/>
        </w:rPr>
      </w:pPr>
      <w:r>
        <w:rPr>
          <w:rFonts w:hint="eastAsia" w:ascii="仿宋_GB2312" w:hAnsi="仿宋_GB2312" w:eastAsia="仿宋_GB2312" w:cs="仿宋_GB2312"/>
          <w:b w:val="0"/>
          <w:sz w:val="32"/>
          <w:szCs w:val="32"/>
        </w:rPr>
        <w:t>该项目预算编制真实完整，预算编制内容科学合理、明确细化，与绩效目标、实施方案紧密衔接，预算标准依据充分、测算准确</w:t>
      </w:r>
      <w:r>
        <w:rPr>
          <w:rFonts w:hint="eastAsia" w:ascii="仿宋_GB2312" w:hAnsi="仿宋_GB2312" w:eastAsia="仿宋_GB2312" w:cs="仿宋_GB2312"/>
          <w:b w:val="0"/>
          <w:sz w:val="32"/>
          <w:szCs w:val="32"/>
          <w:lang w:eastAsia="zh-CN"/>
        </w:rPr>
        <w:t>。</w:t>
      </w:r>
    </w:p>
    <w:p w14:paraId="3189778D">
      <w:pPr>
        <w:pageBreakBefore w:val="0"/>
        <w:tabs>
          <w:tab w:val="center" w:pos="4153"/>
          <w:tab w:val="right" w:pos="8306"/>
        </w:tabs>
        <w:kinsoku/>
        <w:wordWrap/>
        <w:overflowPunct/>
        <w:topLinePunct w:val="0"/>
        <w:autoSpaceDE/>
        <w:autoSpaceDN/>
        <w:bidi w:val="0"/>
        <w:spacing w:line="560" w:lineRule="exact"/>
        <w:ind w:firstLine="640" w:firstLineChars="200"/>
        <w:rPr>
          <w:rFonts w:hint="eastAsia" w:ascii="仿宋_GB2312" w:hAnsi="宋体" w:eastAsia="仿宋_GB2312"/>
          <w:b w:val="0"/>
          <w:bCs/>
          <w:color w:val="C00000"/>
          <w:sz w:val="32"/>
          <w:szCs w:val="32"/>
          <w:lang w:eastAsia="zh-CN"/>
        </w:rPr>
      </w:pPr>
      <w:r>
        <w:rPr>
          <w:rFonts w:hint="eastAsia" w:ascii="仿宋_GB2312" w:hAnsi="宋体" w:eastAsia="仿宋_GB2312"/>
          <w:b w:val="0"/>
          <w:bCs/>
          <w:color w:val="C00000"/>
          <w:sz w:val="32"/>
          <w:szCs w:val="32"/>
          <w:lang w:eastAsia="zh-CN"/>
        </w:rPr>
        <w:t>重点项目</w:t>
      </w:r>
      <w:r>
        <w:rPr>
          <w:rFonts w:hint="eastAsia" w:ascii="仿宋_GB2312" w:hAnsi="宋体" w:eastAsia="仿宋_GB2312"/>
          <w:b w:val="0"/>
          <w:bCs/>
          <w:color w:val="C00000"/>
          <w:sz w:val="32"/>
          <w:szCs w:val="32"/>
          <w:lang w:val="en-US" w:eastAsia="zh-CN"/>
        </w:rPr>
        <w:t>4</w:t>
      </w:r>
      <w:r>
        <w:rPr>
          <w:rFonts w:hint="eastAsia" w:ascii="仿宋_GB2312" w:hAnsi="宋体" w:eastAsia="仿宋_GB2312"/>
          <w:b w:val="0"/>
          <w:bCs/>
          <w:color w:val="C00000"/>
          <w:sz w:val="32"/>
          <w:szCs w:val="32"/>
          <w:lang w:eastAsia="zh-CN"/>
        </w:rPr>
        <w:t>：重度残疾人护理补贴</w:t>
      </w:r>
    </w:p>
    <w:p w14:paraId="726843F5">
      <w:pPr>
        <w:pageBreakBefore w:val="0"/>
        <w:tabs>
          <w:tab w:val="center" w:pos="4153"/>
          <w:tab w:val="right" w:pos="8306"/>
        </w:tabs>
        <w:kinsoku/>
        <w:wordWrap/>
        <w:overflowPunct/>
        <w:topLinePunct w:val="0"/>
        <w:autoSpaceDE/>
        <w:autoSpaceDN/>
        <w:bidi w:val="0"/>
        <w:spacing w:line="560" w:lineRule="exact"/>
        <w:ind w:firstLine="640" w:firstLineChars="200"/>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项目年度绩效目标：残疾人两项补贴是指国家对残疾人提供的专项资金补贴：用于改善残疾人的生活条件和基本生活需求；不断加大对残疾人的保障和扶持力度。残疾人两项补贴作为一项重要的政策举措,解决残疾人特殊生活困难和长期照护困难，改善残疾人生活质量其生活环境和条件。</w:t>
      </w:r>
    </w:p>
    <w:p w14:paraId="6EE6D751">
      <w:pPr>
        <w:pStyle w:val="10"/>
        <w:pageBreakBefore w:val="0"/>
        <w:kinsoku/>
        <w:wordWrap/>
        <w:overflowPunct/>
        <w:topLinePunct w:val="0"/>
        <w:autoSpaceDE/>
        <w:autoSpaceDN/>
        <w:bidi w:val="0"/>
        <w:spacing w:line="560" w:lineRule="exact"/>
        <w:ind w:left="0" w:firstLine="640" w:firstLineChars="200"/>
        <w:rPr>
          <w:rFonts w:hint="eastAsia" w:ascii="仿宋_GB2312" w:eastAsia="仿宋_GB2312"/>
          <w:b w:val="0"/>
          <w:sz w:val="32"/>
        </w:rPr>
      </w:pPr>
      <w:r>
        <w:rPr>
          <w:rFonts w:hint="eastAsia" w:ascii="仿宋_GB2312" w:hAnsi="仿宋_GB2312" w:eastAsia="仿宋_GB2312" w:cs="仿宋_GB2312"/>
          <w:b w:val="0"/>
          <w:sz w:val="32"/>
          <w:szCs w:val="32"/>
          <w:lang w:val="en-US" w:eastAsia="zh-CN"/>
        </w:rPr>
        <w:t>绩效指标设置情况：</w:t>
      </w:r>
      <w:r>
        <w:rPr>
          <w:rFonts w:hint="eastAsia" w:ascii="仿宋_GB2312" w:eastAsia="仿宋_GB2312"/>
          <w:b w:val="0"/>
          <w:sz w:val="32"/>
        </w:rPr>
        <w:t>截至2</w:t>
      </w:r>
      <w:r>
        <w:rPr>
          <w:rFonts w:hint="eastAsia" w:ascii="仿宋_GB2312" w:eastAsia="仿宋_GB2312"/>
          <w:b w:val="0"/>
          <w:sz w:val="32"/>
          <w:lang w:val="en-US" w:eastAsia="zh-CN"/>
        </w:rPr>
        <w:t>4</w:t>
      </w:r>
      <w:r>
        <w:rPr>
          <w:rFonts w:hint="eastAsia" w:ascii="仿宋_GB2312" w:eastAsia="仿宋_GB2312"/>
          <w:b w:val="0"/>
          <w:sz w:val="32"/>
        </w:rPr>
        <w:t>年10月，重度残疾人护理补贴对象共有</w:t>
      </w:r>
      <w:r>
        <w:rPr>
          <w:rFonts w:hint="eastAsia" w:ascii="仿宋_GB2312" w:eastAsia="仿宋_GB2312"/>
          <w:b w:val="0"/>
          <w:sz w:val="32"/>
          <w:lang w:val="en-US" w:eastAsia="zh-CN"/>
        </w:rPr>
        <w:t>1226</w:t>
      </w:r>
      <w:r>
        <w:rPr>
          <w:rFonts w:hint="eastAsia" w:ascii="仿宋_GB2312" w:eastAsia="仿宋_GB2312"/>
          <w:b w:val="0"/>
          <w:sz w:val="32"/>
        </w:rPr>
        <w:t>人，</w:t>
      </w:r>
      <w:r>
        <w:rPr>
          <w:rFonts w:hint="eastAsia" w:ascii="仿宋_GB2312" w:eastAsia="仿宋_GB2312"/>
          <w:b w:val="0"/>
          <w:sz w:val="32"/>
          <w:lang w:eastAsia="zh-CN"/>
        </w:rPr>
        <w:t>2025</w:t>
      </w:r>
      <w:r>
        <w:rPr>
          <w:rFonts w:hint="eastAsia" w:ascii="仿宋_GB2312" w:eastAsia="仿宋_GB2312"/>
          <w:b w:val="0"/>
          <w:sz w:val="32"/>
        </w:rPr>
        <w:t>年预计预算为</w:t>
      </w:r>
      <w:r>
        <w:rPr>
          <w:rFonts w:hint="eastAsia" w:ascii="仿宋_GB2312" w:eastAsia="仿宋_GB2312"/>
          <w:b w:val="0"/>
          <w:sz w:val="32"/>
          <w:lang w:val="en-US" w:eastAsia="zh-CN"/>
        </w:rPr>
        <w:t>142.536</w:t>
      </w:r>
      <w:r>
        <w:rPr>
          <w:rFonts w:hint="eastAsia" w:ascii="仿宋_GB2312" w:eastAsia="仿宋_GB2312"/>
          <w:b w:val="0"/>
          <w:sz w:val="32"/>
        </w:rPr>
        <w:t>万元。</w:t>
      </w:r>
    </w:p>
    <w:p w14:paraId="08AC3640">
      <w:pPr>
        <w:pStyle w:val="10"/>
        <w:pageBreakBefore w:val="0"/>
        <w:kinsoku/>
        <w:wordWrap/>
        <w:overflowPunct/>
        <w:topLinePunct w:val="0"/>
        <w:autoSpaceDE/>
        <w:autoSpaceDN/>
        <w:bidi w:val="0"/>
        <w:spacing w:line="560" w:lineRule="exact"/>
        <w:ind w:left="0" w:firstLine="640" w:firstLineChars="200"/>
        <w:rPr>
          <w:rFonts w:hint="eastAsia" w:ascii="仿宋_GB2312" w:eastAsia="仿宋_GB2312"/>
          <w:b w:val="0"/>
          <w:sz w:val="32"/>
        </w:rPr>
      </w:pPr>
      <w:r>
        <w:rPr>
          <w:rFonts w:hint="eastAsia" w:ascii="仿宋_GB2312" w:eastAsia="仿宋_GB2312"/>
          <w:b w:val="0"/>
          <w:sz w:val="32"/>
        </w:rPr>
        <w:t>一级重度残疾</w:t>
      </w:r>
      <w:r>
        <w:rPr>
          <w:rFonts w:hint="eastAsia" w:ascii="仿宋_GB2312" w:eastAsia="仿宋_GB2312"/>
          <w:b w:val="0"/>
          <w:sz w:val="32"/>
          <w:lang w:val="en-US" w:eastAsia="zh-CN"/>
        </w:rPr>
        <w:t>456</w:t>
      </w:r>
      <w:r>
        <w:rPr>
          <w:rFonts w:hint="eastAsia" w:ascii="仿宋_GB2312" w:eastAsia="仿宋_GB2312"/>
          <w:b w:val="0"/>
          <w:sz w:val="32"/>
        </w:rPr>
        <w:t>人，</w:t>
      </w:r>
      <w:r>
        <w:rPr>
          <w:rFonts w:hint="eastAsia" w:ascii="仿宋_GB2312" w:eastAsia="仿宋_GB2312"/>
          <w:b w:val="0"/>
          <w:sz w:val="32"/>
          <w:lang w:val="en-US" w:eastAsia="zh-CN"/>
        </w:rPr>
        <w:t>120</w:t>
      </w:r>
      <w:r>
        <w:rPr>
          <w:rFonts w:hint="eastAsia" w:ascii="仿宋_GB2312" w:eastAsia="仿宋_GB2312"/>
          <w:b w:val="0"/>
          <w:sz w:val="32"/>
        </w:rPr>
        <w:t>元/月/人，</w:t>
      </w:r>
      <w:r>
        <w:rPr>
          <w:rFonts w:hint="eastAsia" w:ascii="仿宋_GB2312" w:eastAsia="仿宋_GB2312"/>
          <w:b w:val="0"/>
          <w:sz w:val="32"/>
          <w:lang w:val="en-US" w:eastAsia="zh-CN"/>
        </w:rPr>
        <w:t>456</w:t>
      </w:r>
      <w:r>
        <w:rPr>
          <w:rFonts w:hint="eastAsia" w:ascii="仿宋_GB2312" w:eastAsia="仿宋_GB2312"/>
          <w:b w:val="0"/>
          <w:sz w:val="32"/>
        </w:rPr>
        <w:t>*1</w:t>
      </w:r>
      <w:r>
        <w:rPr>
          <w:rFonts w:hint="eastAsia" w:ascii="仿宋_GB2312" w:eastAsia="仿宋_GB2312"/>
          <w:b w:val="0"/>
          <w:sz w:val="32"/>
          <w:lang w:val="en-US" w:eastAsia="zh-CN"/>
        </w:rPr>
        <w:t>20</w:t>
      </w:r>
      <w:r>
        <w:rPr>
          <w:rFonts w:hint="eastAsia" w:ascii="仿宋_GB2312" w:eastAsia="仿宋_GB2312"/>
          <w:b w:val="0"/>
          <w:sz w:val="32"/>
        </w:rPr>
        <w:t>*12=</w:t>
      </w:r>
      <w:r>
        <w:rPr>
          <w:rFonts w:hint="eastAsia" w:ascii="仿宋_GB2312" w:eastAsia="仿宋_GB2312"/>
          <w:b w:val="0"/>
          <w:sz w:val="32"/>
          <w:lang w:val="en-US" w:eastAsia="zh-CN"/>
        </w:rPr>
        <w:t>65.664</w:t>
      </w:r>
      <w:r>
        <w:rPr>
          <w:rFonts w:hint="eastAsia" w:ascii="仿宋_GB2312" w:eastAsia="仿宋_GB2312"/>
          <w:b w:val="0"/>
          <w:sz w:val="32"/>
        </w:rPr>
        <w:t>万元；</w:t>
      </w:r>
    </w:p>
    <w:p w14:paraId="5FECC095">
      <w:pPr>
        <w:pStyle w:val="10"/>
        <w:pageBreakBefore w:val="0"/>
        <w:kinsoku/>
        <w:wordWrap/>
        <w:overflowPunct/>
        <w:topLinePunct w:val="0"/>
        <w:autoSpaceDE/>
        <w:autoSpaceDN/>
        <w:bidi w:val="0"/>
        <w:spacing w:line="560" w:lineRule="exact"/>
        <w:ind w:left="0" w:firstLine="640" w:firstLineChars="200"/>
        <w:rPr>
          <w:rFonts w:hint="eastAsia" w:ascii="仿宋_GB2312" w:eastAsia="仿宋_GB2312"/>
          <w:b w:val="0"/>
          <w:sz w:val="32"/>
        </w:rPr>
      </w:pPr>
      <w:r>
        <w:rPr>
          <w:rFonts w:hint="eastAsia" w:ascii="仿宋_GB2312" w:eastAsia="仿宋_GB2312"/>
          <w:b w:val="0"/>
          <w:sz w:val="32"/>
        </w:rPr>
        <w:t>二级重度残疾人数</w:t>
      </w:r>
      <w:r>
        <w:rPr>
          <w:rFonts w:hint="eastAsia" w:ascii="仿宋_GB2312" w:eastAsia="仿宋_GB2312"/>
          <w:b w:val="0"/>
          <w:sz w:val="32"/>
          <w:lang w:val="en-US" w:eastAsia="zh-CN"/>
        </w:rPr>
        <w:t>639</w:t>
      </w:r>
      <w:r>
        <w:rPr>
          <w:rFonts w:hint="eastAsia" w:ascii="仿宋_GB2312" w:eastAsia="仿宋_GB2312"/>
          <w:b w:val="0"/>
          <w:sz w:val="32"/>
        </w:rPr>
        <w:t>人，</w:t>
      </w:r>
      <w:r>
        <w:rPr>
          <w:rFonts w:hint="eastAsia" w:ascii="仿宋_GB2312" w:eastAsia="仿宋_GB2312"/>
          <w:b w:val="0"/>
          <w:sz w:val="32"/>
          <w:lang w:val="en-US" w:eastAsia="zh-CN"/>
        </w:rPr>
        <w:t>90</w:t>
      </w:r>
      <w:r>
        <w:rPr>
          <w:rFonts w:hint="eastAsia" w:ascii="仿宋_GB2312" w:eastAsia="仿宋_GB2312"/>
          <w:b w:val="0"/>
          <w:sz w:val="32"/>
        </w:rPr>
        <w:t>元/月/人，</w:t>
      </w:r>
      <w:r>
        <w:rPr>
          <w:rFonts w:hint="eastAsia" w:ascii="仿宋_GB2312" w:eastAsia="仿宋_GB2312"/>
          <w:b w:val="0"/>
          <w:sz w:val="32"/>
          <w:lang w:val="en-US" w:eastAsia="zh-CN"/>
        </w:rPr>
        <w:t>639</w:t>
      </w:r>
      <w:r>
        <w:rPr>
          <w:rFonts w:hint="eastAsia" w:ascii="仿宋_GB2312" w:eastAsia="仿宋_GB2312"/>
          <w:b w:val="0"/>
          <w:sz w:val="32"/>
        </w:rPr>
        <w:t>*</w:t>
      </w:r>
      <w:r>
        <w:rPr>
          <w:rFonts w:hint="eastAsia" w:ascii="仿宋_GB2312" w:eastAsia="仿宋_GB2312"/>
          <w:b w:val="0"/>
          <w:sz w:val="32"/>
          <w:lang w:val="en-US" w:eastAsia="zh-CN"/>
        </w:rPr>
        <w:t>90</w:t>
      </w:r>
      <w:r>
        <w:rPr>
          <w:rFonts w:hint="eastAsia" w:ascii="仿宋_GB2312" w:eastAsia="仿宋_GB2312"/>
          <w:b w:val="0"/>
          <w:sz w:val="32"/>
        </w:rPr>
        <w:t>*12=</w:t>
      </w:r>
      <w:r>
        <w:rPr>
          <w:rFonts w:hint="eastAsia" w:ascii="仿宋_GB2312" w:eastAsia="仿宋_GB2312"/>
          <w:b w:val="0"/>
          <w:sz w:val="32"/>
          <w:lang w:val="en-US" w:eastAsia="zh-CN"/>
        </w:rPr>
        <w:t>69.012</w:t>
      </w:r>
      <w:r>
        <w:rPr>
          <w:rFonts w:hint="eastAsia" w:ascii="仿宋_GB2312" w:eastAsia="仿宋_GB2312"/>
          <w:b w:val="0"/>
          <w:sz w:val="32"/>
        </w:rPr>
        <w:t>万元；</w:t>
      </w:r>
    </w:p>
    <w:p w14:paraId="4D4F65B7">
      <w:pPr>
        <w:pStyle w:val="10"/>
        <w:pageBreakBefore w:val="0"/>
        <w:numPr>
          <w:ilvl w:val="0"/>
          <w:numId w:val="2"/>
        </w:numPr>
        <w:kinsoku/>
        <w:wordWrap/>
        <w:overflowPunct/>
        <w:topLinePunct w:val="0"/>
        <w:autoSpaceDE/>
        <w:autoSpaceDN/>
        <w:bidi w:val="0"/>
        <w:spacing w:line="560" w:lineRule="exact"/>
        <w:ind w:left="0" w:firstLine="640" w:firstLineChars="200"/>
        <w:rPr>
          <w:rFonts w:hint="eastAsia" w:ascii="仿宋_GB2312" w:hAnsi="仿宋_GB2312" w:eastAsia="仿宋_GB2312" w:cs="仿宋_GB2312"/>
          <w:b w:val="0"/>
          <w:sz w:val="32"/>
          <w:szCs w:val="32"/>
          <w:lang w:val="en-US" w:eastAsia="zh-CN"/>
        </w:rPr>
      </w:pPr>
      <w:r>
        <w:rPr>
          <w:rFonts w:hint="eastAsia" w:ascii="仿宋_GB2312" w:eastAsia="仿宋_GB2312"/>
          <w:b w:val="0"/>
          <w:sz w:val="32"/>
        </w:rPr>
        <w:t>四级精神和智力残疾人数</w:t>
      </w:r>
      <w:r>
        <w:rPr>
          <w:rFonts w:hint="eastAsia" w:ascii="仿宋_GB2312" w:eastAsia="仿宋_GB2312"/>
          <w:b w:val="0"/>
          <w:sz w:val="32"/>
          <w:lang w:val="en-US" w:eastAsia="zh-CN"/>
        </w:rPr>
        <w:t>131</w:t>
      </w:r>
      <w:r>
        <w:rPr>
          <w:rFonts w:hint="eastAsia" w:ascii="仿宋_GB2312" w:eastAsia="仿宋_GB2312"/>
          <w:b w:val="0"/>
          <w:sz w:val="32"/>
        </w:rPr>
        <w:t>人，标准：</w:t>
      </w:r>
      <w:r>
        <w:rPr>
          <w:rFonts w:hint="eastAsia" w:ascii="仿宋_GB2312" w:eastAsia="仿宋_GB2312"/>
          <w:b w:val="0"/>
          <w:sz w:val="32"/>
          <w:lang w:val="en-US" w:eastAsia="zh-CN"/>
        </w:rPr>
        <w:t>50</w:t>
      </w:r>
      <w:r>
        <w:rPr>
          <w:rFonts w:hint="eastAsia" w:ascii="仿宋_GB2312" w:eastAsia="仿宋_GB2312"/>
          <w:b w:val="0"/>
          <w:sz w:val="32"/>
        </w:rPr>
        <w:t>元/月/人，</w:t>
      </w:r>
      <w:r>
        <w:rPr>
          <w:rFonts w:hint="eastAsia" w:ascii="仿宋_GB2312" w:eastAsia="仿宋_GB2312"/>
          <w:b w:val="0"/>
          <w:sz w:val="32"/>
          <w:lang w:val="en-US" w:eastAsia="zh-CN"/>
        </w:rPr>
        <w:t>131</w:t>
      </w:r>
      <w:r>
        <w:rPr>
          <w:rFonts w:hint="eastAsia" w:ascii="仿宋_GB2312" w:eastAsia="仿宋_GB2312"/>
          <w:b w:val="0"/>
          <w:sz w:val="32"/>
        </w:rPr>
        <w:t>*</w:t>
      </w:r>
      <w:r>
        <w:rPr>
          <w:rFonts w:hint="eastAsia" w:ascii="仿宋_GB2312" w:eastAsia="仿宋_GB2312"/>
          <w:b w:val="0"/>
          <w:sz w:val="32"/>
          <w:lang w:val="en-US" w:eastAsia="zh-CN"/>
        </w:rPr>
        <w:t>50</w:t>
      </w:r>
      <w:r>
        <w:rPr>
          <w:rFonts w:hint="eastAsia" w:ascii="仿宋_GB2312" w:eastAsia="仿宋_GB2312"/>
          <w:b w:val="0"/>
          <w:sz w:val="32"/>
        </w:rPr>
        <w:t>*12=</w:t>
      </w:r>
      <w:r>
        <w:rPr>
          <w:rFonts w:hint="eastAsia" w:ascii="仿宋_GB2312" w:eastAsia="仿宋_GB2312"/>
          <w:b w:val="0"/>
          <w:sz w:val="32"/>
          <w:lang w:val="en-US" w:eastAsia="zh-CN"/>
        </w:rPr>
        <w:t>7.86</w:t>
      </w:r>
      <w:r>
        <w:rPr>
          <w:rFonts w:hint="eastAsia" w:ascii="仿宋_GB2312" w:eastAsia="仿宋_GB2312"/>
          <w:b w:val="0"/>
          <w:sz w:val="32"/>
        </w:rPr>
        <w:t>万元。</w:t>
      </w:r>
    </w:p>
    <w:p w14:paraId="40BD5728">
      <w:pPr>
        <w:pStyle w:val="10"/>
        <w:pageBreakBefore w:val="0"/>
        <w:kinsoku/>
        <w:wordWrap/>
        <w:overflowPunct/>
        <w:topLinePunct w:val="0"/>
        <w:autoSpaceDE/>
        <w:autoSpaceDN/>
        <w:bidi w:val="0"/>
        <w:spacing w:line="560" w:lineRule="exact"/>
        <w:ind w:left="0" w:firstLine="640" w:firstLineChars="200"/>
        <w:rPr>
          <w:rFonts w:hint="eastAsia" w:ascii="楷体_GB2312" w:eastAsia="仿宋_GB2312"/>
          <w:b w:val="0"/>
          <w:bCs/>
          <w:sz w:val="32"/>
        </w:rPr>
      </w:pPr>
      <w:r>
        <w:rPr>
          <w:rFonts w:hint="eastAsia" w:ascii="楷体_GB2312" w:eastAsia="仿宋_GB2312"/>
          <w:b w:val="0"/>
          <w:bCs/>
          <w:sz w:val="32"/>
        </w:rPr>
        <w:t>（一）立项必要性</w:t>
      </w:r>
    </w:p>
    <w:p w14:paraId="37221D1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根据</w:t>
      </w:r>
      <w:r>
        <w:rPr>
          <w:rFonts w:hint="eastAsia" w:ascii="仿宋_GB2312" w:hAnsi="仿宋_GB2312" w:eastAsia="仿宋_GB2312" w:cs="仿宋_GB2312"/>
          <w:b w:val="0"/>
          <w:sz w:val="32"/>
          <w:szCs w:val="32"/>
        </w:rPr>
        <w:t>《</w:t>
      </w:r>
      <w:r>
        <w:rPr>
          <w:rFonts w:hint="eastAsia" w:ascii="仿宋_GB2312" w:hAnsi="仿宋_GB2312" w:eastAsia="仿宋_GB2312" w:cs="仿宋_GB2312"/>
          <w:b w:val="0"/>
          <w:sz w:val="32"/>
          <w:szCs w:val="32"/>
          <w:lang w:eastAsia="zh-CN"/>
        </w:rPr>
        <w:t>四川省民政厅</w:t>
      </w:r>
      <w:r>
        <w:rPr>
          <w:rFonts w:hint="eastAsia" w:ascii="仿宋_GB2312" w:hAnsi="仿宋_GB2312" w:eastAsia="仿宋_GB2312" w:cs="仿宋_GB2312"/>
          <w:b w:val="0"/>
          <w:sz w:val="32"/>
          <w:szCs w:val="32"/>
          <w:lang w:val="en-US" w:eastAsia="zh-CN"/>
        </w:rPr>
        <w:t xml:space="preserve"> 四川省财政厅 四川省残疾人联合会关于建立困难残疾人生活补贴和重度残疾人护理补贴</w:t>
      </w:r>
      <w:r>
        <w:rPr>
          <w:rFonts w:hint="eastAsia" w:ascii="仿宋_GB2312" w:hAnsi="仿宋_GB2312" w:eastAsia="仿宋_GB2312" w:cs="仿宋_GB2312"/>
          <w:b w:val="0"/>
          <w:sz w:val="32"/>
          <w:szCs w:val="32"/>
        </w:rPr>
        <w:t>》</w:t>
      </w:r>
      <w:r>
        <w:rPr>
          <w:rFonts w:hint="eastAsia" w:ascii="仿宋_GB2312" w:hAnsi="仿宋_GB2312" w:eastAsia="仿宋_GB2312" w:cs="仿宋_GB2312"/>
          <w:b w:val="0"/>
          <w:sz w:val="32"/>
          <w:szCs w:val="32"/>
          <w:lang w:eastAsia="zh-CN"/>
        </w:rPr>
        <w:t>的通知</w:t>
      </w:r>
      <w:r>
        <w:rPr>
          <w:rFonts w:hint="eastAsia" w:ascii="仿宋_GB2312" w:hAnsi="仿宋_GB2312" w:eastAsia="仿宋_GB2312" w:cs="仿宋_GB2312"/>
          <w:b w:val="0"/>
          <w:sz w:val="32"/>
          <w:szCs w:val="32"/>
        </w:rPr>
        <w:t>（</w:t>
      </w:r>
      <w:r>
        <w:rPr>
          <w:rFonts w:hint="eastAsia" w:ascii="仿宋_GB2312" w:hAnsi="仿宋_GB2312" w:eastAsia="仿宋_GB2312" w:cs="仿宋_GB2312"/>
          <w:b w:val="0"/>
          <w:sz w:val="32"/>
          <w:szCs w:val="32"/>
          <w:lang w:eastAsia="zh-CN"/>
        </w:rPr>
        <w:t>川民</w:t>
      </w:r>
      <w:r>
        <w:rPr>
          <w:rFonts w:hint="eastAsia" w:ascii="仿宋_GB2312" w:hAnsi="仿宋_GB2312" w:eastAsia="仿宋_GB2312" w:cs="仿宋_GB2312"/>
          <w:b w:val="0"/>
          <w:sz w:val="32"/>
          <w:szCs w:val="32"/>
        </w:rPr>
        <w:t>发〔</w:t>
      </w:r>
      <w:r>
        <w:rPr>
          <w:rFonts w:hint="eastAsia" w:ascii="仿宋_GB2312" w:hAnsi="仿宋_GB2312" w:eastAsia="仿宋_GB2312" w:cs="仿宋_GB2312"/>
          <w:b w:val="0"/>
          <w:sz w:val="32"/>
          <w:szCs w:val="32"/>
          <w:lang w:val="en-US" w:eastAsia="zh-CN"/>
        </w:rPr>
        <w:t>2015</w:t>
      </w:r>
      <w:r>
        <w:rPr>
          <w:rFonts w:hint="eastAsia" w:ascii="仿宋_GB2312" w:hAnsi="仿宋_GB2312" w:eastAsia="仿宋_GB2312" w:cs="仿宋_GB2312"/>
          <w:b w:val="0"/>
          <w:sz w:val="32"/>
          <w:szCs w:val="32"/>
        </w:rPr>
        <w:t>〕</w:t>
      </w:r>
      <w:r>
        <w:rPr>
          <w:rFonts w:hint="eastAsia" w:ascii="仿宋_GB2312" w:hAnsi="仿宋_GB2312" w:eastAsia="仿宋_GB2312" w:cs="仿宋_GB2312"/>
          <w:b w:val="0"/>
          <w:sz w:val="32"/>
          <w:szCs w:val="32"/>
          <w:lang w:val="en-US" w:eastAsia="zh-CN"/>
        </w:rPr>
        <w:t>195</w:t>
      </w:r>
      <w:r>
        <w:rPr>
          <w:rFonts w:hint="eastAsia" w:ascii="仿宋_GB2312" w:hAnsi="仿宋_GB2312" w:eastAsia="仿宋_GB2312" w:cs="仿宋_GB2312"/>
          <w:b w:val="0"/>
          <w:sz w:val="32"/>
          <w:szCs w:val="32"/>
        </w:rPr>
        <w:t>号）</w:t>
      </w:r>
      <w:r>
        <w:rPr>
          <w:rFonts w:hint="eastAsia" w:ascii="仿宋_GB2312" w:hAnsi="仿宋_GB2312" w:eastAsia="仿宋_GB2312" w:cs="仿宋_GB2312"/>
          <w:b w:val="0"/>
          <w:kern w:val="2"/>
          <w:sz w:val="32"/>
          <w:szCs w:val="32"/>
          <w:lang w:val="en-US" w:eastAsia="zh-CN" w:bidi="ar-SA"/>
        </w:rPr>
        <w:t>文件；</w:t>
      </w:r>
      <w:r>
        <w:rPr>
          <w:rFonts w:hint="eastAsia" w:ascii="仿宋_GB2312" w:hAnsi="仿宋_GB2312" w:eastAsia="仿宋_GB2312" w:cs="仿宋_GB2312"/>
          <w:b w:val="0"/>
          <w:sz w:val="32"/>
          <w:szCs w:val="32"/>
          <w:lang w:eastAsia="zh-CN"/>
        </w:rPr>
        <w:t>阿坝州民政局、阿坝州财政局、阿坝州残疾人联合会联合发文《</w:t>
      </w:r>
      <w:r>
        <w:rPr>
          <w:rFonts w:hint="eastAsia" w:ascii="仿宋_GB2312" w:hAnsi="仿宋_GB2312" w:eastAsia="仿宋_GB2312" w:cs="仿宋_GB2312"/>
          <w:b w:val="0"/>
          <w:sz w:val="32"/>
          <w:szCs w:val="32"/>
        </w:rPr>
        <w:t>关于</w:t>
      </w:r>
      <w:r>
        <w:rPr>
          <w:rFonts w:hint="eastAsia" w:ascii="仿宋_GB2312" w:hAnsi="仿宋_GB2312" w:eastAsia="仿宋_GB2312" w:cs="仿宋_GB2312"/>
          <w:b w:val="0"/>
          <w:sz w:val="32"/>
          <w:szCs w:val="32"/>
          <w:lang w:eastAsia="zh-CN"/>
        </w:rPr>
        <w:t>重度残疾人护理补贴提示扩面</w:t>
      </w:r>
      <w:r>
        <w:rPr>
          <w:rFonts w:hint="eastAsia" w:ascii="仿宋_GB2312" w:hAnsi="仿宋_GB2312" w:eastAsia="仿宋_GB2312" w:cs="仿宋_GB2312"/>
          <w:b w:val="0"/>
          <w:sz w:val="32"/>
          <w:szCs w:val="32"/>
        </w:rPr>
        <w:t>的通知</w:t>
      </w:r>
      <w:r>
        <w:rPr>
          <w:rFonts w:hint="eastAsia" w:ascii="仿宋_GB2312" w:hAnsi="仿宋_GB2312" w:eastAsia="仿宋_GB2312" w:cs="仿宋_GB2312"/>
          <w:b w:val="0"/>
          <w:sz w:val="32"/>
          <w:szCs w:val="32"/>
          <w:lang w:eastAsia="zh-CN"/>
        </w:rPr>
        <w:t>》</w:t>
      </w:r>
      <w:r>
        <w:rPr>
          <w:rFonts w:hint="eastAsia" w:ascii="仿宋_GB2312" w:hAnsi="仿宋_GB2312" w:eastAsia="仿宋_GB2312" w:cs="仿宋_GB2312"/>
          <w:b w:val="0"/>
          <w:color w:val="auto"/>
          <w:sz w:val="32"/>
          <w:szCs w:val="32"/>
        </w:rPr>
        <w:t>（</w:t>
      </w:r>
      <w:r>
        <w:rPr>
          <w:rFonts w:hint="eastAsia" w:ascii="仿宋_GB2312" w:hAnsi="仿宋_GB2312" w:eastAsia="仿宋_GB2312" w:cs="仿宋_GB2312"/>
          <w:b w:val="0"/>
          <w:color w:val="auto"/>
          <w:sz w:val="32"/>
          <w:szCs w:val="32"/>
          <w:lang w:eastAsia="zh-CN"/>
        </w:rPr>
        <w:t>阿州民政发</w:t>
      </w:r>
      <w:r>
        <w:rPr>
          <w:rFonts w:hint="eastAsia" w:ascii="仿宋_GB2312" w:hAnsi="仿宋_GB2312" w:eastAsia="仿宋_GB2312" w:cs="仿宋_GB2312"/>
          <w:b w:val="0"/>
          <w:color w:val="auto"/>
          <w:sz w:val="32"/>
          <w:szCs w:val="32"/>
        </w:rPr>
        <w:t>〔20</w:t>
      </w:r>
      <w:r>
        <w:rPr>
          <w:rFonts w:hint="eastAsia" w:ascii="仿宋_GB2312" w:hAnsi="仿宋_GB2312" w:eastAsia="仿宋_GB2312" w:cs="仿宋_GB2312"/>
          <w:b w:val="0"/>
          <w:color w:val="auto"/>
          <w:sz w:val="32"/>
          <w:szCs w:val="32"/>
          <w:lang w:val="en-US" w:eastAsia="zh-CN"/>
        </w:rPr>
        <w:t>23</w:t>
      </w:r>
      <w:r>
        <w:rPr>
          <w:rFonts w:hint="eastAsia" w:ascii="仿宋_GB2312" w:hAnsi="仿宋_GB2312" w:eastAsia="仿宋_GB2312" w:cs="仿宋_GB2312"/>
          <w:b w:val="0"/>
          <w:color w:val="auto"/>
          <w:sz w:val="32"/>
          <w:szCs w:val="32"/>
        </w:rPr>
        <w:t>〕</w:t>
      </w:r>
      <w:r>
        <w:rPr>
          <w:rFonts w:hint="eastAsia" w:ascii="仿宋_GB2312" w:hAnsi="仿宋_GB2312" w:eastAsia="仿宋_GB2312" w:cs="仿宋_GB2312"/>
          <w:b w:val="0"/>
          <w:color w:val="auto"/>
          <w:sz w:val="32"/>
          <w:szCs w:val="32"/>
          <w:lang w:val="en-US" w:eastAsia="zh-CN"/>
        </w:rPr>
        <w:t>16</w:t>
      </w:r>
      <w:r>
        <w:rPr>
          <w:rFonts w:hint="eastAsia" w:ascii="仿宋_GB2312" w:hAnsi="仿宋_GB2312" w:eastAsia="仿宋_GB2312" w:cs="仿宋_GB2312"/>
          <w:b w:val="0"/>
          <w:color w:val="auto"/>
          <w:sz w:val="32"/>
          <w:szCs w:val="32"/>
        </w:rPr>
        <w:t>号）</w:t>
      </w:r>
      <w:r>
        <w:rPr>
          <w:rFonts w:hint="eastAsia" w:ascii="仿宋_GB2312" w:hAnsi="仿宋_GB2312" w:eastAsia="仿宋_GB2312" w:cs="仿宋_GB2312"/>
          <w:b w:val="0"/>
          <w:sz w:val="32"/>
          <w:szCs w:val="32"/>
        </w:rPr>
        <w:t>文件</w:t>
      </w:r>
      <w:r>
        <w:rPr>
          <w:rFonts w:hint="eastAsia" w:ascii="仿宋_GB2312" w:hAnsi="仿宋_GB2312" w:eastAsia="仿宋_GB2312" w:cs="仿宋_GB2312"/>
          <w:b w:val="0"/>
          <w:sz w:val="32"/>
          <w:szCs w:val="32"/>
          <w:lang w:eastAsia="zh-CN"/>
        </w:rPr>
        <w:t>要求</w:t>
      </w:r>
      <w:r>
        <w:rPr>
          <w:rFonts w:hint="eastAsia" w:ascii="仿宋_GB2312" w:hAnsi="仿宋_GB2312" w:eastAsia="仿宋_GB2312" w:cs="仿宋_GB2312"/>
          <w:b w:val="0"/>
          <w:sz w:val="32"/>
          <w:szCs w:val="32"/>
        </w:rPr>
        <w:t>，</w:t>
      </w:r>
      <w:r>
        <w:rPr>
          <w:rFonts w:hint="eastAsia" w:ascii="仿宋_GB2312" w:hAnsi="仿宋_GB2312" w:eastAsia="仿宋_GB2312" w:cs="仿宋_GB2312"/>
          <w:b w:val="0"/>
          <w:kern w:val="2"/>
          <w:sz w:val="32"/>
          <w:szCs w:val="32"/>
          <w:lang w:val="en-US" w:eastAsia="zh-CN" w:bidi="ar-SA"/>
        </w:rPr>
        <w:t>对符合条件的重度残疾对象发放补助资金。</w:t>
      </w:r>
      <w:r>
        <w:rPr>
          <w:rFonts w:hint="eastAsia" w:ascii="仿宋_GB2312" w:hAnsi="仿宋_GB2312" w:eastAsia="仿宋_GB2312" w:cs="仿宋_GB2312"/>
          <w:b w:val="0"/>
          <w:color w:val="auto"/>
          <w:kern w:val="0"/>
          <w:sz w:val="32"/>
          <w:szCs w:val="32"/>
        </w:rPr>
        <w:t>由县级人民政府财政部门根据同级人民政府民政部门审批确定的名单按人数足额拨付。</w:t>
      </w:r>
    </w:p>
    <w:p w14:paraId="0ED2F955">
      <w:pPr>
        <w:pStyle w:val="10"/>
        <w:pageBreakBefore w:val="0"/>
        <w:kinsoku/>
        <w:wordWrap/>
        <w:overflowPunct/>
        <w:topLinePunct w:val="0"/>
        <w:autoSpaceDE/>
        <w:autoSpaceDN/>
        <w:bidi w:val="0"/>
        <w:spacing w:line="560" w:lineRule="exact"/>
        <w:ind w:firstLine="640" w:firstLineChars="200"/>
        <w:rPr>
          <w:rFonts w:hint="eastAsia" w:ascii="楷体_GB2312" w:eastAsia="仿宋_GB2312"/>
          <w:b w:val="0"/>
          <w:bCs/>
          <w:sz w:val="32"/>
        </w:rPr>
      </w:pPr>
      <w:r>
        <w:rPr>
          <w:rFonts w:hint="eastAsia" w:ascii="楷体_GB2312" w:eastAsia="仿宋_GB2312"/>
          <w:b w:val="0"/>
          <w:bCs/>
          <w:sz w:val="32"/>
        </w:rPr>
        <w:t>（二）投入经济性</w:t>
      </w:r>
    </w:p>
    <w:p w14:paraId="363409C4">
      <w:pPr>
        <w:pStyle w:val="10"/>
        <w:pageBreakBefore w:val="0"/>
        <w:kinsoku/>
        <w:wordWrap/>
        <w:overflowPunct/>
        <w:topLinePunct w:val="0"/>
        <w:autoSpaceDE/>
        <w:autoSpaceDN/>
        <w:bidi w:val="0"/>
        <w:spacing w:line="560" w:lineRule="exact"/>
        <w:ind w:left="0" w:firstLine="640" w:firstLineChars="200"/>
        <w:rPr>
          <w:rFonts w:hint="eastAsia" w:ascii="仿宋_GB2312" w:eastAsia="仿宋_GB2312"/>
          <w:b w:val="0"/>
          <w:sz w:val="32"/>
          <w:u w:val="single"/>
        </w:rPr>
      </w:pPr>
      <w:r>
        <w:rPr>
          <w:rFonts w:hint="eastAsia" w:ascii="仿宋_GB2312" w:eastAsia="仿宋_GB2312"/>
          <w:b w:val="0"/>
          <w:sz w:val="32"/>
        </w:rPr>
        <w:t>该项目申报预算</w:t>
      </w:r>
      <w:r>
        <w:rPr>
          <w:rFonts w:hint="eastAsia" w:ascii="仿宋_GB2312" w:eastAsia="仿宋_GB2312"/>
          <w:b w:val="0"/>
          <w:sz w:val="32"/>
          <w:lang w:val="en-US" w:eastAsia="zh-CN"/>
        </w:rPr>
        <w:t>44.9</w:t>
      </w:r>
      <w:r>
        <w:rPr>
          <w:rFonts w:hint="eastAsia" w:ascii="仿宋_GB2312" w:eastAsia="仿宋_GB2312"/>
          <w:b w:val="0"/>
          <w:sz w:val="32"/>
        </w:rPr>
        <w:t>万元，年度申报金额为</w:t>
      </w:r>
      <w:r>
        <w:rPr>
          <w:rFonts w:hint="eastAsia" w:ascii="仿宋_GB2312" w:eastAsia="仿宋_GB2312"/>
          <w:b w:val="0"/>
          <w:sz w:val="32"/>
          <w:lang w:val="en-US" w:eastAsia="zh-CN"/>
        </w:rPr>
        <w:t>44.9</w:t>
      </w:r>
      <w:r>
        <w:rPr>
          <w:rFonts w:hint="eastAsia" w:ascii="仿宋_GB2312" w:eastAsia="仿宋_GB2312"/>
          <w:b w:val="0"/>
          <w:sz w:val="32"/>
        </w:rPr>
        <w:t>万元，具体测算过程为</w:t>
      </w:r>
      <w:r>
        <w:rPr>
          <w:rFonts w:hint="eastAsia" w:ascii="仿宋_GB2312" w:eastAsia="仿宋_GB2312"/>
          <w:b w:val="0"/>
          <w:sz w:val="32"/>
          <w:lang w:eastAsia="zh-CN"/>
        </w:rPr>
        <w:t>：</w:t>
      </w:r>
      <w:r>
        <w:rPr>
          <w:rFonts w:hint="eastAsia" w:ascii="仿宋_GB2312" w:hAnsi="Times New Roman" w:eastAsia="仿宋_GB2312" w:cs="Times New Roman"/>
          <w:b w:val="0"/>
          <w:sz w:val="32"/>
          <w:lang w:eastAsia="zh-CN"/>
        </w:rPr>
        <w:t>（</w:t>
      </w:r>
      <w:r>
        <w:rPr>
          <w:rFonts w:hint="eastAsia" w:ascii="仿宋_GB2312" w:hAnsi="Times New Roman" w:eastAsia="仿宋_GB2312" w:cs="Times New Roman"/>
          <w:b w:val="0"/>
          <w:sz w:val="32"/>
          <w:lang w:val="en-US" w:eastAsia="zh-CN"/>
        </w:rPr>
        <w:t>截至</w:t>
      </w:r>
      <w:r>
        <w:rPr>
          <w:rFonts w:hint="eastAsia" w:ascii="仿宋_GB2312" w:eastAsia="仿宋_GB2312" w:cs="Times New Roman"/>
          <w:b w:val="0"/>
          <w:sz w:val="32"/>
          <w:lang w:val="en-US" w:eastAsia="zh-CN"/>
        </w:rPr>
        <w:t>20</w:t>
      </w:r>
      <w:r>
        <w:rPr>
          <w:rFonts w:hint="eastAsia" w:ascii="仿宋_GB2312" w:hAnsi="Times New Roman" w:eastAsia="仿宋_GB2312" w:cs="Times New Roman"/>
          <w:b w:val="0"/>
          <w:sz w:val="32"/>
          <w:lang w:val="en-US" w:eastAsia="zh-CN"/>
        </w:rPr>
        <w:t>2</w:t>
      </w:r>
      <w:r>
        <w:rPr>
          <w:rFonts w:hint="eastAsia" w:ascii="仿宋_GB2312" w:eastAsia="仿宋_GB2312" w:cs="Times New Roman"/>
          <w:b w:val="0"/>
          <w:sz w:val="32"/>
          <w:lang w:val="en-US" w:eastAsia="zh-CN"/>
        </w:rPr>
        <w:t>4</w:t>
      </w:r>
      <w:r>
        <w:rPr>
          <w:rFonts w:hint="eastAsia" w:ascii="仿宋_GB2312" w:hAnsi="Times New Roman" w:eastAsia="仿宋_GB2312" w:cs="Times New Roman"/>
          <w:b w:val="0"/>
          <w:sz w:val="32"/>
          <w:lang w:val="en-US" w:eastAsia="zh-CN"/>
        </w:rPr>
        <w:t>年10月，</w:t>
      </w:r>
      <w:r>
        <w:rPr>
          <w:rFonts w:hint="eastAsia" w:ascii="仿宋_GB2312" w:eastAsia="仿宋_GB2312" w:cs="Times New Roman"/>
          <w:b w:val="0"/>
          <w:sz w:val="32"/>
          <w:lang w:val="en-US" w:eastAsia="zh-CN"/>
        </w:rPr>
        <w:t>金川县重度残疾人数为1226人，</w:t>
      </w:r>
      <w:r>
        <w:rPr>
          <w:rFonts w:hint="eastAsia" w:ascii="仿宋_GB2312" w:hAnsi="Times New Roman" w:eastAsia="仿宋_GB2312" w:cs="Times New Roman"/>
          <w:b w:val="0"/>
          <w:sz w:val="32"/>
          <w:lang w:val="en-US" w:eastAsia="zh-CN"/>
        </w:rPr>
        <w:t>按照一级</w:t>
      </w:r>
      <w:r>
        <w:rPr>
          <w:rFonts w:hint="eastAsia" w:ascii="仿宋_GB2312" w:eastAsia="仿宋_GB2312" w:cs="Times New Roman"/>
          <w:b w:val="0"/>
          <w:sz w:val="32"/>
          <w:lang w:val="en-US" w:eastAsia="zh-CN"/>
        </w:rPr>
        <w:t>120</w:t>
      </w:r>
      <w:r>
        <w:rPr>
          <w:rFonts w:hint="eastAsia" w:ascii="仿宋_GB2312" w:hAnsi="Times New Roman" w:eastAsia="仿宋_GB2312" w:cs="Times New Roman"/>
          <w:b w:val="0"/>
          <w:sz w:val="32"/>
          <w:lang w:val="en-US" w:eastAsia="zh-CN"/>
        </w:rPr>
        <w:t>元/月/人、二级</w:t>
      </w:r>
      <w:r>
        <w:rPr>
          <w:rFonts w:hint="eastAsia" w:ascii="仿宋_GB2312" w:eastAsia="仿宋_GB2312" w:cs="Times New Roman"/>
          <w:b w:val="0"/>
          <w:sz w:val="32"/>
          <w:lang w:val="en-US" w:eastAsia="zh-CN"/>
        </w:rPr>
        <w:t>90</w:t>
      </w:r>
      <w:r>
        <w:rPr>
          <w:rFonts w:hint="eastAsia" w:ascii="仿宋_GB2312" w:hAnsi="Times New Roman" w:eastAsia="仿宋_GB2312" w:cs="Times New Roman"/>
          <w:b w:val="0"/>
          <w:sz w:val="32"/>
          <w:lang w:val="en-US" w:eastAsia="zh-CN"/>
        </w:rPr>
        <w:t>元/月/人，三、四级精神和智力残疾</w:t>
      </w:r>
      <w:r>
        <w:rPr>
          <w:rFonts w:hint="eastAsia" w:ascii="仿宋_GB2312" w:eastAsia="仿宋_GB2312" w:cs="Times New Roman"/>
          <w:b w:val="0"/>
          <w:sz w:val="32"/>
          <w:lang w:val="en-US" w:eastAsia="zh-CN"/>
        </w:rPr>
        <w:t>50</w:t>
      </w:r>
      <w:r>
        <w:rPr>
          <w:rFonts w:hint="eastAsia" w:ascii="仿宋_GB2312" w:hAnsi="Times New Roman" w:eastAsia="仿宋_GB2312" w:cs="Times New Roman"/>
          <w:b w:val="0"/>
          <w:sz w:val="32"/>
          <w:lang w:val="en-US" w:eastAsia="zh-CN"/>
        </w:rPr>
        <w:t>元/月/人标准进行发放，预计2</w:t>
      </w:r>
      <w:r>
        <w:rPr>
          <w:rFonts w:hint="eastAsia" w:ascii="仿宋_GB2312" w:eastAsia="仿宋_GB2312" w:cs="Times New Roman"/>
          <w:b w:val="0"/>
          <w:sz w:val="32"/>
          <w:lang w:val="en-US" w:eastAsia="zh-CN"/>
        </w:rPr>
        <w:t>5</w:t>
      </w:r>
      <w:r>
        <w:rPr>
          <w:rFonts w:hint="eastAsia" w:ascii="仿宋_GB2312" w:hAnsi="Times New Roman" w:eastAsia="仿宋_GB2312" w:cs="Times New Roman"/>
          <w:b w:val="0"/>
          <w:sz w:val="32"/>
          <w:lang w:val="en-US" w:eastAsia="zh-CN"/>
        </w:rPr>
        <w:t>年预算为</w:t>
      </w:r>
      <w:r>
        <w:rPr>
          <w:rFonts w:hint="eastAsia" w:ascii="仿宋_GB2312" w:eastAsia="仿宋_GB2312"/>
          <w:b w:val="0"/>
          <w:sz w:val="32"/>
          <w:lang w:val="en-US" w:eastAsia="zh-CN"/>
        </w:rPr>
        <w:t>44.9</w:t>
      </w:r>
      <w:r>
        <w:rPr>
          <w:rFonts w:hint="eastAsia" w:ascii="仿宋_GB2312" w:hAnsi="Times New Roman" w:eastAsia="仿宋_GB2312" w:cs="Times New Roman"/>
          <w:b w:val="0"/>
          <w:sz w:val="32"/>
          <w:lang w:val="en-US" w:eastAsia="zh-CN"/>
        </w:rPr>
        <w:t>万元。）</w:t>
      </w:r>
      <w:r>
        <w:rPr>
          <w:rFonts w:hint="eastAsia" w:ascii="仿宋_GB2312" w:eastAsia="仿宋_GB2312"/>
          <w:b w:val="0"/>
          <w:sz w:val="32"/>
        </w:rPr>
        <w:t>资金来源为</w:t>
      </w:r>
      <w:r>
        <w:rPr>
          <w:rFonts w:hint="eastAsia" w:ascii="仿宋_GB2312" w:eastAsia="仿宋_GB2312"/>
          <w:b w:val="0"/>
          <w:sz w:val="32"/>
          <w:lang w:eastAsia="zh-CN"/>
        </w:rPr>
        <w:t>上级</w:t>
      </w:r>
      <w:r>
        <w:rPr>
          <w:rFonts w:hint="eastAsia" w:ascii="仿宋_GB2312" w:eastAsia="仿宋_GB2312"/>
          <w:b w:val="0"/>
          <w:sz w:val="32"/>
          <w:u w:val="single"/>
        </w:rPr>
        <w:t>财政资金</w:t>
      </w:r>
      <w:r>
        <w:rPr>
          <w:rFonts w:hint="eastAsia" w:ascii="仿宋_GB2312" w:eastAsia="仿宋_GB2312"/>
          <w:b w:val="0"/>
          <w:sz w:val="32"/>
          <w:lang w:eastAsia="zh-CN"/>
        </w:rPr>
        <w:t>。</w:t>
      </w:r>
      <w:r>
        <w:rPr>
          <w:rFonts w:hint="eastAsia" w:ascii="仿宋_GB2312" w:eastAsia="仿宋_GB2312"/>
          <w:b w:val="0"/>
          <w:sz w:val="32"/>
        </w:rPr>
        <w:t>本次对项目投入经济性的评估是在项目事前绩效评估、预算测算的基础上，按照厉行节约的要求，结合项目</w:t>
      </w:r>
      <w:r>
        <w:rPr>
          <w:rFonts w:hint="eastAsia" w:ascii="仿宋_GB2312" w:eastAsia="仿宋_GB2312"/>
          <w:b w:val="0"/>
          <w:sz w:val="32"/>
          <w:lang w:eastAsia="zh-CN"/>
        </w:rPr>
        <w:t>2024</w:t>
      </w:r>
      <w:r>
        <w:rPr>
          <w:rFonts w:hint="eastAsia" w:ascii="仿宋_GB2312" w:eastAsia="仿宋_GB2312"/>
          <w:b w:val="0"/>
          <w:sz w:val="32"/>
        </w:rPr>
        <w:t>年开支情况结合实际需求、相关费用标准及市场价格水平，重点对数量是否合理、投入是否经济、预算测算是否准确、测算过程是否详细、测算依据是否充分等方面进行了评估。评估认为，该项目任务数量</w:t>
      </w:r>
      <w:r>
        <w:rPr>
          <w:rFonts w:hint="eastAsia" w:ascii="仿宋_GB2312" w:eastAsia="仿宋_GB2312"/>
          <w:b w:val="0"/>
          <w:sz w:val="32"/>
          <w:u w:val="single"/>
        </w:rPr>
        <w:t>基本合理</w:t>
      </w:r>
      <w:r>
        <w:rPr>
          <w:rFonts w:hint="eastAsia" w:ascii="仿宋_GB2312" w:eastAsia="仿宋_GB2312"/>
          <w:b w:val="0"/>
          <w:sz w:val="32"/>
        </w:rPr>
        <w:t>、预算测算过程</w:t>
      </w:r>
      <w:r>
        <w:rPr>
          <w:rFonts w:hint="eastAsia" w:ascii="仿宋_GB2312" w:eastAsia="仿宋_GB2312"/>
          <w:b w:val="0"/>
          <w:sz w:val="32"/>
          <w:u w:val="single"/>
        </w:rPr>
        <w:t>较为详细</w:t>
      </w:r>
      <w:r>
        <w:rPr>
          <w:rFonts w:hint="eastAsia" w:ascii="仿宋_GB2312" w:eastAsia="仿宋_GB2312"/>
          <w:b w:val="0"/>
          <w:sz w:val="32"/>
        </w:rPr>
        <w:t>、测算依据</w:t>
      </w:r>
      <w:r>
        <w:rPr>
          <w:rFonts w:hint="eastAsia" w:ascii="仿宋_GB2312" w:eastAsia="仿宋_GB2312"/>
          <w:b w:val="0"/>
          <w:sz w:val="32"/>
          <w:u w:val="single"/>
        </w:rPr>
        <w:t>基本充分</w:t>
      </w:r>
      <w:r>
        <w:rPr>
          <w:rFonts w:hint="eastAsia" w:ascii="仿宋_GB2312" w:eastAsia="仿宋_GB2312"/>
          <w:b w:val="0"/>
          <w:sz w:val="32"/>
        </w:rPr>
        <w:t>、</w:t>
      </w:r>
      <w:r>
        <w:rPr>
          <w:rFonts w:hint="eastAsia" w:ascii="仿宋_GB2312" w:eastAsia="仿宋_GB2312"/>
          <w:b w:val="0"/>
          <w:sz w:val="32"/>
          <w:u w:val="single"/>
        </w:rPr>
        <w:t>有一定的</w:t>
      </w:r>
      <w:r>
        <w:rPr>
          <w:rFonts w:hint="eastAsia" w:ascii="仿宋_GB2312" w:eastAsia="仿宋_GB2312"/>
          <w:b w:val="0"/>
          <w:sz w:val="32"/>
        </w:rPr>
        <w:t>经济性。建议预算控制在</w:t>
      </w:r>
      <w:r>
        <w:rPr>
          <w:rFonts w:hint="eastAsia" w:ascii="仿宋_GB2312" w:eastAsia="仿宋_GB2312"/>
          <w:b w:val="0"/>
          <w:sz w:val="32"/>
          <w:lang w:val="en-US" w:eastAsia="zh-CN"/>
        </w:rPr>
        <w:t>44.9</w:t>
      </w:r>
      <w:r>
        <w:rPr>
          <w:rFonts w:hint="eastAsia" w:ascii="仿宋_GB2312" w:eastAsia="仿宋_GB2312"/>
          <w:b w:val="0"/>
          <w:sz w:val="32"/>
        </w:rPr>
        <w:t>万元以内，与申报数相比，评减</w:t>
      </w:r>
      <w:r>
        <w:rPr>
          <w:rFonts w:hint="eastAsia" w:ascii="仿宋_GB2312" w:eastAsia="仿宋_GB2312"/>
          <w:b w:val="0"/>
          <w:sz w:val="32"/>
          <w:u w:val="single"/>
          <w:lang w:val="en-US" w:eastAsia="zh-CN"/>
        </w:rPr>
        <w:t>0</w:t>
      </w:r>
      <w:r>
        <w:rPr>
          <w:rFonts w:hint="eastAsia" w:ascii="仿宋_GB2312" w:eastAsia="仿宋_GB2312"/>
          <w:b w:val="0"/>
          <w:sz w:val="32"/>
        </w:rPr>
        <w:t>万元，评减率</w:t>
      </w:r>
      <w:r>
        <w:rPr>
          <w:rFonts w:hint="eastAsia" w:ascii="仿宋_GB2312" w:eastAsia="仿宋_GB2312"/>
          <w:b w:val="0"/>
          <w:sz w:val="32"/>
          <w:u w:val="single"/>
          <w:lang w:val="en-US" w:eastAsia="zh-CN"/>
        </w:rPr>
        <w:t>0</w:t>
      </w:r>
      <w:r>
        <w:rPr>
          <w:rFonts w:hint="eastAsia" w:ascii="仿宋_GB2312" w:eastAsia="仿宋_GB2312"/>
          <w:b w:val="0"/>
          <w:sz w:val="32"/>
        </w:rPr>
        <w:t>％（详见下表）。</w:t>
      </w:r>
    </w:p>
    <w:p w14:paraId="2BD67D24">
      <w:pPr>
        <w:pStyle w:val="10"/>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eastAsia="仿宋_GB2312"/>
          <w:b w:val="0"/>
          <w:sz w:val="32"/>
          <w:lang w:eastAsia="zh-CN"/>
        </w:rPr>
      </w:pPr>
      <w:r>
        <w:rPr>
          <w:rFonts w:hint="eastAsia" w:ascii="仿宋_GB2312" w:eastAsia="仿宋_GB2312" w:cs="Times New Roman"/>
          <w:b w:val="0"/>
          <w:sz w:val="32"/>
          <w:u w:val="none"/>
          <w:lang w:val="en-US" w:eastAsia="zh-CN"/>
        </w:rPr>
        <w:t>金川县重度残疾</w:t>
      </w:r>
      <w:r>
        <w:rPr>
          <w:rFonts w:hint="eastAsia" w:ascii="仿宋_GB2312" w:hAnsi="Times New Roman" w:eastAsia="仿宋_GB2312" w:cs="Times New Roman"/>
          <w:b w:val="0"/>
          <w:sz w:val="32"/>
          <w:u w:val="none"/>
        </w:rPr>
        <w:t>事前绩</w:t>
      </w:r>
      <w:r>
        <w:rPr>
          <w:rFonts w:hint="eastAsia" w:ascii="仿宋_GB2312" w:eastAsia="仿宋_GB2312"/>
          <w:b w:val="0"/>
          <w:sz w:val="32"/>
          <w:u w:val="none"/>
        </w:rPr>
        <w:t>效评估汇总表</w:t>
      </w:r>
      <w:r>
        <w:rPr>
          <w:rFonts w:hint="eastAsia" w:ascii="仿宋_GB2312" w:eastAsia="仿宋_GB2312"/>
          <w:b w:val="0"/>
          <w:sz w:val="32"/>
          <w:u w:val="none"/>
          <w:lang w:eastAsia="zh-CN"/>
        </w:rPr>
        <w:t>（万元）</w:t>
      </w:r>
    </w:p>
    <w:tbl>
      <w:tblPr>
        <w:tblStyle w:val="8"/>
        <w:tblW w:w="0" w:type="auto"/>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
        <w:gridCol w:w="1680"/>
        <w:gridCol w:w="1346"/>
        <w:gridCol w:w="1384"/>
        <w:gridCol w:w="1380"/>
        <w:gridCol w:w="690"/>
        <w:gridCol w:w="795"/>
      </w:tblGrid>
      <w:tr w14:paraId="1A8CA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512" w:type="dxa"/>
            <w:tcBorders>
              <w:bottom w:val="single" w:color="auto" w:sz="4" w:space="0"/>
              <w:right w:val="single" w:color="auto" w:sz="4" w:space="0"/>
            </w:tcBorders>
            <w:noWrap w:val="0"/>
            <w:vAlign w:val="top"/>
          </w:tcPr>
          <w:p w14:paraId="5AA86891">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序号</w:t>
            </w:r>
          </w:p>
        </w:tc>
        <w:tc>
          <w:tcPr>
            <w:tcW w:w="1680" w:type="dxa"/>
            <w:tcBorders>
              <w:left w:val="single" w:color="auto" w:sz="4" w:space="0"/>
              <w:bottom w:val="single" w:color="auto" w:sz="4" w:space="0"/>
              <w:right w:val="single" w:color="auto" w:sz="4" w:space="0"/>
            </w:tcBorders>
            <w:noWrap w:val="0"/>
            <w:vAlign w:val="top"/>
          </w:tcPr>
          <w:p w14:paraId="79212212">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项目内容</w:t>
            </w:r>
          </w:p>
        </w:tc>
        <w:tc>
          <w:tcPr>
            <w:tcW w:w="1346" w:type="dxa"/>
            <w:tcBorders>
              <w:left w:val="single" w:color="auto" w:sz="4" w:space="0"/>
              <w:bottom w:val="single" w:color="auto" w:sz="4" w:space="0"/>
              <w:right w:val="single" w:color="auto" w:sz="4" w:space="0"/>
            </w:tcBorders>
            <w:noWrap w:val="0"/>
            <w:vAlign w:val="top"/>
          </w:tcPr>
          <w:p w14:paraId="7ABA6B3A">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申报预 算</w:t>
            </w:r>
          </w:p>
        </w:tc>
        <w:tc>
          <w:tcPr>
            <w:tcW w:w="1384" w:type="dxa"/>
            <w:tcBorders>
              <w:left w:val="single" w:color="auto" w:sz="4" w:space="0"/>
              <w:bottom w:val="single" w:color="auto" w:sz="4" w:space="0"/>
              <w:right w:val="single" w:color="auto" w:sz="4" w:space="0"/>
            </w:tcBorders>
            <w:noWrap w:val="0"/>
            <w:vAlign w:val="top"/>
          </w:tcPr>
          <w:p w14:paraId="724581EA">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送审金额</w:t>
            </w:r>
          </w:p>
        </w:tc>
        <w:tc>
          <w:tcPr>
            <w:tcW w:w="1380" w:type="dxa"/>
            <w:tcBorders>
              <w:left w:val="single" w:color="auto" w:sz="4" w:space="0"/>
              <w:bottom w:val="single" w:color="auto" w:sz="4" w:space="0"/>
              <w:right w:val="single" w:color="auto" w:sz="4" w:space="0"/>
            </w:tcBorders>
            <w:noWrap w:val="0"/>
            <w:vAlign w:val="top"/>
          </w:tcPr>
          <w:p w14:paraId="6C299B42">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建议控制数</w:t>
            </w:r>
          </w:p>
        </w:tc>
        <w:tc>
          <w:tcPr>
            <w:tcW w:w="690" w:type="dxa"/>
            <w:tcBorders>
              <w:left w:val="single" w:color="auto" w:sz="4" w:space="0"/>
              <w:bottom w:val="single" w:color="auto" w:sz="4" w:space="0"/>
              <w:right w:val="single" w:color="auto" w:sz="4" w:space="0"/>
            </w:tcBorders>
            <w:noWrap w:val="0"/>
            <w:vAlign w:val="top"/>
          </w:tcPr>
          <w:p w14:paraId="3BF09488">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320" w:firstLineChars="100"/>
              <w:rPr>
                <w:rFonts w:hint="eastAsia" w:ascii="仿宋_GB2312" w:eastAsia="仿宋_GB2312"/>
                <w:b w:val="0"/>
                <w:sz w:val="32"/>
                <w:szCs w:val="21"/>
              </w:rPr>
            </w:pPr>
            <w:r>
              <w:rPr>
                <w:rFonts w:hint="eastAsia" w:ascii="仿宋_GB2312" w:eastAsia="仿宋_GB2312"/>
                <w:b w:val="0"/>
                <w:sz w:val="32"/>
                <w:szCs w:val="21"/>
              </w:rPr>
              <w:t>核减</w:t>
            </w:r>
          </w:p>
        </w:tc>
        <w:tc>
          <w:tcPr>
            <w:tcW w:w="795" w:type="dxa"/>
            <w:vMerge w:val="restart"/>
            <w:tcBorders>
              <w:left w:val="single" w:color="auto" w:sz="4" w:space="0"/>
              <w:bottom w:val="single" w:color="auto" w:sz="4" w:space="0"/>
            </w:tcBorders>
            <w:noWrap w:val="0"/>
            <w:vAlign w:val="top"/>
          </w:tcPr>
          <w:p w14:paraId="6AD47879">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p w14:paraId="187FBDE9">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备注</w:t>
            </w:r>
          </w:p>
        </w:tc>
      </w:tr>
      <w:tr w14:paraId="6E637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12" w:type="dxa"/>
            <w:tcBorders>
              <w:top w:val="single" w:color="auto" w:sz="4" w:space="0"/>
              <w:bottom w:val="single" w:color="auto" w:sz="4" w:space="0"/>
              <w:right w:val="single" w:color="auto" w:sz="4" w:space="0"/>
            </w:tcBorders>
            <w:noWrap w:val="0"/>
            <w:vAlign w:val="top"/>
          </w:tcPr>
          <w:p w14:paraId="00F539F6">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lang w:val="en-US" w:eastAsia="zh-CN"/>
              </w:rPr>
            </w:pPr>
            <w:r>
              <w:rPr>
                <w:rFonts w:hint="eastAsia" w:ascii="仿宋_GB2312" w:eastAsia="仿宋_GB2312"/>
                <w:b w:val="0"/>
                <w:sz w:val="32"/>
                <w:szCs w:val="21"/>
                <w:lang w:val="en-US" w:eastAsia="zh-CN"/>
              </w:rPr>
              <w:t>1</w:t>
            </w:r>
          </w:p>
        </w:tc>
        <w:tc>
          <w:tcPr>
            <w:tcW w:w="1680" w:type="dxa"/>
            <w:tcBorders>
              <w:top w:val="single" w:color="auto" w:sz="4" w:space="0"/>
              <w:left w:val="single" w:color="auto" w:sz="4" w:space="0"/>
              <w:bottom w:val="single" w:color="auto" w:sz="4" w:space="0"/>
              <w:right w:val="single" w:color="auto" w:sz="4" w:space="0"/>
            </w:tcBorders>
            <w:noWrap w:val="0"/>
            <w:vAlign w:val="top"/>
          </w:tcPr>
          <w:p w14:paraId="4AAFF13D">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eastAsia="仿宋_GB2312"/>
                <w:b w:val="0"/>
                <w:sz w:val="32"/>
                <w:szCs w:val="21"/>
                <w:lang w:val="en-US" w:eastAsia="zh-CN"/>
              </w:rPr>
              <w:t>重度残疾人护理补贴</w:t>
            </w:r>
          </w:p>
        </w:tc>
        <w:tc>
          <w:tcPr>
            <w:tcW w:w="1346" w:type="dxa"/>
            <w:tcBorders>
              <w:top w:val="single" w:color="auto" w:sz="4" w:space="0"/>
              <w:left w:val="single" w:color="auto" w:sz="4" w:space="0"/>
              <w:bottom w:val="single" w:color="auto" w:sz="4" w:space="0"/>
              <w:right w:val="single" w:color="auto" w:sz="4" w:space="0"/>
            </w:tcBorders>
            <w:noWrap w:val="0"/>
            <w:vAlign w:val="top"/>
          </w:tcPr>
          <w:p w14:paraId="2A587EDB">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eastAsia="仿宋_GB2312"/>
                <w:b w:val="0"/>
                <w:sz w:val="32"/>
                <w:lang w:val="en-US" w:eastAsia="zh-CN"/>
              </w:rPr>
              <w:t>44.9</w:t>
            </w:r>
          </w:p>
        </w:tc>
        <w:tc>
          <w:tcPr>
            <w:tcW w:w="1384" w:type="dxa"/>
            <w:tcBorders>
              <w:top w:val="single" w:color="auto" w:sz="4" w:space="0"/>
              <w:left w:val="single" w:color="auto" w:sz="4" w:space="0"/>
              <w:bottom w:val="single" w:color="auto" w:sz="4" w:space="0"/>
              <w:right w:val="single" w:color="auto" w:sz="4" w:space="0"/>
            </w:tcBorders>
            <w:noWrap w:val="0"/>
            <w:vAlign w:val="top"/>
          </w:tcPr>
          <w:p w14:paraId="7FC5157A">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eastAsia="仿宋_GB2312"/>
                <w:b w:val="0"/>
                <w:sz w:val="32"/>
                <w:lang w:val="en-US" w:eastAsia="zh-CN"/>
              </w:rPr>
              <w:t>44.9</w:t>
            </w:r>
          </w:p>
        </w:tc>
        <w:tc>
          <w:tcPr>
            <w:tcW w:w="1380" w:type="dxa"/>
            <w:tcBorders>
              <w:top w:val="single" w:color="auto" w:sz="4" w:space="0"/>
              <w:left w:val="single" w:color="auto" w:sz="4" w:space="0"/>
              <w:bottom w:val="single" w:color="auto" w:sz="4" w:space="0"/>
              <w:right w:val="single" w:color="auto" w:sz="4" w:space="0"/>
            </w:tcBorders>
            <w:noWrap w:val="0"/>
            <w:vAlign w:val="top"/>
          </w:tcPr>
          <w:p w14:paraId="0C793C16">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hAnsi="Times New Roman" w:eastAsia="仿宋_GB2312" w:cs="Times New Roman"/>
                <w:b w:val="0"/>
                <w:kern w:val="2"/>
                <w:sz w:val="32"/>
                <w:szCs w:val="21"/>
                <w:lang w:val="en-US" w:eastAsia="zh-CN" w:bidi="ar-SA"/>
              </w:rPr>
            </w:pPr>
            <w:r>
              <w:rPr>
                <w:rFonts w:hint="eastAsia" w:ascii="仿宋_GB2312" w:eastAsia="仿宋_GB2312"/>
                <w:b w:val="0"/>
                <w:sz w:val="32"/>
                <w:lang w:val="en-US" w:eastAsia="zh-CN"/>
              </w:rPr>
              <w:t>44.9</w:t>
            </w:r>
          </w:p>
        </w:tc>
        <w:tc>
          <w:tcPr>
            <w:tcW w:w="690" w:type="dxa"/>
            <w:tcBorders>
              <w:top w:val="single" w:color="auto" w:sz="4" w:space="0"/>
              <w:left w:val="single" w:color="auto" w:sz="4" w:space="0"/>
              <w:bottom w:val="single" w:color="auto" w:sz="4" w:space="0"/>
              <w:right w:val="single" w:color="auto" w:sz="4" w:space="0"/>
            </w:tcBorders>
            <w:noWrap w:val="0"/>
            <w:vAlign w:val="top"/>
          </w:tcPr>
          <w:p w14:paraId="108C6F44">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lang w:val="en-US" w:eastAsia="zh-CN"/>
              </w:rPr>
            </w:pPr>
          </w:p>
        </w:tc>
        <w:tc>
          <w:tcPr>
            <w:tcW w:w="795" w:type="dxa"/>
            <w:vMerge w:val="continue"/>
            <w:tcBorders>
              <w:left w:val="single" w:color="auto" w:sz="4" w:space="0"/>
              <w:bottom w:val="single" w:color="auto" w:sz="4" w:space="0"/>
            </w:tcBorders>
            <w:noWrap w:val="0"/>
            <w:vAlign w:val="top"/>
          </w:tcPr>
          <w:p w14:paraId="2C9940F0">
            <w:pPr>
              <w:pageBreakBefore w:val="0"/>
              <w:kinsoku/>
              <w:wordWrap/>
              <w:overflowPunct/>
              <w:topLinePunct w:val="0"/>
              <w:autoSpaceDE/>
              <w:autoSpaceDN/>
              <w:bidi w:val="0"/>
              <w:spacing w:line="560" w:lineRule="exact"/>
              <w:rPr>
                <w:rFonts w:eastAsia="仿宋_GB2312"/>
                <w:b w:val="0"/>
                <w:sz w:val="32"/>
              </w:rPr>
            </w:pPr>
          </w:p>
        </w:tc>
      </w:tr>
      <w:tr w14:paraId="4E08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512" w:type="dxa"/>
            <w:tcBorders>
              <w:top w:val="single" w:color="auto" w:sz="4" w:space="0"/>
              <w:right w:val="single" w:color="auto" w:sz="4" w:space="0"/>
            </w:tcBorders>
            <w:noWrap w:val="0"/>
            <w:vAlign w:val="top"/>
          </w:tcPr>
          <w:p w14:paraId="3BF476D6">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680" w:type="dxa"/>
            <w:tcBorders>
              <w:top w:val="single" w:color="auto" w:sz="4" w:space="0"/>
              <w:left w:val="single" w:color="auto" w:sz="4" w:space="0"/>
              <w:right w:val="single" w:color="auto" w:sz="4" w:space="0"/>
            </w:tcBorders>
            <w:noWrap w:val="0"/>
            <w:vAlign w:val="top"/>
          </w:tcPr>
          <w:p w14:paraId="17C6D154">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合计（万元）</w:t>
            </w:r>
          </w:p>
        </w:tc>
        <w:tc>
          <w:tcPr>
            <w:tcW w:w="1346" w:type="dxa"/>
            <w:tcBorders>
              <w:top w:val="single" w:color="auto" w:sz="4" w:space="0"/>
              <w:left w:val="single" w:color="auto" w:sz="4" w:space="0"/>
              <w:right w:val="single" w:color="auto" w:sz="4" w:space="0"/>
            </w:tcBorders>
            <w:noWrap w:val="0"/>
            <w:vAlign w:val="top"/>
          </w:tcPr>
          <w:p w14:paraId="701C352B">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eastAsia="仿宋_GB2312"/>
                <w:b w:val="0"/>
                <w:sz w:val="32"/>
                <w:lang w:val="en-US" w:eastAsia="zh-CN"/>
              </w:rPr>
              <w:t>44.9</w:t>
            </w:r>
          </w:p>
        </w:tc>
        <w:tc>
          <w:tcPr>
            <w:tcW w:w="1384" w:type="dxa"/>
            <w:tcBorders>
              <w:top w:val="single" w:color="auto" w:sz="4" w:space="0"/>
              <w:left w:val="single" w:color="auto" w:sz="4" w:space="0"/>
              <w:right w:val="single" w:color="auto" w:sz="4" w:space="0"/>
            </w:tcBorders>
            <w:noWrap w:val="0"/>
            <w:vAlign w:val="top"/>
          </w:tcPr>
          <w:p w14:paraId="4518409C">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hAnsi="Times New Roman" w:eastAsia="仿宋_GB2312" w:cs="Times New Roman"/>
                <w:b w:val="0"/>
                <w:kern w:val="2"/>
                <w:sz w:val="32"/>
                <w:szCs w:val="21"/>
                <w:lang w:val="en-US" w:eastAsia="zh-CN" w:bidi="ar-SA"/>
              </w:rPr>
            </w:pPr>
            <w:r>
              <w:rPr>
                <w:rFonts w:hint="eastAsia" w:ascii="仿宋_GB2312" w:eastAsia="仿宋_GB2312"/>
                <w:b w:val="0"/>
                <w:sz w:val="32"/>
                <w:lang w:val="en-US" w:eastAsia="zh-CN"/>
              </w:rPr>
              <w:t>44.9</w:t>
            </w:r>
          </w:p>
        </w:tc>
        <w:tc>
          <w:tcPr>
            <w:tcW w:w="1380" w:type="dxa"/>
            <w:tcBorders>
              <w:top w:val="single" w:color="auto" w:sz="4" w:space="0"/>
              <w:left w:val="single" w:color="auto" w:sz="4" w:space="0"/>
              <w:right w:val="single" w:color="auto" w:sz="4" w:space="0"/>
            </w:tcBorders>
            <w:noWrap w:val="0"/>
            <w:vAlign w:val="top"/>
          </w:tcPr>
          <w:p w14:paraId="66EAB79B">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eastAsia="仿宋_GB2312"/>
                <w:b w:val="0"/>
                <w:sz w:val="32"/>
                <w:lang w:val="en-US" w:eastAsia="zh-CN"/>
              </w:rPr>
              <w:t>44.9</w:t>
            </w:r>
          </w:p>
        </w:tc>
        <w:tc>
          <w:tcPr>
            <w:tcW w:w="690" w:type="dxa"/>
            <w:tcBorders>
              <w:top w:val="single" w:color="auto" w:sz="4" w:space="0"/>
              <w:left w:val="single" w:color="auto" w:sz="4" w:space="0"/>
              <w:right w:val="single" w:color="auto" w:sz="4" w:space="0"/>
            </w:tcBorders>
            <w:noWrap w:val="0"/>
            <w:vAlign w:val="top"/>
          </w:tcPr>
          <w:p w14:paraId="0F317343">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795" w:type="dxa"/>
            <w:tcBorders>
              <w:top w:val="single" w:color="auto" w:sz="4" w:space="0"/>
              <w:left w:val="single" w:color="auto" w:sz="4" w:space="0"/>
            </w:tcBorders>
            <w:noWrap w:val="0"/>
            <w:vAlign w:val="top"/>
          </w:tcPr>
          <w:p w14:paraId="5E1F0F20">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r>
    </w:tbl>
    <w:p w14:paraId="172FA8B9">
      <w:pPr>
        <w:pStyle w:val="10"/>
        <w:pageBreakBefore w:val="0"/>
        <w:kinsoku/>
        <w:wordWrap/>
        <w:overflowPunct/>
        <w:topLinePunct w:val="0"/>
        <w:autoSpaceDE/>
        <w:autoSpaceDN/>
        <w:bidi w:val="0"/>
        <w:spacing w:line="560" w:lineRule="exact"/>
        <w:ind w:left="0" w:firstLine="640" w:firstLineChars="200"/>
        <w:rPr>
          <w:rFonts w:hint="eastAsia" w:ascii="楷体_GB2312" w:eastAsia="仿宋_GB2312"/>
          <w:b w:val="0"/>
          <w:bCs/>
          <w:sz w:val="32"/>
        </w:rPr>
      </w:pPr>
      <w:r>
        <w:rPr>
          <w:rFonts w:hint="eastAsia" w:ascii="楷体_GB2312" w:eastAsia="仿宋_GB2312"/>
          <w:b w:val="0"/>
          <w:bCs/>
          <w:sz w:val="32"/>
        </w:rPr>
        <w:t>（三）目标合理性</w:t>
      </w:r>
    </w:p>
    <w:p w14:paraId="3026EF90">
      <w:pPr>
        <w:pStyle w:val="10"/>
        <w:pageBreakBefore w:val="0"/>
        <w:kinsoku/>
        <w:wordWrap/>
        <w:overflowPunct/>
        <w:topLinePunct w:val="0"/>
        <w:autoSpaceDE/>
        <w:autoSpaceDN/>
        <w:bidi w:val="0"/>
        <w:spacing w:line="560" w:lineRule="exact"/>
        <w:ind w:left="0" w:firstLine="640" w:firstLineChars="200"/>
        <w:rPr>
          <w:rFonts w:hint="default" w:ascii="仿宋_GB2312" w:eastAsia="仿宋_GB2312"/>
          <w:b w:val="0"/>
          <w:sz w:val="32"/>
          <w:lang w:val="en-US" w:eastAsia="zh-CN"/>
        </w:rPr>
      </w:pPr>
      <w:r>
        <w:rPr>
          <w:rFonts w:hint="eastAsia" w:ascii="仿宋_GB2312" w:eastAsia="仿宋_GB2312"/>
          <w:b w:val="0"/>
          <w:sz w:val="32"/>
          <w:lang w:val="en-US" w:eastAsia="zh-CN"/>
        </w:rPr>
        <w:t>本项目设置绩效目标5项，分别为成本指标1项，产出指标2项，效益指标1项，满意度指标1项，详见项目目标绩效表，本项目</w:t>
      </w:r>
      <w:r>
        <w:rPr>
          <w:rFonts w:hint="eastAsia" w:ascii="仿宋_GB2312" w:eastAsia="仿宋_GB2312"/>
          <w:b w:val="0"/>
          <w:sz w:val="32"/>
        </w:rPr>
        <w:t>绩效目标和绩效指标量化可考核，全面完整，契合政策或项目实质，与部门的长期规划目标、年度工作目标相一致，产出和效果</w:t>
      </w:r>
      <w:r>
        <w:rPr>
          <w:rFonts w:hint="eastAsia" w:ascii="仿宋_GB2312" w:eastAsia="仿宋_GB2312"/>
          <w:b w:val="0"/>
          <w:sz w:val="32"/>
          <w:lang w:val="en-US" w:eastAsia="zh-CN"/>
        </w:rPr>
        <w:t>相</w:t>
      </w:r>
      <w:r>
        <w:rPr>
          <w:rFonts w:hint="eastAsia" w:ascii="仿宋_GB2312" w:eastAsia="仿宋_GB2312"/>
          <w:b w:val="0"/>
          <w:sz w:val="32"/>
        </w:rPr>
        <w:t>关联，满意度指标预测</w:t>
      </w:r>
      <w:r>
        <w:rPr>
          <w:rFonts w:hint="eastAsia" w:ascii="仿宋_GB2312" w:eastAsia="仿宋_GB2312"/>
          <w:b w:val="0"/>
          <w:sz w:val="32"/>
          <w:lang w:val="en-US" w:eastAsia="zh-CN"/>
        </w:rPr>
        <w:t>为100%。</w:t>
      </w:r>
    </w:p>
    <w:p w14:paraId="55AF1836">
      <w:pPr>
        <w:pStyle w:val="10"/>
        <w:pageBreakBefore w:val="0"/>
        <w:kinsoku/>
        <w:wordWrap/>
        <w:overflowPunct/>
        <w:topLinePunct w:val="0"/>
        <w:autoSpaceDE/>
        <w:autoSpaceDN/>
        <w:bidi w:val="0"/>
        <w:spacing w:line="560" w:lineRule="exact"/>
        <w:ind w:left="0" w:leftChars="0" w:right="0" w:rightChars="0" w:firstLine="0" w:firstLineChars="0"/>
        <w:jc w:val="center"/>
        <w:rPr>
          <w:rFonts w:hint="eastAsia" w:ascii="方正黑体_GBK" w:eastAsia="仿宋_GB2312"/>
          <w:b w:val="0"/>
          <w:sz w:val="32"/>
        </w:rPr>
      </w:pPr>
      <w:r>
        <w:rPr>
          <w:rFonts w:hint="eastAsia" w:ascii="仿宋_GB2312" w:eastAsia="仿宋_GB2312"/>
          <w:b w:val="0"/>
          <w:sz w:val="32"/>
          <w:lang w:eastAsia="zh-CN"/>
        </w:rPr>
        <w:t>金川县</w:t>
      </w:r>
      <w:r>
        <w:rPr>
          <w:rFonts w:hint="eastAsia" w:ascii="仿宋_GB2312" w:eastAsia="仿宋_GB2312" w:cs="Times New Roman"/>
          <w:b w:val="0"/>
          <w:sz w:val="32"/>
          <w:lang w:val="en-US" w:eastAsia="zh-CN"/>
        </w:rPr>
        <w:t>重度残疾人</w:t>
      </w:r>
      <w:r>
        <w:rPr>
          <w:rFonts w:hint="eastAsia" w:ascii="仿宋_GB2312" w:hAnsi="Times New Roman" w:eastAsia="仿宋_GB2312" w:cs="Times New Roman"/>
          <w:b w:val="0"/>
          <w:sz w:val="32"/>
          <w:lang w:eastAsia="zh-CN"/>
        </w:rPr>
        <w:t>绩</w:t>
      </w:r>
      <w:r>
        <w:rPr>
          <w:rFonts w:hint="eastAsia" w:ascii="仿宋_GB2312" w:eastAsia="仿宋_GB2312"/>
          <w:b w:val="0"/>
          <w:sz w:val="32"/>
        </w:rPr>
        <w:t>效目标表</w:t>
      </w:r>
    </w:p>
    <w:tbl>
      <w:tblPr>
        <w:tblStyle w:val="8"/>
        <w:tblW w:w="996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20"/>
        <w:gridCol w:w="1336"/>
        <w:gridCol w:w="3468"/>
        <w:gridCol w:w="4036"/>
      </w:tblGrid>
      <w:tr w14:paraId="5AA87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0" w:hRule="atLeast"/>
        </w:trPr>
        <w:tc>
          <w:tcPr>
            <w:tcW w:w="1121" w:type="dxa"/>
            <w:tcBorders>
              <w:top w:val="single" w:color="000000" w:sz="4" w:space="0"/>
              <w:left w:val="single" w:color="000000" w:sz="4" w:space="0"/>
              <w:bottom w:val="nil"/>
              <w:right w:val="single" w:color="000000" w:sz="4" w:space="0"/>
            </w:tcBorders>
            <w:noWrap w:val="0"/>
            <w:vAlign w:val="center"/>
          </w:tcPr>
          <w:p w14:paraId="7CAF5896">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仿宋_GB2312" w:cs="宋体"/>
                <w:b w:val="0"/>
                <w:i w:val="0"/>
                <w:iCs w:val="0"/>
                <w:color w:val="000000"/>
                <w:sz w:val="32"/>
                <w:szCs w:val="20"/>
                <w:u w:val="none"/>
              </w:rPr>
            </w:pPr>
            <w:r>
              <w:rPr>
                <w:rFonts w:hint="eastAsia" w:ascii="宋体" w:hAnsi="宋体" w:eastAsia="仿宋_GB2312" w:cs="宋体"/>
                <w:b w:val="0"/>
                <w:i w:val="0"/>
                <w:iCs w:val="0"/>
                <w:color w:val="000000"/>
                <w:kern w:val="0"/>
                <w:sz w:val="32"/>
                <w:szCs w:val="20"/>
                <w:u w:val="none"/>
                <w:lang w:val="en-US" w:eastAsia="zh-CN" w:bidi="ar"/>
              </w:rPr>
              <w:t>一级指标</w:t>
            </w:r>
          </w:p>
        </w:tc>
        <w:tc>
          <w:tcPr>
            <w:tcW w:w="1337" w:type="dxa"/>
            <w:tcBorders>
              <w:top w:val="single" w:color="000000" w:sz="4" w:space="0"/>
              <w:left w:val="single" w:color="000000" w:sz="4" w:space="0"/>
              <w:bottom w:val="nil"/>
              <w:right w:val="single" w:color="000000" w:sz="4" w:space="0"/>
            </w:tcBorders>
            <w:noWrap w:val="0"/>
            <w:vAlign w:val="center"/>
          </w:tcPr>
          <w:p w14:paraId="4DE9431F">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仿宋_GB2312" w:cs="宋体"/>
                <w:b w:val="0"/>
                <w:i w:val="0"/>
                <w:iCs w:val="0"/>
                <w:color w:val="000000"/>
                <w:sz w:val="32"/>
                <w:szCs w:val="24"/>
                <w:u w:val="none"/>
              </w:rPr>
            </w:pPr>
            <w:r>
              <w:rPr>
                <w:rFonts w:hint="eastAsia" w:ascii="宋体" w:hAnsi="宋体" w:eastAsia="仿宋_GB2312" w:cs="宋体"/>
                <w:b w:val="0"/>
                <w:i w:val="0"/>
                <w:iCs w:val="0"/>
                <w:color w:val="000000"/>
                <w:kern w:val="0"/>
                <w:sz w:val="32"/>
                <w:szCs w:val="24"/>
                <w:u w:val="none"/>
                <w:lang w:val="en-US" w:eastAsia="zh-CN" w:bidi="ar"/>
              </w:rPr>
              <w:t>二级指标</w:t>
            </w:r>
          </w:p>
        </w:tc>
        <w:tc>
          <w:tcPr>
            <w:tcW w:w="3470" w:type="dxa"/>
            <w:tcBorders>
              <w:top w:val="single" w:color="000000" w:sz="4" w:space="0"/>
              <w:left w:val="single" w:color="000000" w:sz="4" w:space="0"/>
              <w:bottom w:val="nil"/>
              <w:right w:val="single" w:color="000000" w:sz="4" w:space="0"/>
            </w:tcBorders>
            <w:noWrap w:val="0"/>
            <w:vAlign w:val="center"/>
          </w:tcPr>
          <w:p w14:paraId="0ED05D1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仿宋_GB2312" w:cs="宋体"/>
                <w:b w:val="0"/>
                <w:i w:val="0"/>
                <w:iCs w:val="0"/>
                <w:color w:val="000000"/>
                <w:sz w:val="32"/>
                <w:szCs w:val="24"/>
                <w:u w:val="none"/>
              </w:rPr>
            </w:pPr>
            <w:r>
              <w:rPr>
                <w:rFonts w:hint="eastAsia" w:ascii="宋体" w:hAnsi="宋体" w:eastAsia="仿宋_GB2312" w:cs="宋体"/>
                <w:b w:val="0"/>
                <w:i w:val="0"/>
                <w:iCs w:val="0"/>
                <w:color w:val="000000"/>
                <w:kern w:val="0"/>
                <w:sz w:val="32"/>
                <w:szCs w:val="24"/>
                <w:u w:val="none"/>
                <w:lang w:val="en-US" w:eastAsia="zh-CN" w:bidi="ar"/>
              </w:rPr>
              <w:t>三级指标</w:t>
            </w:r>
          </w:p>
        </w:tc>
        <w:tc>
          <w:tcPr>
            <w:tcW w:w="4038" w:type="dxa"/>
            <w:tcBorders>
              <w:top w:val="single" w:color="000000" w:sz="4" w:space="0"/>
              <w:left w:val="single" w:color="000000" w:sz="4" w:space="0"/>
              <w:bottom w:val="nil"/>
              <w:right w:val="single" w:color="000000" w:sz="4" w:space="0"/>
            </w:tcBorders>
            <w:noWrap w:val="0"/>
            <w:vAlign w:val="center"/>
          </w:tcPr>
          <w:p w14:paraId="3DB7D50F">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仿宋_GB2312" w:cs="宋体"/>
                <w:b w:val="0"/>
                <w:i w:val="0"/>
                <w:iCs w:val="0"/>
                <w:color w:val="000000"/>
                <w:sz w:val="32"/>
                <w:szCs w:val="24"/>
                <w:u w:val="none"/>
              </w:rPr>
            </w:pPr>
            <w:r>
              <w:rPr>
                <w:rFonts w:hint="eastAsia" w:ascii="宋体" w:hAnsi="宋体" w:eastAsia="仿宋_GB2312" w:cs="宋体"/>
                <w:b w:val="0"/>
                <w:i w:val="0"/>
                <w:iCs w:val="0"/>
                <w:color w:val="000000"/>
                <w:kern w:val="0"/>
                <w:sz w:val="32"/>
                <w:szCs w:val="24"/>
                <w:u w:val="none"/>
                <w:lang w:val="en-US" w:eastAsia="zh-CN" w:bidi="ar"/>
              </w:rPr>
              <w:t>指标值（包含数字及文字描述）</w:t>
            </w:r>
          </w:p>
        </w:tc>
      </w:tr>
      <w:tr w14:paraId="3634D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121" w:type="dxa"/>
            <w:tcBorders>
              <w:top w:val="single" w:color="000000" w:sz="4" w:space="0"/>
              <w:left w:val="single" w:color="000000" w:sz="4" w:space="0"/>
              <w:bottom w:val="single" w:color="000000" w:sz="4" w:space="0"/>
              <w:right w:val="single" w:color="000000" w:sz="4" w:space="0"/>
            </w:tcBorders>
            <w:noWrap w:val="0"/>
            <w:vAlign w:val="top"/>
          </w:tcPr>
          <w:p w14:paraId="7F2A986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宋体" w:hAnsi="宋体" w:eastAsia="仿宋_GB2312" w:cs="宋体"/>
                <w:b w:val="0"/>
                <w:i w:val="0"/>
                <w:iCs w:val="0"/>
                <w:color w:val="000000"/>
                <w:kern w:val="0"/>
                <w:sz w:val="32"/>
                <w:szCs w:val="20"/>
                <w:u w:val="none"/>
                <w:lang w:val="en-US" w:eastAsia="zh-CN" w:bidi="ar"/>
              </w:rPr>
            </w:pPr>
            <w:r>
              <w:rPr>
                <w:rFonts w:hint="default" w:ascii="宋体" w:hAnsi="宋体" w:eastAsia="仿宋_GB2312" w:cs="宋体"/>
                <w:b w:val="0"/>
                <w:i w:val="0"/>
                <w:iCs w:val="0"/>
                <w:color w:val="000000"/>
                <w:kern w:val="0"/>
                <w:sz w:val="32"/>
                <w:szCs w:val="20"/>
                <w:u w:val="none"/>
                <w:lang w:val="en-US" w:eastAsia="zh-CN" w:bidi="ar"/>
              </w:rPr>
              <w:t>产出指标</w:t>
            </w:r>
          </w:p>
        </w:tc>
        <w:tc>
          <w:tcPr>
            <w:tcW w:w="1337" w:type="dxa"/>
            <w:tcBorders>
              <w:top w:val="single" w:color="000000" w:sz="4" w:space="0"/>
              <w:left w:val="single" w:color="000000" w:sz="4" w:space="0"/>
              <w:bottom w:val="single" w:color="000000" w:sz="4" w:space="0"/>
              <w:right w:val="single" w:color="000000" w:sz="4" w:space="0"/>
            </w:tcBorders>
            <w:noWrap w:val="0"/>
            <w:vAlign w:val="top"/>
          </w:tcPr>
          <w:p w14:paraId="6DA0653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宋体" w:hAnsi="宋体" w:eastAsia="仿宋_GB2312" w:cs="宋体"/>
                <w:b w:val="0"/>
                <w:i w:val="0"/>
                <w:iCs w:val="0"/>
                <w:color w:val="000000"/>
                <w:kern w:val="0"/>
                <w:sz w:val="32"/>
                <w:szCs w:val="20"/>
                <w:u w:val="none"/>
                <w:lang w:val="en-US" w:eastAsia="zh-CN" w:bidi="ar"/>
              </w:rPr>
            </w:pPr>
            <w:r>
              <w:rPr>
                <w:rFonts w:hint="default" w:ascii="宋体" w:hAnsi="宋体" w:eastAsia="仿宋_GB2312" w:cs="宋体"/>
                <w:b w:val="0"/>
                <w:i w:val="0"/>
                <w:iCs w:val="0"/>
                <w:color w:val="000000"/>
                <w:kern w:val="0"/>
                <w:sz w:val="32"/>
                <w:szCs w:val="20"/>
                <w:u w:val="none"/>
                <w:lang w:val="en-US" w:eastAsia="zh-CN" w:bidi="ar"/>
              </w:rPr>
              <w:t>数量指标</w:t>
            </w:r>
          </w:p>
        </w:tc>
        <w:tc>
          <w:tcPr>
            <w:tcW w:w="3470" w:type="dxa"/>
            <w:tcBorders>
              <w:top w:val="single" w:color="000000" w:sz="4" w:space="0"/>
              <w:left w:val="single" w:color="000000" w:sz="4" w:space="0"/>
              <w:bottom w:val="single" w:color="000000" w:sz="4" w:space="0"/>
              <w:right w:val="single" w:color="000000" w:sz="4" w:space="0"/>
            </w:tcBorders>
            <w:noWrap w:val="0"/>
            <w:vAlign w:val="top"/>
          </w:tcPr>
          <w:p w14:paraId="794D3E2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宋体" w:hAnsi="宋体" w:eastAsia="仿宋_GB2312" w:cs="宋体"/>
                <w:b w:val="0"/>
                <w:i w:val="0"/>
                <w:iCs w:val="0"/>
                <w:color w:val="000000"/>
                <w:kern w:val="0"/>
                <w:sz w:val="32"/>
                <w:szCs w:val="20"/>
                <w:u w:val="none"/>
                <w:lang w:val="en-US" w:eastAsia="zh-CN" w:bidi="ar"/>
              </w:rPr>
            </w:pPr>
            <w:r>
              <w:rPr>
                <w:rFonts w:hint="eastAsia" w:ascii="宋体" w:hAnsi="宋体" w:eastAsia="仿宋_GB2312" w:cs="宋体"/>
                <w:b w:val="0"/>
                <w:i w:val="0"/>
                <w:iCs w:val="0"/>
                <w:color w:val="000000"/>
                <w:kern w:val="0"/>
                <w:sz w:val="32"/>
                <w:szCs w:val="20"/>
                <w:u w:val="none"/>
                <w:lang w:val="en-US" w:eastAsia="zh-CN" w:bidi="ar"/>
              </w:rPr>
              <w:t>重度残疾人数</w:t>
            </w:r>
          </w:p>
        </w:tc>
        <w:tc>
          <w:tcPr>
            <w:tcW w:w="4038" w:type="dxa"/>
            <w:tcBorders>
              <w:top w:val="single" w:color="000000" w:sz="4" w:space="0"/>
              <w:left w:val="single" w:color="000000" w:sz="4" w:space="0"/>
              <w:bottom w:val="single" w:color="000000" w:sz="4" w:space="0"/>
              <w:right w:val="single" w:color="000000" w:sz="4" w:space="0"/>
            </w:tcBorders>
            <w:noWrap w:val="0"/>
            <w:vAlign w:val="top"/>
          </w:tcPr>
          <w:p w14:paraId="6B2B3AD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宋体" w:hAnsi="宋体" w:eastAsia="仿宋_GB2312" w:cs="宋体"/>
                <w:b w:val="0"/>
                <w:i w:val="0"/>
                <w:iCs w:val="0"/>
                <w:color w:val="000000"/>
                <w:kern w:val="0"/>
                <w:sz w:val="32"/>
                <w:szCs w:val="20"/>
                <w:u w:val="none"/>
                <w:lang w:val="en-US" w:eastAsia="zh-CN" w:bidi="ar"/>
              </w:rPr>
            </w:pPr>
            <w:r>
              <w:rPr>
                <w:rFonts w:hint="default" w:ascii="宋体" w:hAnsi="宋体" w:eastAsia="仿宋_GB2312" w:cs="宋体"/>
                <w:b w:val="0"/>
                <w:i w:val="0"/>
                <w:iCs w:val="0"/>
                <w:color w:val="000000"/>
                <w:kern w:val="0"/>
                <w:sz w:val="32"/>
                <w:szCs w:val="20"/>
                <w:u w:val="none"/>
                <w:lang w:val="en-US" w:eastAsia="zh-CN" w:bidi="ar"/>
              </w:rPr>
              <w:t>≥</w:t>
            </w:r>
            <w:r>
              <w:rPr>
                <w:rFonts w:hint="eastAsia" w:ascii="宋体" w:hAnsi="宋体" w:eastAsia="仿宋_GB2312" w:cs="宋体"/>
                <w:b w:val="0"/>
                <w:i w:val="0"/>
                <w:iCs w:val="0"/>
                <w:color w:val="000000"/>
                <w:kern w:val="0"/>
                <w:sz w:val="32"/>
                <w:szCs w:val="20"/>
                <w:u w:val="none"/>
                <w:lang w:val="en-US" w:eastAsia="zh-CN" w:bidi="ar"/>
              </w:rPr>
              <w:t>1000</w:t>
            </w:r>
            <w:r>
              <w:rPr>
                <w:rFonts w:hint="default" w:ascii="宋体" w:hAnsi="宋体" w:eastAsia="仿宋_GB2312" w:cs="宋体"/>
                <w:b w:val="0"/>
                <w:i w:val="0"/>
                <w:iCs w:val="0"/>
                <w:color w:val="000000"/>
                <w:kern w:val="0"/>
                <w:sz w:val="32"/>
                <w:szCs w:val="20"/>
                <w:u w:val="none"/>
                <w:lang w:val="en-US" w:eastAsia="zh-CN" w:bidi="ar"/>
              </w:rPr>
              <w:t>人</w:t>
            </w:r>
          </w:p>
        </w:tc>
      </w:tr>
      <w:tr w14:paraId="756C2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121" w:type="dxa"/>
            <w:tcBorders>
              <w:top w:val="single" w:color="000000" w:sz="4" w:space="0"/>
              <w:left w:val="single" w:color="000000" w:sz="4" w:space="0"/>
              <w:bottom w:val="single" w:color="000000" w:sz="4" w:space="0"/>
              <w:right w:val="single" w:color="000000" w:sz="4" w:space="0"/>
            </w:tcBorders>
            <w:noWrap w:val="0"/>
            <w:vAlign w:val="top"/>
          </w:tcPr>
          <w:p w14:paraId="1CA3A631">
            <w:pPr>
              <w:keepNext w:val="0"/>
              <w:keepLines w:val="0"/>
              <w:pageBreakBefore w:val="0"/>
              <w:widowControl/>
              <w:suppressLineNumbers w:val="0"/>
              <w:kinsoku/>
              <w:wordWrap/>
              <w:overflowPunct/>
              <w:topLinePunct w:val="0"/>
              <w:autoSpaceDE/>
              <w:autoSpaceDN/>
              <w:bidi w:val="0"/>
              <w:spacing w:line="560" w:lineRule="exact"/>
              <w:jc w:val="both"/>
              <w:textAlignment w:val="top"/>
              <w:rPr>
                <w:rFonts w:hint="default" w:ascii="方正黑体_GBK" w:hAnsi="方正黑体_GBK" w:eastAsia="仿宋_GB2312" w:cs="方正黑体_GBK"/>
                <w:b w:val="0"/>
                <w:i w:val="0"/>
                <w:iCs w:val="0"/>
                <w:color w:val="000000"/>
                <w:sz w:val="32"/>
                <w:szCs w:val="20"/>
                <w:u w:val="none"/>
              </w:rPr>
            </w:pPr>
            <w:r>
              <w:rPr>
                <w:rFonts w:hint="default" w:ascii="方正黑体_GBK" w:hAnsi="方正黑体_GBK" w:eastAsia="仿宋_GB2312" w:cs="方正黑体_GBK"/>
                <w:b w:val="0"/>
                <w:i w:val="0"/>
                <w:iCs w:val="0"/>
                <w:color w:val="000000"/>
                <w:kern w:val="0"/>
                <w:sz w:val="32"/>
                <w:szCs w:val="20"/>
                <w:u w:val="none"/>
                <w:lang w:val="en-US" w:eastAsia="zh-CN" w:bidi="ar"/>
              </w:rPr>
              <w:t>产出指标</w:t>
            </w:r>
          </w:p>
        </w:tc>
        <w:tc>
          <w:tcPr>
            <w:tcW w:w="1337" w:type="dxa"/>
            <w:tcBorders>
              <w:top w:val="single" w:color="000000" w:sz="4" w:space="0"/>
              <w:left w:val="single" w:color="000000" w:sz="4" w:space="0"/>
              <w:bottom w:val="single" w:color="000000" w:sz="4" w:space="0"/>
              <w:right w:val="single" w:color="000000" w:sz="4" w:space="0"/>
            </w:tcBorders>
            <w:noWrap w:val="0"/>
            <w:vAlign w:val="top"/>
          </w:tcPr>
          <w:p w14:paraId="2685E87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宋体" w:hAnsi="宋体" w:eastAsia="仿宋_GB2312" w:cs="宋体"/>
                <w:b w:val="0"/>
                <w:i w:val="0"/>
                <w:iCs w:val="0"/>
                <w:color w:val="000000"/>
                <w:kern w:val="0"/>
                <w:sz w:val="32"/>
                <w:szCs w:val="20"/>
                <w:u w:val="none"/>
                <w:lang w:val="en-US" w:eastAsia="zh-CN" w:bidi="ar"/>
              </w:rPr>
            </w:pPr>
            <w:r>
              <w:rPr>
                <w:rFonts w:hint="eastAsia" w:ascii="宋体" w:hAnsi="宋体" w:eastAsia="仿宋_GB2312" w:cs="宋体"/>
                <w:b w:val="0"/>
                <w:i w:val="0"/>
                <w:iCs w:val="0"/>
                <w:color w:val="000000"/>
                <w:kern w:val="0"/>
                <w:sz w:val="32"/>
                <w:szCs w:val="20"/>
                <w:u w:val="none"/>
                <w:lang w:val="en-US" w:eastAsia="zh-CN" w:bidi="ar"/>
              </w:rPr>
              <w:t>数</w:t>
            </w:r>
            <w:r>
              <w:rPr>
                <w:rFonts w:hint="default" w:ascii="宋体" w:hAnsi="宋体" w:eastAsia="仿宋_GB2312" w:cs="宋体"/>
                <w:b w:val="0"/>
                <w:i w:val="0"/>
                <w:iCs w:val="0"/>
                <w:color w:val="000000"/>
                <w:kern w:val="0"/>
                <w:sz w:val="32"/>
                <w:szCs w:val="20"/>
                <w:u w:val="none"/>
                <w:lang w:val="en-US" w:eastAsia="zh-CN" w:bidi="ar"/>
              </w:rPr>
              <w:t>量指标</w:t>
            </w:r>
          </w:p>
        </w:tc>
        <w:tc>
          <w:tcPr>
            <w:tcW w:w="3470" w:type="dxa"/>
            <w:tcBorders>
              <w:top w:val="single" w:color="000000" w:sz="4" w:space="0"/>
              <w:left w:val="single" w:color="000000" w:sz="4" w:space="0"/>
              <w:bottom w:val="single" w:color="000000" w:sz="4" w:space="0"/>
              <w:right w:val="single" w:color="000000" w:sz="4" w:space="0"/>
            </w:tcBorders>
            <w:noWrap w:val="0"/>
            <w:vAlign w:val="top"/>
          </w:tcPr>
          <w:p w14:paraId="6DF59FF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宋体" w:hAnsi="宋体" w:eastAsia="仿宋_GB2312" w:cs="宋体"/>
                <w:b w:val="0"/>
                <w:i w:val="0"/>
                <w:iCs w:val="0"/>
                <w:color w:val="000000"/>
                <w:kern w:val="0"/>
                <w:sz w:val="32"/>
                <w:szCs w:val="20"/>
                <w:u w:val="none"/>
                <w:lang w:val="en-US" w:eastAsia="zh-CN" w:bidi="ar"/>
              </w:rPr>
            </w:pPr>
            <w:r>
              <w:rPr>
                <w:rFonts w:hint="eastAsia" w:ascii="宋体" w:hAnsi="宋体" w:eastAsia="仿宋_GB2312" w:cs="宋体"/>
                <w:b w:val="0"/>
                <w:i w:val="0"/>
                <w:iCs w:val="0"/>
                <w:color w:val="000000"/>
                <w:kern w:val="0"/>
                <w:sz w:val="32"/>
                <w:szCs w:val="20"/>
                <w:u w:val="none"/>
                <w:lang w:val="en-US" w:eastAsia="zh-CN" w:bidi="ar"/>
              </w:rPr>
              <w:t>重度残疾标准</w:t>
            </w:r>
          </w:p>
        </w:tc>
        <w:tc>
          <w:tcPr>
            <w:tcW w:w="4038" w:type="dxa"/>
            <w:tcBorders>
              <w:top w:val="single" w:color="000000" w:sz="4" w:space="0"/>
              <w:left w:val="single" w:color="000000" w:sz="4" w:space="0"/>
              <w:bottom w:val="single" w:color="000000" w:sz="4" w:space="0"/>
              <w:right w:val="single" w:color="000000" w:sz="4" w:space="0"/>
            </w:tcBorders>
            <w:noWrap w:val="0"/>
            <w:vAlign w:val="top"/>
          </w:tcPr>
          <w:p w14:paraId="6F84654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宋体" w:hAnsi="宋体" w:eastAsia="仿宋_GB2312" w:cs="宋体"/>
                <w:b w:val="0"/>
                <w:i w:val="0"/>
                <w:iCs w:val="0"/>
                <w:color w:val="000000"/>
                <w:kern w:val="0"/>
                <w:sz w:val="32"/>
                <w:szCs w:val="20"/>
                <w:u w:val="none"/>
                <w:lang w:val="en-US" w:eastAsia="zh-CN" w:bidi="ar"/>
              </w:rPr>
            </w:pPr>
            <w:r>
              <w:rPr>
                <w:rFonts w:hint="eastAsia" w:ascii="宋体" w:hAnsi="宋体" w:eastAsia="仿宋_GB2312" w:cs="宋体"/>
                <w:b w:val="0"/>
                <w:i w:val="0"/>
                <w:iCs w:val="0"/>
                <w:color w:val="000000"/>
                <w:kern w:val="0"/>
                <w:sz w:val="32"/>
                <w:szCs w:val="20"/>
                <w:u w:val="none"/>
                <w:lang w:val="en-US" w:eastAsia="zh-CN" w:bidi="ar"/>
              </w:rPr>
              <w:t>一级120元/月/人、二级90元/月/人，三、四级精神和智力残疾50元/月/人标准进行发放</w:t>
            </w:r>
          </w:p>
        </w:tc>
      </w:tr>
      <w:tr w14:paraId="69BFF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121" w:type="dxa"/>
            <w:tcBorders>
              <w:top w:val="single" w:color="000000" w:sz="4" w:space="0"/>
              <w:left w:val="single" w:color="000000" w:sz="4" w:space="0"/>
              <w:bottom w:val="single" w:color="000000" w:sz="4" w:space="0"/>
              <w:right w:val="single" w:color="000000" w:sz="4" w:space="0"/>
            </w:tcBorders>
            <w:noWrap w:val="0"/>
            <w:vAlign w:val="top"/>
          </w:tcPr>
          <w:p w14:paraId="744A6C6D">
            <w:pPr>
              <w:keepNext w:val="0"/>
              <w:keepLines w:val="0"/>
              <w:pageBreakBefore w:val="0"/>
              <w:widowControl/>
              <w:suppressLineNumbers w:val="0"/>
              <w:kinsoku/>
              <w:wordWrap/>
              <w:overflowPunct/>
              <w:topLinePunct w:val="0"/>
              <w:autoSpaceDE/>
              <w:autoSpaceDN/>
              <w:bidi w:val="0"/>
              <w:spacing w:line="560" w:lineRule="exact"/>
              <w:jc w:val="both"/>
              <w:textAlignment w:val="top"/>
              <w:rPr>
                <w:rFonts w:hint="default" w:ascii="方正黑体_GBK" w:hAnsi="方正黑体_GBK" w:eastAsia="仿宋_GB2312" w:cs="方正黑体_GBK"/>
                <w:b w:val="0"/>
                <w:i w:val="0"/>
                <w:iCs w:val="0"/>
                <w:color w:val="000000"/>
                <w:sz w:val="32"/>
                <w:szCs w:val="20"/>
                <w:u w:val="none"/>
              </w:rPr>
            </w:pPr>
            <w:r>
              <w:rPr>
                <w:rFonts w:hint="default" w:ascii="方正黑体_GBK" w:hAnsi="方正黑体_GBK" w:eastAsia="仿宋_GB2312" w:cs="方正黑体_GBK"/>
                <w:b w:val="0"/>
                <w:i w:val="0"/>
                <w:iCs w:val="0"/>
                <w:color w:val="000000"/>
                <w:kern w:val="0"/>
                <w:sz w:val="32"/>
                <w:szCs w:val="20"/>
                <w:u w:val="none"/>
                <w:lang w:val="en-US" w:eastAsia="zh-CN" w:bidi="ar"/>
              </w:rPr>
              <w:t>产出指标</w:t>
            </w:r>
          </w:p>
        </w:tc>
        <w:tc>
          <w:tcPr>
            <w:tcW w:w="1337" w:type="dxa"/>
            <w:tcBorders>
              <w:top w:val="single" w:color="000000" w:sz="4" w:space="0"/>
              <w:left w:val="single" w:color="000000" w:sz="4" w:space="0"/>
              <w:bottom w:val="single" w:color="000000" w:sz="4" w:space="0"/>
              <w:right w:val="single" w:color="000000" w:sz="4" w:space="0"/>
            </w:tcBorders>
            <w:noWrap w:val="0"/>
            <w:vAlign w:val="center"/>
          </w:tcPr>
          <w:p w14:paraId="5200E50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宋体" w:hAnsi="宋体" w:eastAsia="仿宋_GB2312" w:cs="宋体"/>
                <w:b w:val="0"/>
                <w:i w:val="0"/>
                <w:iCs w:val="0"/>
                <w:color w:val="000000"/>
                <w:kern w:val="0"/>
                <w:sz w:val="32"/>
                <w:szCs w:val="20"/>
                <w:u w:val="none"/>
                <w:lang w:val="en-US" w:eastAsia="zh-CN" w:bidi="ar"/>
              </w:rPr>
            </w:pPr>
            <w:r>
              <w:rPr>
                <w:rFonts w:hint="eastAsia" w:ascii="宋体" w:hAnsi="宋体" w:eastAsia="仿宋_GB2312" w:cs="宋体"/>
                <w:b w:val="0"/>
                <w:i w:val="0"/>
                <w:iCs w:val="0"/>
                <w:color w:val="000000"/>
                <w:kern w:val="0"/>
                <w:sz w:val="32"/>
                <w:szCs w:val="20"/>
                <w:u w:val="none"/>
                <w:lang w:val="en-US" w:eastAsia="zh-CN" w:bidi="ar"/>
              </w:rPr>
              <w:t>时效指标</w:t>
            </w:r>
          </w:p>
        </w:tc>
        <w:tc>
          <w:tcPr>
            <w:tcW w:w="3470" w:type="dxa"/>
            <w:tcBorders>
              <w:top w:val="single" w:color="000000" w:sz="4" w:space="0"/>
              <w:left w:val="single" w:color="000000" w:sz="4" w:space="0"/>
              <w:bottom w:val="single" w:color="000000" w:sz="4" w:space="0"/>
              <w:right w:val="single" w:color="000000" w:sz="4" w:space="0"/>
            </w:tcBorders>
            <w:noWrap w:val="0"/>
            <w:vAlign w:val="center"/>
          </w:tcPr>
          <w:p w14:paraId="41B066E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宋体" w:hAnsi="宋体" w:eastAsia="仿宋_GB2312" w:cs="宋体"/>
                <w:b w:val="0"/>
                <w:i w:val="0"/>
                <w:iCs w:val="0"/>
                <w:color w:val="000000"/>
                <w:kern w:val="0"/>
                <w:sz w:val="32"/>
                <w:szCs w:val="20"/>
                <w:u w:val="none"/>
                <w:lang w:val="en-US" w:eastAsia="zh-CN" w:bidi="ar"/>
              </w:rPr>
            </w:pPr>
            <w:r>
              <w:rPr>
                <w:rFonts w:hint="eastAsia" w:ascii="宋体" w:hAnsi="宋体" w:eastAsia="仿宋_GB2312" w:cs="宋体"/>
                <w:b w:val="0"/>
                <w:i w:val="0"/>
                <w:iCs w:val="0"/>
                <w:color w:val="000000"/>
                <w:kern w:val="0"/>
                <w:sz w:val="32"/>
                <w:szCs w:val="20"/>
                <w:u w:val="none"/>
                <w:lang w:val="en-US" w:eastAsia="zh-CN" w:bidi="ar"/>
              </w:rPr>
              <w:t>护理补助发放时间</w:t>
            </w:r>
          </w:p>
        </w:tc>
        <w:tc>
          <w:tcPr>
            <w:tcW w:w="4038" w:type="dxa"/>
            <w:tcBorders>
              <w:top w:val="single" w:color="000000" w:sz="4" w:space="0"/>
              <w:left w:val="single" w:color="000000" w:sz="4" w:space="0"/>
              <w:bottom w:val="single" w:color="000000" w:sz="4" w:space="0"/>
              <w:right w:val="single" w:color="000000" w:sz="4" w:space="0"/>
            </w:tcBorders>
            <w:noWrap w:val="0"/>
            <w:vAlign w:val="center"/>
          </w:tcPr>
          <w:p w14:paraId="738212E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宋体" w:hAnsi="宋体" w:eastAsia="仿宋_GB2312" w:cs="宋体"/>
                <w:b w:val="0"/>
                <w:i w:val="0"/>
                <w:iCs w:val="0"/>
                <w:color w:val="000000"/>
                <w:kern w:val="0"/>
                <w:sz w:val="32"/>
                <w:szCs w:val="20"/>
                <w:u w:val="none"/>
                <w:lang w:val="en-US" w:eastAsia="zh-CN" w:bidi="ar"/>
              </w:rPr>
            </w:pPr>
            <w:r>
              <w:rPr>
                <w:rFonts w:hint="eastAsia" w:ascii="宋体" w:hAnsi="宋体" w:eastAsia="仿宋_GB2312" w:cs="宋体"/>
                <w:b w:val="0"/>
                <w:i w:val="0"/>
                <w:iCs w:val="0"/>
                <w:color w:val="000000"/>
                <w:kern w:val="0"/>
                <w:sz w:val="32"/>
                <w:szCs w:val="20"/>
                <w:u w:val="none"/>
                <w:lang w:val="en-US" w:eastAsia="zh-CN" w:bidi="ar"/>
              </w:rPr>
              <w:t>≥99%</w:t>
            </w:r>
          </w:p>
        </w:tc>
      </w:tr>
      <w:tr w14:paraId="7F763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121" w:type="dxa"/>
            <w:tcBorders>
              <w:top w:val="single" w:color="000000" w:sz="4" w:space="0"/>
              <w:left w:val="single" w:color="000000" w:sz="4" w:space="0"/>
              <w:bottom w:val="single" w:color="000000" w:sz="4" w:space="0"/>
              <w:right w:val="single" w:color="000000" w:sz="4" w:space="0"/>
            </w:tcBorders>
            <w:noWrap w:val="0"/>
            <w:vAlign w:val="center"/>
          </w:tcPr>
          <w:p w14:paraId="5023708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方正黑体_GBK" w:hAnsi="方正黑体_GBK" w:eastAsia="仿宋_GB2312" w:cs="方正黑体_GBK"/>
                <w:b w:val="0"/>
                <w:i w:val="0"/>
                <w:iCs w:val="0"/>
                <w:color w:val="000000"/>
                <w:sz w:val="32"/>
                <w:szCs w:val="20"/>
                <w:u w:val="none"/>
              </w:rPr>
            </w:pPr>
            <w:r>
              <w:rPr>
                <w:rFonts w:hint="default" w:ascii="方正黑体_GBK" w:hAnsi="方正黑体_GBK" w:eastAsia="仿宋_GB2312" w:cs="方正黑体_GBK"/>
                <w:b w:val="0"/>
                <w:i w:val="0"/>
                <w:iCs w:val="0"/>
                <w:color w:val="000000"/>
                <w:kern w:val="0"/>
                <w:sz w:val="32"/>
                <w:szCs w:val="20"/>
                <w:u w:val="none"/>
                <w:lang w:val="en-US" w:eastAsia="zh-CN" w:bidi="ar"/>
              </w:rPr>
              <w:t>效益指标</w:t>
            </w:r>
          </w:p>
        </w:tc>
        <w:tc>
          <w:tcPr>
            <w:tcW w:w="1337" w:type="dxa"/>
            <w:tcBorders>
              <w:top w:val="single" w:color="000000" w:sz="4" w:space="0"/>
              <w:left w:val="single" w:color="000000" w:sz="4" w:space="0"/>
              <w:bottom w:val="single" w:color="000000" w:sz="4" w:space="0"/>
              <w:right w:val="single" w:color="000000" w:sz="4" w:space="0"/>
            </w:tcBorders>
            <w:noWrap w:val="0"/>
            <w:vAlign w:val="center"/>
          </w:tcPr>
          <w:p w14:paraId="0AF0D17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宋体" w:hAnsi="宋体" w:eastAsia="仿宋_GB2312" w:cs="宋体"/>
                <w:b w:val="0"/>
                <w:i w:val="0"/>
                <w:iCs w:val="0"/>
                <w:color w:val="000000"/>
                <w:kern w:val="0"/>
                <w:sz w:val="32"/>
                <w:szCs w:val="20"/>
                <w:u w:val="none"/>
                <w:lang w:val="en-US" w:eastAsia="zh-CN" w:bidi="ar"/>
              </w:rPr>
            </w:pPr>
            <w:r>
              <w:rPr>
                <w:rFonts w:hint="default" w:ascii="宋体" w:hAnsi="宋体" w:eastAsia="仿宋_GB2312" w:cs="宋体"/>
                <w:b w:val="0"/>
                <w:i w:val="0"/>
                <w:iCs w:val="0"/>
                <w:color w:val="000000"/>
                <w:kern w:val="0"/>
                <w:sz w:val="32"/>
                <w:szCs w:val="20"/>
                <w:u w:val="none"/>
                <w:lang w:val="en-US" w:eastAsia="zh-CN" w:bidi="ar"/>
              </w:rPr>
              <w:t>社会效益</w:t>
            </w:r>
          </w:p>
        </w:tc>
        <w:tc>
          <w:tcPr>
            <w:tcW w:w="3470" w:type="dxa"/>
            <w:tcBorders>
              <w:top w:val="single" w:color="000000" w:sz="4" w:space="0"/>
              <w:left w:val="single" w:color="000000" w:sz="4" w:space="0"/>
              <w:bottom w:val="single" w:color="000000" w:sz="4" w:space="0"/>
              <w:right w:val="single" w:color="000000" w:sz="4" w:space="0"/>
            </w:tcBorders>
            <w:noWrap w:val="0"/>
            <w:vAlign w:val="center"/>
          </w:tcPr>
          <w:p w14:paraId="21CB173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宋体" w:hAnsi="宋体" w:eastAsia="仿宋_GB2312" w:cs="宋体"/>
                <w:b w:val="0"/>
                <w:i w:val="0"/>
                <w:iCs w:val="0"/>
                <w:color w:val="000000"/>
                <w:kern w:val="0"/>
                <w:sz w:val="32"/>
                <w:szCs w:val="20"/>
                <w:u w:val="none"/>
                <w:lang w:val="en-US" w:eastAsia="zh-CN" w:bidi="ar"/>
              </w:rPr>
            </w:pPr>
            <w:r>
              <w:rPr>
                <w:rFonts w:hint="eastAsia" w:ascii="宋体" w:hAnsi="宋体" w:eastAsia="仿宋_GB2312" w:cs="宋体"/>
                <w:b w:val="0"/>
                <w:i w:val="0"/>
                <w:iCs w:val="0"/>
                <w:color w:val="000000"/>
                <w:kern w:val="0"/>
                <w:sz w:val="32"/>
                <w:szCs w:val="20"/>
                <w:u w:val="none"/>
                <w:lang w:val="en-US" w:eastAsia="zh-CN" w:bidi="ar"/>
              </w:rPr>
              <w:t>重度残疾人护理补贴</w:t>
            </w:r>
            <w:r>
              <w:rPr>
                <w:rFonts w:hint="default" w:ascii="宋体" w:hAnsi="宋体" w:eastAsia="仿宋_GB2312" w:cs="宋体"/>
                <w:b w:val="0"/>
                <w:i w:val="0"/>
                <w:iCs w:val="0"/>
                <w:color w:val="000000"/>
                <w:kern w:val="0"/>
                <w:sz w:val="32"/>
                <w:szCs w:val="20"/>
                <w:u w:val="none"/>
                <w:lang w:val="en-US" w:eastAsia="zh-CN" w:bidi="ar"/>
              </w:rPr>
              <w:t>情况</w:t>
            </w:r>
          </w:p>
        </w:tc>
        <w:tc>
          <w:tcPr>
            <w:tcW w:w="4038" w:type="dxa"/>
            <w:tcBorders>
              <w:top w:val="single" w:color="000000" w:sz="4" w:space="0"/>
              <w:left w:val="single" w:color="000000" w:sz="4" w:space="0"/>
              <w:bottom w:val="single" w:color="000000" w:sz="4" w:space="0"/>
              <w:right w:val="single" w:color="000000" w:sz="4" w:space="0"/>
            </w:tcBorders>
            <w:noWrap w:val="0"/>
            <w:vAlign w:val="center"/>
          </w:tcPr>
          <w:p w14:paraId="59ED34E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宋体" w:hAnsi="宋体" w:eastAsia="仿宋_GB2312" w:cs="宋体"/>
                <w:b w:val="0"/>
                <w:i w:val="0"/>
                <w:iCs w:val="0"/>
                <w:color w:val="000000"/>
                <w:kern w:val="0"/>
                <w:sz w:val="32"/>
                <w:szCs w:val="20"/>
                <w:u w:val="none"/>
                <w:lang w:val="en-US" w:eastAsia="zh-CN" w:bidi="ar"/>
              </w:rPr>
            </w:pPr>
            <w:r>
              <w:rPr>
                <w:rFonts w:hint="eastAsia" w:ascii="宋体" w:hAnsi="宋体" w:eastAsia="仿宋_GB2312" w:cs="宋体"/>
                <w:b w:val="0"/>
                <w:i w:val="0"/>
                <w:iCs w:val="0"/>
                <w:color w:val="000000"/>
                <w:kern w:val="0"/>
                <w:sz w:val="32"/>
                <w:szCs w:val="20"/>
                <w:u w:val="none"/>
                <w:lang w:val="en-US" w:eastAsia="zh-CN" w:bidi="ar"/>
              </w:rPr>
              <w:t>生活质量稳步</w:t>
            </w:r>
            <w:r>
              <w:rPr>
                <w:rFonts w:hint="default" w:ascii="宋体" w:hAnsi="宋体" w:eastAsia="仿宋_GB2312" w:cs="宋体"/>
                <w:b w:val="0"/>
                <w:i w:val="0"/>
                <w:iCs w:val="0"/>
                <w:color w:val="000000"/>
                <w:kern w:val="0"/>
                <w:sz w:val="32"/>
                <w:szCs w:val="20"/>
                <w:u w:val="none"/>
                <w:lang w:val="en-US" w:eastAsia="zh-CN" w:bidi="ar"/>
              </w:rPr>
              <w:t>提升</w:t>
            </w:r>
          </w:p>
        </w:tc>
      </w:tr>
      <w:tr w14:paraId="61CAF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121" w:type="dxa"/>
            <w:tcBorders>
              <w:top w:val="single" w:color="000000" w:sz="4" w:space="0"/>
              <w:left w:val="single" w:color="000000" w:sz="4" w:space="0"/>
              <w:bottom w:val="single" w:color="000000" w:sz="4" w:space="0"/>
              <w:right w:val="single" w:color="000000" w:sz="4" w:space="0"/>
            </w:tcBorders>
            <w:noWrap w:val="0"/>
            <w:vAlign w:val="center"/>
          </w:tcPr>
          <w:p w14:paraId="12BEC51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方正黑体_GBK" w:hAnsi="方正黑体_GBK" w:eastAsia="仿宋_GB2312" w:cs="方正黑体_GBK"/>
                <w:b w:val="0"/>
                <w:i w:val="0"/>
                <w:iCs w:val="0"/>
                <w:color w:val="000000"/>
                <w:sz w:val="32"/>
                <w:szCs w:val="20"/>
                <w:u w:val="none"/>
              </w:rPr>
            </w:pPr>
            <w:r>
              <w:rPr>
                <w:rFonts w:hint="default" w:ascii="方正黑体_GBK" w:hAnsi="方正黑体_GBK" w:eastAsia="仿宋_GB2312" w:cs="方正黑体_GBK"/>
                <w:b w:val="0"/>
                <w:i w:val="0"/>
                <w:iCs w:val="0"/>
                <w:color w:val="000000"/>
                <w:kern w:val="0"/>
                <w:sz w:val="32"/>
                <w:szCs w:val="20"/>
                <w:u w:val="none"/>
                <w:lang w:val="en-US" w:eastAsia="zh-CN" w:bidi="ar"/>
              </w:rPr>
              <w:t>服务对象满意度指标</w:t>
            </w:r>
          </w:p>
        </w:tc>
        <w:tc>
          <w:tcPr>
            <w:tcW w:w="1337" w:type="dxa"/>
            <w:tcBorders>
              <w:top w:val="single" w:color="000000" w:sz="4" w:space="0"/>
              <w:left w:val="single" w:color="000000" w:sz="4" w:space="0"/>
              <w:bottom w:val="single" w:color="000000" w:sz="4" w:space="0"/>
              <w:right w:val="single" w:color="000000" w:sz="4" w:space="0"/>
            </w:tcBorders>
            <w:noWrap w:val="0"/>
            <w:vAlign w:val="center"/>
          </w:tcPr>
          <w:p w14:paraId="50D8836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宋体" w:hAnsi="宋体" w:eastAsia="仿宋_GB2312" w:cs="宋体"/>
                <w:b w:val="0"/>
                <w:i w:val="0"/>
                <w:iCs w:val="0"/>
                <w:color w:val="000000"/>
                <w:kern w:val="0"/>
                <w:sz w:val="32"/>
                <w:szCs w:val="20"/>
                <w:u w:val="none"/>
                <w:lang w:val="en-US" w:eastAsia="zh-CN" w:bidi="ar"/>
              </w:rPr>
            </w:pPr>
            <w:r>
              <w:rPr>
                <w:rFonts w:hint="default" w:ascii="宋体" w:hAnsi="宋体" w:eastAsia="仿宋_GB2312" w:cs="宋体"/>
                <w:b w:val="0"/>
                <w:i w:val="0"/>
                <w:iCs w:val="0"/>
                <w:color w:val="000000"/>
                <w:kern w:val="0"/>
                <w:sz w:val="32"/>
                <w:szCs w:val="20"/>
                <w:u w:val="none"/>
                <w:lang w:val="en-US" w:eastAsia="zh-CN" w:bidi="ar"/>
              </w:rPr>
              <w:t>服务对象满意度指标</w:t>
            </w:r>
          </w:p>
        </w:tc>
        <w:tc>
          <w:tcPr>
            <w:tcW w:w="3470" w:type="dxa"/>
            <w:tcBorders>
              <w:top w:val="single" w:color="000000" w:sz="4" w:space="0"/>
              <w:left w:val="single" w:color="000000" w:sz="4" w:space="0"/>
              <w:bottom w:val="single" w:color="000000" w:sz="4" w:space="0"/>
              <w:right w:val="single" w:color="000000" w:sz="4" w:space="0"/>
            </w:tcBorders>
            <w:noWrap w:val="0"/>
            <w:vAlign w:val="center"/>
          </w:tcPr>
          <w:p w14:paraId="2F76C74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宋体" w:hAnsi="宋体" w:eastAsia="仿宋_GB2312" w:cs="宋体"/>
                <w:b w:val="0"/>
                <w:i w:val="0"/>
                <w:iCs w:val="0"/>
                <w:color w:val="000000"/>
                <w:kern w:val="0"/>
                <w:sz w:val="32"/>
                <w:szCs w:val="20"/>
                <w:u w:val="none"/>
                <w:lang w:val="en-US" w:eastAsia="zh-CN" w:bidi="ar"/>
              </w:rPr>
            </w:pPr>
            <w:r>
              <w:rPr>
                <w:rFonts w:hint="default" w:ascii="宋体" w:hAnsi="宋体" w:eastAsia="仿宋_GB2312" w:cs="宋体"/>
                <w:b w:val="0"/>
                <w:i w:val="0"/>
                <w:iCs w:val="0"/>
                <w:color w:val="000000"/>
                <w:kern w:val="0"/>
                <w:sz w:val="32"/>
                <w:szCs w:val="20"/>
                <w:u w:val="none"/>
                <w:lang w:val="en-US" w:eastAsia="zh-CN" w:bidi="ar"/>
              </w:rPr>
              <w:t>服务对象满意度</w:t>
            </w:r>
          </w:p>
        </w:tc>
        <w:tc>
          <w:tcPr>
            <w:tcW w:w="4038" w:type="dxa"/>
            <w:tcBorders>
              <w:top w:val="single" w:color="000000" w:sz="4" w:space="0"/>
              <w:left w:val="single" w:color="000000" w:sz="4" w:space="0"/>
              <w:bottom w:val="single" w:color="000000" w:sz="4" w:space="0"/>
              <w:right w:val="single" w:color="000000" w:sz="4" w:space="0"/>
            </w:tcBorders>
            <w:noWrap w:val="0"/>
            <w:vAlign w:val="center"/>
          </w:tcPr>
          <w:p w14:paraId="38D0A8D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宋体" w:hAnsi="宋体" w:eastAsia="仿宋_GB2312" w:cs="宋体"/>
                <w:b w:val="0"/>
                <w:i w:val="0"/>
                <w:iCs w:val="0"/>
                <w:color w:val="000000"/>
                <w:kern w:val="0"/>
                <w:sz w:val="32"/>
                <w:szCs w:val="20"/>
                <w:u w:val="none"/>
                <w:lang w:val="en-US" w:eastAsia="zh-CN" w:bidi="ar"/>
              </w:rPr>
            </w:pPr>
            <w:r>
              <w:rPr>
                <w:rFonts w:hint="default" w:ascii="宋体" w:hAnsi="宋体" w:eastAsia="仿宋_GB2312" w:cs="宋体"/>
                <w:b w:val="0"/>
                <w:i w:val="0"/>
                <w:iCs w:val="0"/>
                <w:color w:val="000000"/>
                <w:kern w:val="0"/>
                <w:sz w:val="32"/>
                <w:szCs w:val="20"/>
                <w:u w:val="none"/>
                <w:lang w:val="en-US" w:eastAsia="zh-CN" w:bidi="ar"/>
              </w:rPr>
              <w:t>≥</w:t>
            </w:r>
            <w:r>
              <w:rPr>
                <w:rFonts w:hint="eastAsia" w:ascii="宋体" w:hAnsi="宋体" w:eastAsia="仿宋_GB2312" w:cs="宋体"/>
                <w:b w:val="0"/>
                <w:i w:val="0"/>
                <w:iCs w:val="0"/>
                <w:color w:val="000000"/>
                <w:kern w:val="0"/>
                <w:sz w:val="32"/>
                <w:szCs w:val="20"/>
                <w:u w:val="none"/>
                <w:lang w:val="en-US" w:eastAsia="zh-CN" w:bidi="ar"/>
              </w:rPr>
              <w:t>95</w:t>
            </w:r>
            <w:r>
              <w:rPr>
                <w:rFonts w:hint="default" w:ascii="宋体" w:hAnsi="宋体" w:eastAsia="仿宋_GB2312" w:cs="宋体"/>
                <w:b w:val="0"/>
                <w:i w:val="0"/>
                <w:iCs w:val="0"/>
                <w:color w:val="000000"/>
                <w:kern w:val="0"/>
                <w:sz w:val="32"/>
                <w:szCs w:val="20"/>
                <w:u w:val="none"/>
                <w:lang w:val="en-US" w:eastAsia="zh-CN" w:bidi="ar"/>
              </w:rPr>
              <w:t>%</w:t>
            </w:r>
          </w:p>
        </w:tc>
      </w:tr>
    </w:tbl>
    <w:p w14:paraId="2ECEF28C">
      <w:pPr>
        <w:pStyle w:val="10"/>
        <w:pageBreakBefore w:val="0"/>
        <w:kinsoku/>
        <w:wordWrap/>
        <w:overflowPunct/>
        <w:topLinePunct w:val="0"/>
        <w:autoSpaceDE/>
        <w:autoSpaceDN/>
        <w:bidi w:val="0"/>
        <w:spacing w:line="560" w:lineRule="exact"/>
        <w:ind w:left="0" w:leftChars="0" w:firstLine="0" w:firstLineChars="0"/>
        <w:rPr>
          <w:rFonts w:hint="eastAsia" w:ascii="楷体_GB2312" w:eastAsia="仿宋_GB2312"/>
          <w:b w:val="0"/>
          <w:bCs/>
          <w:sz w:val="32"/>
        </w:rPr>
      </w:pPr>
    </w:p>
    <w:p w14:paraId="09C2E2F4">
      <w:pPr>
        <w:pStyle w:val="10"/>
        <w:pageBreakBefore w:val="0"/>
        <w:kinsoku/>
        <w:wordWrap/>
        <w:overflowPunct/>
        <w:topLinePunct w:val="0"/>
        <w:autoSpaceDE/>
        <w:autoSpaceDN/>
        <w:bidi w:val="0"/>
        <w:spacing w:line="560" w:lineRule="exact"/>
        <w:ind w:left="0" w:firstLine="640" w:firstLineChars="200"/>
        <w:rPr>
          <w:rFonts w:hint="eastAsia" w:ascii="楷体_GB2312" w:eastAsia="仿宋_GB2312"/>
          <w:b w:val="0"/>
          <w:bCs/>
          <w:sz w:val="32"/>
        </w:rPr>
      </w:pPr>
      <w:r>
        <w:rPr>
          <w:rFonts w:hint="eastAsia" w:ascii="楷体_GB2312" w:eastAsia="仿宋_GB2312"/>
          <w:b w:val="0"/>
          <w:bCs/>
          <w:sz w:val="32"/>
        </w:rPr>
        <w:t>（四）实施可行性</w:t>
      </w:r>
    </w:p>
    <w:p w14:paraId="5B9DF4F0">
      <w:pPr>
        <w:pStyle w:val="10"/>
        <w:pageBreakBefore w:val="0"/>
        <w:kinsoku/>
        <w:wordWrap/>
        <w:overflowPunct/>
        <w:topLinePunct w:val="0"/>
        <w:autoSpaceDE/>
        <w:autoSpaceDN/>
        <w:bidi w:val="0"/>
        <w:spacing w:line="560" w:lineRule="exact"/>
        <w:ind w:left="0" w:firstLine="640" w:firstLineChars="200"/>
        <w:rPr>
          <w:rFonts w:hint="eastAsia" w:ascii="仿宋_GB2312" w:eastAsia="仿宋_GB2312"/>
          <w:b w:val="0"/>
          <w:sz w:val="32"/>
        </w:rPr>
      </w:pPr>
      <w:r>
        <w:rPr>
          <w:rFonts w:hint="eastAsia" w:ascii="仿宋_GB2312" w:eastAsia="仿宋_GB2312"/>
          <w:b w:val="0"/>
          <w:sz w:val="32"/>
        </w:rPr>
        <w:t>本项目从政治、经济及社会效益结论分析，项目具有较强的社会效益和抗风险能力；从建设前置条件分析，项目已具备基本建设条件。项目的建设解决了</w:t>
      </w:r>
      <w:r>
        <w:rPr>
          <w:rFonts w:hint="eastAsia" w:ascii="仿宋_GB2312" w:eastAsia="仿宋_GB2312"/>
          <w:b w:val="0"/>
          <w:sz w:val="32"/>
          <w:lang w:eastAsia="zh-CN"/>
        </w:rPr>
        <w:t>困境儿童</w:t>
      </w:r>
      <w:r>
        <w:rPr>
          <w:rFonts w:hint="eastAsia" w:ascii="仿宋_GB2312" w:eastAsia="仿宋_GB2312"/>
          <w:b w:val="0"/>
          <w:sz w:val="32"/>
        </w:rPr>
        <w:t>的难题，为未来发展打下坚实基础，因此本项目的建设不仅必要，且非常迫切。</w:t>
      </w:r>
    </w:p>
    <w:p w14:paraId="1189BE5F">
      <w:pPr>
        <w:pStyle w:val="10"/>
        <w:pageBreakBefore w:val="0"/>
        <w:kinsoku/>
        <w:wordWrap/>
        <w:overflowPunct/>
        <w:topLinePunct w:val="0"/>
        <w:autoSpaceDE/>
        <w:autoSpaceDN/>
        <w:bidi w:val="0"/>
        <w:spacing w:line="560" w:lineRule="exact"/>
        <w:ind w:left="0" w:firstLine="640" w:firstLineChars="200"/>
        <w:rPr>
          <w:rFonts w:hint="eastAsia" w:ascii="楷体_GB2312" w:eastAsia="仿宋_GB2312"/>
          <w:b w:val="0"/>
          <w:bCs/>
          <w:sz w:val="32"/>
        </w:rPr>
      </w:pPr>
      <w:r>
        <w:rPr>
          <w:rFonts w:hint="eastAsia" w:ascii="楷体_GB2312" w:eastAsia="仿宋_GB2312"/>
          <w:b w:val="0"/>
          <w:bCs/>
          <w:sz w:val="32"/>
        </w:rPr>
        <w:t>（五）筹资合规性</w:t>
      </w:r>
    </w:p>
    <w:p w14:paraId="2A73A5E6">
      <w:pPr>
        <w:pStyle w:val="10"/>
        <w:pageBreakBefore w:val="0"/>
        <w:kinsoku/>
        <w:wordWrap/>
        <w:overflowPunct/>
        <w:topLinePunct w:val="0"/>
        <w:autoSpaceDE/>
        <w:autoSpaceDN/>
        <w:bidi w:val="0"/>
        <w:spacing w:line="560" w:lineRule="exact"/>
        <w:ind w:left="0" w:firstLine="640" w:firstLineChars="200"/>
        <w:rPr>
          <w:rFonts w:hint="eastAsia" w:ascii="仿宋_GB2312" w:hAnsi="Times New Roman" w:eastAsia="仿宋_GB2312" w:cs="Times New Roman"/>
          <w:b w:val="0"/>
          <w:sz w:val="32"/>
          <w:lang w:val="en-US" w:eastAsia="zh-CN"/>
        </w:rPr>
      </w:pPr>
      <w:r>
        <w:rPr>
          <w:rFonts w:hint="eastAsia" w:ascii="仿宋_GB2312" w:hAnsi="Times New Roman" w:eastAsia="仿宋_GB2312" w:cs="Times New Roman"/>
          <w:b w:val="0"/>
          <w:sz w:val="32"/>
          <w:lang w:val="en-US" w:eastAsia="zh-CN"/>
        </w:rPr>
        <w:t>该项目为中央</w:t>
      </w:r>
      <w:r>
        <w:rPr>
          <w:rFonts w:hint="eastAsia" w:ascii="仿宋_GB2312" w:eastAsia="仿宋_GB2312" w:cs="Times New Roman"/>
          <w:b w:val="0"/>
          <w:sz w:val="32"/>
          <w:lang w:val="en-US" w:eastAsia="zh-CN"/>
        </w:rPr>
        <w:t>、地方</w:t>
      </w:r>
      <w:r>
        <w:rPr>
          <w:rFonts w:hint="eastAsia" w:ascii="仿宋_GB2312" w:hAnsi="Times New Roman" w:eastAsia="仿宋_GB2312" w:cs="Times New Roman"/>
          <w:b w:val="0"/>
          <w:sz w:val="32"/>
          <w:lang w:val="en-US" w:eastAsia="zh-CN"/>
        </w:rPr>
        <w:t>投资资金，省级按55%,剩余45%按州级30%县级70%配套</w:t>
      </w:r>
      <w:r>
        <w:rPr>
          <w:rFonts w:hint="eastAsia" w:ascii="仿宋_GB2312" w:eastAsia="仿宋_GB2312" w:cs="Times New Roman"/>
          <w:b w:val="0"/>
          <w:sz w:val="32"/>
          <w:lang w:val="en-US" w:eastAsia="zh-CN"/>
        </w:rPr>
        <w:t>。</w:t>
      </w:r>
      <w:r>
        <w:rPr>
          <w:rFonts w:hint="eastAsia" w:ascii="仿宋_GB2312" w:hAnsi="Times New Roman" w:eastAsia="仿宋_GB2312" w:cs="Times New Roman"/>
          <w:b w:val="0"/>
          <w:sz w:val="32"/>
          <w:lang w:val="en-US" w:eastAsia="zh-CN"/>
        </w:rPr>
        <w:t>重度残疾人护理补贴标准一级重度残疾456人，120元/月/人，456*120*12=65.664万元；</w:t>
      </w:r>
    </w:p>
    <w:p w14:paraId="116B6469">
      <w:pPr>
        <w:pStyle w:val="10"/>
        <w:pageBreakBefore w:val="0"/>
        <w:kinsoku/>
        <w:wordWrap/>
        <w:overflowPunct/>
        <w:topLinePunct w:val="0"/>
        <w:autoSpaceDE/>
        <w:autoSpaceDN/>
        <w:bidi w:val="0"/>
        <w:spacing w:line="560" w:lineRule="exact"/>
        <w:ind w:left="0" w:firstLine="640" w:firstLineChars="200"/>
        <w:rPr>
          <w:rFonts w:hint="eastAsia" w:ascii="仿宋_GB2312" w:hAnsi="Times New Roman" w:eastAsia="仿宋_GB2312" w:cs="Times New Roman"/>
          <w:b w:val="0"/>
          <w:sz w:val="32"/>
          <w:lang w:val="en-US" w:eastAsia="zh-CN"/>
        </w:rPr>
      </w:pPr>
      <w:r>
        <w:rPr>
          <w:rFonts w:hint="eastAsia" w:ascii="仿宋_GB2312" w:hAnsi="Times New Roman" w:eastAsia="仿宋_GB2312" w:cs="Times New Roman"/>
          <w:b w:val="0"/>
          <w:sz w:val="32"/>
          <w:lang w:val="en-US" w:eastAsia="zh-CN"/>
        </w:rPr>
        <w:t>二级重度残疾人数639人，90元/月/人，639*90*12=69.012万元；</w:t>
      </w:r>
    </w:p>
    <w:p w14:paraId="1FD0220E">
      <w:pPr>
        <w:pStyle w:val="10"/>
        <w:pageBreakBefore w:val="0"/>
        <w:kinsoku/>
        <w:wordWrap/>
        <w:overflowPunct/>
        <w:topLinePunct w:val="0"/>
        <w:autoSpaceDE/>
        <w:autoSpaceDN/>
        <w:bidi w:val="0"/>
        <w:spacing w:line="560" w:lineRule="exact"/>
        <w:ind w:left="0" w:firstLine="640" w:firstLineChars="200"/>
        <w:rPr>
          <w:rFonts w:hint="eastAsia" w:ascii="仿宋_GB2312" w:hAnsi="Times New Roman" w:eastAsia="仿宋_GB2312" w:cs="Times New Roman"/>
          <w:b w:val="0"/>
          <w:sz w:val="32"/>
          <w:lang w:val="en-US" w:eastAsia="zh-CN"/>
        </w:rPr>
      </w:pPr>
      <w:r>
        <w:rPr>
          <w:rFonts w:hint="eastAsia" w:ascii="仿宋_GB2312" w:hAnsi="Times New Roman" w:eastAsia="仿宋_GB2312" w:cs="Times New Roman"/>
          <w:b w:val="0"/>
          <w:sz w:val="32"/>
          <w:lang w:val="en-US" w:eastAsia="zh-CN"/>
        </w:rPr>
        <w:t>四级精神和智力残疾人数131人，标准：50元/月/人，131*50*12=7.86万元；</w:t>
      </w:r>
    </w:p>
    <w:p w14:paraId="472065C8">
      <w:pPr>
        <w:pStyle w:val="10"/>
        <w:pageBreakBefore w:val="0"/>
        <w:kinsoku/>
        <w:wordWrap/>
        <w:overflowPunct/>
        <w:topLinePunct w:val="0"/>
        <w:autoSpaceDE/>
        <w:autoSpaceDN/>
        <w:bidi w:val="0"/>
        <w:spacing w:line="560" w:lineRule="exact"/>
        <w:ind w:left="0" w:firstLine="640" w:firstLineChars="200"/>
        <w:rPr>
          <w:rFonts w:hint="default" w:ascii="仿宋_GB2312" w:hAnsi="Times New Roman" w:eastAsia="仿宋_GB2312" w:cs="Times New Roman"/>
          <w:b w:val="0"/>
          <w:sz w:val="32"/>
          <w:lang w:val="en-US" w:eastAsia="zh-CN"/>
        </w:rPr>
      </w:pPr>
      <w:r>
        <w:rPr>
          <w:rFonts w:hint="eastAsia" w:ascii="仿宋_GB2312" w:hAnsi="Times New Roman" w:eastAsia="仿宋_GB2312" w:cs="Times New Roman"/>
          <w:b w:val="0"/>
          <w:sz w:val="32"/>
          <w:lang w:val="en-US" w:eastAsia="zh-CN"/>
        </w:rPr>
        <w:t>2024年预计资金1425360元</w:t>
      </w:r>
      <w:r>
        <w:rPr>
          <w:rFonts w:hint="eastAsia" w:ascii="仿宋_GB2312" w:eastAsia="仿宋_GB2312" w:cs="Times New Roman"/>
          <w:b w:val="0"/>
          <w:sz w:val="32"/>
          <w:lang w:val="en-US" w:eastAsia="zh-CN"/>
        </w:rPr>
        <w:t>。县级配套448988.4元。</w:t>
      </w:r>
    </w:p>
    <w:p w14:paraId="137A6C90">
      <w:pPr>
        <w:pStyle w:val="10"/>
        <w:pageBreakBefore w:val="0"/>
        <w:kinsoku/>
        <w:wordWrap/>
        <w:overflowPunct/>
        <w:topLinePunct w:val="0"/>
        <w:autoSpaceDE/>
        <w:autoSpaceDN/>
        <w:bidi w:val="0"/>
        <w:spacing w:line="560" w:lineRule="exact"/>
        <w:ind w:left="0" w:firstLine="640" w:firstLineChars="200"/>
        <w:rPr>
          <w:rFonts w:hint="eastAsia" w:ascii="方正黑体_GBK" w:eastAsia="仿宋_GB2312"/>
          <w:b w:val="0"/>
          <w:sz w:val="32"/>
        </w:rPr>
      </w:pPr>
      <w:r>
        <w:rPr>
          <w:rFonts w:hint="eastAsia" w:ascii="方正黑体_GBK"/>
          <w:b w:val="0"/>
          <w:sz w:val="32"/>
          <w:lang w:eastAsia="zh-CN"/>
        </w:rPr>
        <w:t>（</w:t>
      </w:r>
      <w:r>
        <w:rPr>
          <w:rFonts w:hint="eastAsia" w:ascii="方正黑体_GBK"/>
          <w:b w:val="0"/>
          <w:sz w:val="32"/>
          <w:lang w:val="en-US" w:eastAsia="zh-CN"/>
        </w:rPr>
        <w:t>六</w:t>
      </w:r>
      <w:r>
        <w:rPr>
          <w:rFonts w:hint="eastAsia" w:ascii="方正黑体_GBK"/>
          <w:b w:val="0"/>
          <w:sz w:val="32"/>
          <w:lang w:eastAsia="zh-CN"/>
        </w:rPr>
        <w:t>）</w:t>
      </w:r>
      <w:r>
        <w:rPr>
          <w:rFonts w:hint="eastAsia" w:ascii="方正黑体_GBK" w:eastAsia="仿宋_GB2312"/>
          <w:b w:val="0"/>
          <w:sz w:val="32"/>
        </w:rPr>
        <w:t>评估结论</w:t>
      </w:r>
    </w:p>
    <w:p w14:paraId="5B3C24C3">
      <w:pPr>
        <w:pStyle w:val="10"/>
        <w:pageBreakBefore w:val="0"/>
        <w:kinsoku/>
        <w:wordWrap/>
        <w:overflowPunct/>
        <w:topLinePunct w:val="0"/>
        <w:autoSpaceDE/>
        <w:autoSpaceDN/>
        <w:bidi w:val="0"/>
        <w:spacing w:line="560" w:lineRule="exact"/>
        <w:rPr>
          <w:rFonts w:hint="eastAsia" w:ascii="仿宋_GB2312" w:hAnsi="Times New Roman" w:eastAsia="仿宋_GB2312" w:cs="Times New Roman"/>
          <w:b w:val="0"/>
          <w:sz w:val="32"/>
          <w:u w:val="none"/>
          <w:lang w:val="en-US" w:eastAsia="zh-CN"/>
        </w:rPr>
      </w:pPr>
      <w:r>
        <w:rPr>
          <w:rFonts w:hint="eastAsia" w:ascii="仿宋_GB2312" w:eastAsia="仿宋_GB2312"/>
          <w:b w:val="0"/>
          <w:sz w:val="32"/>
        </w:rPr>
        <w:t>综合前述评估内容来看，</w:t>
      </w:r>
      <w:r>
        <w:rPr>
          <w:rFonts w:hint="eastAsia" w:ascii="仿宋_GB2312" w:eastAsia="仿宋_GB2312"/>
          <w:b w:val="0"/>
          <w:sz w:val="32"/>
          <w:lang w:val="en-US" w:eastAsia="zh-CN"/>
        </w:rPr>
        <w:t>评分95分，</w:t>
      </w:r>
      <w:r>
        <w:rPr>
          <w:rFonts w:hint="eastAsia" w:ascii="仿宋_GB2312" w:eastAsia="仿宋_GB2312"/>
          <w:b w:val="0"/>
          <w:sz w:val="32"/>
        </w:rPr>
        <w:t>该项目立项必要性和依据充分，绩效目标明确，具备实施条件，具有公共性，符合财政资金支持方向等。</w:t>
      </w:r>
      <w:r>
        <w:rPr>
          <w:rFonts w:hint="eastAsia" w:ascii="仿宋_GB2312" w:eastAsia="仿宋_GB2312"/>
          <w:b w:val="0"/>
          <w:bCs/>
          <w:sz w:val="32"/>
        </w:rPr>
        <w:t>建议</w:t>
      </w:r>
      <w:r>
        <w:rPr>
          <w:rFonts w:hint="eastAsia" w:ascii="仿宋_GB2312" w:eastAsia="仿宋_GB2312"/>
          <w:b w:val="0"/>
          <w:sz w:val="32"/>
          <w:u w:val="single"/>
        </w:rPr>
        <w:t>予以支持</w:t>
      </w:r>
      <w:r>
        <w:rPr>
          <w:rFonts w:hint="eastAsia" w:ascii="仿宋_GB2312" w:eastAsia="仿宋_GB2312"/>
          <w:b w:val="0"/>
          <w:sz w:val="32"/>
        </w:rPr>
        <w:t>，预算控制在</w:t>
      </w:r>
      <w:r>
        <w:rPr>
          <w:rFonts w:hint="eastAsia" w:ascii="仿宋_GB2312" w:eastAsia="仿宋_GB2312"/>
          <w:b w:val="0"/>
          <w:sz w:val="32"/>
          <w:lang w:val="en-US" w:eastAsia="zh-CN"/>
        </w:rPr>
        <w:t>142.536</w:t>
      </w:r>
      <w:r>
        <w:rPr>
          <w:rFonts w:hint="eastAsia" w:ascii="仿宋_GB2312" w:eastAsia="仿宋_GB2312"/>
          <w:b w:val="0"/>
          <w:sz w:val="32"/>
        </w:rPr>
        <w:t>万元以内。该项目申请资金总预算</w:t>
      </w:r>
      <w:r>
        <w:rPr>
          <w:rFonts w:hint="eastAsia" w:ascii="仿宋_GB2312" w:eastAsia="仿宋_GB2312"/>
          <w:b w:val="0"/>
          <w:sz w:val="32"/>
          <w:lang w:val="en-US" w:eastAsia="zh-CN"/>
        </w:rPr>
        <w:t>142.536</w:t>
      </w:r>
      <w:r>
        <w:rPr>
          <w:rFonts w:hint="eastAsia" w:ascii="仿宋_GB2312" w:eastAsia="仿宋_GB2312"/>
          <w:b w:val="0"/>
          <w:sz w:val="32"/>
        </w:rPr>
        <w:t>万元，经评审，建议预算申报数</w:t>
      </w:r>
      <w:r>
        <w:rPr>
          <w:rFonts w:hint="eastAsia" w:ascii="仿宋_GB2312" w:eastAsia="仿宋_GB2312"/>
          <w:b w:val="0"/>
          <w:sz w:val="32"/>
          <w:lang w:val="en-US" w:eastAsia="zh-CN"/>
        </w:rPr>
        <w:t>142.536</w:t>
      </w:r>
      <w:r>
        <w:rPr>
          <w:rFonts w:hint="eastAsia" w:ascii="仿宋_GB2312" w:eastAsia="仿宋_GB2312"/>
          <w:b w:val="0"/>
          <w:sz w:val="32"/>
        </w:rPr>
        <w:t>万元,合计评减</w:t>
      </w:r>
      <w:r>
        <w:rPr>
          <w:rFonts w:hint="eastAsia" w:ascii="仿宋_GB2312" w:eastAsia="仿宋_GB2312"/>
          <w:b w:val="0"/>
          <w:sz w:val="32"/>
          <w:u w:val="single" w:color="auto"/>
          <w:lang w:val="en-US" w:eastAsia="zh-CN"/>
        </w:rPr>
        <w:t>0</w:t>
      </w:r>
      <w:r>
        <w:rPr>
          <w:rFonts w:hint="eastAsia" w:ascii="仿宋_GB2312" w:eastAsia="仿宋_GB2312"/>
          <w:b w:val="0"/>
          <w:sz w:val="32"/>
        </w:rPr>
        <w:t>万元，评减率</w:t>
      </w:r>
      <w:r>
        <w:rPr>
          <w:rFonts w:hint="eastAsia" w:ascii="仿宋_GB2312" w:eastAsia="仿宋_GB2312"/>
          <w:b w:val="0"/>
          <w:sz w:val="32"/>
          <w:u w:val="single" w:color="auto"/>
          <w:lang w:val="en-US" w:eastAsia="zh-CN"/>
        </w:rPr>
        <w:t>0%</w:t>
      </w:r>
      <w:r>
        <w:rPr>
          <w:rFonts w:hint="eastAsia" w:ascii="仿宋_GB2312" w:eastAsia="仿宋_GB2312"/>
          <w:b w:val="0"/>
          <w:sz w:val="32"/>
        </w:rPr>
        <w:t>。我单位将进一步</w:t>
      </w:r>
      <w:r>
        <w:rPr>
          <w:rFonts w:hint="eastAsia" w:ascii="仿宋_GB2312" w:eastAsia="仿宋_GB2312"/>
          <w:b w:val="0"/>
          <w:sz w:val="32"/>
          <w:u w:val="none"/>
        </w:rPr>
        <w:t>优化完善实施方案和绩效目标，加强运行监控，节约财政资金并提升资金效益，提升预算绩效管理水平</w:t>
      </w:r>
      <w:r>
        <w:rPr>
          <w:rFonts w:hint="eastAsia" w:ascii="仿宋_GB2312" w:eastAsia="仿宋_GB2312"/>
          <w:b w:val="0"/>
          <w:sz w:val="32"/>
          <w:u w:val="none"/>
          <w:lang w:eastAsia="zh-CN"/>
        </w:rPr>
        <w:t>，</w:t>
      </w:r>
      <w:r>
        <w:rPr>
          <w:rFonts w:hint="eastAsia" w:ascii="仿宋_GB2312" w:eastAsia="仿宋_GB2312"/>
          <w:b w:val="0"/>
          <w:sz w:val="32"/>
          <w:u w:val="none"/>
          <w:lang w:val="en-US" w:eastAsia="zh-CN"/>
        </w:rPr>
        <w:t>保障项目实施</w:t>
      </w:r>
      <w:r>
        <w:rPr>
          <w:rFonts w:hint="eastAsia" w:ascii="仿宋_GB2312" w:eastAsia="仿宋_GB2312"/>
          <w:b w:val="0"/>
          <w:sz w:val="32"/>
          <w:u w:val="none"/>
          <w:lang w:eastAsia="zh-CN"/>
        </w:rPr>
        <w:t>。</w:t>
      </w:r>
    </w:p>
    <w:p w14:paraId="29814067">
      <w:pPr>
        <w:pageBreakBefore w:val="0"/>
        <w:tabs>
          <w:tab w:val="center" w:pos="4153"/>
          <w:tab w:val="right" w:pos="8306"/>
        </w:tabs>
        <w:kinsoku/>
        <w:wordWrap/>
        <w:overflowPunct/>
        <w:topLinePunct w:val="0"/>
        <w:autoSpaceDE/>
        <w:autoSpaceDN/>
        <w:bidi w:val="0"/>
        <w:spacing w:line="560" w:lineRule="exact"/>
        <w:ind w:firstLine="640" w:firstLineChars="200"/>
        <w:rPr>
          <w:rFonts w:hint="eastAsia" w:ascii="仿宋_GB2312" w:hAnsi="宋体" w:eastAsia="仿宋_GB2312"/>
          <w:b w:val="0"/>
          <w:color w:val="C00000"/>
          <w:sz w:val="32"/>
          <w:szCs w:val="32"/>
          <w:u w:val="none"/>
          <w:lang w:eastAsia="zh-CN"/>
        </w:rPr>
      </w:pPr>
      <w:r>
        <w:rPr>
          <w:rFonts w:hint="eastAsia" w:ascii="仿宋_GB2312" w:hAnsi="宋体" w:eastAsia="仿宋_GB2312"/>
          <w:b w:val="0"/>
          <w:color w:val="C00000"/>
          <w:sz w:val="32"/>
          <w:szCs w:val="32"/>
          <w:u w:val="none"/>
          <w:lang w:eastAsia="zh-CN"/>
        </w:rPr>
        <w:t>重点项目</w:t>
      </w:r>
      <w:r>
        <w:rPr>
          <w:rFonts w:hint="eastAsia" w:ascii="仿宋_GB2312" w:hAnsi="宋体" w:eastAsia="仿宋_GB2312"/>
          <w:b w:val="0"/>
          <w:color w:val="C00000"/>
          <w:sz w:val="32"/>
          <w:szCs w:val="32"/>
          <w:u w:val="none"/>
          <w:lang w:val="en-US" w:eastAsia="zh-CN"/>
        </w:rPr>
        <w:t>5</w:t>
      </w:r>
      <w:r>
        <w:rPr>
          <w:rFonts w:hint="eastAsia" w:ascii="仿宋_GB2312" w:hAnsi="宋体" w:eastAsia="仿宋_GB2312"/>
          <w:b w:val="0"/>
          <w:color w:val="C00000"/>
          <w:sz w:val="32"/>
          <w:szCs w:val="32"/>
          <w:u w:val="none"/>
          <w:lang w:eastAsia="zh-CN"/>
        </w:rPr>
        <w:t>：日间照料项目</w:t>
      </w:r>
    </w:p>
    <w:p w14:paraId="52623457">
      <w:pPr>
        <w:pageBreakBefore w:val="0"/>
        <w:widowControl/>
        <w:kinsoku/>
        <w:wordWrap/>
        <w:overflowPunct/>
        <w:topLinePunct w:val="0"/>
        <w:autoSpaceDE/>
        <w:autoSpaceDN/>
        <w:bidi w:val="0"/>
        <w:spacing w:line="560" w:lineRule="exact"/>
        <w:ind w:firstLine="640" w:firstLineChars="200"/>
        <w:jc w:val="left"/>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项目年度绩效目标：</w:t>
      </w:r>
      <w:r>
        <w:rPr>
          <w:rFonts w:hint="eastAsia" w:ascii="仿宋_GB2312" w:hAnsi="仿宋_GB2312" w:eastAsia="仿宋_GB2312" w:cs="仿宋_GB2312"/>
          <w:b w:val="0"/>
          <w:color w:val="000000"/>
          <w:kern w:val="0"/>
          <w:sz w:val="32"/>
          <w:szCs w:val="32"/>
        </w:rPr>
        <w:t>贯彻落实养老服务发展法规政策标准，支持老年建设，提高社区养老服务设施覆盖率，健全养老服务体系，提升养老服务质量。</w:t>
      </w:r>
      <w:r>
        <w:rPr>
          <w:rFonts w:hint="eastAsia" w:ascii="仿宋_GB2312" w:hAnsi="仿宋_GB2312" w:eastAsia="仿宋_GB2312" w:cs="仿宋_GB2312"/>
          <w:b w:val="0"/>
          <w:color w:val="000000"/>
          <w:kern w:val="0"/>
          <w:sz w:val="32"/>
          <w:szCs w:val="32"/>
          <w:lang w:val="en-US" w:eastAsia="zh-CN"/>
        </w:rPr>
        <w:t>2024年按照规模适度的要求，计划在全县范围内选点建设3个日间照料中心，</w:t>
      </w:r>
      <w:r>
        <w:rPr>
          <w:rFonts w:hint="eastAsia" w:ascii="仿宋_GB2312" w:hAnsi="仿宋_GB2312" w:eastAsia="仿宋_GB2312" w:cs="仿宋_GB2312"/>
          <w:b w:val="0"/>
          <w:bCs w:val="0"/>
          <w:kern w:val="32"/>
          <w:sz w:val="32"/>
          <w:szCs w:val="32"/>
        </w:rPr>
        <w:t>床位数量达到</w:t>
      </w:r>
      <w:r>
        <w:rPr>
          <w:rFonts w:hint="eastAsia" w:ascii="仿宋_GB2312" w:hAnsi="仿宋_GB2312" w:eastAsia="仿宋_GB2312" w:cs="仿宋_GB2312"/>
          <w:b w:val="0"/>
          <w:bCs w:val="0"/>
          <w:kern w:val="32"/>
          <w:sz w:val="32"/>
          <w:szCs w:val="32"/>
          <w:lang w:val="en-US" w:eastAsia="zh-CN"/>
        </w:rPr>
        <w:t>7</w:t>
      </w:r>
      <w:r>
        <w:rPr>
          <w:rFonts w:hint="eastAsia" w:ascii="仿宋_GB2312" w:hAnsi="仿宋_GB2312" w:eastAsia="仿宋_GB2312" w:cs="仿宋_GB2312"/>
          <w:b w:val="0"/>
          <w:bCs w:val="0"/>
          <w:kern w:val="32"/>
          <w:sz w:val="32"/>
          <w:szCs w:val="32"/>
        </w:rPr>
        <w:t>张以上</w:t>
      </w:r>
      <w:r>
        <w:rPr>
          <w:rFonts w:hint="eastAsia" w:ascii="仿宋_GB2312" w:hAnsi="仿宋_GB2312" w:eastAsia="仿宋_GB2312" w:cs="仿宋_GB2312"/>
          <w:b w:val="0"/>
          <w:bCs w:val="0"/>
          <w:kern w:val="32"/>
          <w:sz w:val="32"/>
          <w:szCs w:val="32"/>
          <w:lang w:eastAsia="zh-CN"/>
        </w:rPr>
        <w:t>。</w:t>
      </w:r>
      <w:r>
        <w:rPr>
          <w:rFonts w:hint="eastAsia" w:ascii="仿宋_GB2312" w:hAnsi="仿宋_GB2312" w:eastAsia="仿宋_GB2312" w:cs="仿宋_GB2312"/>
          <w:b w:val="0"/>
          <w:bCs w:val="0"/>
          <w:kern w:val="32"/>
          <w:sz w:val="32"/>
          <w:szCs w:val="32"/>
        </w:rPr>
        <w:t>主要面向辐射区域内失能、高龄独居以及其他需要长期入住机构、需要临时短期托养的老年人</w:t>
      </w:r>
      <w:r>
        <w:rPr>
          <w:rFonts w:hint="eastAsia" w:ascii="仿宋_GB2312" w:hAnsi="仿宋_GB2312" w:eastAsia="仿宋_GB2312" w:cs="仿宋_GB2312"/>
          <w:b w:val="0"/>
          <w:bCs w:val="0"/>
          <w:kern w:val="32"/>
          <w:sz w:val="32"/>
          <w:szCs w:val="32"/>
          <w:lang w:eastAsia="zh-CN"/>
        </w:rPr>
        <w:t>。</w:t>
      </w:r>
    </w:p>
    <w:p w14:paraId="3C8076EB">
      <w:pPr>
        <w:pageBreakBefore w:val="0"/>
        <w:tabs>
          <w:tab w:val="center" w:pos="4153"/>
          <w:tab w:val="right" w:pos="8306"/>
        </w:tabs>
        <w:kinsoku/>
        <w:wordWrap/>
        <w:overflowPunct/>
        <w:topLinePunct w:val="0"/>
        <w:autoSpaceDE/>
        <w:autoSpaceDN/>
        <w:bidi w:val="0"/>
        <w:spacing w:line="560" w:lineRule="exact"/>
        <w:ind w:firstLine="640" w:firstLineChars="200"/>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绩效指标设置情况：2025年实现90﹪的城市社区、50﹪的农村社区建有社区老年人日间照料中心的目标，因地制宜推动城乡社区日间照料中心建设。构建居家养老支付服务机制并覆盖2000名困难家庭的失能老人、独居老人和80周岁以上高龄老人居家养老服务补助政策，确保2022年以前实现补助对象全覆盖的目标，采用政府向各类养老服务组织购买服务和开发公益性岗位等方式，构建居家养老支持服务机制，为全县2000名居家养老的高龄老人和困难老人提供助餐、助医、助浴、助行等多种服务。</w:t>
      </w:r>
    </w:p>
    <w:p w14:paraId="658142C0">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一</w:t>
      </w:r>
      <w:r>
        <w:rPr>
          <w:rFonts w:hint="eastAsia" w:eastAsia="仿宋_GB2312"/>
          <w:b w:val="0"/>
          <w:sz w:val="32"/>
          <w:lang w:eastAsia="zh-CN"/>
        </w:rPr>
        <w:t>）</w:t>
      </w:r>
      <w:r>
        <w:rPr>
          <w:rFonts w:hint="eastAsia" w:eastAsia="仿宋_GB2312"/>
          <w:b w:val="0"/>
          <w:sz w:val="32"/>
        </w:rPr>
        <w:t>评估原则</w:t>
      </w:r>
    </w:p>
    <w:p w14:paraId="5F36098B">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Times New Roman"/>
          <w:b w:val="0"/>
          <w:sz w:val="32"/>
          <w:szCs w:val="32"/>
        </w:rPr>
      </w:pPr>
      <w:r>
        <w:rPr>
          <w:rFonts w:hint="eastAsia" w:ascii="仿宋_GB2312" w:hAnsi="宋体" w:eastAsia="仿宋_GB2312" w:cs="Times New Roman"/>
          <w:b w:val="0"/>
          <w:sz w:val="32"/>
          <w:szCs w:val="32"/>
        </w:rPr>
        <w:t>根据202</w:t>
      </w:r>
      <w:r>
        <w:rPr>
          <w:rFonts w:hint="eastAsia" w:ascii="仿宋_GB2312" w:hAnsi="宋体" w:eastAsia="仿宋_GB2312" w:cs="Times New Roman"/>
          <w:b w:val="0"/>
          <w:sz w:val="32"/>
          <w:szCs w:val="32"/>
          <w:lang w:val="en-US" w:eastAsia="zh-CN"/>
        </w:rPr>
        <w:t>5</w:t>
      </w:r>
      <w:r>
        <w:rPr>
          <w:rFonts w:hint="eastAsia" w:ascii="仿宋_GB2312" w:hAnsi="宋体" w:eastAsia="仿宋_GB2312" w:cs="Times New Roman"/>
          <w:b w:val="0"/>
          <w:sz w:val="32"/>
          <w:szCs w:val="32"/>
        </w:rPr>
        <w:t>年预算编制要求，绩效评估本着真正过紧日子的原则，厉行节约、精打细算，从严从紧控制项目申报和预算安排，非必要项目和工作内容可压尽压、应压尽压，做到客观、绩效、精准。</w:t>
      </w:r>
    </w:p>
    <w:p w14:paraId="6BAAA468">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二</w:t>
      </w:r>
      <w:r>
        <w:rPr>
          <w:rFonts w:hint="eastAsia" w:eastAsia="仿宋_GB2312"/>
          <w:b w:val="0"/>
          <w:sz w:val="32"/>
          <w:lang w:eastAsia="zh-CN"/>
        </w:rPr>
        <w:t>）</w:t>
      </w:r>
      <w:r>
        <w:rPr>
          <w:rFonts w:hint="eastAsia" w:eastAsia="仿宋_GB2312"/>
          <w:b w:val="0"/>
          <w:sz w:val="32"/>
        </w:rPr>
        <w:t>评估目的</w:t>
      </w:r>
    </w:p>
    <w:p w14:paraId="624FFB29">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b w:val="0"/>
          <w:sz w:val="32"/>
          <w:szCs w:val="32"/>
        </w:rPr>
      </w:pPr>
      <w:r>
        <w:rPr>
          <w:rFonts w:hint="eastAsia" w:ascii="仿宋_GB2312" w:hAnsi="宋体" w:eastAsia="仿宋_GB2312" w:cs="Times New Roman"/>
          <w:b w:val="0"/>
          <w:sz w:val="32"/>
          <w:szCs w:val="32"/>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2412932A">
      <w:pPr>
        <w:pStyle w:val="12"/>
        <w:pageBreakBefore w:val="0"/>
        <w:widowControl w:val="0"/>
        <w:numPr>
          <w:ilvl w:val="0"/>
          <w:numId w:val="0"/>
        </w:numPr>
        <w:kinsoku/>
        <w:wordWrap/>
        <w:overflowPunct/>
        <w:topLinePunct w:val="0"/>
        <w:autoSpaceDE/>
        <w:autoSpaceDN/>
        <w:bidi w:val="0"/>
        <w:snapToGrid w:val="0"/>
        <w:spacing w:line="560" w:lineRule="exact"/>
        <w:ind w:leftChars="0" w:firstLine="640" w:firstLineChars="200"/>
        <w:textAlignment w:val="auto"/>
        <w:rPr>
          <w:rFonts w:hint="eastAsia" w:ascii="黑体" w:eastAsia="仿宋_GB2312"/>
          <w:b w:val="0"/>
          <w:bCs/>
          <w:sz w:val="32"/>
          <w:szCs w:val="32"/>
        </w:rPr>
      </w:pPr>
      <w:r>
        <w:rPr>
          <w:rFonts w:hint="eastAsia" w:ascii="黑体" w:eastAsia="仿宋_GB2312"/>
          <w:b w:val="0"/>
          <w:bCs/>
          <w:sz w:val="32"/>
          <w:szCs w:val="32"/>
          <w:lang w:eastAsia="zh-CN"/>
        </w:rPr>
        <w:t>（</w:t>
      </w:r>
      <w:r>
        <w:rPr>
          <w:rFonts w:hint="eastAsia" w:ascii="黑体" w:eastAsia="仿宋_GB2312"/>
          <w:b w:val="0"/>
          <w:bCs/>
          <w:sz w:val="32"/>
          <w:szCs w:val="32"/>
          <w:lang w:val="en-US" w:eastAsia="zh-CN"/>
        </w:rPr>
        <w:t>三</w:t>
      </w:r>
      <w:r>
        <w:rPr>
          <w:rFonts w:hint="eastAsia" w:ascii="黑体" w:eastAsia="仿宋_GB2312"/>
          <w:b w:val="0"/>
          <w:bCs/>
          <w:sz w:val="32"/>
          <w:szCs w:val="32"/>
          <w:lang w:eastAsia="zh-CN"/>
        </w:rPr>
        <w:t>）</w:t>
      </w:r>
      <w:r>
        <w:rPr>
          <w:rFonts w:hint="eastAsia" w:ascii="黑体" w:eastAsia="仿宋_GB2312"/>
          <w:b w:val="0"/>
          <w:bCs/>
          <w:sz w:val="32"/>
          <w:szCs w:val="32"/>
        </w:rPr>
        <w:t>评估</w:t>
      </w:r>
      <w:r>
        <w:rPr>
          <w:rFonts w:hint="eastAsia" w:ascii="黑体" w:eastAsia="仿宋_GB2312"/>
          <w:b w:val="0"/>
          <w:bCs/>
          <w:sz w:val="32"/>
          <w:szCs w:val="32"/>
          <w:lang w:val="en-US" w:eastAsia="zh-CN"/>
        </w:rPr>
        <w:t>程序</w:t>
      </w:r>
      <w:r>
        <w:rPr>
          <w:rFonts w:hint="eastAsia" w:ascii="黑体" w:eastAsia="仿宋_GB2312"/>
          <w:b w:val="0"/>
          <w:bCs/>
          <w:sz w:val="32"/>
          <w:szCs w:val="32"/>
        </w:rPr>
        <w:t>和方法</w:t>
      </w:r>
    </w:p>
    <w:p w14:paraId="29C4A97C">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1、</w:t>
      </w:r>
      <w:r>
        <w:rPr>
          <w:rFonts w:hint="eastAsia" w:ascii="楷体_GB2312" w:hAnsi="楷体_GB2312" w:eastAsia="仿宋_GB2312" w:cs="楷体_GB2312"/>
          <w:b w:val="0"/>
          <w:sz w:val="32"/>
        </w:rPr>
        <w:t>评估</w:t>
      </w:r>
      <w:r>
        <w:rPr>
          <w:rFonts w:hint="eastAsia" w:ascii="楷体_GB2312" w:hAnsi="楷体_GB2312" w:eastAsia="仿宋_GB2312" w:cs="楷体_GB2312"/>
          <w:b w:val="0"/>
          <w:sz w:val="32"/>
          <w:lang w:val="en-US" w:eastAsia="zh-CN"/>
        </w:rPr>
        <w:t>程序</w:t>
      </w:r>
    </w:p>
    <w:p w14:paraId="62F9F1D8">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Times New Roman"/>
          <w:b w:val="0"/>
          <w:sz w:val="32"/>
          <w:szCs w:val="32"/>
        </w:rPr>
      </w:pPr>
      <w:r>
        <w:rPr>
          <w:rFonts w:hint="eastAsia" w:ascii="仿宋_GB2312" w:hAnsi="宋体" w:eastAsia="仿宋_GB2312" w:cs="Times New Roman"/>
          <w:b w:val="0"/>
          <w:sz w:val="32"/>
          <w:szCs w:val="32"/>
        </w:rPr>
        <w:t>我单位高度重视，为加强项目绩效管理工作，贯彻落实贯穿项目实施全过程的绩效目标管理、绩效监控、绩效评价、结果应用的机制，成立了以局长为组长、分管财务的副局长为副组长、各股室负责人为成员的绩效评价工作组，召开专项工作会议安排，按照预算绩效管理相关要求制定了事前绩效评估管理办法，设置了绩效评价指标体系,由办公室牵头组织开展本部门事前绩效评估工作，由财务股室相关工作人员依据事前绩效评估结果编制、申请预算，配合财政部门做好事前绩效评估有关工作。从项目绩效目标编制入手，加强财政资金的跟踪问效，及时纠正绩效偏差，延伸财政管理链条，提升精细化管理水平，提高财政资金的使用效益。</w:t>
      </w:r>
    </w:p>
    <w:p w14:paraId="392A1ADE">
      <w:pPr>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CESI仿宋-GB2312" w:eastAsia="仿宋_GB2312"/>
          <w:b w:val="0"/>
          <w:kern w:val="2"/>
          <w:sz w:val="32"/>
          <w:szCs w:val="32"/>
        </w:rPr>
      </w:pPr>
      <w:r>
        <w:rPr>
          <w:rFonts w:hint="eastAsia" w:ascii="CESI楷体-GB2312" w:eastAsia="仿宋_GB2312"/>
          <w:b w:val="0"/>
          <w:sz w:val="32"/>
          <w:szCs w:val="32"/>
          <w:lang w:val="en-US" w:eastAsia="zh-CN"/>
        </w:rPr>
        <w:t>2、</w:t>
      </w:r>
      <w:r>
        <w:rPr>
          <w:rFonts w:hint="eastAsia" w:ascii="CESI楷体-GB2312" w:eastAsia="仿宋_GB2312"/>
          <w:b w:val="0"/>
          <w:sz w:val="32"/>
          <w:szCs w:val="32"/>
        </w:rPr>
        <w:t>评估方法</w:t>
      </w:r>
    </w:p>
    <w:p w14:paraId="38340211">
      <w:pPr>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eastAsia="仿宋_GB2312"/>
          <w:b w:val="0"/>
          <w:sz w:val="32"/>
        </w:rPr>
      </w:pPr>
      <w:r>
        <w:rPr>
          <w:rFonts w:hint="eastAsia" w:ascii="CESI仿宋-GB2312" w:eastAsia="仿宋_GB2312"/>
          <w:b w:val="0"/>
          <w:kern w:val="2"/>
          <w:sz w:val="32"/>
          <w:szCs w:val="32"/>
        </w:rPr>
        <w:t>本项目通过现场踏勘、与项目相关人员座谈或讨论、聘请相关专业专家、市场调研等方法了解项目情况，收集相关资料，综合分析相关情况后，对项目的立项必要性、投入经济性、目标合理性、方案可行性以及筹资合规性实施评估。该项目立项符合主管部门职能、规划及年度重点工作安排的需求，具有迫切的现实需求和明确的服务对象，具有立项的必要性。</w:t>
      </w:r>
    </w:p>
    <w:p w14:paraId="2664342C">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仿宋_GB2312" w:hAnsi="宋体" w:eastAsia="仿宋_GB2312"/>
          <w:b w:val="0"/>
          <w:bCs/>
          <w:sz w:val="32"/>
          <w:szCs w:val="32"/>
        </w:rPr>
      </w:pPr>
      <w:r>
        <w:rPr>
          <w:rFonts w:hint="eastAsia" w:eastAsia="仿宋_GB2312"/>
          <w:b w:val="0"/>
          <w:sz w:val="32"/>
          <w:lang w:eastAsia="zh-CN"/>
        </w:rPr>
        <w:t>（</w:t>
      </w:r>
      <w:r>
        <w:rPr>
          <w:rFonts w:hint="eastAsia" w:eastAsia="仿宋_GB2312"/>
          <w:b w:val="0"/>
          <w:sz w:val="32"/>
          <w:lang w:val="en-US" w:eastAsia="zh-CN"/>
        </w:rPr>
        <w:t>四</w:t>
      </w:r>
      <w:r>
        <w:rPr>
          <w:rFonts w:hint="eastAsia" w:eastAsia="仿宋_GB2312"/>
          <w:b w:val="0"/>
          <w:sz w:val="32"/>
          <w:lang w:eastAsia="zh-CN"/>
        </w:rPr>
        <w:t>）</w:t>
      </w:r>
      <w:r>
        <w:rPr>
          <w:rFonts w:hint="eastAsia" w:eastAsia="仿宋_GB2312"/>
          <w:b w:val="0"/>
          <w:sz w:val="32"/>
        </w:rPr>
        <w:t>评估内容</w:t>
      </w:r>
    </w:p>
    <w:p w14:paraId="332A5571">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1、</w:t>
      </w:r>
      <w:r>
        <w:rPr>
          <w:rFonts w:hint="eastAsia" w:ascii="楷体_GB2312" w:hAnsi="楷体_GB2312" w:eastAsia="仿宋_GB2312" w:cs="楷体_GB2312"/>
          <w:b w:val="0"/>
          <w:sz w:val="32"/>
        </w:rPr>
        <w:t>立项必要性</w:t>
      </w:r>
    </w:p>
    <w:p w14:paraId="3D3F7E2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宋体" w:hAnsi="宋体" w:eastAsia="仿宋_GB2312"/>
          <w:b w:val="0"/>
          <w:sz w:val="32"/>
          <w:szCs w:val="21"/>
          <w:lang w:val="en-US" w:eastAsia="zh-CN"/>
        </w:rPr>
      </w:pPr>
      <w:r>
        <w:rPr>
          <w:rFonts w:hint="eastAsia" w:ascii="仿宋_GB2312" w:hAnsi="仿宋_GB2312" w:eastAsia="仿宋_GB2312" w:cs="仿宋_GB2312"/>
          <w:b w:val="0"/>
          <w:sz w:val="32"/>
          <w:szCs w:val="32"/>
          <w:lang w:val="zh-CN"/>
        </w:rPr>
        <w:t>根据</w:t>
      </w:r>
      <w:r>
        <w:rPr>
          <w:rFonts w:hint="eastAsia" w:ascii="仿宋_GB2312" w:hAnsi="仿宋_GB2312" w:eastAsia="仿宋_GB2312" w:cs="仿宋_GB2312"/>
          <w:b w:val="0"/>
          <w:color w:val="000000"/>
          <w:sz w:val="32"/>
          <w:szCs w:val="32"/>
          <w:shd w:val="clear" w:color="auto" w:fill="FFFFFF"/>
        </w:rPr>
        <w:t>《国务院关于加快发展养老服务业的若干意见》（国发〔2013〕35号）、《四川省人民政府关于加快发展养老服务业的实施意见》（川府发〔2014〕8号）、《四川省关于贯彻《关于全面推进居家养老服务工作的意见》的通知》</w:t>
      </w:r>
      <w:r>
        <w:rPr>
          <w:rFonts w:hint="eastAsia" w:ascii="仿宋_GB2312" w:hAnsi="仿宋_GB2312" w:eastAsia="仿宋_GB2312" w:cs="仿宋_GB2312"/>
          <w:b w:val="0"/>
          <w:color w:val="000000"/>
          <w:sz w:val="32"/>
          <w:szCs w:val="32"/>
          <w:shd w:val="clear" w:color="auto" w:fill="FFFFFF"/>
          <w:lang w:eastAsia="zh-CN"/>
        </w:rPr>
        <w:t>。</w:t>
      </w:r>
      <w:r>
        <w:rPr>
          <w:rFonts w:hint="eastAsia" w:ascii="仿宋_GB2312" w:hAnsi="仿宋_GB2312" w:eastAsia="仿宋_GB2312" w:cs="仿宋_GB2312"/>
          <w:b w:val="0"/>
          <w:bCs w:val="0"/>
          <w:sz w:val="32"/>
          <w:szCs w:val="32"/>
          <w:lang w:val="en-US" w:eastAsia="zh-CN"/>
        </w:rPr>
        <w:t>该项目实施与《关于印发&lt;四川省居家和社区养老服务导则的通知&gt;》（川民发〔2018〕58号）、阿坝州人民政府办公室《关于推进居家养老服务工作实施意见》一致。</w:t>
      </w:r>
      <w:r>
        <w:rPr>
          <w:rFonts w:hint="eastAsia" w:ascii="仿宋_GB2312" w:hAnsi="仿宋_GB2312" w:eastAsia="仿宋_GB2312" w:cs="仿宋_GB2312"/>
          <w:b w:val="0"/>
          <w:sz w:val="32"/>
          <w:szCs w:val="32"/>
        </w:rPr>
        <w:t>养老服务体系项目建设能满足广大老年人日益增长的物质和精神文化需求，</w:t>
      </w:r>
      <w:r>
        <w:rPr>
          <w:rFonts w:hint="eastAsia" w:ascii="仿宋_GB2312" w:hAnsi="仿宋_GB2312" w:eastAsia="仿宋_GB2312" w:cs="仿宋_GB2312"/>
          <w:b w:val="0"/>
          <w:color w:val="000000"/>
          <w:kern w:val="0"/>
          <w:sz w:val="32"/>
          <w:szCs w:val="32"/>
        </w:rPr>
        <w:t>提升老年人生活质量</w:t>
      </w:r>
      <w:r>
        <w:rPr>
          <w:rFonts w:hint="eastAsia" w:ascii="仿宋_GB2312" w:hAnsi="仿宋_GB2312" w:eastAsia="仿宋_GB2312" w:cs="仿宋_GB2312"/>
          <w:b w:val="0"/>
          <w:sz w:val="32"/>
          <w:szCs w:val="32"/>
        </w:rPr>
        <w:t>，构建政府主导、社区参与，以居家养老为基础、社区照料为依托、机构养老为补充，多层次、多类型的社会化养老服务体系，能为老年人提供周到、便捷、高效、体贴的专业化服务，不断促进我县养老服务业的健康发展。</w:t>
      </w:r>
    </w:p>
    <w:p w14:paraId="5A8FD506">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2、</w:t>
      </w:r>
      <w:r>
        <w:rPr>
          <w:rFonts w:hint="eastAsia" w:ascii="楷体_GB2312" w:hAnsi="楷体_GB2312" w:eastAsia="仿宋_GB2312" w:cs="楷体_GB2312"/>
          <w:b w:val="0"/>
          <w:sz w:val="32"/>
        </w:rPr>
        <w:t>投入经济性</w:t>
      </w:r>
    </w:p>
    <w:p w14:paraId="4021AF10">
      <w:pPr>
        <w:keepNext w:val="0"/>
        <w:keepLines w:val="0"/>
        <w:pageBreakBefore w:val="0"/>
        <w:widowControl w:val="0"/>
        <w:suppressLineNumbers w:val="0"/>
        <w:suppressAutoHyphens/>
        <w:kinsoku/>
        <w:wordWrap/>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kern w:val="2"/>
          <w:sz w:val="32"/>
          <w:szCs w:val="32"/>
          <w:lang w:eastAsia="zh-CN"/>
        </w:rPr>
      </w:pPr>
      <w:r>
        <w:rPr>
          <w:rFonts w:hint="eastAsia" w:ascii="仿宋_GB2312" w:hAnsi="仿宋_GB2312" w:eastAsia="仿宋_GB2312" w:cs="仿宋_GB2312"/>
          <w:b w:val="0"/>
          <w:sz w:val="32"/>
          <w:szCs w:val="32"/>
        </w:rPr>
        <w:t>该项目成本测算科学合理、具体充分，项目投入成本与预期效益高度相关，投入产出比科学合理，符合投入最小化、产出最大化预期。</w:t>
      </w:r>
      <w:r>
        <w:rPr>
          <w:rFonts w:hint="eastAsia" w:ascii="仿宋_GB2312" w:hAnsi="仿宋_GB2312" w:eastAsia="仿宋_GB2312" w:cs="仿宋_GB2312"/>
          <w:b w:val="0"/>
          <w:kern w:val="2"/>
          <w:sz w:val="32"/>
          <w:szCs w:val="32"/>
        </w:rPr>
        <w:t>项目申报预算为</w:t>
      </w:r>
      <w:r>
        <w:rPr>
          <w:rFonts w:hint="eastAsia" w:ascii="仿宋_GB2312" w:hAnsi="仿宋_GB2312" w:eastAsia="仿宋_GB2312" w:cs="仿宋_GB2312"/>
          <w:b w:val="0"/>
          <w:kern w:val="2"/>
          <w:sz w:val="32"/>
          <w:szCs w:val="32"/>
          <w:lang w:val="en-US" w:eastAsia="zh-CN"/>
        </w:rPr>
        <w:t>50张床位25万元</w:t>
      </w:r>
      <w:r>
        <w:rPr>
          <w:rFonts w:hint="eastAsia" w:ascii="仿宋_GB2312" w:hAnsi="仿宋_GB2312" w:eastAsia="仿宋_GB2312" w:cs="仿宋_GB2312"/>
          <w:b w:val="0"/>
          <w:kern w:val="2"/>
          <w:sz w:val="32"/>
          <w:szCs w:val="32"/>
        </w:rPr>
        <w:t>（资金来源为</w:t>
      </w:r>
      <w:r>
        <w:rPr>
          <w:rFonts w:hint="eastAsia" w:ascii="仿宋_GB2312" w:hAnsi="仿宋_GB2312" w:eastAsia="仿宋_GB2312" w:cs="仿宋_GB2312"/>
          <w:b w:val="0"/>
          <w:kern w:val="2"/>
          <w:sz w:val="32"/>
          <w:szCs w:val="32"/>
          <w:lang w:val="en-US" w:eastAsia="zh-CN"/>
        </w:rPr>
        <w:t>省级资金12.5万元、州级资金3.75万元、县级配套8.75万元</w:t>
      </w:r>
      <w:r>
        <w:rPr>
          <w:rFonts w:hint="eastAsia" w:ascii="仿宋_GB2312" w:hAnsi="仿宋_GB2312" w:eastAsia="仿宋_GB2312" w:cs="仿宋_GB2312"/>
          <w:b w:val="0"/>
          <w:kern w:val="2"/>
          <w:sz w:val="32"/>
          <w:szCs w:val="32"/>
        </w:rPr>
        <w:t>）</w:t>
      </w:r>
      <w:r>
        <w:rPr>
          <w:rFonts w:hint="eastAsia" w:ascii="仿宋_GB2312" w:hAnsi="仿宋_GB2312" w:eastAsia="仿宋_GB2312" w:cs="仿宋_GB2312"/>
          <w:b w:val="0"/>
          <w:kern w:val="2"/>
          <w:sz w:val="32"/>
          <w:szCs w:val="32"/>
          <w:lang w:eastAsia="zh-CN"/>
        </w:rPr>
        <w:t>，</w:t>
      </w:r>
      <w:r>
        <w:rPr>
          <w:rFonts w:hint="eastAsia" w:ascii="仿宋_GB2312" w:hAnsi="仿宋_GB2312" w:eastAsia="仿宋_GB2312" w:cs="仿宋_GB2312"/>
          <w:b w:val="0"/>
          <w:kern w:val="2"/>
          <w:sz w:val="32"/>
          <w:szCs w:val="32"/>
          <w:lang w:val="en-US" w:eastAsia="zh-CN"/>
        </w:rPr>
        <w:t>3个日间照料中心建设75万元（资金来源为省级资金26.25万元、州级资金14.625万元、县级资金34.125万元），</w:t>
      </w:r>
      <w:r>
        <w:rPr>
          <w:rFonts w:hint="eastAsia" w:ascii="仿宋" w:hAnsi="仿宋" w:eastAsia="仿宋_GB2312" w:cs="仿宋"/>
          <w:b w:val="0"/>
          <w:color w:val="auto"/>
          <w:sz w:val="32"/>
          <w:szCs w:val="32"/>
        </w:rPr>
        <w:t>为困难家庭失能老人、独居老人和80周岁以上老人提供居家养老服务补助2</w:t>
      </w:r>
      <w:r>
        <w:rPr>
          <w:rFonts w:hint="eastAsia" w:ascii="仿宋" w:hAnsi="仿宋" w:eastAsia="仿宋_GB2312" w:cs="仿宋"/>
          <w:b w:val="0"/>
          <w:color w:val="auto"/>
          <w:sz w:val="32"/>
          <w:szCs w:val="32"/>
          <w:lang w:val="en-US" w:eastAsia="zh-CN"/>
        </w:rPr>
        <w:t>0</w:t>
      </w:r>
      <w:r>
        <w:rPr>
          <w:rFonts w:hint="eastAsia" w:ascii="仿宋" w:hAnsi="仿宋" w:eastAsia="仿宋_GB2312" w:cs="仿宋"/>
          <w:b w:val="0"/>
          <w:color w:val="auto"/>
          <w:sz w:val="32"/>
          <w:szCs w:val="32"/>
        </w:rPr>
        <w:t>00人</w:t>
      </w:r>
      <w:r>
        <w:rPr>
          <w:rFonts w:hint="eastAsia" w:ascii="仿宋_GB2312" w:hAnsi="仿宋_GB2312" w:eastAsia="仿宋_GB2312" w:cs="仿宋_GB2312"/>
          <w:b w:val="0"/>
          <w:kern w:val="2"/>
          <w:sz w:val="32"/>
          <w:szCs w:val="32"/>
          <w:lang w:val="en-US" w:eastAsia="zh-CN"/>
        </w:rPr>
        <w:t>75万元（资金来源为省级资金26.25万元、州级资金14.625万元、县级资金34.125万元）。县级</w:t>
      </w:r>
      <w:r>
        <w:rPr>
          <w:rFonts w:hint="eastAsia" w:ascii="仿宋_GB2312" w:hAnsi="仿宋_GB2312" w:eastAsia="仿宋_GB2312" w:cs="仿宋_GB2312"/>
          <w:b w:val="0"/>
          <w:kern w:val="2"/>
          <w:sz w:val="32"/>
          <w:szCs w:val="32"/>
        </w:rPr>
        <w:t>年度申报金额为</w:t>
      </w:r>
      <w:r>
        <w:rPr>
          <w:rFonts w:hint="eastAsia" w:ascii="仿宋_GB2312" w:hAnsi="仿宋_GB2312" w:eastAsia="仿宋_GB2312" w:cs="仿宋_GB2312"/>
          <w:b w:val="0"/>
          <w:kern w:val="2"/>
          <w:sz w:val="32"/>
          <w:szCs w:val="32"/>
          <w:lang w:val="en-US" w:eastAsia="zh-CN"/>
        </w:rPr>
        <w:t>77</w:t>
      </w:r>
      <w:r>
        <w:rPr>
          <w:rFonts w:hint="eastAsia" w:ascii="仿宋_GB2312" w:hAnsi="仿宋_GB2312" w:eastAsia="仿宋_GB2312" w:cs="仿宋_GB2312"/>
          <w:b w:val="0"/>
          <w:kern w:val="2"/>
          <w:sz w:val="32"/>
          <w:szCs w:val="32"/>
        </w:rPr>
        <w:t>万元</w:t>
      </w:r>
      <w:r>
        <w:rPr>
          <w:rFonts w:hint="eastAsia" w:ascii="仿宋_GB2312" w:hAnsi="仿宋_GB2312" w:eastAsia="仿宋_GB2312" w:cs="仿宋_GB2312"/>
          <w:b w:val="0"/>
          <w:kern w:val="2"/>
          <w:sz w:val="32"/>
          <w:szCs w:val="32"/>
          <w:lang w:eastAsia="zh-CN"/>
        </w:rPr>
        <w:t>。</w:t>
      </w:r>
    </w:p>
    <w:p w14:paraId="0ABDE8CF">
      <w:pPr>
        <w:keepNext w:val="0"/>
        <w:keepLines w:val="0"/>
        <w:pageBreakBefore w:val="0"/>
        <w:widowControl w:val="0"/>
        <w:suppressLineNumbers w:val="0"/>
        <w:suppressAutoHyphens/>
        <w:kinsoku/>
        <w:wordWrap/>
        <w:overflowPunct/>
        <w:topLinePunct w:val="0"/>
        <w:autoSpaceDE/>
        <w:autoSpaceDN/>
        <w:bidi w:val="0"/>
        <w:adjustRightInd/>
        <w:snapToGrid w:val="0"/>
        <w:spacing w:line="560" w:lineRule="exact"/>
        <w:ind w:left="0" w:firstLine="640" w:firstLineChars="200"/>
        <w:rPr>
          <w:rFonts w:hint="eastAsia" w:ascii="仿宋_GB2312" w:hAnsi="仿宋_GB2312" w:eastAsia="仿宋_GB2312" w:cs="仿宋_GB2312"/>
          <w:b w:val="0"/>
          <w:kern w:val="2"/>
          <w:sz w:val="32"/>
          <w:szCs w:val="28"/>
          <w:lang w:eastAsia="zh-CN"/>
        </w:rPr>
      </w:pPr>
      <w:r>
        <w:rPr>
          <w:rFonts w:hint="eastAsia" w:ascii="仿宋_GB2312" w:hAnsi="仿宋_GB2312" w:eastAsia="仿宋_GB2312" w:cs="仿宋_GB2312"/>
          <w:b w:val="0"/>
          <w:kern w:val="2"/>
          <w:sz w:val="32"/>
          <w:szCs w:val="28"/>
          <w:lang w:val="en-US" w:eastAsia="zh-CN"/>
        </w:rPr>
        <w:t>养老服务体系建设</w:t>
      </w:r>
      <w:r>
        <w:rPr>
          <w:rFonts w:hint="eastAsia" w:ascii="仿宋_GB2312" w:hAnsi="仿宋_GB2312" w:eastAsia="仿宋_GB2312" w:cs="仿宋_GB2312"/>
          <w:b w:val="0"/>
          <w:kern w:val="2"/>
          <w:sz w:val="32"/>
          <w:szCs w:val="28"/>
        </w:rPr>
        <w:t>项目事前绩效评估汇总表</w:t>
      </w:r>
      <w:r>
        <w:rPr>
          <w:rFonts w:hint="eastAsia" w:ascii="仿宋_GB2312" w:hAnsi="仿宋_GB2312" w:eastAsia="仿宋_GB2312" w:cs="仿宋_GB2312"/>
          <w:b w:val="0"/>
          <w:kern w:val="2"/>
          <w:sz w:val="32"/>
          <w:szCs w:val="28"/>
          <w:lang w:eastAsia="zh-CN"/>
        </w:rPr>
        <w:t>（</w:t>
      </w:r>
      <w:r>
        <w:rPr>
          <w:rFonts w:hint="eastAsia" w:ascii="仿宋_GB2312" w:hAnsi="仿宋_GB2312" w:eastAsia="仿宋_GB2312" w:cs="仿宋_GB2312"/>
          <w:b w:val="0"/>
          <w:kern w:val="2"/>
          <w:sz w:val="32"/>
          <w:szCs w:val="28"/>
          <w:lang w:val="en-US" w:eastAsia="zh-CN"/>
        </w:rPr>
        <w:t>万元</w:t>
      </w:r>
      <w:r>
        <w:rPr>
          <w:rFonts w:hint="eastAsia" w:ascii="仿宋_GB2312" w:hAnsi="仿宋_GB2312" w:eastAsia="仿宋_GB2312" w:cs="仿宋_GB2312"/>
          <w:b w:val="0"/>
          <w:kern w:val="2"/>
          <w:sz w:val="32"/>
          <w:szCs w:val="28"/>
          <w:lang w:eastAsia="zh-CN"/>
        </w:rPr>
        <w:t>）</w:t>
      </w:r>
    </w:p>
    <w:tbl>
      <w:tblPr>
        <w:tblStyle w:val="8"/>
        <w:tblW w:w="9110"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417"/>
        <w:gridCol w:w="2667"/>
        <w:gridCol w:w="954"/>
        <w:gridCol w:w="954"/>
        <w:gridCol w:w="1004"/>
        <w:gridCol w:w="954"/>
        <w:gridCol w:w="2160"/>
      </w:tblGrid>
      <w:tr w14:paraId="759CAF8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47A5C35D">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序号</w:t>
            </w:r>
          </w:p>
        </w:tc>
        <w:tc>
          <w:tcPr>
            <w:tcW w:w="2667" w:type="dxa"/>
            <w:tcBorders>
              <w:top w:val="single" w:color="auto" w:sz="4" w:space="0"/>
              <w:left w:val="single" w:color="auto" w:sz="4" w:space="0"/>
              <w:bottom w:val="single" w:color="auto" w:sz="4" w:space="0"/>
              <w:right w:val="single" w:color="auto" w:sz="4" w:space="0"/>
            </w:tcBorders>
            <w:vAlign w:val="center"/>
          </w:tcPr>
          <w:p w14:paraId="0F5695CE">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项目内容</w:t>
            </w:r>
          </w:p>
        </w:tc>
        <w:tc>
          <w:tcPr>
            <w:tcW w:w="954" w:type="dxa"/>
            <w:tcBorders>
              <w:top w:val="single" w:color="auto" w:sz="4" w:space="0"/>
              <w:left w:val="single" w:color="auto" w:sz="4" w:space="0"/>
              <w:bottom w:val="single" w:color="auto" w:sz="4" w:space="0"/>
              <w:right w:val="single" w:color="auto" w:sz="4" w:space="0"/>
            </w:tcBorders>
            <w:vAlign w:val="center"/>
          </w:tcPr>
          <w:p w14:paraId="17A2149C">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申报</w:t>
            </w:r>
          </w:p>
          <w:p w14:paraId="3DF8BC9A">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预算</w:t>
            </w:r>
          </w:p>
        </w:tc>
        <w:tc>
          <w:tcPr>
            <w:tcW w:w="954" w:type="dxa"/>
            <w:tcBorders>
              <w:top w:val="single" w:color="auto" w:sz="4" w:space="0"/>
              <w:left w:val="single" w:color="auto" w:sz="4" w:space="0"/>
              <w:bottom w:val="single" w:color="auto" w:sz="4" w:space="0"/>
              <w:right w:val="single" w:color="auto" w:sz="4" w:space="0"/>
            </w:tcBorders>
            <w:vAlign w:val="center"/>
          </w:tcPr>
          <w:p w14:paraId="717ECB1C">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送审</w:t>
            </w:r>
          </w:p>
          <w:p w14:paraId="3EC3D4FF">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金额</w:t>
            </w:r>
          </w:p>
        </w:tc>
        <w:tc>
          <w:tcPr>
            <w:tcW w:w="1004" w:type="dxa"/>
            <w:tcBorders>
              <w:top w:val="single" w:color="auto" w:sz="4" w:space="0"/>
              <w:left w:val="single" w:color="auto" w:sz="4" w:space="0"/>
              <w:bottom w:val="single" w:color="auto" w:sz="4" w:space="0"/>
              <w:right w:val="single" w:color="auto" w:sz="4" w:space="0"/>
            </w:tcBorders>
            <w:vAlign w:val="center"/>
          </w:tcPr>
          <w:p w14:paraId="35203636">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建议控制额</w:t>
            </w:r>
          </w:p>
        </w:tc>
        <w:tc>
          <w:tcPr>
            <w:tcW w:w="954" w:type="dxa"/>
            <w:tcBorders>
              <w:top w:val="single" w:color="auto" w:sz="4" w:space="0"/>
              <w:left w:val="single" w:color="auto" w:sz="4" w:space="0"/>
              <w:bottom w:val="single" w:color="auto" w:sz="4" w:space="0"/>
              <w:right w:val="single" w:color="auto" w:sz="4" w:space="0"/>
            </w:tcBorders>
            <w:vAlign w:val="center"/>
          </w:tcPr>
          <w:p w14:paraId="12591F5E">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核减</w:t>
            </w:r>
          </w:p>
        </w:tc>
        <w:tc>
          <w:tcPr>
            <w:tcW w:w="2160" w:type="dxa"/>
            <w:vMerge w:val="restart"/>
            <w:tcBorders>
              <w:top w:val="single" w:color="auto" w:sz="4" w:space="0"/>
              <w:left w:val="single" w:color="auto" w:sz="4" w:space="0"/>
              <w:bottom w:val="single" w:color="auto" w:sz="4" w:space="0"/>
              <w:right w:val="single" w:color="auto" w:sz="4" w:space="0"/>
            </w:tcBorders>
            <w:vAlign w:val="center"/>
          </w:tcPr>
          <w:p w14:paraId="625C204E">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color w:val="auto"/>
                <w:kern w:val="0"/>
                <w:sz w:val="32"/>
                <w:szCs w:val="28"/>
              </w:rPr>
            </w:pPr>
            <w:r>
              <w:rPr>
                <w:rFonts w:hint="eastAsia" w:ascii="仿宋_GB2312" w:hAnsi="仿宋_GB2312" w:eastAsia="仿宋_GB2312" w:cs="仿宋_GB2312"/>
                <w:b w:val="0"/>
                <w:color w:val="auto"/>
                <w:kern w:val="0"/>
                <w:sz w:val="32"/>
                <w:szCs w:val="28"/>
              </w:rPr>
              <w:t>备注　</w:t>
            </w:r>
          </w:p>
        </w:tc>
      </w:tr>
      <w:tr w14:paraId="0A05019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29578D13">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rPr>
              <w:t>　</w:t>
            </w:r>
            <w:r>
              <w:rPr>
                <w:rFonts w:hint="eastAsia" w:ascii="仿宋_GB2312" w:hAnsi="仿宋_GB2312" w:eastAsia="仿宋_GB2312" w:cs="仿宋_GB2312"/>
                <w:b w:val="0"/>
                <w:kern w:val="0"/>
                <w:sz w:val="32"/>
                <w:szCs w:val="28"/>
                <w:lang w:val="en-US" w:eastAsia="zh-CN"/>
              </w:rPr>
              <w:t>1</w:t>
            </w:r>
          </w:p>
        </w:tc>
        <w:tc>
          <w:tcPr>
            <w:tcW w:w="2667" w:type="dxa"/>
            <w:tcBorders>
              <w:top w:val="single" w:color="auto" w:sz="4" w:space="0"/>
              <w:left w:val="single" w:color="auto" w:sz="4" w:space="0"/>
              <w:bottom w:val="single" w:color="auto" w:sz="4" w:space="0"/>
              <w:right w:val="single" w:color="auto" w:sz="4" w:space="0"/>
            </w:tcBorders>
            <w:vAlign w:val="center"/>
          </w:tcPr>
          <w:p w14:paraId="187033FE">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养老服务体系建设</w:t>
            </w:r>
          </w:p>
        </w:tc>
        <w:tc>
          <w:tcPr>
            <w:tcW w:w="954" w:type="dxa"/>
            <w:tcBorders>
              <w:top w:val="single" w:color="auto" w:sz="4" w:space="0"/>
              <w:left w:val="single" w:color="auto" w:sz="4" w:space="0"/>
              <w:bottom w:val="single" w:color="auto" w:sz="4" w:space="0"/>
              <w:right w:val="single" w:color="auto" w:sz="4" w:space="0"/>
            </w:tcBorders>
            <w:vAlign w:val="center"/>
          </w:tcPr>
          <w:p w14:paraId="6E9E5697">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77</w:t>
            </w:r>
          </w:p>
        </w:tc>
        <w:tc>
          <w:tcPr>
            <w:tcW w:w="954" w:type="dxa"/>
            <w:tcBorders>
              <w:top w:val="single" w:color="auto" w:sz="4" w:space="0"/>
              <w:left w:val="single" w:color="auto" w:sz="4" w:space="0"/>
              <w:bottom w:val="single" w:color="auto" w:sz="4" w:space="0"/>
              <w:right w:val="single" w:color="auto" w:sz="4" w:space="0"/>
            </w:tcBorders>
            <w:vAlign w:val="center"/>
          </w:tcPr>
          <w:p w14:paraId="089980B3">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77</w:t>
            </w:r>
          </w:p>
        </w:tc>
        <w:tc>
          <w:tcPr>
            <w:tcW w:w="1004" w:type="dxa"/>
            <w:tcBorders>
              <w:top w:val="single" w:color="auto" w:sz="4" w:space="0"/>
              <w:left w:val="single" w:color="auto" w:sz="4" w:space="0"/>
              <w:bottom w:val="single" w:color="auto" w:sz="4" w:space="0"/>
              <w:right w:val="single" w:color="auto" w:sz="4" w:space="0"/>
            </w:tcBorders>
            <w:vAlign w:val="center"/>
          </w:tcPr>
          <w:p w14:paraId="32E40A3E">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77</w:t>
            </w:r>
          </w:p>
        </w:tc>
        <w:tc>
          <w:tcPr>
            <w:tcW w:w="954" w:type="dxa"/>
            <w:tcBorders>
              <w:top w:val="single" w:color="auto" w:sz="4" w:space="0"/>
              <w:left w:val="single" w:color="auto" w:sz="4" w:space="0"/>
              <w:bottom w:val="single" w:color="auto" w:sz="4" w:space="0"/>
              <w:right w:val="single" w:color="auto" w:sz="4" w:space="0"/>
            </w:tcBorders>
            <w:vAlign w:val="center"/>
          </w:tcPr>
          <w:p w14:paraId="5C8F041F">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2160" w:type="dxa"/>
            <w:vMerge w:val="continue"/>
            <w:tcBorders>
              <w:top w:val="single" w:color="auto" w:sz="4" w:space="0"/>
              <w:left w:val="single" w:color="auto" w:sz="4" w:space="0"/>
              <w:bottom w:val="single" w:color="auto" w:sz="4" w:space="0"/>
              <w:right w:val="single" w:color="auto" w:sz="4" w:space="0"/>
            </w:tcBorders>
            <w:vAlign w:val="center"/>
          </w:tcPr>
          <w:p w14:paraId="2449D2EC">
            <w:pPr>
              <w:pageBreakBefore w:val="0"/>
              <w:kinsoku/>
              <w:wordWrap/>
              <w:overflowPunct/>
              <w:topLinePunct w:val="0"/>
              <w:autoSpaceDE/>
              <w:autoSpaceDN/>
              <w:bidi w:val="0"/>
              <w:spacing w:line="560" w:lineRule="exact"/>
              <w:rPr>
                <w:rFonts w:hint="eastAsia" w:ascii="仿宋_GB2312" w:hAnsi="仿宋_GB2312" w:eastAsia="仿宋_GB2312" w:cs="仿宋_GB2312"/>
                <w:b w:val="0"/>
                <w:sz w:val="32"/>
                <w:szCs w:val="28"/>
              </w:rPr>
            </w:pPr>
          </w:p>
        </w:tc>
      </w:tr>
      <w:tr w14:paraId="536FB06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1741380D">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2667" w:type="dxa"/>
            <w:tcBorders>
              <w:top w:val="single" w:color="auto" w:sz="4" w:space="0"/>
              <w:left w:val="single" w:color="auto" w:sz="4" w:space="0"/>
              <w:bottom w:val="single" w:color="auto" w:sz="4" w:space="0"/>
              <w:right w:val="single" w:color="auto" w:sz="4" w:space="0"/>
            </w:tcBorders>
            <w:vAlign w:val="center"/>
          </w:tcPr>
          <w:p w14:paraId="514D3756">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 ...</w:t>
            </w:r>
          </w:p>
        </w:tc>
        <w:tc>
          <w:tcPr>
            <w:tcW w:w="954" w:type="dxa"/>
            <w:tcBorders>
              <w:top w:val="single" w:color="auto" w:sz="4" w:space="0"/>
              <w:left w:val="single" w:color="auto" w:sz="4" w:space="0"/>
              <w:bottom w:val="single" w:color="auto" w:sz="4" w:space="0"/>
              <w:right w:val="single" w:color="auto" w:sz="4" w:space="0"/>
            </w:tcBorders>
            <w:vAlign w:val="center"/>
          </w:tcPr>
          <w:p w14:paraId="4727EEA8">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954" w:type="dxa"/>
            <w:tcBorders>
              <w:top w:val="single" w:color="auto" w:sz="4" w:space="0"/>
              <w:left w:val="single" w:color="auto" w:sz="4" w:space="0"/>
              <w:bottom w:val="single" w:color="auto" w:sz="4" w:space="0"/>
              <w:right w:val="single" w:color="auto" w:sz="4" w:space="0"/>
            </w:tcBorders>
            <w:vAlign w:val="center"/>
          </w:tcPr>
          <w:p w14:paraId="5847F9C4">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1004" w:type="dxa"/>
            <w:tcBorders>
              <w:top w:val="single" w:color="auto" w:sz="4" w:space="0"/>
              <w:left w:val="single" w:color="auto" w:sz="4" w:space="0"/>
              <w:bottom w:val="single" w:color="auto" w:sz="4" w:space="0"/>
              <w:right w:val="single" w:color="auto" w:sz="4" w:space="0"/>
            </w:tcBorders>
            <w:vAlign w:val="center"/>
          </w:tcPr>
          <w:p w14:paraId="7F1B0530">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954" w:type="dxa"/>
            <w:tcBorders>
              <w:top w:val="single" w:color="auto" w:sz="4" w:space="0"/>
              <w:left w:val="single" w:color="auto" w:sz="4" w:space="0"/>
              <w:bottom w:val="single" w:color="auto" w:sz="4" w:space="0"/>
              <w:right w:val="single" w:color="auto" w:sz="4" w:space="0"/>
            </w:tcBorders>
            <w:vAlign w:val="center"/>
          </w:tcPr>
          <w:p w14:paraId="27B0F614">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2160" w:type="dxa"/>
            <w:tcBorders>
              <w:top w:val="single" w:color="auto" w:sz="4" w:space="0"/>
              <w:left w:val="single" w:color="auto" w:sz="4" w:space="0"/>
              <w:bottom w:val="single" w:color="auto" w:sz="4" w:space="0"/>
              <w:right w:val="single" w:color="auto" w:sz="4" w:space="0"/>
            </w:tcBorders>
            <w:vAlign w:val="center"/>
          </w:tcPr>
          <w:p w14:paraId="72646C23">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color w:val="auto"/>
                <w:kern w:val="0"/>
                <w:sz w:val="32"/>
                <w:szCs w:val="28"/>
              </w:rPr>
            </w:pPr>
          </w:p>
        </w:tc>
      </w:tr>
    </w:tbl>
    <w:p w14:paraId="5A6E69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b w:val="0"/>
          <w:kern w:val="2"/>
          <w:sz w:val="32"/>
          <w:szCs w:val="32"/>
        </w:rPr>
        <w:sectPr>
          <w:headerReference r:id="rId3" w:type="default"/>
          <w:footerReference r:id="rId4" w:type="default"/>
          <w:pgSz w:w="11906" w:h="16838"/>
          <w:pgMar w:top="1134" w:right="1134" w:bottom="1134" w:left="1418" w:header="680" w:footer="850" w:gutter="0"/>
          <w:cols w:space="720" w:num="1"/>
          <w:docGrid w:type="lines" w:linePitch="312" w:charSpace="0"/>
        </w:sectPr>
      </w:pPr>
    </w:p>
    <w:p w14:paraId="40EB5738">
      <w:pPr>
        <w:pStyle w:val="4"/>
        <w:pageBreakBefore w:val="0"/>
        <w:widowControl w:val="0"/>
        <w:kinsoku/>
        <w:wordWrap/>
        <w:overflowPunct/>
        <w:topLinePunct w:val="0"/>
        <w:autoSpaceDE/>
        <w:autoSpaceDN/>
        <w:bidi w:val="0"/>
        <w:spacing w:before="0" w:after="0" w:line="240" w:lineRule="auto"/>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3、</w:t>
      </w:r>
      <w:r>
        <w:rPr>
          <w:rFonts w:hint="eastAsia" w:ascii="楷体_GB2312" w:hAnsi="楷体_GB2312" w:eastAsia="仿宋_GB2312" w:cs="楷体_GB2312"/>
          <w:b w:val="0"/>
          <w:sz w:val="32"/>
        </w:rPr>
        <w:t>目标合理性</w:t>
      </w:r>
    </w:p>
    <w:p w14:paraId="20DB9B3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宋体" w:eastAsia="仿宋_GB2312"/>
          <w:b w:val="0"/>
          <w:sz w:val="32"/>
          <w:szCs w:val="30"/>
        </w:rPr>
        <w:t>该项目设定的绩效目标与本部门202</w:t>
      </w:r>
      <w:r>
        <w:rPr>
          <w:rFonts w:hint="eastAsia" w:ascii="仿宋_GB2312" w:hAnsi="宋体" w:eastAsia="仿宋_GB2312"/>
          <w:b w:val="0"/>
          <w:sz w:val="32"/>
          <w:szCs w:val="30"/>
          <w:lang w:val="en-US" w:eastAsia="zh-CN"/>
        </w:rPr>
        <w:t>5</w:t>
      </w:r>
      <w:r>
        <w:rPr>
          <w:rFonts w:hint="eastAsia" w:ascii="仿宋_GB2312" w:hAnsi="宋体" w:eastAsia="仿宋_GB2312"/>
          <w:b w:val="0"/>
          <w:sz w:val="32"/>
          <w:szCs w:val="30"/>
        </w:rPr>
        <w:t>年度工作目标一致，绩效目标一级指标大致</w:t>
      </w:r>
      <w:r>
        <w:rPr>
          <w:rFonts w:hint="eastAsia" w:ascii="仿宋_GB2312" w:hAnsi="宋体" w:eastAsia="仿宋_GB2312"/>
          <w:b w:val="0"/>
          <w:sz w:val="32"/>
          <w:szCs w:val="32"/>
        </w:rPr>
        <w:t>分为三部分：产出指标、效益指标、满意度指标。</w:t>
      </w:r>
    </w:p>
    <w:tbl>
      <w:tblPr>
        <w:tblStyle w:val="8"/>
        <w:tblW w:w="842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6"/>
        <w:gridCol w:w="1836"/>
        <w:gridCol w:w="2736"/>
        <w:gridCol w:w="510"/>
        <w:gridCol w:w="735"/>
        <w:gridCol w:w="825"/>
        <w:gridCol w:w="666"/>
      </w:tblGrid>
      <w:tr w14:paraId="7CB3C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769E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一级指标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8D692">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二级指标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453C4">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三级指标</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66E17">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指标性质</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C995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指标值</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BD18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度量单位</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BAF5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权重（%）</w:t>
            </w:r>
          </w:p>
        </w:tc>
      </w:tr>
      <w:tr w14:paraId="4702D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529E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5DEA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65434">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日间照料</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9D4D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8256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3</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7507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个</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C04D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20</w:t>
            </w:r>
          </w:p>
        </w:tc>
      </w:tr>
      <w:tr w14:paraId="2828D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C531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097CF">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质量指标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4EEB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日间照料项目发放准确率</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B3E0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809C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3745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F2D3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5CD51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0B77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F81E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时效指标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40D24">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项目资金及时拨付率</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7980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231F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2C1E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9CCC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6B21D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B5AA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075D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经济效益指标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E3DF2">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养老服务设施发挥作用</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C681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9F6B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C8AE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4CFD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442E0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1475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B68E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社会效益指标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372C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老年人日益增加的养老服务需求</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050C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D73B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7757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28F9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67F8C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00F5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6F69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可持续影响指标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40A5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养老服务体系建设</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E4F7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8D7C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F6AC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D08D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0A6B4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C1D7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D69B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服务对象满意度指标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3828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入住老人满意度</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10ED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2BCD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DA7C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C01B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60C69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6DB1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B0F1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服务对象满意度指标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A2EE5">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对社区基本养老金条件满意度</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9A52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07BE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6153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DFD4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422A9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E749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476E7">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社会成本指标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6FC9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农村日间照料</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768F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A08D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5DC5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万元/个</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ABD7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bl>
    <w:p w14:paraId="490B6A75">
      <w:pPr>
        <w:pStyle w:val="5"/>
        <w:pageBreakBefore w:val="0"/>
        <w:kinsoku/>
        <w:wordWrap/>
        <w:overflowPunct/>
        <w:topLinePunct w:val="0"/>
        <w:autoSpaceDE/>
        <w:autoSpaceDN/>
        <w:bidi w:val="0"/>
        <w:spacing w:line="560" w:lineRule="exact"/>
        <w:rPr>
          <w:rFonts w:hint="eastAsia" w:eastAsia="仿宋_GB2312"/>
          <w:b w:val="0"/>
          <w:sz w:val="32"/>
        </w:rPr>
      </w:pPr>
    </w:p>
    <w:p w14:paraId="4C2999B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仿宋_GB2312" w:cs="楷体_GB2312"/>
          <w:b w:val="0"/>
          <w:sz w:val="32"/>
          <w:szCs w:val="32"/>
          <w:lang w:val="en-US" w:eastAsia="zh-CN"/>
        </w:rPr>
        <w:t>4、</w:t>
      </w:r>
      <w:r>
        <w:rPr>
          <w:rFonts w:hint="eastAsia" w:ascii="楷体_GB2312" w:hAnsi="楷体_GB2312" w:eastAsia="仿宋_GB2312" w:cs="楷体_GB2312"/>
          <w:b w:val="0"/>
          <w:sz w:val="32"/>
          <w:szCs w:val="32"/>
        </w:rPr>
        <w:t>实施可行性</w:t>
      </w:r>
      <w:r>
        <w:rPr>
          <w:rFonts w:hint="eastAsia" w:ascii="仿宋_GB2312" w:hAnsi="仿宋_GB2312" w:eastAsia="仿宋_GB2312" w:cs="仿宋_GB2312"/>
          <w:b w:val="0"/>
          <w:bCs/>
          <w:sz w:val="32"/>
          <w:szCs w:val="32"/>
        </w:rPr>
        <w:t>该项目实施方案制定的详实完备、科学合理，人员、设施、物资等基础条件具备齐全，项目的设立具有明确的时限和步骤，</w:t>
      </w:r>
      <w:r>
        <w:rPr>
          <w:rFonts w:hint="eastAsia" w:ascii="仿宋_GB2312" w:hAnsi="仿宋_GB2312" w:eastAsia="仿宋_GB2312" w:cs="仿宋_GB2312"/>
          <w:b w:val="0"/>
          <w:bCs/>
          <w:kern w:val="2"/>
          <w:sz w:val="32"/>
          <w:szCs w:val="32"/>
        </w:rPr>
        <w:t>组织机构健全，职责分工明确，有具体的实施时间，有明确的工作程序，基础设施条件能够有效保障，资金足额保证，具有相应的质量检查、验收等必要的控制措施或手段，有针对突发事件或未知风险的应急措施</w:t>
      </w:r>
      <w:r>
        <w:rPr>
          <w:rFonts w:hint="eastAsia" w:ascii="仿宋_GB2312" w:hAnsi="仿宋_GB2312" w:eastAsia="仿宋_GB2312" w:cs="仿宋_GB2312"/>
          <w:b w:val="0"/>
          <w:bCs/>
          <w:sz w:val="32"/>
          <w:szCs w:val="32"/>
        </w:rPr>
        <w:t>。</w:t>
      </w:r>
    </w:p>
    <w:p w14:paraId="60971117">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5、</w:t>
      </w:r>
      <w:r>
        <w:rPr>
          <w:rFonts w:hint="eastAsia" w:ascii="楷体_GB2312" w:hAnsi="楷体_GB2312" w:eastAsia="仿宋_GB2312" w:cs="楷体_GB2312"/>
          <w:b w:val="0"/>
          <w:sz w:val="32"/>
        </w:rPr>
        <w:t>筹资合规性</w:t>
      </w:r>
    </w:p>
    <w:p w14:paraId="6BD1842F">
      <w:pPr>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b w:val="0"/>
          <w:sz w:val="32"/>
          <w:szCs w:val="32"/>
        </w:rPr>
      </w:pPr>
      <w:r>
        <w:rPr>
          <w:rFonts w:hint="eastAsia" w:ascii="仿宋_GB2312" w:hAnsi="仿宋_GB2312" w:eastAsia="仿宋_GB2312" w:cs="仿宋_GB2312"/>
          <w:b w:val="0"/>
          <w:sz w:val="32"/>
          <w:szCs w:val="32"/>
        </w:rPr>
        <w:t>本单位为县级的一级预算单位，所有资金均为同级财政下达安排的一般公共预算资金，该项目投入规模符合实际，投入渠道及方式合法合规、真实可靠，</w:t>
      </w:r>
      <w:r>
        <w:rPr>
          <w:rFonts w:hint="eastAsia" w:ascii="仿宋_GB2312" w:hAnsi="仿宋_GB2312" w:eastAsia="仿宋_GB2312" w:cs="仿宋_GB2312"/>
          <w:b w:val="0"/>
          <w:kern w:val="2"/>
          <w:sz w:val="32"/>
          <w:szCs w:val="32"/>
        </w:rPr>
        <w:t>筹资结构合理，资金来源渠道明确，各渠道资金到位时间、条件能够落实</w:t>
      </w:r>
      <w:r>
        <w:rPr>
          <w:rFonts w:hint="eastAsia" w:ascii="仿宋_GB2312" w:hAnsi="仿宋_GB2312" w:eastAsia="仿宋_GB2312" w:cs="仿宋_GB2312"/>
          <w:b w:val="0"/>
          <w:sz w:val="32"/>
          <w:szCs w:val="32"/>
        </w:rPr>
        <w:t>。</w:t>
      </w:r>
    </w:p>
    <w:p w14:paraId="2480BE63">
      <w:pPr>
        <w:pStyle w:val="3"/>
        <w:pageBreakBefore w:val="0"/>
        <w:widowControl w:val="0"/>
        <w:numPr>
          <w:ilvl w:val="0"/>
          <w:numId w:val="0"/>
        </w:numPr>
        <w:kinsoku/>
        <w:wordWrap/>
        <w:overflowPunct/>
        <w:topLinePunct w:val="0"/>
        <w:autoSpaceDE/>
        <w:autoSpaceDN/>
        <w:bidi w:val="0"/>
        <w:spacing w:before="0" w:after="0" w:line="560" w:lineRule="exact"/>
        <w:ind w:firstLine="640" w:firstLineChars="200"/>
        <w:textAlignment w:val="auto"/>
        <w:rPr>
          <w:rFonts w:hint="eastAsia" w:eastAsia="仿宋_GB2312"/>
          <w:b w:val="0"/>
          <w:sz w:val="32"/>
        </w:rPr>
      </w:pPr>
      <w:r>
        <w:rPr>
          <w:rFonts w:hint="eastAsia" w:eastAsia="仿宋_GB2312"/>
          <w:b w:val="0"/>
          <w:sz w:val="32"/>
          <w:lang w:val="en-US" w:eastAsia="zh-CN"/>
        </w:rPr>
        <w:t>（五）</w:t>
      </w:r>
      <w:r>
        <w:rPr>
          <w:rFonts w:hint="eastAsia" w:eastAsia="仿宋_GB2312"/>
          <w:b w:val="0"/>
          <w:sz w:val="32"/>
        </w:rPr>
        <w:t>评估结论</w:t>
      </w:r>
    </w:p>
    <w:p w14:paraId="516FC22E">
      <w:pPr>
        <w:pStyle w:val="5"/>
        <w:pageBreakBefore w:val="0"/>
        <w:kinsoku/>
        <w:wordWrap/>
        <w:overflowPunct/>
        <w:topLinePunct w:val="0"/>
        <w:autoSpaceDE/>
        <w:autoSpaceDN/>
        <w:bidi w:val="0"/>
        <w:spacing w:line="560" w:lineRule="exact"/>
        <w:ind w:firstLine="640" w:firstLineChars="200"/>
        <w:rPr>
          <w:rFonts w:hint="default" w:eastAsia="仿宋_GB2312"/>
          <w:b w:val="0"/>
          <w:sz w:val="32"/>
          <w:lang w:val="en-US" w:eastAsia="zh-CN"/>
        </w:rPr>
      </w:pPr>
      <w:r>
        <w:rPr>
          <w:rFonts w:hint="eastAsia" w:ascii="仿宋_GB2312" w:hAnsi="仿宋_GB2312" w:eastAsia="仿宋_GB2312" w:cs="仿宋_GB2312"/>
          <w:b w:val="0"/>
          <w:sz w:val="32"/>
          <w:szCs w:val="32"/>
          <w:lang w:val="en-US" w:eastAsia="zh-CN"/>
        </w:rPr>
        <w:t>综合评分95分。</w:t>
      </w:r>
    </w:p>
    <w:p w14:paraId="26243F01">
      <w:pPr>
        <w:pStyle w:val="10"/>
        <w:pageBreakBefore w:val="0"/>
        <w:widowControl w:val="0"/>
        <w:kinsoku/>
        <w:wordWrap/>
        <w:overflowPunct/>
        <w:topLinePunct w:val="0"/>
        <w:autoSpaceDE/>
        <w:autoSpaceDN/>
        <w:bidi w:val="0"/>
        <w:spacing w:line="560" w:lineRule="exact"/>
        <w:ind w:left="49" w:firstLine="640" w:firstLineChars="200"/>
        <w:textAlignment w:val="auto"/>
        <w:rPr>
          <w:rFonts w:hint="eastAsia" w:ascii="Times New Roman" w:hAnsi="Times New Roman" w:eastAsia="仿宋_GB2312"/>
          <w:b w:val="0"/>
          <w:sz w:val="32"/>
          <w:szCs w:val="32"/>
        </w:rPr>
      </w:pPr>
      <w:r>
        <w:rPr>
          <w:rFonts w:hint="eastAsia" w:ascii="仿宋_GB2312" w:eastAsia="仿宋_GB2312"/>
          <w:b w:val="0"/>
          <w:sz w:val="32"/>
        </w:rPr>
        <w:t>综合前述评估内容来看，该项目立项必要性和依据充分，绩效目标明确，具备实施条件，具有公共性，符合财政资金支持方向等。建议</w:t>
      </w:r>
      <w:r>
        <w:rPr>
          <w:rFonts w:hint="eastAsia" w:ascii="仿宋_GB2312" w:eastAsia="仿宋_GB2312"/>
          <w:b w:val="0"/>
          <w:sz w:val="32"/>
          <w:lang w:eastAsia="zh-CN"/>
        </w:rPr>
        <w:t>予以支持</w:t>
      </w:r>
      <w:r>
        <w:rPr>
          <w:rFonts w:hint="eastAsia" w:ascii="仿宋_GB2312" w:eastAsia="仿宋_GB2312"/>
          <w:b w:val="0"/>
          <w:sz w:val="32"/>
        </w:rPr>
        <w:t>，预算控制在</w:t>
      </w:r>
      <w:r>
        <w:rPr>
          <w:rFonts w:hint="eastAsia" w:ascii="仿宋_GB2312" w:eastAsia="仿宋_GB2312"/>
          <w:b w:val="0"/>
          <w:sz w:val="32"/>
          <w:lang w:val="en-US" w:eastAsia="zh-CN"/>
        </w:rPr>
        <w:t>77</w:t>
      </w:r>
      <w:r>
        <w:rPr>
          <w:rFonts w:hint="eastAsia" w:ascii="仿宋_GB2312" w:eastAsia="仿宋_GB2312"/>
          <w:b w:val="0"/>
          <w:sz w:val="32"/>
        </w:rPr>
        <w:t>万元以内。该项目申请资金总预算</w:t>
      </w:r>
      <w:r>
        <w:rPr>
          <w:rFonts w:hint="eastAsia" w:ascii="仿宋_GB2312" w:hAnsi="宋体" w:eastAsia="仿宋_GB2312"/>
          <w:b w:val="0"/>
          <w:sz w:val="32"/>
          <w:szCs w:val="32"/>
          <w:lang w:val="en-US" w:eastAsia="zh-CN"/>
        </w:rPr>
        <w:t>777</w:t>
      </w:r>
      <w:r>
        <w:rPr>
          <w:rFonts w:hint="eastAsia" w:ascii="仿宋_GB2312" w:eastAsia="仿宋_GB2312"/>
          <w:b w:val="0"/>
          <w:sz w:val="32"/>
        </w:rPr>
        <w:t>万元，经评审，建议预算申报数</w:t>
      </w:r>
      <w:r>
        <w:rPr>
          <w:rFonts w:hint="eastAsia" w:ascii="仿宋_GB2312" w:hAnsi="宋体" w:eastAsia="仿宋_GB2312"/>
          <w:b w:val="0"/>
          <w:sz w:val="32"/>
          <w:szCs w:val="32"/>
          <w:lang w:val="en-US" w:eastAsia="zh-CN"/>
        </w:rPr>
        <w:t>77</w:t>
      </w:r>
      <w:r>
        <w:rPr>
          <w:rFonts w:hint="eastAsia" w:ascii="仿宋_GB2312" w:eastAsia="仿宋_GB2312"/>
          <w:b w:val="0"/>
          <w:sz w:val="32"/>
        </w:rPr>
        <w:t>万元</w:t>
      </w:r>
      <w:r>
        <w:rPr>
          <w:rFonts w:hint="eastAsia" w:ascii="仿宋_GB2312" w:eastAsia="仿宋_GB2312"/>
          <w:b w:val="0"/>
          <w:sz w:val="32"/>
          <w:lang w:eastAsia="zh-CN"/>
        </w:rPr>
        <w:t>，</w:t>
      </w:r>
      <w:r>
        <w:rPr>
          <w:rFonts w:hint="eastAsia" w:ascii="仿宋_GB2312" w:eastAsia="仿宋_GB2312"/>
          <w:b w:val="0"/>
          <w:sz w:val="32"/>
        </w:rPr>
        <w:t>我单位将进一步</w:t>
      </w:r>
      <w:r>
        <w:rPr>
          <w:rFonts w:hint="eastAsia" w:ascii="仿宋_GB2312" w:eastAsia="仿宋_GB2312"/>
          <w:b w:val="0"/>
          <w:sz w:val="32"/>
          <w:u w:val="none"/>
        </w:rPr>
        <w:t>优化完善实施方案和绩效目标，加强运行监控，节约财政资金并提升资金效益，提升预算绩效管理水平</w:t>
      </w:r>
      <w:r>
        <w:rPr>
          <w:rFonts w:hint="eastAsia" w:ascii="仿宋_GB2312" w:eastAsia="仿宋_GB2312"/>
          <w:b w:val="0"/>
          <w:sz w:val="32"/>
          <w:u w:val="none"/>
          <w:lang w:eastAsia="zh-CN"/>
        </w:rPr>
        <w:t>。</w:t>
      </w:r>
    </w:p>
    <w:p w14:paraId="22F78B9C">
      <w:pPr>
        <w:pageBreakBefore w:val="0"/>
        <w:widowControl w:val="0"/>
        <w:kinsoku/>
        <w:wordWrap/>
        <w:overflowPunct/>
        <w:topLinePunct w:val="0"/>
        <w:autoSpaceDE/>
        <w:autoSpaceDN/>
        <w:bidi w:val="0"/>
        <w:spacing w:line="560" w:lineRule="exact"/>
        <w:ind w:firstLine="640"/>
        <w:textAlignment w:val="auto"/>
        <w:rPr>
          <w:rFonts w:hint="eastAsia" w:ascii="仿宋_GB2312" w:hAnsi="宋体" w:eastAsia="仿宋_GB2312"/>
          <w:b w:val="0"/>
          <w:sz w:val="32"/>
          <w:szCs w:val="32"/>
        </w:rPr>
      </w:pPr>
      <w:r>
        <w:rPr>
          <w:rFonts w:hint="eastAsia" w:ascii="仿宋_GB2312" w:hAnsi="宋体" w:eastAsia="仿宋_GB2312"/>
          <w:b w:val="0"/>
          <w:sz w:val="32"/>
          <w:szCs w:val="32"/>
        </w:rPr>
        <w:t>项目可行，立项实施。进一步明确绩效目标，细化、量化相关指标。明确相关路线，细化工作内容，完善工作手段，调整工作部署和进度安排。细化完善项目预算。</w:t>
      </w:r>
    </w:p>
    <w:p w14:paraId="56A59B8B">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六</w:t>
      </w:r>
      <w:r>
        <w:rPr>
          <w:rFonts w:hint="eastAsia" w:eastAsia="仿宋_GB2312"/>
          <w:b w:val="0"/>
          <w:sz w:val="32"/>
          <w:lang w:eastAsia="zh-CN"/>
        </w:rPr>
        <w:t>）</w:t>
      </w:r>
      <w:r>
        <w:rPr>
          <w:rFonts w:hint="eastAsia" w:eastAsia="仿宋_GB2312"/>
          <w:b w:val="0"/>
          <w:sz w:val="32"/>
        </w:rPr>
        <w:t>其它说明事项</w:t>
      </w:r>
    </w:p>
    <w:p w14:paraId="3E43E26B">
      <w:pPr>
        <w:pageBreakBefore w:val="0"/>
        <w:tabs>
          <w:tab w:val="center" w:pos="4153"/>
          <w:tab w:val="right" w:pos="8306"/>
        </w:tabs>
        <w:kinsoku/>
        <w:wordWrap/>
        <w:overflowPunct/>
        <w:topLinePunct w:val="0"/>
        <w:autoSpaceDE/>
        <w:autoSpaceDN/>
        <w:bidi w:val="0"/>
        <w:spacing w:line="560" w:lineRule="exact"/>
        <w:ind w:firstLine="640" w:firstLineChars="200"/>
        <w:rPr>
          <w:rFonts w:eastAsia="仿宋_GB2312"/>
          <w:b w:val="0"/>
          <w:sz w:val="32"/>
        </w:rPr>
      </w:pPr>
      <w:r>
        <w:rPr>
          <w:rFonts w:hint="eastAsia" w:ascii="仿宋_GB2312" w:hAnsi="仿宋_GB2312" w:eastAsia="仿宋_GB2312" w:cs="仿宋_GB2312"/>
          <w:b w:val="0"/>
          <w:sz w:val="32"/>
          <w:szCs w:val="32"/>
        </w:rPr>
        <w:t>该项目预算编制真实完整，预算编制内容科学合理、明确细化，与绩效目标、实施方案紧密衔接，预算标准依据充分、测算准确</w:t>
      </w:r>
      <w:r>
        <w:rPr>
          <w:rFonts w:hint="eastAsia" w:ascii="仿宋_GB2312" w:hAnsi="仿宋_GB2312" w:eastAsia="仿宋_GB2312" w:cs="仿宋_GB2312"/>
          <w:b w:val="0"/>
          <w:sz w:val="32"/>
          <w:szCs w:val="32"/>
          <w:lang w:eastAsia="zh-CN"/>
        </w:rPr>
        <w:t>。</w:t>
      </w:r>
    </w:p>
    <w:p w14:paraId="54CF5DE7">
      <w:pPr>
        <w:pageBreakBefore w:val="0"/>
        <w:tabs>
          <w:tab w:val="center" w:pos="4153"/>
          <w:tab w:val="right" w:pos="8306"/>
        </w:tabs>
        <w:kinsoku/>
        <w:wordWrap/>
        <w:overflowPunct/>
        <w:topLinePunct w:val="0"/>
        <w:autoSpaceDE/>
        <w:autoSpaceDN/>
        <w:bidi w:val="0"/>
        <w:spacing w:line="560" w:lineRule="exact"/>
        <w:ind w:firstLine="640" w:firstLineChars="200"/>
        <w:rPr>
          <w:rFonts w:hint="eastAsia" w:ascii="仿宋_GB2312" w:hAnsi="宋体" w:eastAsia="仿宋_GB2312"/>
          <w:b w:val="0"/>
          <w:color w:val="C00000"/>
          <w:sz w:val="32"/>
          <w:szCs w:val="32"/>
          <w:lang w:eastAsia="zh-CN"/>
        </w:rPr>
      </w:pPr>
      <w:r>
        <w:rPr>
          <w:rFonts w:hint="eastAsia" w:ascii="仿宋_GB2312" w:hAnsi="宋体" w:eastAsia="仿宋_GB2312"/>
          <w:b w:val="0"/>
          <w:bCs/>
          <w:color w:val="C00000"/>
          <w:sz w:val="32"/>
          <w:szCs w:val="32"/>
          <w:lang w:eastAsia="zh-CN"/>
        </w:rPr>
        <w:t>重点项目</w:t>
      </w:r>
      <w:r>
        <w:rPr>
          <w:rFonts w:hint="eastAsia" w:ascii="仿宋_GB2312" w:hAnsi="宋体" w:eastAsia="仿宋_GB2312"/>
          <w:b w:val="0"/>
          <w:bCs/>
          <w:color w:val="C00000"/>
          <w:sz w:val="32"/>
          <w:szCs w:val="32"/>
          <w:lang w:val="en-US" w:eastAsia="zh-CN"/>
        </w:rPr>
        <w:t>6</w:t>
      </w:r>
      <w:r>
        <w:rPr>
          <w:rFonts w:hint="eastAsia" w:ascii="仿宋_GB2312" w:hAnsi="宋体" w:eastAsia="仿宋_GB2312"/>
          <w:b w:val="0"/>
          <w:bCs/>
          <w:color w:val="C00000"/>
          <w:sz w:val="32"/>
          <w:szCs w:val="32"/>
          <w:lang w:eastAsia="zh-CN"/>
        </w:rPr>
        <w:t>：居家养老项目</w:t>
      </w:r>
    </w:p>
    <w:p w14:paraId="4E7EF999">
      <w:pPr>
        <w:pageBreakBefore w:val="0"/>
        <w:widowControl/>
        <w:kinsoku/>
        <w:wordWrap/>
        <w:overflowPunct/>
        <w:topLinePunct w:val="0"/>
        <w:autoSpaceDE/>
        <w:autoSpaceDN/>
        <w:bidi w:val="0"/>
        <w:spacing w:line="560" w:lineRule="exact"/>
        <w:ind w:firstLine="640" w:firstLineChars="200"/>
        <w:jc w:val="left"/>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项目年度绩效目标：</w:t>
      </w:r>
      <w:r>
        <w:rPr>
          <w:rFonts w:hint="eastAsia" w:ascii="仿宋_GB2312" w:hAnsi="仿宋_GB2312" w:eastAsia="仿宋_GB2312" w:cs="仿宋_GB2312"/>
          <w:b w:val="0"/>
          <w:color w:val="000000"/>
          <w:kern w:val="0"/>
          <w:sz w:val="32"/>
          <w:szCs w:val="32"/>
        </w:rPr>
        <w:t>贯彻落实养老服务发展法规政策标准，支持老年建设，提高社区养老服务设施覆盖率，健全养老服务体系，提升养老服务质量。</w:t>
      </w:r>
      <w:r>
        <w:rPr>
          <w:rFonts w:hint="eastAsia" w:ascii="仿宋_GB2312" w:hAnsi="仿宋_GB2312" w:eastAsia="仿宋_GB2312" w:cs="仿宋_GB2312"/>
          <w:b w:val="0"/>
          <w:color w:val="000000"/>
          <w:kern w:val="0"/>
          <w:sz w:val="32"/>
          <w:szCs w:val="32"/>
          <w:lang w:val="en-US" w:eastAsia="zh-CN"/>
        </w:rPr>
        <w:t>2025年按照规模适度的要求，计划在全县范围内选点建设3个日间照料中心，</w:t>
      </w:r>
      <w:r>
        <w:rPr>
          <w:rFonts w:hint="eastAsia" w:ascii="仿宋_GB2312" w:hAnsi="仿宋_GB2312" w:eastAsia="仿宋_GB2312" w:cs="仿宋_GB2312"/>
          <w:b w:val="0"/>
          <w:bCs w:val="0"/>
          <w:kern w:val="32"/>
          <w:sz w:val="32"/>
          <w:szCs w:val="32"/>
        </w:rPr>
        <w:t>床位数量达到</w:t>
      </w:r>
      <w:r>
        <w:rPr>
          <w:rFonts w:hint="eastAsia" w:ascii="仿宋_GB2312" w:hAnsi="仿宋_GB2312" w:eastAsia="仿宋_GB2312" w:cs="仿宋_GB2312"/>
          <w:b w:val="0"/>
          <w:bCs w:val="0"/>
          <w:kern w:val="32"/>
          <w:sz w:val="32"/>
          <w:szCs w:val="32"/>
          <w:lang w:val="en-US" w:eastAsia="zh-CN"/>
        </w:rPr>
        <w:t>7</w:t>
      </w:r>
      <w:r>
        <w:rPr>
          <w:rFonts w:hint="eastAsia" w:ascii="仿宋_GB2312" w:hAnsi="仿宋_GB2312" w:eastAsia="仿宋_GB2312" w:cs="仿宋_GB2312"/>
          <w:b w:val="0"/>
          <w:bCs w:val="0"/>
          <w:kern w:val="32"/>
          <w:sz w:val="32"/>
          <w:szCs w:val="32"/>
        </w:rPr>
        <w:t>张以上</w:t>
      </w:r>
      <w:r>
        <w:rPr>
          <w:rFonts w:hint="eastAsia" w:ascii="仿宋_GB2312" w:hAnsi="仿宋_GB2312" w:eastAsia="仿宋_GB2312" w:cs="仿宋_GB2312"/>
          <w:b w:val="0"/>
          <w:bCs w:val="0"/>
          <w:kern w:val="32"/>
          <w:sz w:val="32"/>
          <w:szCs w:val="32"/>
          <w:lang w:eastAsia="zh-CN"/>
        </w:rPr>
        <w:t>。</w:t>
      </w:r>
      <w:r>
        <w:rPr>
          <w:rFonts w:hint="eastAsia" w:ascii="仿宋_GB2312" w:hAnsi="仿宋_GB2312" w:eastAsia="仿宋_GB2312" w:cs="仿宋_GB2312"/>
          <w:b w:val="0"/>
          <w:bCs w:val="0"/>
          <w:kern w:val="32"/>
          <w:sz w:val="32"/>
          <w:szCs w:val="32"/>
        </w:rPr>
        <w:t>主要面向辐射区域内失能、高龄独居以及其他需要长期入住机构、需要临时短期托养的老年人</w:t>
      </w:r>
      <w:r>
        <w:rPr>
          <w:rFonts w:hint="eastAsia" w:ascii="仿宋_GB2312" w:hAnsi="仿宋_GB2312" w:eastAsia="仿宋_GB2312" w:cs="仿宋_GB2312"/>
          <w:b w:val="0"/>
          <w:bCs w:val="0"/>
          <w:kern w:val="32"/>
          <w:sz w:val="32"/>
          <w:szCs w:val="32"/>
          <w:lang w:eastAsia="zh-CN"/>
        </w:rPr>
        <w:t>。</w:t>
      </w:r>
    </w:p>
    <w:p w14:paraId="0F7C8C79">
      <w:pPr>
        <w:pageBreakBefore w:val="0"/>
        <w:kinsoku/>
        <w:wordWrap/>
        <w:overflowPunct/>
        <w:topLinePunct w:val="0"/>
        <w:autoSpaceDE/>
        <w:autoSpaceDN/>
        <w:bidi w:val="0"/>
        <w:spacing w:line="560" w:lineRule="exact"/>
        <w:ind w:firstLine="640" w:firstLineChars="200"/>
        <w:rPr>
          <w:rStyle w:val="11"/>
          <w:rFonts w:hint="eastAsia" w:hAnsi="仿宋_GB2312" w:eastAsia="仿宋_GB2312" w:cstheme="minorBidi"/>
          <w:b w:val="0"/>
          <w:bCs/>
          <w:color w:val="auto"/>
          <w:sz w:val="32"/>
          <w:highlight w:val="none"/>
        </w:rPr>
      </w:pPr>
      <w:r>
        <w:rPr>
          <w:rFonts w:hint="eastAsia" w:ascii="仿宋_GB2312" w:hAnsi="仿宋_GB2312" w:eastAsia="仿宋_GB2312" w:cs="仿宋_GB2312"/>
          <w:b w:val="0"/>
          <w:sz w:val="32"/>
          <w:szCs w:val="32"/>
          <w:lang w:val="en-US" w:eastAsia="zh-CN"/>
        </w:rPr>
        <w:t>绩效指标设置情况：</w:t>
      </w:r>
      <w:r>
        <w:rPr>
          <w:rFonts w:hint="eastAsia" w:ascii="仿宋_GB2312" w:hAnsi="仿宋_GB2312" w:eastAsia="仿宋_GB2312" w:cs="仿宋_GB2312"/>
          <w:b w:val="0"/>
          <w:kern w:val="2"/>
          <w:sz w:val="32"/>
          <w:szCs w:val="32"/>
          <w:lang w:val="en-US" w:eastAsia="zh-CN"/>
        </w:rPr>
        <w:t>3个日间照料中心建设75万元（资金来源为省级资金26.25万元、州级资金14.625万元、县级资金34.125万元）</w:t>
      </w:r>
      <w:r>
        <w:rPr>
          <w:rFonts w:hint="eastAsia" w:ascii="仿宋_GB2312" w:hAnsi="仿宋_GB2312" w:eastAsia="仿宋_GB2312" w:cs="仿宋_GB2312"/>
          <w:b w:val="0"/>
          <w:kern w:val="2"/>
          <w:sz w:val="32"/>
          <w:szCs w:val="32"/>
        </w:rPr>
        <w:t>本项目的主要内容</w:t>
      </w:r>
      <w:r>
        <w:rPr>
          <w:rStyle w:val="11"/>
          <w:rFonts w:hint="eastAsia" w:hAnsi="仿宋_GB2312" w:eastAsia="仿宋_GB2312" w:cstheme="minorBidi"/>
          <w:b w:val="0"/>
          <w:bCs/>
          <w:color w:val="auto"/>
          <w:sz w:val="32"/>
          <w:highlight w:val="none"/>
        </w:rPr>
        <w:t>围绕2016到202</w:t>
      </w:r>
      <w:r>
        <w:rPr>
          <w:rStyle w:val="11"/>
          <w:rFonts w:hint="eastAsia" w:hAnsi="仿宋_GB2312" w:eastAsia="仿宋_GB2312" w:cstheme="minorBidi"/>
          <w:b w:val="0"/>
          <w:bCs/>
          <w:color w:val="auto"/>
          <w:sz w:val="32"/>
          <w:highlight w:val="none"/>
          <w:lang w:val="en-US" w:eastAsia="zh-CN"/>
        </w:rPr>
        <w:t>5</w:t>
      </w:r>
      <w:r>
        <w:rPr>
          <w:rStyle w:val="11"/>
          <w:rFonts w:hint="eastAsia" w:hAnsi="仿宋_GB2312" w:eastAsia="仿宋_GB2312" w:cstheme="minorBidi"/>
          <w:b w:val="0"/>
          <w:bCs/>
          <w:color w:val="auto"/>
          <w:sz w:val="32"/>
          <w:highlight w:val="none"/>
        </w:rPr>
        <w:t>年实现90﹪的城市社区、50﹪的农村社区建有社区老年人日间照料中心的目标，因地制宜推动城乡社区</w:t>
      </w:r>
      <w:r>
        <w:rPr>
          <w:rStyle w:val="11"/>
          <w:rFonts w:hint="eastAsia" w:hAnsi="仿宋_GB2312" w:eastAsia="仿宋_GB2312" w:cstheme="minorBidi"/>
          <w:b w:val="0"/>
          <w:bCs/>
          <w:color w:val="auto"/>
          <w:sz w:val="32"/>
          <w:highlight w:val="none"/>
          <w:lang w:eastAsia="zh-CN"/>
        </w:rPr>
        <w:t>日间</w:t>
      </w:r>
      <w:r>
        <w:rPr>
          <w:rStyle w:val="11"/>
          <w:rFonts w:hint="eastAsia" w:hAnsi="仿宋_GB2312" w:eastAsia="仿宋_GB2312" w:cstheme="minorBidi"/>
          <w:b w:val="0"/>
          <w:bCs/>
          <w:color w:val="auto"/>
          <w:sz w:val="32"/>
          <w:highlight w:val="none"/>
        </w:rPr>
        <w:t>照料中心建设。构建居家养老支付服务机制并覆盖2</w:t>
      </w:r>
      <w:r>
        <w:rPr>
          <w:rStyle w:val="11"/>
          <w:rFonts w:hint="eastAsia" w:hAnsi="仿宋_GB2312" w:eastAsia="仿宋_GB2312" w:cstheme="minorBidi"/>
          <w:b w:val="0"/>
          <w:bCs/>
          <w:color w:val="auto"/>
          <w:sz w:val="32"/>
          <w:highlight w:val="none"/>
          <w:lang w:val="en-US" w:eastAsia="zh-CN"/>
        </w:rPr>
        <w:t>000</w:t>
      </w:r>
      <w:r>
        <w:rPr>
          <w:rStyle w:val="11"/>
          <w:rFonts w:hint="eastAsia" w:hAnsi="仿宋_GB2312" w:eastAsia="仿宋_GB2312" w:cstheme="minorBidi"/>
          <w:b w:val="0"/>
          <w:bCs/>
          <w:color w:val="auto"/>
          <w:sz w:val="32"/>
          <w:highlight w:val="none"/>
        </w:rPr>
        <w:t>名困难家庭的失能老人、独居老人和80周岁以上高龄老人居家养老服务补助政策，确保202</w:t>
      </w:r>
      <w:r>
        <w:rPr>
          <w:rStyle w:val="11"/>
          <w:rFonts w:hint="eastAsia" w:hAnsi="仿宋_GB2312" w:eastAsia="仿宋_GB2312" w:cstheme="minorBidi"/>
          <w:b w:val="0"/>
          <w:bCs/>
          <w:color w:val="auto"/>
          <w:sz w:val="32"/>
          <w:highlight w:val="none"/>
          <w:lang w:val="en-US" w:eastAsia="zh-CN"/>
        </w:rPr>
        <w:t>2</w:t>
      </w:r>
      <w:r>
        <w:rPr>
          <w:rStyle w:val="11"/>
          <w:rFonts w:hint="eastAsia" w:hAnsi="仿宋_GB2312" w:eastAsia="仿宋_GB2312" w:cstheme="minorBidi"/>
          <w:b w:val="0"/>
          <w:bCs/>
          <w:color w:val="auto"/>
          <w:sz w:val="32"/>
          <w:highlight w:val="none"/>
        </w:rPr>
        <w:t>年以前实现补助对象全覆盖的目标，采用政府向各类养老服务组织购买服务和开发公益性岗位等方式，构建居家养老支持服务机制，为全县2</w:t>
      </w:r>
      <w:r>
        <w:rPr>
          <w:rStyle w:val="11"/>
          <w:rFonts w:hint="eastAsia" w:hAnsi="仿宋_GB2312" w:eastAsia="仿宋_GB2312" w:cstheme="minorBidi"/>
          <w:b w:val="0"/>
          <w:bCs/>
          <w:color w:val="auto"/>
          <w:sz w:val="32"/>
          <w:highlight w:val="none"/>
          <w:lang w:val="en-US" w:eastAsia="zh-CN"/>
        </w:rPr>
        <w:t>0</w:t>
      </w:r>
      <w:r>
        <w:rPr>
          <w:rStyle w:val="11"/>
          <w:rFonts w:hint="eastAsia" w:hAnsi="仿宋_GB2312" w:eastAsia="仿宋_GB2312" w:cstheme="minorBidi"/>
          <w:b w:val="0"/>
          <w:bCs/>
          <w:color w:val="auto"/>
          <w:sz w:val="32"/>
          <w:highlight w:val="none"/>
        </w:rPr>
        <w:t>00名居家养老的高龄老人和困难老人提供助餐、助医、助浴、助行等多种服务。</w:t>
      </w:r>
    </w:p>
    <w:p w14:paraId="051164B2">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一</w:t>
      </w:r>
      <w:r>
        <w:rPr>
          <w:rFonts w:hint="eastAsia" w:eastAsia="仿宋_GB2312"/>
          <w:b w:val="0"/>
          <w:sz w:val="32"/>
          <w:lang w:eastAsia="zh-CN"/>
        </w:rPr>
        <w:t>）</w:t>
      </w:r>
      <w:r>
        <w:rPr>
          <w:rFonts w:hint="eastAsia" w:eastAsia="仿宋_GB2312"/>
          <w:b w:val="0"/>
          <w:sz w:val="32"/>
        </w:rPr>
        <w:t>评估原则</w:t>
      </w:r>
    </w:p>
    <w:p w14:paraId="6309417B">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Times New Roman"/>
          <w:b w:val="0"/>
          <w:sz w:val="32"/>
          <w:szCs w:val="32"/>
        </w:rPr>
      </w:pPr>
      <w:r>
        <w:rPr>
          <w:rFonts w:hint="eastAsia" w:ascii="仿宋_GB2312" w:hAnsi="宋体" w:eastAsia="仿宋_GB2312" w:cs="Times New Roman"/>
          <w:b w:val="0"/>
          <w:sz w:val="32"/>
          <w:szCs w:val="32"/>
        </w:rPr>
        <w:t>根据202</w:t>
      </w:r>
      <w:r>
        <w:rPr>
          <w:rFonts w:hint="eastAsia" w:ascii="仿宋_GB2312" w:hAnsi="宋体" w:eastAsia="仿宋_GB2312" w:cs="Times New Roman"/>
          <w:b w:val="0"/>
          <w:sz w:val="32"/>
          <w:szCs w:val="32"/>
          <w:lang w:val="en-US" w:eastAsia="zh-CN"/>
        </w:rPr>
        <w:t>5</w:t>
      </w:r>
      <w:r>
        <w:rPr>
          <w:rFonts w:hint="eastAsia" w:ascii="仿宋_GB2312" w:hAnsi="宋体" w:eastAsia="仿宋_GB2312" w:cs="Times New Roman"/>
          <w:b w:val="0"/>
          <w:sz w:val="32"/>
          <w:szCs w:val="32"/>
        </w:rPr>
        <w:t>年预算编制要求，绩效评估本着真正过紧日子的原则，厉行节约、精打细算，从严从紧控制项目申报和预算安排，非必要项目和工作内容可压尽压、应压尽压，做到客观、绩效、精准。</w:t>
      </w:r>
    </w:p>
    <w:p w14:paraId="4DCB2017">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二</w:t>
      </w:r>
      <w:r>
        <w:rPr>
          <w:rFonts w:hint="eastAsia" w:eastAsia="仿宋_GB2312"/>
          <w:b w:val="0"/>
          <w:sz w:val="32"/>
          <w:lang w:eastAsia="zh-CN"/>
        </w:rPr>
        <w:t>）</w:t>
      </w:r>
      <w:r>
        <w:rPr>
          <w:rFonts w:eastAsia="仿宋_GB2312"/>
          <w:b w:val="0"/>
          <w:sz w:val="32"/>
        </w:rPr>
        <w:t>、</w:t>
      </w:r>
      <w:r>
        <w:rPr>
          <w:rFonts w:hint="eastAsia" w:eastAsia="仿宋_GB2312"/>
          <w:b w:val="0"/>
          <w:sz w:val="32"/>
        </w:rPr>
        <w:t>评估目的</w:t>
      </w:r>
    </w:p>
    <w:p w14:paraId="0BECED80">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b w:val="0"/>
          <w:sz w:val="32"/>
          <w:szCs w:val="32"/>
        </w:rPr>
      </w:pPr>
      <w:r>
        <w:rPr>
          <w:rFonts w:hint="eastAsia" w:ascii="仿宋_GB2312" w:hAnsi="宋体" w:eastAsia="仿宋_GB2312" w:cs="Times New Roman"/>
          <w:b w:val="0"/>
          <w:sz w:val="32"/>
          <w:szCs w:val="32"/>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3F2AAECB">
      <w:pPr>
        <w:pStyle w:val="12"/>
        <w:pageBreakBefore w:val="0"/>
        <w:widowControl w:val="0"/>
        <w:numPr>
          <w:ilvl w:val="0"/>
          <w:numId w:val="0"/>
        </w:numPr>
        <w:kinsoku/>
        <w:wordWrap/>
        <w:overflowPunct/>
        <w:topLinePunct w:val="0"/>
        <w:autoSpaceDE/>
        <w:autoSpaceDN/>
        <w:bidi w:val="0"/>
        <w:snapToGrid w:val="0"/>
        <w:spacing w:line="560" w:lineRule="exact"/>
        <w:ind w:leftChars="0" w:firstLine="640" w:firstLineChars="200"/>
        <w:textAlignment w:val="auto"/>
        <w:rPr>
          <w:rFonts w:hint="eastAsia" w:ascii="黑体" w:eastAsia="仿宋_GB2312"/>
          <w:b w:val="0"/>
          <w:bCs/>
          <w:sz w:val="32"/>
          <w:szCs w:val="32"/>
        </w:rPr>
      </w:pPr>
      <w:r>
        <w:rPr>
          <w:rFonts w:hint="eastAsia" w:ascii="黑体" w:eastAsia="仿宋_GB2312"/>
          <w:b w:val="0"/>
          <w:bCs/>
          <w:sz w:val="32"/>
          <w:szCs w:val="32"/>
          <w:lang w:eastAsia="zh-CN"/>
        </w:rPr>
        <w:t>（</w:t>
      </w:r>
      <w:r>
        <w:rPr>
          <w:rFonts w:hint="eastAsia" w:ascii="黑体" w:eastAsia="仿宋_GB2312"/>
          <w:b w:val="0"/>
          <w:bCs/>
          <w:sz w:val="32"/>
          <w:szCs w:val="32"/>
          <w:lang w:val="en-US" w:eastAsia="zh-CN"/>
        </w:rPr>
        <w:t>三</w:t>
      </w:r>
      <w:r>
        <w:rPr>
          <w:rFonts w:hint="eastAsia" w:ascii="黑体" w:eastAsia="仿宋_GB2312"/>
          <w:b w:val="0"/>
          <w:bCs/>
          <w:sz w:val="32"/>
          <w:szCs w:val="32"/>
          <w:lang w:eastAsia="zh-CN"/>
        </w:rPr>
        <w:t>）</w:t>
      </w:r>
      <w:r>
        <w:rPr>
          <w:rFonts w:hint="eastAsia" w:ascii="黑体" w:eastAsia="仿宋_GB2312"/>
          <w:b w:val="0"/>
          <w:bCs/>
          <w:sz w:val="32"/>
          <w:szCs w:val="32"/>
        </w:rPr>
        <w:t>评估</w:t>
      </w:r>
      <w:r>
        <w:rPr>
          <w:rFonts w:hint="eastAsia" w:ascii="黑体" w:eastAsia="仿宋_GB2312"/>
          <w:b w:val="0"/>
          <w:bCs/>
          <w:sz w:val="32"/>
          <w:szCs w:val="32"/>
          <w:lang w:val="en-US" w:eastAsia="zh-CN"/>
        </w:rPr>
        <w:t>程序</w:t>
      </w:r>
      <w:r>
        <w:rPr>
          <w:rFonts w:hint="eastAsia" w:ascii="黑体" w:eastAsia="仿宋_GB2312"/>
          <w:b w:val="0"/>
          <w:bCs/>
          <w:sz w:val="32"/>
          <w:szCs w:val="32"/>
        </w:rPr>
        <w:t>和方法</w:t>
      </w:r>
    </w:p>
    <w:p w14:paraId="273C0FF9">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1、</w:t>
      </w:r>
      <w:r>
        <w:rPr>
          <w:rFonts w:hint="eastAsia" w:ascii="楷体_GB2312" w:hAnsi="楷体_GB2312" w:eastAsia="仿宋_GB2312" w:cs="楷体_GB2312"/>
          <w:b w:val="0"/>
          <w:sz w:val="32"/>
        </w:rPr>
        <w:t>评估</w:t>
      </w:r>
      <w:r>
        <w:rPr>
          <w:rFonts w:hint="eastAsia" w:ascii="楷体_GB2312" w:hAnsi="楷体_GB2312" w:eastAsia="仿宋_GB2312" w:cs="楷体_GB2312"/>
          <w:b w:val="0"/>
          <w:sz w:val="32"/>
          <w:lang w:val="en-US" w:eastAsia="zh-CN"/>
        </w:rPr>
        <w:t>程序</w:t>
      </w:r>
    </w:p>
    <w:p w14:paraId="327FB07E">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Times New Roman"/>
          <w:b w:val="0"/>
          <w:sz w:val="32"/>
          <w:szCs w:val="32"/>
        </w:rPr>
      </w:pPr>
      <w:r>
        <w:rPr>
          <w:rFonts w:hint="eastAsia" w:ascii="仿宋_GB2312" w:hAnsi="宋体" w:eastAsia="仿宋_GB2312" w:cs="Times New Roman"/>
          <w:b w:val="0"/>
          <w:sz w:val="32"/>
          <w:szCs w:val="32"/>
        </w:rPr>
        <w:t>我单位高度重视，为加强项目绩效管理工作，贯彻落实贯穿项目实施全过程的绩效目标管理、绩效监控、绩效评价、结果应用的机制，成立了以局长为组长、分管财务的副局长为副组长、各股室负责人为成员的绩效评价工作组，召开专项工作会议安排，按照预算绩效管理相关要求制定了事前绩效评估管理办法，设置了绩效评价指标体系,由办公室牵头组织开展本部门事前绩效评估工作，由财务股室相关工作人员依据事前绩效评估结果编制、申请预算，配合财政部门做好事前绩效评估有关工作。从项目绩效目标编制入手，加强财政资金的跟踪问效，及时纠正绩效偏差，延伸财政管理链条，提升精细化管理水平，提高财政资金的使用效益。</w:t>
      </w:r>
    </w:p>
    <w:p w14:paraId="0CAE5F67">
      <w:pPr>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CESI仿宋-GB2312" w:eastAsia="仿宋_GB2312"/>
          <w:b w:val="0"/>
          <w:kern w:val="2"/>
          <w:sz w:val="32"/>
          <w:szCs w:val="32"/>
        </w:rPr>
      </w:pPr>
      <w:r>
        <w:rPr>
          <w:rFonts w:hint="eastAsia" w:ascii="CESI楷体-GB2312" w:eastAsia="仿宋_GB2312"/>
          <w:b w:val="0"/>
          <w:sz w:val="32"/>
          <w:szCs w:val="32"/>
          <w:lang w:val="en-US" w:eastAsia="zh-CN"/>
        </w:rPr>
        <w:t>2、</w:t>
      </w:r>
      <w:r>
        <w:rPr>
          <w:rFonts w:hint="eastAsia" w:ascii="CESI楷体-GB2312" w:eastAsia="仿宋_GB2312"/>
          <w:b w:val="0"/>
          <w:sz w:val="32"/>
          <w:szCs w:val="32"/>
        </w:rPr>
        <w:t>评估方法</w:t>
      </w:r>
    </w:p>
    <w:p w14:paraId="3CFCF044">
      <w:pPr>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eastAsia="仿宋_GB2312"/>
          <w:b w:val="0"/>
          <w:sz w:val="32"/>
        </w:rPr>
      </w:pPr>
      <w:r>
        <w:rPr>
          <w:rFonts w:hint="eastAsia" w:ascii="CESI仿宋-GB2312" w:eastAsia="仿宋_GB2312"/>
          <w:b w:val="0"/>
          <w:kern w:val="2"/>
          <w:sz w:val="32"/>
          <w:szCs w:val="32"/>
        </w:rPr>
        <w:t>本项目通过现场踏勘、与项目相关人员座谈或讨论、聘请相关专业专家、市场调研等方法了解项目情况，收集相关资料，综合分析相关情况后，对项目的立项必要性、投入经济性、目标合理性、方案可行性以及筹资合规性实施评估。该项目立项符合主管部门职能、规划及年度重点工作安排的需求，具有迫切的现实需求和明确的服务对象，具有立项的必要性。</w:t>
      </w:r>
    </w:p>
    <w:p w14:paraId="5BA767E1">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仿宋_GB2312" w:hAnsi="宋体" w:eastAsia="仿宋_GB2312"/>
          <w:b w:val="0"/>
          <w:bCs/>
          <w:sz w:val="32"/>
          <w:szCs w:val="32"/>
        </w:rPr>
      </w:pPr>
      <w:r>
        <w:rPr>
          <w:rFonts w:hint="eastAsia" w:eastAsia="仿宋_GB2312"/>
          <w:b w:val="0"/>
          <w:sz w:val="32"/>
          <w:lang w:eastAsia="zh-CN"/>
        </w:rPr>
        <w:t>（</w:t>
      </w:r>
      <w:r>
        <w:rPr>
          <w:rFonts w:hint="eastAsia" w:eastAsia="仿宋_GB2312"/>
          <w:b w:val="0"/>
          <w:sz w:val="32"/>
          <w:lang w:val="en-US" w:eastAsia="zh-CN"/>
        </w:rPr>
        <w:t>四</w:t>
      </w:r>
      <w:r>
        <w:rPr>
          <w:rFonts w:hint="eastAsia" w:eastAsia="仿宋_GB2312"/>
          <w:b w:val="0"/>
          <w:sz w:val="32"/>
          <w:lang w:eastAsia="zh-CN"/>
        </w:rPr>
        <w:t>）</w:t>
      </w:r>
      <w:r>
        <w:rPr>
          <w:rFonts w:hint="eastAsia" w:eastAsia="仿宋_GB2312"/>
          <w:b w:val="0"/>
          <w:sz w:val="32"/>
        </w:rPr>
        <w:t>评估内容</w:t>
      </w:r>
    </w:p>
    <w:p w14:paraId="25DB858C">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1、</w:t>
      </w:r>
      <w:r>
        <w:rPr>
          <w:rFonts w:hint="eastAsia" w:ascii="楷体_GB2312" w:hAnsi="楷体_GB2312" w:eastAsia="仿宋_GB2312" w:cs="楷体_GB2312"/>
          <w:b w:val="0"/>
          <w:sz w:val="32"/>
        </w:rPr>
        <w:t>立项必要性</w:t>
      </w:r>
    </w:p>
    <w:p w14:paraId="7EA3EBA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宋体" w:hAnsi="宋体" w:eastAsia="仿宋_GB2312"/>
          <w:b w:val="0"/>
          <w:sz w:val="32"/>
          <w:szCs w:val="21"/>
          <w:lang w:val="en-US" w:eastAsia="zh-CN"/>
        </w:rPr>
      </w:pPr>
      <w:r>
        <w:rPr>
          <w:rFonts w:hint="eastAsia" w:ascii="仿宋_GB2312" w:hAnsi="仿宋_GB2312" w:eastAsia="仿宋_GB2312" w:cs="仿宋_GB2312"/>
          <w:b w:val="0"/>
          <w:sz w:val="32"/>
          <w:szCs w:val="32"/>
          <w:lang w:val="zh-CN"/>
        </w:rPr>
        <w:t>根据</w:t>
      </w:r>
      <w:r>
        <w:rPr>
          <w:rFonts w:hint="eastAsia" w:ascii="仿宋_GB2312" w:hAnsi="仿宋_GB2312" w:eastAsia="仿宋_GB2312" w:cs="仿宋_GB2312"/>
          <w:b w:val="0"/>
          <w:color w:val="000000"/>
          <w:sz w:val="32"/>
          <w:szCs w:val="32"/>
          <w:shd w:val="clear" w:color="auto" w:fill="FFFFFF"/>
        </w:rPr>
        <w:t>《国务院关于加快发展养老服务业的若干意见》（国发〔2013〕35号）、《四川省人民政府关于加快发展养老服务业的实施意见》（川府发〔2014〕8号）、《四川省关于贯彻《关于全面推进居家养老服务工作的意见》的通知》</w:t>
      </w:r>
      <w:r>
        <w:rPr>
          <w:rFonts w:hint="eastAsia" w:ascii="仿宋_GB2312" w:hAnsi="仿宋_GB2312" w:eastAsia="仿宋_GB2312" w:cs="仿宋_GB2312"/>
          <w:b w:val="0"/>
          <w:color w:val="000000"/>
          <w:sz w:val="32"/>
          <w:szCs w:val="32"/>
          <w:shd w:val="clear" w:color="auto" w:fill="FFFFFF"/>
          <w:lang w:eastAsia="zh-CN"/>
        </w:rPr>
        <w:t>。</w:t>
      </w:r>
      <w:r>
        <w:rPr>
          <w:rFonts w:hint="eastAsia" w:ascii="仿宋_GB2312" w:hAnsi="仿宋_GB2312" w:eastAsia="仿宋_GB2312" w:cs="仿宋_GB2312"/>
          <w:b w:val="0"/>
          <w:bCs w:val="0"/>
          <w:sz w:val="32"/>
          <w:szCs w:val="32"/>
          <w:lang w:val="en-US" w:eastAsia="zh-CN"/>
        </w:rPr>
        <w:t>该项目实施与《关于印发&lt;四川省居家和社区养老服务导则的通知&gt;》（川民发〔2018〕58号）、阿坝州人民政府办公室《关于推进居家养老服务工作实施意见》一致。</w:t>
      </w:r>
      <w:r>
        <w:rPr>
          <w:rFonts w:hint="eastAsia" w:ascii="仿宋_GB2312" w:hAnsi="仿宋_GB2312" w:eastAsia="仿宋_GB2312" w:cs="仿宋_GB2312"/>
          <w:b w:val="0"/>
          <w:sz w:val="32"/>
          <w:szCs w:val="32"/>
        </w:rPr>
        <w:t>养老服务体系项目建设能满足广大老年人日益增长的物质和精神文化需求，</w:t>
      </w:r>
      <w:r>
        <w:rPr>
          <w:rFonts w:hint="eastAsia" w:ascii="仿宋_GB2312" w:hAnsi="仿宋_GB2312" w:eastAsia="仿宋_GB2312" w:cs="仿宋_GB2312"/>
          <w:b w:val="0"/>
          <w:color w:val="000000"/>
          <w:kern w:val="0"/>
          <w:sz w:val="32"/>
          <w:szCs w:val="32"/>
        </w:rPr>
        <w:t>提升老年人生活质量</w:t>
      </w:r>
      <w:r>
        <w:rPr>
          <w:rFonts w:hint="eastAsia" w:ascii="仿宋_GB2312" w:hAnsi="仿宋_GB2312" w:eastAsia="仿宋_GB2312" w:cs="仿宋_GB2312"/>
          <w:b w:val="0"/>
          <w:sz w:val="32"/>
          <w:szCs w:val="32"/>
        </w:rPr>
        <w:t>，构建政府主导、社区参与，以居家养老为基础、社区照料为依托、机构养老为补充，多层次、多类型的社会化养老服务体系，能为老年人提供周到、便捷、高效、体贴的专业化服务，不断促进我县养老服务业的健康发展。</w:t>
      </w:r>
    </w:p>
    <w:p w14:paraId="0F2283BE">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2、</w:t>
      </w:r>
      <w:r>
        <w:rPr>
          <w:rFonts w:hint="eastAsia" w:ascii="楷体_GB2312" w:hAnsi="楷体_GB2312" w:eastAsia="仿宋_GB2312" w:cs="楷体_GB2312"/>
          <w:b w:val="0"/>
          <w:sz w:val="32"/>
        </w:rPr>
        <w:t>投入经济性</w:t>
      </w:r>
    </w:p>
    <w:p w14:paraId="671166B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sz w:val="32"/>
          <w:szCs w:val="32"/>
        </w:rPr>
      </w:pPr>
      <w:r>
        <w:rPr>
          <w:rFonts w:hint="eastAsia" w:ascii="仿宋_GB2312" w:hAnsi="宋体" w:eastAsia="仿宋_GB2312"/>
          <w:b w:val="0"/>
          <w:sz w:val="32"/>
          <w:szCs w:val="32"/>
        </w:rPr>
        <w:t xml:space="preserve"> </w:t>
      </w:r>
      <w:r>
        <w:rPr>
          <w:rFonts w:hint="eastAsia" w:ascii="仿宋_GB2312" w:hAnsi="仿宋_GB2312" w:eastAsia="仿宋_GB2312" w:cs="仿宋_GB2312"/>
          <w:b w:val="0"/>
          <w:sz w:val="32"/>
          <w:szCs w:val="32"/>
        </w:rPr>
        <w:t>该项目成本测算科学合理、具体充分，项目投入成本与预期效益高度相关，投入产出比科学合理，符合投入最小化、产出最大化预期。</w:t>
      </w:r>
    </w:p>
    <w:p w14:paraId="0A8A7AB7">
      <w:pPr>
        <w:keepNext w:val="0"/>
        <w:keepLines w:val="0"/>
        <w:pageBreakBefore w:val="0"/>
        <w:widowControl w:val="0"/>
        <w:suppressLineNumbers w:val="0"/>
        <w:suppressAutoHyphens/>
        <w:kinsoku/>
        <w:wordWrap/>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kern w:val="2"/>
          <w:sz w:val="32"/>
          <w:szCs w:val="32"/>
          <w:lang w:eastAsia="zh-CN"/>
        </w:rPr>
      </w:pPr>
      <w:r>
        <w:rPr>
          <w:rFonts w:hint="eastAsia" w:ascii="仿宋_GB2312" w:hAnsi="仿宋_GB2312" w:eastAsia="仿宋_GB2312" w:cs="仿宋_GB2312"/>
          <w:b w:val="0"/>
          <w:kern w:val="2"/>
          <w:sz w:val="32"/>
          <w:szCs w:val="32"/>
        </w:rPr>
        <w:t>项目申报预算为</w:t>
      </w:r>
      <w:r>
        <w:rPr>
          <w:rFonts w:hint="eastAsia" w:ascii="仿宋_GB2312" w:hAnsi="仿宋_GB2312" w:eastAsia="仿宋_GB2312" w:cs="仿宋_GB2312"/>
          <w:b w:val="0"/>
          <w:kern w:val="2"/>
          <w:sz w:val="32"/>
          <w:szCs w:val="32"/>
          <w:lang w:val="en-US" w:eastAsia="zh-CN"/>
        </w:rPr>
        <w:t>50张床位25万元</w:t>
      </w:r>
      <w:r>
        <w:rPr>
          <w:rFonts w:hint="eastAsia" w:ascii="仿宋_GB2312" w:hAnsi="仿宋_GB2312" w:eastAsia="仿宋_GB2312" w:cs="仿宋_GB2312"/>
          <w:b w:val="0"/>
          <w:kern w:val="2"/>
          <w:sz w:val="32"/>
          <w:szCs w:val="32"/>
        </w:rPr>
        <w:t>（资金来源为</w:t>
      </w:r>
      <w:r>
        <w:rPr>
          <w:rFonts w:hint="eastAsia" w:ascii="仿宋_GB2312" w:hAnsi="仿宋_GB2312" w:eastAsia="仿宋_GB2312" w:cs="仿宋_GB2312"/>
          <w:b w:val="0"/>
          <w:kern w:val="2"/>
          <w:sz w:val="32"/>
          <w:szCs w:val="32"/>
          <w:lang w:val="en-US" w:eastAsia="zh-CN"/>
        </w:rPr>
        <w:t>省级资金12.5万元、州级资金3.75万元、县级配套8.75万元</w:t>
      </w:r>
      <w:r>
        <w:rPr>
          <w:rFonts w:hint="eastAsia" w:ascii="仿宋_GB2312" w:hAnsi="仿宋_GB2312" w:eastAsia="仿宋_GB2312" w:cs="仿宋_GB2312"/>
          <w:b w:val="0"/>
          <w:kern w:val="2"/>
          <w:sz w:val="32"/>
          <w:szCs w:val="32"/>
        </w:rPr>
        <w:t>）</w:t>
      </w:r>
      <w:r>
        <w:rPr>
          <w:rFonts w:hint="eastAsia" w:ascii="仿宋_GB2312" w:hAnsi="仿宋_GB2312" w:eastAsia="仿宋_GB2312" w:cs="仿宋_GB2312"/>
          <w:b w:val="0"/>
          <w:kern w:val="2"/>
          <w:sz w:val="32"/>
          <w:szCs w:val="32"/>
          <w:lang w:eastAsia="zh-CN"/>
        </w:rPr>
        <w:t>，</w:t>
      </w:r>
      <w:r>
        <w:rPr>
          <w:rFonts w:hint="eastAsia" w:ascii="仿宋_GB2312" w:hAnsi="仿宋_GB2312" w:eastAsia="仿宋_GB2312" w:cs="仿宋_GB2312"/>
          <w:b w:val="0"/>
          <w:kern w:val="2"/>
          <w:sz w:val="32"/>
          <w:szCs w:val="32"/>
          <w:lang w:val="en-US" w:eastAsia="zh-CN"/>
        </w:rPr>
        <w:t>3个日间照料中心建设75万元（资金来源为省级资金26.25万元、州级资金14.625万元、县级资金34.125万元），</w:t>
      </w:r>
      <w:r>
        <w:rPr>
          <w:rFonts w:hint="eastAsia" w:ascii="仿宋" w:hAnsi="仿宋" w:eastAsia="仿宋_GB2312" w:cs="仿宋"/>
          <w:b w:val="0"/>
          <w:color w:val="auto"/>
          <w:sz w:val="32"/>
          <w:szCs w:val="32"/>
        </w:rPr>
        <w:t>为困难家庭失能老人、独居老人和80周岁以上老人提供居家养老服务补助2</w:t>
      </w:r>
      <w:r>
        <w:rPr>
          <w:rFonts w:hint="eastAsia" w:ascii="仿宋" w:hAnsi="仿宋" w:eastAsia="仿宋_GB2312" w:cs="仿宋"/>
          <w:b w:val="0"/>
          <w:color w:val="auto"/>
          <w:sz w:val="32"/>
          <w:szCs w:val="32"/>
          <w:lang w:val="en-US" w:eastAsia="zh-CN"/>
        </w:rPr>
        <w:t>0</w:t>
      </w:r>
      <w:r>
        <w:rPr>
          <w:rFonts w:hint="eastAsia" w:ascii="仿宋" w:hAnsi="仿宋" w:eastAsia="仿宋_GB2312" w:cs="仿宋"/>
          <w:b w:val="0"/>
          <w:color w:val="auto"/>
          <w:sz w:val="32"/>
          <w:szCs w:val="32"/>
        </w:rPr>
        <w:t>00人</w:t>
      </w:r>
      <w:r>
        <w:rPr>
          <w:rFonts w:hint="eastAsia" w:ascii="仿宋_GB2312" w:hAnsi="仿宋_GB2312" w:eastAsia="仿宋_GB2312" w:cs="仿宋_GB2312"/>
          <w:b w:val="0"/>
          <w:kern w:val="2"/>
          <w:sz w:val="32"/>
          <w:szCs w:val="32"/>
          <w:lang w:val="en-US" w:eastAsia="zh-CN"/>
        </w:rPr>
        <w:t>75万元（资金来源为省级资金26.25万元、州级资金14.625万元、县级资金34.125万元）。县级</w:t>
      </w:r>
      <w:r>
        <w:rPr>
          <w:rFonts w:hint="eastAsia" w:ascii="仿宋_GB2312" w:hAnsi="仿宋_GB2312" w:eastAsia="仿宋_GB2312" w:cs="仿宋_GB2312"/>
          <w:b w:val="0"/>
          <w:kern w:val="2"/>
          <w:sz w:val="32"/>
          <w:szCs w:val="32"/>
        </w:rPr>
        <w:t>年度申报金额为</w:t>
      </w:r>
      <w:r>
        <w:rPr>
          <w:rFonts w:hint="eastAsia" w:ascii="仿宋_GB2312" w:hAnsi="仿宋_GB2312" w:eastAsia="仿宋_GB2312" w:cs="仿宋_GB2312"/>
          <w:b w:val="0"/>
          <w:kern w:val="2"/>
          <w:sz w:val="32"/>
          <w:szCs w:val="32"/>
          <w:lang w:val="en-US" w:eastAsia="zh-CN"/>
        </w:rPr>
        <w:t>77</w:t>
      </w:r>
      <w:r>
        <w:rPr>
          <w:rFonts w:hint="eastAsia" w:ascii="仿宋_GB2312" w:hAnsi="仿宋_GB2312" w:eastAsia="仿宋_GB2312" w:cs="仿宋_GB2312"/>
          <w:b w:val="0"/>
          <w:kern w:val="2"/>
          <w:sz w:val="32"/>
          <w:szCs w:val="32"/>
        </w:rPr>
        <w:t>万元</w:t>
      </w:r>
      <w:r>
        <w:rPr>
          <w:rFonts w:hint="eastAsia" w:ascii="仿宋_GB2312" w:hAnsi="仿宋_GB2312" w:eastAsia="仿宋_GB2312" w:cs="仿宋_GB2312"/>
          <w:b w:val="0"/>
          <w:kern w:val="2"/>
          <w:sz w:val="32"/>
          <w:szCs w:val="32"/>
          <w:lang w:eastAsia="zh-CN"/>
        </w:rPr>
        <w:t>。</w:t>
      </w:r>
    </w:p>
    <w:p w14:paraId="1179DB08">
      <w:pPr>
        <w:keepNext w:val="0"/>
        <w:keepLines w:val="0"/>
        <w:pageBreakBefore w:val="0"/>
        <w:widowControl w:val="0"/>
        <w:suppressLineNumbers w:val="0"/>
        <w:suppressAutoHyphens/>
        <w:kinsoku/>
        <w:wordWrap/>
        <w:overflowPunct/>
        <w:topLinePunct w:val="0"/>
        <w:autoSpaceDE/>
        <w:autoSpaceDN/>
        <w:bidi w:val="0"/>
        <w:adjustRightInd/>
        <w:snapToGrid w:val="0"/>
        <w:spacing w:line="560" w:lineRule="exact"/>
        <w:ind w:left="0" w:firstLine="640" w:firstLineChars="200"/>
        <w:rPr>
          <w:rFonts w:hint="eastAsia" w:ascii="仿宋_GB2312" w:hAnsi="仿宋_GB2312" w:eastAsia="仿宋_GB2312" w:cs="仿宋_GB2312"/>
          <w:b w:val="0"/>
          <w:kern w:val="2"/>
          <w:sz w:val="32"/>
          <w:szCs w:val="28"/>
          <w:lang w:eastAsia="zh-CN"/>
        </w:rPr>
      </w:pPr>
      <w:r>
        <w:rPr>
          <w:rFonts w:hint="eastAsia" w:ascii="仿宋_GB2312" w:hAnsi="仿宋_GB2312" w:eastAsia="仿宋_GB2312" w:cs="仿宋_GB2312"/>
          <w:b w:val="0"/>
          <w:kern w:val="2"/>
          <w:sz w:val="32"/>
          <w:szCs w:val="28"/>
          <w:lang w:val="en-US" w:eastAsia="zh-CN"/>
        </w:rPr>
        <w:t>养老服务体系建设</w:t>
      </w:r>
      <w:r>
        <w:rPr>
          <w:rFonts w:hint="eastAsia" w:ascii="仿宋_GB2312" w:hAnsi="仿宋_GB2312" w:eastAsia="仿宋_GB2312" w:cs="仿宋_GB2312"/>
          <w:b w:val="0"/>
          <w:kern w:val="2"/>
          <w:sz w:val="32"/>
          <w:szCs w:val="28"/>
        </w:rPr>
        <w:t>项目事前绩效评估汇总表</w:t>
      </w:r>
      <w:r>
        <w:rPr>
          <w:rFonts w:hint="eastAsia" w:ascii="仿宋_GB2312" w:hAnsi="仿宋_GB2312" w:eastAsia="仿宋_GB2312" w:cs="仿宋_GB2312"/>
          <w:b w:val="0"/>
          <w:kern w:val="2"/>
          <w:sz w:val="32"/>
          <w:szCs w:val="28"/>
          <w:lang w:eastAsia="zh-CN"/>
        </w:rPr>
        <w:t>（</w:t>
      </w:r>
      <w:r>
        <w:rPr>
          <w:rFonts w:hint="eastAsia" w:ascii="仿宋_GB2312" w:hAnsi="仿宋_GB2312" w:eastAsia="仿宋_GB2312" w:cs="仿宋_GB2312"/>
          <w:b w:val="0"/>
          <w:kern w:val="2"/>
          <w:sz w:val="32"/>
          <w:szCs w:val="28"/>
          <w:lang w:val="en-US" w:eastAsia="zh-CN"/>
        </w:rPr>
        <w:t>万元</w:t>
      </w:r>
      <w:r>
        <w:rPr>
          <w:rFonts w:hint="eastAsia" w:ascii="仿宋_GB2312" w:hAnsi="仿宋_GB2312" w:eastAsia="仿宋_GB2312" w:cs="仿宋_GB2312"/>
          <w:b w:val="0"/>
          <w:kern w:val="2"/>
          <w:sz w:val="32"/>
          <w:szCs w:val="28"/>
          <w:lang w:eastAsia="zh-CN"/>
        </w:rPr>
        <w:t>）</w:t>
      </w:r>
    </w:p>
    <w:tbl>
      <w:tblPr>
        <w:tblStyle w:val="8"/>
        <w:tblW w:w="9110"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417"/>
        <w:gridCol w:w="2667"/>
        <w:gridCol w:w="954"/>
        <w:gridCol w:w="954"/>
        <w:gridCol w:w="1004"/>
        <w:gridCol w:w="954"/>
        <w:gridCol w:w="2160"/>
      </w:tblGrid>
      <w:tr w14:paraId="3C668D6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6C0ADDFD">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序号</w:t>
            </w:r>
          </w:p>
        </w:tc>
        <w:tc>
          <w:tcPr>
            <w:tcW w:w="2667" w:type="dxa"/>
            <w:tcBorders>
              <w:top w:val="single" w:color="auto" w:sz="4" w:space="0"/>
              <w:left w:val="single" w:color="auto" w:sz="4" w:space="0"/>
              <w:bottom w:val="single" w:color="auto" w:sz="4" w:space="0"/>
              <w:right w:val="single" w:color="auto" w:sz="4" w:space="0"/>
            </w:tcBorders>
            <w:vAlign w:val="center"/>
          </w:tcPr>
          <w:p w14:paraId="6A6326B1">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项目内容</w:t>
            </w:r>
          </w:p>
        </w:tc>
        <w:tc>
          <w:tcPr>
            <w:tcW w:w="954" w:type="dxa"/>
            <w:tcBorders>
              <w:top w:val="single" w:color="auto" w:sz="4" w:space="0"/>
              <w:left w:val="single" w:color="auto" w:sz="4" w:space="0"/>
              <w:bottom w:val="single" w:color="auto" w:sz="4" w:space="0"/>
              <w:right w:val="single" w:color="auto" w:sz="4" w:space="0"/>
            </w:tcBorders>
            <w:vAlign w:val="center"/>
          </w:tcPr>
          <w:p w14:paraId="3A7E2BA8">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申报</w:t>
            </w:r>
          </w:p>
          <w:p w14:paraId="5F3A85D9">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预算</w:t>
            </w:r>
          </w:p>
        </w:tc>
        <w:tc>
          <w:tcPr>
            <w:tcW w:w="954" w:type="dxa"/>
            <w:tcBorders>
              <w:top w:val="single" w:color="auto" w:sz="4" w:space="0"/>
              <w:left w:val="single" w:color="auto" w:sz="4" w:space="0"/>
              <w:bottom w:val="single" w:color="auto" w:sz="4" w:space="0"/>
              <w:right w:val="single" w:color="auto" w:sz="4" w:space="0"/>
            </w:tcBorders>
            <w:vAlign w:val="center"/>
          </w:tcPr>
          <w:p w14:paraId="288ADB8E">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送审</w:t>
            </w:r>
          </w:p>
          <w:p w14:paraId="54A4D496">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金额</w:t>
            </w:r>
          </w:p>
        </w:tc>
        <w:tc>
          <w:tcPr>
            <w:tcW w:w="1004" w:type="dxa"/>
            <w:tcBorders>
              <w:top w:val="single" w:color="auto" w:sz="4" w:space="0"/>
              <w:left w:val="single" w:color="auto" w:sz="4" w:space="0"/>
              <w:bottom w:val="single" w:color="auto" w:sz="4" w:space="0"/>
              <w:right w:val="single" w:color="auto" w:sz="4" w:space="0"/>
            </w:tcBorders>
            <w:vAlign w:val="center"/>
          </w:tcPr>
          <w:p w14:paraId="7C59CECB">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建议控制额</w:t>
            </w:r>
          </w:p>
        </w:tc>
        <w:tc>
          <w:tcPr>
            <w:tcW w:w="954" w:type="dxa"/>
            <w:tcBorders>
              <w:top w:val="single" w:color="auto" w:sz="4" w:space="0"/>
              <w:left w:val="single" w:color="auto" w:sz="4" w:space="0"/>
              <w:bottom w:val="single" w:color="auto" w:sz="4" w:space="0"/>
              <w:right w:val="single" w:color="auto" w:sz="4" w:space="0"/>
            </w:tcBorders>
            <w:vAlign w:val="center"/>
          </w:tcPr>
          <w:p w14:paraId="18375BC4">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核减</w:t>
            </w:r>
          </w:p>
        </w:tc>
        <w:tc>
          <w:tcPr>
            <w:tcW w:w="2160" w:type="dxa"/>
            <w:vMerge w:val="restart"/>
            <w:tcBorders>
              <w:top w:val="single" w:color="auto" w:sz="4" w:space="0"/>
              <w:left w:val="single" w:color="auto" w:sz="4" w:space="0"/>
              <w:bottom w:val="single" w:color="auto" w:sz="4" w:space="0"/>
              <w:right w:val="single" w:color="auto" w:sz="4" w:space="0"/>
            </w:tcBorders>
            <w:vAlign w:val="center"/>
          </w:tcPr>
          <w:p w14:paraId="066E0CB0">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color w:val="auto"/>
                <w:kern w:val="0"/>
                <w:sz w:val="32"/>
                <w:szCs w:val="28"/>
              </w:rPr>
            </w:pPr>
            <w:r>
              <w:rPr>
                <w:rFonts w:hint="eastAsia" w:ascii="仿宋_GB2312" w:hAnsi="仿宋_GB2312" w:eastAsia="仿宋_GB2312" w:cs="仿宋_GB2312"/>
                <w:b w:val="0"/>
                <w:color w:val="auto"/>
                <w:kern w:val="0"/>
                <w:sz w:val="32"/>
                <w:szCs w:val="28"/>
              </w:rPr>
              <w:t>备注　</w:t>
            </w:r>
          </w:p>
        </w:tc>
      </w:tr>
      <w:tr w14:paraId="3E3873F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0089E3CC">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rPr>
              <w:t>　</w:t>
            </w:r>
            <w:r>
              <w:rPr>
                <w:rFonts w:hint="eastAsia" w:ascii="仿宋_GB2312" w:hAnsi="仿宋_GB2312" w:eastAsia="仿宋_GB2312" w:cs="仿宋_GB2312"/>
                <w:b w:val="0"/>
                <w:kern w:val="0"/>
                <w:sz w:val="32"/>
                <w:szCs w:val="28"/>
                <w:lang w:val="en-US" w:eastAsia="zh-CN"/>
              </w:rPr>
              <w:t>1</w:t>
            </w:r>
          </w:p>
        </w:tc>
        <w:tc>
          <w:tcPr>
            <w:tcW w:w="2667" w:type="dxa"/>
            <w:tcBorders>
              <w:top w:val="single" w:color="auto" w:sz="4" w:space="0"/>
              <w:left w:val="single" w:color="auto" w:sz="4" w:space="0"/>
              <w:bottom w:val="single" w:color="auto" w:sz="4" w:space="0"/>
              <w:right w:val="single" w:color="auto" w:sz="4" w:space="0"/>
            </w:tcBorders>
            <w:vAlign w:val="center"/>
          </w:tcPr>
          <w:p w14:paraId="319ECABE">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养老服务体系建设</w:t>
            </w:r>
          </w:p>
        </w:tc>
        <w:tc>
          <w:tcPr>
            <w:tcW w:w="954" w:type="dxa"/>
            <w:tcBorders>
              <w:top w:val="single" w:color="auto" w:sz="4" w:space="0"/>
              <w:left w:val="single" w:color="auto" w:sz="4" w:space="0"/>
              <w:bottom w:val="single" w:color="auto" w:sz="4" w:space="0"/>
              <w:right w:val="single" w:color="auto" w:sz="4" w:space="0"/>
            </w:tcBorders>
            <w:vAlign w:val="center"/>
          </w:tcPr>
          <w:p w14:paraId="14495A67">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77</w:t>
            </w:r>
          </w:p>
        </w:tc>
        <w:tc>
          <w:tcPr>
            <w:tcW w:w="954" w:type="dxa"/>
            <w:tcBorders>
              <w:top w:val="single" w:color="auto" w:sz="4" w:space="0"/>
              <w:left w:val="single" w:color="auto" w:sz="4" w:space="0"/>
              <w:bottom w:val="single" w:color="auto" w:sz="4" w:space="0"/>
              <w:right w:val="single" w:color="auto" w:sz="4" w:space="0"/>
            </w:tcBorders>
            <w:vAlign w:val="center"/>
          </w:tcPr>
          <w:p w14:paraId="1B81D995">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77</w:t>
            </w:r>
          </w:p>
        </w:tc>
        <w:tc>
          <w:tcPr>
            <w:tcW w:w="1004" w:type="dxa"/>
            <w:tcBorders>
              <w:top w:val="single" w:color="auto" w:sz="4" w:space="0"/>
              <w:left w:val="single" w:color="auto" w:sz="4" w:space="0"/>
              <w:bottom w:val="single" w:color="auto" w:sz="4" w:space="0"/>
              <w:right w:val="single" w:color="auto" w:sz="4" w:space="0"/>
            </w:tcBorders>
            <w:vAlign w:val="center"/>
          </w:tcPr>
          <w:p w14:paraId="0F9DC1BE">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77</w:t>
            </w:r>
          </w:p>
        </w:tc>
        <w:tc>
          <w:tcPr>
            <w:tcW w:w="954" w:type="dxa"/>
            <w:tcBorders>
              <w:top w:val="single" w:color="auto" w:sz="4" w:space="0"/>
              <w:left w:val="single" w:color="auto" w:sz="4" w:space="0"/>
              <w:bottom w:val="single" w:color="auto" w:sz="4" w:space="0"/>
              <w:right w:val="single" w:color="auto" w:sz="4" w:space="0"/>
            </w:tcBorders>
            <w:vAlign w:val="center"/>
          </w:tcPr>
          <w:p w14:paraId="6B7A5E51">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2160" w:type="dxa"/>
            <w:vMerge w:val="continue"/>
            <w:tcBorders>
              <w:top w:val="single" w:color="auto" w:sz="4" w:space="0"/>
              <w:left w:val="single" w:color="auto" w:sz="4" w:space="0"/>
              <w:bottom w:val="single" w:color="auto" w:sz="4" w:space="0"/>
              <w:right w:val="single" w:color="auto" w:sz="4" w:space="0"/>
            </w:tcBorders>
            <w:vAlign w:val="center"/>
          </w:tcPr>
          <w:p w14:paraId="2CDDA80E">
            <w:pPr>
              <w:pageBreakBefore w:val="0"/>
              <w:kinsoku/>
              <w:wordWrap/>
              <w:overflowPunct/>
              <w:topLinePunct w:val="0"/>
              <w:autoSpaceDE/>
              <w:autoSpaceDN/>
              <w:bidi w:val="0"/>
              <w:spacing w:line="560" w:lineRule="exact"/>
              <w:rPr>
                <w:rFonts w:hint="eastAsia" w:ascii="仿宋_GB2312" w:hAnsi="仿宋_GB2312" w:eastAsia="仿宋_GB2312" w:cs="仿宋_GB2312"/>
                <w:b w:val="0"/>
                <w:sz w:val="32"/>
                <w:szCs w:val="28"/>
              </w:rPr>
            </w:pPr>
          </w:p>
        </w:tc>
      </w:tr>
      <w:tr w14:paraId="1ADE960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1F030AFD">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2667" w:type="dxa"/>
            <w:tcBorders>
              <w:top w:val="single" w:color="auto" w:sz="4" w:space="0"/>
              <w:left w:val="single" w:color="auto" w:sz="4" w:space="0"/>
              <w:bottom w:val="single" w:color="auto" w:sz="4" w:space="0"/>
              <w:right w:val="single" w:color="auto" w:sz="4" w:space="0"/>
            </w:tcBorders>
            <w:vAlign w:val="center"/>
          </w:tcPr>
          <w:p w14:paraId="5C41FC04">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 ...</w:t>
            </w:r>
          </w:p>
        </w:tc>
        <w:tc>
          <w:tcPr>
            <w:tcW w:w="954" w:type="dxa"/>
            <w:tcBorders>
              <w:top w:val="single" w:color="auto" w:sz="4" w:space="0"/>
              <w:left w:val="single" w:color="auto" w:sz="4" w:space="0"/>
              <w:bottom w:val="single" w:color="auto" w:sz="4" w:space="0"/>
              <w:right w:val="single" w:color="auto" w:sz="4" w:space="0"/>
            </w:tcBorders>
            <w:vAlign w:val="center"/>
          </w:tcPr>
          <w:p w14:paraId="4EA738E4">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954" w:type="dxa"/>
            <w:tcBorders>
              <w:top w:val="single" w:color="auto" w:sz="4" w:space="0"/>
              <w:left w:val="single" w:color="auto" w:sz="4" w:space="0"/>
              <w:bottom w:val="single" w:color="auto" w:sz="4" w:space="0"/>
              <w:right w:val="single" w:color="auto" w:sz="4" w:space="0"/>
            </w:tcBorders>
            <w:vAlign w:val="center"/>
          </w:tcPr>
          <w:p w14:paraId="77B4B5B3">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1004" w:type="dxa"/>
            <w:tcBorders>
              <w:top w:val="single" w:color="auto" w:sz="4" w:space="0"/>
              <w:left w:val="single" w:color="auto" w:sz="4" w:space="0"/>
              <w:bottom w:val="single" w:color="auto" w:sz="4" w:space="0"/>
              <w:right w:val="single" w:color="auto" w:sz="4" w:space="0"/>
            </w:tcBorders>
            <w:vAlign w:val="center"/>
          </w:tcPr>
          <w:p w14:paraId="117F775A">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954" w:type="dxa"/>
            <w:tcBorders>
              <w:top w:val="single" w:color="auto" w:sz="4" w:space="0"/>
              <w:left w:val="single" w:color="auto" w:sz="4" w:space="0"/>
              <w:bottom w:val="single" w:color="auto" w:sz="4" w:space="0"/>
              <w:right w:val="single" w:color="auto" w:sz="4" w:space="0"/>
            </w:tcBorders>
            <w:vAlign w:val="center"/>
          </w:tcPr>
          <w:p w14:paraId="4AAFE0CA">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2160" w:type="dxa"/>
            <w:tcBorders>
              <w:top w:val="single" w:color="auto" w:sz="4" w:space="0"/>
              <w:left w:val="single" w:color="auto" w:sz="4" w:space="0"/>
              <w:bottom w:val="single" w:color="auto" w:sz="4" w:space="0"/>
              <w:right w:val="single" w:color="auto" w:sz="4" w:space="0"/>
            </w:tcBorders>
            <w:vAlign w:val="center"/>
          </w:tcPr>
          <w:p w14:paraId="304D6D3F">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color w:val="auto"/>
                <w:kern w:val="0"/>
                <w:sz w:val="32"/>
                <w:szCs w:val="28"/>
              </w:rPr>
            </w:pPr>
          </w:p>
        </w:tc>
      </w:tr>
    </w:tbl>
    <w:p w14:paraId="61481CC0">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CESI仿宋-GB2312" w:eastAsia="仿宋_GB2312"/>
          <w:b w:val="0"/>
          <w:kern w:val="2"/>
          <w:sz w:val="32"/>
          <w:szCs w:val="32"/>
        </w:rPr>
      </w:pPr>
      <w:r>
        <w:rPr>
          <w:rFonts w:hint="eastAsia" w:ascii="楷体_GB2312" w:hAnsi="楷体_GB2312" w:eastAsia="仿宋_GB2312" w:cs="楷体_GB2312"/>
          <w:b w:val="0"/>
          <w:sz w:val="32"/>
          <w:lang w:val="en-US" w:eastAsia="zh-CN"/>
        </w:rPr>
        <w:t>3、</w:t>
      </w:r>
      <w:r>
        <w:rPr>
          <w:rFonts w:hint="eastAsia" w:ascii="楷体_GB2312" w:hAnsi="楷体_GB2312" w:eastAsia="仿宋_GB2312" w:cs="楷体_GB2312"/>
          <w:b w:val="0"/>
          <w:sz w:val="32"/>
        </w:rPr>
        <w:t>目标合理性</w:t>
      </w:r>
      <w:r>
        <w:rPr>
          <w:rFonts w:hint="eastAsia" w:ascii="CESI仿宋-GB2312" w:eastAsia="仿宋_GB2312"/>
          <w:b w:val="0"/>
          <w:kern w:val="2"/>
          <w:sz w:val="32"/>
          <w:szCs w:val="32"/>
        </w:rPr>
        <w:t>（主要说明绩效目标设置情况，并附绩效目标表，评估内容包括绩效目标和绩效指标是否量化可考核，是否相匹配，是否全面完整，是否契合政策或项目实质，是否与部门的长期规划目标、年度工作目标相一致，产出和效果是否相关联，各项绩效指标值的设定依据和参考标准，满意度指标预测等）</w:t>
      </w:r>
    </w:p>
    <w:p w14:paraId="181321E6">
      <w:pPr>
        <w:keepNext w:val="0"/>
        <w:keepLines w:val="0"/>
        <w:pageBreakBefore w:val="0"/>
        <w:widowControl w:val="0"/>
        <w:suppressLineNumbers w:val="0"/>
        <w:suppressAutoHyphens/>
        <w:kinsoku/>
        <w:wordWrap/>
        <w:overflowPunct/>
        <w:topLinePunct w:val="0"/>
        <w:autoSpaceDE/>
        <w:autoSpaceDN/>
        <w:bidi w:val="0"/>
        <w:adjustRightInd/>
        <w:snapToGrid w:val="0"/>
        <w:spacing w:line="560" w:lineRule="exact"/>
        <w:ind w:left="0"/>
        <w:rPr>
          <w:rFonts w:hint="eastAsia" w:ascii="仿宋_GB2312" w:hAnsi="仿宋_GB2312" w:eastAsia="仿宋_GB2312" w:cs="仿宋_GB2312"/>
          <w:b w:val="0"/>
          <w:bCs/>
          <w:sz w:val="32"/>
          <w:szCs w:val="32"/>
        </w:rPr>
      </w:pPr>
      <w:r>
        <w:rPr>
          <w:rFonts w:hint="eastAsia" w:eastAsia="仿宋_GB2312"/>
          <w:b w:val="0"/>
          <w:kern w:val="2"/>
          <w:sz w:val="32"/>
          <w:szCs w:val="21"/>
          <w:lang w:val="en-US" w:eastAsia="zh-CN"/>
        </w:rPr>
        <w:t>居家养老</w:t>
      </w:r>
      <w:r>
        <w:rPr>
          <w:rFonts w:hint="eastAsia" w:ascii="宋体" w:eastAsia="仿宋_GB2312"/>
          <w:b w:val="0"/>
          <w:kern w:val="2"/>
          <w:sz w:val="32"/>
          <w:szCs w:val="21"/>
        </w:rPr>
        <w:t>项目绩效目标表</w:t>
      </w:r>
    </w:p>
    <w:tbl>
      <w:tblPr>
        <w:tblStyle w:val="8"/>
        <w:tblW w:w="842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6"/>
        <w:gridCol w:w="1836"/>
        <w:gridCol w:w="2736"/>
        <w:gridCol w:w="510"/>
        <w:gridCol w:w="735"/>
        <w:gridCol w:w="825"/>
        <w:gridCol w:w="666"/>
      </w:tblGrid>
      <w:tr w14:paraId="0CCC3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55D27">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一级指标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3CF9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二级指标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1E58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三级指标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2B3E7">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指标性质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C4F1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指标值</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8FBB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度量单位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0515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权重（%）</w:t>
            </w:r>
          </w:p>
        </w:tc>
      </w:tr>
      <w:tr w14:paraId="34B37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B6A4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D33CA">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7BB6F">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居家养老人数</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D1D8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31C7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2500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FBA2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83AF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20</w:t>
            </w:r>
          </w:p>
        </w:tc>
      </w:tr>
      <w:tr w14:paraId="3DD74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B3BF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FEFE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质量指标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9F46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城乡社区养老服务设施发挥作用</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0427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8F26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B537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7195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2599A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12BE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3273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时效指标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7A534">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按项目实施进度支付</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6B8B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DF91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6F47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DFC0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6AD21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3A9F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28FC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社会效益指标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0B12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老年人日益增加的养老服务需求</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5512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定性</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569B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高中低</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53754">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F964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73B79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5D44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6713A">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可持续影响指标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E2C32">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养老服务体系建设</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6172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定性</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8F96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高</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3424B">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82C1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78FD8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3188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CA902">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服务对象满意度指标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34F8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高龄老人对居家养老服务质量满意</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1131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4370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A957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AB14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51C20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CB60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06992">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经济成本指标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C983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居家养老标准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1C1C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E2BF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300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B6A6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元/人</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2E19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20</w:t>
            </w:r>
          </w:p>
        </w:tc>
      </w:tr>
    </w:tbl>
    <w:p w14:paraId="40F1E08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val="0"/>
          <w:bCs/>
          <w:sz w:val="32"/>
          <w:szCs w:val="32"/>
        </w:rPr>
      </w:pPr>
    </w:p>
    <w:p w14:paraId="489A78C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仿宋_GB2312" w:cs="楷体_GB2312"/>
          <w:b w:val="0"/>
          <w:sz w:val="32"/>
          <w:szCs w:val="32"/>
          <w:lang w:val="en-US" w:eastAsia="zh-CN"/>
        </w:rPr>
        <w:t>4、</w:t>
      </w:r>
      <w:r>
        <w:rPr>
          <w:rFonts w:hint="eastAsia" w:ascii="楷体_GB2312" w:hAnsi="楷体_GB2312" w:eastAsia="仿宋_GB2312" w:cs="楷体_GB2312"/>
          <w:b w:val="0"/>
          <w:sz w:val="32"/>
          <w:szCs w:val="32"/>
        </w:rPr>
        <w:t>实施可行性</w:t>
      </w:r>
      <w:r>
        <w:rPr>
          <w:rFonts w:hint="eastAsia" w:ascii="仿宋_GB2312" w:hAnsi="仿宋_GB2312" w:eastAsia="仿宋_GB2312" w:cs="仿宋_GB2312"/>
          <w:b w:val="0"/>
          <w:bCs/>
          <w:sz w:val="32"/>
          <w:szCs w:val="32"/>
        </w:rPr>
        <w:t>该项目实施方案制定的详实完备、科学合理，人员、设施、物资等基础条件具备齐全，项目的设立具有明确的时限和步骤，</w:t>
      </w:r>
      <w:r>
        <w:rPr>
          <w:rFonts w:hint="eastAsia" w:ascii="仿宋_GB2312" w:hAnsi="仿宋_GB2312" w:eastAsia="仿宋_GB2312" w:cs="仿宋_GB2312"/>
          <w:b w:val="0"/>
          <w:bCs/>
          <w:kern w:val="2"/>
          <w:sz w:val="32"/>
          <w:szCs w:val="32"/>
        </w:rPr>
        <w:t>组织机构健全，职责分工明确，有具体的实施时间，有明确的工作程序，基础设施条件能够有效保障，资金足额保证，具有相应的质量检查、验收等必要的控制措施或手段，有针对突发事件或未知风险的应急措施</w:t>
      </w:r>
      <w:r>
        <w:rPr>
          <w:rFonts w:hint="eastAsia" w:ascii="仿宋_GB2312" w:hAnsi="仿宋_GB2312" w:eastAsia="仿宋_GB2312" w:cs="仿宋_GB2312"/>
          <w:b w:val="0"/>
          <w:bCs/>
          <w:sz w:val="32"/>
          <w:szCs w:val="32"/>
        </w:rPr>
        <w:t>。</w:t>
      </w:r>
    </w:p>
    <w:p w14:paraId="5E7B6069">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5、</w:t>
      </w:r>
      <w:r>
        <w:rPr>
          <w:rFonts w:hint="eastAsia" w:ascii="楷体_GB2312" w:hAnsi="楷体_GB2312" w:eastAsia="仿宋_GB2312" w:cs="楷体_GB2312"/>
          <w:b w:val="0"/>
          <w:sz w:val="32"/>
        </w:rPr>
        <w:t>筹资合规性</w:t>
      </w:r>
    </w:p>
    <w:p w14:paraId="312CCEBA">
      <w:pPr>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b w:val="0"/>
          <w:sz w:val="32"/>
          <w:szCs w:val="32"/>
        </w:rPr>
      </w:pPr>
      <w:r>
        <w:rPr>
          <w:rFonts w:hint="eastAsia" w:ascii="仿宋_GB2312" w:hAnsi="仿宋_GB2312" w:eastAsia="仿宋_GB2312" w:cs="仿宋_GB2312"/>
          <w:b w:val="0"/>
          <w:sz w:val="32"/>
          <w:szCs w:val="32"/>
        </w:rPr>
        <w:t>本单位为县级的一级预算单位，所有资金均为同级财政下达安排的一般公共预算资金，该项目投入规模符合实际，投入渠道及方式合法合规、真实可靠，</w:t>
      </w:r>
      <w:r>
        <w:rPr>
          <w:rFonts w:hint="eastAsia" w:ascii="仿宋_GB2312" w:hAnsi="仿宋_GB2312" w:eastAsia="仿宋_GB2312" w:cs="仿宋_GB2312"/>
          <w:b w:val="0"/>
          <w:kern w:val="2"/>
          <w:sz w:val="32"/>
          <w:szCs w:val="32"/>
        </w:rPr>
        <w:t>筹资结构合理，资金来源渠道明确，各渠道资金到位时间、条件能够落实</w:t>
      </w:r>
      <w:r>
        <w:rPr>
          <w:rFonts w:hint="eastAsia" w:ascii="仿宋_GB2312" w:hAnsi="仿宋_GB2312" w:eastAsia="仿宋_GB2312" w:cs="仿宋_GB2312"/>
          <w:b w:val="0"/>
          <w:sz w:val="32"/>
          <w:szCs w:val="32"/>
        </w:rPr>
        <w:t>。</w:t>
      </w:r>
    </w:p>
    <w:p w14:paraId="24CCC102">
      <w:pPr>
        <w:pStyle w:val="3"/>
        <w:pageBreakBefore w:val="0"/>
        <w:widowControl w:val="0"/>
        <w:numPr>
          <w:ilvl w:val="0"/>
          <w:numId w:val="0"/>
        </w:numPr>
        <w:kinsoku/>
        <w:wordWrap/>
        <w:overflowPunct/>
        <w:topLinePunct w:val="0"/>
        <w:autoSpaceDE/>
        <w:autoSpaceDN/>
        <w:bidi w:val="0"/>
        <w:spacing w:before="0" w:after="0" w:line="560" w:lineRule="exact"/>
        <w:ind w:firstLine="640" w:firstLineChars="200"/>
        <w:textAlignment w:val="auto"/>
        <w:rPr>
          <w:rFonts w:hint="eastAsia" w:eastAsia="仿宋_GB2312"/>
          <w:b w:val="0"/>
          <w:sz w:val="32"/>
        </w:rPr>
      </w:pPr>
      <w:r>
        <w:rPr>
          <w:rFonts w:hint="eastAsia" w:eastAsia="仿宋_GB2312"/>
          <w:b w:val="0"/>
          <w:sz w:val="32"/>
          <w:lang w:val="en-US" w:eastAsia="zh-CN"/>
        </w:rPr>
        <w:t>（五）</w:t>
      </w:r>
      <w:r>
        <w:rPr>
          <w:rFonts w:hint="eastAsia" w:eastAsia="仿宋_GB2312"/>
          <w:b w:val="0"/>
          <w:sz w:val="32"/>
        </w:rPr>
        <w:t>评估结论</w:t>
      </w:r>
    </w:p>
    <w:p w14:paraId="32B6935A">
      <w:pPr>
        <w:pStyle w:val="5"/>
        <w:pageBreakBefore w:val="0"/>
        <w:kinsoku/>
        <w:wordWrap/>
        <w:overflowPunct/>
        <w:topLinePunct w:val="0"/>
        <w:autoSpaceDE/>
        <w:autoSpaceDN/>
        <w:bidi w:val="0"/>
        <w:spacing w:line="560" w:lineRule="exact"/>
        <w:ind w:firstLine="640" w:firstLineChars="200"/>
        <w:rPr>
          <w:rFonts w:hint="default" w:eastAsia="仿宋_GB2312"/>
          <w:b w:val="0"/>
          <w:sz w:val="32"/>
          <w:lang w:val="en-US" w:eastAsia="zh-CN"/>
        </w:rPr>
      </w:pPr>
      <w:r>
        <w:rPr>
          <w:rFonts w:hint="eastAsia" w:ascii="仿宋_GB2312" w:hAnsi="仿宋_GB2312" w:eastAsia="仿宋_GB2312" w:cs="仿宋_GB2312"/>
          <w:b w:val="0"/>
          <w:sz w:val="32"/>
          <w:szCs w:val="32"/>
          <w:lang w:val="en-US" w:eastAsia="zh-CN"/>
        </w:rPr>
        <w:t>综合评分95分。</w:t>
      </w:r>
    </w:p>
    <w:p w14:paraId="4D69128B">
      <w:pPr>
        <w:pStyle w:val="10"/>
        <w:pageBreakBefore w:val="0"/>
        <w:widowControl w:val="0"/>
        <w:kinsoku/>
        <w:wordWrap/>
        <w:overflowPunct/>
        <w:topLinePunct w:val="0"/>
        <w:autoSpaceDE/>
        <w:autoSpaceDN/>
        <w:bidi w:val="0"/>
        <w:spacing w:line="560" w:lineRule="exact"/>
        <w:ind w:left="49" w:firstLine="640" w:firstLineChars="200"/>
        <w:textAlignment w:val="auto"/>
        <w:rPr>
          <w:rFonts w:hint="eastAsia" w:ascii="Times New Roman" w:hAnsi="Times New Roman" w:eastAsia="仿宋_GB2312"/>
          <w:b w:val="0"/>
          <w:sz w:val="32"/>
          <w:szCs w:val="32"/>
        </w:rPr>
      </w:pPr>
      <w:r>
        <w:rPr>
          <w:rFonts w:hint="eastAsia" w:ascii="仿宋_GB2312" w:eastAsia="仿宋_GB2312"/>
          <w:b w:val="0"/>
          <w:sz w:val="32"/>
        </w:rPr>
        <w:t>综合前述评估内容来看，该项目立项必要性和依据充分，绩效目标明确，具备实施条件，具有公共性，符合财政资金支持方向等。建议</w:t>
      </w:r>
      <w:r>
        <w:rPr>
          <w:rFonts w:hint="eastAsia" w:ascii="仿宋_GB2312" w:eastAsia="仿宋_GB2312"/>
          <w:b w:val="0"/>
          <w:sz w:val="32"/>
          <w:lang w:eastAsia="zh-CN"/>
        </w:rPr>
        <w:t>予以支持</w:t>
      </w:r>
      <w:r>
        <w:rPr>
          <w:rFonts w:hint="eastAsia" w:ascii="仿宋_GB2312" w:eastAsia="仿宋_GB2312"/>
          <w:b w:val="0"/>
          <w:sz w:val="32"/>
        </w:rPr>
        <w:t>，预算控制在</w:t>
      </w:r>
      <w:r>
        <w:rPr>
          <w:rFonts w:hint="eastAsia" w:ascii="仿宋_GB2312" w:eastAsia="仿宋_GB2312"/>
          <w:b w:val="0"/>
          <w:sz w:val="32"/>
          <w:lang w:val="en-US" w:eastAsia="zh-CN"/>
        </w:rPr>
        <w:t>77</w:t>
      </w:r>
      <w:r>
        <w:rPr>
          <w:rFonts w:hint="eastAsia" w:ascii="仿宋_GB2312" w:eastAsia="仿宋_GB2312"/>
          <w:b w:val="0"/>
          <w:sz w:val="32"/>
        </w:rPr>
        <w:t>万元以内。该项目申请资金总预算</w:t>
      </w:r>
      <w:r>
        <w:rPr>
          <w:rFonts w:hint="eastAsia" w:ascii="仿宋_GB2312" w:hAnsi="宋体" w:eastAsia="仿宋_GB2312"/>
          <w:b w:val="0"/>
          <w:sz w:val="32"/>
          <w:szCs w:val="32"/>
          <w:lang w:val="en-US" w:eastAsia="zh-CN"/>
        </w:rPr>
        <w:t>777</w:t>
      </w:r>
      <w:r>
        <w:rPr>
          <w:rFonts w:hint="eastAsia" w:ascii="仿宋_GB2312" w:eastAsia="仿宋_GB2312"/>
          <w:b w:val="0"/>
          <w:sz w:val="32"/>
        </w:rPr>
        <w:t>万元，经评审，建议预算申报数</w:t>
      </w:r>
      <w:r>
        <w:rPr>
          <w:rFonts w:hint="eastAsia" w:ascii="仿宋_GB2312" w:hAnsi="宋体" w:eastAsia="仿宋_GB2312"/>
          <w:b w:val="0"/>
          <w:sz w:val="32"/>
          <w:szCs w:val="32"/>
          <w:lang w:val="en-US" w:eastAsia="zh-CN"/>
        </w:rPr>
        <w:t>77</w:t>
      </w:r>
      <w:r>
        <w:rPr>
          <w:rFonts w:hint="eastAsia" w:ascii="仿宋_GB2312" w:eastAsia="仿宋_GB2312"/>
          <w:b w:val="0"/>
          <w:sz w:val="32"/>
        </w:rPr>
        <w:t>万元</w:t>
      </w:r>
      <w:r>
        <w:rPr>
          <w:rFonts w:hint="eastAsia" w:ascii="仿宋_GB2312" w:eastAsia="仿宋_GB2312"/>
          <w:b w:val="0"/>
          <w:sz w:val="32"/>
          <w:lang w:eastAsia="zh-CN"/>
        </w:rPr>
        <w:t>，</w:t>
      </w:r>
      <w:r>
        <w:rPr>
          <w:rFonts w:hint="eastAsia" w:ascii="仿宋_GB2312" w:eastAsia="仿宋_GB2312"/>
          <w:b w:val="0"/>
          <w:sz w:val="32"/>
        </w:rPr>
        <w:t>我单位将进一步</w:t>
      </w:r>
      <w:r>
        <w:rPr>
          <w:rFonts w:hint="eastAsia" w:ascii="仿宋_GB2312" w:eastAsia="仿宋_GB2312"/>
          <w:b w:val="0"/>
          <w:sz w:val="32"/>
          <w:u w:val="none"/>
        </w:rPr>
        <w:t>优化完善实施方案和绩效目标，加强运行监控，节约财政资金并提升资金效益，提升预算绩效管理水平</w:t>
      </w:r>
      <w:r>
        <w:rPr>
          <w:rFonts w:hint="eastAsia" w:ascii="仿宋_GB2312" w:eastAsia="仿宋_GB2312"/>
          <w:b w:val="0"/>
          <w:sz w:val="32"/>
          <w:u w:val="none"/>
          <w:lang w:eastAsia="zh-CN"/>
        </w:rPr>
        <w:t>。</w:t>
      </w:r>
    </w:p>
    <w:p w14:paraId="58C314B0">
      <w:pPr>
        <w:pageBreakBefore w:val="0"/>
        <w:widowControl w:val="0"/>
        <w:kinsoku/>
        <w:wordWrap/>
        <w:overflowPunct/>
        <w:topLinePunct w:val="0"/>
        <w:autoSpaceDE/>
        <w:autoSpaceDN/>
        <w:bidi w:val="0"/>
        <w:spacing w:line="560" w:lineRule="exact"/>
        <w:ind w:firstLine="640"/>
        <w:textAlignment w:val="auto"/>
        <w:rPr>
          <w:rFonts w:hint="eastAsia" w:ascii="仿宋_GB2312" w:hAnsi="宋体" w:eastAsia="仿宋_GB2312"/>
          <w:b w:val="0"/>
          <w:sz w:val="32"/>
          <w:szCs w:val="32"/>
        </w:rPr>
      </w:pPr>
      <w:r>
        <w:rPr>
          <w:rFonts w:hint="eastAsia" w:ascii="仿宋_GB2312" w:hAnsi="宋体" w:eastAsia="仿宋_GB2312"/>
          <w:b w:val="0"/>
          <w:sz w:val="32"/>
          <w:szCs w:val="32"/>
        </w:rPr>
        <w:t>项目可行，立项实施。进一步明确绩效目标，细化、量化相关指标。明确相关路线，细化工作内容，完善工作手段，调整工作部署和进度安排。细化完善项目预算。</w:t>
      </w:r>
    </w:p>
    <w:p w14:paraId="6FD042B8">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六</w:t>
      </w:r>
      <w:r>
        <w:rPr>
          <w:rFonts w:hint="eastAsia" w:eastAsia="仿宋_GB2312"/>
          <w:b w:val="0"/>
          <w:sz w:val="32"/>
          <w:lang w:eastAsia="zh-CN"/>
        </w:rPr>
        <w:t>）</w:t>
      </w:r>
      <w:r>
        <w:rPr>
          <w:rFonts w:hint="eastAsia" w:eastAsia="仿宋_GB2312"/>
          <w:b w:val="0"/>
          <w:sz w:val="32"/>
        </w:rPr>
        <w:t>其它说明事项</w:t>
      </w:r>
    </w:p>
    <w:p w14:paraId="3D4E0848">
      <w:pPr>
        <w:pageBreakBefore w:val="0"/>
        <w:tabs>
          <w:tab w:val="center" w:pos="4153"/>
          <w:tab w:val="right" w:pos="8306"/>
        </w:tabs>
        <w:kinsoku/>
        <w:wordWrap/>
        <w:overflowPunct/>
        <w:topLinePunct w:val="0"/>
        <w:autoSpaceDE/>
        <w:autoSpaceDN/>
        <w:bidi w:val="0"/>
        <w:spacing w:line="560" w:lineRule="exact"/>
        <w:ind w:firstLine="640" w:firstLineChars="200"/>
        <w:rPr>
          <w:rFonts w:eastAsia="仿宋_GB2312"/>
          <w:b w:val="0"/>
          <w:sz w:val="32"/>
        </w:rPr>
      </w:pPr>
      <w:r>
        <w:rPr>
          <w:rFonts w:hint="eastAsia" w:ascii="仿宋_GB2312" w:hAnsi="仿宋_GB2312" w:eastAsia="仿宋_GB2312" w:cs="仿宋_GB2312"/>
          <w:b w:val="0"/>
          <w:sz w:val="32"/>
          <w:szCs w:val="32"/>
        </w:rPr>
        <w:t>该项目预算编制真实完整，预算编制内容科学合理、明确细化，与绩效目标、实施方案紧密衔接，预算标准依据充分、测算准确</w:t>
      </w:r>
      <w:r>
        <w:rPr>
          <w:rFonts w:hint="eastAsia" w:ascii="仿宋_GB2312" w:hAnsi="仿宋_GB2312" w:eastAsia="仿宋_GB2312" w:cs="仿宋_GB2312"/>
          <w:b w:val="0"/>
          <w:sz w:val="32"/>
          <w:szCs w:val="32"/>
          <w:lang w:eastAsia="zh-CN"/>
        </w:rPr>
        <w:t>。</w:t>
      </w:r>
    </w:p>
    <w:p w14:paraId="353AA80B">
      <w:pPr>
        <w:pageBreakBefore w:val="0"/>
        <w:tabs>
          <w:tab w:val="center" w:pos="4153"/>
          <w:tab w:val="right" w:pos="8306"/>
        </w:tabs>
        <w:kinsoku/>
        <w:wordWrap/>
        <w:overflowPunct/>
        <w:topLinePunct w:val="0"/>
        <w:autoSpaceDE/>
        <w:autoSpaceDN/>
        <w:bidi w:val="0"/>
        <w:spacing w:line="560" w:lineRule="exact"/>
        <w:ind w:firstLine="640" w:firstLineChars="200"/>
        <w:rPr>
          <w:rFonts w:hint="eastAsia" w:ascii="仿宋_GB2312" w:hAnsi="宋体" w:eastAsia="仿宋_GB2312"/>
          <w:b w:val="0"/>
          <w:bCs/>
          <w:color w:val="C00000"/>
          <w:sz w:val="32"/>
          <w:szCs w:val="32"/>
          <w:lang w:eastAsia="zh-CN"/>
        </w:rPr>
      </w:pPr>
      <w:r>
        <w:rPr>
          <w:rFonts w:hint="eastAsia" w:ascii="仿宋_GB2312" w:hAnsi="宋体" w:eastAsia="仿宋_GB2312"/>
          <w:b w:val="0"/>
          <w:bCs/>
          <w:color w:val="C00000"/>
          <w:sz w:val="32"/>
          <w:szCs w:val="32"/>
          <w:lang w:eastAsia="zh-CN"/>
        </w:rPr>
        <w:t>重点项目</w:t>
      </w:r>
      <w:r>
        <w:rPr>
          <w:rFonts w:hint="eastAsia" w:ascii="仿宋_GB2312" w:hAnsi="宋体" w:eastAsia="仿宋_GB2312"/>
          <w:b w:val="0"/>
          <w:bCs/>
          <w:color w:val="C00000"/>
          <w:sz w:val="32"/>
          <w:szCs w:val="32"/>
          <w:lang w:val="en-US" w:eastAsia="zh-CN"/>
        </w:rPr>
        <w:t>7</w:t>
      </w:r>
      <w:r>
        <w:rPr>
          <w:rFonts w:hint="eastAsia" w:ascii="仿宋_GB2312" w:hAnsi="宋体" w:eastAsia="仿宋_GB2312"/>
          <w:b w:val="0"/>
          <w:bCs/>
          <w:color w:val="C00000"/>
          <w:sz w:val="32"/>
          <w:szCs w:val="32"/>
          <w:lang w:eastAsia="zh-CN"/>
        </w:rPr>
        <w:t>：</w:t>
      </w:r>
      <w:r>
        <w:rPr>
          <w:rFonts w:hint="eastAsia" w:ascii="仿宋_GB2312" w:hAnsi="宋体" w:eastAsia="仿宋_GB2312"/>
          <w:b w:val="0"/>
          <w:bCs/>
          <w:color w:val="C00000"/>
          <w:sz w:val="32"/>
          <w:szCs w:val="32"/>
          <w:lang w:val="en-US" w:eastAsia="zh-CN"/>
        </w:rPr>
        <w:t>30张床位及维修改造</w:t>
      </w:r>
      <w:r>
        <w:rPr>
          <w:rFonts w:hint="eastAsia" w:ascii="仿宋_GB2312" w:hAnsi="宋体" w:eastAsia="仿宋_GB2312"/>
          <w:b w:val="0"/>
          <w:bCs/>
          <w:color w:val="C00000"/>
          <w:sz w:val="32"/>
          <w:szCs w:val="32"/>
          <w:lang w:eastAsia="zh-CN"/>
        </w:rPr>
        <w:t>项目</w:t>
      </w:r>
    </w:p>
    <w:p w14:paraId="6CDB1ADE">
      <w:pPr>
        <w:pageBreakBefore w:val="0"/>
        <w:widowControl/>
        <w:kinsoku/>
        <w:wordWrap/>
        <w:overflowPunct/>
        <w:topLinePunct w:val="0"/>
        <w:autoSpaceDE/>
        <w:autoSpaceDN/>
        <w:bidi w:val="0"/>
        <w:spacing w:line="560" w:lineRule="exact"/>
        <w:ind w:firstLine="640" w:firstLineChars="200"/>
        <w:jc w:val="left"/>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项目年度绩效目标：</w:t>
      </w:r>
      <w:r>
        <w:rPr>
          <w:rFonts w:hint="eastAsia" w:ascii="仿宋_GB2312" w:hAnsi="仿宋_GB2312" w:eastAsia="仿宋_GB2312" w:cs="仿宋_GB2312"/>
          <w:b w:val="0"/>
          <w:color w:val="000000"/>
          <w:kern w:val="0"/>
          <w:sz w:val="32"/>
          <w:szCs w:val="32"/>
        </w:rPr>
        <w:t>贯彻落实养老服务发展法规政策标准，支持老年建设，提高社区养老服务设施覆盖率，健全养老服务体系，提升养老服务质量。</w:t>
      </w:r>
      <w:r>
        <w:rPr>
          <w:rFonts w:hint="eastAsia" w:ascii="仿宋_GB2312" w:hAnsi="仿宋_GB2312" w:eastAsia="仿宋_GB2312" w:cs="仿宋_GB2312"/>
          <w:b w:val="0"/>
          <w:color w:val="000000"/>
          <w:kern w:val="0"/>
          <w:sz w:val="32"/>
          <w:szCs w:val="32"/>
          <w:lang w:val="en-US" w:eastAsia="zh-CN"/>
        </w:rPr>
        <w:t>2025年按照规模适度的要求，计划在全县范围内选点建设3个日间照料中心，</w:t>
      </w:r>
      <w:r>
        <w:rPr>
          <w:rFonts w:hint="eastAsia" w:ascii="仿宋_GB2312" w:hAnsi="仿宋_GB2312" w:eastAsia="仿宋_GB2312" w:cs="仿宋_GB2312"/>
          <w:b w:val="0"/>
          <w:bCs w:val="0"/>
          <w:kern w:val="32"/>
          <w:sz w:val="32"/>
          <w:szCs w:val="32"/>
        </w:rPr>
        <w:t>床位数量达到</w:t>
      </w:r>
      <w:r>
        <w:rPr>
          <w:rFonts w:hint="eastAsia" w:ascii="仿宋_GB2312" w:hAnsi="仿宋_GB2312" w:eastAsia="仿宋_GB2312" w:cs="仿宋_GB2312"/>
          <w:b w:val="0"/>
          <w:bCs w:val="0"/>
          <w:kern w:val="32"/>
          <w:sz w:val="32"/>
          <w:szCs w:val="32"/>
          <w:lang w:val="en-US" w:eastAsia="zh-CN"/>
        </w:rPr>
        <w:t>7</w:t>
      </w:r>
      <w:r>
        <w:rPr>
          <w:rFonts w:hint="eastAsia" w:ascii="仿宋_GB2312" w:hAnsi="仿宋_GB2312" w:eastAsia="仿宋_GB2312" w:cs="仿宋_GB2312"/>
          <w:b w:val="0"/>
          <w:bCs w:val="0"/>
          <w:kern w:val="32"/>
          <w:sz w:val="32"/>
          <w:szCs w:val="32"/>
        </w:rPr>
        <w:t>张以上</w:t>
      </w:r>
      <w:r>
        <w:rPr>
          <w:rFonts w:hint="eastAsia" w:ascii="仿宋_GB2312" w:hAnsi="仿宋_GB2312" w:eastAsia="仿宋_GB2312" w:cs="仿宋_GB2312"/>
          <w:b w:val="0"/>
          <w:bCs w:val="0"/>
          <w:kern w:val="32"/>
          <w:sz w:val="32"/>
          <w:szCs w:val="32"/>
          <w:lang w:eastAsia="zh-CN"/>
        </w:rPr>
        <w:t>。</w:t>
      </w:r>
      <w:r>
        <w:rPr>
          <w:rFonts w:hint="eastAsia" w:ascii="仿宋_GB2312" w:hAnsi="仿宋_GB2312" w:eastAsia="仿宋_GB2312" w:cs="仿宋_GB2312"/>
          <w:b w:val="0"/>
          <w:bCs w:val="0"/>
          <w:kern w:val="32"/>
          <w:sz w:val="32"/>
          <w:szCs w:val="32"/>
        </w:rPr>
        <w:t>主要面向辐射区域内失能、高龄独居以及其他需要长期入住机构、需要临时短期托养的老年人</w:t>
      </w:r>
      <w:r>
        <w:rPr>
          <w:rFonts w:hint="eastAsia" w:ascii="仿宋_GB2312" w:hAnsi="仿宋_GB2312" w:eastAsia="仿宋_GB2312" w:cs="仿宋_GB2312"/>
          <w:b w:val="0"/>
          <w:bCs w:val="0"/>
          <w:kern w:val="32"/>
          <w:sz w:val="32"/>
          <w:szCs w:val="32"/>
          <w:lang w:eastAsia="zh-CN"/>
        </w:rPr>
        <w:t>。</w:t>
      </w:r>
    </w:p>
    <w:p w14:paraId="64F3976A">
      <w:pPr>
        <w:pageBreakBefore w:val="0"/>
        <w:tabs>
          <w:tab w:val="center" w:pos="4153"/>
          <w:tab w:val="right" w:pos="8306"/>
        </w:tabs>
        <w:kinsoku/>
        <w:wordWrap/>
        <w:overflowPunct/>
        <w:topLinePunct w:val="0"/>
        <w:autoSpaceDE/>
        <w:autoSpaceDN/>
        <w:bidi w:val="0"/>
        <w:spacing w:line="560" w:lineRule="exact"/>
        <w:ind w:firstLine="640" w:firstLineChars="200"/>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绩效指标设置情况：</w:t>
      </w:r>
      <w:r>
        <w:rPr>
          <w:rFonts w:hint="eastAsia" w:ascii="仿宋_GB2312" w:hAnsi="仿宋_GB2312" w:eastAsia="仿宋_GB2312" w:cs="仿宋_GB2312"/>
          <w:b w:val="0"/>
          <w:kern w:val="2"/>
          <w:sz w:val="32"/>
          <w:szCs w:val="32"/>
        </w:rPr>
        <w:t>本项目的主要内容</w:t>
      </w:r>
      <w:r>
        <w:rPr>
          <w:rStyle w:val="11"/>
          <w:rFonts w:hint="eastAsia" w:hAnsi="仿宋_GB2312" w:eastAsia="仿宋_GB2312" w:cstheme="minorBidi"/>
          <w:b w:val="0"/>
          <w:bCs/>
          <w:color w:val="auto"/>
          <w:sz w:val="32"/>
          <w:highlight w:val="none"/>
        </w:rPr>
        <w:t>围绕2016到202</w:t>
      </w:r>
      <w:r>
        <w:rPr>
          <w:rStyle w:val="11"/>
          <w:rFonts w:hint="eastAsia" w:hAnsi="仿宋_GB2312" w:eastAsia="仿宋_GB2312" w:cstheme="minorBidi"/>
          <w:b w:val="0"/>
          <w:bCs/>
          <w:color w:val="auto"/>
          <w:sz w:val="32"/>
          <w:highlight w:val="none"/>
          <w:lang w:val="en-US" w:eastAsia="zh-CN"/>
        </w:rPr>
        <w:t>5</w:t>
      </w:r>
      <w:r>
        <w:rPr>
          <w:rStyle w:val="11"/>
          <w:rFonts w:hint="eastAsia" w:hAnsi="仿宋_GB2312" w:eastAsia="仿宋_GB2312" w:cstheme="minorBidi"/>
          <w:b w:val="0"/>
          <w:bCs/>
          <w:color w:val="auto"/>
          <w:sz w:val="32"/>
          <w:highlight w:val="none"/>
        </w:rPr>
        <w:t>年实现90﹪的城市社区、50﹪的农村社区建有社区老年人日间照料中心的目标，因地制宜推动城乡社区</w:t>
      </w:r>
      <w:r>
        <w:rPr>
          <w:rStyle w:val="11"/>
          <w:rFonts w:hint="eastAsia" w:hAnsi="仿宋_GB2312" w:eastAsia="仿宋_GB2312" w:cstheme="minorBidi"/>
          <w:b w:val="0"/>
          <w:bCs/>
          <w:color w:val="auto"/>
          <w:sz w:val="32"/>
          <w:highlight w:val="none"/>
          <w:lang w:eastAsia="zh-CN"/>
        </w:rPr>
        <w:t>日间</w:t>
      </w:r>
      <w:r>
        <w:rPr>
          <w:rStyle w:val="11"/>
          <w:rFonts w:hint="eastAsia" w:hAnsi="仿宋_GB2312" w:eastAsia="仿宋_GB2312" w:cstheme="minorBidi"/>
          <w:b w:val="0"/>
          <w:bCs/>
          <w:color w:val="auto"/>
          <w:sz w:val="32"/>
          <w:highlight w:val="none"/>
        </w:rPr>
        <w:t>照料中心建设。构建居家养老支付服务机制并覆盖2</w:t>
      </w:r>
      <w:r>
        <w:rPr>
          <w:rStyle w:val="11"/>
          <w:rFonts w:hint="eastAsia" w:hAnsi="仿宋_GB2312" w:eastAsia="仿宋_GB2312" w:cstheme="minorBidi"/>
          <w:b w:val="0"/>
          <w:bCs/>
          <w:color w:val="auto"/>
          <w:sz w:val="32"/>
          <w:highlight w:val="none"/>
          <w:lang w:val="en-US" w:eastAsia="zh-CN"/>
        </w:rPr>
        <w:t>000</w:t>
      </w:r>
      <w:r>
        <w:rPr>
          <w:rStyle w:val="11"/>
          <w:rFonts w:hint="eastAsia" w:hAnsi="仿宋_GB2312" w:eastAsia="仿宋_GB2312" w:cstheme="minorBidi"/>
          <w:b w:val="0"/>
          <w:bCs/>
          <w:color w:val="auto"/>
          <w:sz w:val="32"/>
          <w:highlight w:val="none"/>
        </w:rPr>
        <w:t>名困难家庭的失能老人、独居老人和80周岁以上高龄老人居家养老服务补助政策，确保202</w:t>
      </w:r>
      <w:r>
        <w:rPr>
          <w:rStyle w:val="11"/>
          <w:rFonts w:hint="eastAsia" w:hAnsi="仿宋_GB2312" w:eastAsia="仿宋_GB2312" w:cstheme="minorBidi"/>
          <w:b w:val="0"/>
          <w:bCs/>
          <w:color w:val="auto"/>
          <w:sz w:val="32"/>
          <w:highlight w:val="none"/>
          <w:lang w:val="en-US" w:eastAsia="zh-CN"/>
        </w:rPr>
        <w:t>2</w:t>
      </w:r>
      <w:r>
        <w:rPr>
          <w:rStyle w:val="11"/>
          <w:rFonts w:hint="eastAsia" w:hAnsi="仿宋_GB2312" w:eastAsia="仿宋_GB2312" w:cstheme="minorBidi"/>
          <w:b w:val="0"/>
          <w:bCs/>
          <w:color w:val="auto"/>
          <w:sz w:val="32"/>
          <w:highlight w:val="none"/>
        </w:rPr>
        <w:t>年以前实现补助对象全覆盖的目标，采用政府向各类养老服务组织购买服务和开发公益性岗位等方式，构建居家养老支持服务机制，为全县2</w:t>
      </w:r>
      <w:r>
        <w:rPr>
          <w:rStyle w:val="11"/>
          <w:rFonts w:hint="eastAsia" w:hAnsi="仿宋_GB2312" w:eastAsia="仿宋_GB2312" w:cstheme="minorBidi"/>
          <w:b w:val="0"/>
          <w:bCs/>
          <w:color w:val="auto"/>
          <w:sz w:val="32"/>
          <w:highlight w:val="none"/>
          <w:lang w:val="en-US" w:eastAsia="zh-CN"/>
        </w:rPr>
        <w:t>0</w:t>
      </w:r>
      <w:r>
        <w:rPr>
          <w:rStyle w:val="11"/>
          <w:rFonts w:hint="eastAsia" w:hAnsi="仿宋_GB2312" w:eastAsia="仿宋_GB2312" w:cstheme="minorBidi"/>
          <w:b w:val="0"/>
          <w:bCs/>
          <w:color w:val="auto"/>
          <w:sz w:val="32"/>
          <w:highlight w:val="none"/>
        </w:rPr>
        <w:t>00名居家养老的高龄老人和困难老人提供助餐、助医、助浴、助行等多种服务。</w:t>
      </w:r>
    </w:p>
    <w:p w14:paraId="4F953F9F">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一</w:t>
      </w:r>
      <w:r>
        <w:rPr>
          <w:rFonts w:hint="eastAsia" w:eastAsia="仿宋_GB2312"/>
          <w:b w:val="0"/>
          <w:sz w:val="32"/>
          <w:lang w:eastAsia="zh-CN"/>
        </w:rPr>
        <w:t>）</w:t>
      </w:r>
      <w:r>
        <w:rPr>
          <w:rFonts w:hint="eastAsia" w:eastAsia="仿宋_GB2312"/>
          <w:b w:val="0"/>
          <w:sz w:val="32"/>
        </w:rPr>
        <w:t>评估原则</w:t>
      </w:r>
    </w:p>
    <w:p w14:paraId="5E2488D4">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Times New Roman"/>
          <w:b w:val="0"/>
          <w:sz w:val="32"/>
          <w:szCs w:val="32"/>
        </w:rPr>
      </w:pPr>
      <w:r>
        <w:rPr>
          <w:rFonts w:hint="eastAsia" w:ascii="仿宋_GB2312" w:hAnsi="宋体" w:eastAsia="仿宋_GB2312" w:cs="Times New Roman"/>
          <w:b w:val="0"/>
          <w:sz w:val="32"/>
          <w:szCs w:val="32"/>
        </w:rPr>
        <w:t>根据202</w:t>
      </w:r>
      <w:r>
        <w:rPr>
          <w:rFonts w:hint="eastAsia" w:ascii="仿宋_GB2312" w:hAnsi="宋体" w:eastAsia="仿宋_GB2312" w:cs="Times New Roman"/>
          <w:b w:val="0"/>
          <w:sz w:val="32"/>
          <w:szCs w:val="32"/>
          <w:lang w:val="en-US" w:eastAsia="zh-CN"/>
        </w:rPr>
        <w:t>5</w:t>
      </w:r>
      <w:r>
        <w:rPr>
          <w:rFonts w:hint="eastAsia" w:ascii="仿宋_GB2312" w:hAnsi="宋体" w:eastAsia="仿宋_GB2312" w:cs="Times New Roman"/>
          <w:b w:val="0"/>
          <w:sz w:val="32"/>
          <w:szCs w:val="32"/>
        </w:rPr>
        <w:t>年预算编制要求，绩效评估本着真正过紧日子的原则，厉行节约、精打细算，从严从紧控制项目申报和预算安排，非必要项目和工作内容可压尽压、应压尽压，做到客观、绩效、精准。</w:t>
      </w:r>
    </w:p>
    <w:p w14:paraId="42AA4864">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二</w:t>
      </w:r>
      <w:r>
        <w:rPr>
          <w:rFonts w:hint="eastAsia" w:eastAsia="仿宋_GB2312"/>
          <w:b w:val="0"/>
          <w:sz w:val="32"/>
          <w:lang w:eastAsia="zh-CN"/>
        </w:rPr>
        <w:t>）</w:t>
      </w:r>
      <w:r>
        <w:rPr>
          <w:rFonts w:eastAsia="仿宋_GB2312"/>
          <w:b w:val="0"/>
          <w:sz w:val="32"/>
        </w:rPr>
        <w:t>、</w:t>
      </w:r>
      <w:r>
        <w:rPr>
          <w:rFonts w:hint="eastAsia" w:eastAsia="仿宋_GB2312"/>
          <w:b w:val="0"/>
          <w:sz w:val="32"/>
        </w:rPr>
        <w:t>评估目的</w:t>
      </w:r>
    </w:p>
    <w:p w14:paraId="0D52884F">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b w:val="0"/>
          <w:sz w:val="32"/>
          <w:szCs w:val="32"/>
        </w:rPr>
      </w:pPr>
      <w:r>
        <w:rPr>
          <w:rFonts w:hint="eastAsia" w:ascii="仿宋_GB2312" w:hAnsi="宋体" w:eastAsia="仿宋_GB2312" w:cs="Times New Roman"/>
          <w:b w:val="0"/>
          <w:sz w:val="32"/>
          <w:szCs w:val="32"/>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07201295">
      <w:pPr>
        <w:pStyle w:val="12"/>
        <w:pageBreakBefore w:val="0"/>
        <w:widowControl w:val="0"/>
        <w:numPr>
          <w:ilvl w:val="0"/>
          <w:numId w:val="0"/>
        </w:numPr>
        <w:kinsoku/>
        <w:wordWrap/>
        <w:overflowPunct/>
        <w:topLinePunct w:val="0"/>
        <w:autoSpaceDE/>
        <w:autoSpaceDN/>
        <w:bidi w:val="0"/>
        <w:snapToGrid w:val="0"/>
        <w:spacing w:line="560" w:lineRule="exact"/>
        <w:ind w:leftChars="0" w:firstLine="640" w:firstLineChars="200"/>
        <w:textAlignment w:val="auto"/>
        <w:rPr>
          <w:rFonts w:hint="eastAsia" w:ascii="黑体" w:eastAsia="仿宋_GB2312"/>
          <w:b w:val="0"/>
          <w:bCs/>
          <w:sz w:val="32"/>
          <w:szCs w:val="32"/>
        </w:rPr>
      </w:pPr>
      <w:r>
        <w:rPr>
          <w:rFonts w:hint="eastAsia" w:ascii="黑体" w:eastAsia="仿宋_GB2312"/>
          <w:b w:val="0"/>
          <w:bCs/>
          <w:sz w:val="32"/>
          <w:szCs w:val="32"/>
          <w:lang w:eastAsia="zh-CN"/>
        </w:rPr>
        <w:t>（</w:t>
      </w:r>
      <w:r>
        <w:rPr>
          <w:rFonts w:hint="eastAsia" w:ascii="黑体" w:eastAsia="仿宋_GB2312"/>
          <w:b w:val="0"/>
          <w:bCs/>
          <w:sz w:val="32"/>
          <w:szCs w:val="32"/>
          <w:lang w:val="en-US" w:eastAsia="zh-CN"/>
        </w:rPr>
        <w:t>三</w:t>
      </w:r>
      <w:r>
        <w:rPr>
          <w:rFonts w:hint="eastAsia" w:ascii="黑体" w:eastAsia="仿宋_GB2312"/>
          <w:b w:val="0"/>
          <w:bCs/>
          <w:sz w:val="32"/>
          <w:szCs w:val="32"/>
          <w:lang w:eastAsia="zh-CN"/>
        </w:rPr>
        <w:t>）</w:t>
      </w:r>
      <w:r>
        <w:rPr>
          <w:rFonts w:hint="eastAsia" w:ascii="黑体" w:eastAsia="仿宋_GB2312"/>
          <w:b w:val="0"/>
          <w:bCs/>
          <w:sz w:val="32"/>
          <w:szCs w:val="32"/>
        </w:rPr>
        <w:t>评估</w:t>
      </w:r>
      <w:r>
        <w:rPr>
          <w:rFonts w:hint="eastAsia" w:ascii="黑体" w:eastAsia="仿宋_GB2312"/>
          <w:b w:val="0"/>
          <w:bCs/>
          <w:sz w:val="32"/>
          <w:szCs w:val="32"/>
          <w:lang w:val="en-US" w:eastAsia="zh-CN"/>
        </w:rPr>
        <w:t>程序</w:t>
      </w:r>
      <w:r>
        <w:rPr>
          <w:rFonts w:hint="eastAsia" w:ascii="黑体" w:eastAsia="仿宋_GB2312"/>
          <w:b w:val="0"/>
          <w:bCs/>
          <w:sz w:val="32"/>
          <w:szCs w:val="32"/>
        </w:rPr>
        <w:t>和方法</w:t>
      </w:r>
    </w:p>
    <w:p w14:paraId="6198C344">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1、</w:t>
      </w:r>
      <w:r>
        <w:rPr>
          <w:rFonts w:hint="eastAsia" w:ascii="楷体_GB2312" w:hAnsi="楷体_GB2312" w:eastAsia="仿宋_GB2312" w:cs="楷体_GB2312"/>
          <w:b w:val="0"/>
          <w:sz w:val="32"/>
        </w:rPr>
        <w:t>评估</w:t>
      </w:r>
      <w:r>
        <w:rPr>
          <w:rFonts w:hint="eastAsia" w:ascii="楷体_GB2312" w:hAnsi="楷体_GB2312" w:eastAsia="仿宋_GB2312" w:cs="楷体_GB2312"/>
          <w:b w:val="0"/>
          <w:sz w:val="32"/>
          <w:lang w:val="en-US" w:eastAsia="zh-CN"/>
        </w:rPr>
        <w:t>程序</w:t>
      </w:r>
    </w:p>
    <w:p w14:paraId="4D8ECFA1">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Times New Roman"/>
          <w:b w:val="0"/>
          <w:sz w:val="32"/>
          <w:szCs w:val="32"/>
        </w:rPr>
      </w:pPr>
      <w:r>
        <w:rPr>
          <w:rFonts w:hint="eastAsia" w:ascii="仿宋_GB2312" w:hAnsi="宋体" w:eastAsia="仿宋_GB2312" w:cs="Times New Roman"/>
          <w:b w:val="0"/>
          <w:sz w:val="32"/>
          <w:szCs w:val="32"/>
        </w:rPr>
        <w:t>我单位高度重视，为加强项目绩效管理工作，贯彻落实贯穿项目实施全过程的绩效目标管理、绩效监控、绩效评价、结果应用的机制，成立了以局长为组长、分管财务的副局长为副组长、各股室负责人为成员的绩效评价工作组，召开专项工作会议安排，按照预算绩效管理相关要求制定了事前绩效评估管理办法，设置了绩效评价指标体系,由办公室牵头组织开展本部门事前绩效评估工作，由财务股室相关工作人员依据事前绩效评估结果编制、申请预算，配合财政部门做好事前绩效评估有关工作。从项目绩效目标编制入手，加强财政资金的跟踪问效，及时纠正绩效偏差，延伸财政管理链条，提升精细化管理水平，提高财政资金的使用效益。</w:t>
      </w:r>
    </w:p>
    <w:p w14:paraId="4541A644">
      <w:pPr>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CESI仿宋-GB2312" w:eastAsia="仿宋_GB2312"/>
          <w:b w:val="0"/>
          <w:kern w:val="2"/>
          <w:sz w:val="32"/>
          <w:szCs w:val="32"/>
        </w:rPr>
      </w:pPr>
      <w:r>
        <w:rPr>
          <w:rFonts w:hint="eastAsia" w:ascii="CESI楷体-GB2312" w:eastAsia="仿宋_GB2312"/>
          <w:b w:val="0"/>
          <w:sz w:val="32"/>
          <w:szCs w:val="32"/>
          <w:lang w:val="en-US" w:eastAsia="zh-CN"/>
        </w:rPr>
        <w:t>2、</w:t>
      </w:r>
      <w:r>
        <w:rPr>
          <w:rFonts w:hint="eastAsia" w:ascii="CESI楷体-GB2312" w:eastAsia="仿宋_GB2312"/>
          <w:b w:val="0"/>
          <w:sz w:val="32"/>
          <w:szCs w:val="32"/>
        </w:rPr>
        <w:t>评估方法</w:t>
      </w:r>
    </w:p>
    <w:p w14:paraId="2FCE2210">
      <w:pPr>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eastAsia="仿宋_GB2312"/>
          <w:b w:val="0"/>
          <w:sz w:val="32"/>
        </w:rPr>
      </w:pPr>
      <w:r>
        <w:rPr>
          <w:rFonts w:hint="eastAsia" w:ascii="CESI仿宋-GB2312" w:eastAsia="仿宋_GB2312"/>
          <w:b w:val="0"/>
          <w:kern w:val="2"/>
          <w:sz w:val="32"/>
          <w:szCs w:val="32"/>
        </w:rPr>
        <w:t>本项目通过现场踏勘、与项目相关人员座谈或讨论、聘请相关专业专家、市场调研等方法了解项目情况，收集相关资料，综合分析相关情况后，对项目的立项必要性、投入经济性、目标合理性、方案可行性以及筹资合规性实施评估。该项目立项符合主管部门职能、规划及年度重点工作安排的需求，具有迫切的现实需求和明确的服务对象，具有立项的必要性。</w:t>
      </w:r>
    </w:p>
    <w:p w14:paraId="48A3898E">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仿宋_GB2312" w:hAnsi="宋体" w:eastAsia="仿宋_GB2312"/>
          <w:b w:val="0"/>
          <w:bCs/>
          <w:sz w:val="32"/>
          <w:szCs w:val="32"/>
        </w:rPr>
      </w:pPr>
      <w:r>
        <w:rPr>
          <w:rFonts w:hint="eastAsia" w:eastAsia="仿宋_GB2312"/>
          <w:b w:val="0"/>
          <w:sz w:val="32"/>
          <w:lang w:eastAsia="zh-CN"/>
        </w:rPr>
        <w:t>（</w:t>
      </w:r>
      <w:r>
        <w:rPr>
          <w:rFonts w:hint="eastAsia" w:eastAsia="仿宋_GB2312"/>
          <w:b w:val="0"/>
          <w:sz w:val="32"/>
          <w:lang w:val="en-US" w:eastAsia="zh-CN"/>
        </w:rPr>
        <w:t>四</w:t>
      </w:r>
      <w:r>
        <w:rPr>
          <w:rFonts w:hint="eastAsia" w:eastAsia="仿宋_GB2312"/>
          <w:b w:val="0"/>
          <w:sz w:val="32"/>
          <w:lang w:eastAsia="zh-CN"/>
        </w:rPr>
        <w:t>）</w:t>
      </w:r>
      <w:r>
        <w:rPr>
          <w:rFonts w:hint="eastAsia" w:eastAsia="仿宋_GB2312"/>
          <w:b w:val="0"/>
          <w:sz w:val="32"/>
        </w:rPr>
        <w:t>评估内容</w:t>
      </w:r>
    </w:p>
    <w:p w14:paraId="1B5F8144">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1、</w:t>
      </w:r>
      <w:r>
        <w:rPr>
          <w:rFonts w:hint="eastAsia" w:ascii="楷体_GB2312" w:hAnsi="楷体_GB2312" w:eastAsia="仿宋_GB2312" w:cs="楷体_GB2312"/>
          <w:b w:val="0"/>
          <w:sz w:val="32"/>
        </w:rPr>
        <w:t>立项必要性</w:t>
      </w:r>
    </w:p>
    <w:p w14:paraId="21024C7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宋体" w:hAnsi="宋体" w:eastAsia="仿宋_GB2312"/>
          <w:b w:val="0"/>
          <w:sz w:val="32"/>
          <w:szCs w:val="21"/>
          <w:lang w:val="en-US" w:eastAsia="zh-CN"/>
        </w:rPr>
      </w:pPr>
      <w:r>
        <w:rPr>
          <w:rFonts w:hint="eastAsia" w:ascii="仿宋_GB2312" w:hAnsi="仿宋_GB2312" w:eastAsia="仿宋_GB2312" w:cs="仿宋_GB2312"/>
          <w:b w:val="0"/>
          <w:sz w:val="32"/>
          <w:szCs w:val="32"/>
          <w:lang w:val="zh-CN"/>
        </w:rPr>
        <w:t>根据</w:t>
      </w:r>
      <w:r>
        <w:rPr>
          <w:rFonts w:hint="eastAsia" w:ascii="仿宋_GB2312" w:hAnsi="仿宋_GB2312" w:eastAsia="仿宋_GB2312" w:cs="仿宋_GB2312"/>
          <w:b w:val="0"/>
          <w:color w:val="000000"/>
          <w:sz w:val="32"/>
          <w:szCs w:val="32"/>
          <w:shd w:val="clear" w:color="auto" w:fill="FFFFFF"/>
        </w:rPr>
        <w:t>《国务院关于加快发展养老服务业的若干意见》（国发〔2013〕35号）、《四川省人民政府关于加快发展养老服务业的实施意见》（川府发〔2014〕8号）、《四川省关于贯彻《关于全面推进居家养老服务工作的意见》的通知》</w:t>
      </w:r>
      <w:r>
        <w:rPr>
          <w:rFonts w:hint="eastAsia" w:ascii="仿宋_GB2312" w:hAnsi="仿宋_GB2312" w:eastAsia="仿宋_GB2312" w:cs="仿宋_GB2312"/>
          <w:b w:val="0"/>
          <w:color w:val="000000"/>
          <w:sz w:val="32"/>
          <w:szCs w:val="32"/>
          <w:shd w:val="clear" w:color="auto" w:fill="FFFFFF"/>
          <w:lang w:eastAsia="zh-CN"/>
        </w:rPr>
        <w:t>。</w:t>
      </w:r>
      <w:r>
        <w:rPr>
          <w:rFonts w:hint="eastAsia" w:ascii="仿宋_GB2312" w:hAnsi="仿宋_GB2312" w:eastAsia="仿宋_GB2312" w:cs="仿宋_GB2312"/>
          <w:b w:val="0"/>
          <w:bCs w:val="0"/>
          <w:sz w:val="32"/>
          <w:szCs w:val="32"/>
          <w:lang w:val="en-US" w:eastAsia="zh-CN"/>
        </w:rPr>
        <w:t>该项目实施与《关于印发&lt;四川省居家和社区养老服务导则的通知&gt;》（川民发〔2018〕58号）、阿坝州人民政府办公室《关于推进居家养老服务工作实施意见》一致。</w:t>
      </w:r>
      <w:r>
        <w:rPr>
          <w:rFonts w:hint="eastAsia" w:ascii="仿宋_GB2312" w:hAnsi="仿宋_GB2312" w:eastAsia="仿宋_GB2312" w:cs="仿宋_GB2312"/>
          <w:b w:val="0"/>
          <w:sz w:val="32"/>
          <w:szCs w:val="32"/>
        </w:rPr>
        <w:t>养老服务体系项目建设能满足广大老年人日益增长的物质和精神文化需求，</w:t>
      </w:r>
      <w:r>
        <w:rPr>
          <w:rFonts w:hint="eastAsia" w:ascii="仿宋_GB2312" w:hAnsi="仿宋_GB2312" w:eastAsia="仿宋_GB2312" w:cs="仿宋_GB2312"/>
          <w:b w:val="0"/>
          <w:color w:val="000000"/>
          <w:kern w:val="0"/>
          <w:sz w:val="32"/>
          <w:szCs w:val="32"/>
        </w:rPr>
        <w:t>提升老年人生活质量</w:t>
      </w:r>
      <w:r>
        <w:rPr>
          <w:rFonts w:hint="eastAsia" w:ascii="仿宋_GB2312" w:hAnsi="仿宋_GB2312" w:eastAsia="仿宋_GB2312" w:cs="仿宋_GB2312"/>
          <w:b w:val="0"/>
          <w:sz w:val="32"/>
          <w:szCs w:val="32"/>
        </w:rPr>
        <w:t>，构建政府主导、社区参与，以居家养老为基础、社区照料为依托、机构养老为补充，多层次、多类型的社会化养老服务体系，能为老年人提供周到、便捷、高效、体贴的专业化服务，不断促进我县养老服务业的健康发展。</w:t>
      </w:r>
    </w:p>
    <w:p w14:paraId="48D7D5EE">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2、</w:t>
      </w:r>
      <w:r>
        <w:rPr>
          <w:rFonts w:hint="eastAsia" w:ascii="楷体_GB2312" w:hAnsi="楷体_GB2312" w:eastAsia="仿宋_GB2312" w:cs="楷体_GB2312"/>
          <w:b w:val="0"/>
          <w:sz w:val="32"/>
        </w:rPr>
        <w:t>投入经济性</w:t>
      </w:r>
    </w:p>
    <w:p w14:paraId="1D47E8A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val="0"/>
          <w:sz w:val="32"/>
          <w:szCs w:val="32"/>
        </w:rPr>
        <w:t>该项目成本测算科学合理、具体充分，项目投入成本与预期效益高度相关，投入产出比科学合理，符合投入最小化、产出最大化预期。</w:t>
      </w:r>
    </w:p>
    <w:p w14:paraId="6029A7ED">
      <w:pPr>
        <w:keepNext w:val="0"/>
        <w:keepLines w:val="0"/>
        <w:pageBreakBefore w:val="0"/>
        <w:widowControl w:val="0"/>
        <w:suppressLineNumbers w:val="0"/>
        <w:suppressAutoHyphens/>
        <w:kinsoku/>
        <w:wordWrap/>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kern w:val="2"/>
          <w:sz w:val="32"/>
          <w:szCs w:val="32"/>
          <w:lang w:eastAsia="zh-CN"/>
        </w:rPr>
      </w:pPr>
      <w:r>
        <w:rPr>
          <w:rFonts w:hint="eastAsia" w:ascii="仿宋_GB2312" w:hAnsi="仿宋_GB2312" w:eastAsia="仿宋_GB2312" w:cs="仿宋_GB2312"/>
          <w:b w:val="0"/>
          <w:kern w:val="2"/>
          <w:sz w:val="32"/>
          <w:szCs w:val="32"/>
        </w:rPr>
        <w:t>项目申报预算为</w:t>
      </w:r>
      <w:r>
        <w:rPr>
          <w:rFonts w:hint="eastAsia" w:ascii="仿宋_GB2312" w:hAnsi="仿宋_GB2312" w:eastAsia="仿宋_GB2312" w:cs="仿宋_GB2312"/>
          <w:b w:val="0"/>
          <w:kern w:val="2"/>
          <w:sz w:val="32"/>
          <w:szCs w:val="32"/>
          <w:lang w:val="en-US" w:eastAsia="zh-CN"/>
        </w:rPr>
        <w:t>50张床位25万元</w:t>
      </w:r>
      <w:r>
        <w:rPr>
          <w:rFonts w:hint="eastAsia" w:ascii="仿宋_GB2312" w:hAnsi="仿宋_GB2312" w:eastAsia="仿宋_GB2312" w:cs="仿宋_GB2312"/>
          <w:b w:val="0"/>
          <w:kern w:val="2"/>
          <w:sz w:val="32"/>
          <w:szCs w:val="32"/>
        </w:rPr>
        <w:t>（资金来源为</w:t>
      </w:r>
      <w:r>
        <w:rPr>
          <w:rFonts w:hint="eastAsia" w:ascii="仿宋_GB2312" w:hAnsi="仿宋_GB2312" w:eastAsia="仿宋_GB2312" w:cs="仿宋_GB2312"/>
          <w:b w:val="0"/>
          <w:kern w:val="2"/>
          <w:sz w:val="32"/>
          <w:szCs w:val="32"/>
          <w:lang w:val="en-US" w:eastAsia="zh-CN"/>
        </w:rPr>
        <w:t>省级资金12.5万元、州级资金3.75万元、县级配套8.75万元</w:t>
      </w:r>
      <w:r>
        <w:rPr>
          <w:rFonts w:hint="eastAsia" w:ascii="仿宋_GB2312" w:hAnsi="仿宋_GB2312" w:eastAsia="仿宋_GB2312" w:cs="仿宋_GB2312"/>
          <w:b w:val="0"/>
          <w:kern w:val="2"/>
          <w:sz w:val="32"/>
          <w:szCs w:val="32"/>
        </w:rPr>
        <w:t>）</w:t>
      </w:r>
      <w:r>
        <w:rPr>
          <w:rFonts w:hint="eastAsia" w:ascii="仿宋_GB2312" w:hAnsi="仿宋_GB2312" w:eastAsia="仿宋_GB2312" w:cs="仿宋_GB2312"/>
          <w:b w:val="0"/>
          <w:kern w:val="2"/>
          <w:sz w:val="32"/>
          <w:szCs w:val="32"/>
          <w:lang w:eastAsia="zh-CN"/>
        </w:rPr>
        <w:t>，</w:t>
      </w:r>
      <w:r>
        <w:rPr>
          <w:rFonts w:hint="eastAsia" w:ascii="仿宋_GB2312" w:hAnsi="仿宋_GB2312" w:eastAsia="仿宋_GB2312" w:cs="仿宋_GB2312"/>
          <w:b w:val="0"/>
          <w:kern w:val="2"/>
          <w:sz w:val="32"/>
          <w:szCs w:val="32"/>
          <w:lang w:val="en-US" w:eastAsia="zh-CN"/>
        </w:rPr>
        <w:t>3个日间照料中心建设75万元（资金来源为省级资金26.25万元、州级资金14.625万元、县级资金34.125万元），</w:t>
      </w:r>
      <w:r>
        <w:rPr>
          <w:rFonts w:hint="eastAsia" w:ascii="仿宋" w:hAnsi="仿宋" w:eastAsia="仿宋_GB2312" w:cs="仿宋"/>
          <w:b w:val="0"/>
          <w:color w:val="auto"/>
          <w:sz w:val="32"/>
          <w:szCs w:val="32"/>
        </w:rPr>
        <w:t>为困难家庭失能老人、独居老人和80周岁以上老人提供居家养老服务补助2</w:t>
      </w:r>
      <w:r>
        <w:rPr>
          <w:rFonts w:hint="eastAsia" w:ascii="仿宋" w:hAnsi="仿宋" w:eastAsia="仿宋_GB2312" w:cs="仿宋"/>
          <w:b w:val="0"/>
          <w:color w:val="auto"/>
          <w:sz w:val="32"/>
          <w:szCs w:val="32"/>
          <w:lang w:val="en-US" w:eastAsia="zh-CN"/>
        </w:rPr>
        <w:t>0</w:t>
      </w:r>
      <w:r>
        <w:rPr>
          <w:rFonts w:hint="eastAsia" w:ascii="仿宋" w:hAnsi="仿宋" w:eastAsia="仿宋_GB2312" w:cs="仿宋"/>
          <w:b w:val="0"/>
          <w:color w:val="auto"/>
          <w:sz w:val="32"/>
          <w:szCs w:val="32"/>
        </w:rPr>
        <w:t>00人</w:t>
      </w:r>
      <w:r>
        <w:rPr>
          <w:rFonts w:hint="eastAsia" w:ascii="仿宋_GB2312" w:hAnsi="仿宋_GB2312" w:eastAsia="仿宋_GB2312" w:cs="仿宋_GB2312"/>
          <w:b w:val="0"/>
          <w:kern w:val="2"/>
          <w:sz w:val="32"/>
          <w:szCs w:val="32"/>
          <w:lang w:val="en-US" w:eastAsia="zh-CN"/>
        </w:rPr>
        <w:t>75万元（资金来源为省级资金26.25万元、州级资金14.625万元、县级资金34.125万元）。县级</w:t>
      </w:r>
      <w:r>
        <w:rPr>
          <w:rFonts w:hint="eastAsia" w:ascii="仿宋_GB2312" w:hAnsi="仿宋_GB2312" w:eastAsia="仿宋_GB2312" w:cs="仿宋_GB2312"/>
          <w:b w:val="0"/>
          <w:kern w:val="2"/>
          <w:sz w:val="32"/>
          <w:szCs w:val="32"/>
        </w:rPr>
        <w:t>年度申报金额为</w:t>
      </w:r>
      <w:r>
        <w:rPr>
          <w:rFonts w:hint="eastAsia" w:ascii="仿宋_GB2312" w:hAnsi="仿宋_GB2312" w:eastAsia="仿宋_GB2312" w:cs="仿宋_GB2312"/>
          <w:b w:val="0"/>
          <w:kern w:val="2"/>
          <w:sz w:val="32"/>
          <w:szCs w:val="32"/>
          <w:lang w:val="en-US" w:eastAsia="zh-CN"/>
        </w:rPr>
        <w:t>77</w:t>
      </w:r>
      <w:r>
        <w:rPr>
          <w:rFonts w:hint="eastAsia" w:ascii="仿宋_GB2312" w:hAnsi="仿宋_GB2312" w:eastAsia="仿宋_GB2312" w:cs="仿宋_GB2312"/>
          <w:b w:val="0"/>
          <w:kern w:val="2"/>
          <w:sz w:val="32"/>
          <w:szCs w:val="32"/>
        </w:rPr>
        <w:t>万元</w:t>
      </w:r>
      <w:r>
        <w:rPr>
          <w:rFonts w:hint="eastAsia" w:ascii="仿宋_GB2312" w:hAnsi="仿宋_GB2312" w:eastAsia="仿宋_GB2312" w:cs="仿宋_GB2312"/>
          <w:b w:val="0"/>
          <w:kern w:val="2"/>
          <w:sz w:val="32"/>
          <w:szCs w:val="32"/>
          <w:lang w:eastAsia="zh-CN"/>
        </w:rPr>
        <w:t>。</w:t>
      </w:r>
    </w:p>
    <w:p w14:paraId="3E42A652">
      <w:pPr>
        <w:keepNext w:val="0"/>
        <w:keepLines w:val="0"/>
        <w:pageBreakBefore w:val="0"/>
        <w:widowControl w:val="0"/>
        <w:suppressLineNumbers w:val="0"/>
        <w:suppressAutoHyphens/>
        <w:kinsoku/>
        <w:wordWrap/>
        <w:overflowPunct/>
        <w:topLinePunct w:val="0"/>
        <w:autoSpaceDE/>
        <w:autoSpaceDN/>
        <w:bidi w:val="0"/>
        <w:adjustRightInd/>
        <w:snapToGrid w:val="0"/>
        <w:spacing w:line="560" w:lineRule="exact"/>
        <w:ind w:left="0" w:firstLine="627" w:firstLineChars="196"/>
        <w:textAlignment w:val="auto"/>
        <w:rPr>
          <w:rFonts w:hint="eastAsia" w:ascii="仿宋_GB2312" w:hAnsi="仿宋_GB2312" w:eastAsia="仿宋_GB2312" w:cs="仿宋_GB2312"/>
          <w:b w:val="0"/>
          <w:kern w:val="2"/>
          <w:sz w:val="32"/>
          <w:szCs w:val="32"/>
        </w:rPr>
      </w:pPr>
    </w:p>
    <w:p w14:paraId="185E709A">
      <w:pPr>
        <w:pStyle w:val="6"/>
        <w:rPr>
          <w:rFonts w:hint="eastAsia"/>
        </w:rPr>
        <w:sectPr>
          <w:headerReference r:id="rId5" w:type="default"/>
          <w:footerReference r:id="rId6" w:type="default"/>
          <w:pgSz w:w="11906" w:h="16838"/>
          <w:pgMar w:top="1134" w:right="1134" w:bottom="1134" w:left="1418" w:header="680" w:footer="850" w:gutter="0"/>
          <w:cols w:space="720" w:num="1"/>
          <w:docGrid w:type="lines" w:linePitch="312" w:charSpace="0"/>
        </w:sectPr>
      </w:pPr>
    </w:p>
    <w:p w14:paraId="718E48CB">
      <w:pPr>
        <w:keepNext w:val="0"/>
        <w:keepLines w:val="0"/>
        <w:pageBreakBefore w:val="0"/>
        <w:widowControl w:val="0"/>
        <w:suppressLineNumbers w:val="0"/>
        <w:suppressAutoHyphens/>
        <w:kinsoku/>
        <w:wordWrap/>
        <w:overflowPunct/>
        <w:topLinePunct w:val="0"/>
        <w:autoSpaceDE/>
        <w:autoSpaceDN/>
        <w:bidi w:val="0"/>
        <w:adjustRightInd/>
        <w:snapToGrid w:val="0"/>
        <w:spacing w:line="560" w:lineRule="exact"/>
        <w:ind w:left="0" w:firstLine="640" w:firstLineChars="200"/>
        <w:rPr>
          <w:rFonts w:hint="eastAsia" w:ascii="仿宋_GB2312" w:hAnsi="仿宋_GB2312" w:eastAsia="仿宋_GB2312" w:cs="仿宋_GB2312"/>
          <w:b w:val="0"/>
          <w:kern w:val="2"/>
          <w:sz w:val="32"/>
          <w:szCs w:val="28"/>
          <w:lang w:eastAsia="zh-CN"/>
        </w:rPr>
      </w:pPr>
      <w:r>
        <w:rPr>
          <w:rFonts w:hint="eastAsia" w:ascii="仿宋_GB2312" w:hAnsi="仿宋_GB2312" w:eastAsia="仿宋_GB2312" w:cs="仿宋_GB2312"/>
          <w:b w:val="0"/>
          <w:kern w:val="2"/>
          <w:sz w:val="32"/>
          <w:szCs w:val="28"/>
          <w:lang w:val="en-US" w:eastAsia="zh-CN"/>
        </w:rPr>
        <w:t>养老服务体系建设</w:t>
      </w:r>
      <w:r>
        <w:rPr>
          <w:rFonts w:hint="eastAsia" w:ascii="仿宋_GB2312" w:hAnsi="仿宋_GB2312" w:eastAsia="仿宋_GB2312" w:cs="仿宋_GB2312"/>
          <w:b w:val="0"/>
          <w:kern w:val="2"/>
          <w:sz w:val="32"/>
          <w:szCs w:val="28"/>
        </w:rPr>
        <w:t>项目事前绩效评估汇总表</w:t>
      </w:r>
      <w:r>
        <w:rPr>
          <w:rFonts w:hint="eastAsia" w:ascii="仿宋_GB2312" w:hAnsi="仿宋_GB2312" w:eastAsia="仿宋_GB2312" w:cs="仿宋_GB2312"/>
          <w:b w:val="0"/>
          <w:kern w:val="2"/>
          <w:sz w:val="32"/>
          <w:szCs w:val="28"/>
          <w:lang w:eastAsia="zh-CN"/>
        </w:rPr>
        <w:t>（</w:t>
      </w:r>
      <w:r>
        <w:rPr>
          <w:rFonts w:hint="eastAsia" w:ascii="仿宋_GB2312" w:hAnsi="仿宋_GB2312" w:eastAsia="仿宋_GB2312" w:cs="仿宋_GB2312"/>
          <w:b w:val="0"/>
          <w:kern w:val="2"/>
          <w:sz w:val="32"/>
          <w:szCs w:val="28"/>
          <w:lang w:val="en-US" w:eastAsia="zh-CN"/>
        </w:rPr>
        <w:t>万元</w:t>
      </w:r>
      <w:r>
        <w:rPr>
          <w:rFonts w:hint="eastAsia" w:ascii="仿宋_GB2312" w:hAnsi="仿宋_GB2312" w:eastAsia="仿宋_GB2312" w:cs="仿宋_GB2312"/>
          <w:b w:val="0"/>
          <w:kern w:val="2"/>
          <w:sz w:val="32"/>
          <w:szCs w:val="28"/>
          <w:lang w:eastAsia="zh-CN"/>
        </w:rPr>
        <w:t>）</w:t>
      </w:r>
    </w:p>
    <w:tbl>
      <w:tblPr>
        <w:tblStyle w:val="8"/>
        <w:tblW w:w="9110"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417"/>
        <w:gridCol w:w="2667"/>
        <w:gridCol w:w="954"/>
        <w:gridCol w:w="954"/>
        <w:gridCol w:w="1004"/>
        <w:gridCol w:w="954"/>
        <w:gridCol w:w="2160"/>
      </w:tblGrid>
      <w:tr w14:paraId="0F43B4D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33AB93C3">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序号</w:t>
            </w:r>
          </w:p>
        </w:tc>
        <w:tc>
          <w:tcPr>
            <w:tcW w:w="2667" w:type="dxa"/>
            <w:tcBorders>
              <w:top w:val="single" w:color="auto" w:sz="4" w:space="0"/>
              <w:left w:val="single" w:color="auto" w:sz="4" w:space="0"/>
              <w:bottom w:val="single" w:color="auto" w:sz="4" w:space="0"/>
              <w:right w:val="single" w:color="auto" w:sz="4" w:space="0"/>
            </w:tcBorders>
            <w:vAlign w:val="center"/>
          </w:tcPr>
          <w:p w14:paraId="37BD5981">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项目内容</w:t>
            </w:r>
          </w:p>
        </w:tc>
        <w:tc>
          <w:tcPr>
            <w:tcW w:w="954" w:type="dxa"/>
            <w:tcBorders>
              <w:top w:val="single" w:color="auto" w:sz="4" w:space="0"/>
              <w:left w:val="single" w:color="auto" w:sz="4" w:space="0"/>
              <w:bottom w:val="single" w:color="auto" w:sz="4" w:space="0"/>
              <w:right w:val="single" w:color="auto" w:sz="4" w:space="0"/>
            </w:tcBorders>
            <w:vAlign w:val="center"/>
          </w:tcPr>
          <w:p w14:paraId="2D695AAB">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申报</w:t>
            </w:r>
          </w:p>
          <w:p w14:paraId="65FEAC7F">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预算</w:t>
            </w:r>
          </w:p>
        </w:tc>
        <w:tc>
          <w:tcPr>
            <w:tcW w:w="954" w:type="dxa"/>
            <w:tcBorders>
              <w:top w:val="single" w:color="auto" w:sz="4" w:space="0"/>
              <w:left w:val="single" w:color="auto" w:sz="4" w:space="0"/>
              <w:bottom w:val="single" w:color="auto" w:sz="4" w:space="0"/>
              <w:right w:val="single" w:color="auto" w:sz="4" w:space="0"/>
            </w:tcBorders>
            <w:vAlign w:val="center"/>
          </w:tcPr>
          <w:p w14:paraId="00A7B095">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送审</w:t>
            </w:r>
          </w:p>
          <w:p w14:paraId="36D1F9DB">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金额</w:t>
            </w:r>
          </w:p>
        </w:tc>
        <w:tc>
          <w:tcPr>
            <w:tcW w:w="1004" w:type="dxa"/>
            <w:tcBorders>
              <w:top w:val="single" w:color="auto" w:sz="4" w:space="0"/>
              <w:left w:val="single" w:color="auto" w:sz="4" w:space="0"/>
              <w:bottom w:val="single" w:color="auto" w:sz="4" w:space="0"/>
              <w:right w:val="single" w:color="auto" w:sz="4" w:space="0"/>
            </w:tcBorders>
            <w:vAlign w:val="center"/>
          </w:tcPr>
          <w:p w14:paraId="38247F79">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建议控制额</w:t>
            </w:r>
          </w:p>
        </w:tc>
        <w:tc>
          <w:tcPr>
            <w:tcW w:w="954" w:type="dxa"/>
            <w:tcBorders>
              <w:top w:val="single" w:color="auto" w:sz="4" w:space="0"/>
              <w:left w:val="single" w:color="auto" w:sz="4" w:space="0"/>
              <w:bottom w:val="single" w:color="auto" w:sz="4" w:space="0"/>
              <w:right w:val="single" w:color="auto" w:sz="4" w:space="0"/>
            </w:tcBorders>
            <w:vAlign w:val="center"/>
          </w:tcPr>
          <w:p w14:paraId="0735E3FE">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核减</w:t>
            </w:r>
          </w:p>
        </w:tc>
        <w:tc>
          <w:tcPr>
            <w:tcW w:w="2160" w:type="dxa"/>
            <w:vMerge w:val="restart"/>
            <w:tcBorders>
              <w:top w:val="single" w:color="auto" w:sz="4" w:space="0"/>
              <w:left w:val="single" w:color="auto" w:sz="4" w:space="0"/>
              <w:bottom w:val="single" w:color="auto" w:sz="4" w:space="0"/>
              <w:right w:val="single" w:color="auto" w:sz="4" w:space="0"/>
            </w:tcBorders>
            <w:vAlign w:val="center"/>
          </w:tcPr>
          <w:p w14:paraId="55AB8BD8">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color w:val="auto"/>
                <w:kern w:val="0"/>
                <w:sz w:val="32"/>
                <w:szCs w:val="28"/>
              </w:rPr>
            </w:pPr>
            <w:r>
              <w:rPr>
                <w:rFonts w:hint="eastAsia" w:ascii="仿宋_GB2312" w:hAnsi="仿宋_GB2312" w:eastAsia="仿宋_GB2312" w:cs="仿宋_GB2312"/>
                <w:b w:val="0"/>
                <w:color w:val="auto"/>
                <w:kern w:val="0"/>
                <w:sz w:val="32"/>
                <w:szCs w:val="28"/>
              </w:rPr>
              <w:t>备注　</w:t>
            </w:r>
          </w:p>
        </w:tc>
      </w:tr>
      <w:tr w14:paraId="68F58C1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24A9DAD5">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rPr>
              <w:t>　</w:t>
            </w:r>
            <w:r>
              <w:rPr>
                <w:rFonts w:hint="eastAsia" w:ascii="仿宋_GB2312" w:hAnsi="仿宋_GB2312" w:eastAsia="仿宋_GB2312" w:cs="仿宋_GB2312"/>
                <w:b w:val="0"/>
                <w:kern w:val="0"/>
                <w:sz w:val="32"/>
                <w:szCs w:val="28"/>
                <w:lang w:val="en-US" w:eastAsia="zh-CN"/>
              </w:rPr>
              <w:t>1</w:t>
            </w:r>
          </w:p>
        </w:tc>
        <w:tc>
          <w:tcPr>
            <w:tcW w:w="2667" w:type="dxa"/>
            <w:tcBorders>
              <w:top w:val="single" w:color="auto" w:sz="4" w:space="0"/>
              <w:left w:val="single" w:color="auto" w:sz="4" w:space="0"/>
              <w:bottom w:val="single" w:color="auto" w:sz="4" w:space="0"/>
              <w:right w:val="single" w:color="auto" w:sz="4" w:space="0"/>
            </w:tcBorders>
            <w:vAlign w:val="center"/>
          </w:tcPr>
          <w:p w14:paraId="28F3258E">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养老服务体系建设</w:t>
            </w:r>
          </w:p>
        </w:tc>
        <w:tc>
          <w:tcPr>
            <w:tcW w:w="954" w:type="dxa"/>
            <w:tcBorders>
              <w:top w:val="single" w:color="auto" w:sz="4" w:space="0"/>
              <w:left w:val="single" w:color="auto" w:sz="4" w:space="0"/>
              <w:bottom w:val="single" w:color="auto" w:sz="4" w:space="0"/>
              <w:right w:val="single" w:color="auto" w:sz="4" w:space="0"/>
            </w:tcBorders>
            <w:vAlign w:val="center"/>
          </w:tcPr>
          <w:p w14:paraId="526CFAFB">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77</w:t>
            </w:r>
          </w:p>
        </w:tc>
        <w:tc>
          <w:tcPr>
            <w:tcW w:w="954" w:type="dxa"/>
            <w:tcBorders>
              <w:top w:val="single" w:color="auto" w:sz="4" w:space="0"/>
              <w:left w:val="single" w:color="auto" w:sz="4" w:space="0"/>
              <w:bottom w:val="single" w:color="auto" w:sz="4" w:space="0"/>
              <w:right w:val="single" w:color="auto" w:sz="4" w:space="0"/>
            </w:tcBorders>
            <w:vAlign w:val="center"/>
          </w:tcPr>
          <w:p w14:paraId="5D324955">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77</w:t>
            </w:r>
          </w:p>
        </w:tc>
        <w:tc>
          <w:tcPr>
            <w:tcW w:w="1004" w:type="dxa"/>
            <w:tcBorders>
              <w:top w:val="single" w:color="auto" w:sz="4" w:space="0"/>
              <w:left w:val="single" w:color="auto" w:sz="4" w:space="0"/>
              <w:bottom w:val="single" w:color="auto" w:sz="4" w:space="0"/>
              <w:right w:val="single" w:color="auto" w:sz="4" w:space="0"/>
            </w:tcBorders>
            <w:vAlign w:val="center"/>
          </w:tcPr>
          <w:p w14:paraId="7B45E752">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77</w:t>
            </w:r>
          </w:p>
        </w:tc>
        <w:tc>
          <w:tcPr>
            <w:tcW w:w="954" w:type="dxa"/>
            <w:tcBorders>
              <w:top w:val="single" w:color="auto" w:sz="4" w:space="0"/>
              <w:left w:val="single" w:color="auto" w:sz="4" w:space="0"/>
              <w:bottom w:val="single" w:color="auto" w:sz="4" w:space="0"/>
              <w:right w:val="single" w:color="auto" w:sz="4" w:space="0"/>
            </w:tcBorders>
            <w:vAlign w:val="center"/>
          </w:tcPr>
          <w:p w14:paraId="6942E49F">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2160" w:type="dxa"/>
            <w:vMerge w:val="continue"/>
            <w:tcBorders>
              <w:top w:val="single" w:color="auto" w:sz="4" w:space="0"/>
              <w:left w:val="single" w:color="auto" w:sz="4" w:space="0"/>
              <w:bottom w:val="single" w:color="auto" w:sz="4" w:space="0"/>
              <w:right w:val="single" w:color="auto" w:sz="4" w:space="0"/>
            </w:tcBorders>
            <w:vAlign w:val="center"/>
          </w:tcPr>
          <w:p w14:paraId="749EAB4C">
            <w:pPr>
              <w:pageBreakBefore w:val="0"/>
              <w:kinsoku/>
              <w:wordWrap/>
              <w:overflowPunct/>
              <w:topLinePunct w:val="0"/>
              <w:autoSpaceDE/>
              <w:autoSpaceDN/>
              <w:bidi w:val="0"/>
              <w:spacing w:line="560" w:lineRule="exact"/>
              <w:rPr>
                <w:rFonts w:hint="eastAsia" w:ascii="仿宋_GB2312" w:hAnsi="仿宋_GB2312" w:eastAsia="仿宋_GB2312" w:cs="仿宋_GB2312"/>
                <w:b w:val="0"/>
                <w:sz w:val="32"/>
                <w:szCs w:val="28"/>
              </w:rPr>
            </w:pPr>
          </w:p>
        </w:tc>
      </w:tr>
      <w:tr w14:paraId="7E4BB69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58829140">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2667" w:type="dxa"/>
            <w:tcBorders>
              <w:top w:val="single" w:color="auto" w:sz="4" w:space="0"/>
              <w:left w:val="single" w:color="auto" w:sz="4" w:space="0"/>
              <w:bottom w:val="single" w:color="auto" w:sz="4" w:space="0"/>
              <w:right w:val="single" w:color="auto" w:sz="4" w:space="0"/>
            </w:tcBorders>
            <w:vAlign w:val="center"/>
          </w:tcPr>
          <w:p w14:paraId="1370545F">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 ...</w:t>
            </w:r>
          </w:p>
        </w:tc>
        <w:tc>
          <w:tcPr>
            <w:tcW w:w="954" w:type="dxa"/>
            <w:tcBorders>
              <w:top w:val="single" w:color="auto" w:sz="4" w:space="0"/>
              <w:left w:val="single" w:color="auto" w:sz="4" w:space="0"/>
              <w:bottom w:val="single" w:color="auto" w:sz="4" w:space="0"/>
              <w:right w:val="single" w:color="auto" w:sz="4" w:space="0"/>
            </w:tcBorders>
            <w:vAlign w:val="center"/>
          </w:tcPr>
          <w:p w14:paraId="21F88B4B">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954" w:type="dxa"/>
            <w:tcBorders>
              <w:top w:val="single" w:color="auto" w:sz="4" w:space="0"/>
              <w:left w:val="single" w:color="auto" w:sz="4" w:space="0"/>
              <w:bottom w:val="single" w:color="auto" w:sz="4" w:space="0"/>
              <w:right w:val="single" w:color="auto" w:sz="4" w:space="0"/>
            </w:tcBorders>
            <w:vAlign w:val="center"/>
          </w:tcPr>
          <w:p w14:paraId="5DF57A5B">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1004" w:type="dxa"/>
            <w:tcBorders>
              <w:top w:val="single" w:color="auto" w:sz="4" w:space="0"/>
              <w:left w:val="single" w:color="auto" w:sz="4" w:space="0"/>
              <w:bottom w:val="single" w:color="auto" w:sz="4" w:space="0"/>
              <w:right w:val="single" w:color="auto" w:sz="4" w:space="0"/>
            </w:tcBorders>
            <w:vAlign w:val="center"/>
          </w:tcPr>
          <w:p w14:paraId="26BA27C0">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954" w:type="dxa"/>
            <w:tcBorders>
              <w:top w:val="single" w:color="auto" w:sz="4" w:space="0"/>
              <w:left w:val="single" w:color="auto" w:sz="4" w:space="0"/>
              <w:bottom w:val="single" w:color="auto" w:sz="4" w:space="0"/>
              <w:right w:val="single" w:color="auto" w:sz="4" w:space="0"/>
            </w:tcBorders>
            <w:vAlign w:val="center"/>
          </w:tcPr>
          <w:p w14:paraId="2B39A09F">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2160" w:type="dxa"/>
            <w:tcBorders>
              <w:top w:val="single" w:color="auto" w:sz="4" w:space="0"/>
              <w:left w:val="single" w:color="auto" w:sz="4" w:space="0"/>
              <w:bottom w:val="single" w:color="auto" w:sz="4" w:space="0"/>
              <w:right w:val="single" w:color="auto" w:sz="4" w:space="0"/>
            </w:tcBorders>
            <w:vAlign w:val="center"/>
          </w:tcPr>
          <w:p w14:paraId="51AB0180">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color w:val="auto"/>
                <w:kern w:val="0"/>
                <w:sz w:val="32"/>
                <w:szCs w:val="28"/>
              </w:rPr>
            </w:pPr>
          </w:p>
        </w:tc>
      </w:tr>
    </w:tbl>
    <w:p w14:paraId="598EA03A">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CESI仿宋-GB2312" w:eastAsia="仿宋_GB2312"/>
          <w:b w:val="0"/>
          <w:kern w:val="2"/>
          <w:sz w:val="32"/>
          <w:szCs w:val="32"/>
        </w:rPr>
      </w:pPr>
      <w:r>
        <w:rPr>
          <w:rFonts w:hint="eastAsia" w:ascii="楷体_GB2312" w:hAnsi="楷体_GB2312" w:eastAsia="仿宋_GB2312" w:cs="楷体_GB2312"/>
          <w:b w:val="0"/>
          <w:sz w:val="32"/>
          <w:lang w:val="en-US" w:eastAsia="zh-CN"/>
        </w:rPr>
        <w:t>3、</w:t>
      </w:r>
      <w:r>
        <w:rPr>
          <w:rFonts w:hint="eastAsia" w:ascii="楷体_GB2312" w:hAnsi="楷体_GB2312" w:eastAsia="仿宋_GB2312" w:cs="楷体_GB2312"/>
          <w:b w:val="0"/>
          <w:sz w:val="32"/>
        </w:rPr>
        <w:t>目标合理性</w:t>
      </w:r>
      <w:r>
        <w:rPr>
          <w:rFonts w:hint="eastAsia" w:ascii="CESI仿宋-GB2312" w:eastAsia="仿宋_GB2312"/>
          <w:b w:val="0"/>
          <w:kern w:val="2"/>
          <w:sz w:val="32"/>
          <w:szCs w:val="32"/>
        </w:rPr>
        <w:t>（主要说明绩效目标设置情况，并附绩效目标表，评估内容包括绩效目标和绩效指标是否量化可考核，是否相匹配，是否全面完整，是否契合政策或项目实质，是否与部门的长期规划目标、年度工作目标相一致，产出和效果是否相关联，各项绩效指标值的设定依据和参考标准，满意度指标预测等）</w:t>
      </w:r>
    </w:p>
    <w:p w14:paraId="1F2CB4EE">
      <w:pPr>
        <w:keepNext w:val="0"/>
        <w:keepLines w:val="0"/>
        <w:pageBreakBefore w:val="0"/>
        <w:widowControl w:val="0"/>
        <w:suppressLineNumbers w:val="0"/>
        <w:suppressAutoHyphens/>
        <w:kinsoku/>
        <w:wordWrap/>
        <w:overflowPunct/>
        <w:topLinePunct w:val="0"/>
        <w:autoSpaceDE/>
        <w:autoSpaceDN/>
        <w:bidi w:val="0"/>
        <w:adjustRightInd/>
        <w:snapToGrid w:val="0"/>
        <w:spacing w:line="560" w:lineRule="exact"/>
        <w:ind w:left="0"/>
        <w:rPr>
          <w:rFonts w:hint="eastAsia" w:ascii="仿宋_GB2312" w:hAnsi="仿宋_GB2312" w:eastAsia="仿宋_GB2312" w:cs="仿宋_GB2312"/>
          <w:b w:val="0"/>
          <w:bCs/>
          <w:sz w:val="32"/>
          <w:szCs w:val="32"/>
        </w:rPr>
      </w:pPr>
      <w:r>
        <w:rPr>
          <w:rFonts w:hint="eastAsia" w:eastAsia="仿宋_GB2312"/>
          <w:b w:val="0"/>
          <w:kern w:val="2"/>
          <w:sz w:val="32"/>
          <w:szCs w:val="21"/>
          <w:lang w:val="en-US" w:eastAsia="zh-CN"/>
        </w:rPr>
        <w:t>50张床位维修</w:t>
      </w:r>
      <w:r>
        <w:rPr>
          <w:rFonts w:hint="eastAsia" w:ascii="宋体" w:eastAsia="仿宋_GB2312"/>
          <w:b w:val="0"/>
          <w:kern w:val="2"/>
          <w:sz w:val="32"/>
          <w:szCs w:val="21"/>
        </w:rPr>
        <w:t>项目绩效目标表</w:t>
      </w:r>
    </w:p>
    <w:tbl>
      <w:tblPr>
        <w:tblStyle w:val="8"/>
        <w:tblW w:w="842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6"/>
        <w:gridCol w:w="1836"/>
        <w:gridCol w:w="2736"/>
        <w:gridCol w:w="510"/>
        <w:gridCol w:w="735"/>
        <w:gridCol w:w="825"/>
        <w:gridCol w:w="666"/>
      </w:tblGrid>
      <w:tr w14:paraId="52EC2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F566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一级指标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99AB7">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二级指标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9CCD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三级指标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5B93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指标性质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85FC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指标值</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9D51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度量单位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A699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权重（%）</w:t>
            </w:r>
          </w:p>
        </w:tc>
      </w:tr>
      <w:tr w14:paraId="41AA3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B58E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4184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时效指标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B2285">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11月底完成率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B107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DCBD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37BA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0D88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15</w:t>
            </w:r>
          </w:p>
        </w:tc>
      </w:tr>
      <w:tr w14:paraId="29F44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E51E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C9D3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质量指标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D325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维修改造养老机构验收合格率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CE8B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9F09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2E63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7F62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15</w:t>
            </w:r>
          </w:p>
        </w:tc>
      </w:tr>
      <w:tr w14:paraId="269BD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2999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69BE5">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5B19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维修改造养老机构床位数</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07D7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30F2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30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70E7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张</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ED05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76632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711E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0AC02">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质量指标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21DB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发放准确率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5DB4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5FCF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8AA1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1C1C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2862D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D444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72AFA">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社会效益指标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301C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改善福利中心设备设施质量，提升养老服务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027C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D996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3131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5AE0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20</w:t>
            </w:r>
          </w:p>
        </w:tc>
      </w:tr>
      <w:tr w14:paraId="1C158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28C0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BCA2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5A04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受益对象服务满意度</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D441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9A77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DE08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0082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1DCD9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1CEC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460C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社会成本指标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DDA7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维修改造养老机构床位标准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D653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394A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5000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D1C3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元/张</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3FAC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bl>
    <w:p w14:paraId="3DCC1C1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val="0"/>
          <w:bCs/>
          <w:sz w:val="32"/>
          <w:szCs w:val="32"/>
        </w:rPr>
      </w:pPr>
    </w:p>
    <w:p w14:paraId="402DFD4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仿宋_GB2312" w:cs="楷体_GB2312"/>
          <w:b w:val="0"/>
          <w:sz w:val="32"/>
          <w:szCs w:val="32"/>
          <w:lang w:val="en-US" w:eastAsia="zh-CN"/>
        </w:rPr>
        <w:t>4、</w:t>
      </w:r>
      <w:r>
        <w:rPr>
          <w:rFonts w:hint="eastAsia" w:ascii="楷体_GB2312" w:hAnsi="楷体_GB2312" w:eastAsia="仿宋_GB2312" w:cs="楷体_GB2312"/>
          <w:b w:val="0"/>
          <w:sz w:val="32"/>
          <w:szCs w:val="32"/>
        </w:rPr>
        <w:t>实施可行性</w:t>
      </w:r>
      <w:r>
        <w:rPr>
          <w:rFonts w:hint="eastAsia" w:ascii="仿宋_GB2312" w:hAnsi="仿宋_GB2312" w:eastAsia="仿宋_GB2312" w:cs="仿宋_GB2312"/>
          <w:b w:val="0"/>
          <w:bCs/>
          <w:sz w:val="32"/>
          <w:szCs w:val="32"/>
        </w:rPr>
        <w:t>该项目实施方案制定的详实完备、科学合理，人员、设施、物资等基础条件具备齐全，项目的设立具有明确的时限和步骤，</w:t>
      </w:r>
      <w:r>
        <w:rPr>
          <w:rFonts w:hint="eastAsia" w:ascii="仿宋_GB2312" w:hAnsi="仿宋_GB2312" w:eastAsia="仿宋_GB2312" w:cs="仿宋_GB2312"/>
          <w:b w:val="0"/>
          <w:bCs/>
          <w:kern w:val="2"/>
          <w:sz w:val="32"/>
          <w:szCs w:val="32"/>
        </w:rPr>
        <w:t>组织机构健全，职责分工明确，有具体的实施时间，有明确的工作程序，基础设施条件能够有效保障，资金足额保证，具有相应的质量检查、验收等必要的控制措施或手段，有针对突发事件或未知风险的应急措施</w:t>
      </w:r>
      <w:r>
        <w:rPr>
          <w:rFonts w:hint="eastAsia" w:ascii="仿宋_GB2312" w:hAnsi="仿宋_GB2312" w:eastAsia="仿宋_GB2312" w:cs="仿宋_GB2312"/>
          <w:b w:val="0"/>
          <w:bCs/>
          <w:sz w:val="32"/>
          <w:szCs w:val="32"/>
        </w:rPr>
        <w:t>。</w:t>
      </w:r>
    </w:p>
    <w:p w14:paraId="3CD03976">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5、</w:t>
      </w:r>
      <w:r>
        <w:rPr>
          <w:rFonts w:hint="eastAsia" w:ascii="楷体_GB2312" w:hAnsi="楷体_GB2312" w:eastAsia="仿宋_GB2312" w:cs="楷体_GB2312"/>
          <w:b w:val="0"/>
          <w:sz w:val="32"/>
        </w:rPr>
        <w:t>筹资合规性</w:t>
      </w:r>
    </w:p>
    <w:p w14:paraId="0F2FB053">
      <w:pPr>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b w:val="0"/>
          <w:sz w:val="32"/>
          <w:szCs w:val="32"/>
        </w:rPr>
      </w:pPr>
      <w:r>
        <w:rPr>
          <w:rFonts w:hint="eastAsia" w:ascii="仿宋_GB2312" w:hAnsi="仿宋_GB2312" w:eastAsia="仿宋_GB2312" w:cs="仿宋_GB2312"/>
          <w:b w:val="0"/>
          <w:sz w:val="32"/>
          <w:szCs w:val="32"/>
        </w:rPr>
        <w:t>本单位为县级的一级预算单位，所有资金均为同级财政下达安排的一般公共预算资金，该项目投入规模符合实际，投入渠道及方式合法合规、真实可靠，</w:t>
      </w:r>
      <w:r>
        <w:rPr>
          <w:rFonts w:hint="eastAsia" w:ascii="仿宋_GB2312" w:hAnsi="仿宋_GB2312" w:eastAsia="仿宋_GB2312" w:cs="仿宋_GB2312"/>
          <w:b w:val="0"/>
          <w:kern w:val="2"/>
          <w:sz w:val="32"/>
          <w:szCs w:val="32"/>
        </w:rPr>
        <w:t>筹资结构合理，资金来源渠道明确，各渠道资金到位时间、条件能够落实</w:t>
      </w:r>
      <w:r>
        <w:rPr>
          <w:rFonts w:hint="eastAsia" w:ascii="仿宋_GB2312" w:hAnsi="仿宋_GB2312" w:eastAsia="仿宋_GB2312" w:cs="仿宋_GB2312"/>
          <w:b w:val="0"/>
          <w:sz w:val="32"/>
          <w:szCs w:val="32"/>
        </w:rPr>
        <w:t>。</w:t>
      </w:r>
    </w:p>
    <w:p w14:paraId="4EFDAA28">
      <w:pPr>
        <w:pStyle w:val="3"/>
        <w:pageBreakBefore w:val="0"/>
        <w:widowControl w:val="0"/>
        <w:numPr>
          <w:ilvl w:val="0"/>
          <w:numId w:val="0"/>
        </w:numPr>
        <w:kinsoku/>
        <w:wordWrap/>
        <w:overflowPunct/>
        <w:topLinePunct w:val="0"/>
        <w:autoSpaceDE/>
        <w:autoSpaceDN/>
        <w:bidi w:val="0"/>
        <w:spacing w:before="0" w:after="0" w:line="560" w:lineRule="exact"/>
        <w:ind w:firstLine="640" w:firstLineChars="200"/>
        <w:textAlignment w:val="auto"/>
        <w:rPr>
          <w:rFonts w:hint="eastAsia" w:eastAsia="仿宋_GB2312"/>
          <w:b w:val="0"/>
          <w:sz w:val="32"/>
        </w:rPr>
      </w:pPr>
      <w:r>
        <w:rPr>
          <w:rFonts w:hint="eastAsia" w:eastAsia="仿宋_GB2312"/>
          <w:b w:val="0"/>
          <w:sz w:val="32"/>
          <w:lang w:val="en-US" w:eastAsia="zh-CN"/>
        </w:rPr>
        <w:t>（五）</w:t>
      </w:r>
      <w:r>
        <w:rPr>
          <w:rFonts w:hint="eastAsia" w:eastAsia="仿宋_GB2312"/>
          <w:b w:val="0"/>
          <w:sz w:val="32"/>
        </w:rPr>
        <w:t>评估结论</w:t>
      </w:r>
    </w:p>
    <w:p w14:paraId="77107209">
      <w:pPr>
        <w:pStyle w:val="5"/>
        <w:pageBreakBefore w:val="0"/>
        <w:kinsoku/>
        <w:wordWrap/>
        <w:overflowPunct/>
        <w:topLinePunct w:val="0"/>
        <w:autoSpaceDE/>
        <w:autoSpaceDN/>
        <w:bidi w:val="0"/>
        <w:spacing w:line="560" w:lineRule="exact"/>
        <w:ind w:firstLine="640" w:firstLineChars="200"/>
        <w:rPr>
          <w:rFonts w:hint="default" w:eastAsia="仿宋_GB2312"/>
          <w:b w:val="0"/>
          <w:sz w:val="32"/>
          <w:lang w:val="en-US" w:eastAsia="zh-CN"/>
        </w:rPr>
      </w:pPr>
      <w:r>
        <w:rPr>
          <w:rFonts w:hint="eastAsia" w:ascii="仿宋_GB2312" w:hAnsi="仿宋_GB2312" w:eastAsia="仿宋_GB2312" w:cs="仿宋_GB2312"/>
          <w:b w:val="0"/>
          <w:sz w:val="32"/>
          <w:szCs w:val="32"/>
          <w:lang w:val="en-US" w:eastAsia="zh-CN"/>
        </w:rPr>
        <w:t>综合评分95分。</w:t>
      </w:r>
    </w:p>
    <w:p w14:paraId="022F0FB7">
      <w:pPr>
        <w:pStyle w:val="10"/>
        <w:pageBreakBefore w:val="0"/>
        <w:widowControl w:val="0"/>
        <w:kinsoku/>
        <w:wordWrap/>
        <w:overflowPunct/>
        <w:topLinePunct w:val="0"/>
        <w:autoSpaceDE/>
        <w:autoSpaceDN/>
        <w:bidi w:val="0"/>
        <w:spacing w:line="560" w:lineRule="exact"/>
        <w:textAlignment w:val="auto"/>
        <w:rPr>
          <w:rFonts w:hint="eastAsia" w:ascii="Times New Roman" w:hAnsi="Times New Roman" w:eastAsia="仿宋_GB2312"/>
          <w:b w:val="0"/>
          <w:sz w:val="32"/>
          <w:szCs w:val="32"/>
        </w:rPr>
      </w:pPr>
      <w:r>
        <w:rPr>
          <w:rFonts w:hint="eastAsia" w:ascii="仿宋_GB2312" w:eastAsia="仿宋_GB2312"/>
          <w:b w:val="0"/>
          <w:sz w:val="32"/>
        </w:rPr>
        <w:t>综合前述评估内容来看，该项目立项必要性和依据充分，绩效目标明确，具备实施条件，具有公共性，符合财政资金支持方向等。建议</w:t>
      </w:r>
      <w:r>
        <w:rPr>
          <w:rFonts w:hint="eastAsia" w:ascii="仿宋_GB2312" w:eastAsia="仿宋_GB2312"/>
          <w:b w:val="0"/>
          <w:sz w:val="32"/>
          <w:lang w:eastAsia="zh-CN"/>
        </w:rPr>
        <w:t>予以支持</w:t>
      </w:r>
      <w:r>
        <w:rPr>
          <w:rFonts w:hint="eastAsia" w:ascii="仿宋_GB2312" w:eastAsia="仿宋_GB2312"/>
          <w:b w:val="0"/>
          <w:sz w:val="32"/>
        </w:rPr>
        <w:t>，预算控制在</w:t>
      </w:r>
      <w:r>
        <w:rPr>
          <w:rFonts w:hint="eastAsia" w:ascii="仿宋_GB2312" w:eastAsia="仿宋_GB2312"/>
          <w:b w:val="0"/>
          <w:sz w:val="32"/>
          <w:lang w:val="en-US" w:eastAsia="zh-CN"/>
        </w:rPr>
        <w:t>77</w:t>
      </w:r>
      <w:r>
        <w:rPr>
          <w:rFonts w:hint="eastAsia" w:ascii="仿宋_GB2312" w:eastAsia="仿宋_GB2312"/>
          <w:b w:val="0"/>
          <w:sz w:val="32"/>
        </w:rPr>
        <w:t>万元以内。该项目申请资金总预算</w:t>
      </w:r>
      <w:r>
        <w:rPr>
          <w:rFonts w:hint="eastAsia" w:ascii="仿宋_GB2312" w:hAnsi="宋体" w:eastAsia="仿宋_GB2312"/>
          <w:b w:val="0"/>
          <w:sz w:val="32"/>
          <w:szCs w:val="32"/>
          <w:lang w:val="en-US" w:eastAsia="zh-CN"/>
        </w:rPr>
        <w:t>777</w:t>
      </w:r>
      <w:r>
        <w:rPr>
          <w:rFonts w:hint="eastAsia" w:ascii="仿宋_GB2312" w:eastAsia="仿宋_GB2312"/>
          <w:b w:val="0"/>
          <w:sz w:val="32"/>
        </w:rPr>
        <w:t>万元，经评审，建议预算申报数</w:t>
      </w:r>
      <w:r>
        <w:rPr>
          <w:rFonts w:hint="eastAsia" w:ascii="仿宋_GB2312" w:hAnsi="宋体" w:eastAsia="仿宋_GB2312"/>
          <w:b w:val="0"/>
          <w:sz w:val="32"/>
          <w:szCs w:val="32"/>
          <w:lang w:val="en-US" w:eastAsia="zh-CN"/>
        </w:rPr>
        <w:t>77</w:t>
      </w:r>
      <w:r>
        <w:rPr>
          <w:rFonts w:hint="eastAsia" w:ascii="仿宋_GB2312" w:eastAsia="仿宋_GB2312"/>
          <w:b w:val="0"/>
          <w:sz w:val="32"/>
        </w:rPr>
        <w:t>万元</w:t>
      </w:r>
      <w:r>
        <w:rPr>
          <w:rFonts w:hint="eastAsia" w:ascii="仿宋_GB2312" w:eastAsia="仿宋_GB2312"/>
          <w:b w:val="0"/>
          <w:sz w:val="32"/>
          <w:lang w:eastAsia="zh-CN"/>
        </w:rPr>
        <w:t>，</w:t>
      </w:r>
      <w:r>
        <w:rPr>
          <w:rFonts w:hint="eastAsia" w:ascii="仿宋_GB2312" w:eastAsia="仿宋_GB2312"/>
          <w:b w:val="0"/>
          <w:sz w:val="32"/>
        </w:rPr>
        <w:t>我单位将进一步</w:t>
      </w:r>
      <w:r>
        <w:rPr>
          <w:rFonts w:hint="eastAsia" w:ascii="仿宋_GB2312" w:eastAsia="仿宋_GB2312"/>
          <w:b w:val="0"/>
          <w:sz w:val="32"/>
          <w:u w:val="none"/>
        </w:rPr>
        <w:t>优化完善实施方案和绩效目标，加强运行监控，节约财政资金并提升资金效益，提升预算绩效管理水平</w:t>
      </w:r>
      <w:r>
        <w:rPr>
          <w:rFonts w:hint="eastAsia" w:ascii="仿宋_GB2312" w:eastAsia="仿宋_GB2312"/>
          <w:b w:val="0"/>
          <w:sz w:val="32"/>
          <w:u w:val="none"/>
          <w:lang w:eastAsia="zh-CN"/>
        </w:rPr>
        <w:t>。</w:t>
      </w:r>
    </w:p>
    <w:p w14:paraId="20373D14">
      <w:pPr>
        <w:pageBreakBefore w:val="0"/>
        <w:widowControl w:val="0"/>
        <w:kinsoku/>
        <w:wordWrap/>
        <w:overflowPunct/>
        <w:topLinePunct w:val="0"/>
        <w:autoSpaceDE/>
        <w:autoSpaceDN/>
        <w:bidi w:val="0"/>
        <w:spacing w:line="560" w:lineRule="exact"/>
        <w:ind w:firstLine="640"/>
        <w:textAlignment w:val="auto"/>
        <w:rPr>
          <w:rFonts w:hint="eastAsia" w:ascii="仿宋_GB2312" w:hAnsi="宋体" w:eastAsia="仿宋_GB2312"/>
          <w:b w:val="0"/>
          <w:sz w:val="32"/>
          <w:szCs w:val="32"/>
        </w:rPr>
      </w:pPr>
      <w:r>
        <w:rPr>
          <w:rFonts w:hint="eastAsia" w:ascii="仿宋_GB2312" w:hAnsi="宋体" w:eastAsia="仿宋_GB2312"/>
          <w:b w:val="0"/>
          <w:sz w:val="32"/>
          <w:szCs w:val="32"/>
        </w:rPr>
        <w:t>项目可行，立项实施。进一步明确绩效目标，细化、量化相关指标。明确相关路线，细化工作内容，完善工作手段，调整工作部署和进度安排。细化完善项目预算。</w:t>
      </w:r>
    </w:p>
    <w:p w14:paraId="4ACF41E7">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六</w:t>
      </w:r>
      <w:r>
        <w:rPr>
          <w:rFonts w:hint="eastAsia" w:eastAsia="仿宋_GB2312"/>
          <w:b w:val="0"/>
          <w:sz w:val="32"/>
          <w:lang w:eastAsia="zh-CN"/>
        </w:rPr>
        <w:t>）</w:t>
      </w:r>
      <w:r>
        <w:rPr>
          <w:rFonts w:hint="eastAsia" w:eastAsia="仿宋_GB2312"/>
          <w:b w:val="0"/>
          <w:sz w:val="32"/>
        </w:rPr>
        <w:t>其它说明事项</w:t>
      </w:r>
    </w:p>
    <w:p w14:paraId="7C9ADD93">
      <w:pPr>
        <w:pageBreakBefore w:val="0"/>
        <w:tabs>
          <w:tab w:val="center" w:pos="4153"/>
          <w:tab w:val="right" w:pos="8306"/>
        </w:tabs>
        <w:kinsoku/>
        <w:wordWrap/>
        <w:overflowPunct/>
        <w:topLinePunct w:val="0"/>
        <w:autoSpaceDE/>
        <w:autoSpaceDN/>
        <w:bidi w:val="0"/>
        <w:spacing w:line="560" w:lineRule="exact"/>
        <w:ind w:firstLine="640" w:firstLineChars="200"/>
        <w:rPr>
          <w:rFonts w:eastAsia="仿宋_GB2312"/>
          <w:b w:val="0"/>
          <w:sz w:val="32"/>
        </w:rPr>
      </w:pPr>
      <w:r>
        <w:rPr>
          <w:rFonts w:hint="eastAsia" w:ascii="仿宋_GB2312" w:hAnsi="仿宋_GB2312" w:eastAsia="仿宋_GB2312" w:cs="仿宋_GB2312"/>
          <w:b w:val="0"/>
          <w:sz w:val="32"/>
          <w:szCs w:val="32"/>
        </w:rPr>
        <w:t>该项目预算编制真实完整，预算编制内容科学合理、明确细化，与绩效目标、实施方案紧密衔接，预算标准依据充分、测算准确</w:t>
      </w:r>
      <w:r>
        <w:rPr>
          <w:rFonts w:hint="eastAsia" w:ascii="仿宋_GB2312" w:hAnsi="仿宋_GB2312" w:eastAsia="仿宋_GB2312" w:cs="仿宋_GB2312"/>
          <w:b w:val="0"/>
          <w:sz w:val="32"/>
          <w:szCs w:val="32"/>
          <w:lang w:eastAsia="zh-CN"/>
        </w:rPr>
        <w:t>。</w:t>
      </w:r>
    </w:p>
    <w:p w14:paraId="2499B33E">
      <w:pPr>
        <w:pageBreakBefore w:val="0"/>
        <w:kinsoku/>
        <w:wordWrap/>
        <w:overflowPunct/>
        <w:topLinePunct w:val="0"/>
        <w:autoSpaceDE/>
        <w:autoSpaceDN/>
        <w:bidi w:val="0"/>
        <w:spacing w:line="560" w:lineRule="exact"/>
        <w:ind w:firstLine="640" w:firstLineChars="200"/>
        <w:rPr>
          <w:rFonts w:hint="default" w:ascii="仿宋" w:hAnsi="仿宋" w:eastAsia="仿宋_GB2312"/>
          <w:b w:val="0"/>
          <w:color w:val="C00000"/>
          <w:sz w:val="32"/>
          <w:szCs w:val="32"/>
          <w:shd w:val="clear" w:color="auto" w:fill="FFFFFF"/>
          <w:lang w:val="en-US" w:eastAsia="zh-CN"/>
        </w:rPr>
      </w:pPr>
      <w:r>
        <w:rPr>
          <w:rFonts w:hint="eastAsia" w:ascii="仿宋_GB2312" w:eastAsia="仿宋_GB2312" w:cs="仿宋_GB2312"/>
          <w:b w:val="0"/>
          <w:bCs/>
          <w:color w:val="C00000"/>
          <w:sz w:val="32"/>
          <w:szCs w:val="32"/>
          <w:lang w:val="en-US" w:eastAsia="zh-CN"/>
        </w:rPr>
        <w:t>重点项目8：农村低保</w:t>
      </w:r>
    </w:p>
    <w:p w14:paraId="225348D3">
      <w:pPr>
        <w:pageBreakBefore w:val="0"/>
        <w:kinsoku/>
        <w:wordWrap/>
        <w:overflowPunct/>
        <w:topLinePunct w:val="0"/>
        <w:autoSpaceDE/>
        <w:autoSpaceDN/>
        <w:bidi w:val="0"/>
        <w:spacing w:line="560" w:lineRule="exact"/>
        <w:ind w:firstLine="640" w:firstLineChars="200"/>
        <w:rPr>
          <w:rFonts w:hint="eastAsia" w:ascii="仿宋" w:hAnsi="仿宋" w:eastAsia="仿宋_GB2312" w:cs="仿宋_GB2312"/>
          <w:b w:val="0"/>
          <w:color w:val="000000"/>
          <w:sz w:val="32"/>
          <w:szCs w:val="32"/>
          <w:shd w:val="clear" w:color="auto" w:fill="FFFFFF"/>
          <w:lang w:val="en-US" w:eastAsia="zh-CN"/>
        </w:rPr>
      </w:pPr>
      <w:r>
        <w:rPr>
          <w:rFonts w:hint="eastAsia" w:ascii="仿宋_GB2312" w:eastAsia="仿宋_GB2312" w:cs="仿宋_GB2312"/>
          <w:b w:val="0"/>
          <w:sz w:val="32"/>
          <w:szCs w:val="32"/>
          <w:lang w:val="en-US" w:eastAsia="zh-CN"/>
        </w:rPr>
        <w:t>项目年度绩效目标：促进我县城乡低保规范化建设，“以人为本，为民解困”的宗旨。坚持“应保尽保、应救尽救、应补尽补”的基本原则，有序、有效推进，健全、完善城乡社会救助体系，及时有效解决城乡居民困难问题。确保农村低保工作依法按时到位，并不断提高保障水平，使困难群众基本生活需要得到满足，促进农村社会和谐稳定。</w:t>
      </w:r>
    </w:p>
    <w:p w14:paraId="54CE95F7">
      <w:pPr>
        <w:pageBreakBefore w:val="0"/>
        <w:kinsoku/>
        <w:wordWrap/>
        <w:overflowPunct/>
        <w:topLinePunct w:val="0"/>
        <w:autoSpaceDE/>
        <w:autoSpaceDN/>
        <w:bidi w:val="0"/>
        <w:snapToGrid w:val="0"/>
        <w:spacing w:line="560" w:lineRule="exact"/>
        <w:ind w:firstLine="640" w:firstLineChars="200"/>
        <w:rPr>
          <w:rFonts w:hint="eastAsia" w:ascii="仿宋" w:hAnsi="仿宋" w:eastAsia="仿宋_GB2312" w:cs="宋体"/>
          <w:b w:val="0"/>
          <w:color w:val="000000"/>
          <w:sz w:val="32"/>
          <w:szCs w:val="30"/>
        </w:rPr>
      </w:pPr>
      <w:r>
        <w:rPr>
          <w:rFonts w:hint="eastAsia" w:ascii="仿宋_GB2312" w:eastAsia="仿宋_GB2312" w:cs="仿宋_GB2312"/>
          <w:b w:val="0"/>
          <w:sz w:val="32"/>
          <w:szCs w:val="32"/>
          <w:lang w:val="en-US" w:eastAsia="zh-CN"/>
        </w:rPr>
        <w:t>绩效指标设置情况：</w:t>
      </w:r>
      <w:r>
        <w:rPr>
          <w:rFonts w:ascii="仿宋" w:hAnsi="仿宋" w:eastAsia="仿宋_GB2312"/>
          <w:b w:val="0"/>
          <w:color w:val="000000"/>
          <w:sz w:val="32"/>
          <w:szCs w:val="30"/>
        </w:rPr>
        <w:t>根据</w:t>
      </w:r>
      <w:r>
        <w:rPr>
          <w:rFonts w:hint="eastAsia" w:ascii="仿宋" w:hAnsi="仿宋" w:eastAsia="仿宋_GB2312" w:cs="仿宋"/>
          <w:b w:val="0"/>
          <w:bCs w:val="0"/>
          <w:color w:val="auto"/>
          <w:sz w:val="32"/>
          <w:szCs w:val="32"/>
        </w:rPr>
        <w:t>《四川省最低生活保障工作规程》的通知（川民发〔20</w:t>
      </w:r>
      <w:r>
        <w:rPr>
          <w:rFonts w:hint="eastAsia" w:ascii="仿宋" w:hAnsi="仿宋" w:eastAsia="仿宋_GB2312" w:cs="仿宋"/>
          <w:b w:val="0"/>
          <w:bCs w:val="0"/>
          <w:color w:val="auto"/>
          <w:sz w:val="32"/>
          <w:szCs w:val="32"/>
          <w:lang w:val="en-US" w:eastAsia="zh-CN"/>
        </w:rPr>
        <w:t>21</w:t>
      </w:r>
      <w:r>
        <w:rPr>
          <w:rFonts w:hint="eastAsia" w:ascii="仿宋" w:hAnsi="仿宋" w:eastAsia="仿宋_GB2312" w:cs="仿宋"/>
          <w:b w:val="0"/>
          <w:bCs w:val="0"/>
          <w:color w:val="auto"/>
          <w:sz w:val="32"/>
          <w:szCs w:val="32"/>
        </w:rPr>
        <w:t>〕1</w:t>
      </w:r>
      <w:r>
        <w:rPr>
          <w:rFonts w:hint="eastAsia" w:ascii="仿宋" w:hAnsi="仿宋" w:eastAsia="仿宋_GB2312" w:cs="仿宋"/>
          <w:b w:val="0"/>
          <w:bCs w:val="0"/>
          <w:color w:val="auto"/>
          <w:sz w:val="32"/>
          <w:szCs w:val="32"/>
          <w:lang w:val="en-US" w:eastAsia="zh-CN"/>
        </w:rPr>
        <w:t>80</w:t>
      </w:r>
      <w:r>
        <w:rPr>
          <w:rFonts w:hint="eastAsia" w:ascii="仿宋" w:hAnsi="仿宋" w:eastAsia="仿宋_GB2312" w:cs="仿宋"/>
          <w:b w:val="0"/>
          <w:bCs w:val="0"/>
          <w:color w:val="auto"/>
          <w:sz w:val="32"/>
          <w:szCs w:val="32"/>
        </w:rPr>
        <w:t>号）</w:t>
      </w:r>
      <w:r>
        <w:rPr>
          <w:rFonts w:hint="eastAsia" w:ascii="仿宋" w:hAnsi="仿宋" w:eastAsia="仿宋_GB2312" w:cs="仿宋"/>
          <w:b w:val="0"/>
          <w:bCs w:val="0"/>
          <w:color w:val="auto"/>
          <w:sz w:val="32"/>
          <w:szCs w:val="32"/>
          <w:lang w:eastAsia="zh-CN"/>
        </w:rPr>
        <w:t>、</w:t>
      </w:r>
      <w:r>
        <w:rPr>
          <w:rFonts w:hint="eastAsia" w:ascii="仿宋_GB2312" w:eastAsia="仿宋_GB2312"/>
          <w:b w:val="0"/>
          <w:color w:val="000000"/>
          <w:sz w:val="32"/>
          <w:szCs w:val="32"/>
          <w:highlight w:val="none"/>
          <w:lang w:eastAsia="zh-CN"/>
        </w:rPr>
        <w:t>阿坝州民政局、阿坝州发展和改革委员会、阿坝州财政局、阿坝州统计局、国家统计局阿坝调查部队</w:t>
      </w:r>
      <w:r>
        <w:rPr>
          <w:rFonts w:hint="eastAsia" w:ascii="仿宋_GB2312" w:eastAsia="仿宋_GB2312"/>
          <w:b w:val="0"/>
          <w:color w:val="000000"/>
          <w:sz w:val="32"/>
          <w:szCs w:val="32"/>
          <w:highlight w:val="none"/>
        </w:rPr>
        <w:t>《</w:t>
      </w:r>
      <w:r>
        <w:rPr>
          <w:rFonts w:hint="eastAsia" w:ascii="仿宋_GB2312" w:eastAsia="仿宋_GB2312"/>
          <w:b w:val="0"/>
          <w:color w:val="000000"/>
          <w:sz w:val="32"/>
          <w:szCs w:val="32"/>
          <w:highlight w:val="none"/>
          <w:lang w:eastAsia="zh-CN"/>
        </w:rPr>
        <w:t>关于调整城乡</w:t>
      </w:r>
      <w:r>
        <w:rPr>
          <w:rFonts w:hint="eastAsia" w:ascii="仿宋_GB2312" w:eastAsia="仿宋_GB2312"/>
          <w:b w:val="0"/>
          <w:color w:val="000000"/>
          <w:sz w:val="32"/>
          <w:szCs w:val="32"/>
          <w:highlight w:val="none"/>
          <w:lang w:val="en-US" w:eastAsia="zh-CN"/>
        </w:rPr>
        <w:t>居民</w:t>
      </w:r>
      <w:r>
        <w:rPr>
          <w:rFonts w:hint="eastAsia" w:ascii="仿宋_GB2312" w:eastAsia="仿宋_GB2312"/>
          <w:b w:val="0"/>
          <w:color w:val="000000"/>
          <w:sz w:val="32"/>
          <w:szCs w:val="32"/>
          <w:highlight w:val="none"/>
        </w:rPr>
        <w:t>最低生活保障</w:t>
      </w:r>
      <w:r>
        <w:rPr>
          <w:rFonts w:hint="eastAsia" w:ascii="仿宋_GB2312" w:eastAsia="仿宋_GB2312"/>
          <w:b w:val="0"/>
          <w:color w:val="000000"/>
          <w:sz w:val="32"/>
          <w:szCs w:val="32"/>
          <w:highlight w:val="none"/>
          <w:lang w:eastAsia="zh-CN"/>
        </w:rPr>
        <w:t>和特困人员基本生活标准</w:t>
      </w:r>
      <w:r>
        <w:rPr>
          <w:rFonts w:hint="eastAsia" w:ascii="仿宋_GB2312" w:eastAsia="仿宋_GB2312"/>
          <w:b w:val="0"/>
          <w:color w:val="000000"/>
          <w:sz w:val="32"/>
          <w:szCs w:val="32"/>
          <w:highlight w:val="none"/>
        </w:rPr>
        <w:t>的通知》</w:t>
      </w:r>
      <w:r>
        <w:rPr>
          <w:rFonts w:hint="eastAsia" w:ascii="仿宋_GB2312" w:eastAsia="仿宋_GB2312"/>
          <w:b w:val="0"/>
          <w:color w:val="000000"/>
          <w:sz w:val="32"/>
          <w:szCs w:val="32"/>
          <w:highlight w:val="none"/>
          <w:lang w:eastAsia="zh-CN"/>
        </w:rPr>
        <w:t>阿州民政</w:t>
      </w:r>
      <w:r>
        <w:rPr>
          <w:rFonts w:hint="eastAsia" w:ascii="仿宋_GB2312" w:eastAsia="仿宋_GB2312"/>
          <w:b w:val="0"/>
          <w:color w:val="000000"/>
          <w:sz w:val="32"/>
          <w:szCs w:val="32"/>
          <w:highlight w:val="none"/>
        </w:rPr>
        <w:t>〔20</w:t>
      </w:r>
      <w:r>
        <w:rPr>
          <w:rFonts w:hint="eastAsia" w:ascii="仿宋_GB2312" w:eastAsia="仿宋_GB2312"/>
          <w:b w:val="0"/>
          <w:color w:val="000000"/>
          <w:sz w:val="32"/>
          <w:szCs w:val="32"/>
          <w:highlight w:val="none"/>
          <w:lang w:val="en-US" w:eastAsia="zh-CN"/>
        </w:rPr>
        <w:t>23</w:t>
      </w:r>
      <w:r>
        <w:rPr>
          <w:rFonts w:hint="eastAsia" w:ascii="仿宋_GB2312" w:eastAsia="仿宋_GB2312"/>
          <w:b w:val="0"/>
          <w:color w:val="000000"/>
          <w:sz w:val="32"/>
          <w:szCs w:val="32"/>
          <w:highlight w:val="none"/>
        </w:rPr>
        <w:t>〕</w:t>
      </w:r>
      <w:r>
        <w:rPr>
          <w:rFonts w:hint="eastAsia" w:ascii="仿宋_GB2312" w:eastAsia="仿宋_GB2312"/>
          <w:b w:val="0"/>
          <w:color w:val="000000"/>
          <w:sz w:val="32"/>
          <w:szCs w:val="32"/>
          <w:highlight w:val="none"/>
          <w:lang w:val="en-US" w:eastAsia="zh-CN"/>
        </w:rPr>
        <w:t>51</w:t>
      </w:r>
      <w:r>
        <w:rPr>
          <w:rFonts w:hint="eastAsia" w:ascii="仿宋_GB2312" w:eastAsia="仿宋_GB2312"/>
          <w:b w:val="0"/>
          <w:color w:val="000000"/>
          <w:sz w:val="32"/>
          <w:szCs w:val="32"/>
          <w:highlight w:val="none"/>
        </w:rPr>
        <w:t>号</w:t>
      </w:r>
      <w:r>
        <w:rPr>
          <w:rFonts w:hint="eastAsia" w:ascii="仿宋_GB2312" w:eastAsia="仿宋_GB2312"/>
          <w:b w:val="0"/>
          <w:color w:val="000000"/>
          <w:sz w:val="32"/>
          <w:szCs w:val="32"/>
          <w:highlight w:val="none"/>
          <w:lang w:eastAsia="zh-CN"/>
        </w:rPr>
        <w:t>、</w:t>
      </w:r>
      <w:r>
        <w:rPr>
          <w:rFonts w:hint="eastAsia" w:ascii="仿宋" w:hAnsi="仿宋" w:eastAsia="仿宋_GB2312" w:cs="仿宋"/>
          <w:b w:val="0"/>
          <w:color w:val="000000"/>
          <w:sz w:val="32"/>
          <w:szCs w:val="32"/>
        </w:rPr>
        <w:t>关于转发</w:t>
      </w:r>
      <w:r>
        <w:rPr>
          <w:rFonts w:hint="eastAsia" w:ascii="仿宋" w:hAnsi="仿宋" w:eastAsia="仿宋_GB2312" w:cs="仿宋"/>
          <w:b w:val="0"/>
          <w:color w:val="000000"/>
          <w:sz w:val="32"/>
          <w:szCs w:val="32"/>
          <w:lang w:eastAsia="zh-CN"/>
        </w:rPr>
        <w:t>《</w:t>
      </w:r>
      <w:r>
        <w:rPr>
          <w:rFonts w:hint="eastAsia" w:ascii="仿宋" w:hAnsi="仿宋" w:eastAsia="仿宋_GB2312" w:cs="仿宋"/>
          <w:b w:val="0"/>
          <w:color w:val="000000"/>
          <w:sz w:val="32"/>
          <w:szCs w:val="32"/>
        </w:rPr>
        <w:t>州民政局关于进一步开展全州最低生活保障扩围增</w:t>
      </w:r>
      <w:r>
        <w:rPr>
          <w:rFonts w:hint="eastAsia" w:ascii="仿宋" w:hAnsi="仿宋" w:eastAsia="仿宋_GB2312" w:cs="仿宋"/>
          <w:b w:val="0"/>
          <w:color w:val="000000"/>
          <w:sz w:val="32"/>
          <w:szCs w:val="32"/>
          <w:lang w:eastAsia="zh-CN"/>
        </w:rPr>
        <w:t>效</w:t>
      </w:r>
      <w:r>
        <w:rPr>
          <w:rFonts w:hint="eastAsia" w:ascii="仿宋" w:hAnsi="仿宋" w:eastAsia="仿宋_GB2312" w:cs="仿宋"/>
          <w:b w:val="0"/>
          <w:color w:val="000000"/>
          <w:sz w:val="32"/>
          <w:szCs w:val="32"/>
        </w:rPr>
        <w:t>工作</w:t>
      </w:r>
      <w:r>
        <w:rPr>
          <w:rFonts w:hint="eastAsia" w:ascii="仿宋" w:hAnsi="仿宋" w:eastAsia="仿宋_GB2312" w:cs="仿宋"/>
          <w:b w:val="0"/>
          <w:color w:val="000000"/>
          <w:sz w:val="32"/>
          <w:szCs w:val="32"/>
          <w:lang w:eastAsia="zh-CN"/>
        </w:rPr>
        <w:t>》</w:t>
      </w:r>
      <w:r>
        <w:rPr>
          <w:rFonts w:hint="eastAsia" w:ascii="仿宋" w:hAnsi="仿宋" w:eastAsia="仿宋_GB2312" w:cs="仿宋"/>
          <w:b w:val="0"/>
          <w:color w:val="000000"/>
          <w:sz w:val="32"/>
          <w:szCs w:val="32"/>
        </w:rPr>
        <w:t>的通知</w:t>
      </w:r>
      <w:r>
        <w:rPr>
          <w:rFonts w:hint="eastAsia" w:ascii="仿宋" w:hAnsi="仿宋" w:eastAsia="仿宋_GB2312" w:cs="仿宋"/>
          <w:b w:val="0"/>
          <w:color w:val="000000"/>
          <w:sz w:val="32"/>
          <w:szCs w:val="32"/>
          <w:lang w:eastAsia="zh-CN"/>
        </w:rPr>
        <w:t>金民发</w:t>
      </w:r>
      <w:r>
        <w:rPr>
          <w:rFonts w:hint="eastAsia" w:ascii="仿宋_GB2312" w:eastAsia="仿宋_GB2312"/>
          <w:b w:val="0"/>
          <w:color w:val="000000"/>
          <w:sz w:val="32"/>
          <w:szCs w:val="32"/>
          <w:highlight w:val="none"/>
        </w:rPr>
        <w:t>〔20</w:t>
      </w:r>
      <w:r>
        <w:rPr>
          <w:rFonts w:hint="eastAsia" w:ascii="仿宋_GB2312" w:eastAsia="仿宋_GB2312"/>
          <w:b w:val="0"/>
          <w:color w:val="000000"/>
          <w:sz w:val="32"/>
          <w:szCs w:val="32"/>
          <w:highlight w:val="none"/>
          <w:lang w:val="en-US" w:eastAsia="zh-CN"/>
        </w:rPr>
        <w:t>23</w:t>
      </w:r>
      <w:r>
        <w:rPr>
          <w:rFonts w:hint="eastAsia" w:ascii="仿宋_GB2312" w:eastAsia="仿宋_GB2312"/>
          <w:b w:val="0"/>
          <w:color w:val="000000"/>
          <w:sz w:val="32"/>
          <w:szCs w:val="32"/>
          <w:highlight w:val="none"/>
        </w:rPr>
        <w:t>〕</w:t>
      </w:r>
      <w:r>
        <w:rPr>
          <w:rFonts w:hint="eastAsia" w:ascii="仿宋_GB2312" w:eastAsia="仿宋_GB2312"/>
          <w:b w:val="0"/>
          <w:color w:val="000000"/>
          <w:sz w:val="32"/>
          <w:szCs w:val="32"/>
          <w:highlight w:val="none"/>
          <w:lang w:val="en-US" w:eastAsia="zh-CN"/>
        </w:rPr>
        <w:t>28</w:t>
      </w:r>
      <w:r>
        <w:rPr>
          <w:rFonts w:hint="eastAsia" w:ascii="仿宋_GB2312" w:eastAsia="仿宋_GB2312"/>
          <w:b w:val="0"/>
          <w:color w:val="000000"/>
          <w:sz w:val="32"/>
          <w:szCs w:val="32"/>
          <w:highlight w:val="none"/>
        </w:rPr>
        <w:t>号</w:t>
      </w:r>
      <w:r>
        <w:rPr>
          <w:rFonts w:hint="eastAsia" w:ascii="仿宋" w:hAnsi="仿宋" w:eastAsia="仿宋_GB2312" w:cs="仿宋"/>
          <w:b w:val="0"/>
          <w:color w:val="000000"/>
          <w:sz w:val="32"/>
          <w:szCs w:val="32"/>
          <w:highlight w:val="none"/>
        </w:rPr>
        <w:t>文件</w:t>
      </w:r>
      <w:r>
        <w:rPr>
          <w:rFonts w:hint="eastAsia" w:ascii="仿宋" w:hAnsi="仿宋" w:eastAsia="仿宋_GB2312" w:cs="仿宋"/>
          <w:b w:val="0"/>
          <w:bCs w:val="0"/>
          <w:color w:val="auto"/>
          <w:sz w:val="32"/>
          <w:szCs w:val="32"/>
          <w:lang w:eastAsia="zh-CN"/>
        </w:rPr>
        <w:t>相关规定执行。</w:t>
      </w:r>
      <w:r>
        <w:rPr>
          <w:rFonts w:ascii="仿宋" w:hAnsi="仿宋" w:eastAsia="仿宋_GB2312"/>
          <w:b w:val="0"/>
          <w:sz w:val="32"/>
          <w:szCs w:val="30"/>
        </w:rPr>
        <w:t xml:space="preserve"> </w:t>
      </w:r>
      <w:r>
        <w:rPr>
          <w:rFonts w:hint="eastAsia" w:ascii="仿宋" w:hAnsi="仿宋" w:eastAsia="仿宋_GB2312" w:cs="仿宋"/>
          <w:b w:val="0"/>
          <w:bCs w:val="0"/>
          <w:color w:val="333333"/>
          <w:kern w:val="2"/>
          <w:sz w:val="32"/>
          <w:szCs w:val="32"/>
          <w:lang w:val="en-US" w:eastAsia="zh-CN" w:bidi="ar"/>
        </w:rPr>
        <w:t>促进我县城乡低保规范化建设，</w:t>
      </w:r>
      <w:r>
        <w:rPr>
          <w:rFonts w:hint="eastAsia" w:ascii="仿宋" w:hAnsi="仿宋" w:eastAsia="仿宋_GB2312" w:cs="仿宋"/>
          <w:b w:val="0"/>
          <w:i w:val="0"/>
          <w:iCs w:val="0"/>
          <w:caps w:val="0"/>
          <w:color w:val="000000"/>
          <w:spacing w:val="0"/>
          <w:sz w:val="32"/>
          <w:szCs w:val="32"/>
          <w:shd w:val="clear" w:fill="FFFFFF"/>
        </w:rPr>
        <w:t>“以人为本，为民解困”的宗旨。坚持“应保尽保、应救尽救、应补尽补”的基本原则，</w:t>
      </w:r>
      <w:r>
        <w:rPr>
          <w:rFonts w:ascii="仿宋" w:hAnsi="仿宋" w:eastAsia="仿宋_GB2312"/>
          <w:b w:val="0"/>
          <w:sz w:val="32"/>
          <w:szCs w:val="30"/>
        </w:rPr>
        <w:t>有序、有效推进，健全、完善城乡社会救助体系，及时有效解决城乡居民困难</w:t>
      </w:r>
      <w:r>
        <w:rPr>
          <w:rFonts w:hint="eastAsia" w:ascii="仿宋" w:hAnsi="仿宋" w:eastAsia="仿宋_GB2312"/>
          <w:b w:val="0"/>
          <w:sz w:val="32"/>
          <w:szCs w:val="30"/>
          <w:lang w:eastAsia="zh-CN"/>
        </w:rPr>
        <w:t>问题</w:t>
      </w:r>
      <w:r>
        <w:rPr>
          <w:rFonts w:hint="eastAsia" w:ascii="仿宋" w:hAnsi="仿宋" w:eastAsia="仿宋_GB2312"/>
          <w:b w:val="0"/>
          <w:sz w:val="32"/>
          <w:szCs w:val="30"/>
        </w:rPr>
        <w:t>。</w:t>
      </w:r>
    </w:p>
    <w:p w14:paraId="6946C923">
      <w:pPr>
        <w:pageBreakBefore w:val="0"/>
        <w:kinsoku/>
        <w:wordWrap/>
        <w:overflowPunct/>
        <w:topLinePunct w:val="0"/>
        <w:autoSpaceDE/>
        <w:autoSpaceDN/>
        <w:bidi w:val="0"/>
        <w:snapToGrid w:val="0"/>
        <w:spacing w:line="560" w:lineRule="exact"/>
        <w:ind w:firstLine="640" w:firstLineChars="200"/>
        <w:rPr>
          <w:rFonts w:ascii="黑体" w:eastAsia="仿宋_GB2312"/>
          <w:b w:val="0"/>
          <w:sz w:val="32"/>
          <w:szCs w:val="32"/>
        </w:rPr>
      </w:pPr>
      <w:r>
        <w:rPr>
          <w:rFonts w:hint="eastAsia" w:ascii="黑体" w:eastAsia="仿宋_GB2312"/>
          <w:b w:val="0"/>
          <w:sz w:val="32"/>
          <w:szCs w:val="32"/>
          <w:lang w:eastAsia="zh-CN"/>
        </w:rPr>
        <w:t>（</w:t>
      </w:r>
      <w:r>
        <w:rPr>
          <w:rFonts w:hint="eastAsia" w:ascii="黑体" w:eastAsia="仿宋_GB2312"/>
          <w:b w:val="0"/>
          <w:sz w:val="32"/>
          <w:szCs w:val="32"/>
          <w:lang w:val="en-US" w:eastAsia="zh-CN"/>
        </w:rPr>
        <w:t>一</w:t>
      </w:r>
      <w:r>
        <w:rPr>
          <w:rFonts w:hint="eastAsia" w:ascii="黑体" w:eastAsia="仿宋_GB2312"/>
          <w:b w:val="0"/>
          <w:sz w:val="32"/>
          <w:szCs w:val="32"/>
          <w:lang w:eastAsia="zh-CN"/>
        </w:rPr>
        <w:t>）</w:t>
      </w:r>
      <w:r>
        <w:rPr>
          <w:rFonts w:hint="eastAsia" w:ascii="黑体" w:eastAsia="仿宋_GB2312"/>
          <w:b w:val="0"/>
          <w:sz w:val="32"/>
          <w:szCs w:val="32"/>
        </w:rPr>
        <w:t>评估原则</w:t>
      </w:r>
    </w:p>
    <w:p w14:paraId="4DDDFB63">
      <w:pPr>
        <w:pageBreakBefore w:val="0"/>
        <w:kinsoku/>
        <w:wordWrap/>
        <w:overflowPunct/>
        <w:topLinePunct w:val="0"/>
        <w:autoSpaceDE/>
        <w:autoSpaceDN/>
        <w:bidi w:val="0"/>
        <w:snapToGrid w:val="0"/>
        <w:spacing w:line="560" w:lineRule="exact"/>
        <w:ind w:firstLine="640" w:firstLineChars="200"/>
        <w:rPr>
          <w:rFonts w:eastAsia="仿宋_GB2312"/>
          <w:b w:val="0"/>
          <w:sz w:val="32"/>
        </w:rPr>
      </w:pPr>
      <w:r>
        <w:rPr>
          <w:rFonts w:hint="eastAsia" w:ascii="Times New Roman" w:hAnsi="Times New Roman" w:eastAsia="仿宋_GB2312"/>
          <w:b w:val="0"/>
          <w:sz w:val="32"/>
          <w:szCs w:val="32"/>
        </w:rPr>
        <w:t>根据202</w:t>
      </w:r>
      <w:r>
        <w:rPr>
          <w:rFonts w:hint="eastAsia" w:ascii="Times New Roman" w:hAnsi="Times New Roman" w:eastAsia="仿宋_GB2312"/>
          <w:b w:val="0"/>
          <w:sz w:val="32"/>
          <w:szCs w:val="32"/>
          <w:lang w:val="en-US" w:eastAsia="zh-CN"/>
        </w:rPr>
        <w:t>5</w:t>
      </w:r>
      <w:r>
        <w:rPr>
          <w:rFonts w:hint="eastAsia" w:ascii="Times New Roman" w:hAnsi="Times New Roman" w:eastAsia="仿宋_GB2312"/>
          <w:b w:val="0"/>
          <w:sz w:val="32"/>
          <w:szCs w:val="32"/>
        </w:rPr>
        <w:t>年预算编制要求，绩效评估本着真正过紧日子的原则，厉行节约、精打细算，从严从紧控制项目申报和预算安排，非必要项目和工作内容可压尽压、应压尽压，做到客观、绩效、精准。</w:t>
      </w:r>
    </w:p>
    <w:p w14:paraId="7E9F3141">
      <w:pPr>
        <w:pageBreakBefore w:val="0"/>
        <w:kinsoku/>
        <w:wordWrap/>
        <w:overflowPunct/>
        <w:topLinePunct w:val="0"/>
        <w:autoSpaceDE/>
        <w:autoSpaceDN/>
        <w:bidi w:val="0"/>
        <w:snapToGrid w:val="0"/>
        <w:spacing w:line="560" w:lineRule="exact"/>
        <w:ind w:firstLine="640" w:firstLineChars="200"/>
        <w:rPr>
          <w:rFonts w:ascii="Times New Roman" w:hAnsi="Times New Roman" w:eastAsia="仿宋_GB2312"/>
          <w:b w:val="0"/>
          <w:sz w:val="32"/>
          <w:szCs w:val="32"/>
        </w:rPr>
      </w:pPr>
      <w:r>
        <w:rPr>
          <w:rFonts w:hint="eastAsia" w:ascii="黑体" w:eastAsia="仿宋_GB2312"/>
          <w:b w:val="0"/>
          <w:sz w:val="32"/>
          <w:szCs w:val="32"/>
          <w:lang w:eastAsia="zh-CN"/>
        </w:rPr>
        <w:t>（</w:t>
      </w:r>
      <w:r>
        <w:rPr>
          <w:rFonts w:hint="eastAsia" w:ascii="黑体" w:eastAsia="仿宋_GB2312"/>
          <w:b w:val="0"/>
          <w:sz w:val="32"/>
          <w:szCs w:val="32"/>
          <w:lang w:val="en-US" w:eastAsia="zh-CN"/>
        </w:rPr>
        <w:t>二</w:t>
      </w:r>
      <w:r>
        <w:rPr>
          <w:rFonts w:hint="eastAsia" w:ascii="黑体" w:eastAsia="仿宋_GB2312"/>
          <w:b w:val="0"/>
          <w:sz w:val="32"/>
          <w:szCs w:val="32"/>
          <w:lang w:eastAsia="zh-CN"/>
        </w:rPr>
        <w:t>）</w:t>
      </w:r>
      <w:r>
        <w:rPr>
          <w:rFonts w:hint="eastAsia" w:ascii="黑体" w:eastAsia="仿宋_GB2312"/>
          <w:b w:val="0"/>
          <w:sz w:val="32"/>
          <w:szCs w:val="32"/>
        </w:rPr>
        <w:t>评估目的</w:t>
      </w:r>
    </w:p>
    <w:p w14:paraId="0ED8BD63">
      <w:pPr>
        <w:pageBreakBefore w:val="0"/>
        <w:kinsoku/>
        <w:wordWrap/>
        <w:overflowPunct/>
        <w:topLinePunct w:val="0"/>
        <w:autoSpaceDE/>
        <w:autoSpaceDN/>
        <w:bidi w:val="0"/>
        <w:snapToGrid w:val="0"/>
        <w:spacing w:line="560" w:lineRule="exact"/>
        <w:ind w:firstLine="640" w:firstLineChars="200"/>
        <w:rPr>
          <w:rFonts w:ascii="Times New Roman" w:hAnsi="Times New Roman" w:eastAsia="仿宋_GB2312"/>
          <w:b w:val="0"/>
          <w:sz w:val="32"/>
          <w:szCs w:val="32"/>
        </w:rPr>
      </w:pPr>
      <w:r>
        <w:rPr>
          <w:rFonts w:hint="eastAsia" w:ascii="Times New Roman" w:hAnsi="Times New Roman" w:eastAsia="仿宋_GB2312"/>
          <w:b w:val="0"/>
          <w:sz w:val="32"/>
          <w:szCs w:val="32"/>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71666A05">
      <w:pPr>
        <w:pStyle w:val="12"/>
        <w:pageBreakBefore w:val="0"/>
        <w:kinsoku/>
        <w:wordWrap/>
        <w:overflowPunct/>
        <w:topLinePunct w:val="0"/>
        <w:autoSpaceDE/>
        <w:autoSpaceDN/>
        <w:bidi w:val="0"/>
        <w:snapToGrid w:val="0"/>
        <w:spacing w:line="560" w:lineRule="exact"/>
        <w:ind w:left="709" w:firstLine="0" w:firstLineChars="0"/>
        <w:rPr>
          <w:rFonts w:hint="eastAsia" w:ascii="黑体" w:hAnsi="Calibri" w:eastAsia="仿宋_GB2312" w:cs="Times New Roman"/>
          <w:b w:val="0"/>
          <w:kern w:val="2"/>
          <w:sz w:val="32"/>
          <w:szCs w:val="32"/>
          <w:lang w:val="en-US" w:eastAsia="zh-CN" w:bidi="ar-SA"/>
        </w:rPr>
      </w:pPr>
      <w:r>
        <w:rPr>
          <w:rFonts w:hint="eastAsia" w:ascii="黑体" w:eastAsia="仿宋_GB2312" w:cs="Times New Roman"/>
          <w:b w:val="0"/>
          <w:kern w:val="2"/>
          <w:sz w:val="32"/>
          <w:szCs w:val="32"/>
          <w:lang w:val="en-US" w:eastAsia="zh-CN" w:bidi="ar-SA"/>
        </w:rPr>
        <w:t>（三）</w:t>
      </w:r>
      <w:r>
        <w:rPr>
          <w:rFonts w:hint="eastAsia" w:ascii="黑体" w:hAnsi="Calibri" w:eastAsia="仿宋_GB2312" w:cs="Times New Roman"/>
          <w:b w:val="0"/>
          <w:kern w:val="2"/>
          <w:sz w:val="32"/>
          <w:szCs w:val="32"/>
          <w:lang w:val="en-US" w:eastAsia="zh-CN" w:bidi="ar-SA"/>
        </w:rPr>
        <w:t>评估方式和方法</w:t>
      </w:r>
    </w:p>
    <w:p w14:paraId="0F870C3C">
      <w:pPr>
        <w:pageBreakBefore w:val="0"/>
        <w:kinsoku/>
        <w:wordWrap/>
        <w:overflowPunct/>
        <w:topLinePunct w:val="0"/>
        <w:autoSpaceDE/>
        <w:autoSpaceDN/>
        <w:bidi w:val="0"/>
        <w:snapToGrid w:val="0"/>
        <w:spacing w:line="560" w:lineRule="exact"/>
        <w:ind w:firstLine="640" w:firstLineChars="200"/>
        <w:jc w:val="left"/>
        <w:rPr>
          <w:rFonts w:ascii="楷体_GB2312" w:eastAsia="仿宋_GB2312"/>
          <w:b w:val="0"/>
          <w:sz w:val="32"/>
          <w:szCs w:val="32"/>
        </w:rPr>
      </w:pPr>
      <w:r>
        <w:rPr>
          <w:rFonts w:hint="eastAsia" w:ascii="楷体_GB2312" w:eastAsia="仿宋_GB2312"/>
          <w:b w:val="0"/>
          <w:sz w:val="32"/>
          <w:szCs w:val="32"/>
          <w:lang w:val="en-US" w:eastAsia="zh-CN"/>
        </w:rPr>
        <w:t>1、</w:t>
      </w:r>
      <w:r>
        <w:rPr>
          <w:rFonts w:ascii="楷体_GB2312" w:eastAsia="仿宋_GB2312"/>
          <w:b w:val="0"/>
          <w:sz w:val="32"/>
          <w:szCs w:val="32"/>
        </w:rPr>
        <w:t>评估</w:t>
      </w:r>
      <w:r>
        <w:rPr>
          <w:rFonts w:hint="eastAsia" w:ascii="楷体_GB2312" w:eastAsia="仿宋_GB2312"/>
          <w:b w:val="0"/>
          <w:sz w:val="32"/>
          <w:szCs w:val="32"/>
          <w:lang w:eastAsia="zh-CN"/>
        </w:rPr>
        <w:t>方式</w:t>
      </w:r>
    </w:p>
    <w:p w14:paraId="6D2F8368">
      <w:pPr>
        <w:pageBreakBefore w:val="0"/>
        <w:kinsoku/>
        <w:wordWrap/>
        <w:overflowPunct/>
        <w:topLinePunct w:val="0"/>
        <w:autoSpaceDE/>
        <w:autoSpaceDN/>
        <w:bidi w:val="0"/>
        <w:snapToGrid w:val="0"/>
        <w:spacing w:line="560" w:lineRule="exact"/>
        <w:ind w:firstLine="640" w:firstLineChars="200"/>
        <w:rPr>
          <w:rFonts w:ascii="Times New Roman" w:hAnsi="Times New Roman" w:eastAsia="仿宋_GB2312"/>
          <w:b w:val="0"/>
          <w:sz w:val="32"/>
          <w:szCs w:val="32"/>
        </w:rPr>
      </w:pPr>
      <w:r>
        <w:rPr>
          <w:rFonts w:hint="eastAsia" w:ascii="Times New Roman" w:hAnsi="Times New Roman" w:eastAsia="仿宋_GB2312"/>
          <w:b w:val="0"/>
          <w:sz w:val="32"/>
          <w:szCs w:val="32"/>
        </w:rPr>
        <w:t>按照有关规定和工作安排，我单位开展自行评估，</w:t>
      </w:r>
      <w:r>
        <w:rPr>
          <w:rFonts w:hint="eastAsia" w:ascii="Times New Roman" w:hAnsi="Times New Roman" w:eastAsia="仿宋_GB2312"/>
          <w:b w:val="0"/>
          <w:sz w:val="32"/>
          <w:szCs w:val="32"/>
          <w:u w:val="none"/>
        </w:rPr>
        <w:t>通过</w:t>
      </w:r>
      <w:r>
        <w:rPr>
          <w:rFonts w:hint="eastAsia" w:ascii="仿宋_GB2312" w:hAnsi="仿宋" w:eastAsia="仿宋_GB2312" w:cs="宋体"/>
          <w:b w:val="0"/>
          <w:sz w:val="32"/>
          <w:u w:val="none"/>
        </w:rPr>
        <w:t>网络调查</w:t>
      </w:r>
      <w:r>
        <w:rPr>
          <w:rFonts w:hint="eastAsia" w:ascii="仿宋_GB2312" w:hAnsi="仿宋" w:eastAsia="仿宋_GB2312" w:cs="宋体"/>
          <w:b w:val="0"/>
          <w:sz w:val="32"/>
          <w:u w:val="none"/>
          <w:lang w:val="en-US" w:eastAsia="zh-CN"/>
        </w:rPr>
        <w:t>、</w:t>
      </w:r>
      <w:r>
        <w:rPr>
          <w:rFonts w:hint="eastAsia" w:ascii="仿宋_GB2312" w:hAnsi="仿宋" w:eastAsia="仿宋_GB2312" w:cs="宋体"/>
          <w:b w:val="0"/>
          <w:sz w:val="32"/>
          <w:u w:val="none"/>
        </w:rPr>
        <w:t>电话咨询</w:t>
      </w:r>
      <w:r>
        <w:rPr>
          <w:rFonts w:hint="eastAsia" w:ascii="仿宋_GB2312" w:hAnsi="仿宋" w:eastAsia="仿宋_GB2312" w:cs="宋体"/>
          <w:b w:val="0"/>
          <w:sz w:val="32"/>
          <w:u w:val="none"/>
          <w:lang w:val="en-US" w:eastAsia="zh-CN"/>
        </w:rPr>
        <w:t>、</w:t>
      </w:r>
      <w:r>
        <w:rPr>
          <w:rFonts w:hint="eastAsia" w:ascii="仿宋_GB2312" w:hAnsi="仿宋" w:eastAsia="仿宋_GB2312" w:cs="宋体"/>
          <w:b w:val="0"/>
          <w:sz w:val="32"/>
          <w:u w:val="none"/>
        </w:rPr>
        <w:t>召开座谈会</w:t>
      </w:r>
      <w:r>
        <w:rPr>
          <w:rFonts w:hint="eastAsia" w:ascii="仿宋_GB2312" w:hAnsi="仿宋" w:eastAsia="仿宋_GB2312" w:cs="宋体"/>
          <w:b w:val="0"/>
          <w:sz w:val="32"/>
          <w:u w:val="none"/>
          <w:lang w:val="en-US" w:eastAsia="zh-CN"/>
        </w:rPr>
        <w:t>、</w:t>
      </w:r>
      <w:r>
        <w:rPr>
          <w:rFonts w:hint="eastAsia" w:ascii="仿宋_GB2312" w:hAnsi="仿宋" w:eastAsia="仿宋_GB2312" w:cs="宋体"/>
          <w:b w:val="0"/>
          <w:sz w:val="32"/>
          <w:u w:val="none"/>
        </w:rPr>
        <w:t>问卷调查</w:t>
      </w:r>
      <w:r>
        <w:rPr>
          <w:rFonts w:hint="eastAsia" w:ascii="仿宋_GB2312" w:hAnsi="仿宋" w:eastAsia="仿宋_GB2312" w:cs="宋体"/>
          <w:b w:val="0"/>
          <w:sz w:val="32"/>
          <w:u w:val="none"/>
          <w:lang w:eastAsia="zh-CN"/>
        </w:rPr>
        <w:t>、</w:t>
      </w:r>
      <w:r>
        <w:rPr>
          <w:rFonts w:hint="eastAsia" w:ascii="仿宋_GB2312" w:hAnsi="仿宋" w:eastAsia="仿宋_GB2312" w:cs="宋体"/>
          <w:b w:val="0"/>
          <w:sz w:val="32"/>
          <w:u w:val="none"/>
        </w:rPr>
        <w:t>人大代表和政协委员参与等方式</w:t>
      </w:r>
      <w:r>
        <w:rPr>
          <w:rFonts w:hint="eastAsia" w:ascii="仿宋_GB2312" w:hAnsi="仿宋" w:eastAsia="仿宋_GB2312" w:cs="宋体"/>
          <w:b w:val="0"/>
          <w:sz w:val="32"/>
          <w:u w:val="none"/>
          <w:lang w:eastAsia="zh-CN"/>
        </w:rPr>
        <w:t>，</w:t>
      </w:r>
      <w:r>
        <w:rPr>
          <w:rFonts w:hint="eastAsia" w:ascii="Times New Roman" w:hAnsi="Times New Roman" w:eastAsia="仿宋_GB2312"/>
          <w:b w:val="0"/>
          <w:sz w:val="32"/>
          <w:szCs w:val="32"/>
          <w:u w:val="none"/>
        </w:rPr>
        <w:t>收集被评估</w:t>
      </w:r>
      <w:r>
        <w:rPr>
          <w:rFonts w:ascii="Times New Roman" w:hAnsi="Times New Roman" w:eastAsia="仿宋_GB2312"/>
          <w:b w:val="0"/>
          <w:sz w:val="32"/>
          <w:szCs w:val="32"/>
          <w:u w:val="none"/>
        </w:rPr>
        <w:t>项目</w:t>
      </w:r>
      <w:r>
        <w:rPr>
          <w:rFonts w:hint="eastAsia" w:ascii="Times New Roman" w:hAnsi="Times New Roman" w:eastAsia="仿宋_GB2312"/>
          <w:b w:val="0"/>
          <w:sz w:val="32"/>
          <w:szCs w:val="32"/>
          <w:u w:val="none"/>
        </w:rPr>
        <w:t>相关</w:t>
      </w:r>
      <w:r>
        <w:rPr>
          <w:rFonts w:ascii="Times New Roman" w:hAnsi="Times New Roman" w:eastAsia="仿宋_GB2312"/>
          <w:b w:val="0"/>
          <w:sz w:val="32"/>
          <w:szCs w:val="32"/>
          <w:u w:val="none"/>
        </w:rPr>
        <w:t>基础资料，查阅</w:t>
      </w:r>
      <w:r>
        <w:rPr>
          <w:rFonts w:ascii="Times New Roman" w:hAnsi="Times New Roman" w:eastAsia="仿宋_GB2312"/>
          <w:b w:val="0"/>
          <w:sz w:val="32"/>
          <w:szCs w:val="32"/>
        </w:rPr>
        <w:t>资料、</w:t>
      </w:r>
      <w:r>
        <w:rPr>
          <w:rFonts w:hint="eastAsia" w:ascii="Times New Roman" w:hAnsi="Times New Roman" w:eastAsia="仿宋_GB2312"/>
          <w:b w:val="0"/>
          <w:sz w:val="32"/>
          <w:szCs w:val="32"/>
        </w:rPr>
        <w:t>收集数据信息</w:t>
      </w:r>
      <w:r>
        <w:rPr>
          <w:rFonts w:ascii="Times New Roman" w:hAnsi="Times New Roman" w:eastAsia="仿宋_GB2312"/>
          <w:b w:val="0"/>
          <w:sz w:val="32"/>
          <w:szCs w:val="32"/>
        </w:rPr>
        <w:t>等</w:t>
      </w:r>
      <w:r>
        <w:rPr>
          <w:rFonts w:hint="eastAsia" w:ascii="Times New Roman" w:hAnsi="Times New Roman" w:eastAsia="仿宋_GB2312"/>
          <w:b w:val="0"/>
          <w:sz w:val="32"/>
          <w:szCs w:val="32"/>
        </w:rPr>
        <w:t>，深入论证</w:t>
      </w:r>
      <w:r>
        <w:rPr>
          <w:rFonts w:ascii="Times New Roman" w:hAnsi="Times New Roman" w:eastAsia="仿宋_GB2312"/>
          <w:b w:val="0"/>
          <w:sz w:val="32"/>
          <w:szCs w:val="32"/>
        </w:rPr>
        <w:t>分析后，形成绩效评估报告。</w:t>
      </w:r>
    </w:p>
    <w:p w14:paraId="639883E3">
      <w:pPr>
        <w:pageBreakBefore w:val="0"/>
        <w:kinsoku/>
        <w:wordWrap/>
        <w:overflowPunct/>
        <w:topLinePunct w:val="0"/>
        <w:autoSpaceDE/>
        <w:autoSpaceDN/>
        <w:bidi w:val="0"/>
        <w:snapToGrid w:val="0"/>
        <w:spacing w:line="560" w:lineRule="exact"/>
        <w:ind w:firstLine="640" w:firstLineChars="200"/>
        <w:jc w:val="left"/>
        <w:rPr>
          <w:rFonts w:ascii="楷体_GB2312" w:eastAsia="仿宋_GB2312"/>
          <w:b w:val="0"/>
          <w:sz w:val="32"/>
          <w:szCs w:val="32"/>
        </w:rPr>
      </w:pPr>
      <w:r>
        <w:rPr>
          <w:rFonts w:hint="eastAsia" w:ascii="楷体_GB2312" w:eastAsia="仿宋_GB2312"/>
          <w:b w:val="0"/>
          <w:sz w:val="32"/>
          <w:szCs w:val="32"/>
          <w:lang w:val="en-US" w:eastAsia="zh-CN"/>
        </w:rPr>
        <w:t>2、</w:t>
      </w:r>
      <w:r>
        <w:rPr>
          <w:rFonts w:hint="eastAsia" w:ascii="楷体_GB2312" w:eastAsia="仿宋_GB2312"/>
          <w:b w:val="0"/>
          <w:sz w:val="32"/>
          <w:szCs w:val="32"/>
        </w:rPr>
        <w:t>评估方法</w:t>
      </w:r>
    </w:p>
    <w:p w14:paraId="13FCA81D">
      <w:pPr>
        <w:pageBreakBefore w:val="0"/>
        <w:kinsoku/>
        <w:wordWrap/>
        <w:overflowPunct/>
        <w:topLinePunct w:val="0"/>
        <w:autoSpaceDE/>
        <w:autoSpaceDN/>
        <w:bidi w:val="0"/>
        <w:snapToGrid w:val="0"/>
        <w:spacing w:line="560" w:lineRule="exact"/>
        <w:ind w:firstLine="640" w:firstLineChars="200"/>
        <w:rPr>
          <w:rFonts w:ascii="Times New Roman" w:hAnsi="Times New Roman" w:eastAsia="仿宋_GB2312"/>
          <w:b w:val="0"/>
          <w:sz w:val="32"/>
          <w:szCs w:val="32"/>
        </w:rPr>
      </w:pPr>
      <w:r>
        <w:rPr>
          <w:rFonts w:hint="eastAsia" w:ascii="Times New Roman" w:hAnsi="Times New Roman" w:eastAsia="仿宋_GB2312"/>
          <w:b w:val="0"/>
          <w:sz w:val="32"/>
          <w:szCs w:val="32"/>
        </w:rPr>
        <w:t>本项目</w:t>
      </w:r>
      <w:r>
        <w:rPr>
          <w:rFonts w:hint="eastAsia" w:ascii="Times New Roman" w:hAnsi="Times New Roman" w:eastAsia="仿宋_GB2312"/>
          <w:b w:val="0"/>
          <w:sz w:val="32"/>
          <w:szCs w:val="32"/>
          <w:lang w:eastAsia="zh-CN"/>
        </w:rPr>
        <w:t>采用</w:t>
      </w:r>
      <w:r>
        <w:rPr>
          <w:rFonts w:hint="eastAsia" w:ascii="仿宋_GB2312" w:hAnsi="仿宋" w:eastAsia="仿宋_GB2312" w:cs="宋体"/>
          <w:b w:val="0"/>
          <w:sz w:val="32"/>
        </w:rPr>
        <w:t>成本效益分析法、比较法、因素分析法、最低成本法、公众评判法等</w:t>
      </w:r>
      <w:r>
        <w:rPr>
          <w:rFonts w:hint="eastAsia" w:ascii="Times New Roman" w:hAnsi="Times New Roman" w:eastAsia="仿宋_GB2312"/>
          <w:b w:val="0"/>
          <w:sz w:val="32"/>
          <w:szCs w:val="32"/>
        </w:rPr>
        <w:t>，对项目的立项必要性、投入经济性、目标合理性、方案可行性以及筹资合规性实施评估。</w:t>
      </w:r>
    </w:p>
    <w:p w14:paraId="12C12AA3">
      <w:pPr>
        <w:pageBreakBefore w:val="0"/>
        <w:kinsoku/>
        <w:wordWrap/>
        <w:overflowPunct/>
        <w:topLinePunct w:val="0"/>
        <w:autoSpaceDE/>
        <w:autoSpaceDN/>
        <w:bidi w:val="0"/>
        <w:snapToGrid w:val="0"/>
        <w:spacing w:line="560" w:lineRule="exact"/>
        <w:ind w:firstLine="640" w:firstLineChars="200"/>
        <w:jc w:val="left"/>
        <w:rPr>
          <w:rFonts w:ascii="黑体" w:eastAsia="仿宋_GB2312"/>
          <w:b w:val="0"/>
          <w:sz w:val="32"/>
          <w:szCs w:val="32"/>
        </w:rPr>
      </w:pPr>
      <w:r>
        <w:rPr>
          <w:rFonts w:hint="eastAsia" w:ascii="黑体" w:eastAsia="仿宋_GB2312"/>
          <w:b w:val="0"/>
          <w:sz w:val="32"/>
          <w:szCs w:val="32"/>
          <w:lang w:eastAsia="zh-CN"/>
        </w:rPr>
        <w:t>（</w:t>
      </w:r>
      <w:r>
        <w:rPr>
          <w:rFonts w:hint="eastAsia" w:ascii="黑体" w:eastAsia="仿宋_GB2312"/>
          <w:b w:val="0"/>
          <w:sz w:val="32"/>
          <w:szCs w:val="32"/>
          <w:lang w:val="en-US" w:eastAsia="zh-CN"/>
        </w:rPr>
        <w:t>四</w:t>
      </w:r>
      <w:r>
        <w:rPr>
          <w:rFonts w:hint="eastAsia" w:ascii="黑体" w:eastAsia="仿宋_GB2312"/>
          <w:b w:val="0"/>
          <w:sz w:val="32"/>
          <w:szCs w:val="32"/>
          <w:lang w:eastAsia="zh-CN"/>
        </w:rPr>
        <w:t>）</w:t>
      </w:r>
      <w:r>
        <w:rPr>
          <w:rFonts w:hint="eastAsia" w:ascii="黑体" w:eastAsia="仿宋_GB2312"/>
          <w:b w:val="0"/>
          <w:sz w:val="32"/>
          <w:szCs w:val="32"/>
        </w:rPr>
        <w:t>评估内容</w:t>
      </w:r>
    </w:p>
    <w:p w14:paraId="456773C6">
      <w:pPr>
        <w:pageBreakBefore w:val="0"/>
        <w:kinsoku/>
        <w:wordWrap/>
        <w:overflowPunct/>
        <w:topLinePunct w:val="0"/>
        <w:autoSpaceDE/>
        <w:autoSpaceDN/>
        <w:bidi w:val="0"/>
        <w:snapToGrid w:val="0"/>
        <w:spacing w:line="560" w:lineRule="exact"/>
        <w:ind w:left="709"/>
        <w:jc w:val="left"/>
        <w:rPr>
          <w:rFonts w:ascii="楷体_GB2312" w:eastAsia="仿宋_GB2312"/>
          <w:b w:val="0"/>
          <w:sz w:val="32"/>
          <w:szCs w:val="32"/>
        </w:rPr>
      </w:pPr>
      <w:r>
        <w:rPr>
          <w:rFonts w:hint="eastAsia" w:ascii="楷体_GB2312" w:eastAsia="仿宋_GB2312"/>
          <w:b w:val="0"/>
          <w:sz w:val="32"/>
          <w:szCs w:val="32"/>
          <w:lang w:val="en-US" w:eastAsia="zh-CN"/>
        </w:rPr>
        <w:t>1、</w:t>
      </w:r>
      <w:r>
        <w:rPr>
          <w:rFonts w:hint="eastAsia" w:ascii="楷体_GB2312" w:eastAsia="仿宋_GB2312"/>
          <w:b w:val="0"/>
          <w:sz w:val="32"/>
          <w:szCs w:val="32"/>
        </w:rPr>
        <w:t>立项必要性</w:t>
      </w:r>
    </w:p>
    <w:p w14:paraId="79B3351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仿宋_GB2312"/>
          <w:b w:val="0"/>
          <w:sz w:val="32"/>
          <w:szCs w:val="32"/>
          <w:lang w:val="en-US" w:eastAsia="zh-CN"/>
        </w:rPr>
      </w:pPr>
      <w:r>
        <w:rPr>
          <w:rFonts w:ascii="仿宋" w:hAnsi="仿宋" w:eastAsia="仿宋_GB2312"/>
          <w:b w:val="0"/>
          <w:color w:val="000000"/>
          <w:sz w:val="32"/>
          <w:szCs w:val="30"/>
        </w:rPr>
        <w:t>根据</w:t>
      </w:r>
      <w:r>
        <w:rPr>
          <w:rFonts w:hint="eastAsia" w:ascii="仿宋" w:hAnsi="仿宋" w:eastAsia="仿宋_GB2312" w:cs="仿宋"/>
          <w:b w:val="0"/>
          <w:bCs w:val="0"/>
          <w:color w:val="auto"/>
          <w:sz w:val="32"/>
          <w:szCs w:val="32"/>
        </w:rPr>
        <w:t>《四川省最低生活保障工作规程》的通知（川民发〔20</w:t>
      </w:r>
      <w:r>
        <w:rPr>
          <w:rFonts w:hint="eastAsia" w:ascii="仿宋" w:hAnsi="仿宋" w:eastAsia="仿宋_GB2312" w:cs="仿宋"/>
          <w:b w:val="0"/>
          <w:bCs w:val="0"/>
          <w:color w:val="auto"/>
          <w:sz w:val="32"/>
          <w:szCs w:val="32"/>
          <w:lang w:val="en-US" w:eastAsia="zh-CN"/>
        </w:rPr>
        <w:t>21</w:t>
      </w:r>
      <w:r>
        <w:rPr>
          <w:rFonts w:hint="eastAsia" w:ascii="仿宋" w:hAnsi="仿宋" w:eastAsia="仿宋_GB2312" w:cs="仿宋"/>
          <w:b w:val="0"/>
          <w:bCs w:val="0"/>
          <w:color w:val="auto"/>
          <w:sz w:val="32"/>
          <w:szCs w:val="32"/>
        </w:rPr>
        <w:t>〕1</w:t>
      </w:r>
      <w:r>
        <w:rPr>
          <w:rFonts w:hint="eastAsia" w:ascii="仿宋" w:hAnsi="仿宋" w:eastAsia="仿宋_GB2312" w:cs="仿宋"/>
          <w:b w:val="0"/>
          <w:bCs w:val="0"/>
          <w:color w:val="auto"/>
          <w:sz w:val="32"/>
          <w:szCs w:val="32"/>
          <w:lang w:val="en-US" w:eastAsia="zh-CN"/>
        </w:rPr>
        <w:t>80</w:t>
      </w:r>
      <w:r>
        <w:rPr>
          <w:rFonts w:hint="eastAsia" w:ascii="仿宋" w:hAnsi="仿宋" w:eastAsia="仿宋_GB2312" w:cs="仿宋"/>
          <w:b w:val="0"/>
          <w:bCs w:val="0"/>
          <w:color w:val="auto"/>
          <w:sz w:val="32"/>
          <w:szCs w:val="32"/>
        </w:rPr>
        <w:t>号）</w:t>
      </w:r>
      <w:r>
        <w:rPr>
          <w:rFonts w:hint="eastAsia" w:ascii="仿宋" w:hAnsi="仿宋" w:eastAsia="仿宋_GB2312" w:cs="仿宋"/>
          <w:b w:val="0"/>
          <w:bCs w:val="0"/>
          <w:color w:val="auto"/>
          <w:sz w:val="32"/>
          <w:szCs w:val="32"/>
          <w:lang w:eastAsia="zh-CN"/>
        </w:rPr>
        <w:t>、</w:t>
      </w:r>
      <w:r>
        <w:rPr>
          <w:rFonts w:hint="eastAsia" w:ascii="仿宋_GB2312" w:eastAsia="仿宋_GB2312"/>
          <w:b w:val="0"/>
          <w:color w:val="000000"/>
          <w:sz w:val="32"/>
          <w:szCs w:val="32"/>
          <w:highlight w:val="none"/>
          <w:lang w:eastAsia="zh-CN"/>
        </w:rPr>
        <w:t>阿坝州民政局、阿坝州发展和改革委员会、阿坝州财政局、阿坝州统计局、国家统计局阿坝调查部队</w:t>
      </w:r>
      <w:r>
        <w:rPr>
          <w:rFonts w:hint="eastAsia" w:ascii="仿宋_GB2312" w:eastAsia="仿宋_GB2312"/>
          <w:b w:val="0"/>
          <w:color w:val="000000"/>
          <w:sz w:val="32"/>
          <w:szCs w:val="32"/>
          <w:highlight w:val="none"/>
        </w:rPr>
        <w:t>《</w:t>
      </w:r>
      <w:r>
        <w:rPr>
          <w:rFonts w:hint="eastAsia" w:ascii="仿宋_GB2312" w:eastAsia="仿宋_GB2312"/>
          <w:b w:val="0"/>
          <w:color w:val="000000"/>
          <w:sz w:val="32"/>
          <w:szCs w:val="32"/>
          <w:highlight w:val="none"/>
          <w:lang w:eastAsia="zh-CN"/>
        </w:rPr>
        <w:t>关于调整城乡</w:t>
      </w:r>
      <w:r>
        <w:rPr>
          <w:rFonts w:hint="eastAsia" w:ascii="仿宋_GB2312" w:eastAsia="仿宋_GB2312"/>
          <w:b w:val="0"/>
          <w:color w:val="000000"/>
          <w:sz w:val="32"/>
          <w:szCs w:val="32"/>
          <w:highlight w:val="none"/>
          <w:lang w:val="en-US" w:eastAsia="zh-CN"/>
        </w:rPr>
        <w:t>居民</w:t>
      </w:r>
      <w:r>
        <w:rPr>
          <w:rFonts w:hint="eastAsia" w:ascii="仿宋_GB2312" w:eastAsia="仿宋_GB2312"/>
          <w:b w:val="0"/>
          <w:color w:val="000000"/>
          <w:sz w:val="32"/>
          <w:szCs w:val="32"/>
          <w:highlight w:val="none"/>
        </w:rPr>
        <w:t>最低生活保障</w:t>
      </w:r>
      <w:r>
        <w:rPr>
          <w:rFonts w:hint="eastAsia" w:ascii="仿宋_GB2312" w:eastAsia="仿宋_GB2312"/>
          <w:b w:val="0"/>
          <w:color w:val="000000"/>
          <w:sz w:val="32"/>
          <w:szCs w:val="32"/>
          <w:highlight w:val="none"/>
          <w:lang w:eastAsia="zh-CN"/>
        </w:rPr>
        <w:t>和特困人员基本生活标准</w:t>
      </w:r>
      <w:r>
        <w:rPr>
          <w:rFonts w:hint="eastAsia" w:ascii="仿宋_GB2312" w:eastAsia="仿宋_GB2312"/>
          <w:b w:val="0"/>
          <w:color w:val="000000"/>
          <w:sz w:val="32"/>
          <w:szCs w:val="32"/>
          <w:highlight w:val="none"/>
        </w:rPr>
        <w:t>的通知》</w:t>
      </w:r>
      <w:r>
        <w:rPr>
          <w:rFonts w:hint="eastAsia" w:ascii="仿宋_GB2312" w:eastAsia="仿宋_GB2312"/>
          <w:b w:val="0"/>
          <w:color w:val="000000"/>
          <w:sz w:val="32"/>
          <w:szCs w:val="32"/>
          <w:highlight w:val="none"/>
          <w:lang w:eastAsia="zh-CN"/>
        </w:rPr>
        <w:t>阿州民政</w:t>
      </w:r>
      <w:r>
        <w:rPr>
          <w:rFonts w:hint="eastAsia" w:ascii="仿宋_GB2312" w:eastAsia="仿宋_GB2312"/>
          <w:b w:val="0"/>
          <w:color w:val="000000"/>
          <w:sz w:val="32"/>
          <w:szCs w:val="32"/>
          <w:highlight w:val="none"/>
        </w:rPr>
        <w:t>〔20</w:t>
      </w:r>
      <w:r>
        <w:rPr>
          <w:rFonts w:hint="eastAsia" w:ascii="仿宋_GB2312" w:eastAsia="仿宋_GB2312"/>
          <w:b w:val="0"/>
          <w:color w:val="000000"/>
          <w:sz w:val="32"/>
          <w:szCs w:val="32"/>
          <w:highlight w:val="none"/>
          <w:lang w:val="en-US" w:eastAsia="zh-CN"/>
        </w:rPr>
        <w:t>23</w:t>
      </w:r>
      <w:r>
        <w:rPr>
          <w:rFonts w:hint="eastAsia" w:ascii="仿宋_GB2312" w:eastAsia="仿宋_GB2312"/>
          <w:b w:val="0"/>
          <w:color w:val="000000"/>
          <w:sz w:val="32"/>
          <w:szCs w:val="32"/>
          <w:highlight w:val="none"/>
        </w:rPr>
        <w:t>〕</w:t>
      </w:r>
      <w:r>
        <w:rPr>
          <w:rFonts w:hint="eastAsia" w:ascii="仿宋_GB2312" w:eastAsia="仿宋_GB2312"/>
          <w:b w:val="0"/>
          <w:color w:val="000000"/>
          <w:sz w:val="32"/>
          <w:szCs w:val="32"/>
          <w:highlight w:val="none"/>
          <w:lang w:val="en-US" w:eastAsia="zh-CN"/>
        </w:rPr>
        <w:t>51</w:t>
      </w:r>
      <w:r>
        <w:rPr>
          <w:rFonts w:hint="eastAsia" w:ascii="仿宋_GB2312" w:eastAsia="仿宋_GB2312"/>
          <w:b w:val="0"/>
          <w:color w:val="000000"/>
          <w:sz w:val="32"/>
          <w:szCs w:val="32"/>
          <w:highlight w:val="none"/>
        </w:rPr>
        <w:t>号</w:t>
      </w:r>
      <w:r>
        <w:rPr>
          <w:rFonts w:hint="eastAsia" w:ascii="仿宋_GB2312" w:eastAsia="仿宋_GB2312"/>
          <w:b w:val="0"/>
          <w:color w:val="000000"/>
          <w:sz w:val="32"/>
          <w:szCs w:val="32"/>
          <w:highlight w:val="none"/>
          <w:lang w:eastAsia="zh-CN"/>
        </w:rPr>
        <w:t>、</w:t>
      </w:r>
      <w:r>
        <w:rPr>
          <w:rFonts w:hint="eastAsia" w:ascii="仿宋" w:hAnsi="仿宋" w:eastAsia="仿宋_GB2312" w:cs="仿宋"/>
          <w:b w:val="0"/>
          <w:color w:val="000000"/>
          <w:sz w:val="32"/>
          <w:szCs w:val="32"/>
        </w:rPr>
        <w:t>关于转发</w:t>
      </w:r>
      <w:r>
        <w:rPr>
          <w:rFonts w:hint="eastAsia" w:ascii="仿宋" w:hAnsi="仿宋" w:eastAsia="仿宋_GB2312" w:cs="仿宋"/>
          <w:b w:val="0"/>
          <w:color w:val="000000"/>
          <w:sz w:val="32"/>
          <w:szCs w:val="32"/>
          <w:lang w:eastAsia="zh-CN"/>
        </w:rPr>
        <w:t>《</w:t>
      </w:r>
      <w:r>
        <w:rPr>
          <w:rFonts w:hint="eastAsia" w:ascii="仿宋" w:hAnsi="仿宋" w:eastAsia="仿宋_GB2312" w:cs="仿宋"/>
          <w:b w:val="0"/>
          <w:color w:val="000000"/>
          <w:sz w:val="32"/>
          <w:szCs w:val="32"/>
        </w:rPr>
        <w:t>州民政局关于进一步开展全州最低生活保障扩围增</w:t>
      </w:r>
      <w:r>
        <w:rPr>
          <w:rFonts w:hint="eastAsia" w:ascii="仿宋" w:hAnsi="仿宋" w:eastAsia="仿宋_GB2312" w:cs="仿宋"/>
          <w:b w:val="0"/>
          <w:color w:val="000000"/>
          <w:sz w:val="32"/>
          <w:szCs w:val="32"/>
          <w:lang w:eastAsia="zh-CN"/>
        </w:rPr>
        <w:t>效</w:t>
      </w:r>
      <w:r>
        <w:rPr>
          <w:rFonts w:hint="eastAsia" w:ascii="仿宋" w:hAnsi="仿宋" w:eastAsia="仿宋_GB2312" w:cs="仿宋"/>
          <w:b w:val="0"/>
          <w:color w:val="000000"/>
          <w:sz w:val="32"/>
          <w:szCs w:val="32"/>
        </w:rPr>
        <w:t>工作</w:t>
      </w:r>
      <w:r>
        <w:rPr>
          <w:rFonts w:hint="eastAsia" w:ascii="仿宋" w:hAnsi="仿宋" w:eastAsia="仿宋_GB2312" w:cs="仿宋"/>
          <w:b w:val="0"/>
          <w:color w:val="000000"/>
          <w:sz w:val="32"/>
          <w:szCs w:val="32"/>
          <w:lang w:eastAsia="zh-CN"/>
        </w:rPr>
        <w:t>》</w:t>
      </w:r>
      <w:r>
        <w:rPr>
          <w:rFonts w:hint="eastAsia" w:ascii="仿宋" w:hAnsi="仿宋" w:eastAsia="仿宋_GB2312" w:cs="仿宋"/>
          <w:b w:val="0"/>
          <w:color w:val="000000"/>
          <w:sz w:val="32"/>
          <w:szCs w:val="32"/>
        </w:rPr>
        <w:t>的通知</w:t>
      </w:r>
      <w:r>
        <w:rPr>
          <w:rFonts w:hint="eastAsia" w:ascii="仿宋" w:hAnsi="仿宋" w:eastAsia="仿宋_GB2312" w:cs="仿宋"/>
          <w:b w:val="0"/>
          <w:color w:val="000000"/>
          <w:sz w:val="32"/>
          <w:szCs w:val="32"/>
          <w:lang w:eastAsia="zh-CN"/>
        </w:rPr>
        <w:t>金民发</w:t>
      </w:r>
      <w:r>
        <w:rPr>
          <w:rFonts w:hint="eastAsia" w:ascii="仿宋_GB2312" w:eastAsia="仿宋_GB2312"/>
          <w:b w:val="0"/>
          <w:color w:val="000000"/>
          <w:sz w:val="32"/>
          <w:szCs w:val="32"/>
          <w:highlight w:val="none"/>
        </w:rPr>
        <w:t>〔20</w:t>
      </w:r>
      <w:r>
        <w:rPr>
          <w:rFonts w:hint="eastAsia" w:ascii="仿宋_GB2312" w:eastAsia="仿宋_GB2312"/>
          <w:b w:val="0"/>
          <w:color w:val="000000"/>
          <w:sz w:val="32"/>
          <w:szCs w:val="32"/>
          <w:highlight w:val="none"/>
          <w:lang w:val="en-US" w:eastAsia="zh-CN"/>
        </w:rPr>
        <w:t>23</w:t>
      </w:r>
      <w:r>
        <w:rPr>
          <w:rFonts w:hint="eastAsia" w:ascii="仿宋_GB2312" w:eastAsia="仿宋_GB2312"/>
          <w:b w:val="0"/>
          <w:color w:val="000000"/>
          <w:sz w:val="32"/>
          <w:szCs w:val="32"/>
          <w:highlight w:val="none"/>
        </w:rPr>
        <w:t>〕</w:t>
      </w:r>
      <w:r>
        <w:rPr>
          <w:rFonts w:hint="eastAsia" w:ascii="仿宋_GB2312" w:eastAsia="仿宋_GB2312"/>
          <w:b w:val="0"/>
          <w:color w:val="000000"/>
          <w:sz w:val="32"/>
          <w:szCs w:val="32"/>
          <w:highlight w:val="none"/>
          <w:lang w:val="en-US" w:eastAsia="zh-CN"/>
        </w:rPr>
        <w:t>28</w:t>
      </w:r>
      <w:r>
        <w:rPr>
          <w:rFonts w:hint="eastAsia" w:ascii="仿宋_GB2312" w:eastAsia="仿宋_GB2312"/>
          <w:b w:val="0"/>
          <w:color w:val="000000"/>
          <w:sz w:val="32"/>
          <w:szCs w:val="32"/>
          <w:highlight w:val="none"/>
        </w:rPr>
        <w:t>号</w:t>
      </w:r>
      <w:r>
        <w:rPr>
          <w:rFonts w:hint="eastAsia" w:ascii="仿宋" w:hAnsi="仿宋" w:eastAsia="仿宋_GB2312" w:cs="仿宋"/>
          <w:b w:val="0"/>
          <w:color w:val="000000"/>
          <w:sz w:val="32"/>
          <w:szCs w:val="32"/>
          <w:highlight w:val="none"/>
        </w:rPr>
        <w:t>文件</w:t>
      </w:r>
      <w:r>
        <w:rPr>
          <w:rFonts w:hint="eastAsia" w:ascii="仿宋" w:hAnsi="仿宋" w:eastAsia="仿宋_GB2312" w:cs="仿宋"/>
          <w:b w:val="0"/>
          <w:bCs w:val="0"/>
          <w:color w:val="auto"/>
          <w:sz w:val="32"/>
          <w:szCs w:val="32"/>
          <w:lang w:eastAsia="zh-CN"/>
        </w:rPr>
        <w:t>相关规定执行。</w:t>
      </w:r>
      <w:r>
        <w:rPr>
          <w:rFonts w:ascii="仿宋" w:hAnsi="仿宋" w:eastAsia="仿宋_GB2312"/>
          <w:b w:val="0"/>
          <w:sz w:val="32"/>
          <w:szCs w:val="30"/>
        </w:rPr>
        <w:t xml:space="preserve"> </w:t>
      </w:r>
      <w:r>
        <w:rPr>
          <w:rFonts w:hint="eastAsia" w:ascii="仿宋" w:hAnsi="仿宋" w:eastAsia="仿宋_GB2312" w:cs="仿宋"/>
          <w:b w:val="0"/>
          <w:bCs w:val="0"/>
          <w:color w:val="333333"/>
          <w:kern w:val="2"/>
          <w:sz w:val="32"/>
          <w:szCs w:val="32"/>
          <w:lang w:val="en-US" w:eastAsia="zh-CN" w:bidi="ar"/>
        </w:rPr>
        <w:t>促进我县城乡低保规范化建设，</w:t>
      </w:r>
      <w:r>
        <w:rPr>
          <w:rFonts w:hint="eastAsia" w:ascii="仿宋" w:hAnsi="仿宋" w:eastAsia="仿宋_GB2312" w:cs="仿宋"/>
          <w:b w:val="0"/>
          <w:i w:val="0"/>
          <w:iCs w:val="0"/>
          <w:caps w:val="0"/>
          <w:color w:val="000000"/>
          <w:spacing w:val="0"/>
          <w:sz w:val="32"/>
          <w:szCs w:val="32"/>
          <w:shd w:val="clear" w:fill="FFFFFF"/>
        </w:rPr>
        <w:t>“以人为本，为民解困”的宗旨。</w:t>
      </w:r>
      <w:r>
        <w:rPr>
          <w:rFonts w:hint="eastAsia" w:ascii="仿宋" w:hAnsi="仿宋" w:eastAsia="仿宋_GB2312" w:cs="仿宋"/>
          <w:b w:val="0"/>
          <w:i w:val="0"/>
          <w:iCs w:val="0"/>
          <w:caps w:val="0"/>
          <w:color w:val="000000"/>
          <w:spacing w:val="0"/>
          <w:sz w:val="32"/>
          <w:szCs w:val="32"/>
          <w:shd w:val="clear" w:fill="FFFFFF"/>
          <w:lang w:eastAsia="zh-CN"/>
        </w:rPr>
        <w:t>在一定范围内进行公示、确保公开、公正、公平。</w:t>
      </w:r>
    </w:p>
    <w:p w14:paraId="7B98F66E">
      <w:pPr>
        <w:pageBreakBefore w:val="0"/>
        <w:kinsoku/>
        <w:wordWrap/>
        <w:overflowPunct/>
        <w:topLinePunct w:val="0"/>
        <w:autoSpaceDE/>
        <w:autoSpaceDN/>
        <w:bidi w:val="0"/>
        <w:snapToGrid w:val="0"/>
        <w:spacing w:line="560" w:lineRule="exact"/>
        <w:ind w:firstLine="627" w:firstLineChars="196"/>
        <w:jc w:val="left"/>
        <w:rPr>
          <w:rFonts w:ascii="Times New Roman" w:hAnsi="Times New Roman" w:eastAsia="仿宋_GB2312"/>
          <w:b w:val="0"/>
          <w:sz w:val="32"/>
          <w:szCs w:val="32"/>
        </w:rPr>
      </w:pPr>
      <w:r>
        <w:rPr>
          <w:rFonts w:hint="eastAsia" w:ascii="Times New Roman" w:hAnsi="Times New Roman" w:eastAsia="仿宋_GB2312"/>
          <w:b w:val="0"/>
          <w:sz w:val="32"/>
          <w:szCs w:val="32"/>
          <w:lang w:val="en-US" w:eastAsia="zh-CN"/>
        </w:rPr>
        <w:t>2、</w:t>
      </w:r>
      <w:r>
        <w:rPr>
          <w:rFonts w:ascii="Times New Roman" w:hAnsi="Times New Roman" w:eastAsia="仿宋_GB2312"/>
          <w:b w:val="0"/>
          <w:sz w:val="32"/>
          <w:szCs w:val="32"/>
        </w:rPr>
        <w:t>投入经济性</w:t>
      </w:r>
    </w:p>
    <w:p w14:paraId="51D32384">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仿宋_GB2312" w:eastAsia="仿宋_GB2312"/>
          <w:b w:val="0"/>
          <w:sz w:val="32"/>
          <w:u w:val="single"/>
        </w:rPr>
      </w:pPr>
      <w:r>
        <w:rPr>
          <w:rFonts w:hint="eastAsia" w:ascii="仿宋_GB2312" w:eastAsia="仿宋_GB2312"/>
          <w:b w:val="0"/>
          <w:sz w:val="32"/>
        </w:rPr>
        <w:t>该项目申报预算</w:t>
      </w:r>
      <w:r>
        <w:rPr>
          <w:rFonts w:hint="eastAsia" w:ascii="仿宋_GB2312" w:eastAsia="仿宋_GB2312"/>
          <w:b w:val="0"/>
          <w:sz w:val="32"/>
          <w:szCs w:val="32"/>
          <w:lang w:val="en-US" w:eastAsia="zh-CN"/>
        </w:rPr>
        <w:t>895.48</w:t>
      </w:r>
      <w:r>
        <w:rPr>
          <w:rFonts w:hint="eastAsia" w:ascii="仿宋_GB2312" w:eastAsia="仿宋_GB2312"/>
          <w:b w:val="0"/>
          <w:sz w:val="32"/>
        </w:rPr>
        <w:t>万元，年度申报金</w:t>
      </w:r>
      <w:r>
        <w:rPr>
          <w:rFonts w:hint="eastAsia" w:ascii="仿宋_GB2312" w:eastAsia="仿宋_GB2312"/>
          <w:b w:val="0"/>
          <w:sz w:val="32"/>
          <w:szCs w:val="32"/>
        </w:rPr>
        <w:t>额为</w:t>
      </w:r>
      <w:r>
        <w:rPr>
          <w:rFonts w:hint="eastAsia" w:ascii="仿宋_GB2312" w:eastAsia="仿宋_GB2312"/>
          <w:b w:val="0"/>
          <w:sz w:val="32"/>
          <w:szCs w:val="32"/>
          <w:lang w:val="en-US" w:eastAsia="zh-CN"/>
        </w:rPr>
        <w:t>895.48</w:t>
      </w:r>
      <w:r>
        <w:rPr>
          <w:rFonts w:hint="eastAsia" w:ascii="仿宋_GB2312" w:eastAsia="仿宋_GB2312"/>
          <w:b w:val="0"/>
          <w:sz w:val="32"/>
        </w:rPr>
        <w:t>万元，具体测算过程为</w:t>
      </w:r>
      <w:r>
        <w:rPr>
          <w:rFonts w:hint="eastAsia" w:ascii="仿宋_GB2312" w:eastAsia="仿宋_GB2312"/>
          <w:b w:val="0"/>
          <w:sz w:val="32"/>
          <w:lang w:eastAsia="zh-CN"/>
        </w:rPr>
        <w:t>：</w:t>
      </w:r>
      <w:r>
        <w:rPr>
          <w:rFonts w:hint="eastAsia" w:ascii="仿宋_GB2312" w:hAnsi="Times New Roman" w:eastAsia="仿宋_GB2312" w:cs="Times New Roman"/>
          <w:b w:val="0"/>
          <w:sz w:val="32"/>
          <w:lang w:eastAsia="zh-CN"/>
        </w:rPr>
        <w:t>（</w:t>
      </w:r>
      <w:r>
        <w:rPr>
          <w:rFonts w:hint="eastAsia" w:ascii="仿宋_GB2312" w:hAnsi="Times New Roman" w:eastAsia="仿宋_GB2312" w:cs="Times New Roman"/>
          <w:b w:val="0"/>
          <w:sz w:val="32"/>
          <w:lang w:val="en-US" w:eastAsia="zh-CN"/>
        </w:rPr>
        <w:t>截至2</w:t>
      </w:r>
      <w:r>
        <w:rPr>
          <w:rFonts w:hint="eastAsia" w:ascii="仿宋_GB2312" w:eastAsia="仿宋_GB2312" w:cs="Times New Roman"/>
          <w:b w:val="0"/>
          <w:sz w:val="32"/>
          <w:lang w:val="en-US" w:eastAsia="zh-CN"/>
        </w:rPr>
        <w:t>4</w:t>
      </w:r>
      <w:r>
        <w:rPr>
          <w:rFonts w:hint="eastAsia" w:ascii="仿宋_GB2312" w:hAnsi="Times New Roman" w:eastAsia="仿宋_GB2312" w:cs="Times New Roman"/>
          <w:b w:val="0"/>
          <w:sz w:val="32"/>
          <w:lang w:val="en-US" w:eastAsia="zh-CN"/>
        </w:rPr>
        <w:t>年10月，</w:t>
      </w:r>
      <w:r>
        <w:rPr>
          <w:rFonts w:hint="eastAsia" w:ascii="仿宋" w:hAnsi="仿宋" w:eastAsia="仿宋_GB2312" w:cs="仿宋"/>
          <w:b w:val="0"/>
          <w:bCs w:val="0"/>
          <w:color w:val="auto"/>
          <w:sz w:val="32"/>
          <w:szCs w:val="32"/>
          <w:lang w:eastAsia="zh-CN"/>
        </w:rPr>
        <w:t>（低保标准分为A:533元/月，B:483元/月，C:433元/月）农村低保生活补助标准分为A:533元/月*280人*12月=1790880元，B:483元/月*422人*12月=2445912元，C:433元/月*908人*12=4717968元；全年预计资金8954760元。按4:6的</w:t>
      </w:r>
      <w:r>
        <w:rPr>
          <w:rFonts w:hint="eastAsia" w:ascii="仿宋" w:hAnsi="仿宋" w:cs="仿宋"/>
          <w:b w:val="0"/>
          <w:bCs w:val="0"/>
          <w:color w:val="auto"/>
          <w:sz w:val="32"/>
          <w:szCs w:val="32"/>
          <w:lang w:eastAsia="zh-CN"/>
        </w:rPr>
        <w:t>比例</w:t>
      </w:r>
      <w:r>
        <w:rPr>
          <w:rFonts w:hint="eastAsia" w:ascii="仿宋" w:hAnsi="仿宋" w:eastAsia="仿宋_GB2312" w:cs="仿宋"/>
          <w:b w:val="0"/>
          <w:bCs w:val="0"/>
          <w:color w:val="auto"/>
          <w:sz w:val="32"/>
          <w:szCs w:val="32"/>
          <w:lang w:eastAsia="zh-CN"/>
        </w:rPr>
        <w:t>1、省州配套358.19万元。 2、县级配套537.29万元 。3.我单位按30%配套2686428元。</w:t>
      </w:r>
      <w:r>
        <w:rPr>
          <w:rFonts w:hint="eastAsia" w:ascii="仿宋_GB2312" w:hAnsi="Times New Roman" w:eastAsia="仿宋_GB2312" w:cs="Times New Roman"/>
          <w:b w:val="0"/>
          <w:sz w:val="32"/>
          <w:lang w:val="en-US" w:eastAsia="zh-CN"/>
        </w:rPr>
        <w:t>）</w:t>
      </w:r>
      <w:r>
        <w:rPr>
          <w:rFonts w:hint="eastAsia" w:ascii="仿宋_GB2312" w:eastAsia="仿宋_GB2312"/>
          <w:b w:val="0"/>
          <w:sz w:val="32"/>
        </w:rPr>
        <w:t>资金来源为</w:t>
      </w:r>
      <w:r>
        <w:rPr>
          <w:rFonts w:hint="eastAsia" w:ascii="仿宋_GB2312" w:eastAsia="仿宋_GB2312"/>
          <w:b w:val="0"/>
          <w:sz w:val="32"/>
          <w:lang w:eastAsia="zh-CN"/>
        </w:rPr>
        <w:t>上级</w:t>
      </w:r>
      <w:r>
        <w:rPr>
          <w:rFonts w:hint="eastAsia" w:ascii="仿宋_GB2312" w:eastAsia="仿宋_GB2312"/>
          <w:b w:val="0"/>
          <w:sz w:val="32"/>
          <w:lang w:val="en-US" w:eastAsia="zh-CN"/>
        </w:rPr>
        <w:t>和本级</w:t>
      </w:r>
      <w:r>
        <w:rPr>
          <w:rFonts w:hint="eastAsia" w:ascii="仿宋_GB2312" w:eastAsia="仿宋_GB2312"/>
          <w:b w:val="0"/>
          <w:sz w:val="32"/>
          <w:u w:val="single"/>
        </w:rPr>
        <w:t>财政资金</w:t>
      </w:r>
      <w:r>
        <w:rPr>
          <w:rFonts w:hint="eastAsia" w:ascii="仿宋_GB2312" w:eastAsia="仿宋_GB2312"/>
          <w:b w:val="0"/>
          <w:sz w:val="32"/>
          <w:lang w:eastAsia="zh-CN"/>
        </w:rPr>
        <w:t>。</w:t>
      </w:r>
      <w:r>
        <w:rPr>
          <w:rFonts w:hint="eastAsia" w:ascii="仿宋_GB2312" w:eastAsia="仿宋_GB2312"/>
          <w:b w:val="0"/>
          <w:sz w:val="32"/>
        </w:rPr>
        <w:t>本次对项目投入经济性的评估是在项目事前绩效评估、预算测算的基础上，按照厉行节约的要求，结合项目</w:t>
      </w:r>
      <w:r>
        <w:rPr>
          <w:rFonts w:hint="eastAsia" w:ascii="仿宋_GB2312" w:eastAsia="仿宋_GB2312"/>
          <w:b w:val="0"/>
          <w:sz w:val="32"/>
          <w:lang w:eastAsia="zh-CN"/>
        </w:rPr>
        <w:t>202</w:t>
      </w:r>
      <w:r>
        <w:rPr>
          <w:rFonts w:hint="eastAsia" w:ascii="仿宋_GB2312" w:eastAsia="仿宋_GB2312"/>
          <w:b w:val="0"/>
          <w:sz w:val="32"/>
          <w:lang w:val="en-US" w:eastAsia="zh-CN"/>
        </w:rPr>
        <w:t>5</w:t>
      </w:r>
      <w:r>
        <w:rPr>
          <w:rFonts w:hint="eastAsia" w:ascii="仿宋_GB2312" w:eastAsia="仿宋_GB2312"/>
          <w:b w:val="0"/>
          <w:sz w:val="32"/>
        </w:rPr>
        <w:t>年开支情况结合实际需求、相关费用标准及市场价格水平，重点对数量是否合理、投入是否经济、预算测算是否准确、测算过程是否详细、测算依据是否充分等方面进行了评估。评估认为，该项目任务数量</w:t>
      </w:r>
      <w:r>
        <w:rPr>
          <w:rFonts w:hint="eastAsia" w:ascii="仿宋_GB2312" w:eastAsia="仿宋_GB2312"/>
          <w:b w:val="0"/>
          <w:sz w:val="32"/>
          <w:u w:val="single"/>
        </w:rPr>
        <w:t>基本合理</w:t>
      </w:r>
      <w:r>
        <w:rPr>
          <w:rFonts w:hint="eastAsia" w:ascii="仿宋_GB2312" w:eastAsia="仿宋_GB2312"/>
          <w:b w:val="0"/>
          <w:sz w:val="32"/>
        </w:rPr>
        <w:t>、预算测算过程</w:t>
      </w:r>
      <w:r>
        <w:rPr>
          <w:rFonts w:hint="eastAsia" w:ascii="仿宋_GB2312" w:eastAsia="仿宋_GB2312"/>
          <w:b w:val="0"/>
          <w:sz w:val="32"/>
          <w:u w:val="single"/>
        </w:rPr>
        <w:t>较为详细</w:t>
      </w:r>
      <w:r>
        <w:rPr>
          <w:rFonts w:hint="eastAsia" w:ascii="仿宋_GB2312" w:eastAsia="仿宋_GB2312"/>
          <w:b w:val="0"/>
          <w:sz w:val="32"/>
        </w:rPr>
        <w:t>、测算依据</w:t>
      </w:r>
      <w:r>
        <w:rPr>
          <w:rFonts w:hint="eastAsia" w:ascii="仿宋_GB2312" w:eastAsia="仿宋_GB2312"/>
          <w:b w:val="0"/>
          <w:sz w:val="32"/>
          <w:u w:val="single"/>
        </w:rPr>
        <w:t>基本充分</w:t>
      </w:r>
      <w:r>
        <w:rPr>
          <w:rFonts w:hint="eastAsia" w:ascii="仿宋_GB2312" w:eastAsia="仿宋_GB2312"/>
          <w:b w:val="0"/>
          <w:sz w:val="32"/>
        </w:rPr>
        <w:t>、</w:t>
      </w:r>
      <w:r>
        <w:rPr>
          <w:rFonts w:hint="eastAsia" w:ascii="仿宋_GB2312" w:eastAsia="仿宋_GB2312"/>
          <w:b w:val="0"/>
          <w:sz w:val="32"/>
          <w:u w:val="single"/>
        </w:rPr>
        <w:t>有一定的</w:t>
      </w:r>
      <w:r>
        <w:rPr>
          <w:rFonts w:hint="eastAsia" w:ascii="仿宋_GB2312" w:eastAsia="仿宋_GB2312"/>
          <w:b w:val="0"/>
          <w:sz w:val="32"/>
        </w:rPr>
        <w:t>经济性。建议预算控制在</w:t>
      </w:r>
      <w:r>
        <w:rPr>
          <w:rFonts w:hint="eastAsia" w:ascii="仿宋_GB2312" w:eastAsia="仿宋_GB2312"/>
          <w:b w:val="0"/>
          <w:sz w:val="32"/>
          <w:szCs w:val="32"/>
          <w:lang w:val="en-US" w:eastAsia="zh-CN"/>
        </w:rPr>
        <w:t>895.48</w:t>
      </w:r>
      <w:r>
        <w:rPr>
          <w:rFonts w:hint="eastAsia" w:ascii="仿宋_GB2312" w:eastAsia="仿宋_GB2312"/>
          <w:b w:val="0"/>
          <w:sz w:val="32"/>
          <w:szCs w:val="32"/>
        </w:rPr>
        <w:t>万元以内，与申报数相比，评减</w:t>
      </w:r>
      <w:r>
        <w:rPr>
          <w:rFonts w:hint="eastAsia" w:ascii="仿宋_GB2312" w:eastAsia="仿宋_GB2312"/>
          <w:b w:val="0"/>
          <w:sz w:val="32"/>
          <w:szCs w:val="32"/>
          <w:u w:val="single"/>
          <w:lang w:val="en-US" w:eastAsia="zh-CN"/>
        </w:rPr>
        <w:t>0</w:t>
      </w:r>
      <w:r>
        <w:rPr>
          <w:rFonts w:hint="eastAsia" w:ascii="仿宋_GB2312" w:eastAsia="仿宋_GB2312"/>
          <w:b w:val="0"/>
          <w:sz w:val="32"/>
          <w:szCs w:val="32"/>
        </w:rPr>
        <w:t>万元，评减率</w:t>
      </w:r>
      <w:r>
        <w:rPr>
          <w:rFonts w:hint="eastAsia" w:ascii="仿宋_GB2312" w:eastAsia="仿宋_GB2312"/>
          <w:b w:val="0"/>
          <w:sz w:val="32"/>
          <w:szCs w:val="32"/>
          <w:u w:val="single"/>
          <w:lang w:val="en-US" w:eastAsia="zh-CN"/>
        </w:rPr>
        <w:t>0</w:t>
      </w:r>
      <w:r>
        <w:rPr>
          <w:rFonts w:hint="eastAsia" w:ascii="仿宋_GB2312" w:eastAsia="仿宋_GB2312"/>
          <w:b w:val="0"/>
          <w:sz w:val="32"/>
          <w:szCs w:val="32"/>
        </w:rPr>
        <w:t>％（详</w:t>
      </w:r>
      <w:r>
        <w:rPr>
          <w:rFonts w:hint="eastAsia" w:ascii="仿宋_GB2312" w:eastAsia="仿宋_GB2312"/>
          <w:b w:val="0"/>
          <w:sz w:val="32"/>
        </w:rPr>
        <w:t>见下表）。</w:t>
      </w:r>
    </w:p>
    <w:p w14:paraId="548139CE">
      <w:pPr>
        <w:pStyle w:val="10"/>
        <w:pageBreakBefore w:val="0"/>
        <w:kinsoku/>
        <w:wordWrap/>
        <w:overflowPunct/>
        <w:topLinePunct w:val="0"/>
        <w:autoSpaceDE/>
        <w:autoSpaceDN/>
        <w:bidi w:val="0"/>
        <w:spacing w:line="560" w:lineRule="exact"/>
        <w:ind w:left="0" w:firstLine="640" w:firstLineChars="200"/>
        <w:jc w:val="center"/>
        <w:rPr>
          <w:rFonts w:hint="eastAsia" w:ascii="仿宋_GB2312" w:eastAsia="仿宋_GB2312"/>
          <w:b w:val="0"/>
          <w:sz w:val="32"/>
        </w:rPr>
      </w:pPr>
      <w:r>
        <w:rPr>
          <w:rFonts w:hint="eastAsia" w:ascii="仿宋_GB2312" w:eastAsia="仿宋_GB2312"/>
          <w:b w:val="0"/>
          <w:sz w:val="32"/>
          <w:u w:val="none"/>
          <w:lang w:eastAsia="zh-CN"/>
        </w:rPr>
        <w:t>农村低保</w:t>
      </w:r>
      <w:r>
        <w:rPr>
          <w:rFonts w:hint="eastAsia" w:ascii="仿宋_GB2312" w:eastAsia="仿宋_GB2312"/>
          <w:b w:val="0"/>
          <w:sz w:val="32"/>
          <w:u w:val="none"/>
        </w:rPr>
        <w:t>项目事前绩效评估汇总表</w:t>
      </w:r>
      <w:r>
        <w:rPr>
          <w:rFonts w:hint="eastAsia" w:ascii="仿宋_GB2312" w:eastAsia="仿宋_GB2312"/>
          <w:b w:val="0"/>
          <w:sz w:val="32"/>
          <w:u w:val="none"/>
          <w:lang w:val="en-US" w:eastAsia="zh-CN"/>
        </w:rPr>
        <w:t xml:space="preserve">  单位：万元</w:t>
      </w:r>
    </w:p>
    <w:tbl>
      <w:tblPr>
        <w:tblStyle w:val="8"/>
        <w:tblW w:w="8220" w:type="dxa"/>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206"/>
        <w:gridCol w:w="1225"/>
        <w:gridCol w:w="1112"/>
        <w:gridCol w:w="1338"/>
        <w:gridCol w:w="1144"/>
        <w:gridCol w:w="1397"/>
      </w:tblGrid>
      <w:tr w14:paraId="35D52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798" w:type="dxa"/>
            <w:tcBorders>
              <w:bottom w:val="single" w:color="auto" w:sz="4" w:space="0"/>
              <w:right w:val="single" w:color="auto" w:sz="4" w:space="0"/>
            </w:tcBorders>
            <w:vAlign w:val="top"/>
          </w:tcPr>
          <w:p w14:paraId="61619E7B">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序号</w:t>
            </w:r>
          </w:p>
        </w:tc>
        <w:tc>
          <w:tcPr>
            <w:tcW w:w="1206" w:type="dxa"/>
            <w:tcBorders>
              <w:left w:val="single" w:color="auto" w:sz="4" w:space="0"/>
              <w:bottom w:val="single" w:color="auto" w:sz="4" w:space="0"/>
              <w:right w:val="single" w:color="auto" w:sz="4" w:space="0"/>
            </w:tcBorders>
            <w:vAlign w:val="top"/>
          </w:tcPr>
          <w:p w14:paraId="4C83E1DA">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项目内容</w:t>
            </w:r>
          </w:p>
        </w:tc>
        <w:tc>
          <w:tcPr>
            <w:tcW w:w="1225" w:type="dxa"/>
            <w:tcBorders>
              <w:left w:val="single" w:color="auto" w:sz="4" w:space="0"/>
              <w:bottom w:val="single" w:color="auto" w:sz="4" w:space="0"/>
              <w:right w:val="single" w:color="auto" w:sz="4" w:space="0"/>
            </w:tcBorders>
            <w:vAlign w:val="top"/>
          </w:tcPr>
          <w:p w14:paraId="34CB10D3">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申报预算</w:t>
            </w:r>
          </w:p>
        </w:tc>
        <w:tc>
          <w:tcPr>
            <w:tcW w:w="1112" w:type="dxa"/>
            <w:tcBorders>
              <w:left w:val="single" w:color="auto" w:sz="4" w:space="0"/>
              <w:bottom w:val="single" w:color="auto" w:sz="4" w:space="0"/>
              <w:right w:val="single" w:color="auto" w:sz="4" w:space="0"/>
            </w:tcBorders>
            <w:vAlign w:val="top"/>
          </w:tcPr>
          <w:p w14:paraId="33B34A29">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送审金额</w:t>
            </w:r>
          </w:p>
        </w:tc>
        <w:tc>
          <w:tcPr>
            <w:tcW w:w="1338" w:type="dxa"/>
            <w:tcBorders>
              <w:left w:val="single" w:color="auto" w:sz="4" w:space="0"/>
              <w:bottom w:val="single" w:color="auto" w:sz="4" w:space="0"/>
              <w:right w:val="single" w:color="auto" w:sz="4" w:space="0"/>
            </w:tcBorders>
            <w:vAlign w:val="top"/>
          </w:tcPr>
          <w:p w14:paraId="5758B52C">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建议控制数</w:t>
            </w:r>
          </w:p>
        </w:tc>
        <w:tc>
          <w:tcPr>
            <w:tcW w:w="1144" w:type="dxa"/>
            <w:tcBorders>
              <w:left w:val="single" w:color="auto" w:sz="4" w:space="0"/>
              <w:bottom w:val="single" w:color="auto" w:sz="4" w:space="0"/>
              <w:right w:val="single" w:color="auto" w:sz="4" w:space="0"/>
            </w:tcBorders>
            <w:vAlign w:val="top"/>
          </w:tcPr>
          <w:p w14:paraId="23C5DA85">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left="0" w:leftChars="0" w:firstLine="0" w:firstLineChars="0"/>
              <w:rPr>
                <w:rFonts w:hint="eastAsia" w:ascii="仿宋_GB2312" w:eastAsia="仿宋_GB2312"/>
                <w:b w:val="0"/>
                <w:sz w:val="32"/>
                <w:szCs w:val="21"/>
              </w:rPr>
            </w:pPr>
            <w:r>
              <w:rPr>
                <w:rFonts w:hint="eastAsia" w:ascii="仿宋_GB2312" w:eastAsia="仿宋_GB2312"/>
                <w:b w:val="0"/>
                <w:sz w:val="32"/>
                <w:szCs w:val="21"/>
              </w:rPr>
              <w:t>核减</w:t>
            </w:r>
            <w:r>
              <w:rPr>
                <w:rFonts w:hint="eastAsia" w:ascii="仿宋_GB2312" w:eastAsia="仿宋_GB2312"/>
                <w:b w:val="0"/>
                <w:sz w:val="32"/>
                <w:szCs w:val="21"/>
                <w:lang w:eastAsia="zh-CN"/>
              </w:rPr>
              <w:t>金额</w:t>
            </w:r>
          </w:p>
        </w:tc>
        <w:tc>
          <w:tcPr>
            <w:tcW w:w="1397" w:type="dxa"/>
            <w:vMerge w:val="restart"/>
            <w:tcBorders>
              <w:left w:val="single" w:color="auto" w:sz="4" w:space="0"/>
              <w:bottom w:val="single" w:color="auto" w:sz="4" w:space="0"/>
            </w:tcBorders>
            <w:vAlign w:val="top"/>
          </w:tcPr>
          <w:p w14:paraId="5882A247">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p w14:paraId="53C2375E">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备注</w:t>
            </w:r>
          </w:p>
        </w:tc>
      </w:tr>
      <w:tr w14:paraId="3C2F5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98" w:type="dxa"/>
            <w:tcBorders>
              <w:top w:val="single" w:color="auto" w:sz="4" w:space="0"/>
              <w:bottom w:val="single" w:color="auto" w:sz="4" w:space="0"/>
              <w:right w:val="single" w:color="auto" w:sz="4" w:space="0"/>
            </w:tcBorders>
            <w:vAlign w:val="top"/>
          </w:tcPr>
          <w:p w14:paraId="76988650">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lang w:val="en-US" w:eastAsia="zh-CN"/>
              </w:rPr>
            </w:pPr>
            <w:r>
              <w:rPr>
                <w:rFonts w:hint="eastAsia" w:ascii="仿宋_GB2312" w:eastAsia="仿宋_GB2312"/>
                <w:b w:val="0"/>
                <w:sz w:val="32"/>
                <w:szCs w:val="21"/>
                <w:lang w:val="en-US" w:eastAsia="zh-CN"/>
              </w:rPr>
              <w:t>1</w:t>
            </w:r>
          </w:p>
        </w:tc>
        <w:tc>
          <w:tcPr>
            <w:tcW w:w="1206" w:type="dxa"/>
            <w:tcBorders>
              <w:top w:val="single" w:color="auto" w:sz="4" w:space="0"/>
              <w:left w:val="single" w:color="auto" w:sz="4" w:space="0"/>
              <w:bottom w:val="single" w:color="auto" w:sz="4" w:space="0"/>
              <w:right w:val="single" w:color="auto" w:sz="4" w:space="0"/>
            </w:tcBorders>
            <w:vAlign w:val="top"/>
          </w:tcPr>
          <w:p w14:paraId="13863415">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eastAsia="仿宋_GB2312"/>
                <w:b w:val="0"/>
                <w:sz w:val="32"/>
                <w:szCs w:val="21"/>
                <w:lang w:val="en-US" w:eastAsia="zh-CN"/>
              </w:rPr>
              <w:t>895.48</w:t>
            </w:r>
          </w:p>
        </w:tc>
        <w:tc>
          <w:tcPr>
            <w:tcW w:w="1225" w:type="dxa"/>
            <w:tcBorders>
              <w:top w:val="single" w:color="auto" w:sz="4" w:space="0"/>
              <w:left w:val="single" w:color="auto" w:sz="4" w:space="0"/>
              <w:bottom w:val="single" w:color="auto" w:sz="4" w:space="0"/>
              <w:right w:val="single" w:color="auto" w:sz="4" w:space="0"/>
            </w:tcBorders>
            <w:vAlign w:val="top"/>
          </w:tcPr>
          <w:p w14:paraId="298DB0DB">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eastAsia="仿宋_GB2312"/>
                <w:b w:val="0"/>
                <w:sz w:val="32"/>
                <w:szCs w:val="21"/>
                <w:lang w:val="en-US" w:eastAsia="zh-CN"/>
              </w:rPr>
              <w:t>895.48</w:t>
            </w:r>
          </w:p>
        </w:tc>
        <w:tc>
          <w:tcPr>
            <w:tcW w:w="1112" w:type="dxa"/>
            <w:tcBorders>
              <w:top w:val="single" w:color="auto" w:sz="4" w:space="0"/>
              <w:left w:val="single" w:color="auto" w:sz="4" w:space="0"/>
              <w:bottom w:val="single" w:color="auto" w:sz="4" w:space="0"/>
              <w:right w:val="single" w:color="auto" w:sz="4" w:space="0"/>
            </w:tcBorders>
            <w:vAlign w:val="top"/>
          </w:tcPr>
          <w:p w14:paraId="72C554AB">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eastAsia="仿宋_GB2312"/>
                <w:b w:val="0"/>
                <w:sz w:val="32"/>
                <w:szCs w:val="21"/>
                <w:lang w:val="en-US" w:eastAsia="zh-CN"/>
              </w:rPr>
              <w:t>895.48</w:t>
            </w:r>
          </w:p>
        </w:tc>
        <w:tc>
          <w:tcPr>
            <w:tcW w:w="1338" w:type="dxa"/>
            <w:tcBorders>
              <w:top w:val="single" w:color="auto" w:sz="4" w:space="0"/>
              <w:left w:val="single" w:color="auto" w:sz="4" w:space="0"/>
              <w:bottom w:val="single" w:color="auto" w:sz="4" w:space="0"/>
              <w:right w:val="single" w:color="auto" w:sz="4" w:space="0"/>
            </w:tcBorders>
            <w:vAlign w:val="top"/>
          </w:tcPr>
          <w:p w14:paraId="2A96332E">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144" w:type="dxa"/>
            <w:tcBorders>
              <w:top w:val="single" w:color="auto" w:sz="4" w:space="0"/>
              <w:left w:val="single" w:color="auto" w:sz="4" w:space="0"/>
              <w:bottom w:val="single" w:color="auto" w:sz="4" w:space="0"/>
              <w:right w:val="single" w:color="auto" w:sz="4" w:space="0"/>
            </w:tcBorders>
            <w:vAlign w:val="top"/>
          </w:tcPr>
          <w:p w14:paraId="18F4B676">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397" w:type="dxa"/>
            <w:vMerge w:val="continue"/>
            <w:tcBorders>
              <w:left w:val="single" w:color="auto" w:sz="4" w:space="0"/>
            </w:tcBorders>
            <w:vAlign w:val="top"/>
          </w:tcPr>
          <w:p w14:paraId="54F219D1">
            <w:pPr>
              <w:pageBreakBefore w:val="0"/>
              <w:kinsoku/>
              <w:wordWrap/>
              <w:overflowPunct/>
              <w:topLinePunct w:val="0"/>
              <w:autoSpaceDE/>
              <w:autoSpaceDN/>
              <w:bidi w:val="0"/>
              <w:spacing w:line="560" w:lineRule="exact"/>
              <w:rPr>
                <w:rFonts w:eastAsia="仿宋_GB2312"/>
                <w:b w:val="0"/>
                <w:sz w:val="32"/>
              </w:rPr>
            </w:pPr>
          </w:p>
        </w:tc>
      </w:tr>
      <w:tr w14:paraId="1ADD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98" w:type="dxa"/>
            <w:tcBorders>
              <w:top w:val="single" w:color="auto" w:sz="4" w:space="0"/>
              <w:bottom w:val="single" w:color="auto" w:sz="4" w:space="0"/>
              <w:right w:val="single" w:color="auto" w:sz="4" w:space="0"/>
            </w:tcBorders>
            <w:vAlign w:val="top"/>
          </w:tcPr>
          <w:p w14:paraId="4437B809">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206" w:type="dxa"/>
            <w:tcBorders>
              <w:top w:val="single" w:color="auto" w:sz="4" w:space="0"/>
              <w:left w:val="single" w:color="auto" w:sz="4" w:space="0"/>
              <w:bottom w:val="single" w:color="auto" w:sz="4" w:space="0"/>
              <w:right w:val="single" w:color="auto" w:sz="4" w:space="0"/>
            </w:tcBorders>
            <w:vAlign w:val="top"/>
          </w:tcPr>
          <w:p w14:paraId="752B343C">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225" w:type="dxa"/>
            <w:tcBorders>
              <w:top w:val="single" w:color="auto" w:sz="4" w:space="0"/>
              <w:left w:val="single" w:color="auto" w:sz="4" w:space="0"/>
              <w:bottom w:val="single" w:color="auto" w:sz="4" w:space="0"/>
              <w:right w:val="single" w:color="auto" w:sz="4" w:space="0"/>
            </w:tcBorders>
            <w:vAlign w:val="top"/>
          </w:tcPr>
          <w:p w14:paraId="6D835E6F">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112" w:type="dxa"/>
            <w:tcBorders>
              <w:top w:val="single" w:color="auto" w:sz="4" w:space="0"/>
              <w:left w:val="single" w:color="auto" w:sz="4" w:space="0"/>
              <w:bottom w:val="single" w:color="auto" w:sz="4" w:space="0"/>
              <w:right w:val="single" w:color="auto" w:sz="4" w:space="0"/>
            </w:tcBorders>
            <w:vAlign w:val="top"/>
          </w:tcPr>
          <w:p w14:paraId="21D03C48">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338" w:type="dxa"/>
            <w:tcBorders>
              <w:top w:val="single" w:color="auto" w:sz="4" w:space="0"/>
              <w:left w:val="single" w:color="auto" w:sz="4" w:space="0"/>
              <w:bottom w:val="single" w:color="auto" w:sz="4" w:space="0"/>
              <w:right w:val="single" w:color="auto" w:sz="4" w:space="0"/>
            </w:tcBorders>
            <w:vAlign w:val="top"/>
          </w:tcPr>
          <w:p w14:paraId="74915A04">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144" w:type="dxa"/>
            <w:tcBorders>
              <w:top w:val="single" w:color="auto" w:sz="4" w:space="0"/>
              <w:left w:val="single" w:color="auto" w:sz="4" w:space="0"/>
              <w:bottom w:val="single" w:color="auto" w:sz="4" w:space="0"/>
              <w:right w:val="single" w:color="auto" w:sz="4" w:space="0"/>
            </w:tcBorders>
            <w:vAlign w:val="top"/>
          </w:tcPr>
          <w:p w14:paraId="259C2EEF">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397" w:type="dxa"/>
            <w:tcBorders>
              <w:left w:val="single" w:color="auto" w:sz="4" w:space="0"/>
              <w:bottom w:val="single" w:color="auto" w:sz="4" w:space="0"/>
            </w:tcBorders>
            <w:vAlign w:val="top"/>
          </w:tcPr>
          <w:p w14:paraId="2ECC65B8">
            <w:pPr>
              <w:pageBreakBefore w:val="0"/>
              <w:kinsoku/>
              <w:wordWrap/>
              <w:overflowPunct/>
              <w:topLinePunct w:val="0"/>
              <w:autoSpaceDE/>
              <w:autoSpaceDN/>
              <w:bidi w:val="0"/>
              <w:spacing w:line="560" w:lineRule="exact"/>
              <w:rPr>
                <w:rFonts w:eastAsia="仿宋_GB2312"/>
                <w:b w:val="0"/>
                <w:sz w:val="32"/>
              </w:rPr>
            </w:pPr>
          </w:p>
        </w:tc>
      </w:tr>
    </w:tbl>
    <w:p w14:paraId="2F8E3473">
      <w:pPr>
        <w:pageBreakBefore w:val="0"/>
        <w:kinsoku/>
        <w:wordWrap/>
        <w:overflowPunct/>
        <w:topLinePunct w:val="0"/>
        <w:autoSpaceDE/>
        <w:autoSpaceDN/>
        <w:bidi w:val="0"/>
        <w:snapToGrid w:val="0"/>
        <w:spacing w:line="560" w:lineRule="exact"/>
        <w:ind w:firstLine="640" w:firstLineChars="200"/>
        <w:rPr>
          <w:rFonts w:ascii="Times New Roman" w:hAnsi="Times New Roman" w:eastAsia="仿宋_GB2312"/>
          <w:b w:val="0"/>
          <w:sz w:val="32"/>
          <w:szCs w:val="32"/>
        </w:rPr>
      </w:pPr>
      <w:r>
        <w:rPr>
          <w:rFonts w:hint="eastAsia" w:ascii="Times New Roman" w:hAnsi="Times New Roman" w:eastAsia="仿宋_GB2312"/>
          <w:b w:val="0"/>
          <w:sz w:val="32"/>
          <w:szCs w:val="32"/>
          <w:lang w:val="en-US" w:eastAsia="zh-CN"/>
        </w:rPr>
        <w:t>3、</w:t>
      </w:r>
      <w:r>
        <w:rPr>
          <w:rFonts w:ascii="Times New Roman" w:hAnsi="Times New Roman" w:eastAsia="仿宋_GB2312"/>
          <w:b w:val="0"/>
          <w:sz w:val="32"/>
          <w:szCs w:val="32"/>
        </w:rPr>
        <w:t>目标合理性</w:t>
      </w:r>
    </w:p>
    <w:p w14:paraId="0FDA8B2A">
      <w:pPr>
        <w:pageBreakBefore w:val="0"/>
        <w:kinsoku/>
        <w:wordWrap/>
        <w:overflowPunct/>
        <w:topLinePunct w:val="0"/>
        <w:autoSpaceDE/>
        <w:autoSpaceDN/>
        <w:bidi w:val="0"/>
        <w:snapToGrid w:val="0"/>
        <w:spacing w:line="560" w:lineRule="exact"/>
        <w:ind w:firstLine="640" w:firstLineChars="200"/>
        <w:rPr>
          <w:rFonts w:hint="eastAsia" w:ascii="仿宋_GB2312" w:hAnsi="宋体" w:eastAsia="仿宋_GB2312"/>
          <w:b w:val="0"/>
          <w:sz w:val="32"/>
          <w:szCs w:val="32"/>
        </w:rPr>
      </w:pPr>
      <w:r>
        <w:rPr>
          <w:rFonts w:hint="eastAsia" w:ascii="仿宋_GB2312" w:hAnsi="宋体" w:eastAsia="仿宋_GB2312"/>
          <w:b w:val="0"/>
          <w:sz w:val="32"/>
          <w:szCs w:val="30"/>
        </w:rPr>
        <w:t>该项目设定的绩效目标与本部门202</w:t>
      </w:r>
      <w:r>
        <w:rPr>
          <w:rFonts w:hint="eastAsia" w:ascii="仿宋_GB2312" w:hAnsi="宋体" w:eastAsia="仿宋_GB2312"/>
          <w:b w:val="0"/>
          <w:sz w:val="32"/>
          <w:szCs w:val="30"/>
          <w:lang w:val="en-US" w:eastAsia="zh-CN"/>
        </w:rPr>
        <w:t>5</w:t>
      </w:r>
      <w:r>
        <w:rPr>
          <w:rFonts w:hint="eastAsia" w:ascii="仿宋_GB2312" w:hAnsi="宋体" w:eastAsia="仿宋_GB2312"/>
          <w:b w:val="0"/>
          <w:sz w:val="32"/>
          <w:szCs w:val="30"/>
        </w:rPr>
        <w:t>年度工作目标一致，绩效目标一级指标大致</w:t>
      </w:r>
      <w:r>
        <w:rPr>
          <w:rFonts w:hint="eastAsia" w:ascii="仿宋_GB2312" w:hAnsi="宋体" w:eastAsia="仿宋_GB2312"/>
          <w:b w:val="0"/>
          <w:sz w:val="32"/>
          <w:szCs w:val="32"/>
        </w:rPr>
        <w:t>分为</w:t>
      </w:r>
      <w:r>
        <w:rPr>
          <w:rFonts w:hint="eastAsia" w:ascii="仿宋_GB2312" w:hAnsi="宋体" w:eastAsia="仿宋_GB2312"/>
          <w:b w:val="0"/>
          <w:sz w:val="32"/>
          <w:szCs w:val="32"/>
          <w:lang w:val="en-US" w:eastAsia="zh-CN"/>
        </w:rPr>
        <w:t>四</w:t>
      </w:r>
      <w:r>
        <w:rPr>
          <w:rFonts w:hint="eastAsia" w:ascii="仿宋_GB2312" w:hAnsi="宋体" w:eastAsia="仿宋_GB2312"/>
          <w:b w:val="0"/>
          <w:sz w:val="32"/>
          <w:szCs w:val="32"/>
        </w:rPr>
        <w:t>部分：产出指标、效益指标、满意度指标</w:t>
      </w:r>
      <w:r>
        <w:rPr>
          <w:rFonts w:hint="eastAsia" w:ascii="仿宋_GB2312" w:hAnsi="宋体" w:eastAsia="仿宋_GB2312"/>
          <w:b w:val="0"/>
          <w:sz w:val="32"/>
          <w:szCs w:val="32"/>
          <w:lang w:eastAsia="zh-CN"/>
        </w:rPr>
        <w:t>、</w:t>
      </w:r>
      <w:r>
        <w:rPr>
          <w:rFonts w:hint="eastAsia" w:ascii="仿宋_GB2312" w:hAnsi="宋体" w:eastAsia="仿宋_GB2312"/>
          <w:b w:val="0"/>
          <w:sz w:val="32"/>
          <w:szCs w:val="32"/>
          <w:lang w:val="en-US" w:eastAsia="zh-CN"/>
        </w:rPr>
        <w:t>成本指标</w:t>
      </w:r>
      <w:r>
        <w:rPr>
          <w:rFonts w:hint="eastAsia" w:ascii="仿宋_GB2312" w:hAnsi="宋体" w:eastAsia="仿宋_GB2312"/>
          <w:b w:val="0"/>
          <w:sz w:val="32"/>
          <w:szCs w:val="32"/>
        </w:rPr>
        <w:t>。</w:t>
      </w:r>
    </w:p>
    <w:p w14:paraId="57407591">
      <w:pPr>
        <w:pageBreakBefore w:val="0"/>
        <w:tabs>
          <w:tab w:val="center" w:pos="4153"/>
          <w:tab w:val="right" w:pos="8306"/>
        </w:tabs>
        <w:kinsoku/>
        <w:wordWrap/>
        <w:overflowPunct/>
        <w:topLinePunct w:val="0"/>
        <w:autoSpaceDE/>
        <w:autoSpaceDN/>
        <w:bidi w:val="0"/>
        <w:spacing w:line="560" w:lineRule="exact"/>
        <w:rPr>
          <w:rFonts w:hint="eastAsia" w:ascii="宋体" w:eastAsia="仿宋_GB2312"/>
          <w:b w:val="0"/>
          <w:kern w:val="2"/>
          <w:sz w:val="32"/>
          <w:szCs w:val="21"/>
          <w:lang w:val="en-US" w:eastAsia="zh-CN"/>
        </w:rPr>
      </w:pPr>
      <w:r>
        <w:rPr>
          <w:rFonts w:hint="eastAsia" w:ascii="Times New Roman" w:hAnsi="Times New Roman" w:eastAsia="仿宋_GB2312"/>
          <w:b w:val="0"/>
          <w:kern w:val="2"/>
          <w:sz w:val="32"/>
          <w:szCs w:val="21"/>
          <w:lang w:val="en-US" w:eastAsia="zh-CN"/>
        </w:rPr>
        <w:t>农村低保</w:t>
      </w:r>
      <w:r>
        <w:rPr>
          <w:rFonts w:hint="eastAsia" w:ascii="宋体" w:eastAsia="仿宋_GB2312"/>
          <w:b w:val="0"/>
          <w:kern w:val="2"/>
          <w:sz w:val="32"/>
          <w:szCs w:val="21"/>
        </w:rPr>
        <w:t>项目绩效目标表</w:t>
      </w:r>
      <w:r>
        <w:rPr>
          <w:rFonts w:hint="eastAsia" w:ascii="宋体" w:eastAsia="仿宋_GB2312"/>
          <w:b w:val="0"/>
          <w:kern w:val="2"/>
          <w:sz w:val="32"/>
          <w:szCs w:val="21"/>
          <w:lang w:val="en-US" w:eastAsia="zh-CN"/>
        </w:rPr>
        <w:t xml:space="preserve"> </w:t>
      </w:r>
    </w:p>
    <w:tbl>
      <w:tblPr>
        <w:tblStyle w:val="8"/>
        <w:tblW w:w="78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6"/>
        <w:gridCol w:w="1836"/>
        <w:gridCol w:w="2196"/>
        <w:gridCol w:w="576"/>
        <w:gridCol w:w="540"/>
        <w:gridCol w:w="899"/>
        <w:gridCol w:w="666"/>
      </w:tblGrid>
      <w:tr w14:paraId="676D9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5DB6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一级指标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B518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二级指标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801B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三级指标</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2385F">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指标性质</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58C9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指标值</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6365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度量单位</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E8B1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权重（%）</w:t>
            </w:r>
          </w:p>
        </w:tc>
      </w:tr>
      <w:tr w14:paraId="4E76D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B834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965E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E4C9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农村低保A人数</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7E30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142D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280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82AD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6AED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32B0F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5AD9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6BEE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560A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农村低保B人数</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54E6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8BDE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422</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9794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2544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75F17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4BE9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51B16">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时效指标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F87D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资金拨付及时率</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980A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F295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26FD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4CAC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3BEDC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B574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BCC2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质量指标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FD65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补助资金按月发放准确率</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58D4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726F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B7B5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7C93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7FEE0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AC56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C8656">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72A9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农村低保C人数</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9F87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F590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908</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21B5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C7CA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5E331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0B0C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7A14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社会效益指标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B58AA">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农村低保幸福指数</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DCE1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定性</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EB41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高</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09DFA">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8DBB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03910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81F0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0B20A">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可持续发展指标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FB0E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基本生活保障制度</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A4A8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C583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8788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37E1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30F75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A06B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86D3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经济效益指标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37F5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农村低保生活水平</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36A5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定性</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AF97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高</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3F579">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59D4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16376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EB25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A10D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帮扶对象满意度指标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A6A1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工作满意度</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CA4A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0F8C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D1D4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4E31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w:t>
            </w:r>
          </w:p>
        </w:tc>
      </w:tr>
      <w:tr w14:paraId="22562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631E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8D4D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服务对象满意度指标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1B8F7">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政策知晓率</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D0D0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843F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5353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45C4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5AD0D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12D7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29217">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66F3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受助农村低保满意度</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6024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9215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3CD0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A90D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3</w:t>
            </w:r>
          </w:p>
        </w:tc>
      </w:tr>
      <w:tr w14:paraId="799D3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CD63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7A86F">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经济成本指标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3F5A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农村低保B标准</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25EB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FA83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483</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945D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元/人*月</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CD1D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43E89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A6D4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8F334">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经济成本指标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75144">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农村低保A标准</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CEB6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3732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533</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FBE9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元/人*月</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6D43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7B672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BC2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83A3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经济成本指标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B9AAF">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农村低保C标准</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E724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766D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433</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A7D9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元/人*月</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9ED2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bl>
    <w:p w14:paraId="367DE210">
      <w:pPr>
        <w:pageBreakBefore w:val="0"/>
        <w:tabs>
          <w:tab w:val="center" w:pos="4153"/>
          <w:tab w:val="right" w:pos="8306"/>
        </w:tabs>
        <w:kinsoku/>
        <w:wordWrap/>
        <w:overflowPunct/>
        <w:topLinePunct w:val="0"/>
        <w:autoSpaceDE/>
        <w:autoSpaceDN/>
        <w:bidi w:val="0"/>
        <w:spacing w:line="560" w:lineRule="exact"/>
        <w:rPr>
          <w:rFonts w:hint="eastAsia" w:ascii="宋体" w:eastAsia="仿宋_GB2312"/>
          <w:b w:val="0"/>
          <w:kern w:val="2"/>
          <w:sz w:val="32"/>
          <w:szCs w:val="21"/>
          <w:lang w:val="en-US" w:eastAsia="zh-CN"/>
        </w:rPr>
      </w:pPr>
    </w:p>
    <w:p w14:paraId="02C40150">
      <w:pPr>
        <w:pageBreakBefore w:val="0"/>
        <w:kinsoku/>
        <w:wordWrap/>
        <w:overflowPunct/>
        <w:topLinePunct w:val="0"/>
        <w:autoSpaceDE/>
        <w:autoSpaceDN/>
        <w:bidi w:val="0"/>
        <w:snapToGrid w:val="0"/>
        <w:spacing w:line="560" w:lineRule="exact"/>
        <w:ind w:firstLine="640" w:firstLineChars="200"/>
        <w:rPr>
          <w:rFonts w:ascii="仿宋_GB2312" w:eastAsia="仿宋_GB2312"/>
          <w:b w:val="0"/>
          <w:bCs/>
          <w:sz w:val="32"/>
          <w:szCs w:val="32"/>
        </w:rPr>
      </w:pPr>
      <w:r>
        <w:rPr>
          <w:rFonts w:hint="eastAsia" w:ascii="楷体_GB2312" w:eastAsia="仿宋_GB2312"/>
          <w:b w:val="0"/>
          <w:sz w:val="32"/>
          <w:lang w:val="en-US" w:eastAsia="zh-CN"/>
        </w:rPr>
        <w:t>4、</w:t>
      </w:r>
      <w:r>
        <w:rPr>
          <w:rFonts w:hint="eastAsia" w:ascii="楷体_GB2312" w:eastAsia="仿宋_GB2312"/>
          <w:b w:val="0"/>
          <w:sz w:val="32"/>
        </w:rPr>
        <w:t>实施可行性</w:t>
      </w:r>
    </w:p>
    <w:p w14:paraId="4B9A6B03">
      <w:pPr>
        <w:pageBreakBefore w:val="0"/>
        <w:kinsoku/>
        <w:wordWrap/>
        <w:overflowPunct/>
        <w:topLinePunct w:val="0"/>
        <w:autoSpaceDE/>
        <w:autoSpaceDN/>
        <w:bidi w:val="0"/>
        <w:snapToGrid w:val="0"/>
        <w:spacing w:line="560" w:lineRule="exact"/>
        <w:ind w:firstLine="640" w:firstLineChars="200"/>
        <w:rPr>
          <w:rFonts w:hint="default"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eastAsia="zh-CN"/>
        </w:rPr>
        <w:t>项目技术路径可行，工作内容、方法、进度安排合理，保障措施相对完备，组织机构健全，职责分工基本合理，于每月支付，进一步明确项目路线，细化工作内容，完善技术手段。</w:t>
      </w:r>
    </w:p>
    <w:p w14:paraId="5373F186">
      <w:pPr>
        <w:pageBreakBefore w:val="0"/>
        <w:kinsoku/>
        <w:wordWrap/>
        <w:overflowPunct/>
        <w:topLinePunct w:val="0"/>
        <w:autoSpaceDE/>
        <w:autoSpaceDN/>
        <w:bidi w:val="0"/>
        <w:snapToGrid w:val="0"/>
        <w:spacing w:line="560" w:lineRule="exact"/>
        <w:ind w:firstLine="640" w:firstLineChars="200"/>
        <w:rPr>
          <w:rFonts w:ascii="楷体_GB2312" w:eastAsia="仿宋_GB2312"/>
          <w:b w:val="0"/>
          <w:sz w:val="32"/>
        </w:rPr>
      </w:pPr>
      <w:r>
        <w:rPr>
          <w:rFonts w:hint="eastAsia" w:ascii="楷体_GB2312" w:eastAsia="仿宋_GB2312"/>
          <w:b w:val="0"/>
          <w:sz w:val="32"/>
          <w:lang w:val="en-US" w:eastAsia="zh-CN"/>
        </w:rPr>
        <w:t>5、</w:t>
      </w:r>
      <w:r>
        <w:rPr>
          <w:rFonts w:hint="eastAsia" w:ascii="楷体_GB2312" w:eastAsia="仿宋_GB2312"/>
          <w:b w:val="0"/>
          <w:sz w:val="32"/>
        </w:rPr>
        <w:t>筹资合规性</w:t>
      </w:r>
    </w:p>
    <w:p w14:paraId="4982EF22">
      <w:pPr>
        <w:pageBreakBefore w:val="0"/>
        <w:kinsoku/>
        <w:wordWrap/>
        <w:overflowPunct/>
        <w:topLinePunct w:val="0"/>
        <w:autoSpaceDE/>
        <w:autoSpaceDN/>
        <w:bidi w:val="0"/>
        <w:snapToGrid w:val="0"/>
        <w:spacing w:line="560" w:lineRule="exact"/>
        <w:ind w:firstLine="640" w:firstLineChars="200"/>
        <w:rPr>
          <w:rFonts w:hint="eastAsia" w:ascii="仿宋_GB2312" w:hAnsi="宋体" w:eastAsia="仿宋_GB2312"/>
          <w:b w:val="0"/>
          <w:sz w:val="32"/>
          <w:szCs w:val="32"/>
          <w:lang w:eastAsia="zh-CN"/>
        </w:rPr>
      </w:pPr>
      <w:r>
        <w:rPr>
          <w:rFonts w:hint="eastAsia" w:ascii="仿宋_GB2312" w:hAnsi="宋体" w:eastAsia="仿宋_GB2312"/>
          <w:b w:val="0"/>
          <w:sz w:val="32"/>
          <w:szCs w:val="32"/>
          <w:lang w:eastAsia="zh-CN"/>
        </w:rPr>
        <w:t>资金来源符合相关规定，资金支出方式基本合理，风险可控。</w:t>
      </w:r>
    </w:p>
    <w:p w14:paraId="476B3578">
      <w:pPr>
        <w:pageBreakBefore w:val="0"/>
        <w:kinsoku/>
        <w:wordWrap/>
        <w:overflowPunct/>
        <w:topLinePunct w:val="0"/>
        <w:autoSpaceDE/>
        <w:autoSpaceDN/>
        <w:bidi w:val="0"/>
        <w:snapToGrid w:val="0"/>
        <w:spacing w:line="560" w:lineRule="exact"/>
        <w:ind w:firstLine="640" w:firstLineChars="200"/>
        <w:rPr>
          <w:rFonts w:ascii="Times New Roman" w:hAnsi="Times New Roman" w:eastAsia="仿宋_GB2312"/>
          <w:b w:val="0"/>
          <w:sz w:val="32"/>
          <w:szCs w:val="32"/>
        </w:rPr>
      </w:pPr>
      <w:r>
        <w:rPr>
          <w:rFonts w:hint="eastAsia" w:ascii="黑体" w:eastAsia="仿宋_GB2312"/>
          <w:b w:val="0"/>
          <w:sz w:val="32"/>
          <w:szCs w:val="32"/>
          <w:lang w:eastAsia="zh-CN"/>
        </w:rPr>
        <w:t>（</w:t>
      </w:r>
      <w:r>
        <w:rPr>
          <w:rFonts w:hint="eastAsia" w:ascii="黑体" w:eastAsia="仿宋_GB2312"/>
          <w:b w:val="0"/>
          <w:sz w:val="32"/>
          <w:szCs w:val="32"/>
          <w:lang w:val="en-US" w:eastAsia="zh-CN"/>
        </w:rPr>
        <w:t>五</w:t>
      </w:r>
      <w:r>
        <w:rPr>
          <w:rFonts w:hint="eastAsia" w:ascii="黑体" w:eastAsia="仿宋_GB2312"/>
          <w:b w:val="0"/>
          <w:sz w:val="32"/>
          <w:szCs w:val="32"/>
          <w:lang w:eastAsia="zh-CN"/>
        </w:rPr>
        <w:t>）</w:t>
      </w:r>
      <w:r>
        <w:rPr>
          <w:rFonts w:hint="eastAsia" w:ascii="黑体" w:eastAsia="仿宋_GB2312"/>
          <w:b w:val="0"/>
          <w:sz w:val="32"/>
          <w:szCs w:val="32"/>
        </w:rPr>
        <w:t>评估结论</w:t>
      </w:r>
    </w:p>
    <w:p w14:paraId="05412C2C">
      <w:pPr>
        <w:pStyle w:val="10"/>
        <w:pageBreakBefore w:val="0"/>
        <w:kinsoku/>
        <w:wordWrap/>
        <w:overflowPunct/>
        <w:topLinePunct w:val="0"/>
        <w:autoSpaceDE/>
        <w:autoSpaceDN/>
        <w:bidi w:val="0"/>
        <w:spacing w:line="560" w:lineRule="exact"/>
        <w:ind w:left="49" w:firstLine="640" w:firstLineChars="200"/>
        <w:rPr>
          <w:rFonts w:hint="eastAsia" w:ascii="Times New Roman" w:hAnsi="Times New Roman" w:eastAsia="仿宋_GB2312"/>
          <w:b w:val="0"/>
          <w:sz w:val="32"/>
          <w:szCs w:val="32"/>
        </w:rPr>
      </w:pPr>
      <w:r>
        <w:rPr>
          <w:rFonts w:hint="eastAsia" w:eastAsia="仿宋_GB2312"/>
          <w:b w:val="0"/>
          <w:sz w:val="32"/>
          <w:szCs w:val="32"/>
          <w:lang w:eastAsia="zh-CN"/>
        </w:rPr>
        <w:t>综合前述评估内容来看，</w:t>
      </w:r>
      <w:r>
        <w:rPr>
          <w:rFonts w:hint="eastAsia" w:ascii="仿宋_GB2312" w:eastAsia="仿宋_GB2312"/>
          <w:b w:val="0"/>
          <w:sz w:val="32"/>
          <w:lang w:val="en-US" w:eastAsia="zh-CN"/>
        </w:rPr>
        <w:t>评分95分，</w:t>
      </w:r>
      <w:r>
        <w:rPr>
          <w:rFonts w:hint="eastAsia" w:eastAsia="仿宋_GB2312"/>
          <w:b w:val="0"/>
          <w:sz w:val="32"/>
          <w:szCs w:val="32"/>
          <w:lang w:eastAsia="zh-CN"/>
        </w:rPr>
        <w:t>该项目立项必要性和依据充分，绩效目标明确，具备实施条件，具有公共性，符合财务资金扶持方向等，建议予以支持，预算控制在</w:t>
      </w:r>
      <w:r>
        <w:rPr>
          <w:rFonts w:hint="eastAsia" w:ascii="仿宋_GB2312" w:hAnsi="仿宋_GB2312" w:eastAsia="仿宋_GB2312" w:cs="仿宋_GB2312"/>
          <w:b w:val="0"/>
          <w:bCs/>
          <w:color w:val="auto"/>
          <w:sz w:val="32"/>
          <w:szCs w:val="32"/>
          <w:highlight w:val="none"/>
          <w:lang w:val="en-US" w:eastAsia="zh-CN"/>
        </w:rPr>
        <w:t>895.48</w:t>
      </w:r>
      <w:r>
        <w:rPr>
          <w:rFonts w:hint="eastAsia" w:eastAsia="仿宋_GB2312"/>
          <w:b w:val="0"/>
          <w:sz w:val="32"/>
          <w:szCs w:val="32"/>
          <w:lang w:val="en-US" w:eastAsia="zh-CN"/>
        </w:rPr>
        <w:t>万元以内，</w:t>
      </w:r>
      <w:r>
        <w:rPr>
          <w:rFonts w:hint="eastAsia" w:ascii="仿宋_GB2312" w:eastAsia="仿宋_GB2312"/>
          <w:b w:val="0"/>
          <w:sz w:val="32"/>
        </w:rPr>
        <w:t>该项目申请资金总预算</w:t>
      </w:r>
      <w:r>
        <w:rPr>
          <w:rFonts w:hint="eastAsia" w:ascii="仿宋_GB2312" w:hAnsi="仿宋_GB2312" w:eastAsia="仿宋_GB2312" w:cs="仿宋_GB2312"/>
          <w:b w:val="0"/>
          <w:bCs/>
          <w:color w:val="auto"/>
          <w:sz w:val="32"/>
          <w:szCs w:val="32"/>
          <w:highlight w:val="none"/>
          <w:lang w:val="en-US" w:eastAsia="zh-CN"/>
        </w:rPr>
        <w:t>895.48</w:t>
      </w:r>
      <w:r>
        <w:rPr>
          <w:rFonts w:hint="eastAsia" w:ascii="仿宋_GB2312" w:eastAsia="仿宋_GB2312"/>
          <w:b w:val="0"/>
          <w:sz w:val="32"/>
        </w:rPr>
        <w:t>万元，经评审，建议预算申报数</w:t>
      </w:r>
      <w:r>
        <w:rPr>
          <w:rFonts w:hint="eastAsia" w:ascii="仿宋_GB2312" w:hAnsi="仿宋_GB2312" w:eastAsia="仿宋_GB2312" w:cs="仿宋_GB2312"/>
          <w:b w:val="0"/>
          <w:bCs/>
          <w:color w:val="auto"/>
          <w:sz w:val="32"/>
          <w:szCs w:val="32"/>
          <w:highlight w:val="none"/>
          <w:lang w:val="en-US" w:eastAsia="zh-CN"/>
        </w:rPr>
        <w:t>895.48</w:t>
      </w:r>
      <w:r>
        <w:rPr>
          <w:rFonts w:hint="eastAsia" w:ascii="仿宋_GB2312" w:eastAsia="仿宋_GB2312"/>
          <w:b w:val="0"/>
          <w:sz w:val="32"/>
        </w:rPr>
        <w:t>万元我单位将进一步</w:t>
      </w:r>
      <w:r>
        <w:rPr>
          <w:rFonts w:hint="eastAsia" w:ascii="仿宋_GB2312" w:eastAsia="仿宋_GB2312"/>
          <w:b w:val="0"/>
          <w:sz w:val="32"/>
          <w:u w:val="none"/>
        </w:rPr>
        <w:t>优化完善实施方案和绩效目标，加强运行监控，节约财政资金并提升资金效益，提升预算绩效管理水平</w:t>
      </w:r>
      <w:r>
        <w:rPr>
          <w:rFonts w:hint="eastAsia" w:ascii="仿宋_GB2312" w:eastAsia="仿宋_GB2312"/>
          <w:b w:val="0"/>
          <w:sz w:val="32"/>
          <w:u w:val="none"/>
          <w:lang w:eastAsia="zh-CN"/>
        </w:rPr>
        <w:t>。</w:t>
      </w:r>
    </w:p>
    <w:p w14:paraId="4F3AC1DC">
      <w:pPr>
        <w:pageBreakBefore w:val="0"/>
        <w:numPr>
          <w:ilvl w:val="0"/>
          <w:numId w:val="0"/>
        </w:numPr>
        <w:kinsoku/>
        <w:wordWrap/>
        <w:overflowPunct/>
        <w:topLinePunct w:val="0"/>
        <w:autoSpaceDE/>
        <w:autoSpaceDN/>
        <w:bidi w:val="0"/>
        <w:spacing w:line="560" w:lineRule="exact"/>
        <w:ind w:firstLine="640" w:firstLineChars="200"/>
        <w:rPr>
          <w:rFonts w:hint="eastAsia" w:ascii="黑体" w:eastAsia="仿宋_GB2312"/>
          <w:b w:val="0"/>
          <w:sz w:val="32"/>
          <w:szCs w:val="32"/>
        </w:rPr>
      </w:pPr>
      <w:r>
        <w:rPr>
          <w:rFonts w:hint="eastAsia" w:ascii="黑体" w:eastAsia="仿宋_GB2312"/>
          <w:b w:val="0"/>
          <w:sz w:val="32"/>
          <w:szCs w:val="32"/>
          <w:lang w:eastAsia="zh-CN"/>
        </w:rPr>
        <w:t>（</w:t>
      </w:r>
      <w:r>
        <w:rPr>
          <w:rFonts w:hint="eastAsia" w:ascii="黑体" w:eastAsia="仿宋_GB2312"/>
          <w:b w:val="0"/>
          <w:sz w:val="32"/>
          <w:szCs w:val="32"/>
          <w:lang w:val="en-US" w:eastAsia="zh-CN"/>
        </w:rPr>
        <w:t>六</w:t>
      </w:r>
      <w:r>
        <w:rPr>
          <w:rFonts w:hint="eastAsia" w:ascii="黑体" w:eastAsia="仿宋_GB2312"/>
          <w:b w:val="0"/>
          <w:sz w:val="32"/>
          <w:szCs w:val="32"/>
          <w:lang w:eastAsia="zh-CN"/>
        </w:rPr>
        <w:t>）</w:t>
      </w:r>
      <w:r>
        <w:rPr>
          <w:rFonts w:hint="eastAsia" w:ascii="黑体" w:eastAsia="仿宋_GB2312"/>
          <w:b w:val="0"/>
          <w:sz w:val="32"/>
          <w:szCs w:val="32"/>
        </w:rPr>
        <w:t>其它说明事项</w:t>
      </w:r>
    </w:p>
    <w:p w14:paraId="6C657217">
      <w:pPr>
        <w:pageBreakBefore w:val="0"/>
        <w:tabs>
          <w:tab w:val="center" w:pos="4153"/>
          <w:tab w:val="right" w:pos="8306"/>
        </w:tabs>
        <w:kinsoku/>
        <w:wordWrap/>
        <w:overflowPunct/>
        <w:topLinePunct w:val="0"/>
        <w:autoSpaceDE/>
        <w:autoSpaceDN/>
        <w:bidi w:val="0"/>
        <w:spacing w:line="560" w:lineRule="exact"/>
        <w:ind w:firstLine="640" w:firstLineChars="200"/>
        <w:rPr>
          <w:rFonts w:hint="eastAsia" w:ascii="仿宋_GB2312" w:hAnsi="仿宋_GB2312" w:eastAsia="仿宋_GB2312" w:cs="仿宋_GB2312"/>
          <w:b w:val="0"/>
          <w:color w:val="auto"/>
          <w:sz w:val="32"/>
          <w:szCs w:val="32"/>
          <w:highlight w:val="none"/>
          <w:lang w:val="en-US" w:eastAsia="zh-CN"/>
        </w:rPr>
      </w:pPr>
      <w:r>
        <w:rPr>
          <w:rFonts w:hint="eastAsia" w:ascii="仿宋_GB2312" w:hAnsi="仿宋_GB2312" w:eastAsia="仿宋_GB2312" w:cs="仿宋_GB2312"/>
          <w:b w:val="0"/>
          <w:sz w:val="32"/>
          <w:szCs w:val="32"/>
        </w:rPr>
        <w:t>该项目预算编制真实完整，预算编制内容科学合理、明确细化，与绩效目标、实施方案紧密衔接，预算标准依据充分、测算准确</w:t>
      </w:r>
      <w:r>
        <w:rPr>
          <w:rFonts w:hint="eastAsia" w:ascii="仿宋_GB2312" w:hAnsi="仿宋_GB2312" w:eastAsia="仿宋_GB2312" w:cs="仿宋_GB2312"/>
          <w:b w:val="0"/>
          <w:sz w:val="32"/>
          <w:szCs w:val="32"/>
          <w:lang w:eastAsia="zh-CN"/>
        </w:rPr>
        <w:t>。</w:t>
      </w:r>
    </w:p>
    <w:p w14:paraId="214CF717">
      <w:pPr>
        <w:pageBreakBefore w:val="0"/>
        <w:kinsoku/>
        <w:wordWrap/>
        <w:overflowPunct/>
        <w:topLinePunct w:val="0"/>
        <w:autoSpaceDE/>
        <w:autoSpaceDN/>
        <w:bidi w:val="0"/>
        <w:spacing w:line="560" w:lineRule="exact"/>
        <w:ind w:firstLine="640" w:firstLineChars="200"/>
        <w:rPr>
          <w:rFonts w:hint="default" w:ascii="仿宋" w:hAnsi="仿宋" w:eastAsia="仿宋_GB2312"/>
          <w:b w:val="0"/>
          <w:color w:val="C00000"/>
          <w:sz w:val="32"/>
          <w:szCs w:val="32"/>
          <w:shd w:val="clear" w:color="auto" w:fill="FFFFFF"/>
          <w:lang w:val="en-US" w:eastAsia="zh-CN"/>
        </w:rPr>
      </w:pPr>
      <w:r>
        <w:rPr>
          <w:rFonts w:hint="eastAsia" w:ascii="仿宋_GB2312" w:eastAsia="仿宋_GB2312" w:cs="仿宋_GB2312"/>
          <w:b w:val="0"/>
          <w:bCs/>
          <w:color w:val="C00000"/>
          <w:sz w:val="32"/>
          <w:szCs w:val="32"/>
          <w:lang w:val="en-US" w:eastAsia="zh-CN"/>
        </w:rPr>
        <w:t>重点项目9：特困人员生活、护理、丧葬补贴</w:t>
      </w:r>
    </w:p>
    <w:p w14:paraId="31387747">
      <w:pPr>
        <w:pageBreakBefore w:val="0"/>
        <w:kinsoku/>
        <w:wordWrap/>
        <w:overflowPunct/>
        <w:topLinePunct w:val="0"/>
        <w:autoSpaceDE/>
        <w:autoSpaceDN/>
        <w:bidi w:val="0"/>
        <w:spacing w:line="560" w:lineRule="exact"/>
        <w:ind w:firstLine="640" w:firstLineChars="200"/>
        <w:rPr>
          <w:rFonts w:hint="eastAsia" w:ascii="仿宋" w:hAnsi="仿宋" w:eastAsia="仿宋_GB2312" w:cs="仿宋_GB2312"/>
          <w:b w:val="0"/>
          <w:color w:val="000000"/>
          <w:sz w:val="32"/>
          <w:szCs w:val="32"/>
          <w:shd w:val="clear" w:color="auto" w:fill="FFFFFF"/>
          <w:lang w:val="en-US" w:eastAsia="zh-CN"/>
        </w:rPr>
      </w:pPr>
      <w:r>
        <w:rPr>
          <w:rFonts w:hint="eastAsia" w:ascii="仿宋_GB2312" w:eastAsia="仿宋_GB2312" w:cs="仿宋_GB2312"/>
          <w:b w:val="0"/>
          <w:sz w:val="32"/>
          <w:szCs w:val="32"/>
          <w:lang w:val="en-US" w:eastAsia="zh-CN"/>
        </w:rPr>
        <w:t>项目年度绩效目标：对无劳动能力、无生活来源且无法定赡养、抚养义务人，或者其法定赡养、抚养、抚养义务人无赡养、抚养、抚养能力的老年人、残疾人以及未成年人，给予特困人员供养。</w:t>
      </w:r>
    </w:p>
    <w:p w14:paraId="4CF6CA44">
      <w:pPr>
        <w:keepNext w:val="0"/>
        <w:keepLines w:val="0"/>
        <w:pageBreakBefore w:val="0"/>
        <w:widowControl w:val="0"/>
        <w:tabs>
          <w:tab w:val="center" w:pos="4153"/>
          <w:tab w:val="right" w:pos="8306"/>
        </w:tabs>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kern w:val="2"/>
          <w:sz w:val="32"/>
          <w:szCs w:val="32"/>
        </w:rPr>
      </w:pPr>
      <w:r>
        <w:rPr>
          <w:rFonts w:hint="eastAsia" w:ascii="仿宋_GB2312" w:eastAsia="仿宋_GB2312" w:cs="仿宋_GB2312"/>
          <w:b w:val="0"/>
          <w:sz w:val="32"/>
          <w:szCs w:val="32"/>
          <w:lang w:val="en-US" w:eastAsia="zh-CN"/>
        </w:rPr>
        <w:t>绩效指标设置情况：</w:t>
      </w:r>
      <w:r>
        <w:rPr>
          <w:rFonts w:hint="eastAsia" w:ascii="仿宋_GB2312" w:hAnsi="仿宋_GB2312" w:eastAsia="仿宋_GB2312" w:cs="仿宋_GB2312"/>
          <w:b w:val="0"/>
          <w:kern w:val="2"/>
          <w:sz w:val="32"/>
          <w:szCs w:val="32"/>
          <w:lang w:val="en-US" w:eastAsia="zh-CN" w:bidi="ar-SA"/>
        </w:rPr>
        <w:t>本项目的主要内容是对无劳动能力、无生活来源且无法定赡养、抚养、抚养义务人，或者其</w:t>
      </w:r>
      <w:r>
        <w:rPr>
          <w:rFonts w:hint="eastAsia" w:ascii="仿宋_GB2312" w:hAnsi="仿宋_GB2312" w:eastAsia="仿宋_GB2312" w:cs="仿宋_GB2312"/>
          <w:b w:val="0"/>
          <w:kern w:val="2"/>
          <w:sz w:val="32"/>
          <w:szCs w:val="32"/>
        </w:rPr>
        <w:t>法定赡养、抚养、</w:t>
      </w:r>
      <w:r>
        <w:rPr>
          <w:rFonts w:hint="eastAsia" w:ascii="仿宋_GB2312" w:hAnsi="仿宋_GB2312" w:eastAsia="仿宋_GB2312" w:cs="仿宋_GB2312"/>
          <w:b w:val="0"/>
          <w:kern w:val="2"/>
          <w:sz w:val="32"/>
          <w:szCs w:val="32"/>
          <w:lang w:eastAsia="zh-CN"/>
        </w:rPr>
        <w:t>抚养</w:t>
      </w:r>
      <w:r>
        <w:rPr>
          <w:rFonts w:hint="eastAsia" w:ascii="仿宋_GB2312" w:hAnsi="仿宋_GB2312" w:eastAsia="仿宋_GB2312" w:cs="仿宋_GB2312"/>
          <w:b w:val="0"/>
          <w:kern w:val="2"/>
          <w:sz w:val="32"/>
          <w:szCs w:val="32"/>
        </w:rPr>
        <w:t>义务人无赡养、抚养、</w:t>
      </w:r>
      <w:r>
        <w:rPr>
          <w:rFonts w:hint="eastAsia" w:ascii="仿宋_GB2312" w:hAnsi="仿宋_GB2312" w:eastAsia="仿宋_GB2312" w:cs="仿宋_GB2312"/>
          <w:b w:val="0"/>
          <w:kern w:val="2"/>
          <w:sz w:val="32"/>
          <w:szCs w:val="32"/>
          <w:lang w:eastAsia="zh-CN"/>
        </w:rPr>
        <w:t>抚养</w:t>
      </w:r>
      <w:r>
        <w:rPr>
          <w:rFonts w:hint="eastAsia" w:ascii="仿宋_GB2312" w:hAnsi="仿宋_GB2312" w:eastAsia="仿宋_GB2312" w:cs="仿宋_GB2312"/>
          <w:b w:val="0"/>
          <w:kern w:val="2"/>
          <w:sz w:val="32"/>
          <w:szCs w:val="32"/>
        </w:rPr>
        <w:t>能力的老年人、残疾人以及未成年人，给予特困人员供养</w:t>
      </w:r>
      <w:r>
        <w:rPr>
          <w:rFonts w:hint="eastAsia" w:ascii="仿宋_GB2312" w:hAnsi="仿宋_GB2312" w:eastAsia="仿宋_GB2312" w:cs="仿宋_GB2312"/>
          <w:b w:val="0"/>
          <w:kern w:val="2"/>
          <w:sz w:val="32"/>
          <w:szCs w:val="32"/>
          <w:lang w:val="en-US" w:eastAsia="zh-CN"/>
        </w:rPr>
        <w:t>。救助对象和标准：城市特困人员基本生活标准按不低于城市最低生活标准的1.3倍进行调整，调整后的城市特困供养人员基本生活标准按不低于962元/人.月执行。农村特困供养人员基本生活标准按693元/人.月执行。2025年预计资</w:t>
      </w:r>
      <w:r>
        <w:rPr>
          <w:rFonts w:hint="eastAsia" w:ascii="仿宋_GB2312" w:hAnsi="仿宋_GB2312" w:eastAsia="仿宋_GB2312" w:cs="仿宋_GB2312"/>
          <w:b w:val="0"/>
          <w:color w:val="FF0000"/>
          <w:kern w:val="2"/>
          <w:sz w:val="32"/>
          <w:szCs w:val="32"/>
          <w:lang w:val="en-US" w:eastAsia="zh-CN"/>
        </w:rPr>
        <w:t>金517.65万元</w:t>
      </w:r>
      <w:r>
        <w:rPr>
          <w:rFonts w:hint="eastAsia" w:ascii="仿宋_GB2312" w:hAnsi="仿宋_GB2312" w:eastAsia="仿宋_GB2312" w:cs="仿宋_GB2312"/>
          <w:b w:val="0"/>
          <w:kern w:val="2"/>
          <w:sz w:val="32"/>
          <w:szCs w:val="32"/>
          <w:lang w:val="en-US" w:eastAsia="zh-CN"/>
        </w:rPr>
        <w:t>。 特困护理主要是针对生活不能自理的特困供养人员</w:t>
      </w:r>
      <w:r>
        <w:rPr>
          <w:rFonts w:hint="eastAsia" w:ascii="仿宋_GB2312" w:hAnsi="仿宋_GB2312" w:eastAsia="仿宋_GB2312" w:cs="仿宋_GB2312"/>
          <w:b w:val="0"/>
          <w:bCs/>
          <w:color w:val="auto"/>
          <w:sz w:val="32"/>
          <w:szCs w:val="32"/>
          <w:highlight w:val="none"/>
          <w:lang w:val="en-US" w:eastAsia="zh-CN"/>
        </w:rPr>
        <w:t>提供的护理服务，特困人员生活自理</w:t>
      </w:r>
      <w:r>
        <w:rPr>
          <w:rFonts w:hint="eastAsia" w:ascii="仿宋_GB2312" w:hAnsi="仿宋_GB2312" w:eastAsia="仿宋_GB2312" w:cs="仿宋_GB2312"/>
          <w:b w:val="0"/>
          <w:kern w:val="2"/>
          <w:sz w:val="32"/>
          <w:szCs w:val="32"/>
          <w:lang w:val="en-US" w:eastAsia="zh-CN"/>
        </w:rPr>
        <w:t>能力和护理需求分三档确定,全自理\半护理\全护理标准分别制定80元/月\130元/月\160元/月，</w:t>
      </w:r>
      <w:r>
        <w:rPr>
          <w:rFonts w:hint="eastAsia" w:ascii="仿宋_GB2312" w:hAnsi="仿宋_GB2312" w:eastAsia="仿宋_GB2312" w:cs="仿宋_GB2312"/>
          <w:b w:val="0"/>
          <w:bCs/>
          <w:color w:val="auto"/>
          <w:sz w:val="32"/>
          <w:szCs w:val="32"/>
          <w:highlight w:val="none"/>
          <w:lang w:val="en-US" w:eastAsia="zh-CN"/>
        </w:rPr>
        <w:t xml:space="preserve"> 2025年预计资金</w:t>
      </w:r>
      <w:r>
        <w:rPr>
          <w:rFonts w:hint="eastAsia" w:ascii="仿宋_GB2312" w:hAnsi="仿宋_GB2312" w:eastAsia="仿宋_GB2312" w:cs="仿宋_GB2312"/>
          <w:b w:val="0"/>
          <w:bCs/>
          <w:color w:val="FF0000"/>
          <w:sz w:val="32"/>
          <w:szCs w:val="32"/>
          <w:highlight w:val="none"/>
          <w:lang w:val="en-US" w:eastAsia="zh-CN"/>
        </w:rPr>
        <w:t>83.12</w:t>
      </w:r>
      <w:r>
        <w:rPr>
          <w:rFonts w:hint="eastAsia" w:ascii="仿宋_GB2312" w:hAnsi="仿宋_GB2312" w:eastAsia="仿宋_GB2312" w:cs="仿宋_GB2312"/>
          <w:b w:val="0"/>
          <w:bCs/>
          <w:color w:val="auto"/>
          <w:sz w:val="32"/>
          <w:szCs w:val="32"/>
          <w:highlight w:val="none"/>
          <w:lang w:val="en-US" w:eastAsia="zh-CN"/>
        </w:rPr>
        <w:t>万元。特困供养人员丧葬2025年预计资金22.31万元 。 特困供养人员医疗自付费用救助2025年预计资金</w:t>
      </w:r>
      <w:r>
        <w:rPr>
          <w:rFonts w:hint="eastAsia" w:ascii="仿宋_GB2312" w:hAnsi="仿宋_GB2312" w:eastAsia="仿宋_GB2312" w:cs="仿宋_GB2312"/>
          <w:b w:val="0"/>
          <w:bCs/>
          <w:color w:val="C0504D" w:themeColor="accent2"/>
          <w:sz w:val="32"/>
          <w:szCs w:val="32"/>
          <w:highlight w:val="none"/>
          <w:lang w:val="en-US" w:eastAsia="zh-CN"/>
          <w14:textFill>
            <w14:solidFill>
              <w14:schemeClr w14:val="accent2"/>
            </w14:solidFill>
          </w14:textFill>
        </w:rPr>
        <w:t>25.67 万元</w:t>
      </w:r>
      <w:r>
        <w:rPr>
          <w:rFonts w:hint="eastAsia" w:ascii="仿宋_GB2312" w:hAnsi="仿宋_GB2312" w:eastAsia="仿宋_GB2312" w:cs="仿宋_GB2312"/>
          <w:b w:val="0"/>
          <w:bCs/>
          <w:color w:val="auto"/>
          <w:sz w:val="32"/>
          <w:szCs w:val="32"/>
          <w:highlight w:val="none"/>
          <w:lang w:val="en-US" w:eastAsia="zh-CN"/>
        </w:rPr>
        <w:t xml:space="preserve"> 。                                                                                                                                        </w:t>
      </w:r>
      <w:r>
        <w:rPr>
          <w:rFonts w:hint="eastAsia" w:ascii="仿宋_GB2312" w:hAnsi="仿宋_GB2312" w:eastAsia="仿宋_GB2312" w:cs="仿宋_GB2312"/>
          <w:b w:val="0"/>
          <w:kern w:val="2"/>
          <w:sz w:val="32"/>
          <w:szCs w:val="32"/>
        </w:rPr>
        <w:t>2025年拟申请资金预算</w:t>
      </w:r>
      <w:r>
        <w:rPr>
          <w:rFonts w:hint="eastAsia" w:ascii="仿宋_GB2312" w:hAnsi="仿宋_GB2312" w:eastAsia="仿宋_GB2312" w:cs="仿宋_GB2312"/>
          <w:b w:val="0"/>
          <w:color w:val="FF0000"/>
          <w:kern w:val="2"/>
          <w:sz w:val="32"/>
          <w:szCs w:val="32"/>
          <w:u w:val="single"/>
        </w:rPr>
        <w:t xml:space="preserve"> </w:t>
      </w:r>
      <w:r>
        <w:rPr>
          <w:rFonts w:hint="eastAsia" w:ascii="仿宋_GB2312" w:hAnsi="仿宋_GB2312" w:eastAsia="仿宋_GB2312" w:cs="仿宋_GB2312"/>
          <w:b w:val="0"/>
          <w:color w:val="FF0000"/>
          <w:kern w:val="2"/>
          <w:sz w:val="32"/>
          <w:szCs w:val="32"/>
          <w:u w:val="single"/>
          <w:lang w:val="en-US" w:eastAsia="zh-CN"/>
        </w:rPr>
        <w:t>648.76</w:t>
      </w:r>
      <w:r>
        <w:rPr>
          <w:rFonts w:hint="eastAsia" w:ascii="仿宋_GB2312" w:hAnsi="仿宋_GB2312" w:eastAsia="仿宋_GB2312" w:cs="仿宋_GB2312"/>
          <w:b w:val="0"/>
          <w:color w:val="FF0000"/>
          <w:kern w:val="2"/>
          <w:sz w:val="32"/>
          <w:szCs w:val="32"/>
        </w:rPr>
        <w:t>万元</w:t>
      </w:r>
      <w:r>
        <w:rPr>
          <w:rFonts w:hint="eastAsia" w:ascii="仿宋_GB2312" w:hAnsi="仿宋_GB2312" w:eastAsia="仿宋_GB2312" w:cs="仿宋_GB2312"/>
          <w:b w:val="0"/>
          <w:kern w:val="2"/>
          <w:sz w:val="32"/>
          <w:szCs w:val="32"/>
        </w:rPr>
        <w:t>，增加的主要原</w:t>
      </w:r>
      <w:r>
        <w:rPr>
          <w:rFonts w:hint="eastAsia" w:ascii="仿宋_GB2312" w:hAnsi="仿宋_GB2312" w:eastAsia="仿宋_GB2312" w:cs="仿宋_GB2312"/>
          <w:b w:val="0"/>
          <w:kern w:val="2"/>
          <w:sz w:val="32"/>
          <w:szCs w:val="32"/>
          <w:lang w:eastAsia="zh-CN"/>
        </w:rPr>
        <w:t>因</w:t>
      </w:r>
      <w:r>
        <w:rPr>
          <w:rFonts w:hint="eastAsia" w:ascii="仿宋_GB2312" w:hAnsi="仿宋_GB2312" w:eastAsia="仿宋_GB2312" w:cs="仿宋_GB2312"/>
          <w:b w:val="0"/>
          <w:kern w:val="2"/>
          <w:sz w:val="32"/>
          <w:szCs w:val="32"/>
        </w:rPr>
        <w:t>为</w:t>
      </w:r>
      <w:r>
        <w:rPr>
          <w:rFonts w:hint="eastAsia" w:ascii="仿宋_GB2312" w:hAnsi="仿宋_GB2312" w:eastAsia="仿宋_GB2312" w:cs="仿宋_GB2312"/>
          <w:b w:val="0"/>
          <w:kern w:val="2"/>
          <w:sz w:val="32"/>
          <w:szCs w:val="32"/>
          <w:u w:val="single"/>
          <w:lang w:val="en-US" w:eastAsia="zh-CN"/>
        </w:rPr>
        <w:t>特困供养员（</w:t>
      </w:r>
      <w:r>
        <w:rPr>
          <w:rFonts w:hint="eastAsia" w:ascii="仿宋_GB2312" w:hAnsi="仿宋_GB2312" w:eastAsia="仿宋_GB2312" w:cs="仿宋_GB2312"/>
          <w:b w:val="0"/>
          <w:kern w:val="2"/>
          <w:sz w:val="32"/>
          <w:szCs w:val="32"/>
          <w:lang w:val="en-US" w:eastAsia="zh-CN" w:bidi="ar-SA"/>
        </w:rPr>
        <w:t>劳动能力、无生活来源且无法定赡养、抚养、抚养义务人，或者其</w:t>
      </w:r>
      <w:r>
        <w:rPr>
          <w:rFonts w:hint="eastAsia" w:ascii="仿宋_GB2312" w:hAnsi="仿宋_GB2312" w:eastAsia="仿宋_GB2312" w:cs="仿宋_GB2312"/>
          <w:b w:val="0"/>
          <w:kern w:val="2"/>
          <w:sz w:val="32"/>
          <w:szCs w:val="32"/>
        </w:rPr>
        <w:t>法定赡养、抚养、</w:t>
      </w:r>
      <w:r>
        <w:rPr>
          <w:rFonts w:hint="eastAsia" w:ascii="仿宋_GB2312" w:hAnsi="仿宋_GB2312" w:eastAsia="仿宋_GB2312" w:cs="仿宋_GB2312"/>
          <w:b w:val="0"/>
          <w:kern w:val="2"/>
          <w:sz w:val="32"/>
          <w:szCs w:val="32"/>
          <w:lang w:eastAsia="zh-CN"/>
        </w:rPr>
        <w:t>抚养</w:t>
      </w:r>
      <w:r>
        <w:rPr>
          <w:rFonts w:hint="eastAsia" w:ascii="仿宋_GB2312" w:hAnsi="仿宋_GB2312" w:eastAsia="仿宋_GB2312" w:cs="仿宋_GB2312"/>
          <w:b w:val="0"/>
          <w:kern w:val="2"/>
          <w:sz w:val="32"/>
          <w:szCs w:val="32"/>
        </w:rPr>
        <w:t>义务人无赡养、抚养、</w:t>
      </w:r>
      <w:r>
        <w:rPr>
          <w:rFonts w:hint="eastAsia" w:ascii="仿宋_GB2312" w:hAnsi="仿宋_GB2312" w:eastAsia="仿宋_GB2312" w:cs="仿宋_GB2312"/>
          <w:b w:val="0"/>
          <w:kern w:val="2"/>
          <w:sz w:val="32"/>
          <w:szCs w:val="32"/>
          <w:lang w:eastAsia="zh-CN"/>
        </w:rPr>
        <w:t>抚养</w:t>
      </w:r>
      <w:r>
        <w:rPr>
          <w:rFonts w:hint="eastAsia" w:ascii="仿宋_GB2312" w:hAnsi="仿宋_GB2312" w:eastAsia="仿宋_GB2312" w:cs="仿宋_GB2312"/>
          <w:b w:val="0"/>
          <w:kern w:val="2"/>
          <w:sz w:val="32"/>
          <w:szCs w:val="32"/>
        </w:rPr>
        <w:t>能力的老年人、残疾人以及未成年人</w:t>
      </w:r>
      <w:r>
        <w:rPr>
          <w:rFonts w:hint="eastAsia" w:ascii="仿宋_GB2312" w:hAnsi="仿宋_GB2312" w:eastAsia="仿宋_GB2312" w:cs="仿宋_GB2312"/>
          <w:b w:val="0"/>
          <w:kern w:val="2"/>
          <w:sz w:val="32"/>
          <w:szCs w:val="32"/>
          <w:lang w:eastAsia="zh-CN"/>
        </w:rPr>
        <w:t>）</w:t>
      </w:r>
      <w:r>
        <w:rPr>
          <w:rFonts w:hint="eastAsia" w:ascii="仿宋_GB2312" w:hAnsi="仿宋_GB2312" w:eastAsia="仿宋_GB2312" w:cs="仿宋_GB2312"/>
          <w:b w:val="0"/>
          <w:kern w:val="2"/>
          <w:sz w:val="32"/>
          <w:szCs w:val="32"/>
        </w:rPr>
        <w:t>。</w:t>
      </w:r>
    </w:p>
    <w:p w14:paraId="1D9EFEDD">
      <w:pPr>
        <w:keepNext w:val="0"/>
        <w:keepLines w:val="0"/>
        <w:pageBreakBefore w:val="0"/>
        <w:widowControl w:val="0"/>
        <w:tabs>
          <w:tab w:val="center" w:pos="4153"/>
          <w:tab w:val="right" w:pos="8306"/>
        </w:tabs>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kern w:val="2"/>
          <w:sz w:val="32"/>
          <w:szCs w:val="32"/>
        </w:rPr>
      </w:pPr>
      <w:r>
        <w:rPr>
          <w:rFonts w:hint="eastAsia" w:ascii="仿宋_GB2312" w:hAnsi="仿宋_GB2312" w:eastAsia="仿宋_GB2312" w:cs="仿宋_GB2312"/>
          <w:b w:val="0"/>
          <w:color w:val="FF0000"/>
          <w:kern w:val="2"/>
          <w:sz w:val="32"/>
          <w:szCs w:val="32"/>
        </w:rPr>
        <w:t>项目申报预算</w:t>
      </w:r>
      <w:r>
        <w:rPr>
          <w:rFonts w:hint="eastAsia" w:ascii="仿宋_GB2312" w:hAnsi="仿宋_GB2312" w:eastAsia="仿宋_GB2312" w:cs="仿宋_GB2312"/>
          <w:b w:val="0"/>
          <w:color w:val="FF0000"/>
          <w:kern w:val="2"/>
          <w:sz w:val="32"/>
          <w:szCs w:val="32"/>
          <w:lang w:val="en-US" w:eastAsia="zh-CN"/>
        </w:rPr>
        <w:t xml:space="preserve"> 648.76 </w:t>
      </w:r>
      <w:r>
        <w:rPr>
          <w:rFonts w:hint="eastAsia" w:ascii="仿宋_GB2312" w:hAnsi="仿宋_GB2312" w:eastAsia="仿宋_GB2312" w:cs="仿宋_GB2312"/>
          <w:b w:val="0"/>
          <w:color w:val="FF0000"/>
          <w:kern w:val="2"/>
          <w:sz w:val="32"/>
          <w:szCs w:val="32"/>
        </w:rPr>
        <w:t>万元，</w:t>
      </w:r>
      <w:r>
        <w:rPr>
          <w:rFonts w:hint="eastAsia" w:ascii="仿宋_GB2312" w:hAnsi="仿宋_GB2312" w:eastAsia="仿宋_GB2312" w:cs="仿宋_GB2312"/>
          <w:b w:val="0"/>
          <w:color w:val="FF0000"/>
          <w:kern w:val="2"/>
          <w:sz w:val="32"/>
          <w:szCs w:val="32"/>
          <w:lang w:val="en-US" w:eastAsia="zh-CN"/>
        </w:rPr>
        <w:t>县级</w:t>
      </w:r>
      <w:r>
        <w:rPr>
          <w:rFonts w:hint="eastAsia" w:ascii="仿宋_GB2312" w:hAnsi="仿宋_GB2312" w:eastAsia="仿宋_GB2312" w:cs="仿宋_GB2312"/>
          <w:b w:val="0"/>
          <w:color w:val="FF0000"/>
          <w:kern w:val="2"/>
          <w:sz w:val="32"/>
          <w:szCs w:val="32"/>
        </w:rPr>
        <w:t>年度申报金额为</w:t>
      </w:r>
      <w:r>
        <w:rPr>
          <w:rFonts w:hint="eastAsia" w:ascii="仿宋_GB2312" w:hAnsi="仿宋_GB2312" w:eastAsia="仿宋_GB2312" w:cs="仿宋_GB2312"/>
          <w:b w:val="0"/>
          <w:color w:val="FF0000"/>
          <w:kern w:val="2"/>
          <w:sz w:val="32"/>
          <w:szCs w:val="32"/>
          <w:lang w:val="en-US" w:eastAsia="zh-CN"/>
        </w:rPr>
        <w:t xml:space="preserve"> 648.76  </w:t>
      </w:r>
      <w:r>
        <w:rPr>
          <w:rFonts w:hint="eastAsia" w:ascii="仿宋_GB2312" w:hAnsi="仿宋_GB2312" w:eastAsia="仿宋_GB2312" w:cs="仿宋_GB2312"/>
          <w:b w:val="0"/>
          <w:color w:val="FF0000"/>
          <w:kern w:val="2"/>
          <w:sz w:val="32"/>
          <w:szCs w:val="32"/>
        </w:rPr>
        <w:t>万</w:t>
      </w:r>
      <w:r>
        <w:rPr>
          <w:rFonts w:hint="eastAsia" w:ascii="仿宋_GB2312" w:hAnsi="仿宋_GB2312" w:eastAsia="仿宋_GB2312" w:cs="仿宋_GB2312"/>
          <w:b w:val="0"/>
          <w:kern w:val="2"/>
          <w:sz w:val="32"/>
          <w:szCs w:val="32"/>
        </w:rPr>
        <w:t>元，具体测算过程为按</w:t>
      </w:r>
      <w:r>
        <w:rPr>
          <w:rFonts w:hint="eastAsia" w:ascii="仿宋" w:hAnsi="仿宋" w:eastAsia="仿宋_GB2312"/>
          <w:b w:val="0"/>
          <w:sz w:val="32"/>
          <w:szCs w:val="30"/>
          <w:lang w:eastAsia="zh-CN"/>
        </w:rPr>
        <w:t>四川省民政厅</w:t>
      </w:r>
      <w:r>
        <w:rPr>
          <w:rFonts w:hint="eastAsia" w:ascii="仿宋" w:hAnsi="仿宋" w:eastAsia="仿宋_GB2312"/>
          <w:b w:val="0"/>
          <w:sz w:val="32"/>
          <w:szCs w:val="30"/>
        </w:rPr>
        <w:t>《四川省</w:t>
      </w:r>
      <w:r>
        <w:rPr>
          <w:rFonts w:hint="eastAsia" w:ascii="仿宋" w:hAnsi="仿宋" w:eastAsia="仿宋_GB2312"/>
          <w:b w:val="0"/>
          <w:sz w:val="32"/>
          <w:szCs w:val="30"/>
          <w:lang w:eastAsia="zh-CN"/>
        </w:rPr>
        <w:t>特困人员救助供养</w:t>
      </w:r>
      <w:r>
        <w:rPr>
          <w:rFonts w:hint="eastAsia" w:ascii="仿宋" w:hAnsi="仿宋" w:eastAsia="仿宋_GB2312"/>
          <w:b w:val="0"/>
          <w:sz w:val="32"/>
          <w:szCs w:val="30"/>
        </w:rPr>
        <w:t>工作规程》的通知（川民</w:t>
      </w:r>
      <w:r>
        <w:rPr>
          <w:rFonts w:hint="eastAsia" w:ascii="仿宋" w:hAnsi="仿宋" w:eastAsia="仿宋_GB2312"/>
          <w:b w:val="0"/>
          <w:sz w:val="32"/>
          <w:szCs w:val="30"/>
          <w:lang w:eastAsia="zh-CN"/>
        </w:rPr>
        <w:t>规</w:t>
      </w:r>
      <w:r>
        <w:rPr>
          <w:rFonts w:hint="eastAsia" w:ascii="仿宋" w:hAnsi="仿宋" w:eastAsia="仿宋_GB2312"/>
          <w:b w:val="0"/>
          <w:sz w:val="32"/>
          <w:szCs w:val="30"/>
        </w:rPr>
        <w:t>[20</w:t>
      </w:r>
      <w:r>
        <w:rPr>
          <w:rFonts w:hint="eastAsia" w:ascii="仿宋" w:hAnsi="仿宋" w:eastAsia="仿宋_GB2312"/>
          <w:b w:val="0"/>
          <w:sz w:val="32"/>
          <w:szCs w:val="30"/>
          <w:lang w:val="en-US" w:eastAsia="zh-CN"/>
        </w:rPr>
        <w:t>22</w:t>
      </w:r>
      <w:r>
        <w:rPr>
          <w:rFonts w:hint="eastAsia" w:ascii="仿宋" w:hAnsi="仿宋" w:eastAsia="仿宋_GB2312"/>
          <w:b w:val="0"/>
          <w:sz w:val="32"/>
          <w:szCs w:val="30"/>
        </w:rPr>
        <w:t>]1号）文件</w:t>
      </w:r>
      <w:r>
        <w:rPr>
          <w:rFonts w:hint="eastAsia" w:ascii="仿宋" w:hAnsi="仿宋" w:eastAsia="仿宋_GB2312"/>
          <w:b w:val="0"/>
          <w:sz w:val="32"/>
          <w:szCs w:val="30"/>
          <w:lang w:val="zh-CN"/>
        </w:rPr>
        <w:t>来评估、核定，城乡特困供养人员的专项补助，按</w:t>
      </w:r>
      <w:r>
        <w:rPr>
          <w:rFonts w:hint="eastAsia" w:ascii="仿宋" w:hAnsi="仿宋" w:eastAsia="仿宋_GB2312"/>
          <w:b w:val="0"/>
          <w:sz w:val="32"/>
          <w:szCs w:val="30"/>
          <w:lang w:val="en-US" w:eastAsia="zh-CN"/>
        </w:rPr>
        <w:t>关于调整城乡居民最低生活保障和特困人员基</w:t>
      </w:r>
      <w:r>
        <w:rPr>
          <w:rFonts w:hint="default" w:ascii="仿宋" w:hAnsi="仿宋" w:eastAsia="仿宋_GB2312"/>
          <w:b w:val="0"/>
          <w:sz w:val="32"/>
          <w:szCs w:val="30"/>
          <w:lang w:val="en-US" w:eastAsia="zh-CN"/>
        </w:rPr>
        <w:t>本生活标准的通知</w:t>
      </w:r>
      <w:r>
        <w:rPr>
          <w:rFonts w:hint="eastAsia" w:ascii="仿宋" w:hAnsi="仿宋" w:eastAsia="仿宋_GB2312"/>
          <w:b w:val="0"/>
          <w:sz w:val="32"/>
          <w:szCs w:val="30"/>
        </w:rPr>
        <w:t>（</w:t>
      </w:r>
      <w:r>
        <w:rPr>
          <w:rFonts w:hint="eastAsia" w:ascii="仿宋" w:hAnsi="仿宋" w:eastAsia="仿宋_GB2312"/>
          <w:b w:val="0"/>
          <w:sz w:val="32"/>
          <w:szCs w:val="30"/>
          <w:lang w:eastAsia="zh-CN"/>
        </w:rPr>
        <w:t>阿州民政</w:t>
      </w:r>
      <w:r>
        <w:rPr>
          <w:rFonts w:hint="eastAsia" w:ascii="仿宋" w:hAnsi="仿宋" w:eastAsia="仿宋_GB2312"/>
          <w:b w:val="0"/>
          <w:sz w:val="32"/>
          <w:szCs w:val="30"/>
        </w:rPr>
        <w:t>[20</w:t>
      </w:r>
      <w:r>
        <w:rPr>
          <w:rFonts w:hint="eastAsia" w:ascii="仿宋" w:hAnsi="仿宋" w:eastAsia="仿宋_GB2312"/>
          <w:b w:val="0"/>
          <w:sz w:val="32"/>
          <w:szCs w:val="30"/>
          <w:lang w:val="en-US" w:eastAsia="zh-CN"/>
        </w:rPr>
        <w:t>22</w:t>
      </w:r>
      <w:r>
        <w:rPr>
          <w:rFonts w:hint="eastAsia" w:ascii="仿宋" w:hAnsi="仿宋" w:eastAsia="仿宋_GB2312"/>
          <w:b w:val="0"/>
          <w:sz w:val="32"/>
          <w:szCs w:val="30"/>
        </w:rPr>
        <w:t>]</w:t>
      </w:r>
      <w:r>
        <w:rPr>
          <w:rFonts w:hint="eastAsia" w:ascii="仿宋" w:hAnsi="仿宋" w:eastAsia="仿宋_GB2312"/>
          <w:b w:val="0"/>
          <w:sz w:val="32"/>
          <w:szCs w:val="30"/>
          <w:lang w:val="en-US" w:eastAsia="zh-CN"/>
        </w:rPr>
        <w:t>52</w:t>
      </w:r>
      <w:r>
        <w:rPr>
          <w:rFonts w:hint="eastAsia" w:ascii="仿宋" w:hAnsi="仿宋" w:eastAsia="仿宋_GB2312"/>
          <w:b w:val="0"/>
          <w:sz w:val="32"/>
          <w:szCs w:val="30"/>
        </w:rPr>
        <w:t>号）</w:t>
      </w:r>
      <w:r>
        <w:rPr>
          <w:rFonts w:hint="eastAsia" w:ascii="仿宋" w:hAnsi="仿宋" w:eastAsia="仿宋_GB2312"/>
          <w:b w:val="0"/>
          <w:sz w:val="32"/>
          <w:szCs w:val="30"/>
          <w:lang w:eastAsia="zh-CN"/>
        </w:rPr>
        <w:t>，</w:t>
      </w:r>
      <w:r>
        <w:rPr>
          <w:rFonts w:hint="eastAsia" w:ascii="仿宋" w:hAnsi="仿宋" w:eastAsia="仿宋_GB2312"/>
          <w:b w:val="0"/>
          <w:sz w:val="32"/>
          <w:szCs w:val="30"/>
          <w:lang w:val="en-US" w:eastAsia="zh-CN"/>
        </w:rPr>
        <w:t>关于调整城乡居民最低生活保障和特困人员基</w:t>
      </w:r>
      <w:r>
        <w:rPr>
          <w:rFonts w:hint="default" w:ascii="仿宋" w:hAnsi="仿宋" w:eastAsia="仿宋_GB2312"/>
          <w:b w:val="0"/>
          <w:sz w:val="32"/>
          <w:szCs w:val="30"/>
          <w:lang w:val="en-US" w:eastAsia="zh-CN"/>
        </w:rPr>
        <w:t>本生活标准的通知</w:t>
      </w:r>
      <w:r>
        <w:rPr>
          <w:rFonts w:hint="eastAsia" w:ascii="仿宋" w:hAnsi="仿宋" w:eastAsia="仿宋_GB2312"/>
          <w:b w:val="0"/>
          <w:sz w:val="32"/>
          <w:szCs w:val="30"/>
        </w:rPr>
        <w:t>（</w:t>
      </w:r>
      <w:r>
        <w:rPr>
          <w:rFonts w:hint="eastAsia" w:ascii="仿宋" w:hAnsi="仿宋" w:eastAsia="仿宋_GB2312"/>
          <w:b w:val="0"/>
          <w:sz w:val="32"/>
          <w:szCs w:val="30"/>
          <w:lang w:eastAsia="zh-CN"/>
        </w:rPr>
        <w:t>阿州民政</w:t>
      </w:r>
      <w:r>
        <w:rPr>
          <w:rFonts w:hint="eastAsia" w:ascii="仿宋" w:hAnsi="仿宋" w:eastAsia="仿宋_GB2312"/>
          <w:b w:val="0"/>
          <w:sz w:val="32"/>
          <w:szCs w:val="30"/>
        </w:rPr>
        <w:t>[20</w:t>
      </w:r>
      <w:r>
        <w:rPr>
          <w:rFonts w:hint="eastAsia" w:ascii="仿宋" w:hAnsi="仿宋" w:eastAsia="仿宋_GB2312"/>
          <w:b w:val="0"/>
          <w:sz w:val="32"/>
          <w:szCs w:val="30"/>
          <w:lang w:val="en-US" w:eastAsia="zh-CN"/>
        </w:rPr>
        <w:t>23</w:t>
      </w:r>
      <w:r>
        <w:rPr>
          <w:rFonts w:hint="eastAsia" w:ascii="仿宋" w:hAnsi="仿宋" w:eastAsia="仿宋_GB2312"/>
          <w:b w:val="0"/>
          <w:sz w:val="32"/>
          <w:szCs w:val="30"/>
        </w:rPr>
        <w:t>]</w:t>
      </w:r>
      <w:r>
        <w:rPr>
          <w:rFonts w:hint="eastAsia" w:ascii="仿宋" w:hAnsi="仿宋" w:eastAsia="仿宋_GB2312"/>
          <w:b w:val="0"/>
          <w:sz w:val="32"/>
          <w:szCs w:val="30"/>
          <w:lang w:val="en-US" w:eastAsia="zh-CN"/>
        </w:rPr>
        <w:t>51</w:t>
      </w:r>
      <w:r>
        <w:rPr>
          <w:rFonts w:hint="eastAsia" w:ascii="仿宋" w:hAnsi="仿宋" w:eastAsia="仿宋_GB2312"/>
          <w:b w:val="0"/>
          <w:sz w:val="32"/>
          <w:szCs w:val="30"/>
        </w:rPr>
        <w:t>号）</w:t>
      </w:r>
      <w:r>
        <w:rPr>
          <w:rFonts w:hint="eastAsia" w:ascii="仿宋" w:hAnsi="仿宋" w:eastAsia="仿宋_GB2312"/>
          <w:b w:val="0"/>
          <w:sz w:val="32"/>
          <w:szCs w:val="30"/>
          <w:lang w:eastAsia="zh-CN"/>
        </w:rPr>
        <w:t>，</w:t>
      </w:r>
      <w:r>
        <w:rPr>
          <w:rFonts w:hint="eastAsia" w:ascii="仿宋" w:hAnsi="仿宋" w:eastAsia="仿宋_GB2312"/>
          <w:b w:val="0"/>
          <w:sz w:val="32"/>
          <w:szCs w:val="30"/>
          <w:lang w:val="zh-CN"/>
        </w:rPr>
        <w:t>阿坝州民政局</w:t>
      </w:r>
      <w:r>
        <w:rPr>
          <w:rFonts w:hint="eastAsia" w:ascii="仿宋" w:hAnsi="仿宋" w:eastAsia="仿宋_GB2312"/>
          <w:b w:val="0"/>
          <w:sz w:val="32"/>
          <w:szCs w:val="30"/>
          <w:lang w:val="en-US" w:eastAsia="zh-CN"/>
        </w:rPr>
        <w:t xml:space="preserve"> 阿坝州财政局关于调整特困人员救助供养标准的通知</w:t>
      </w:r>
      <w:r>
        <w:rPr>
          <w:rFonts w:hint="eastAsia" w:ascii="仿宋" w:hAnsi="仿宋" w:eastAsia="仿宋_GB2312"/>
          <w:b w:val="0"/>
          <w:sz w:val="32"/>
          <w:szCs w:val="30"/>
        </w:rPr>
        <w:t>（</w:t>
      </w:r>
      <w:r>
        <w:rPr>
          <w:rFonts w:hint="eastAsia" w:ascii="仿宋" w:hAnsi="仿宋" w:eastAsia="仿宋_GB2312"/>
          <w:b w:val="0"/>
          <w:sz w:val="32"/>
          <w:szCs w:val="30"/>
          <w:lang w:eastAsia="zh-CN"/>
        </w:rPr>
        <w:t>阿州民政</w:t>
      </w:r>
      <w:r>
        <w:rPr>
          <w:rFonts w:hint="eastAsia" w:ascii="仿宋" w:hAnsi="仿宋" w:eastAsia="仿宋_GB2312"/>
          <w:b w:val="0"/>
          <w:sz w:val="32"/>
          <w:szCs w:val="30"/>
        </w:rPr>
        <w:t>[20</w:t>
      </w:r>
      <w:r>
        <w:rPr>
          <w:rFonts w:hint="eastAsia" w:ascii="仿宋" w:hAnsi="仿宋" w:eastAsia="仿宋_GB2312"/>
          <w:b w:val="0"/>
          <w:sz w:val="32"/>
          <w:szCs w:val="30"/>
          <w:lang w:val="en-US" w:eastAsia="zh-CN"/>
        </w:rPr>
        <w:t>19</w:t>
      </w:r>
      <w:r>
        <w:rPr>
          <w:rFonts w:hint="eastAsia" w:ascii="仿宋" w:hAnsi="仿宋" w:eastAsia="仿宋_GB2312"/>
          <w:b w:val="0"/>
          <w:sz w:val="32"/>
          <w:szCs w:val="30"/>
        </w:rPr>
        <w:t>]1</w:t>
      </w:r>
      <w:r>
        <w:rPr>
          <w:rFonts w:hint="eastAsia" w:ascii="仿宋" w:hAnsi="仿宋" w:eastAsia="仿宋_GB2312"/>
          <w:b w:val="0"/>
          <w:sz w:val="32"/>
          <w:szCs w:val="30"/>
          <w:lang w:val="en-US" w:eastAsia="zh-CN"/>
        </w:rPr>
        <w:t>17</w:t>
      </w:r>
      <w:r>
        <w:rPr>
          <w:rFonts w:hint="eastAsia" w:ascii="仿宋" w:hAnsi="仿宋" w:eastAsia="仿宋_GB2312"/>
          <w:b w:val="0"/>
          <w:sz w:val="32"/>
          <w:szCs w:val="30"/>
        </w:rPr>
        <w:t>号）</w:t>
      </w:r>
      <w:r>
        <w:rPr>
          <w:rFonts w:hint="eastAsia" w:ascii="仿宋" w:hAnsi="仿宋" w:eastAsia="仿宋_GB2312"/>
          <w:b w:val="0"/>
          <w:sz w:val="32"/>
          <w:szCs w:val="30"/>
          <w:lang w:eastAsia="zh-CN"/>
        </w:rPr>
        <w:t>统一全州特困人员照料护理标准调整执行</w:t>
      </w:r>
      <w:r>
        <w:rPr>
          <w:rFonts w:hint="eastAsia" w:ascii="仿宋_GB2312" w:hAnsi="仿宋_GB2312" w:eastAsia="仿宋_GB2312" w:cs="仿宋_GB2312"/>
          <w:b w:val="0"/>
          <w:kern w:val="2"/>
          <w:sz w:val="32"/>
          <w:szCs w:val="32"/>
        </w:rPr>
        <w:t>。资金来源为</w:t>
      </w:r>
      <w:r>
        <w:rPr>
          <w:rFonts w:hint="eastAsia" w:ascii="仿宋_GB2312" w:hAnsi="仿宋_GB2312" w:eastAsia="仿宋_GB2312" w:cs="仿宋_GB2312"/>
          <w:b w:val="0"/>
          <w:kern w:val="2"/>
          <w:sz w:val="32"/>
          <w:szCs w:val="32"/>
          <w:lang w:val="en-US" w:eastAsia="zh-CN"/>
        </w:rPr>
        <w:t>州级</w:t>
      </w:r>
      <w:r>
        <w:rPr>
          <w:rFonts w:hint="eastAsia" w:ascii="仿宋_GB2312" w:hAnsi="仿宋_GB2312" w:eastAsia="仿宋_GB2312" w:cs="仿宋_GB2312"/>
          <w:b w:val="0"/>
          <w:kern w:val="2"/>
          <w:sz w:val="32"/>
          <w:szCs w:val="32"/>
        </w:rPr>
        <w:t>财政资金或</w:t>
      </w:r>
      <w:r>
        <w:rPr>
          <w:rFonts w:hint="eastAsia" w:ascii="仿宋_GB2312" w:hAnsi="仿宋_GB2312" w:eastAsia="仿宋_GB2312" w:cs="仿宋_GB2312"/>
          <w:b w:val="0"/>
          <w:kern w:val="2"/>
          <w:sz w:val="32"/>
          <w:szCs w:val="32"/>
          <w:lang w:val="en-US" w:eastAsia="zh-CN"/>
        </w:rPr>
        <w:t>县级财政</w:t>
      </w:r>
      <w:r>
        <w:rPr>
          <w:rFonts w:hint="eastAsia" w:ascii="仿宋_GB2312" w:hAnsi="仿宋_GB2312" w:eastAsia="仿宋_GB2312" w:cs="仿宋_GB2312"/>
          <w:b w:val="0"/>
          <w:kern w:val="2"/>
          <w:sz w:val="32"/>
          <w:szCs w:val="32"/>
        </w:rPr>
        <w:t>资金。本次对项目投入经济性的评估是在项目事前绩效评估、预算测算的基础上，按照厉行节约的要求，结合项目</w:t>
      </w:r>
      <w:r>
        <w:rPr>
          <w:rFonts w:hint="eastAsia" w:ascii="仿宋_GB2312" w:hAnsi="仿宋_GB2312" w:eastAsia="仿宋_GB2312" w:cs="仿宋_GB2312"/>
          <w:b w:val="0"/>
          <w:kern w:val="2"/>
          <w:sz w:val="32"/>
          <w:szCs w:val="32"/>
          <w:u w:val="single"/>
        </w:rPr>
        <w:t>2</w:t>
      </w:r>
      <w:r>
        <w:rPr>
          <w:rFonts w:hint="eastAsia" w:ascii="仿宋_GB2312" w:hAnsi="仿宋_GB2312" w:eastAsia="仿宋_GB2312" w:cs="仿宋_GB2312"/>
          <w:b w:val="0"/>
          <w:kern w:val="2"/>
          <w:sz w:val="32"/>
          <w:szCs w:val="32"/>
          <w:u w:val="single"/>
          <w:lang w:val="en-US" w:eastAsia="zh-CN"/>
        </w:rPr>
        <w:t>0</w:t>
      </w:r>
      <w:r>
        <w:rPr>
          <w:rFonts w:hint="eastAsia" w:ascii="仿宋_GB2312" w:hAnsi="仿宋_GB2312" w:eastAsia="仿宋_GB2312" w:cs="仿宋_GB2312"/>
          <w:b w:val="0"/>
          <w:kern w:val="2"/>
          <w:sz w:val="32"/>
          <w:szCs w:val="32"/>
          <w:u w:val="single"/>
        </w:rPr>
        <w:t xml:space="preserve"> 年</w:t>
      </w:r>
      <w:r>
        <w:rPr>
          <w:rFonts w:hint="eastAsia" w:ascii="仿宋_GB2312" w:hAnsi="仿宋_GB2312" w:eastAsia="仿宋_GB2312" w:cs="仿宋_GB2312"/>
          <w:b w:val="0"/>
          <w:kern w:val="2"/>
          <w:sz w:val="32"/>
          <w:szCs w:val="32"/>
        </w:rPr>
        <w:t>开支情况结合</w:t>
      </w:r>
      <w:r>
        <w:rPr>
          <w:rFonts w:hint="eastAsia" w:ascii="仿宋_GB2312" w:hAnsi="仿宋_GB2312" w:eastAsia="仿宋_GB2312" w:cs="仿宋_GB2312"/>
          <w:b w:val="0"/>
          <w:kern w:val="2"/>
          <w:sz w:val="32"/>
          <w:szCs w:val="32"/>
          <w:u w:val="single"/>
        </w:rPr>
        <w:t>2</w:t>
      </w:r>
      <w:r>
        <w:rPr>
          <w:rFonts w:hint="eastAsia" w:ascii="仿宋_GB2312" w:hAnsi="仿宋_GB2312" w:eastAsia="仿宋_GB2312" w:cs="仿宋_GB2312"/>
          <w:b w:val="0"/>
          <w:kern w:val="2"/>
          <w:sz w:val="32"/>
          <w:szCs w:val="32"/>
          <w:u w:val="single"/>
          <w:lang w:val="en-US" w:eastAsia="zh-CN"/>
        </w:rPr>
        <w:t>0</w:t>
      </w:r>
      <w:r>
        <w:rPr>
          <w:rFonts w:hint="eastAsia" w:ascii="仿宋_GB2312" w:hAnsi="仿宋_GB2312" w:eastAsia="仿宋_GB2312" w:cs="仿宋_GB2312"/>
          <w:b w:val="0"/>
          <w:kern w:val="2"/>
          <w:sz w:val="32"/>
          <w:szCs w:val="32"/>
          <w:u w:val="single"/>
        </w:rPr>
        <w:t>年</w:t>
      </w:r>
      <w:r>
        <w:rPr>
          <w:rFonts w:hint="eastAsia" w:ascii="仿宋_GB2312" w:hAnsi="仿宋_GB2312" w:eastAsia="仿宋_GB2312" w:cs="仿宋_GB2312"/>
          <w:b w:val="0"/>
          <w:kern w:val="2"/>
          <w:sz w:val="32"/>
          <w:szCs w:val="32"/>
        </w:rPr>
        <w:t>实际需求、相关费用标准及市场价格水平，重点对数量是否合理、投入是否经济、预算测算是否准确、测算过程是否详细、测算依据是否充分等方面进行了评估。评估认为，该项目任务数量基本合理、预算测算过程较为详细、测算依据基本充分、有一定的经济性。</w:t>
      </w:r>
    </w:p>
    <w:p w14:paraId="238FC930">
      <w:pPr>
        <w:keepNext w:val="0"/>
        <w:keepLines w:val="0"/>
        <w:pageBreakBefore w:val="0"/>
        <w:widowControl w:val="0"/>
        <w:suppressLineNumbers w:val="0"/>
        <w:suppressAutoHyphens/>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kern w:val="2"/>
          <w:sz w:val="32"/>
          <w:szCs w:val="32"/>
        </w:rPr>
      </w:pPr>
      <w:r>
        <w:rPr>
          <w:rFonts w:hint="eastAsia" w:ascii="仿宋_GB2312" w:hAnsi="仿宋_GB2312" w:eastAsia="仿宋_GB2312" w:cs="仿宋_GB2312"/>
          <w:b w:val="0"/>
          <w:kern w:val="2"/>
          <w:sz w:val="32"/>
          <w:szCs w:val="32"/>
        </w:rPr>
        <w:t>建议预算</w:t>
      </w:r>
      <w:r>
        <w:rPr>
          <w:rFonts w:hint="eastAsia" w:ascii="仿宋_GB2312" w:hAnsi="仿宋_GB2312" w:eastAsia="仿宋_GB2312" w:cs="仿宋_GB2312"/>
          <w:b w:val="0"/>
          <w:color w:val="FF0000"/>
          <w:kern w:val="2"/>
          <w:sz w:val="32"/>
          <w:szCs w:val="32"/>
        </w:rPr>
        <w:t>控制在</w:t>
      </w:r>
      <w:r>
        <w:rPr>
          <w:rFonts w:hint="eastAsia" w:ascii="仿宋_GB2312" w:hAnsi="仿宋_GB2312" w:eastAsia="仿宋_GB2312" w:cs="仿宋_GB2312"/>
          <w:b w:val="0"/>
          <w:color w:val="FF0000"/>
          <w:kern w:val="2"/>
          <w:sz w:val="32"/>
          <w:szCs w:val="32"/>
          <w:lang w:val="en-US" w:eastAsia="zh-CN"/>
        </w:rPr>
        <w:t xml:space="preserve"> 648.76 </w:t>
      </w:r>
      <w:r>
        <w:rPr>
          <w:rFonts w:hint="eastAsia" w:ascii="仿宋_GB2312" w:hAnsi="仿宋_GB2312" w:eastAsia="仿宋_GB2312" w:cs="仿宋_GB2312"/>
          <w:b w:val="0"/>
          <w:color w:val="FF0000"/>
          <w:kern w:val="2"/>
          <w:sz w:val="32"/>
          <w:szCs w:val="32"/>
        </w:rPr>
        <w:t>万元以</w:t>
      </w:r>
      <w:r>
        <w:rPr>
          <w:rFonts w:hint="eastAsia" w:ascii="仿宋_GB2312" w:hAnsi="仿宋_GB2312" w:eastAsia="仿宋_GB2312" w:cs="仿宋_GB2312"/>
          <w:b w:val="0"/>
          <w:kern w:val="2"/>
          <w:sz w:val="32"/>
          <w:szCs w:val="32"/>
        </w:rPr>
        <w:t>内，与申报</w:t>
      </w:r>
      <w:r>
        <w:rPr>
          <w:rFonts w:hint="eastAsia" w:ascii="仿宋_GB2312" w:hAnsi="仿宋_GB2312" w:eastAsia="仿宋_GB2312" w:cs="仿宋_GB2312"/>
          <w:b w:val="0"/>
          <w:kern w:val="2"/>
          <w:sz w:val="32"/>
          <w:szCs w:val="32"/>
          <w:lang w:eastAsia="zh-CN"/>
        </w:rPr>
        <w:t>人</w:t>
      </w:r>
      <w:r>
        <w:rPr>
          <w:rFonts w:hint="eastAsia" w:ascii="仿宋_GB2312" w:hAnsi="仿宋_GB2312" w:eastAsia="仿宋_GB2312" w:cs="仿宋_GB2312"/>
          <w:b w:val="0"/>
          <w:kern w:val="2"/>
          <w:sz w:val="32"/>
          <w:szCs w:val="32"/>
        </w:rPr>
        <w:t>数相比</w:t>
      </w:r>
      <w:r>
        <w:rPr>
          <w:rFonts w:hint="eastAsia" w:ascii="仿宋_GB2312" w:hAnsi="仿宋_GB2312" w:eastAsia="仿宋_GB2312" w:cs="仿宋_GB2312"/>
          <w:b w:val="0"/>
          <w:kern w:val="2"/>
          <w:sz w:val="32"/>
          <w:szCs w:val="32"/>
          <w:lang w:eastAsia="zh-CN"/>
        </w:rPr>
        <w:t>持平</w:t>
      </w:r>
      <w:r>
        <w:rPr>
          <w:rFonts w:hint="eastAsia" w:ascii="仿宋_GB2312" w:hAnsi="仿宋_GB2312" w:eastAsia="仿宋_GB2312" w:cs="仿宋_GB2312"/>
          <w:b w:val="0"/>
          <w:color w:val="FF0000"/>
          <w:kern w:val="2"/>
          <w:sz w:val="32"/>
          <w:szCs w:val="32"/>
        </w:rPr>
        <w:t>（</w:t>
      </w:r>
      <w:r>
        <w:rPr>
          <w:rFonts w:hint="eastAsia" w:ascii="仿宋_GB2312" w:hAnsi="仿宋_GB2312" w:eastAsia="仿宋_GB2312" w:cs="仿宋_GB2312"/>
          <w:b w:val="0"/>
          <w:kern w:val="2"/>
          <w:sz w:val="32"/>
          <w:szCs w:val="32"/>
        </w:rPr>
        <w:t>详见下表）。</w:t>
      </w:r>
    </w:p>
    <w:p w14:paraId="13533093">
      <w:pPr>
        <w:pageBreakBefore w:val="0"/>
        <w:tabs>
          <w:tab w:val="center" w:pos="4153"/>
          <w:tab w:val="right" w:pos="8306"/>
        </w:tabs>
        <w:kinsoku/>
        <w:wordWrap/>
        <w:overflowPunct/>
        <w:topLinePunct w:val="0"/>
        <w:autoSpaceDE/>
        <w:autoSpaceDN/>
        <w:bidi w:val="0"/>
        <w:spacing w:line="560" w:lineRule="exact"/>
        <w:rPr>
          <w:rFonts w:hint="eastAsia" w:eastAsia="仿宋_GB2312"/>
          <w:b w:val="0"/>
          <w:sz w:val="32"/>
        </w:rPr>
      </w:pPr>
    </w:p>
    <w:p w14:paraId="5CC24206">
      <w:pPr>
        <w:keepNext w:val="0"/>
        <w:keepLines w:val="0"/>
        <w:pageBreakBefore w:val="0"/>
        <w:widowControl w:val="0"/>
        <w:suppressLineNumbers w:val="0"/>
        <w:suppressAutoHyphens/>
        <w:kinsoku/>
        <w:wordWrap/>
        <w:overflowPunct/>
        <w:topLinePunct w:val="0"/>
        <w:autoSpaceDE/>
        <w:autoSpaceDN/>
        <w:bidi w:val="0"/>
        <w:adjustRightInd/>
        <w:snapToGrid w:val="0"/>
        <w:spacing w:line="560" w:lineRule="exact"/>
        <w:ind w:left="0" w:firstLine="1600" w:firstLineChars="500"/>
        <w:rPr>
          <w:rFonts w:hint="eastAsia" w:ascii="仿宋_GB2312" w:hAnsi="仿宋_GB2312" w:eastAsia="仿宋_GB2312" w:cs="仿宋_GB2312"/>
          <w:b w:val="0"/>
          <w:kern w:val="2"/>
          <w:sz w:val="32"/>
          <w:szCs w:val="28"/>
          <w:lang w:eastAsia="zh-CN"/>
        </w:rPr>
      </w:pPr>
      <w:r>
        <w:rPr>
          <w:rFonts w:hint="eastAsia" w:ascii="仿宋_GB2312" w:hAnsi="仿宋_GB2312" w:eastAsia="仿宋_GB2312" w:cs="仿宋_GB2312"/>
          <w:b w:val="0"/>
          <w:kern w:val="2"/>
          <w:sz w:val="32"/>
          <w:szCs w:val="28"/>
          <w:lang w:val="en-US" w:eastAsia="zh-CN"/>
        </w:rPr>
        <w:t>特困供养、特困护理</w:t>
      </w:r>
      <w:r>
        <w:rPr>
          <w:rFonts w:hint="eastAsia" w:ascii="仿宋_GB2312" w:hAnsi="仿宋_GB2312" w:eastAsia="仿宋_GB2312" w:cs="仿宋_GB2312"/>
          <w:b w:val="0"/>
          <w:kern w:val="2"/>
          <w:sz w:val="32"/>
          <w:szCs w:val="28"/>
        </w:rPr>
        <w:t>项目事前绩效评估汇总表</w:t>
      </w:r>
      <w:r>
        <w:rPr>
          <w:rFonts w:hint="eastAsia" w:ascii="仿宋_GB2312" w:hAnsi="仿宋_GB2312" w:eastAsia="仿宋_GB2312" w:cs="仿宋_GB2312"/>
          <w:b w:val="0"/>
          <w:kern w:val="2"/>
          <w:sz w:val="32"/>
          <w:szCs w:val="28"/>
          <w:lang w:eastAsia="zh-CN"/>
        </w:rPr>
        <w:t>（</w:t>
      </w:r>
      <w:r>
        <w:rPr>
          <w:rFonts w:hint="eastAsia" w:ascii="仿宋_GB2312" w:hAnsi="仿宋_GB2312" w:eastAsia="仿宋_GB2312" w:cs="仿宋_GB2312"/>
          <w:b w:val="0"/>
          <w:kern w:val="2"/>
          <w:sz w:val="32"/>
          <w:szCs w:val="28"/>
          <w:lang w:val="en-US" w:eastAsia="zh-CN"/>
        </w:rPr>
        <w:t>万元</w:t>
      </w:r>
      <w:r>
        <w:rPr>
          <w:rFonts w:hint="eastAsia" w:ascii="仿宋_GB2312" w:hAnsi="仿宋_GB2312" w:eastAsia="仿宋_GB2312" w:cs="仿宋_GB2312"/>
          <w:b w:val="0"/>
          <w:kern w:val="2"/>
          <w:sz w:val="32"/>
          <w:szCs w:val="28"/>
          <w:lang w:eastAsia="zh-CN"/>
        </w:rPr>
        <w:t>）</w:t>
      </w:r>
    </w:p>
    <w:tbl>
      <w:tblPr>
        <w:tblStyle w:val="8"/>
        <w:tblW w:w="9110"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417"/>
        <w:gridCol w:w="2667"/>
        <w:gridCol w:w="954"/>
        <w:gridCol w:w="954"/>
        <w:gridCol w:w="1004"/>
        <w:gridCol w:w="954"/>
        <w:gridCol w:w="2160"/>
      </w:tblGrid>
      <w:tr w14:paraId="4518110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51414FD1">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序号</w:t>
            </w:r>
          </w:p>
        </w:tc>
        <w:tc>
          <w:tcPr>
            <w:tcW w:w="2667" w:type="dxa"/>
            <w:tcBorders>
              <w:top w:val="single" w:color="auto" w:sz="4" w:space="0"/>
              <w:left w:val="single" w:color="auto" w:sz="4" w:space="0"/>
              <w:bottom w:val="single" w:color="auto" w:sz="4" w:space="0"/>
              <w:right w:val="single" w:color="auto" w:sz="4" w:space="0"/>
            </w:tcBorders>
            <w:vAlign w:val="center"/>
          </w:tcPr>
          <w:p w14:paraId="3727D036">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项目内容</w:t>
            </w:r>
          </w:p>
        </w:tc>
        <w:tc>
          <w:tcPr>
            <w:tcW w:w="954" w:type="dxa"/>
            <w:tcBorders>
              <w:top w:val="single" w:color="auto" w:sz="4" w:space="0"/>
              <w:left w:val="single" w:color="auto" w:sz="4" w:space="0"/>
              <w:bottom w:val="single" w:color="auto" w:sz="4" w:space="0"/>
              <w:right w:val="single" w:color="auto" w:sz="4" w:space="0"/>
            </w:tcBorders>
            <w:vAlign w:val="center"/>
          </w:tcPr>
          <w:p w14:paraId="51CB37E1">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申报</w:t>
            </w:r>
          </w:p>
          <w:p w14:paraId="3EB058D0">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预算</w:t>
            </w:r>
          </w:p>
        </w:tc>
        <w:tc>
          <w:tcPr>
            <w:tcW w:w="954" w:type="dxa"/>
            <w:tcBorders>
              <w:top w:val="single" w:color="auto" w:sz="4" w:space="0"/>
              <w:left w:val="single" w:color="auto" w:sz="4" w:space="0"/>
              <w:bottom w:val="single" w:color="auto" w:sz="4" w:space="0"/>
              <w:right w:val="single" w:color="auto" w:sz="4" w:space="0"/>
            </w:tcBorders>
            <w:vAlign w:val="center"/>
          </w:tcPr>
          <w:p w14:paraId="1CF6EBBD">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送审</w:t>
            </w:r>
          </w:p>
          <w:p w14:paraId="18146A13">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金额</w:t>
            </w:r>
          </w:p>
        </w:tc>
        <w:tc>
          <w:tcPr>
            <w:tcW w:w="1004" w:type="dxa"/>
            <w:tcBorders>
              <w:top w:val="single" w:color="auto" w:sz="4" w:space="0"/>
              <w:left w:val="single" w:color="auto" w:sz="4" w:space="0"/>
              <w:bottom w:val="single" w:color="auto" w:sz="4" w:space="0"/>
              <w:right w:val="single" w:color="auto" w:sz="4" w:space="0"/>
            </w:tcBorders>
            <w:vAlign w:val="center"/>
          </w:tcPr>
          <w:p w14:paraId="5E032DB2">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建议控制额</w:t>
            </w:r>
          </w:p>
        </w:tc>
        <w:tc>
          <w:tcPr>
            <w:tcW w:w="954" w:type="dxa"/>
            <w:tcBorders>
              <w:top w:val="single" w:color="auto" w:sz="4" w:space="0"/>
              <w:left w:val="single" w:color="auto" w:sz="4" w:space="0"/>
              <w:bottom w:val="single" w:color="auto" w:sz="4" w:space="0"/>
              <w:right w:val="single" w:color="auto" w:sz="4" w:space="0"/>
            </w:tcBorders>
            <w:vAlign w:val="center"/>
          </w:tcPr>
          <w:p w14:paraId="4B83CABA">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核减</w:t>
            </w:r>
          </w:p>
        </w:tc>
        <w:tc>
          <w:tcPr>
            <w:tcW w:w="2160" w:type="dxa"/>
            <w:vMerge w:val="restart"/>
            <w:tcBorders>
              <w:top w:val="single" w:color="auto" w:sz="4" w:space="0"/>
              <w:left w:val="single" w:color="auto" w:sz="4" w:space="0"/>
              <w:bottom w:val="single" w:color="auto" w:sz="4" w:space="0"/>
              <w:right w:val="single" w:color="auto" w:sz="4" w:space="0"/>
            </w:tcBorders>
            <w:vAlign w:val="center"/>
          </w:tcPr>
          <w:p w14:paraId="55E2CE2A">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color w:val="auto"/>
                <w:kern w:val="0"/>
                <w:sz w:val="32"/>
                <w:szCs w:val="28"/>
              </w:rPr>
            </w:pPr>
            <w:r>
              <w:rPr>
                <w:rFonts w:hint="eastAsia" w:ascii="仿宋_GB2312" w:hAnsi="仿宋_GB2312" w:eastAsia="仿宋_GB2312" w:cs="仿宋_GB2312"/>
                <w:b w:val="0"/>
                <w:color w:val="auto"/>
                <w:kern w:val="0"/>
                <w:sz w:val="32"/>
                <w:szCs w:val="28"/>
              </w:rPr>
              <w:t>备注　</w:t>
            </w:r>
          </w:p>
        </w:tc>
      </w:tr>
      <w:tr w14:paraId="1A65A50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2D0A01C0">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rPr>
              <w:t>　</w:t>
            </w:r>
            <w:r>
              <w:rPr>
                <w:rFonts w:hint="eastAsia" w:ascii="仿宋_GB2312" w:hAnsi="仿宋_GB2312" w:eastAsia="仿宋_GB2312" w:cs="仿宋_GB2312"/>
                <w:b w:val="0"/>
                <w:kern w:val="0"/>
                <w:sz w:val="32"/>
                <w:szCs w:val="28"/>
                <w:lang w:val="en-US" w:eastAsia="zh-CN"/>
              </w:rPr>
              <w:t>1</w:t>
            </w:r>
          </w:p>
        </w:tc>
        <w:tc>
          <w:tcPr>
            <w:tcW w:w="2667" w:type="dxa"/>
            <w:tcBorders>
              <w:top w:val="single" w:color="auto" w:sz="4" w:space="0"/>
              <w:left w:val="single" w:color="auto" w:sz="4" w:space="0"/>
              <w:bottom w:val="single" w:color="auto" w:sz="4" w:space="0"/>
              <w:right w:val="single" w:color="auto" w:sz="4" w:space="0"/>
            </w:tcBorders>
            <w:vAlign w:val="center"/>
          </w:tcPr>
          <w:p w14:paraId="54762EEF">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lang w:eastAsia="zh-CN"/>
              </w:rPr>
            </w:pPr>
            <w:r>
              <w:rPr>
                <w:rFonts w:hint="eastAsia" w:ascii="仿宋_GB2312" w:hAnsi="仿宋_GB2312" w:eastAsia="仿宋_GB2312" w:cs="仿宋_GB2312"/>
                <w:b w:val="0"/>
                <w:kern w:val="0"/>
                <w:sz w:val="32"/>
                <w:szCs w:val="28"/>
                <w:lang w:val="en-US" w:eastAsia="zh-CN"/>
              </w:rPr>
              <w:t>特困供养救助</w:t>
            </w:r>
          </w:p>
        </w:tc>
        <w:tc>
          <w:tcPr>
            <w:tcW w:w="954" w:type="dxa"/>
            <w:tcBorders>
              <w:top w:val="single" w:color="auto" w:sz="4" w:space="0"/>
              <w:left w:val="single" w:color="auto" w:sz="4" w:space="0"/>
              <w:bottom w:val="single" w:color="auto" w:sz="4" w:space="0"/>
              <w:right w:val="single" w:color="auto" w:sz="4" w:space="0"/>
            </w:tcBorders>
            <w:vAlign w:val="center"/>
          </w:tcPr>
          <w:p w14:paraId="75934EFA">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648.76</w:t>
            </w:r>
          </w:p>
        </w:tc>
        <w:tc>
          <w:tcPr>
            <w:tcW w:w="954" w:type="dxa"/>
            <w:tcBorders>
              <w:top w:val="single" w:color="auto" w:sz="4" w:space="0"/>
              <w:left w:val="single" w:color="auto" w:sz="4" w:space="0"/>
              <w:bottom w:val="single" w:color="auto" w:sz="4" w:space="0"/>
              <w:right w:val="single" w:color="auto" w:sz="4" w:space="0"/>
            </w:tcBorders>
            <w:vAlign w:val="center"/>
          </w:tcPr>
          <w:p w14:paraId="6AE62C66">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648.76</w:t>
            </w:r>
          </w:p>
        </w:tc>
        <w:tc>
          <w:tcPr>
            <w:tcW w:w="1004" w:type="dxa"/>
            <w:tcBorders>
              <w:top w:val="single" w:color="auto" w:sz="4" w:space="0"/>
              <w:left w:val="single" w:color="auto" w:sz="4" w:space="0"/>
              <w:bottom w:val="single" w:color="auto" w:sz="4" w:space="0"/>
              <w:right w:val="single" w:color="auto" w:sz="4" w:space="0"/>
            </w:tcBorders>
            <w:vAlign w:val="center"/>
          </w:tcPr>
          <w:p w14:paraId="5050CDE3">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648.76</w:t>
            </w:r>
          </w:p>
        </w:tc>
        <w:tc>
          <w:tcPr>
            <w:tcW w:w="954" w:type="dxa"/>
            <w:tcBorders>
              <w:top w:val="single" w:color="auto" w:sz="4" w:space="0"/>
              <w:left w:val="single" w:color="auto" w:sz="4" w:space="0"/>
              <w:bottom w:val="single" w:color="auto" w:sz="4" w:space="0"/>
              <w:right w:val="single" w:color="auto" w:sz="4" w:space="0"/>
            </w:tcBorders>
            <w:vAlign w:val="center"/>
          </w:tcPr>
          <w:p w14:paraId="7211730D">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2160" w:type="dxa"/>
            <w:vMerge w:val="continue"/>
            <w:tcBorders>
              <w:top w:val="single" w:color="auto" w:sz="4" w:space="0"/>
              <w:left w:val="single" w:color="auto" w:sz="4" w:space="0"/>
              <w:bottom w:val="single" w:color="auto" w:sz="4" w:space="0"/>
              <w:right w:val="single" w:color="auto" w:sz="4" w:space="0"/>
            </w:tcBorders>
            <w:vAlign w:val="center"/>
          </w:tcPr>
          <w:p w14:paraId="15C78652">
            <w:pPr>
              <w:pageBreakBefore w:val="0"/>
              <w:kinsoku/>
              <w:wordWrap/>
              <w:overflowPunct/>
              <w:topLinePunct w:val="0"/>
              <w:autoSpaceDE/>
              <w:autoSpaceDN/>
              <w:bidi w:val="0"/>
              <w:spacing w:line="560" w:lineRule="exact"/>
              <w:rPr>
                <w:rFonts w:hint="eastAsia" w:ascii="仿宋_GB2312" w:hAnsi="仿宋_GB2312" w:eastAsia="仿宋_GB2312" w:cs="仿宋_GB2312"/>
                <w:b w:val="0"/>
                <w:sz w:val="32"/>
                <w:szCs w:val="28"/>
              </w:rPr>
            </w:pPr>
          </w:p>
        </w:tc>
      </w:tr>
      <w:tr w14:paraId="153EE21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4043E05D">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2</w:t>
            </w:r>
          </w:p>
        </w:tc>
        <w:tc>
          <w:tcPr>
            <w:tcW w:w="2667" w:type="dxa"/>
            <w:tcBorders>
              <w:top w:val="single" w:color="auto" w:sz="4" w:space="0"/>
              <w:left w:val="single" w:color="auto" w:sz="4" w:space="0"/>
              <w:bottom w:val="single" w:color="auto" w:sz="4" w:space="0"/>
              <w:right w:val="single" w:color="auto" w:sz="4" w:space="0"/>
            </w:tcBorders>
            <w:vAlign w:val="center"/>
          </w:tcPr>
          <w:p w14:paraId="5038DD2E">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lang w:eastAsia="zh-CN"/>
              </w:rPr>
            </w:pPr>
          </w:p>
        </w:tc>
        <w:tc>
          <w:tcPr>
            <w:tcW w:w="954" w:type="dxa"/>
            <w:tcBorders>
              <w:top w:val="single" w:color="auto" w:sz="4" w:space="0"/>
              <w:left w:val="single" w:color="auto" w:sz="4" w:space="0"/>
              <w:bottom w:val="single" w:color="auto" w:sz="4" w:space="0"/>
              <w:right w:val="single" w:color="auto" w:sz="4" w:space="0"/>
            </w:tcBorders>
            <w:vAlign w:val="center"/>
          </w:tcPr>
          <w:p w14:paraId="6DE2E4EA">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954" w:type="dxa"/>
            <w:tcBorders>
              <w:top w:val="single" w:color="auto" w:sz="4" w:space="0"/>
              <w:left w:val="single" w:color="auto" w:sz="4" w:space="0"/>
              <w:bottom w:val="single" w:color="auto" w:sz="4" w:space="0"/>
              <w:right w:val="single" w:color="auto" w:sz="4" w:space="0"/>
            </w:tcBorders>
            <w:vAlign w:val="center"/>
          </w:tcPr>
          <w:p w14:paraId="61C46A63">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1004" w:type="dxa"/>
            <w:tcBorders>
              <w:top w:val="single" w:color="auto" w:sz="4" w:space="0"/>
              <w:left w:val="single" w:color="auto" w:sz="4" w:space="0"/>
              <w:bottom w:val="single" w:color="auto" w:sz="4" w:space="0"/>
              <w:right w:val="single" w:color="auto" w:sz="4" w:space="0"/>
            </w:tcBorders>
            <w:vAlign w:val="center"/>
          </w:tcPr>
          <w:p w14:paraId="15688742">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954" w:type="dxa"/>
            <w:tcBorders>
              <w:top w:val="single" w:color="auto" w:sz="4" w:space="0"/>
              <w:left w:val="single" w:color="auto" w:sz="4" w:space="0"/>
              <w:bottom w:val="single" w:color="auto" w:sz="4" w:space="0"/>
              <w:right w:val="single" w:color="auto" w:sz="4" w:space="0"/>
            </w:tcBorders>
            <w:vAlign w:val="center"/>
          </w:tcPr>
          <w:p w14:paraId="02D9CFC7">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2160" w:type="dxa"/>
            <w:tcBorders>
              <w:top w:val="single" w:color="auto" w:sz="4" w:space="0"/>
              <w:left w:val="single" w:color="auto" w:sz="4" w:space="0"/>
              <w:bottom w:val="single" w:color="auto" w:sz="4" w:space="0"/>
              <w:right w:val="single" w:color="auto" w:sz="4" w:space="0"/>
            </w:tcBorders>
            <w:vAlign w:val="center"/>
          </w:tcPr>
          <w:p w14:paraId="7134D647">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color w:val="auto"/>
                <w:kern w:val="0"/>
                <w:sz w:val="32"/>
                <w:szCs w:val="28"/>
              </w:rPr>
            </w:pPr>
          </w:p>
        </w:tc>
      </w:tr>
    </w:tbl>
    <w:p w14:paraId="23D5E350">
      <w:pPr>
        <w:pStyle w:val="4"/>
        <w:pageBreakBefore w:val="0"/>
        <w:widowControl w:val="0"/>
        <w:numPr>
          <w:ilvl w:val="0"/>
          <w:numId w:val="0"/>
        </w:numPr>
        <w:kinsoku/>
        <w:wordWrap/>
        <w:overflowPunct/>
        <w:topLinePunct w:val="0"/>
        <w:autoSpaceDE/>
        <w:autoSpaceDN/>
        <w:bidi w:val="0"/>
        <w:spacing w:before="0" w:after="0" w:line="560" w:lineRule="exact"/>
        <w:ind w:left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eastAsia="zh-CN"/>
        </w:rPr>
        <w:t>（</w:t>
      </w:r>
      <w:r>
        <w:rPr>
          <w:rFonts w:hint="eastAsia" w:ascii="楷体_GB2312" w:hAnsi="楷体_GB2312" w:eastAsia="仿宋_GB2312" w:cs="楷体_GB2312"/>
          <w:b w:val="0"/>
          <w:sz w:val="32"/>
          <w:lang w:val="en-US" w:eastAsia="zh-CN"/>
        </w:rPr>
        <w:t>一</w:t>
      </w:r>
      <w:r>
        <w:rPr>
          <w:rFonts w:hint="eastAsia" w:ascii="楷体_GB2312" w:hAnsi="楷体_GB2312" w:eastAsia="仿宋_GB2312" w:cs="楷体_GB2312"/>
          <w:b w:val="0"/>
          <w:sz w:val="32"/>
          <w:lang w:eastAsia="zh-CN"/>
        </w:rPr>
        <w:t>）</w:t>
      </w:r>
      <w:r>
        <w:rPr>
          <w:rFonts w:hint="eastAsia" w:ascii="楷体_GB2312" w:hAnsi="楷体_GB2312" w:eastAsia="仿宋_GB2312" w:cs="楷体_GB2312"/>
          <w:b w:val="0"/>
          <w:sz w:val="32"/>
        </w:rPr>
        <w:t>目标合理性</w:t>
      </w:r>
    </w:p>
    <w:p w14:paraId="657EA69A">
      <w:pPr>
        <w:pageBreakBefore w:val="0"/>
        <w:kinsoku/>
        <w:wordWrap/>
        <w:overflowPunct/>
        <w:topLinePunct w:val="0"/>
        <w:autoSpaceDE/>
        <w:autoSpaceDN/>
        <w:bidi w:val="0"/>
        <w:snapToGrid w:val="0"/>
        <w:spacing w:line="560" w:lineRule="exact"/>
        <w:rPr>
          <w:rFonts w:hint="eastAsia" w:ascii="仿宋_GB2312" w:hAnsi="宋体" w:eastAsia="仿宋_GB2312"/>
          <w:b w:val="0"/>
          <w:sz w:val="32"/>
          <w:szCs w:val="32"/>
        </w:rPr>
      </w:pPr>
      <w:r>
        <w:rPr>
          <w:rFonts w:hint="eastAsia" w:ascii="仿宋_GB2312" w:hAnsi="宋体" w:eastAsia="仿宋_GB2312"/>
          <w:b w:val="0"/>
          <w:sz w:val="32"/>
          <w:szCs w:val="32"/>
        </w:rPr>
        <w:t xml:space="preserve"> </w:t>
      </w:r>
      <w:r>
        <w:rPr>
          <w:rFonts w:hint="eastAsia" w:ascii="仿宋_GB2312" w:hAnsi="宋体" w:eastAsia="仿宋_GB2312"/>
          <w:b w:val="0"/>
          <w:sz w:val="32"/>
          <w:szCs w:val="30"/>
        </w:rPr>
        <w:t>该项目设定的绩效目标与本部门202</w:t>
      </w:r>
      <w:r>
        <w:rPr>
          <w:rFonts w:hint="eastAsia" w:ascii="仿宋_GB2312" w:hAnsi="宋体" w:eastAsia="仿宋_GB2312"/>
          <w:b w:val="0"/>
          <w:sz w:val="32"/>
          <w:szCs w:val="30"/>
          <w:lang w:val="en-US" w:eastAsia="zh-CN"/>
        </w:rPr>
        <w:t>5</w:t>
      </w:r>
      <w:r>
        <w:rPr>
          <w:rFonts w:hint="eastAsia" w:ascii="仿宋_GB2312" w:hAnsi="宋体" w:eastAsia="仿宋_GB2312"/>
          <w:b w:val="0"/>
          <w:sz w:val="32"/>
          <w:szCs w:val="30"/>
        </w:rPr>
        <w:t>年度工作目标一致，绩效目标一级指标大致</w:t>
      </w:r>
      <w:r>
        <w:rPr>
          <w:rFonts w:hint="eastAsia" w:ascii="仿宋_GB2312" w:hAnsi="宋体" w:eastAsia="仿宋_GB2312"/>
          <w:b w:val="0"/>
          <w:sz w:val="32"/>
          <w:szCs w:val="32"/>
        </w:rPr>
        <w:t>分为</w:t>
      </w:r>
      <w:r>
        <w:rPr>
          <w:rFonts w:hint="eastAsia" w:ascii="仿宋_GB2312" w:hAnsi="宋体" w:eastAsia="仿宋_GB2312"/>
          <w:b w:val="0"/>
          <w:sz w:val="32"/>
          <w:szCs w:val="32"/>
          <w:lang w:val="en-US" w:eastAsia="zh-CN"/>
        </w:rPr>
        <w:t>四</w:t>
      </w:r>
      <w:r>
        <w:rPr>
          <w:rFonts w:hint="eastAsia" w:ascii="仿宋_GB2312" w:hAnsi="宋体" w:eastAsia="仿宋_GB2312"/>
          <w:b w:val="0"/>
          <w:sz w:val="32"/>
          <w:szCs w:val="32"/>
        </w:rPr>
        <w:t>部分：产出指标、效益指标、满意度指标</w:t>
      </w:r>
      <w:r>
        <w:rPr>
          <w:rFonts w:hint="eastAsia" w:ascii="仿宋_GB2312" w:hAnsi="宋体" w:eastAsia="仿宋_GB2312"/>
          <w:b w:val="0"/>
          <w:sz w:val="32"/>
          <w:szCs w:val="32"/>
          <w:lang w:eastAsia="zh-CN"/>
        </w:rPr>
        <w:t>、</w:t>
      </w:r>
      <w:r>
        <w:rPr>
          <w:rFonts w:hint="eastAsia" w:ascii="仿宋_GB2312" w:hAnsi="宋体" w:eastAsia="仿宋_GB2312"/>
          <w:b w:val="0"/>
          <w:sz w:val="32"/>
          <w:szCs w:val="32"/>
          <w:lang w:val="en-US" w:eastAsia="zh-CN"/>
        </w:rPr>
        <w:t>成本指标</w:t>
      </w:r>
      <w:r>
        <w:rPr>
          <w:rFonts w:hint="eastAsia" w:ascii="仿宋_GB2312" w:hAnsi="宋体" w:eastAsia="仿宋_GB2312"/>
          <w:b w:val="0"/>
          <w:sz w:val="32"/>
          <w:szCs w:val="32"/>
        </w:rPr>
        <w:t>。</w:t>
      </w:r>
    </w:p>
    <w:p w14:paraId="24C4A2BA">
      <w:pPr>
        <w:pageBreakBefore w:val="0"/>
        <w:tabs>
          <w:tab w:val="center" w:pos="4153"/>
          <w:tab w:val="right" w:pos="8306"/>
        </w:tabs>
        <w:kinsoku/>
        <w:wordWrap/>
        <w:overflowPunct/>
        <w:topLinePunct w:val="0"/>
        <w:autoSpaceDE/>
        <w:autoSpaceDN/>
        <w:bidi w:val="0"/>
        <w:spacing w:line="560" w:lineRule="exact"/>
        <w:rPr>
          <w:rFonts w:hint="eastAsia" w:ascii="宋体" w:eastAsia="仿宋_GB2312"/>
          <w:b w:val="0"/>
          <w:kern w:val="2"/>
          <w:sz w:val="32"/>
          <w:szCs w:val="21"/>
          <w:lang w:val="en-US" w:eastAsia="zh-CN"/>
        </w:rPr>
      </w:pPr>
      <w:r>
        <w:rPr>
          <w:rFonts w:hint="eastAsia" w:eastAsia="仿宋_GB2312"/>
          <w:b w:val="0"/>
          <w:kern w:val="2"/>
          <w:sz w:val="32"/>
          <w:szCs w:val="21"/>
          <w:lang w:val="en-US" w:eastAsia="zh-CN"/>
        </w:rPr>
        <w:t>特困人员</w:t>
      </w:r>
      <w:r>
        <w:rPr>
          <w:rFonts w:hint="eastAsia" w:ascii="宋体" w:eastAsia="仿宋_GB2312"/>
          <w:b w:val="0"/>
          <w:kern w:val="2"/>
          <w:sz w:val="32"/>
          <w:szCs w:val="21"/>
        </w:rPr>
        <w:t>项目绩效目标表</w:t>
      </w:r>
      <w:r>
        <w:rPr>
          <w:rFonts w:hint="eastAsia" w:ascii="宋体" w:eastAsia="仿宋_GB2312"/>
          <w:b w:val="0"/>
          <w:kern w:val="2"/>
          <w:sz w:val="32"/>
          <w:szCs w:val="21"/>
          <w:lang w:val="en-US" w:eastAsia="zh-CN"/>
        </w:rPr>
        <w:t xml:space="preserve"> </w:t>
      </w:r>
    </w:p>
    <w:tbl>
      <w:tblPr>
        <w:tblStyle w:val="8"/>
        <w:tblW w:w="825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6"/>
        <w:gridCol w:w="1836"/>
        <w:gridCol w:w="2916"/>
        <w:gridCol w:w="540"/>
        <w:gridCol w:w="540"/>
        <w:gridCol w:w="645"/>
        <w:gridCol w:w="666"/>
      </w:tblGrid>
      <w:tr w14:paraId="21C59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46BD5">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一级指标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38276">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二级指标</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7D7F7">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三级指标</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2AF2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指标性质</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7059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指标值</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673E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度量单位</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93EA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权重（%）</w:t>
            </w:r>
          </w:p>
        </w:tc>
      </w:tr>
      <w:tr w14:paraId="1BD2F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EB22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62C85">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时效指标</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DF59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按月发放</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240A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15EF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9B5B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C01A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2271D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C09D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DFAF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7732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特困护理补贴人数</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0D56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C736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611</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055B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AC30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7371D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EB30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62E2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FF7C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城市特困生活补贴人数</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02E4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A2B4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27</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D2A3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CFC3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303B8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A083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813D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3953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农村特困生活补贴人数</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2EE3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FF5B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585</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FFB4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42D0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5CE36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43A5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B751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质量指标</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0F82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补助资金发放准确率</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C86B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1841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8828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2F69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11E38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4027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4FE3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可持续影响指标</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DBE1A">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对特困人员生活进行长期保障制度</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CFD6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DF64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FDD7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3EEB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05CCF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BD9B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43A3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社会效益指标</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A289F">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改善特困人员生活条件</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3492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10A7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53CE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55D4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134FB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2873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A926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服务对象满意度指标</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3F39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社会救助服务对象满意度</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6A10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763A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5567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8868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1DE1B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A7CB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D935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社会成本指标</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6441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农村特困人员生活补贴标准</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FC60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BFBB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693</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98A3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元/月</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62AF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6AD56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3EF4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4C5B4">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社会成本指标</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E595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城市特困人员生活补贴标准</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D166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544E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962</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B676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元/月</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BBAF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21A19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C3B1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6CCA5">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社会成本指标</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8443A">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特困人员护理补贴（半自理）</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D989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2858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130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4832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元/月</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CE86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3</w:t>
            </w:r>
          </w:p>
        </w:tc>
      </w:tr>
      <w:tr w14:paraId="4DF74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F545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1796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社会成本指标</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817E2">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特困人员护理补贴（全护理）</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D082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9C8E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160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2A17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元/月</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43D3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w:t>
            </w:r>
          </w:p>
        </w:tc>
      </w:tr>
      <w:tr w14:paraId="428C0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B014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D52C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社会成本指标</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4C75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特困人员护理补贴（全自理）</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3AD6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3ED1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80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10EC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元/月</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DDDF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bl>
    <w:p w14:paraId="4DFDB35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val="0"/>
          <w:bCs/>
          <w:sz w:val="32"/>
          <w:szCs w:val="32"/>
        </w:rPr>
      </w:pPr>
    </w:p>
    <w:p w14:paraId="2DF4467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仿宋_GB2312" w:cs="楷体_GB2312"/>
          <w:b w:val="0"/>
          <w:sz w:val="32"/>
          <w:szCs w:val="32"/>
        </w:rPr>
        <w:t>（</w:t>
      </w:r>
      <w:r>
        <w:rPr>
          <w:rFonts w:hint="eastAsia" w:ascii="楷体_GB2312" w:hAnsi="楷体_GB2312" w:eastAsia="仿宋_GB2312" w:cs="楷体_GB2312"/>
          <w:b w:val="0"/>
          <w:sz w:val="32"/>
          <w:szCs w:val="32"/>
          <w:lang w:val="en-US" w:eastAsia="zh-CN"/>
        </w:rPr>
        <w:t>二</w:t>
      </w:r>
      <w:r>
        <w:rPr>
          <w:rFonts w:hint="eastAsia" w:ascii="楷体_GB2312" w:hAnsi="楷体_GB2312" w:eastAsia="仿宋_GB2312" w:cs="楷体_GB2312"/>
          <w:b w:val="0"/>
          <w:sz w:val="32"/>
          <w:szCs w:val="32"/>
        </w:rPr>
        <w:t>）实施可行性</w:t>
      </w:r>
      <w:r>
        <w:rPr>
          <w:rFonts w:hint="eastAsia" w:ascii="仿宋_GB2312" w:hAnsi="仿宋_GB2312" w:eastAsia="仿宋_GB2312" w:cs="仿宋_GB2312"/>
          <w:b w:val="0"/>
          <w:bCs/>
          <w:sz w:val="32"/>
          <w:szCs w:val="32"/>
        </w:rPr>
        <w:t>该项目实施方案制定的详实完备、科学合理，人员、设施、物资等基础条件具备齐全，项目的设立具有明确的时限和步骤，</w:t>
      </w:r>
      <w:r>
        <w:rPr>
          <w:rFonts w:hint="eastAsia" w:ascii="仿宋_GB2312" w:hAnsi="仿宋_GB2312" w:eastAsia="仿宋_GB2312" w:cs="仿宋_GB2312"/>
          <w:b w:val="0"/>
          <w:bCs/>
          <w:kern w:val="2"/>
          <w:sz w:val="32"/>
          <w:szCs w:val="32"/>
        </w:rPr>
        <w:t>组织机构健全，职责分工明确，有具体的实施时间，有明确的工作程序，基础设施条件能够有效保障，资金足额保证，具有相应的质量检查、验收等必要的控制措施或手段，有针对突发事件或未知风险的应急措施</w:t>
      </w:r>
      <w:r>
        <w:rPr>
          <w:rFonts w:hint="eastAsia" w:ascii="仿宋_GB2312" w:hAnsi="仿宋_GB2312" w:eastAsia="仿宋_GB2312" w:cs="仿宋_GB2312"/>
          <w:b w:val="0"/>
          <w:bCs/>
          <w:sz w:val="32"/>
          <w:szCs w:val="32"/>
        </w:rPr>
        <w:t>。</w:t>
      </w:r>
    </w:p>
    <w:p w14:paraId="0A582B1F">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rPr>
        <w:t>（</w:t>
      </w:r>
      <w:r>
        <w:rPr>
          <w:rFonts w:hint="eastAsia" w:ascii="楷体_GB2312" w:hAnsi="楷体_GB2312" w:eastAsia="仿宋_GB2312" w:cs="楷体_GB2312"/>
          <w:b w:val="0"/>
          <w:sz w:val="32"/>
          <w:lang w:val="en-US" w:eastAsia="zh-CN"/>
        </w:rPr>
        <w:t>三</w:t>
      </w:r>
      <w:r>
        <w:rPr>
          <w:rFonts w:hint="eastAsia" w:ascii="楷体_GB2312" w:hAnsi="楷体_GB2312" w:eastAsia="仿宋_GB2312" w:cs="楷体_GB2312"/>
          <w:b w:val="0"/>
          <w:sz w:val="32"/>
        </w:rPr>
        <w:t>）筹资合规性</w:t>
      </w:r>
    </w:p>
    <w:p w14:paraId="2884EF7B">
      <w:pPr>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b w:val="0"/>
          <w:sz w:val="32"/>
          <w:szCs w:val="32"/>
        </w:rPr>
      </w:pPr>
      <w:r>
        <w:rPr>
          <w:rFonts w:hint="eastAsia" w:ascii="仿宋_GB2312" w:hAnsi="仿宋_GB2312" w:eastAsia="仿宋_GB2312" w:cs="仿宋_GB2312"/>
          <w:b w:val="0"/>
          <w:sz w:val="32"/>
          <w:szCs w:val="32"/>
        </w:rPr>
        <w:t>本单位为县级的一级预算单位，所有资金均为同级财政下达安排的一般公共预算资金，该项目投入规模符合实际，投入渠道及方式合法合规、真实可靠，</w:t>
      </w:r>
      <w:r>
        <w:rPr>
          <w:rFonts w:hint="eastAsia" w:ascii="仿宋_GB2312" w:hAnsi="仿宋_GB2312" w:eastAsia="仿宋_GB2312" w:cs="仿宋_GB2312"/>
          <w:b w:val="0"/>
          <w:kern w:val="2"/>
          <w:sz w:val="32"/>
          <w:szCs w:val="32"/>
        </w:rPr>
        <w:t>筹资结构合理，资金来源渠道明确，各渠道资金到位时间、条件能够落实</w:t>
      </w:r>
      <w:r>
        <w:rPr>
          <w:rFonts w:hint="eastAsia" w:ascii="仿宋_GB2312" w:hAnsi="仿宋_GB2312" w:eastAsia="仿宋_GB2312" w:cs="仿宋_GB2312"/>
          <w:b w:val="0"/>
          <w:sz w:val="32"/>
          <w:szCs w:val="32"/>
        </w:rPr>
        <w:t>。</w:t>
      </w:r>
    </w:p>
    <w:p w14:paraId="6A114F3A">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四</w:t>
      </w:r>
      <w:r>
        <w:rPr>
          <w:rFonts w:hint="eastAsia" w:eastAsia="仿宋_GB2312"/>
          <w:b w:val="0"/>
          <w:sz w:val="32"/>
          <w:lang w:eastAsia="zh-CN"/>
        </w:rPr>
        <w:t>）</w:t>
      </w:r>
      <w:r>
        <w:rPr>
          <w:rFonts w:hint="eastAsia" w:eastAsia="仿宋_GB2312"/>
          <w:b w:val="0"/>
          <w:sz w:val="32"/>
        </w:rPr>
        <w:t>评估结论</w:t>
      </w:r>
    </w:p>
    <w:p w14:paraId="5DB82477">
      <w:pPr>
        <w:pStyle w:val="10"/>
        <w:pageBreakBefore w:val="0"/>
        <w:widowControl w:val="0"/>
        <w:kinsoku/>
        <w:wordWrap/>
        <w:overflowPunct/>
        <w:topLinePunct w:val="0"/>
        <w:autoSpaceDE/>
        <w:autoSpaceDN/>
        <w:bidi w:val="0"/>
        <w:spacing w:line="560" w:lineRule="exact"/>
        <w:ind w:left="49" w:firstLine="640" w:firstLineChars="200"/>
        <w:textAlignment w:val="auto"/>
        <w:rPr>
          <w:rFonts w:hint="eastAsia" w:ascii="Times New Roman" w:hAnsi="Times New Roman" w:eastAsia="仿宋_GB2312"/>
          <w:b w:val="0"/>
          <w:sz w:val="32"/>
          <w:szCs w:val="32"/>
        </w:rPr>
      </w:pPr>
      <w:r>
        <w:rPr>
          <w:rFonts w:hint="eastAsia" w:ascii="仿宋_GB2312" w:eastAsia="仿宋_GB2312"/>
          <w:b w:val="0"/>
          <w:sz w:val="32"/>
        </w:rPr>
        <w:t>综合前述评估内容来看，</w:t>
      </w:r>
      <w:r>
        <w:rPr>
          <w:rFonts w:hint="eastAsia" w:ascii="仿宋_GB2312" w:eastAsia="仿宋_GB2312"/>
          <w:b w:val="0"/>
          <w:sz w:val="32"/>
          <w:lang w:val="en-US" w:eastAsia="zh-CN"/>
        </w:rPr>
        <w:t>评分95分，</w:t>
      </w:r>
      <w:r>
        <w:rPr>
          <w:rFonts w:hint="eastAsia" w:ascii="仿宋_GB2312" w:eastAsia="仿宋_GB2312"/>
          <w:b w:val="0"/>
          <w:sz w:val="32"/>
        </w:rPr>
        <w:t>该项目立项必要性和依据充分，绩效目标明确，具备实施条件，具有公共性，符合财政资金支持方向等。建议</w:t>
      </w:r>
      <w:r>
        <w:rPr>
          <w:rFonts w:hint="eastAsia" w:ascii="仿宋_GB2312" w:eastAsia="仿宋_GB2312"/>
          <w:b w:val="0"/>
          <w:sz w:val="32"/>
          <w:lang w:eastAsia="zh-CN"/>
        </w:rPr>
        <w:t>予以支持</w:t>
      </w:r>
      <w:r>
        <w:rPr>
          <w:rFonts w:hint="eastAsia" w:ascii="仿宋_GB2312" w:eastAsia="仿宋_GB2312"/>
          <w:b w:val="0"/>
          <w:sz w:val="32"/>
        </w:rPr>
        <w:t>，</w:t>
      </w:r>
      <w:r>
        <w:rPr>
          <w:rFonts w:hint="eastAsia" w:ascii="仿宋_GB2312" w:eastAsia="仿宋_GB2312"/>
          <w:b w:val="0"/>
          <w:color w:val="FF0000"/>
          <w:sz w:val="32"/>
        </w:rPr>
        <w:t>预算控制在</w:t>
      </w:r>
      <w:r>
        <w:rPr>
          <w:rFonts w:hint="eastAsia" w:ascii="仿宋_GB2312" w:hAnsi="宋体" w:eastAsia="仿宋_GB2312"/>
          <w:b w:val="0"/>
          <w:color w:val="FF0000"/>
          <w:sz w:val="32"/>
          <w:szCs w:val="32"/>
          <w:lang w:val="en-US" w:eastAsia="zh-CN"/>
        </w:rPr>
        <w:t>648.76</w:t>
      </w:r>
      <w:r>
        <w:rPr>
          <w:rFonts w:hint="eastAsia" w:ascii="仿宋_GB2312" w:eastAsia="仿宋_GB2312"/>
          <w:b w:val="0"/>
          <w:color w:val="FF0000"/>
          <w:sz w:val="32"/>
        </w:rPr>
        <w:t>万元以内。</w:t>
      </w:r>
      <w:r>
        <w:rPr>
          <w:rFonts w:hint="eastAsia" w:ascii="仿宋_GB2312" w:eastAsia="仿宋_GB2312"/>
          <w:b w:val="0"/>
          <w:sz w:val="32"/>
        </w:rPr>
        <w:t>该项目申请资金</w:t>
      </w:r>
      <w:r>
        <w:rPr>
          <w:rFonts w:hint="eastAsia" w:ascii="仿宋_GB2312" w:eastAsia="仿宋_GB2312"/>
          <w:b w:val="0"/>
          <w:color w:val="FF0000"/>
          <w:sz w:val="32"/>
        </w:rPr>
        <w:t>总预算</w:t>
      </w:r>
      <w:r>
        <w:rPr>
          <w:rFonts w:hint="eastAsia" w:ascii="仿宋_GB2312" w:hAnsi="宋体" w:eastAsia="仿宋_GB2312"/>
          <w:b w:val="0"/>
          <w:color w:val="FF0000"/>
          <w:sz w:val="32"/>
          <w:szCs w:val="32"/>
          <w:lang w:val="en-US" w:eastAsia="zh-CN"/>
        </w:rPr>
        <w:t>648.76</w:t>
      </w:r>
      <w:r>
        <w:rPr>
          <w:rFonts w:hint="eastAsia" w:ascii="仿宋_GB2312" w:eastAsia="仿宋_GB2312"/>
          <w:b w:val="0"/>
          <w:color w:val="FF0000"/>
          <w:sz w:val="32"/>
        </w:rPr>
        <w:t>万</w:t>
      </w:r>
      <w:r>
        <w:rPr>
          <w:rFonts w:hint="eastAsia" w:ascii="仿宋_GB2312" w:eastAsia="仿宋_GB2312"/>
          <w:b w:val="0"/>
          <w:sz w:val="32"/>
        </w:rPr>
        <w:t>元，经评审，建议预算申报数</w:t>
      </w:r>
      <w:r>
        <w:rPr>
          <w:rFonts w:hint="eastAsia" w:ascii="仿宋_GB2312" w:hAnsi="宋体" w:eastAsia="仿宋_GB2312"/>
          <w:b w:val="0"/>
          <w:sz w:val="32"/>
          <w:szCs w:val="32"/>
          <w:lang w:val="en-US" w:eastAsia="zh-CN"/>
        </w:rPr>
        <w:t>648.76</w:t>
      </w:r>
      <w:r>
        <w:rPr>
          <w:rFonts w:hint="eastAsia" w:ascii="仿宋_GB2312" w:eastAsia="仿宋_GB2312"/>
          <w:b w:val="0"/>
          <w:sz w:val="32"/>
        </w:rPr>
        <w:t>万元</w:t>
      </w:r>
      <w:r>
        <w:rPr>
          <w:rFonts w:hint="eastAsia" w:ascii="仿宋_GB2312" w:eastAsia="仿宋_GB2312"/>
          <w:b w:val="0"/>
          <w:sz w:val="32"/>
          <w:lang w:eastAsia="zh-CN"/>
        </w:rPr>
        <w:t>，</w:t>
      </w:r>
      <w:r>
        <w:rPr>
          <w:rFonts w:hint="eastAsia" w:ascii="仿宋_GB2312" w:eastAsia="仿宋_GB2312"/>
          <w:b w:val="0"/>
          <w:sz w:val="32"/>
        </w:rPr>
        <w:t>我单位将进一步</w:t>
      </w:r>
      <w:r>
        <w:rPr>
          <w:rFonts w:hint="eastAsia" w:ascii="仿宋_GB2312" w:eastAsia="仿宋_GB2312"/>
          <w:b w:val="0"/>
          <w:sz w:val="32"/>
          <w:u w:val="none"/>
        </w:rPr>
        <w:t>优化完善实施方案和绩效目标，加强运行监控，节约财政资金并提升资金效益，提升预算绩效管理水平</w:t>
      </w:r>
      <w:r>
        <w:rPr>
          <w:rFonts w:hint="eastAsia" w:ascii="仿宋_GB2312" w:eastAsia="仿宋_GB2312"/>
          <w:b w:val="0"/>
          <w:sz w:val="32"/>
          <w:u w:val="none"/>
          <w:lang w:eastAsia="zh-CN"/>
        </w:rPr>
        <w:t>。</w:t>
      </w:r>
    </w:p>
    <w:p w14:paraId="326C47EC">
      <w:pPr>
        <w:pageBreakBefore w:val="0"/>
        <w:widowControl w:val="0"/>
        <w:kinsoku/>
        <w:wordWrap/>
        <w:overflowPunct/>
        <w:topLinePunct w:val="0"/>
        <w:autoSpaceDE/>
        <w:autoSpaceDN/>
        <w:bidi w:val="0"/>
        <w:spacing w:line="560" w:lineRule="exact"/>
        <w:ind w:firstLine="640"/>
        <w:textAlignment w:val="auto"/>
        <w:rPr>
          <w:rFonts w:hint="eastAsia" w:ascii="仿宋_GB2312" w:hAnsi="宋体" w:eastAsia="仿宋_GB2312"/>
          <w:b w:val="0"/>
          <w:sz w:val="32"/>
          <w:szCs w:val="32"/>
        </w:rPr>
      </w:pPr>
      <w:r>
        <w:rPr>
          <w:rFonts w:hint="eastAsia" w:ascii="仿宋_GB2312" w:hAnsi="宋体" w:eastAsia="仿宋_GB2312"/>
          <w:b w:val="0"/>
          <w:sz w:val="32"/>
          <w:szCs w:val="32"/>
        </w:rPr>
        <w:t>项目可行，立项实施。进一步明确绩效目标，细化、量化相关指标。明确相关路线，细化工作内容，完善工作手段，调整工作部署和进度安排。细化完善项目预算。</w:t>
      </w:r>
    </w:p>
    <w:p w14:paraId="4AC391C3">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五</w:t>
      </w:r>
      <w:r>
        <w:rPr>
          <w:rFonts w:hint="eastAsia" w:eastAsia="仿宋_GB2312"/>
          <w:b w:val="0"/>
          <w:sz w:val="32"/>
          <w:lang w:eastAsia="zh-CN"/>
        </w:rPr>
        <w:t>）</w:t>
      </w:r>
      <w:r>
        <w:rPr>
          <w:rFonts w:hint="eastAsia" w:eastAsia="仿宋_GB2312"/>
          <w:b w:val="0"/>
          <w:sz w:val="32"/>
        </w:rPr>
        <w:t>其它说明事项</w:t>
      </w:r>
    </w:p>
    <w:p w14:paraId="7A456C84">
      <w:pPr>
        <w:pageBreakBefore w:val="0"/>
        <w:tabs>
          <w:tab w:val="center" w:pos="4153"/>
          <w:tab w:val="right" w:pos="8306"/>
        </w:tabs>
        <w:kinsoku/>
        <w:wordWrap/>
        <w:overflowPunct/>
        <w:topLinePunct w:val="0"/>
        <w:autoSpaceDE/>
        <w:autoSpaceDN/>
        <w:bidi w:val="0"/>
        <w:spacing w:line="560" w:lineRule="exact"/>
        <w:ind w:firstLine="640" w:firstLineChars="200"/>
        <w:rPr>
          <w:rFonts w:hint="eastAsia" w:ascii="仿宋_GB2312" w:eastAsia="仿宋_GB2312" w:cs="仿宋_GB2312"/>
          <w:b w:val="0"/>
          <w:sz w:val="32"/>
          <w:szCs w:val="32"/>
          <w:lang w:val="en-US" w:eastAsia="zh-CN"/>
        </w:rPr>
      </w:pPr>
      <w:r>
        <w:rPr>
          <w:rFonts w:hint="eastAsia" w:ascii="仿宋_GB2312" w:hAnsi="仿宋_GB2312" w:eastAsia="仿宋_GB2312" w:cs="仿宋_GB2312"/>
          <w:b w:val="0"/>
          <w:sz w:val="32"/>
          <w:szCs w:val="32"/>
        </w:rPr>
        <w:t>该项目预算编制真实完整，预算编制内容科学合理、明确细化，与绩效目标、实施方案紧密衔接，预算标准依据充分、测算准确</w:t>
      </w:r>
      <w:r>
        <w:rPr>
          <w:rFonts w:hint="eastAsia" w:ascii="仿宋_GB2312" w:hAnsi="仿宋_GB2312" w:eastAsia="仿宋_GB2312" w:cs="仿宋_GB2312"/>
          <w:b w:val="0"/>
          <w:sz w:val="32"/>
          <w:szCs w:val="32"/>
          <w:lang w:eastAsia="zh-CN"/>
        </w:rPr>
        <w:t>。</w:t>
      </w:r>
    </w:p>
    <w:p w14:paraId="73795A9C">
      <w:pPr>
        <w:pageBreakBefore w:val="0"/>
        <w:kinsoku/>
        <w:wordWrap/>
        <w:overflowPunct/>
        <w:topLinePunct w:val="0"/>
        <w:autoSpaceDE/>
        <w:autoSpaceDN/>
        <w:bidi w:val="0"/>
        <w:spacing w:line="560" w:lineRule="exact"/>
        <w:ind w:firstLine="640" w:firstLineChars="200"/>
        <w:rPr>
          <w:rFonts w:hint="default" w:ascii="仿宋" w:hAnsi="仿宋" w:eastAsia="仿宋_GB2312"/>
          <w:b w:val="0"/>
          <w:color w:val="C00000"/>
          <w:sz w:val="32"/>
          <w:szCs w:val="32"/>
          <w:shd w:val="clear" w:color="auto" w:fill="FFFFFF"/>
          <w:lang w:val="en-US" w:eastAsia="zh-CN"/>
        </w:rPr>
      </w:pPr>
      <w:r>
        <w:rPr>
          <w:rFonts w:hint="eastAsia" w:ascii="仿宋_GB2312" w:eastAsia="仿宋_GB2312" w:cs="仿宋_GB2312"/>
          <w:b w:val="0"/>
          <w:sz w:val="32"/>
          <w:szCs w:val="32"/>
          <w:lang w:val="en-US" w:eastAsia="zh-CN"/>
        </w:rPr>
        <w:t xml:space="preserve"> </w:t>
      </w:r>
      <w:r>
        <w:rPr>
          <w:rFonts w:hint="eastAsia" w:ascii="仿宋_GB2312" w:eastAsia="仿宋_GB2312" w:cs="仿宋_GB2312"/>
          <w:b w:val="0"/>
          <w:bCs/>
          <w:color w:val="C00000"/>
          <w:sz w:val="32"/>
          <w:szCs w:val="32"/>
          <w:lang w:val="en-US" w:eastAsia="zh-CN"/>
        </w:rPr>
        <w:t>重点项目10：临时救助</w:t>
      </w:r>
    </w:p>
    <w:p w14:paraId="3C7E8C34">
      <w:pPr>
        <w:pageBreakBefore w:val="0"/>
        <w:kinsoku/>
        <w:wordWrap/>
        <w:overflowPunct/>
        <w:topLinePunct w:val="0"/>
        <w:autoSpaceDE/>
        <w:autoSpaceDN/>
        <w:bidi w:val="0"/>
        <w:spacing w:line="560" w:lineRule="exact"/>
        <w:ind w:firstLine="640" w:firstLineChars="200"/>
        <w:rPr>
          <w:rFonts w:hint="eastAsia" w:ascii="仿宋" w:hAnsi="仿宋" w:eastAsia="仿宋_GB2312" w:cs="仿宋_GB2312"/>
          <w:b w:val="0"/>
          <w:color w:val="000000"/>
          <w:sz w:val="32"/>
          <w:szCs w:val="32"/>
          <w:shd w:val="clear" w:color="auto" w:fill="FFFFFF"/>
          <w:lang w:val="en-US" w:eastAsia="zh-CN"/>
        </w:rPr>
      </w:pPr>
      <w:r>
        <w:rPr>
          <w:rFonts w:hint="eastAsia" w:ascii="仿宋_GB2312" w:eastAsia="仿宋_GB2312" w:cs="仿宋_GB2312"/>
          <w:b w:val="0"/>
          <w:sz w:val="32"/>
          <w:szCs w:val="32"/>
          <w:lang w:val="en-US" w:eastAsia="zh-CN"/>
        </w:rPr>
        <w:t>项目年度绩效目标：将妥善解决我州城乡困难群众的突发性、临时性基本生活困难，切实加强城乡社会临时生活救助工作，确保临时生活救助规范、有序、有效推进，健全、完善城乡社会救助体系，及时有效解决城乡居民临时生活特殊困难</w:t>
      </w:r>
    </w:p>
    <w:p w14:paraId="5097570E">
      <w:pPr>
        <w:keepNext w:val="0"/>
        <w:keepLines w:val="0"/>
        <w:pageBreakBefore w:val="0"/>
        <w:widowControl w:val="0"/>
        <w:tabs>
          <w:tab w:val="center" w:pos="4153"/>
          <w:tab w:val="right" w:pos="8306"/>
        </w:tabs>
        <w:kinsoku/>
        <w:wordWrap/>
        <w:overflowPunct/>
        <w:topLinePunct w:val="0"/>
        <w:autoSpaceDE/>
        <w:autoSpaceDN/>
        <w:bidi w:val="0"/>
        <w:adjustRightInd/>
        <w:snapToGrid w:val="0"/>
        <w:spacing w:line="560" w:lineRule="exact"/>
        <w:textAlignment w:val="auto"/>
        <w:rPr>
          <w:rFonts w:hint="eastAsia" w:ascii="仿宋_GB2312" w:hAnsi="仿宋_GB2312" w:eastAsia="仿宋_GB2312" w:cs="仿宋_GB2312"/>
          <w:b w:val="0"/>
          <w:sz w:val="32"/>
          <w:szCs w:val="32"/>
          <w:lang w:val="en-US" w:eastAsia="zh-CN"/>
        </w:rPr>
      </w:pPr>
      <w:r>
        <w:rPr>
          <w:rFonts w:hint="eastAsia" w:ascii="仿宋_GB2312" w:eastAsia="仿宋_GB2312" w:cs="仿宋_GB2312"/>
          <w:b w:val="0"/>
          <w:sz w:val="32"/>
          <w:szCs w:val="32"/>
          <w:lang w:val="en-US" w:eastAsia="zh-CN"/>
        </w:rPr>
        <w:t>绩效指标设置情况：</w:t>
      </w:r>
      <w:r>
        <w:rPr>
          <w:rFonts w:hint="eastAsia" w:ascii="仿宋_GB2312" w:hAnsi="仿宋_GB2312" w:eastAsia="仿宋_GB2312" w:cs="仿宋_GB2312"/>
          <w:b w:val="0"/>
          <w:kern w:val="2"/>
          <w:sz w:val="32"/>
          <w:szCs w:val="32"/>
        </w:rPr>
        <w:t>本项目的主要内容是</w:t>
      </w:r>
      <w:r>
        <w:rPr>
          <w:rFonts w:hint="eastAsia" w:ascii="仿宋_GB2312" w:hAnsi="仿宋_GB2312" w:eastAsia="仿宋_GB2312" w:cs="仿宋_GB2312"/>
          <w:b w:val="0"/>
          <w:bCs/>
          <w:color w:val="auto"/>
          <w:sz w:val="32"/>
          <w:szCs w:val="32"/>
          <w:highlight w:val="none"/>
          <w:lang w:val="en-US" w:eastAsia="zh-CN"/>
        </w:rPr>
        <w:t>临时救助是指国家对遭遇突发事件、意外伤害、重大疾病或其他特殊原因导致基本生活陷入困境，其他社会救助制度暂时无法覆盖或救助之后基本生活暂时仍有严重困难的家庭或个人给予的应急性、过渡性的救助。救助对象和标准：临时救助的对象包括遭遇突发事件、意外伤害、重大疾病或其他特殊原因导致基本生活陷入困境的家庭或个人。救助标准根据救助类型有所不同：1、对‌急难型救助对象，根据急难程度及持续状况，原则上按照人均不低于当地月低保标准1倍一次性给予救助。2、对‌支出型救助对象，根据刚性支出及负担情况，原则上按照人均不低于当地月低保标准2倍一次性给予救助。</w:t>
      </w:r>
      <w:r>
        <w:rPr>
          <w:rFonts w:hint="eastAsia" w:ascii="仿宋_GB2312" w:hAnsi="仿宋_GB2312" w:eastAsia="仿宋_GB2312" w:cs="仿宋_GB2312"/>
          <w:b w:val="0"/>
          <w:kern w:val="2"/>
          <w:sz w:val="32"/>
          <w:szCs w:val="32"/>
        </w:rPr>
        <w:t>202</w:t>
      </w:r>
      <w:r>
        <w:rPr>
          <w:rFonts w:hint="eastAsia" w:ascii="仿宋_GB2312" w:hAnsi="仿宋_GB2312" w:eastAsia="仿宋_GB2312" w:cs="仿宋_GB2312"/>
          <w:b w:val="0"/>
          <w:kern w:val="2"/>
          <w:sz w:val="32"/>
          <w:szCs w:val="32"/>
          <w:lang w:val="en-US" w:eastAsia="zh-CN"/>
        </w:rPr>
        <w:t>4</w:t>
      </w:r>
      <w:r>
        <w:rPr>
          <w:rFonts w:hint="eastAsia" w:ascii="仿宋_GB2312" w:hAnsi="仿宋_GB2312" w:eastAsia="仿宋_GB2312" w:cs="仿宋_GB2312"/>
          <w:b w:val="0"/>
          <w:kern w:val="2"/>
          <w:sz w:val="32"/>
          <w:szCs w:val="32"/>
        </w:rPr>
        <w:t>年预算安排</w:t>
      </w:r>
      <w:r>
        <w:rPr>
          <w:rFonts w:hint="eastAsia" w:ascii="仿宋_GB2312" w:hAnsi="仿宋_GB2312" w:eastAsia="仿宋_GB2312" w:cs="仿宋_GB2312"/>
          <w:b w:val="0"/>
          <w:kern w:val="2"/>
          <w:sz w:val="32"/>
          <w:szCs w:val="32"/>
          <w:u w:val="single"/>
        </w:rPr>
        <w:t xml:space="preserve"> </w:t>
      </w:r>
      <w:r>
        <w:rPr>
          <w:rFonts w:hint="eastAsia" w:ascii="仿宋_GB2312" w:hAnsi="仿宋_GB2312" w:eastAsia="仿宋_GB2312" w:cs="仿宋_GB2312"/>
          <w:b w:val="0"/>
          <w:kern w:val="2"/>
          <w:sz w:val="32"/>
          <w:szCs w:val="32"/>
          <w:u w:val="single"/>
          <w:lang w:val="en-US" w:eastAsia="zh-CN"/>
        </w:rPr>
        <w:t>36.77</w:t>
      </w:r>
      <w:r>
        <w:rPr>
          <w:rFonts w:hint="eastAsia" w:ascii="仿宋_GB2312" w:hAnsi="仿宋_GB2312" w:eastAsia="仿宋_GB2312" w:cs="仿宋_GB2312"/>
          <w:b w:val="0"/>
          <w:kern w:val="2"/>
          <w:sz w:val="32"/>
          <w:szCs w:val="32"/>
        </w:rPr>
        <w:t>万元，实际执行</w:t>
      </w:r>
      <w:r>
        <w:rPr>
          <w:rFonts w:hint="eastAsia" w:ascii="仿宋_GB2312" w:hAnsi="仿宋_GB2312" w:eastAsia="仿宋_GB2312" w:cs="仿宋_GB2312"/>
          <w:b w:val="0"/>
          <w:kern w:val="2"/>
          <w:sz w:val="32"/>
          <w:szCs w:val="32"/>
          <w:u w:val="single"/>
          <w:lang w:val="en-US" w:eastAsia="zh-CN"/>
        </w:rPr>
        <w:t>36.77</w:t>
      </w:r>
      <w:r>
        <w:rPr>
          <w:rFonts w:hint="eastAsia" w:ascii="仿宋_GB2312" w:hAnsi="仿宋_GB2312" w:eastAsia="仿宋_GB2312" w:cs="仿宋_GB2312"/>
          <w:b w:val="0"/>
          <w:kern w:val="2"/>
          <w:sz w:val="32"/>
          <w:szCs w:val="32"/>
        </w:rPr>
        <w:t>万元；2025年拟申请资金预算</w:t>
      </w:r>
      <w:r>
        <w:rPr>
          <w:rFonts w:hint="eastAsia" w:ascii="仿宋_GB2312" w:hAnsi="仿宋_GB2312" w:eastAsia="仿宋_GB2312" w:cs="仿宋_GB2312"/>
          <w:b w:val="0"/>
          <w:kern w:val="2"/>
          <w:sz w:val="32"/>
          <w:szCs w:val="32"/>
          <w:u w:val="single"/>
        </w:rPr>
        <w:t xml:space="preserve"> </w:t>
      </w:r>
      <w:r>
        <w:rPr>
          <w:rFonts w:hint="eastAsia" w:ascii="仿宋_GB2312" w:hAnsi="仿宋_GB2312" w:eastAsia="仿宋_GB2312" w:cs="仿宋_GB2312"/>
          <w:b w:val="0"/>
          <w:kern w:val="2"/>
          <w:sz w:val="32"/>
          <w:szCs w:val="32"/>
          <w:u w:val="single"/>
          <w:lang w:val="en-US" w:eastAsia="zh-CN"/>
        </w:rPr>
        <w:t>72.66</w:t>
      </w:r>
      <w:r>
        <w:rPr>
          <w:rFonts w:hint="eastAsia" w:ascii="仿宋_GB2312" w:hAnsi="仿宋_GB2312" w:eastAsia="仿宋_GB2312" w:cs="仿宋_GB2312"/>
          <w:b w:val="0"/>
          <w:kern w:val="2"/>
          <w:sz w:val="32"/>
          <w:szCs w:val="32"/>
          <w:u w:val="single"/>
        </w:rPr>
        <w:t xml:space="preserve"> </w:t>
      </w:r>
      <w:r>
        <w:rPr>
          <w:rFonts w:hint="eastAsia" w:ascii="仿宋_GB2312" w:hAnsi="仿宋_GB2312" w:eastAsia="仿宋_GB2312" w:cs="仿宋_GB2312"/>
          <w:b w:val="0"/>
          <w:kern w:val="2"/>
          <w:sz w:val="32"/>
          <w:szCs w:val="32"/>
        </w:rPr>
        <w:t>万元，较上年增长</w:t>
      </w:r>
      <w:r>
        <w:rPr>
          <w:rFonts w:hint="eastAsia" w:ascii="仿宋_GB2312" w:hAnsi="仿宋_GB2312" w:eastAsia="仿宋_GB2312" w:cs="仿宋_GB2312"/>
          <w:b w:val="0"/>
          <w:kern w:val="2"/>
          <w:sz w:val="32"/>
          <w:szCs w:val="32"/>
          <w:u w:val="single"/>
        </w:rPr>
        <w:t xml:space="preserve"> </w:t>
      </w:r>
      <w:r>
        <w:rPr>
          <w:rFonts w:hint="eastAsia" w:ascii="仿宋_GB2312" w:hAnsi="仿宋_GB2312" w:eastAsia="仿宋_GB2312" w:cs="仿宋_GB2312"/>
          <w:b w:val="0"/>
          <w:kern w:val="2"/>
          <w:sz w:val="32"/>
          <w:szCs w:val="32"/>
          <w:u w:val="single"/>
          <w:lang w:val="en-US" w:eastAsia="zh-CN"/>
        </w:rPr>
        <w:t>35.89</w:t>
      </w:r>
      <w:r>
        <w:rPr>
          <w:rFonts w:hint="eastAsia" w:ascii="仿宋_GB2312" w:hAnsi="仿宋_GB2312" w:eastAsia="仿宋_GB2312" w:cs="仿宋_GB2312"/>
          <w:b w:val="0"/>
          <w:kern w:val="2"/>
          <w:sz w:val="32"/>
          <w:szCs w:val="32"/>
          <w:u w:val="single"/>
        </w:rPr>
        <w:t xml:space="preserve"> </w:t>
      </w:r>
      <w:r>
        <w:rPr>
          <w:rFonts w:hint="eastAsia" w:ascii="仿宋_GB2312" w:hAnsi="仿宋_GB2312" w:eastAsia="仿宋_GB2312" w:cs="仿宋_GB2312"/>
          <w:b w:val="0"/>
          <w:kern w:val="2"/>
          <w:sz w:val="32"/>
          <w:szCs w:val="32"/>
        </w:rPr>
        <w:t>万元，较上年增长</w:t>
      </w:r>
      <w:r>
        <w:rPr>
          <w:rFonts w:hint="eastAsia" w:ascii="仿宋_GB2312" w:hAnsi="仿宋_GB2312" w:eastAsia="仿宋_GB2312" w:cs="仿宋_GB2312"/>
          <w:b w:val="0"/>
          <w:kern w:val="2"/>
          <w:sz w:val="32"/>
          <w:szCs w:val="32"/>
          <w:u w:val="single"/>
          <w:lang w:val="en-US" w:eastAsia="zh-CN"/>
        </w:rPr>
        <w:t>50.61</w:t>
      </w:r>
      <w:r>
        <w:rPr>
          <w:rFonts w:hint="eastAsia" w:ascii="仿宋_GB2312" w:hAnsi="仿宋_GB2312" w:eastAsia="仿宋_GB2312" w:cs="仿宋_GB2312"/>
          <w:b w:val="0"/>
          <w:kern w:val="2"/>
          <w:sz w:val="32"/>
          <w:szCs w:val="32"/>
        </w:rPr>
        <w:t>%，增加的主要原</w:t>
      </w:r>
      <w:r>
        <w:rPr>
          <w:rFonts w:hint="eastAsia" w:ascii="仿宋_GB2312" w:hAnsi="仿宋_GB2312" w:eastAsia="仿宋_GB2312" w:cs="仿宋_GB2312"/>
          <w:b w:val="0"/>
          <w:kern w:val="2"/>
          <w:sz w:val="32"/>
          <w:szCs w:val="32"/>
          <w:lang w:val="en-US" w:eastAsia="zh-CN"/>
        </w:rPr>
        <w:t>因</w:t>
      </w:r>
      <w:r>
        <w:rPr>
          <w:rFonts w:hint="eastAsia" w:ascii="仿宋_GB2312" w:hAnsi="仿宋_GB2312" w:eastAsia="仿宋_GB2312" w:cs="仿宋_GB2312"/>
          <w:b w:val="0"/>
          <w:kern w:val="2"/>
          <w:sz w:val="32"/>
          <w:szCs w:val="32"/>
        </w:rPr>
        <w:t>为</w:t>
      </w:r>
      <w:r>
        <w:rPr>
          <w:rFonts w:hint="eastAsia" w:ascii="仿宋_GB2312" w:hAnsi="仿宋_GB2312" w:eastAsia="仿宋_GB2312" w:cs="仿宋_GB2312"/>
          <w:b w:val="0"/>
          <w:kern w:val="2"/>
          <w:sz w:val="32"/>
          <w:szCs w:val="32"/>
          <w:u w:val="single"/>
          <w:lang w:val="en-US" w:eastAsia="zh-CN"/>
        </w:rPr>
        <w:t>临时救助员增加（包括因病、因学、因困）</w:t>
      </w:r>
      <w:r>
        <w:rPr>
          <w:rFonts w:hint="eastAsia" w:ascii="仿宋_GB2312" w:hAnsi="仿宋_GB2312" w:eastAsia="仿宋_GB2312" w:cs="仿宋_GB2312"/>
          <w:b w:val="0"/>
          <w:kern w:val="2"/>
          <w:sz w:val="32"/>
          <w:szCs w:val="32"/>
        </w:rPr>
        <w:t>。</w:t>
      </w:r>
    </w:p>
    <w:p w14:paraId="2A10EDA0">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一</w:t>
      </w:r>
      <w:r>
        <w:rPr>
          <w:rFonts w:hint="eastAsia" w:eastAsia="仿宋_GB2312"/>
          <w:b w:val="0"/>
          <w:sz w:val="32"/>
          <w:lang w:eastAsia="zh-CN"/>
        </w:rPr>
        <w:t>）</w:t>
      </w:r>
      <w:r>
        <w:rPr>
          <w:rFonts w:hint="eastAsia" w:eastAsia="仿宋_GB2312"/>
          <w:b w:val="0"/>
          <w:sz w:val="32"/>
        </w:rPr>
        <w:t>评估原则</w:t>
      </w:r>
    </w:p>
    <w:p w14:paraId="37D7A51E">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Times New Roman"/>
          <w:b w:val="0"/>
          <w:sz w:val="32"/>
          <w:szCs w:val="32"/>
        </w:rPr>
      </w:pPr>
      <w:r>
        <w:rPr>
          <w:rFonts w:hint="eastAsia" w:ascii="仿宋_GB2312" w:hAnsi="宋体" w:eastAsia="仿宋_GB2312" w:cs="Times New Roman"/>
          <w:b w:val="0"/>
          <w:sz w:val="32"/>
          <w:szCs w:val="32"/>
        </w:rPr>
        <w:t>根据202</w:t>
      </w:r>
      <w:r>
        <w:rPr>
          <w:rFonts w:hint="eastAsia" w:ascii="仿宋_GB2312" w:hAnsi="宋体" w:eastAsia="仿宋_GB2312" w:cs="Times New Roman"/>
          <w:b w:val="0"/>
          <w:sz w:val="32"/>
          <w:szCs w:val="32"/>
          <w:lang w:val="en-US" w:eastAsia="zh-CN"/>
        </w:rPr>
        <w:t>5</w:t>
      </w:r>
      <w:r>
        <w:rPr>
          <w:rFonts w:hint="eastAsia" w:ascii="仿宋_GB2312" w:hAnsi="宋体" w:eastAsia="仿宋_GB2312" w:cs="Times New Roman"/>
          <w:b w:val="0"/>
          <w:sz w:val="32"/>
          <w:szCs w:val="32"/>
        </w:rPr>
        <w:t>年预算编制要求，绩效评估本着真正过紧日子的原则，厉行节约、精打细算，从严从紧控制项目申报和预算安排，非必要项目和工作内容可压尽压、应压尽压，做到客观、绩效、精准。</w:t>
      </w:r>
    </w:p>
    <w:p w14:paraId="3F763988">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二</w:t>
      </w:r>
      <w:r>
        <w:rPr>
          <w:rFonts w:hint="eastAsia" w:eastAsia="仿宋_GB2312"/>
          <w:b w:val="0"/>
          <w:sz w:val="32"/>
          <w:lang w:eastAsia="zh-CN"/>
        </w:rPr>
        <w:t>）</w:t>
      </w:r>
      <w:r>
        <w:rPr>
          <w:rFonts w:hint="eastAsia" w:eastAsia="仿宋_GB2312"/>
          <w:b w:val="0"/>
          <w:sz w:val="32"/>
        </w:rPr>
        <w:t>评估目的</w:t>
      </w:r>
    </w:p>
    <w:p w14:paraId="7853A284">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b w:val="0"/>
          <w:sz w:val="32"/>
          <w:szCs w:val="32"/>
        </w:rPr>
      </w:pPr>
      <w:r>
        <w:rPr>
          <w:rFonts w:hint="eastAsia" w:ascii="仿宋_GB2312" w:hAnsi="宋体" w:eastAsia="仿宋_GB2312" w:cs="Times New Roman"/>
          <w:b w:val="0"/>
          <w:sz w:val="32"/>
          <w:szCs w:val="32"/>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02495CDD">
      <w:pPr>
        <w:pStyle w:val="12"/>
        <w:pageBreakBefore w:val="0"/>
        <w:widowControl w:val="0"/>
        <w:numPr>
          <w:ilvl w:val="0"/>
          <w:numId w:val="0"/>
        </w:numPr>
        <w:kinsoku/>
        <w:wordWrap/>
        <w:overflowPunct/>
        <w:topLinePunct w:val="0"/>
        <w:autoSpaceDE/>
        <w:autoSpaceDN/>
        <w:bidi w:val="0"/>
        <w:snapToGrid w:val="0"/>
        <w:spacing w:line="560" w:lineRule="exact"/>
        <w:ind w:leftChars="0" w:firstLine="640" w:firstLineChars="200"/>
        <w:textAlignment w:val="auto"/>
        <w:rPr>
          <w:rFonts w:hint="eastAsia" w:ascii="黑体" w:eastAsia="仿宋_GB2312"/>
          <w:b w:val="0"/>
          <w:bCs/>
          <w:sz w:val="32"/>
          <w:szCs w:val="32"/>
        </w:rPr>
      </w:pPr>
      <w:r>
        <w:rPr>
          <w:rFonts w:hint="eastAsia" w:ascii="黑体" w:eastAsia="仿宋_GB2312"/>
          <w:b w:val="0"/>
          <w:bCs/>
          <w:sz w:val="32"/>
          <w:szCs w:val="32"/>
          <w:lang w:eastAsia="zh-CN"/>
        </w:rPr>
        <w:t>（</w:t>
      </w:r>
      <w:r>
        <w:rPr>
          <w:rFonts w:hint="eastAsia" w:ascii="黑体" w:eastAsia="仿宋_GB2312"/>
          <w:b w:val="0"/>
          <w:bCs/>
          <w:sz w:val="32"/>
          <w:szCs w:val="32"/>
          <w:lang w:val="en-US" w:eastAsia="zh-CN"/>
        </w:rPr>
        <w:t>三</w:t>
      </w:r>
      <w:r>
        <w:rPr>
          <w:rFonts w:hint="eastAsia" w:ascii="黑体" w:eastAsia="仿宋_GB2312"/>
          <w:b w:val="0"/>
          <w:bCs/>
          <w:sz w:val="32"/>
          <w:szCs w:val="32"/>
          <w:lang w:eastAsia="zh-CN"/>
        </w:rPr>
        <w:t>）</w:t>
      </w:r>
      <w:r>
        <w:rPr>
          <w:rFonts w:hint="eastAsia" w:ascii="黑体" w:eastAsia="仿宋_GB2312"/>
          <w:b w:val="0"/>
          <w:bCs/>
          <w:sz w:val="32"/>
          <w:szCs w:val="32"/>
        </w:rPr>
        <w:t>评估</w:t>
      </w:r>
      <w:r>
        <w:rPr>
          <w:rFonts w:hint="eastAsia" w:ascii="黑体" w:eastAsia="仿宋_GB2312"/>
          <w:b w:val="0"/>
          <w:bCs/>
          <w:sz w:val="32"/>
          <w:szCs w:val="32"/>
          <w:lang w:val="en-US" w:eastAsia="zh-CN"/>
        </w:rPr>
        <w:t>程序</w:t>
      </w:r>
      <w:r>
        <w:rPr>
          <w:rFonts w:hint="eastAsia" w:ascii="黑体" w:eastAsia="仿宋_GB2312"/>
          <w:b w:val="0"/>
          <w:bCs/>
          <w:sz w:val="32"/>
          <w:szCs w:val="32"/>
        </w:rPr>
        <w:t>和方法</w:t>
      </w:r>
    </w:p>
    <w:p w14:paraId="4008260B">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1、</w:t>
      </w:r>
      <w:r>
        <w:rPr>
          <w:rFonts w:hint="eastAsia" w:ascii="楷体_GB2312" w:hAnsi="楷体_GB2312" w:eastAsia="仿宋_GB2312" w:cs="楷体_GB2312"/>
          <w:b w:val="0"/>
          <w:sz w:val="32"/>
        </w:rPr>
        <w:t>评估</w:t>
      </w:r>
      <w:r>
        <w:rPr>
          <w:rFonts w:hint="eastAsia" w:ascii="楷体_GB2312" w:hAnsi="楷体_GB2312" w:eastAsia="仿宋_GB2312" w:cs="楷体_GB2312"/>
          <w:b w:val="0"/>
          <w:sz w:val="32"/>
          <w:lang w:val="en-US" w:eastAsia="zh-CN"/>
        </w:rPr>
        <w:t>程序</w:t>
      </w:r>
    </w:p>
    <w:p w14:paraId="42C1DB5F">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Times New Roman"/>
          <w:b w:val="0"/>
          <w:sz w:val="32"/>
          <w:szCs w:val="32"/>
        </w:rPr>
      </w:pPr>
      <w:r>
        <w:rPr>
          <w:rFonts w:hint="eastAsia" w:ascii="仿宋_GB2312" w:hAnsi="宋体" w:eastAsia="仿宋_GB2312" w:cs="Times New Roman"/>
          <w:b w:val="0"/>
          <w:sz w:val="32"/>
          <w:szCs w:val="32"/>
        </w:rPr>
        <w:t>我单位高度重视，为加强项目绩效管理工作，贯彻落实贯穿项目实施全过程的绩效目标管理、绩效监控、绩效评价、结果应用的机制，成立了以局长为组长、分管财务的副局长为副组长、各股室负责人为成员的绩效评价工作组，召开专项工作会议安排，按照预算绩效管理相关要求制定了事前绩效评估管理办法，设置了绩效评价指标体系,由办公室牵头组织开展本部门事前绩效评估工作，由财务股室相关工作人员依据事前绩效评估结果编制、申请预算，配合财政部门做好事前绩效评估有关工作。从项目绩效目标编制入手，加强财政资金的跟踪问效，及时纠正绩效偏差，延伸财政管理链条，提升精细化管理水平，提高财政资金的使用效益。</w:t>
      </w:r>
    </w:p>
    <w:p w14:paraId="5C10348D">
      <w:pPr>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CESI仿宋-GB2312" w:eastAsia="仿宋_GB2312"/>
          <w:b w:val="0"/>
          <w:kern w:val="2"/>
          <w:sz w:val="32"/>
          <w:szCs w:val="32"/>
        </w:rPr>
      </w:pPr>
      <w:r>
        <w:rPr>
          <w:rFonts w:hint="eastAsia" w:ascii="CESI楷体-GB2312" w:eastAsia="仿宋_GB2312"/>
          <w:b w:val="0"/>
          <w:sz w:val="32"/>
          <w:szCs w:val="32"/>
          <w:lang w:val="en-US" w:eastAsia="zh-CN"/>
        </w:rPr>
        <w:t>2、</w:t>
      </w:r>
      <w:r>
        <w:rPr>
          <w:rFonts w:hint="eastAsia" w:ascii="CESI楷体-GB2312" w:eastAsia="仿宋_GB2312"/>
          <w:b w:val="0"/>
          <w:sz w:val="32"/>
          <w:szCs w:val="32"/>
        </w:rPr>
        <w:t>评估方法</w:t>
      </w:r>
    </w:p>
    <w:p w14:paraId="596C8183">
      <w:pPr>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eastAsia="仿宋_GB2312"/>
          <w:b w:val="0"/>
          <w:sz w:val="32"/>
        </w:rPr>
      </w:pPr>
      <w:r>
        <w:rPr>
          <w:rFonts w:hint="eastAsia" w:ascii="CESI仿宋-GB2312" w:eastAsia="仿宋_GB2312"/>
          <w:b w:val="0"/>
          <w:kern w:val="2"/>
          <w:sz w:val="32"/>
          <w:szCs w:val="32"/>
        </w:rPr>
        <w:t>本项目通过现场踏勘、与项目相关人员座谈或讨论、聘请相关专业专家、市场调研等方法了解项目情况，收集相关资料，综合分析相关情况后，对项目的立项必要性、投入经济性、目标合理性、方案可行性以及筹资合规性实施评估。该项目立项符合主管部门职能、规划及年度重点工作安排的需求，具有迫切的现实需求和明确的服务对象，具有立项的必要性。</w:t>
      </w:r>
    </w:p>
    <w:p w14:paraId="0D89AA77">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仿宋_GB2312" w:hAnsi="宋体" w:eastAsia="仿宋_GB2312"/>
          <w:b w:val="0"/>
          <w:bCs/>
          <w:sz w:val="32"/>
          <w:szCs w:val="32"/>
        </w:rPr>
      </w:pPr>
      <w:r>
        <w:rPr>
          <w:rFonts w:hint="eastAsia" w:eastAsia="仿宋_GB2312"/>
          <w:b w:val="0"/>
          <w:sz w:val="32"/>
          <w:lang w:eastAsia="zh-CN"/>
        </w:rPr>
        <w:t>（</w:t>
      </w:r>
      <w:r>
        <w:rPr>
          <w:rFonts w:hint="eastAsia" w:eastAsia="仿宋_GB2312"/>
          <w:b w:val="0"/>
          <w:sz w:val="32"/>
          <w:lang w:val="en-US" w:eastAsia="zh-CN"/>
        </w:rPr>
        <w:t>四</w:t>
      </w:r>
      <w:r>
        <w:rPr>
          <w:rFonts w:hint="eastAsia" w:eastAsia="仿宋_GB2312"/>
          <w:b w:val="0"/>
          <w:sz w:val="32"/>
          <w:lang w:eastAsia="zh-CN"/>
        </w:rPr>
        <w:t>）</w:t>
      </w:r>
      <w:r>
        <w:rPr>
          <w:rFonts w:hint="eastAsia" w:eastAsia="仿宋_GB2312"/>
          <w:b w:val="0"/>
          <w:sz w:val="32"/>
        </w:rPr>
        <w:t>评估内容</w:t>
      </w:r>
    </w:p>
    <w:p w14:paraId="5B3D6747">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1、</w:t>
      </w:r>
      <w:r>
        <w:rPr>
          <w:rFonts w:hint="eastAsia" w:ascii="楷体_GB2312" w:hAnsi="楷体_GB2312" w:eastAsia="仿宋_GB2312" w:cs="楷体_GB2312"/>
          <w:b w:val="0"/>
          <w:sz w:val="32"/>
        </w:rPr>
        <w:t>立项必要性</w:t>
      </w:r>
    </w:p>
    <w:p w14:paraId="4DC4056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b w:val="0"/>
          <w:sz w:val="32"/>
          <w:szCs w:val="32"/>
          <w:lang w:eastAsia="zh-CN"/>
        </w:rPr>
      </w:pPr>
      <w:r>
        <w:rPr>
          <w:rFonts w:hint="eastAsia" w:ascii="仿宋_GB2312" w:hAnsi="仿宋_GB2312" w:eastAsia="仿宋_GB2312" w:cs="仿宋_GB2312"/>
          <w:b w:val="0"/>
          <w:sz w:val="32"/>
          <w:szCs w:val="32"/>
        </w:rPr>
        <w:t>根据《社会救助暂行办法》（国务院令第649号）、《国务院关于全面建立临时救助制度的通知》（国发〔2014〕47号）、《四川省社会救助实施办法》（省政府令第286号）、《四川省人民政府关于进一步健全完善临时救助制度的意见》（川府发〔2015〕13号）《四川省最低生活保障工作规程》川民发（2017）155号、</w:t>
      </w:r>
      <w:r>
        <w:rPr>
          <w:rFonts w:hint="eastAsia" w:ascii="仿宋_GB2312" w:hAnsi="仿宋_GB2312" w:eastAsia="仿宋_GB2312" w:cs="仿宋_GB2312"/>
          <w:b w:val="0"/>
          <w:sz w:val="32"/>
          <w:szCs w:val="32"/>
          <w:lang w:val="zh-CN"/>
        </w:rPr>
        <w:t xml:space="preserve"> </w:t>
      </w:r>
      <w:r>
        <w:rPr>
          <w:rFonts w:hint="eastAsia" w:ascii="仿宋_GB2312" w:hAnsi="仿宋_GB2312" w:eastAsia="仿宋_GB2312" w:cs="仿宋_GB2312"/>
          <w:b w:val="0"/>
          <w:sz w:val="32"/>
          <w:szCs w:val="32"/>
        </w:rPr>
        <w:t>结合《阿坝藏族羌族自治州城乡困难群众临时生活救助实施办法》(阿府办发〔2011〕23号) 、《阿坝州民政局关于进一步做好临时救助工作的通知》(阿州民政〔2017〕282号)、和《四川省民政厅四川省财政厅关于进一步做好临时救助工作的通知》川民发（2018）98号文</w:t>
      </w:r>
      <w:r>
        <w:rPr>
          <w:rFonts w:hint="eastAsia" w:ascii="仿宋_GB2312" w:hAnsi="仿宋_GB2312" w:eastAsia="仿宋_GB2312" w:cs="仿宋_GB2312"/>
          <w:b w:val="0"/>
          <w:sz w:val="32"/>
          <w:szCs w:val="32"/>
          <w:lang w:eastAsia="zh-CN"/>
        </w:rPr>
        <w:t>、</w:t>
      </w:r>
      <w:r>
        <w:rPr>
          <w:rFonts w:hint="eastAsia" w:ascii="仿宋_GB2312" w:hAnsi="仿宋_GB2312" w:eastAsia="仿宋_GB2312" w:cs="仿宋_GB2312"/>
          <w:b w:val="0"/>
          <w:sz w:val="32"/>
          <w:szCs w:val="32"/>
        </w:rPr>
        <w:t>阿府办发（2024）1号关于四川省临时救助工作规程的通知的相关文件，</w:t>
      </w:r>
      <w:r>
        <w:rPr>
          <w:rFonts w:hint="eastAsia" w:ascii="仿宋_GB2312" w:hAnsi="仿宋_GB2312" w:eastAsia="仿宋_GB2312" w:cs="仿宋_GB2312"/>
          <w:b w:val="0"/>
          <w:color w:val="222222"/>
          <w:sz w:val="32"/>
          <w:szCs w:val="32"/>
        </w:rPr>
        <w:t>临时救助工作要坚持应救尽救，确保困难群众求助有门，并按规定得到及时救助；坚持适度救助，着眼于解决基本生活困难、摆脱临时困境，既要尽力而为，又要量力而行；坚持公开公正，做到政策公开、过程透明、结果公正；坚持制度衔接，加强各项救助、保障制度的衔接配合，形成整体合力；坚持资源统筹，实现政府救助、社会帮扶、家庭自救有机结合。</w:t>
      </w:r>
      <w:r>
        <w:rPr>
          <w:rFonts w:hint="eastAsia" w:ascii="仿宋_GB2312" w:hAnsi="仿宋_GB2312" w:eastAsia="仿宋_GB2312" w:cs="仿宋_GB2312"/>
          <w:b w:val="0"/>
          <w:kern w:val="2"/>
          <w:sz w:val="32"/>
          <w:szCs w:val="32"/>
        </w:rPr>
        <w:t>具有现实需求，具有明显的经济、社会、环境或可持续性效益等必要性</w:t>
      </w:r>
      <w:r>
        <w:rPr>
          <w:rFonts w:hint="eastAsia" w:ascii="仿宋_GB2312" w:hAnsi="仿宋_GB2312" w:eastAsia="仿宋_GB2312" w:cs="仿宋_GB2312"/>
          <w:b w:val="0"/>
          <w:kern w:val="2"/>
          <w:sz w:val="32"/>
          <w:szCs w:val="32"/>
          <w:lang w:eastAsia="zh-CN"/>
        </w:rPr>
        <w:t>。</w:t>
      </w:r>
    </w:p>
    <w:p w14:paraId="55FC65BF">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2、</w:t>
      </w:r>
      <w:r>
        <w:rPr>
          <w:rFonts w:hint="eastAsia" w:ascii="楷体_GB2312" w:hAnsi="楷体_GB2312" w:eastAsia="仿宋_GB2312" w:cs="楷体_GB2312"/>
          <w:b w:val="0"/>
          <w:sz w:val="32"/>
        </w:rPr>
        <w:t>投入经济性</w:t>
      </w:r>
    </w:p>
    <w:p w14:paraId="30BFA54D">
      <w:pPr>
        <w:keepNext w:val="0"/>
        <w:keepLines w:val="0"/>
        <w:pageBreakBefore w:val="0"/>
        <w:widowControl w:val="0"/>
        <w:suppressLineNumbers w:val="0"/>
        <w:suppressAutoHyphens/>
        <w:kinsoku/>
        <w:wordWrap/>
        <w:overflowPunct/>
        <w:topLinePunct w:val="0"/>
        <w:autoSpaceDE/>
        <w:autoSpaceDN/>
        <w:bidi w:val="0"/>
        <w:adjustRightInd/>
        <w:snapToGrid w:val="0"/>
        <w:spacing w:line="560" w:lineRule="exact"/>
        <w:ind w:left="0" w:firstLine="627" w:firstLineChars="196"/>
        <w:textAlignment w:val="auto"/>
        <w:rPr>
          <w:rFonts w:hint="eastAsia"/>
        </w:rPr>
      </w:pPr>
      <w:r>
        <w:rPr>
          <w:rFonts w:hint="eastAsia" w:ascii="仿宋_GB2312" w:hAnsi="仿宋_GB2312" w:eastAsia="仿宋_GB2312" w:cs="仿宋_GB2312"/>
          <w:b w:val="0"/>
          <w:sz w:val="32"/>
          <w:szCs w:val="32"/>
        </w:rPr>
        <w:t>该项目成本测算科学合理、具体充分，项目投入成本与预期效益高度相关，投入产出比科学合理，符合投入最小化、产出最大化预期。</w:t>
      </w:r>
      <w:r>
        <w:rPr>
          <w:rFonts w:hint="eastAsia" w:ascii="仿宋_GB2312" w:hAnsi="仿宋_GB2312" w:eastAsia="仿宋_GB2312" w:cs="仿宋_GB2312"/>
          <w:b w:val="0"/>
          <w:kern w:val="2"/>
          <w:sz w:val="32"/>
          <w:szCs w:val="32"/>
        </w:rPr>
        <w:t>项目申报预算</w:t>
      </w:r>
      <w:r>
        <w:rPr>
          <w:rFonts w:hint="eastAsia" w:ascii="仿宋_GB2312" w:hAnsi="仿宋_GB2312" w:eastAsia="仿宋_GB2312" w:cs="仿宋_GB2312"/>
          <w:b w:val="0"/>
          <w:kern w:val="2"/>
          <w:sz w:val="32"/>
          <w:szCs w:val="32"/>
          <w:u w:val="single"/>
          <w:lang w:val="en-US" w:eastAsia="zh-CN"/>
        </w:rPr>
        <w:t>226.52</w:t>
      </w:r>
      <w:r>
        <w:rPr>
          <w:rFonts w:hint="eastAsia" w:ascii="仿宋_GB2312" w:hAnsi="仿宋_GB2312" w:eastAsia="仿宋_GB2312" w:cs="仿宋_GB2312"/>
          <w:b w:val="0"/>
          <w:kern w:val="2"/>
          <w:sz w:val="32"/>
          <w:szCs w:val="32"/>
        </w:rPr>
        <w:t>万元，</w:t>
      </w:r>
      <w:r>
        <w:rPr>
          <w:rFonts w:hint="eastAsia" w:ascii="仿宋_GB2312" w:hAnsi="仿宋_GB2312" w:eastAsia="仿宋_GB2312" w:cs="仿宋_GB2312"/>
          <w:b w:val="0"/>
          <w:kern w:val="2"/>
          <w:sz w:val="32"/>
          <w:szCs w:val="32"/>
          <w:lang w:val="en-US" w:eastAsia="zh-CN"/>
        </w:rPr>
        <w:t>县级</w:t>
      </w:r>
      <w:r>
        <w:rPr>
          <w:rFonts w:hint="eastAsia" w:ascii="仿宋_GB2312" w:hAnsi="仿宋_GB2312" w:eastAsia="仿宋_GB2312" w:cs="仿宋_GB2312"/>
          <w:b w:val="0"/>
          <w:kern w:val="2"/>
          <w:sz w:val="32"/>
          <w:szCs w:val="32"/>
        </w:rPr>
        <w:t>年度申报金额为</w:t>
      </w:r>
      <w:r>
        <w:rPr>
          <w:rFonts w:hint="eastAsia" w:ascii="仿宋_GB2312" w:hAnsi="仿宋_GB2312" w:eastAsia="仿宋_GB2312" w:cs="仿宋_GB2312"/>
          <w:b w:val="0"/>
          <w:kern w:val="2"/>
          <w:sz w:val="32"/>
          <w:szCs w:val="32"/>
          <w:lang w:val="en-US" w:eastAsia="zh-CN"/>
        </w:rPr>
        <w:t>72.66</w:t>
      </w:r>
      <w:r>
        <w:rPr>
          <w:rFonts w:hint="eastAsia" w:ascii="仿宋_GB2312" w:hAnsi="仿宋_GB2312" w:eastAsia="仿宋_GB2312" w:cs="仿宋_GB2312"/>
          <w:b w:val="0"/>
          <w:kern w:val="2"/>
          <w:sz w:val="32"/>
          <w:szCs w:val="32"/>
        </w:rPr>
        <w:t>万元，具体测算过程为按阿府办发（2024）1号关于四川省临时救助工作规程的通知</w:t>
      </w:r>
      <w:r>
        <w:rPr>
          <w:rFonts w:hint="eastAsia" w:ascii="仿宋_GB2312" w:hAnsi="仿宋_GB2312" w:eastAsia="仿宋_GB2312" w:cs="仿宋_GB2312"/>
          <w:b w:val="0"/>
          <w:kern w:val="2"/>
          <w:sz w:val="32"/>
          <w:szCs w:val="32"/>
          <w:lang w:val="en-US" w:eastAsia="zh-CN"/>
        </w:rPr>
        <w:t>的文件，</w:t>
      </w:r>
      <w:r>
        <w:rPr>
          <w:rFonts w:hint="eastAsia" w:ascii="仿宋_GB2312" w:hAnsi="仿宋_GB2312" w:eastAsia="仿宋_GB2312" w:cs="仿宋_GB2312"/>
          <w:b w:val="0"/>
          <w:kern w:val="2"/>
          <w:sz w:val="32"/>
          <w:szCs w:val="32"/>
        </w:rPr>
        <w:t>临时救助资金</w:t>
      </w:r>
      <w:r>
        <w:rPr>
          <w:rFonts w:hint="eastAsia" w:ascii="仿宋_GB2312" w:hAnsi="仿宋_GB2312" w:eastAsia="仿宋_GB2312" w:cs="仿宋_GB2312"/>
          <w:b w:val="0"/>
          <w:kern w:val="2"/>
          <w:sz w:val="32"/>
          <w:szCs w:val="32"/>
          <w:lang w:val="en-US" w:eastAsia="zh-CN"/>
        </w:rPr>
        <w:t>由</w:t>
      </w:r>
      <w:r>
        <w:rPr>
          <w:rFonts w:hint="eastAsia" w:ascii="仿宋_GB2312" w:hAnsi="仿宋_GB2312" w:eastAsia="仿宋_GB2312" w:cs="仿宋_GB2312"/>
          <w:b w:val="0"/>
          <w:kern w:val="2"/>
          <w:sz w:val="32"/>
          <w:szCs w:val="32"/>
        </w:rPr>
        <w:t>市、县两级民政部门根据本年度救助资金使用情况测算下年度所需资金。临时备用金按人口数量不低于人均1元的标准。资金来源为</w:t>
      </w:r>
      <w:r>
        <w:rPr>
          <w:rFonts w:hint="eastAsia" w:ascii="仿宋_GB2312" w:hAnsi="仿宋_GB2312" w:eastAsia="仿宋_GB2312" w:cs="仿宋_GB2312"/>
          <w:b w:val="0"/>
          <w:kern w:val="2"/>
          <w:sz w:val="32"/>
          <w:szCs w:val="32"/>
          <w:lang w:val="en-US" w:eastAsia="zh-CN"/>
        </w:rPr>
        <w:t>州级</w:t>
      </w:r>
      <w:r>
        <w:rPr>
          <w:rFonts w:hint="eastAsia" w:ascii="仿宋_GB2312" w:hAnsi="仿宋_GB2312" w:eastAsia="仿宋_GB2312" w:cs="仿宋_GB2312"/>
          <w:b w:val="0"/>
          <w:kern w:val="2"/>
          <w:sz w:val="32"/>
          <w:szCs w:val="32"/>
        </w:rPr>
        <w:t>财政资金或</w:t>
      </w:r>
      <w:r>
        <w:rPr>
          <w:rFonts w:hint="eastAsia" w:ascii="仿宋_GB2312" w:hAnsi="仿宋_GB2312" w:eastAsia="仿宋_GB2312" w:cs="仿宋_GB2312"/>
          <w:b w:val="0"/>
          <w:kern w:val="2"/>
          <w:sz w:val="32"/>
          <w:szCs w:val="32"/>
          <w:lang w:val="en-US" w:eastAsia="zh-CN"/>
        </w:rPr>
        <w:t>县级财政</w:t>
      </w:r>
      <w:r>
        <w:rPr>
          <w:rFonts w:hint="eastAsia" w:ascii="仿宋_GB2312" w:hAnsi="仿宋_GB2312" w:eastAsia="仿宋_GB2312" w:cs="仿宋_GB2312"/>
          <w:b w:val="0"/>
          <w:kern w:val="2"/>
          <w:sz w:val="32"/>
          <w:szCs w:val="32"/>
        </w:rPr>
        <w:t>资金。本次对项目投入经济性的评估是在项目事前绩效评估、预算测算的基础上，按照厉行节约的要求，结合项目</w:t>
      </w:r>
      <w:r>
        <w:rPr>
          <w:rFonts w:hint="eastAsia" w:ascii="仿宋_GB2312" w:hAnsi="仿宋_GB2312" w:eastAsia="仿宋_GB2312" w:cs="仿宋_GB2312"/>
          <w:b w:val="0"/>
          <w:kern w:val="2"/>
          <w:sz w:val="32"/>
          <w:szCs w:val="32"/>
          <w:u w:val="single"/>
        </w:rPr>
        <w:t>20  年</w:t>
      </w:r>
      <w:r>
        <w:rPr>
          <w:rFonts w:hint="eastAsia" w:ascii="仿宋_GB2312" w:hAnsi="仿宋_GB2312" w:eastAsia="仿宋_GB2312" w:cs="仿宋_GB2312"/>
          <w:b w:val="0"/>
          <w:kern w:val="2"/>
          <w:sz w:val="32"/>
          <w:szCs w:val="32"/>
        </w:rPr>
        <w:t>开支情况结合</w:t>
      </w:r>
      <w:r>
        <w:rPr>
          <w:rFonts w:hint="eastAsia" w:ascii="仿宋_GB2312" w:hAnsi="仿宋_GB2312" w:eastAsia="仿宋_GB2312" w:cs="仿宋_GB2312"/>
          <w:b w:val="0"/>
          <w:kern w:val="2"/>
          <w:sz w:val="32"/>
          <w:szCs w:val="32"/>
          <w:u w:val="single"/>
        </w:rPr>
        <w:t>20  年</w:t>
      </w:r>
      <w:r>
        <w:rPr>
          <w:rFonts w:hint="eastAsia" w:ascii="仿宋_GB2312" w:hAnsi="仿宋_GB2312" w:eastAsia="仿宋_GB2312" w:cs="仿宋_GB2312"/>
          <w:b w:val="0"/>
          <w:kern w:val="2"/>
          <w:sz w:val="32"/>
          <w:szCs w:val="32"/>
        </w:rPr>
        <w:t>实际需求、相关费用标准及市场价格水平，重点对数量是否合理、投入是否经济、预算测算是否准确、测算过程是否详细、测算依据是否充分等方面进行了评估。评估认为，该项目任务数量基本合理、预算测算过程较为详细、测算依据基本充分、有一定的经济性。建议预算控制在</w:t>
      </w:r>
      <w:r>
        <w:rPr>
          <w:rFonts w:hint="eastAsia" w:ascii="仿宋_GB2312" w:hAnsi="仿宋_GB2312" w:eastAsia="仿宋_GB2312" w:cs="仿宋_GB2312"/>
          <w:b w:val="0"/>
          <w:kern w:val="2"/>
          <w:sz w:val="32"/>
          <w:szCs w:val="32"/>
          <w:u w:val="single"/>
          <w:lang w:val="en-US" w:eastAsia="zh-CN"/>
        </w:rPr>
        <w:t>72.66</w:t>
      </w:r>
      <w:r>
        <w:rPr>
          <w:rFonts w:hint="eastAsia" w:ascii="仿宋_GB2312" w:hAnsi="仿宋_GB2312" w:eastAsia="仿宋_GB2312" w:cs="仿宋_GB2312"/>
          <w:b w:val="0"/>
          <w:kern w:val="2"/>
          <w:sz w:val="32"/>
          <w:szCs w:val="32"/>
        </w:rPr>
        <w:t>万元以内，与申报数相比，评</w:t>
      </w:r>
      <w:r>
        <w:rPr>
          <w:rFonts w:hint="eastAsia" w:ascii="仿宋_GB2312" w:hAnsi="仿宋_GB2312" w:eastAsia="仿宋_GB2312" w:cs="仿宋_GB2312"/>
          <w:b w:val="0"/>
          <w:kern w:val="2"/>
          <w:sz w:val="32"/>
          <w:szCs w:val="32"/>
          <w:lang w:val="en-US" w:eastAsia="zh-CN"/>
        </w:rPr>
        <w:t>增</w:t>
      </w:r>
      <w:r>
        <w:rPr>
          <w:rFonts w:hint="eastAsia" w:ascii="仿宋_GB2312" w:hAnsi="仿宋_GB2312" w:eastAsia="仿宋_GB2312" w:cs="仿宋_GB2312"/>
          <w:b w:val="0"/>
          <w:kern w:val="2"/>
          <w:sz w:val="32"/>
          <w:szCs w:val="32"/>
          <w:u w:val="single"/>
          <w:lang w:val="en-US" w:eastAsia="zh-CN"/>
        </w:rPr>
        <w:t>35.89</w:t>
      </w:r>
      <w:r>
        <w:rPr>
          <w:rFonts w:hint="eastAsia" w:ascii="仿宋_GB2312" w:hAnsi="仿宋_GB2312" w:eastAsia="仿宋_GB2312" w:cs="仿宋_GB2312"/>
          <w:b w:val="0"/>
          <w:kern w:val="2"/>
          <w:sz w:val="32"/>
          <w:szCs w:val="32"/>
        </w:rPr>
        <w:t>万元，评</w:t>
      </w:r>
      <w:r>
        <w:rPr>
          <w:rFonts w:hint="eastAsia" w:ascii="仿宋_GB2312" w:hAnsi="仿宋_GB2312" w:eastAsia="仿宋_GB2312" w:cs="仿宋_GB2312"/>
          <w:b w:val="0"/>
          <w:kern w:val="2"/>
          <w:sz w:val="32"/>
          <w:szCs w:val="32"/>
          <w:lang w:val="en-US" w:eastAsia="zh-CN"/>
        </w:rPr>
        <w:t>增</w:t>
      </w:r>
      <w:r>
        <w:rPr>
          <w:rFonts w:hint="eastAsia" w:ascii="仿宋_GB2312" w:hAnsi="仿宋_GB2312" w:eastAsia="仿宋_GB2312" w:cs="仿宋_GB2312"/>
          <w:b w:val="0"/>
          <w:kern w:val="2"/>
          <w:sz w:val="32"/>
          <w:szCs w:val="32"/>
        </w:rPr>
        <w:t>率</w:t>
      </w:r>
      <w:r>
        <w:rPr>
          <w:rFonts w:hint="eastAsia" w:ascii="仿宋_GB2312" w:hAnsi="仿宋_GB2312" w:eastAsia="仿宋_GB2312" w:cs="仿宋_GB2312"/>
          <w:b w:val="0"/>
          <w:kern w:val="2"/>
          <w:sz w:val="32"/>
          <w:szCs w:val="32"/>
          <w:u w:val="single"/>
          <w:lang w:val="en-US" w:eastAsia="zh-CN"/>
        </w:rPr>
        <w:t>50.61</w:t>
      </w:r>
      <w:r>
        <w:rPr>
          <w:rFonts w:hint="eastAsia" w:ascii="仿宋_GB2312" w:hAnsi="仿宋_GB2312" w:eastAsia="仿宋_GB2312" w:cs="仿宋_GB2312"/>
          <w:b w:val="0"/>
          <w:kern w:val="2"/>
          <w:sz w:val="32"/>
          <w:szCs w:val="32"/>
          <w:u w:val="single"/>
        </w:rPr>
        <w:t xml:space="preserve"> </w:t>
      </w:r>
      <w:r>
        <w:rPr>
          <w:rFonts w:hint="eastAsia" w:ascii="仿宋_GB2312" w:hAnsi="仿宋_GB2312" w:eastAsia="仿宋_GB2312" w:cs="仿宋_GB2312"/>
          <w:b w:val="0"/>
          <w:kern w:val="2"/>
          <w:sz w:val="32"/>
          <w:szCs w:val="32"/>
        </w:rPr>
        <w:t>%（详见下表）。评</w:t>
      </w:r>
      <w:r>
        <w:rPr>
          <w:rFonts w:hint="eastAsia" w:ascii="仿宋_GB2312" w:hAnsi="仿宋_GB2312" w:eastAsia="仿宋_GB2312" w:cs="仿宋_GB2312"/>
          <w:b w:val="0"/>
          <w:kern w:val="2"/>
          <w:sz w:val="32"/>
          <w:szCs w:val="32"/>
          <w:lang w:val="en-US" w:eastAsia="zh-CN"/>
        </w:rPr>
        <w:t>增</w:t>
      </w:r>
      <w:r>
        <w:rPr>
          <w:rFonts w:hint="eastAsia" w:ascii="仿宋_GB2312" w:hAnsi="仿宋_GB2312" w:eastAsia="仿宋_GB2312" w:cs="仿宋_GB2312"/>
          <w:b w:val="0"/>
          <w:kern w:val="2"/>
          <w:sz w:val="32"/>
          <w:szCs w:val="32"/>
        </w:rPr>
        <w:t>的主要原因：一是</w:t>
      </w:r>
      <w:r>
        <w:rPr>
          <w:rFonts w:hint="eastAsia" w:ascii="仿宋_GB2312" w:hAnsi="仿宋_GB2312" w:eastAsia="仿宋_GB2312" w:cs="仿宋_GB2312"/>
          <w:b w:val="0"/>
          <w:bCs/>
          <w:color w:val="auto"/>
          <w:sz w:val="32"/>
          <w:szCs w:val="32"/>
          <w:highlight w:val="none"/>
          <w:lang w:val="en-US" w:eastAsia="zh-CN"/>
        </w:rPr>
        <w:t>对‌急难型救助对象，根据急难程度及持续状况，原则上按照人均不低于当地月低保标准1倍一次性给予救助。</w:t>
      </w:r>
      <w:r>
        <w:rPr>
          <w:rFonts w:hint="eastAsia" w:ascii="仿宋_GB2312" w:hAnsi="仿宋_GB2312" w:eastAsia="仿宋_GB2312" w:cs="仿宋_GB2312"/>
          <w:b w:val="0"/>
          <w:kern w:val="2"/>
          <w:sz w:val="32"/>
          <w:szCs w:val="32"/>
        </w:rPr>
        <w:t>二是</w:t>
      </w:r>
      <w:r>
        <w:rPr>
          <w:rFonts w:hint="eastAsia" w:ascii="仿宋_GB2312" w:hAnsi="仿宋_GB2312" w:eastAsia="仿宋_GB2312" w:cs="仿宋_GB2312"/>
          <w:b w:val="0"/>
          <w:bCs/>
          <w:color w:val="auto"/>
          <w:sz w:val="32"/>
          <w:szCs w:val="32"/>
          <w:highlight w:val="none"/>
          <w:lang w:val="en-US" w:eastAsia="zh-CN"/>
        </w:rPr>
        <w:t>对‌支出型救助对象，根据刚性支出及负担情况，原则上按照人均不低于当地月低保标准2倍一次性给予救助。</w:t>
      </w:r>
    </w:p>
    <w:p w14:paraId="6725283F">
      <w:pPr>
        <w:keepNext w:val="0"/>
        <w:keepLines w:val="0"/>
        <w:pageBreakBefore w:val="0"/>
        <w:widowControl w:val="0"/>
        <w:suppressLineNumbers w:val="0"/>
        <w:suppressAutoHyphens/>
        <w:kinsoku/>
        <w:wordWrap/>
        <w:overflowPunct/>
        <w:topLinePunct w:val="0"/>
        <w:autoSpaceDE/>
        <w:autoSpaceDN/>
        <w:bidi w:val="0"/>
        <w:adjustRightInd/>
        <w:snapToGrid w:val="0"/>
        <w:spacing w:line="560" w:lineRule="exact"/>
        <w:ind w:left="0" w:firstLine="640" w:firstLineChars="200"/>
        <w:rPr>
          <w:rFonts w:hint="eastAsia" w:ascii="仿宋_GB2312" w:hAnsi="仿宋_GB2312" w:eastAsia="仿宋_GB2312" w:cs="仿宋_GB2312"/>
          <w:b w:val="0"/>
          <w:kern w:val="2"/>
          <w:sz w:val="32"/>
          <w:szCs w:val="28"/>
          <w:lang w:eastAsia="zh-CN"/>
        </w:rPr>
      </w:pPr>
      <w:r>
        <w:rPr>
          <w:rFonts w:hint="eastAsia" w:ascii="仿宋_GB2312" w:hAnsi="仿宋_GB2312" w:eastAsia="仿宋_GB2312" w:cs="仿宋_GB2312"/>
          <w:b w:val="0"/>
          <w:kern w:val="2"/>
          <w:sz w:val="32"/>
          <w:szCs w:val="28"/>
          <w:lang w:val="en-US" w:eastAsia="zh-CN"/>
        </w:rPr>
        <w:t>临时救助</w:t>
      </w:r>
      <w:r>
        <w:rPr>
          <w:rFonts w:hint="eastAsia" w:ascii="仿宋_GB2312" w:hAnsi="仿宋_GB2312" w:eastAsia="仿宋_GB2312" w:cs="仿宋_GB2312"/>
          <w:b w:val="0"/>
          <w:kern w:val="2"/>
          <w:sz w:val="32"/>
          <w:szCs w:val="28"/>
        </w:rPr>
        <w:t>项目事前绩效评估汇总表</w:t>
      </w:r>
      <w:r>
        <w:rPr>
          <w:rFonts w:hint="eastAsia" w:ascii="仿宋_GB2312" w:hAnsi="仿宋_GB2312" w:eastAsia="仿宋_GB2312" w:cs="仿宋_GB2312"/>
          <w:b w:val="0"/>
          <w:kern w:val="2"/>
          <w:sz w:val="32"/>
          <w:szCs w:val="28"/>
          <w:lang w:eastAsia="zh-CN"/>
        </w:rPr>
        <w:t>（</w:t>
      </w:r>
      <w:r>
        <w:rPr>
          <w:rFonts w:hint="eastAsia" w:ascii="仿宋_GB2312" w:hAnsi="仿宋_GB2312" w:eastAsia="仿宋_GB2312" w:cs="仿宋_GB2312"/>
          <w:b w:val="0"/>
          <w:kern w:val="2"/>
          <w:sz w:val="32"/>
          <w:szCs w:val="28"/>
          <w:lang w:val="en-US" w:eastAsia="zh-CN"/>
        </w:rPr>
        <w:t>万元</w:t>
      </w:r>
      <w:r>
        <w:rPr>
          <w:rFonts w:hint="eastAsia" w:ascii="仿宋_GB2312" w:hAnsi="仿宋_GB2312" w:eastAsia="仿宋_GB2312" w:cs="仿宋_GB2312"/>
          <w:b w:val="0"/>
          <w:kern w:val="2"/>
          <w:sz w:val="32"/>
          <w:szCs w:val="28"/>
          <w:lang w:eastAsia="zh-CN"/>
        </w:rPr>
        <w:t>）</w:t>
      </w:r>
    </w:p>
    <w:tbl>
      <w:tblPr>
        <w:tblStyle w:val="8"/>
        <w:tblW w:w="9110"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417"/>
        <w:gridCol w:w="2667"/>
        <w:gridCol w:w="954"/>
        <w:gridCol w:w="954"/>
        <w:gridCol w:w="1004"/>
        <w:gridCol w:w="954"/>
        <w:gridCol w:w="2160"/>
      </w:tblGrid>
      <w:tr w14:paraId="1FFE0A3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1E4476FA">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序号</w:t>
            </w:r>
          </w:p>
        </w:tc>
        <w:tc>
          <w:tcPr>
            <w:tcW w:w="2667" w:type="dxa"/>
            <w:tcBorders>
              <w:top w:val="single" w:color="auto" w:sz="4" w:space="0"/>
              <w:left w:val="single" w:color="auto" w:sz="4" w:space="0"/>
              <w:bottom w:val="single" w:color="auto" w:sz="4" w:space="0"/>
              <w:right w:val="single" w:color="auto" w:sz="4" w:space="0"/>
            </w:tcBorders>
            <w:vAlign w:val="center"/>
          </w:tcPr>
          <w:p w14:paraId="779FCD82">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项目内容</w:t>
            </w:r>
          </w:p>
        </w:tc>
        <w:tc>
          <w:tcPr>
            <w:tcW w:w="954" w:type="dxa"/>
            <w:tcBorders>
              <w:top w:val="single" w:color="auto" w:sz="4" w:space="0"/>
              <w:left w:val="single" w:color="auto" w:sz="4" w:space="0"/>
              <w:bottom w:val="single" w:color="auto" w:sz="4" w:space="0"/>
              <w:right w:val="single" w:color="auto" w:sz="4" w:space="0"/>
            </w:tcBorders>
            <w:vAlign w:val="center"/>
          </w:tcPr>
          <w:p w14:paraId="223C2CA3">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申报</w:t>
            </w:r>
          </w:p>
          <w:p w14:paraId="79D78BB0">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预算</w:t>
            </w:r>
          </w:p>
        </w:tc>
        <w:tc>
          <w:tcPr>
            <w:tcW w:w="954" w:type="dxa"/>
            <w:tcBorders>
              <w:top w:val="single" w:color="auto" w:sz="4" w:space="0"/>
              <w:left w:val="single" w:color="auto" w:sz="4" w:space="0"/>
              <w:bottom w:val="single" w:color="auto" w:sz="4" w:space="0"/>
              <w:right w:val="single" w:color="auto" w:sz="4" w:space="0"/>
            </w:tcBorders>
            <w:vAlign w:val="center"/>
          </w:tcPr>
          <w:p w14:paraId="5948DEF5">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送审</w:t>
            </w:r>
          </w:p>
          <w:p w14:paraId="6A53B77E">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金额</w:t>
            </w:r>
          </w:p>
        </w:tc>
        <w:tc>
          <w:tcPr>
            <w:tcW w:w="1004" w:type="dxa"/>
            <w:tcBorders>
              <w:top w:val="single" w:color="auto" w:sz="4" w:space="0"/>
              <w:left w:val="single" w:color="auto" w:sz="4" w:space="0"/>
              <w:bottom w:val="single" w:color="auto" w:sz="4" w:space="0"/>
              <w:right w:val="single" w:color="auto" w:sz="4" w:space="0"/>
            </w:tcBorders>
            <w:vAlign w:val="center"/>
          </w:tcPr>
          <w:p w14:paraId="22C180EF">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建议控制额</w:t>
            </w:r>
          </w:p>
        </w:tc>
        <w:tc>
          <w:tcPr>
            <w:tcW w:w="954" w:type="dxa"/>
            <w:tcBorders>
              <w:top w:val="single" w:color="auto" w:sz="4" w:space="0"/>
              <w:left w:val="single" w:color="auto" w:sz="4" w:space="0"/>
              <w:bottom w:val="single" w:color="auto" w:sz="4" w:space="0"/>
              <w:right w:val="single" w:color="auto" w:sz="4" w:space="0"/>
            </w:tcBorders>
            <w:vAlign w:val="center"/>
          </w:tcPr>
          <w:p w14:paraId="1AFA2B0D">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核减</w:t>
            </w:r>
          </w:p>
        </w:tc>
        <w:tc>
          <w:tcPr>
            <w:tcW w:w="2160" w:type="dxa"/>
            <w:vMerge w:val="restart"/>
            <w:tcBorders>
              <w:top w:val="single" w:color="auto" w:sz="4" w:space="0"/>
              <w:left w:val="single" w:color="auto" w:sz="4" w:space="0"/>
              <w:bottom w:val="single" w:color="auto" w:sz="4" w:space="0"/>
              <w:right w:val="single" w:color="auto" w:sz="4" w:space="0"/>
            </w:tcBorders>
            <w:vAlign w:val="center"/>
          </w:tcPr>
          <w:p w14:paraId="7F4AD943">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color w:val="auto"/>
                <w:kern w:val="0"/>
                <w:sz w:val="32"/>
                <w:szCs w:val="28"/>
              </w:rPr>
            </w:pPr>
            <w:r>
              <w:rPr>
                <w:rFonts w:hint="eastAsia" w:ascii="仿宋_GB2312" w:hAnsi="仿宋_GB2312" w:eastAsia="仿宋_GB2312" w:cs="仿宋_GB2312"/>
                <w:b w:val="0"/>
                <w:color w:val="auto"/>
                <w:kern w:val="0"/>
                <w:sz w:val="32"/>
                <w:szCs w:val="28"/>
              </w:rPr>
              <w:t>备注　</w:t>
            </w:r>
          </w:p>
        </w:tc>
      </w:tr>
      <w:tr w14:paraId="369C6B4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690C3D13">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rPr>
              <w:t>　</w:t>
            </w:r>
            <w:r>
              <w:rPr>
                <w:rFonts w:hint="eastAsia" w:ascii="仿宋_GB2312" w:hAnsi="仿宋_GB2312" w:eastAsia="仿宋_GB2312" w:cs="仿宋_GB2312"/>
                <w:b w:val="0"/>
                <w:kern w:val="0"/>
                <w:sz w:val="32"/>
                <w:szCs w:val="28"/>
                <w:lang w:val="en-US" w:eastAsia="zh-CN"/>
              </w:rPr>
              <w:t>1</w:t>
            </w:r>
          </w:p>
        </w:tc>
        <w:tc>
          <w:tcPr>
            <w:tcW w:w="2667" w:type="dxa"/>
            <w:tcBorders>
              <w:top w:val="single" w:color="auto" w:sz="4" w:space="0"/>
              <w:left w:val="single" w:color="auto" w:sz="4" w:space="0"/>
              <w:bottom w:val="single" w:color="auto" w:sz="4" w:space="0"/>
              <w:right w:val="single" w:color="auto" w:sz="4" w:space="0"/>
            </w:tcBorders>
            <w:vAlign w:val="center"/>
          </w:tcPr>
          <w:p w14:paraId="5CC09E26">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lang w:eastAsia="zh-CN"/>
              </w:rPr>
            </w:pPr>
            <w:r>
              <w:rPr>
                <w:rFonts w:hint="eastAsia" w:ascii="仿宋_GB2312" w:hAnsi="仿宋_GB2312" w:eastAsia="仿宋_GB2312" w:cs="仿宋_GB2312"/>
                <w:b w:val="0"/>
                <w:kern w:val="0"/>
                <w:sz w:val="32"/>
                <w:szCs w:val="28"/>
                <w:lang w:val="en-US" w:eastAsia="zh-CN"/>
              </w:rPr>
              <w:t>临时救助</w:t>
            </w:r>
          </w:p>
        </w:tc>
        <w:tc>
          <w:tcPr>
            <w:tcW w:w="954" w:type="dxa"/>
            <w:tcBorders>
              <w:top w:val="single" w:color="auto" w:sz="4" w:space="0"/>
              <w:left w:val="single" w:color="auto" w:sz="4" w:space="0"/>
              <w:bottom w:val="single" w:color="auto" w:sz="4" w:space="0"/>
              <w:right w:val="single" w:color="auto" w:sz="4" w:space="0"/>
            </w:tcBorders>
            <w:vAlign w:val="center"/>
          </w:tcPr>
          <w:p w14:paraId="0BCFE092">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72.66</w:t>
            </w:r>
          </w:p>
        </w:tc>
        <w:tc>
          <w:tcPr>
            <w:tcW w:w="954" w:type="dxa"/>
            <w:tcBorders>
              <w:top w:val="single" w:color="auto" w:sz="4" w:space="0"/>
              <w:left w:val="single" w:color="auto" w:sz="4" w:space="0"/>
              <w:bottom w:val="single" w:color="auto" w:sz="4" w:space="0"/>
              <w:right w:val="single" w:color="auto" w:sz="4" w:space="0"/>
            </w:tcBorders>
            <w:vAlign w:val="center"/>
          </w:tcPr>
          <w:p w14:paraId="3D0189B5">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72.66</w:t>
            </w:r>
          </w:p>
        </w:tc>
        <w:tc>
          <w:tcPr>
            <w:tcW w:w="1004" w:type="dxa"/>
            <w:tcBorders>
              <w:top w:val="single" w:color="auto" w:sz="4" w:space="0"/>
              <w:left w:val="single" w:color="auto" w:sz="4" w:space="0"/>
              <w:bottom w:val="single" w:color="auto" w:sz="4" w:space="0"/>
              <w:right w:val="single" w:color="auto" w:sz="4" w:space="0"/>
            </w:tcBorders>
            <w:vAlign w:val="center"/>
          </w:tcPr>
          <w:p w14:paraId="495D88D1">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72.66</w:t>
            </w:r>
          </w:p>
        </w:tc>
        <w:tc>
          <w:tcPr>
            <w:tcW w:w="954" w:type="dxa"/>
            <w:tcBorders>
              <w:top w:val="single" w:color="auto" w:sz="4" w:space="0"/>
              <w:left w:val="single" w:color="auto" w:sz="4" w:space="0"/>
              <w:bottom w:val="single" w:color="auto" w:sz="4" w:space="0"/>
              <w:right w:val="single" w:color="auto" w:sz="4" w:space="0"/>
            </w:tcBorders>
            <w:vAlign w:val="center"/>
          </w:tcPr>
          <w:p w14:paraId="1443BDCD">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2160" w:type="dxa"/>
            <w:vMerge w:val="continue"/>
            <w:tcBorders>
              <w:top w:val="single" w:color="auto" w:sz="4" w:space="0"/>
              <w:left w:val="single" w:color="auto" w:sz="4" w:space="0"/>
              <w:bottom w:val="single" w:color="auto" w:sz="4" w:space="0"/>
              <w:right w:val="single" w:color="auto" w:sz="4" w:space="0"/>
            </w:tcBorders>
            <w:vAlign w:val="center"/>
          </w:tcPr>
          <w:p w14:paraId="1A98FFA8">
            <w:pPr>
              <w:pageBreakBefore w:val="0"/>
              <w:kinsoku/>
              <w:wordWrap/>
              <w:overflowPunct/>
              <w:topLinePunct w:val="0"/>
              <w:autoSpaceDE/>
              <w:autoSpaceDN/>
              <w:bidi w:val="0"/>
              <w:spacing w:line="560" w:lineRule="exact"/>
              <w:rPr>
                <w:rFonts w:hint="eastAsia" w:ascii="仿宋_GB2312" w:hAnsi="仿宋_GB2312" w:eastAsia="仿宋_GB2312" w:cs="仿宋_GB2312"/>
                <w:b w:val="0"/>
                <w:sz w:val="32"/>
                <w:szCs w:val="28"/>
              </w:rPr>
            </w:pPr>
          </w:p>
        </w:tc>
      </w:tr>
      <w:tr w14:paraId="12B07B2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468398A6">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2667" w:type="dxa"/>
            <w:tcBorders>
              <w:top w:val="single" w:color="auto" w:sz="4" w:space="0"/>
              <w:left w:val="single" w:color="auto" w:sz="4" w:space="0"/>
              <w:bottom w:val="single" w:color="auto" w:sz="4" w:space="0"/>
              <w:right w:val="single" w:color="auto" w:sz="4" w:space="0"/>
            </w:tcBorders>
            <w:vAlign w:val="center"/>
          </w:tcPr>
          <w:p w14:paraId="12C778FF">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 ...</w:t>
            </w:r>
          </w:p>
        </w:tc>
        <w:tc>
          <w:tcPr>
            <w:tcW w:w="954" w:type="dxa"/>
            <w:tcBorders>
              <w:top w:val="single" w:color="auto" w:sz="4" w:space="0"/>
              <w:left w:val="single" w:color="auto" w:sz="4" w:space="0"/>
              <w:bottom w:val="single" w:color="auto" w:sz="4" w:space="0"/>
              <w:right w:val="single" w:color="auto" w:sz="4" w:space="0"/>
            </w:tcBorders>
            <w:vAlign w:val="center"/>
          </w:tcPr>
          <w:p w14:paraId="4BAE9C71">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954" w:type="dxa"/>
            <w:tcBorders>
              <w:top w:val="single" w:color="auto" w:sz="4" w:space="0"/>
              <w:left w:val="single" w:color="auto" w:sz="4" w:space="0"/>
              <w:bottom w:val="single" w:color="auto" w:sz="4" w:space="0"/>
              <w:right w:val="single" w:color="auto" w:sz="4" w:space="0"/>
            </w:tcBorders>
            <w:vAlign w:val="center"/>
          </w:tcPr>
          <w:p w14:paraId="1F659D18">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1004" w:type="dxa"/>
            <w:tcBorders>
              <w:top w:val="single" w:color="auto" w:sz="4" w:space="0"/>
              <w:left w:val="single" w:color="auto" w:sz="4" w:space="0"/>
              <w:bottom w:val="single" w:color="auto" w:sz="4" w:space="0"/>
              <w:right w:val="single" w:color="auto" w:sz="4" w:space="0"/>
            </w:tcBorders>
            <w:vAlign w:val="center"/>
          </w:tcPr>
          <w:p w14:paraId="65A87856">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954" w:type="dxa"/>
            <w:tcBorders>
              <w:top w:val="single" w:color="auto" w:sz="4" w:space="0"/>
              <w:left w:val="single" w:color="auto" w:sz="4" w:space="0"/>
              <w:bottom w:val="single" w:color="auto" w:sz="4" w:space="0"/>
              <w:right w:val="single" w:color="auto" w:sz="4" w:space="0"/>
            </w:tcBorders>
            <w:vAlign w:val="center"/>
          </w:tcPr>
          <w:p w14:paraId="39BD2B1F">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2160" w:type="dxa"/>
            <w:tcBorders>
              <w:top w:val="single" w:color="auto" w:sz="4" w:space="0"/>
              <w:left w:val="single" w:color="auto" w:sz="4" w:space="0"/>
              <w:bottom w:val="single" w:color="auto" w:sz="4" w:space="0"/>
              <w:right w:val="single" w:color="auto" w:sz="4" w:space="0"/>
            </w:tcBorders>
            <w:vAlign w:val="center"/>
          </w:tcPr>
          <w:p w14:paraId="03AACB7A">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color w:val="auto"/>
                <w:kern w:val="0"/>
                <w:sz w:val="32"/>
                <w:szCs w:val="28"/>
              </w:rPr>
            </w:pPr>
          </w:p>
        </w:tc>
      </w:tr>
    </w:tbl>
    <w:p w14:paraId="21080C79">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3、</w:t>
      </w:r>
      <w:r>
        <w:rPr>
          <w:rFonts w:hint="eastAsia" w:ascii="楷体_GB2312" w:hAnsi="楷体_GB2312" w:eastAsia="仿宋_GB2312" w:cs="楷体_GB2312"/>
          <w:b w:val="0"/>
          <w:sz w:val="32"/>
        </w:rPr>
        <w:t>目标合理性</w:t>
      </w:r>
    </w:p>
    <w:p w14:paraId="5EDABF46">
      <w:pPr>
        <w:pageBreakBefore w:val="0"/>
        <w:kinsoku/>
        <w:wordWrap/>
        <w:overflowPunct/>
        <w:topLinePunct w:val="0"/>
        <w:autoSpaceDE/>
        <w:autoSpaceDN/>
        <w:bidi w:val="0"/>
        <w:snapToGrid w:val="0"/>
        <w:spacing w:line="560" w:lineRule="exact"/>
        <w:ind w:firstLine="640" w:firstLineChars="200"/>
        <w:rPr>
          <w:rFonts w:hint="eastAsia" w:ascii="仿宋_GB2312" w:hAnsi="宋体" w:eastAsia="仿宋_GB2312"/>
          <w:b w:val="0"/>
          <w:sz w:val="32"/>
          <w:szCs w:val="32"/>
        </w:rPr>
      </w:pPr>
      <w:r>
        <w:rPr>
          <w:rFonts w:hint="eastAsia" w:ascii="仿宋_GB2312" w:hAnsi="宋体" w:eastAsia="仿宋_GB2312"/>
          <w:b w:val="0"/>
          <w:sz w:val="32"/>
          <w:szCs w:val="30"/>
        </w:rPr>
        <w:t>该项目设定的绩效目标与本部门202</w:t>
      </w:r>
      <w:r>
        <w:rPr>
          <w:rFonts w:hint="eastAsia" w:ascii="仿宋_GB2312" w:hAnsi="宋体" w:eastAsia="仿宋_GB2312"/>
          <w:b w:val="0"/>
          <w:sz w:val="32"/>
          <w:szCs w:val="30"/>
          <w:lang w:val="en-US" w:eastAsia="zh-CN"/>
        </w:rPr>
        <w:t>5</w:t>
      </w:r>
      <w:r>
        <w:rPr>
          <w:rFonts w:hint="eastAsia" w:ascii="仿宋_GB2312" w:hAnsi="宋体" w:eastAsia="仿宋_GB2312"/>
          <w:b w:val="0"/>
          <w:sz w:val="32"/>
          <w:szCs w:val="30"/>
        </w:rPr>
        <w:t>年度工作目标一致，绩效目标一级指标大致</w:t>
      </w:r>
      <w:r>
        <w:rPr>
          <w:rFonts w:hint="eastAsia" w:ascii="仿宋_GB2312" w:hAnsi="宋体" w:eastAsia="仿宋_GB2312"/>
          <w:b w:val="0"/>
          <w:sz w:val="32"/>
          <w:szCs w:val="32"/>
        </w:rPr>
        <w:t>分为</w:t>
      </w:r>
      <w:r>
        <w:rPr>
          <w:rFonts w:hint="eastAsia" w:ascii="仿宋_GB2312" w:hAnsi="宋体" w:eastAsia="仿宋_GB2312"/>
          <w:b w:val="0"/>
          <w:sz w:val="32"/>
          <w:szCs w:val="32"/>
          <w:lang w:val="en-US" w:eastAsia="zh-CN"/>
        </w:rPr>
        <w:t>四</w:t>
      </w:r>
      <w:r>
        <w:rPr>
          <w:rFonts w:hint="eastAsia" w:ascii="仿宋_GB2312" w:hAnsi="宋体" w:eastAsia="仿宋_GB2312"/>
          <w:b w:val="0"/>
          <w:sz w:val="32"/>
          <w:szCs w:val="32"/>
        </w:rPr>
        <w:t>部分：产出指标、效益指标、满意度指标</w:t>
      </w:r>
      <w:r>
        <w:rPr>
          <w:rFonts w:hint="eastAsia" w:ascii="仿宋_GB2312" w:hAnsi="宋体" w:eastAsia="仿宋_GB2312"/>
          <w:b w:val="0"/>
          <w:sz w:val="32"/>
          <w:szCs w:val="32"/>
          <w:lang w:eastAsia="zh-CN"/>
        </w:rPr>
        <w:t>、</w:t>
      </w:r>
      <w:r>
        <w:rPr>
          <w:rFonts w:hint="eastAsia" w:ascii="仿宋_GB2312" w:hAnsi="宋体" w:eastAsia="仿宋_GB2312"/>
          <w:b w:val="0"/>
          <w:sz w:val="32"/>
          <w:szCs w:val="32"/>
          <w:lang w:val="en-US" w:eastAsia="zh-CN"/>
        </w:rPr>
        <w:t>成本指标</w:t>
      </w:r>
      <w:r>
        <w:rPr>
          <w:rFonts w:hint="eastAsia" w:ascii="仿宋_GB2312" w:hAnsi="宋体" w:eastAsia="仿宋_GB2312"/>
          <w:b w:val="0"/>
          <w:sz w:val="32"/>
          <w:szCs w:val="32"/>
        </w:rPr>
        <w:t>。</w:t>
      </w:r>
    </w:p>
    <w:p w14:paraId="2C187B31">
      <w:pPr>
        <w:pageBreakBefore w:val="0"/>
        <w:tabs>
          <w:tab w:val="center" w:pos="4153"/>
          <w:tab w:val="right" w:pos="8306"/>
        </w:tabs>
        <w:kinsoku/>
        <w:wordWrap/>
        <w:overflowPunct/>
        <w:topLinePunct w:val="0"/>
        <w:autoSpaceDE/>
        <w:autoSpaceDN/>
        <w:bidi w:val="0"/>
        <w:spacing w:line="560" w:lineRule="exact"/>
        <w:rPr>
          <w:rFonts w:hint="eastAsia" w:ascii="宋体" w:eastAsia="仿宋_GB2312"/>
          <w:b w:val="0"/>
          <w:kern w:val="2"/>
          <w:sz w:val="32"/>
          <w:szCs w:val="21"/>
          <w:lang w:val="en-US" w:eastAsia="zh-CN"/>
        </w:rPr>
      </w:pPr>
      <w:r>
        <w:rPr>
          <w:rFonts w:hint="eastAsia" w:eastAsia="仿宋_GB2312"/>
          <w:b w:val="0"/>
          <w:kern w:val="2"/>
          <w:sz w:val="32"/>
          <w:szCs w:val="21"/>
          <w:lang w:val="en-US" w:eastAsia="zh-CN"/>
        </w:rPr>
        <w:t>临时救助</w:t>
      </w:r>
      <w:r>
        <w:rPr>
          <w:rFonts w:hint="eastAsia" w:ascii="宋体" w:eastAsia="仿宋_GB2312"/>
          <w:b w:val="0"/>
          <w:kern w:val="2"/>
          <w:sz w:val="32"/>
          <w:szCs w:val="21"/>
        </w:rPr>
        <w:t>项目绩效目标表</w:t>
      </w:r>
      <w:r>
        <w:rPr>
          <w:rFonts w:hint="eastAsia" w:ascii="宋体" w:eastAsia="仿宋_GB2312"/>
          <w:b w:val="0"/>
          <w:kern w:val="2"/>
          <w:sz w:val="32"/>
          <w:szCs w:val="21"/>
          <w:lang w:val="en-US" w:eastAsia="zh-CN"/>
        </w:rPr>
        <w:t xml:space="preserve"> </w:t>
      </w:r>
    </w:p>
    <w:tbl>
      <w:tblPr>
        <w:tblStyle w:val="8"/>
        <w:tblW w:w="817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6"/>
        <w:gridCol w:w="1836"/>
        <w:gridCol w:w="2736"/>
        <w:gridCol w:w="576"/>
        <w:gridCol w:w="596"/>
        <w:gridCol w:w="645"/>
        <w:gridCol w:w="666"/>
      </w:tblGrid>
      <w:tr w14:paraId="15741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1382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一级指标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01D2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二级指标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2EC3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三级指标</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3817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指标性质</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A6D14">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指标值</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6B3C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度量单位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F1D65">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权重（%）</w:t>
            </w:r>
          </w:p>
        </w:tc>
      </w:tr>
      <w:tr w14:paraId="5A7E8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BC22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6808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F103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因病及生活出现较大困难的家庭</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5AE3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7FB6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34C6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人/户</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3CD9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3ED0D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FBF6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5840A">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1D832">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因学</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59BE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9EEE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7537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人/户</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D576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3</w:t>
            </w:r>
          </w:p>
        </w:tc>
      </w:tr>
      <w:tr w14:paraId="0E4AC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7D00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22DB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24C9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因残</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FD49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7D93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30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2869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人/户</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31FD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w:t>
            </w:r>
          </w:p>
        </w:tc>
      </w:tr>
      <w:tr w14:paraId="68301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A535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853C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BE34F">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因灾等突发性意外</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DB4B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A031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15</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EEBC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人/户</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C97E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7AA35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9774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51A2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质量指标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4459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临时救助发放准确率</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2FA2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863C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86C9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4715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67EBC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A046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69DB2">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时效指标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0474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每年救助一次</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D125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B7DE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A2FC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4642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5B377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8E55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F967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社会效益指标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11E9A">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对因灾等突发事件救助</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32C5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156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BD88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C3E1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58EB1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A37B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B915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可持续影响指标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8341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困难群众基本生活保障</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D7B3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定性</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730D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高</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639F0">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F7B0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51A62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F842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589FA">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服务对象满意度指标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E5C8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服务对象满意度</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1DB5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0D47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B3AC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76A3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1891A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38BD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63C8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10DF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政策知晓度</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1517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92C5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7569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693D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6D9CA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50DD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F514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经济成本指标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5F6A6">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因灾等突发性意外</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4E5D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069F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6393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元/年</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34EE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49CA9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B59E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337A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经济成本指标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5DD92">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因病及生活出现较大困难的家</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D6AB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4915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A63A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元/年</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0BEB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bl>
    <w:p w14:paraId="7463859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val="0"/>
          <w:bCs/>
          <w:sz w:val="32"/>
          <w:szCs w:val="32"/>
        </w:rPr>
      </w:pPr>
    </w:p>
    <w:p w14:paraId="554D06F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仿宋_GB2312" w:cs="楷体_GB2312"/>
          <w:b w:val="0"/>
          <w:sz w:val="32"/>
          <w:szCs w:val="32"/>
          <w:lang w:val="en-US" w:eastAsia="zh-CN"/>
        </w:rPr>
        <w:t>4、</w:t>
      </w:r>
      <w:r>
        <w:rPr>
          <w:rFonts w:hint="eastAsia" w:ascii="楷体_GB2312" w:hAnsi="楷体_GB2312" w:eastAsia="仿宋_GB2312" w:cs="楷体_GB2312"/>
          <w:b w:val="0"/>
          <w:sz w:val="32"/>
          <w:szCs w:val="32"/>
        </w:rPr>
        <w:t>实施可行性</w:t>
      </w:r>
      <w:r>
        <w:rPr>
          <w:rFonts w:hint="eastAsia" w:ascii="仿宋_GB2312" w:hAnsi="仿宋_GB2312" w:eastAsia="仿宋_GB2312" w:cs="仿宋_GB2312"/>
          <w:b w:val="0"/>
          <w:bCs/>
          <w:sz w:val="32"/>
          <w:szCs w:val="32"/>
        </w:rPr>
        <w:t>该项目实施方案制定的详实完备、科学合理，人员、设施、物资等基础条件具备齐全，项目的设立具有明确的时限和步骤，</w:t>
      </w:r>
      <w:r>
        <w:rPr>
          <w:rFonts w:hint="eastAsia" w:ascii="仿宋_GB2312" w:hAnsi="仿宋_GB2312" w:eastAsia="仿宋_GB2312" w:cs="仿宋_GB2312"/>
          <w:b w:val="0"/>
          <w:bCs/>
          <w:kern w:val="2"/>
          <w:sz w:val="32"/>
          <w:szCs w:val="32"/>
        </w:rPr>
        <w:t>组织机构健全，职责分工明确，有具体的实施时间，有明确的工作程序，基础设施条件能够有效保障，资金足额保证，具有相应的质量检查、验收等必要的控制措施或手段，有针对突发事件或未知风险的应急措施</w:t>
      </w:r>
      <w:r>
        <w:rPr>
          <w:rFonts w:hint="eastAsia" w:ascii="仿宋_GB2312" w:hAnsi="仿宋_GB2312" w:eastAsia="仿宋_GB2312" w:cs="仿宋_GB2312"/>
          <w:b w:val="0"/>
          <w:bCs/>
          <w:sz w:val="32"/>
          <w:szCs w:val="32"/>
        </w:rPr>
        <w:t>。</w:t>
      </w:r>
    </w:p>
    <w:p w14:paraId="173BC1C4">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5、</w:t>
      </w:r>
      <w:r>
        <w:rPr>
          <w:rFonts w:hint="eastAsia" w:ascii="楷体_GB2312" w:hAnsi="楷体_GB2312" w:eastAsia="仿宋_GB2312" w:cs="楷体_GB2312"/>
          <w:b w:val="0"/>
          <w:sz w:val="32"/>
        </w:rPr>
        <w:t>筹资合规性</w:t>
      </w:r>
    </w:p>
    <w:p w14:paraId="1B5DE4B2">
      <w:pPr>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b w:val="0"/>
          <w:sz w:val="32"/>
          <w:szCs w:val="32"/>
        </w:rPr>
      </w:pPr>
      <w:r>
        <w:rPr>
          <w:rFonts w:hint="eastAsia" w:ascii="仿宋_GB2312" w:hAnsi="仿宋_GB2312" w:eastAsia="仿宋_GB2312" w:cs="仿宋_GB2312"/>
          <w:b w:val="0"/>
          <w:sz w:val="32"/>
          <w:szCs w:val="32"/>
        </w:rPr>
        <w:t>本单位为县级的一级预算单位，所有资金均为同级财政下达安排的一般公共预算资金，该项目投入规模符合实际，投入渠道及方式合法合规、真实可靠，</w:t>
      </w:r>
      <w:r>
        <w:rPr>
          <w:rFonts w:hint="eastAsia" w:ascii="仿宋_GB2312" w:hAnsi="仿宋_GB2312" w:eastAsia="仿宋_GB2312" w:cs="仿宋_GB2312"/>
          <w:b w:val="0"/>
          <w:kern w:val="2"/>
          <w:sz w:val="32"/>
          <w:szCs w:val="32"/>
        </w:rPr>
        <w:t>筹资结构合理，资金来源渠道明确，各渠道资金到位时间、条件能够落实</w:t>
      </w:r>
      <w:r>
        <w:rPr>
          <w:rFonts w:hint="eastAsia" w:ascii="仿宋_GB2312" w:hAnsi="仿宋_GB2312" w:eastAsia="仿宋_GB2312" w:cs="仿宋_GB2312"/>
          <w:b w:val="0"/>
          <w:sz w:val="32"/>
          <w:szCs w:val="32"/>
        </w:rPr>
        <w:t>。</w:t>
      </w:r>
    </w:p>
    <w:p w14:paraId="52BD7F52">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五</w:t>
      </w:r>
      <w:r>
        <w:rPr>
          <w:rFonts w:hint="eastAsia" w:eastAsia="仿宋_GB2312"/>
          <w:b w:val="0"/>
          <w:sz w:val="32"/>
          <w:lang w:eastAsia="zh-CN"/>
        </w:rPr>
        <w:t>）</w:t>
      </w:r>
      <w:r>
        <w:rPr>
          <w:rFonts w:hint="eastAsia" w:eastAsia="仿宋_GB2312"/>
          <w:b w:val="0"/>
          <w:sz w:val="32"/>
        </w:rPr>
        <w:t>评估结论</w:t>
      </w:r>
    </w:p>
    <w:p w14:paraId="18541712">
      <w:pPr>
        <w:pStyle w:val="10"/>
        <w:pageBreakBefore w:val="0"/>
        <w:widowControl w:val="0"/>
        <w:kinsoku/>
        <w:wordWrap/>
        <w:overflowPunct/>
        <w:topLinePunct w:val="0"/>
        <w:autoSpaceDE/>
        <w:autoSpaceDN/>
        <w:bidi w:val="0"/>
        <w:spacing w:line="560" w:lineRule="exact"/>
        <w:ind w:left="49" w:firstLine="640" w:firstLineChars="200"/>
        <w:textAlignment w:val="auto"/>
        <w:rPr>
          <w:rFonts w:hint="eastAsia" w:ascii="Times New Roman" w:hAnsi="Times New Roman" w:eastAsia="仿宋_GB2312"/>
          <w:b w:val="0"/>
          <w:sz w:val="32"/>
          <w:szCs w:val="32"/>
        </w:rPr>
      </w:pPr>
      <w:r>
        <w:rPr>
          <w:rFonts w:hint="eastAsia" w:ascii="仿宋_GB2312" w:eastAsia="仿宋_GB2312"/>
          <w:b w:val="0"/>
          <w:sz w:val="32"/>
        </w:rPr>
        <w:t>综合前述评估内容来看，</w:t>
      </w:r>
      <w:r>
        <w:rPr>
          <w:rFonts w:hint="eastAsia" w:ascii="仿宋_GB2312" w:eastAsia="仿宋_GB2312"/>
          <w:b w:val="0"/>
          <w:sz w:val="32"/>
          <w:szCs w:val="32"/>
          <w:lang w:val="en-US" w:eastAsia="zh-CN"/>
        </w:rPr>
        <w:t>评分93分。</w:t>
      </w:r>
      <w:r>
        <w:rPr>
          <w:rFonts w:hint="eastAsia" w:ascii="仿宋_GB2312" w:eastAsia="仿宋_GB2312"/>
          <w:b w:val="0"/>
          <w:sz w:val="32"/>
        </w:rPr>
        <w:t>该项目立项必要性和依据充分，绩效目标明确，具备实施条件，具有公共性，符合财政资金支持方向等。建议</w:t>
      </w:r>
      <w:r>
        <w:rPr>
          <w:rFonts w:hint="eastAsia" w:ascii="仿宋_GB2312" w:eastAsia="仿宋_GB2312"/>
          <w:b w:val="0"/>
          <w:sz w:val="32"/>
          <w:lang w:eastAsia="zh-CN"/>
        </w:rPr>
        <w:t>予以支持</w:t>
      </w:r>
      <w:r>
        <w:rPr>
          <w:rFonts w:hint="eastAsia" w:ascii="仿宋_GB2312" w:eastAsia="仿宋_GB2312"/>
          <w:b w:val="0"/>
          <w:sz w:val="32"/>
        </w:rPr>
        <w:t>，预算控制在</w:t>
      </w:r>
      <w:r>
        <w:rPr>
          <w:rFonts w:hint="eastAsia" w:ascii="仿宋_GB2312" w:hAnsi="宋体" w:eastAsia="仿宋_GB2312"/>
          <w:b w:val="0"/>
          <w:sz w:val="32"/>
          <w:szCs w:val="32"/>
          <w:lang w:val="en-US" w:eastAsia="zh-CN"/>
        </w:rPr>
        <w:t>72.66</w:t>
      </w:r>
      <w:r>
        <w:rPr>
          <w:rFonts w:hint="eastAsia" w:ascii="仿宋_GB2312" w:eastAsia="仿宋_GB2312"/>
          <w:b w:val="0"/>
          <w:sz w:val="32"/>
        </w:rPr>
        <w:t>万元以内。该项目申请资金总预算</w:t>
      </w:r>
      <w:r>
        <w:rPr>
          <w:rFonts w:hint="eastAsia" w:ascii="仿宋_GB2312" w:hAnsi="宋体" w:eastAsia="仿宋_GB2312"/>
          <w:b w:val="0"/>
          <w:sz w:val="32"/>
          <w:szCs w:val="32"/>
          <w:lang w:val="en-US" w:eastAsia="zh-CN"/>
        </w:rPr>
        <w:t>72.66</w:t>
      </w:r>
      <w:r>
        <w:rPr>
          <w:rFonts w:hint="eastAsia" w:ascii="仿宋_GB2312" w:eastAsia="仿宋_GB2312"/>
          <w:b w:val="0"/>
          <w:sz w:val="32"/>
        </w:rPr>
        <w:t>万元，经评审，建议预算申报数</w:t>
      </w:r>
      <w:r>
        <w:rPr>
          <w:rFonts w:hint="eastAsia" w:ascii="仿宋_GB2312" w:hAnsi="宋体" w:eastAsia="仿宋_GB2312"/>
          <w:b w:val="0"/>
          <w:sz w:val="32"/>
          <w:szCs w:val="32"/>
          <w:lang w:val="en-US" w:eastAsia="zh-CN"/>
        </w:rPr>
        <w:t>72.66</w:t>
      </w:r>
      <w:r>
        <w:rPr>
          <w:rFonts w:hint="eastAsia" w:ascii="仿宋_GB2312" w:eastAsia="仿宋_GB2312"/>
          <w:b w:val="0"/>
          <w:sz w:val="32"/>
        </w:rPr>
        <w:t>万元</w:t>
      </w:r>
      <w:r>
        <w:rPr>
          <w:rFonts w:hint="eastAsia" w:ascii="仿宋_GB2312" w:eastAsia="仿宋_GB2312"/>
          <w:b w:val="0"/>
          <w:sz w:val="32"/>
          <w:lang w:eastAsia="zh-CN"/>
        </w:rPr>
        <w:t>，</w:t>
      </w:r>
      <w:r>
        <w:rPr>
          <w:rFonts w:hint="eastAsia" w:ascii="仿宋_GB2312" w:eastAsia="仿宋_GB2312"/>
          <w:b w:val="0"/>
          <w:sz w:val="32"/>
        </w:rPr>
        <w:t>我单位将进一步</w:t>
      </w:r>
      <w:r>
        <w:rPr>
          <w:rFonts w:hint="eastAsia" w:ascii="仿宋_GB2312" w:eastAsia="仿宋_GB2312"/>
          <w:b w:val="0"/>
          <w:sz w:val="32"/>
          <w:u w:val="none"/>
        </w:rPr>
        <w:t>优化完善实施方案和绩效目标，加强运行监控，节约财政资金并提升资金效益，提升预算绩效管理水平</w:t>
      </w:r>
      <w:r>
        <w:rPr>
          <w:rFonts w:hint="eastAsia" w:ascii="仿宋_GB2312" w:eastAsia="仿宋_GB2312"/>
          <w:b w:val="0"/>
          <w:sz w:val="32"/>
          <w:u w:val="none"/>
          <w:lang w:eastAsia="zh-CN"/>
        </w:rPr>
        <w:t>。</w:t>
      </w:r>
    </w:p>
    <w:p w14:paraId="7E6EF73C">
      <w:pPr>
        <w:pageBreakBefore w:val="0"/>
        <w:widowControl w:val="0"/>
        <w:kinsoku/>
        <w:wordWrap/>
        <w:overflowPunct/>
        <w:topLinePunct w:val="0"/>
        <w:autoSpaceDE/>
        <w:autoSpaceDN/>
        <w:bidi w:val="0"/>
        <w:spacing w:line="560" w:lineRule="exact"/>
        <w:ind w:firstLine="640"/>
        <w:textAlignment w:val="auto"/>
        <w:rPr>
          <w:rFonts w:hint="eastAsia" w:ascii="仿宋_GB2312" w:hAnsi="宋体" w:eastAsia="仿宋_GB2312"/>
          <w:b w:val="0"/>
          <w:sz w:val="32"/>
          <w:szCs w:val="32"/>
        </w:rPr>
      </w:pPr>
      <w:r>
        <w:rPr>
          <w:rFonts w:hint="eastAsia" w:ascii="仿宋_GB2312" w:hAnsi="宋体" w:eastAsia="仿宋_GB2312"/>
          <w:b w:val="0"/>
          <w:sz w:val="32"/>
          <w:szCs w:val="32"/>
        </w:rPr>
        <w:t>项目可行，立项实施。进一步明确绩效目标，细化、量化相关指标。明确相关路线，细化工作内容，完善工作手段，调整工作部署和进度安排。细化完善项目预算。</w:t>
      </w:r>
    </w:p>
    <w:p w14:paraId="1A3FCF20">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六</w:t>
      </w:r>
      <w:r>
        <w:rPr>
          <w:rFonts w:hint="eastAsia" w:eastAsia="仿宋_GB2312"/>
          <w:b w:val="0"/>
          <w:sz w:val="32"/>
          <w:lang w:eastAsia="zh-CN"/>
        </w:rPr>
        <w:t>）</w:t>
      </w:r>
      <w:r>
        <w:rPr>
          <w:rFonts w:hint="eastAsia" w:eastAsia="仿宋_GB2312"/>
          <w:b w:val="0"/>
          <w:sz w:val="32"/>
        </w:rPr>
        <w:t>其它说明事项</w:t>
      </w:r>
    </w:p>
    <w:p w14:paraId="54AE0659">
      <w:pPr>
        <w:pStyle w:val="10"/>
        <w:pageBreakBefore w:val="0"/>
        <w:widowControl w:val="0"/>
        <w:kinsoku/>
        <w:wordWrap/>
        <w:overflowPunct/>
        <w:topLinePunct w:val="0"/>
        <w:autoSpaceDE/>
        <w:autoSpaceDN/>
        <w:bidi w:val="0"/>
        <w:spacing w:line="560" w:lineRule="exact"/>
        <w:ind w:left="49" w:firstLine="640" w:firstLineChars="200"/>
        <w:textAlignment w:val="auto"/>
        <w:rPr>
          <w:rFonts w:hint="default"/>
          <w:lang w:val="en-US" w:eastAsia="zh-CN"/>
        </w:rPr>
      </w:pPr>
      <w:r>
        <w:rPr>
          <w:rFonts w:hint="eastAsia" w:ascii="仿宋_GB2312" w:hAnsi="Times New Roman" w:eastAsia="仿宋_GB2312" w:cs="Times New Roman"/>
          <w:b w:val="0"/>
          <w:sz w:val="32"/>
          <w:u w:val="none"/>
        </w:rPr>
        <w:t>该项目预算编制真实完整，预算编制内容科学合理、明确细化，与绩效目标、实施方案紧密衔接，预算标准依据充分、测</w:t>
      </w:r>
      <w:r>
        <w:rPr>
          <w:rFonts w:hint="eastAsia" w:ascii="仿宋_GB2312" w:cs="Times New Roman"/>
          <w:b w:val="0"/>
          <w:sz w:val="32"/>
          <w:u w:val="none"/>
          <w:lang w:val="en-US" w:eastAsia="zh-CN"/>
        </w:rPr>
        <w:t>算准确。</w:t>
      </w:r>
      <w:bookmarkStart w:id="0" w:name="_GoBack"/>
      <w:bookmarkEnd w:id="0"/>
    </w:p>
    <w:sectPr>
      <w:headerReference r:id="rId7" w:type="default"/>
      <w:footerReference r:id="rId8"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script"/>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CESI仿宋-GB2312">
    <w:altName w:val="仿宋"/>
    <w:panose1 w:val="02000500000000000000"/>
    <w:charset w:val="86"/>
    <w:family w:val="script"/>
    <w:pitch w:val="default"/>
    <w:sig w:usb0="00000000" w:usb1="00000000" w:usb2="00000010" w:usb3="00000000" w:csb0="0004000F" w:csb1="00000000"/>
  </w:font>
  <w:font w:name="CESI楷体-GB2312">
    <w:altName w:val="宋体"/>
    <w:panose1 w:val="02000500000000000000"/>
    <w:charset w:val="86"/>
    <w:family w:val="script"/>
    <w:pitch w:val="default"/>
    <w:sig w:usb0="00000000" w:usb1="00000000" w:usb2="00000012"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1BD27">
    <w:pPr>
      <w:tabs>
        <w:tab w:val="center" w:pos="4153"/>
        <w:tab w:val="right" w:pos="8306"/>
      </w:tabs>
      <w:rPr>
        <w:rFonts w:ascii="仿宋_GB2312" w:eastAsia="仿宋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EDE7A">
    <w:pPr>
      <w:tabs>
        <w:tab w:val="center" w:pos="4153"/>
        <w:tab w:val="right" w:pos="8306"/>
      </w:tabs>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8A474">
    <w:pPr>
      <w:tabs>
        <w:tab w:val="center" w:pos="4153"/>
        <w:tab w:val="right" w:pos="8306"/>
      </w:tabs>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DA0F8">
    <w:pPr>
      <w:pBdr>
        <w:bottom w:val="none" w:color="auto" w:sz="0" w:space="0"/>
      </w:pBdr>
      <w:tabs>
        <w:tab w:val="center" w:pos="4153"/>
        <w:tab w:val="right"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CD381">
    <w:pPr>
      <w:pBdr>
        <w:bottom w:val="none" w:color="auto" w:sz="0" w:space="0"/>
      </w:pBdr>
      <w:tabs>
        <w:tab w:val="center" w:pos="4153"/>
        <w:tab w:val="right"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77A7F">
    <w:pPr>
      <w:pBdr>
        <w:bottom w:val="none" w:color="auto" w:sz="0" w:space="0"/>
      </w:pBdr>
      <w:tabs>
        <w:tab w:val="center" w:pos="4153"/>
        <w:tab w:val="right"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D0A63"/>
    <w:multiLevelType w:val="singleLevel"/>
    <w:tmpl w:val="E5FD0A63"/>
    <w:lvl w:ilvl="0" w:tentative="0">
      <w:start w:val="2"/>
      <w:numFmt w:val="chineseCounting"/>
      <w:suff w:val="nothing"/>
      <w:lvlText w:val="%1、"/>
      <w:lvlJc w:val="left"/>
      <w:pPr>
        <w:tabs>
          <w:tab w:val="left" w:pos="0"/>
        </w:tabs>
        <w:ind w:left="0" w:firstLine="0"/>
      </w:pPr>
      <w:rPr>
        <w:rFonts w:hint="eastAsia"/>
      </w:rPr>
    </w:lvl>
  </w:abstractNum>
  <w:abstractNum w:abstractNumId="1">
    <w:nsid w:val="73948FB1"/>
    <w:multiLevelType w:val="singleLevel"/>
    <w:tmpl w:val="73948FB1"/>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1ED14A1"/>
    <w:rsid w:val="02E132C9"/>
    <w:rsid w:val="02F32963"/>
    <w:rsid w:val="04C44C50"/>
    <w:rsid w:val="07702E6D"/>
    <w:rsid w:val="080C703A"/>
    <w:rsid w:val="09581E0B"/>
    <w:rsid w:val="09C556F2"/>
    <w:rsid w:val="09FD6A76"/>
    <w:rsid w:val="0AC05EBA"/>
    <w:rsid w:val="0DDA7292"/>
    <w:rsid w:val="0E012A71"/>
    <w:rsid w:val="0EAF24CD"/>
    <w:rsid w:val="0EBE0962"/>
    <w:rsid w:val="0F803E6A"/>
    <w:rsid w:val="120668A8"/>
    <w:rsid w:val="12E5605A"/>
    <w:rsid w:val="158E3304"/>
    <w:rsid w:val="17A34B99"/>
    <w:rsid w:val="1C424EBA"/>
    <w:rsid w:val="1D4209B0"/>
    <w:rsid w:val="1F2E38E2"/>
    <w:rsid w:val="20074B7F"/>
    <w:rsid w:val="205B63FD"/>
    <w:rsid w:val="23963804"/>
    <w:rsid w:val="24D740D4"/>
    <w:rsid w:val="26040EF9"/>
    <w:rsid w:val="28425D08"/>
    <w:rsid w:val="2A783C63"/>
    <w:rsid w:val="2D60110A"/>
    <w:rsid w:val="2E5D50C3"/>
    <w:rsid w:val="300F0BC6"/>
    <w:rsid w:val="33423060"/>
    <w:rsid w:val="33C63042"/>
    <w:rsid w:val="342033A2"/>
    <w:rsid w:val="385E26EA"/>
    <w:rsid w:val="38D97FC3"/>
    <w:rsid w:val="3AFD268F"/>
    <w:rsid w:val="3B4200A1"/>
    <w:rsid w:val="3CF74EBC"/>
    <w:rsid w:val="3D512F8C"/>
    <w:rsid w:val="3DB57B02"/>
    <w:rsid w:val="40BB3001"/>
    <w:rsid w:val="425A3F23"/>
    <w:rsid w:val="4469669F"/>
    <w:rsid w:val="44F912CC"/>
    <w:rsid w:val="4545070F"/>
    <w:rsid w:val="461D5993"/>
    <w:rsid w:val="47E24AFB"/>
    <w:rsid w:val="4D3C32C3"/>
    <w:rsid w:val="4FCB6460"/>
    <w:rsid w:val="50C35389"/>
    <w:rsid w:val="50D614F9"/>
    <w:rsid w:val="514C537E"/>
    <w:rsid w:val="54D9517B"/>
    <w:rsid w:val="55E02539"/>
    <w:rsid w:val="56916C2B"/>
    <w:rsid w:val="595079D6"/>
    <w:rsid w:val="5AFC1BC3"/>
    <w:rsid w:val="5BD019A0"/>
    <w:rsid w:val="5CE96177"/>
    <w:rsid w:val="5D7F0889"/>
    <w:rsid w:val="6171498D"/>
    <w:rsid w:val="61C827FF"/>
    <w:rsid w:val="62585F87"/>
    <w:rsid w:val="62941D3C"/>
    <w:rsid w:val="63E87AF8"/>
    <w:rsid w:val="67852F40"/>
    <w:rsid w:val="68661EAB"/>
    <w:rsid w:val="6C517895"/>
    <w:rsid w:val="710C022E"/>
    <w:rsid w:val="7161057A"/>
    <w:rsid w:val="720158B9"/>
    <w:rsid w:val="73D03795"/>
    <w:rsid w:val="75812F99"/>
    <w:rsid w:val="76DD06A3"/>
    <w:rsid w:val="79B7167F"/>
    <w:rsid w:val="79BC6C95"/>
    <w:rsid w:val="7A440A39"/>
    <w:rsid w:val="7A561C8E"/>
    <w:rsid w:val="7E4205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Salutation"/>
    <w:basedOn w:val="1"/>
    <w:next w:val="1"/>
    <w:qFormat/>
    <w:uiPriority w:val="0"/>
    <w:rPr>
      <w:rFonts w:ascii="Calibri" w:hAnsi="Calibri"/>
      <w:b/>
      <w:sz w:val="36"/>
      <w:szCs w:val="24"/>
    </w:rPr>
  </w:style>
  <w:style w:type="paragraph" w:styleId="6">
    <w:name w:val="table of figures"/>
    <w:basedOn w:val="1"/>
    <w:next w:val="1"/>
    <w:qFormat/>
    <w:uiPriority w:val="0"/>
    <w:pPr>
      <w:ind w:left="200" w:leftChars="200" w:hanging="200" w:hangingChars="200"/>
    </w:pPr>
  </w:style>
  <w:style w:type="paragraph" w:styleId="7">
    <w:name w:val="Normal (Web)"/>
    <w:basedOn w:val="1"/>
    <w:qFormat/>
    <w:uiPriority w:val="0"/>
    <w:pPr>
      <w:spacing w:before="0" w:beforeAutospacing="1" w:after="0" w:afterAutospacing="1"/>
      <w:ind w:left="0" w:right="0"/>
      <w:jc w:val="left"/>
    </w:pPr>
    <w:rPr>
      <w:kern w:val="0"/>
      <w:sz w:val="24"/>
      <w:lang w:val="en-US" w:eastAsia="zh-CN"/>
    </w:rPr>
  </w:style>
  <w:style w:type="paragraph" w:customStyle="1" w:styleId="10">
    <w:name w:val="NormalIndent"/>
    <w:qFormat/>
    <w:uiPriority w:val="0"/>
    <w:pPr>
      <w:widowControl w:val="0"/>
      <w:ind w:firstLine="200" w:firstLineChars="200"/>
      <w:jc w:val="both"/>
    </w:pPr>
    <w:rPr>
      <w:rFonts w:ascii="Times New Roman" w:hAnsi="Times New Roman" w:eastAsia="仿宋_GB2312" w:cs="Times New Roman"/>
      <w:kern w:val="2"/>
      <w:sz w:val="32"/>
      <w:szCs w:val="32"/>
      <w:lang w:val="en-US" w:eastAsia="zh-CN" w:bidi="ar-SA"/>
    </w:rPr>
  </w:style>
  <w:style w:type="character" w:customStyle="1" w:styleId="11">
    <w:name w:val="NormalCharacter"/>
    <w:qFormat/>
    <w:uiPriority w:val="0"/>
    <w:rPr>
      <w:rFonts w:ascii="仿宋_GB2312"/>
      <w:b/>
      <w:sz w:val="30"/>
      <w:szCs w:val="32"/>
    </w:rPr>
  </w:style>
  <w:style w:type="paragraph" w:customStyle="1" w:styleId="12">
    <w:name w:val="列出段落1"/>
    <w:basedOn w:val="1"/>
    <w:qFormat/>
    <w:uiPriority w:val="0"/>
    <w:pPr>
      <w:ind w:firstLine="200" w:firstLineChars="200"/>
    </w:pPr>
    <w:rPr>
      <w:rFonts w:eastAsia="宋体" w:cs="Calibri"/>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53</Pages>
  <Words>23943</Words>
  <Characters>25619</Characters>
  <Lines>23</Lines>
  <Paragraphs>15</Paragraphs>
  <TotalTime>25</TotalTime>
  <ScaleCrop>false</ScaleCrop>
  <LinksUpToDate>false</LinksUpToDate>
  <CharactersWithSpaces>25843</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2023-02-06T06:46:00Z</dcterms:created>
  <dc:creator>Administrator</dc:creator>
  <cp:lastModifiedBy>Tom</cp:lastModifiedBy>
  <dcterms:modified xsi:type="dcterms:W3CDTF">2025-03-04T07:28:50Z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eyJoZGlkIjoiOTE2ZDllODRiODE2ZDJhYjhiNzIxNGU1Mjk2ZDY5YmQiLCJ1c2VySWQiOiI0NDY1MjUyNDgifQ==</vt:lpwstr>
  </property>
  <property fmtid="{D5CDD505-2E9C-101B-9397-08002B2CF9AE}" pid="4" name="ICV">
    <vt:lpwstr>589B5EA525AD4CB78A99A4E1C9113D22_13</vt:lpwstr>
  </property>
</Properties>
</file>