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lang w:val="en-US" w:eastAsia="zh-CN"/>
        </w:rPr>
        <w:t>金川县</w:t>
      </w:r>
      <w:r>
        <w:rPr>
          <w:rFonts w:ascii="方正小标宋_GBK" w:eastAsia="方正小标宋_GBK" w:cs="方正小标宋_GBK" w:hint="eastAsia"/>
          <w:sz w:val="44"/>
          <w:szCs w:val="44"/>
          <w:lang w:val="en-US" w:eastAsia="zh-CN"/>
        </w:rPr>
        <w:t>2024年民政</w:t>
      </w:r>
      <w:r>
        <w:rPr>
          <w:rFonts w:ascii="方正小标宋_GBK" w:eastAsia="方正小标宋_GBK" w:cs="方正小标宋_GBK"/>
          <w:sz w:val="44"/>
          <w:szCs w:val="44"/>
          <w:lang w:val="en-US" w:eastAsia="zh-CN"/>
        </w:rPr>
        <w:t>局</w:t>
      </w:r>
      <w:r>
        <w:rPr>
          <w:rFonts w:ascii="方正小标宋_GBK" w:eastAsia="方正小标宋_GBK" w:cs="方正小标宋_GBK" w:hint="eastAsia"/>
          <w:sz w:val="44"/>
          <w:szCs w:val="44"/>
          <w:lang w:val="en-US" w:eastAsia="zh-CN"/>
        </w:rPr>
        <w:t>部门</w:t>
      </w:r>
      <w:r>
        <w:rPr>
          <w:rFonts w:ascii="方正小标宋_GBK" w:eastAsia="方正小标宋_GBK" w:cs="方正小标宋_GBK" w:hint="eastAsia"/>
          <w:sz w:val="44"/>
          <w:szCs w:val="44"/>
        </w:rPr>
        <w:t>预算绩效目标</w:t>
      </w:r>
    </w:p>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hint="eastAsia"/>
          <w:sz w:val="44"/>
          <w:szCs w:val="44"/>
        </w:rPr>
        <w:t>情况说明</w:t>
      </w:r>
    </w:p>
    <w:p>
      <w:pPr>
        <w:pStyle w:val="19"/>
        <w:tabs>
          <w:tab w:val="center" w:pos="4153"/>
          <w:tab w:val="right" w:pos="8306"/>
        </w:tabs>
        <w:spacing w:line="560" w:lineRule="exact"/>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2024年，我单位部门预算2090.82万元 ，均严格按绩效管理要求实现项目绩效目标管理，其中重点项目预算9个，现将情况说明如下：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完成了2024年本级部门预算整体绩效目标申报和9个项目预算绩效目标申报，并编报9个项目预算事前绩效评估报告。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9"/>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请引用单位在“预算一体化系统”的预算绩效模块下编制部门整体绩效目标申报中的整体绩效目标。</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 w:eastAsia="仿宋" w:hint="eastAsia"/>
          <w:color w:val="000000"/>
          <w:sz w:val="32"/>
          <w:szCs w:val="32"/>
          <w:shd w:val="clear" w:color="auto" w:fill="FFFFFF"/>
          <w:lang w:val="en-US" w:eastAsia="zh-CN"/>
        </w:rPr>
      </w:pPr>
      <w:r>
        <w:rPr>
          <w:rFonts w:ascii="仿宋_GB2312" w:eastAsia="仿宋_GB2312" w:cs="仿宋_GB2312" w:hint="eastAsia"/>
          <w:sz w:val="32"/>
          <w:szCs w:val="32"/>
          <w:lang w:val="en-US" w:eastAsia="zh-CN"/>
        </w:rPr>
        <w:t>重点项目1：</w:t>
      </w:r>
      <w:r>
        <w:rPr>
          <w:rFonts w:ascii="仿宋" w:eastAsia="仿宋" w:hint="eastAsia"/>
          <w:b/>
          <w:bCs/>
          <w:color w:val="000000"/>
          <w:sz w:val="32"/>
          <w:szCs w:val="32"/>
          <w:shd w:val="clear" w:color="auto" w:fill="FFFFFF"/>
          <w:lang w:val="en-US" w:eastAsia="zh-CN"/>
        </w:rPr>
        <w:t>困难群众救助补助资金</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r>
        <w:rPr>
          <w:rFonts w:ascii="仿宋" w:eastAsia="仿宋" w:hint="eastAsia"/>
          <w:color w:val="000000"/>
          <w:sz w:val="32"/>
          <w:szCs w:val="32"/>
          <w:shd w:val="clear" w:color="auto" w:fill="FFFFFF"/>
          <w:lang w:val="en-US" w:eastAsia="zh-CN"/>
        </w:rPr>
        <w:t>此资金专项用于城乡低保，特困供养，临时救助，流浪乞讨人员救助和孤儿的基本生活保障。</w:t>
      </w:r>
    </w:p>
    <w:p>
      <w:pPr>
        <w:pStyle w:val="21"/>
        <w:spacing w:before="0" w:beforeAutospacing="0" w:after="0" w:afterAutospacing="0" w:line="560" w:lineRule="exact"/>
        <w:ind w:firstLineChars="200" w:firstLine="640"/>
        <w:rPr>
          <w:rFonts w:ascii="仿宋_GB2312" w:eastAsia="仿宋_GB2312" w:cs="Times New Roman" w:hint="eastAsia"/>
          <w:sz w:val="32"/>
          <w:szCs w:val="32"/>
        </w:rPr>
      </w:pPr>
      <w:r>
        <w:rPr>
          <w:rFonts w:ascii="仿宋_GB2312" w:eastAsia="仿宋_GB2312" w:cs="仿宋_GB2312" w:hint="eastAsia"/>
          <w:sz w:val="32"/>
          <w:szCs w:val="32"/>
          <w:lang w:val="en-US" w:eastAsia="zh-CN"/>
        </w:rPr>
        <w:t>绩效指标设置情况：</w:t>
      </w:r>
      <w:r>
        <w:rPr>
          <w:rFonts w:ascii="仿宋_GB2312" w:eastAsia="仿宋_GB2312" w:hint="eastAsia"/>
          <w:sz w:val="32"/>
          <w:szCs w:val="32"/>
          <w:lang w:val="zh-CN"/>
        </w:rPr>
        <w:t>按照上级有关规定，结合我县实际情况，</w:t>
      </w:r>
      <w:r>
        <w:rPr>
          <w:rFonts w:ascii="仿宋_GB2312" w:eastAsia="仿宋_GB2312" w:cs="Times New Roman" w:hint="eastAsia"/>
          <w:sz w:val="32"/>
          <w:szCs w:val="32"/>
          <w:lang w:val="zh-CN"/>
        </w:rPr>
        <w:t>同时严格按照城乡低保，</w:t>
      </w:r>
      <w:r>
        <w:rPr>
          <w:rFonts w:ascii="仿宋_GB2312" w:eastAsia="仿宋_GB2312" w:cs="Times New Roman" w:hint="eastAsia"/>
          <w:sz w:val="32"/>
          <w:szCs w:val="32"/>
          <w:lang w:val="en-US" w:eastAsia="zh-CN"/>
        </w:rPr>
        <w:t>临时救助，流浪乞讨，困难儿童，特困供养人员</w:t>
      </w:r>
      <w:r>
        <w:rPr>
          <w:rFonts w:ascii="仿宋_GB2312" w:eastAsia="仿宋_GB2312" w:cs="Times New Roman" w:hint="eastAsia"/>
          <w:sz w:val="32"/>
          <w:szCs w:val="32"/>
          <w:lang w:val="zh-CN"/>
        </w:rPr>
        <w:t>条例，</w:t>
      </w:r>
      <w:r>
        <w:rPr>
          <w:rFonts w:ascii="仿宋_GB2312" w:eastAsia="仿宋_GB2312" w:cs="Times New Roman" w:hint="eastAsia"/>
          <w:sz w:val="32"/>
          <w:szCs w:val="32"/>
        </w:rPr>
        <w:t>根</w:t>
      </w:r>
      <w:r>
        <w:rPr>
          <w:rFonts w:ascii="仿宋_GB2312" w:eastAsia="仿宋_GB2312" w:cs="Times New Roman"/>
          <w:sz w:val="32"/>
          <w:szCs w:val="32"/>
        </w:rPr>
        <w:t>据</w:t>
      </w:r>
      <w:r>
        <w:rPr>
          <w:rFonts w:ascii="仿宋_GB2312" w:eastAsia="仿宋_GB2312" w:cs="Times New Roman" w:hint="eastAsia"/>
          <w:sz w:val="32"/>
          <w:szCs w:val="32"/>
          <w:lang w:val="en-US" w:eastAsia="zh-CN"/>
        </w:rPr>
        <w:t>救助</w:t>
      </w:r>
      <w:r>
        <w:rPr>
          <w:rFonts w:ascii="仿宋_GB2312" w:eastAsia="仿宋_GB2312" w:cs="Times New Roman" w:hint="eastAsia"/>
          <w:sz w:val="32"/>
          <w:szCs w:val="32"/>
        </w:rPr>
        <w:t>对象人数、</w:t>
      </w:r>
      <w:r>
        <w:rPr>
          <w:rFonts w:ascii="仿宋_GB2312" w:eastAsia="仿宋_GB2312" w:cs="Times New Roman" w:hint="eastAsia"/>
          <w:sz w:val="32"/>
          <w:szCs w:val="32"/>
          <w:lang w:val="en-US" w:eastAsia="zh-CN"/>
        </w:rPr>
        <w:t>救助</w:t>
      </w:r>
      <w:r>
        <w:rPr>
          <w:rFonts w:ascii="仿宋_GB2312" w:eastAsia="仿宋_GB2312" w:cs="Times New Roman" w:hint="eastAsia"/>
          <w:sz w:val="32"/>
          <w:szCs w:val="32"/>
        </w:rPr>
        <w:t>标准、补助水平和滚存结余等有关数据，认真测算</w:t>
      </w:r>
      <w:r>
        <w:rPr>
          <w:rFonts w:ascii="仿宋_GB2312" w:eastAsia="仿宋_GB2312" w:cs="Times New Roman" w:hint="eastAsia"/>
          <w:sz w:val="32"/>
          <w:szCs w:val="32"/>
          <w:lang w:val="en-US" w:eastAsia="zh-CN"/>
        </w:rPr>
        <w:t>救助</w:t>
      </w:r>
      <w:r>
        <w:rPr>
          <w:rFonts w:ascii="仿宋_GB2312" w:eastAsia="仿宋_GB2312" w:cs="Times New Roman" w:hint="eastAsia"/>
          <w:sz w:val="32"/>
          <w:szCs w:val="32"/>
        </w:rPr>
        <w:t>低保资金需求报同级财政部门。经同级财政部门审核后，列入预算草案报本级人民代表大会批准。</w:t>
      </w:r>
      <w:r>
        <w:rPr>
          <w:rFonts w:ascii="仿宋_GB2312" w:eastAsia="仿宋_GB2312" w:cs="Times New Roman" w:hint="eastAsia"/>
          <w:sz w:val="32"/>
          <w:szCs w:val="32"/>
          <w:lang w:val="en-US" w:eastAsia="zh-CN"/>
        </w:rPr>
        <w:t>困难群众救助</w:t>
      </w:r>
      <w:r>
        <w:rPr>
          <w:rFonts w:ascii="仿宋_GB2312" w:eastAsia="仿宋_GB2312" w:cs="Times New Roman" w:hint="eastAsia"/>
          <w:sz w:val="32"/>
          <w:szCs w:val="32"/>
        </w:rPr>
        <w:t>资金实行社会化发放，通过银行、信用社等代理金融机构，直接发放到户。县级财政、民政部门以</w:t>
      </w:r>
      <w:r>
        <w:rPr>
          <w:rFonts w:ascii="仿宋_GB2312" w:eastAsia="仿宋_GB2312" w:cs="Times New Roman" w:hint="eastAsia"/>
          <w:sz w:val="32"/>
          <w:szCs w:val="32"/>
          <w:lang w:val="en-US" w:eastAsia="zh-CN"/>
        </w:rPr>
        <w:t>救助</w:t>
      </w:r>
      <w:r>
        <w:rPr>
          <w:rFonts w:ascii="仿宋_GB2312" w:eastAsia="仿宋_GB2312" w:cs="Times New Roman" w:hint="eastAsia"/>
          <w:sz w:val="32"/>
          <w:szCs w:val="32"/>
        </w:rPr>
        <w:t>家庭为单位为其在代理金融机构开设专门账户，实行涉农资金“一卡(折)通”将</w:t>
      </w:r>
      <w:r>
        <w:rPr>
          <w:rFonts w:ascii="仿宋_GB2312" w:eastAsia="仿宋_GB2312" w:cs="Times New Roman" w:hint="eastAsia"/>
          <w:sz w:val="32"/>
          <w:szCs w:val="32"/>
          <w:lang w:val="en-US" w:eastAsia="zh-CN"/>
        </w:rPr>
        <w:t>救助</w:t>
      </w:r>
      <w:r>
        <w:rPr>
          <w:rFonts w:ascii="仿宋_GB2312" w:eastAsia="仿宋_GB2312" w:cs="Times New Roman" w:hint="eastAsia"/>
          <w:sz w:val="32"/>
          <w:szCs w:val="32"/>
        </w:rPr>
        <w:t>资金纳入“一卡(折)通”，统一发放。</w:t>
      </w:r>
    </w:p>
    <w:p>
      <w:pPr>
        <w:adjustRightInd w:val="0"/>
        <w:snapToGrid w:val="0"/>
        <w:spacing w:line="560" w:lineRule="exact"/>
        <w:ind w:firstLineChars="150" w:firstLine="480"/>
        <w:rPr>
          <w:rFonts w:ascii="仿宋_GB2312" w:hAnsi="仿宋_GB2312" w:hint="eastAsia"/>
          <w:b/>
          <w:sz w:val="32"/>
          <w:szCs w:val="32"/>
          <w:lang w:val="zh-CN"/>
        </w:rPr>
      </w:pPr>
      <w:r>
        <w:rPr>
          <w:rFonts w:ascii="仿宋_GB2312" w:hAnsi="仿宋_GB2312"/>
          <w:b/>
          <w:sz w:val="32"/>
          <w:szCs w:val="32"/>
          <w:lang w:val="zh-CN"/>
        </w:rPr>
        <w:t>（一</w:t>
      </w:r>
      <w:r>
        <w:rPr>
          <w:rFonts w:ascii="仿宋_GB2312" w:hAnsi="仿宋_GB2312" w:hint="eastAsia"/>
          <w:b/>
          <w:sz w:val="32"/>
          <w:szCs w:val="32"/>
          <w:lang w:val="zh-CN"/>
        </w:rPr>
        <w:t>）项目组织架构及实施流程</w:t>
      </w:r>
    </w:p>
    <w:p>
      <w:pPr>
        <w:widowControl/>
        <w:spacing w:line="560" w:lineRule="exact"/>
        <w:ind w:firstLineChars="200" w:firstLine="640"/>
        <w:jc w:val="left"/>
        <w:rPr>
          <w:rFonts w:ascii="仿宋_GB2312" w:cs="宋体" w:hAnsi="仿宋_GB2312" w:hint="eastAsia"/>
          <w:sz w:val="32"/>
          <w:szCs w:val="32"/>
        </w:rPr>
      </w:pPr>
      <w:r>
        <w:rPr>
          <w:rFonts w:ascii="仿宋_GB2312" w:eastAsia="仿宋_GB2312" w:hint="eastAsia"/>
          <w:sz w:val="32"/>
          <w:szCs w:val="32"/>
          <w:lang w:val="en-US" w:eastAsia="zh-CN"/>
        </w:rPr>
        <w:t>困难群众救助</w:t>
      </w:r>
      <w:r>
        <w:rPr>
          <w:rFonts w:ascii="仿宋_GB2312" w:eastAsia="仿宋_GB2312" w:hint="eastAsia"/>
          <w:sz w:val="32"/>
          <w:szCs w:val="32"/>
        </w:rPr>
        <w:t>资金按照州、县财政分级承担的办法纳入财政预算，由原资金渠道列支解决，由州财政承担40%，各县财政承担60%</w:t>
      </w:r>
      <w:r>
        <w:rPr>
          <w:rFonts w:ascii="仿宋_GB2312" w:cs="宋体" w:hAnsi="仿宋_GB2312" w:hint="eastAsia"/>
          <w:sz w:val="32"/>
          <w:szCs w:val="32"/>
        </w:rPr>
        <w:t>。</w:t>
      </w:r>
    </w:p>
    <w:p>
      <w:pPr>
        <w:widowControl/>
        <w:spacing w:line="560" w:lineRule="exact"/>
        <w:ind w:firstLineChars="150" w:firstLine="480"/>
        <w:jc w:val="left"/>
        <w:rPr>
          <w:rFonts w:ascii="黑体" w:eastAsia="黑体" w:cs="宋体" w:hint="eastAsia"/>
          <w:sz w:val="32"/>
          <w:szCs w:val="32"/>
        </w:rPr>
      </w:pPr>
      <w:r>
        <w:rPr>
          <w:rFonts w:ascii="黑体" w:eastAsia="黑体" w:cs="宋体" w:hint="eastAsia"/>
          <w:sz w:val="32"/>
          <w:szCs w:val="32"/>
        </w:rPr>
        <w:t>（二）项目管理情况</w:t>
      </w:r>
    </w:p>
    <w:p>
      <w:pPr>
        <w:widowControl/>
        <w:spacing w:line="560" w:lineRule="exact"/>
        <w:ind w:firstLineChars="200" w:firstLine="640"/>
        <w:jc w:val="left"/>
        <w:rPr>
          <w:rFonts w:ascii="仿宋_GB2312" w:eastAsia="仿宋_GB2312" w:cs="宋体" w:hint="eastAsia"/>
          <w:sz w:val="32"/>
          <w:szCs w:val="32"/>
        </w:rPr>
      </w:pPr>
      <w:r>
        <w:rPr>
          <w:rFonts w:ascii="仿宋_GB2312" w:eastAsia="仿宋_GB2312" w:hint="eastAsia"/>
          <w:sz w:val="32"/>
          <w:szCs w:val="32"/>
        </w:rPr>
        <w:t>具有金川县户籍常住居民家庭，凡共同生活的家庭成员人均收入不低于我州最低生活保障标准，且人均总值（家庭收入和财产</w:t>
      </w:r>
      <w:r>
        <w:rPr>
          <w:rFonts w:ascii="仿宋_GB2312" w:eastAsia="仿宋_GB2312"/>
          <w:sz w:val="32"/>
          <w:szCs w:val="32"/>
        </w:rPr>
        <w:t>性</w:t>
      </w:r>
      <w:r>
        <w:rPr>
          <w:rFonts w:ascii="仿宋_GB2312" w:eastAsia="仿宋_GB2312" w:hint="eastAsia"/>
          <w:sz w:val="32"/>
          <w:szCs w:val="32"/>
        </w:rPr>
        <w:t>收入）低于当地一年低保标准总和（农村4680元）的家庭，以户申请低保。困难家庭中丧失劳动能力的可申请低保等</w:t>
      </w:r>
      <w:r>
        <w:rPr>
          <w:rFonts w:ascii="仿宋_GB2312" w:cs="宋体" w:hAnsi="仿宋_GB2312" w:hint="eastAsia"/>
          <w:sz w:val="32"/>
          <w:szCs w:val="32"/>
        </w:rPr>
        <w:t>。</w:t>
      </w:r>
    </w:p>
    <w:p>
      <w:pPr>
        <w:widowControl/>
        <w:spacing w:line="560" w:lineRule="exact"/>
        <w:ind w:firstLineChars="200" w:firstLine="640"/>
        <w:jc w:val="left"/>
        <w:rPr>
          <w:rFonts w:ascii="黑体" w:eastAsia="黑体" w:cs="宋体" w:hint="eastAsia"/>
          <w:sz w:val="32"/>
          <w:szCs w:val="32"/>
        </w:rPr>
      </w:pPr>
      <w:r>
        <w:rPr>
          <w:rFonts w:ascii="黑体" w:eastAsia="黑体" w:cs="宋体" w:hint="eastAsia"/>
          <w:sz w:val="32"/>
          <w:szCs w:val="32"/>
        </w:rPr>
        <w:t>（三）项目监管情况</w:t>
      </w:r>
    </w:p>
    <w:p>
      <w:pPr>
        <w:widowControl/>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严格按规定使用城乡低保资金，不得擅自扩大支出范围，不得以任何形式截留、滞留、挤占和挪用，不得向低保对象收取任何管理费用。对违规使用低保资金的，按有关规定严肃处理。</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Chars="200" w:firstLine="640"/>
        <w:textAlignment w:val="auto"/>
        <w:rPr>
          <w:rFonts w:ascii="仿宋" w:eastAsia="仿宋" w:cs="仿宋" w:hint="eastAsia"/>
          <w:b w:val="0"/>
          <w:bCs/>
          <w:color w:val="000000"/>
          <w:kern w:val="0"/>
          <w:sz w:val="32"/>
          <w:szCs w:val="32"/>
          <w:lang w:val="zh-CN" w:eastAsia="zh-CN"/>
        </w:rPr>
      </w:pPr>
      <w:r>
        <w:rPr>
          <w:rFonts w:eastAsia="仿宋_GB2312"/>
          <w:color w:val="000000"/>
          <w:sz w:val="32"/>
          <w:szCs w:val="32"/>
        </w:rPr>
        <w:t>根据《社会救助暂行办法》（国务院令第649号）、《国务院关于全面建立临时救助制度的通知》（国发〔2014〕47号）、《四川省社会救助实施办法》（省政府令第286号）、《四川省人民政府关于进一步健全完善临时救助制度的意见》（川府发〔2015〕13号）</w:t>
      </w:r>
      <w:r>
        <w:rPr>
          <w:rFonts w:ascii="仿宋" w:eastAsia="仿宋" w:cs="仿宋" w:hint="eastAsia"/>
          <w:b w:val="0"/>
          <w:bCs/>
          <w:color w:val="000000"/>
          <w:kern w:val="0"/>
          <w:sz w:val="32"/>
          <w:szCs w:val="32"/>
        </w:rPr>
        <w:t>《四川省最低生活保障工作规程》</w:t>
      </w:r>
      <w:r>
        <w:rPr>
          <w:rFonts w:ascii="仿宋" w:eastAsia="仿宋" w:cs="仿宋" w:hint="eastAsia"/>
          <w:color w:val="000000"/>
          <w:sz w:val="32"/>
          <w:szCs w:val="32"/>
        </w:rPr>
        <w:t>川民发（201</w:t>
      </w:r>
      <w:r>
        <w:rPr>
          <w:rFonts w:ascii="仿宋" w:eastAsia="仿宋" w:cs="仿宋" w:hint="eastAsia"/>
          <w:color w:val="000000"/>
          <w:sz w:val="32"/>
          <w:szCs w:val="32"/>
          <w:lang w:val="en-US" w:eastAsia="zh-CN"/>
        </w:rPr>
        <w:t>7</w:t>
      </w:r>
      <w:r>
        <w:rPr>
          <w:rFonts w:ascii="仿宋" w:eastAsia="仿宋" w:cs="仿宋" w:hint="eastAsia"/>
          <w:color w:val="000000"/>
          <w:sz w:val="32"/>
          <w:szCs w:val="32"/>
        </w:rPr>
        <w:t>）</w:t>
      </w:r>
      <w:r>
        <w:rPr>
          <w:rFonts w:ascii="仿宋" w:eastAsia="仿宋" w:cs="仿宋" w:hint="eastAsia"/>
          <w:color w:val="000000"/>
          <w:sz w:val="32"/>
          <w:szCs w:val="32"/>
          <w:lang w:val="en-US" w:eastAsia="zh-CN"/>
        </w:rPr>
        <w:t>155</w:t>
      </w:r>
      <w:r>
        <w:rPr>
          <w:rFonts w:ascii="仿宋" w:eastAsia="仿宋" w:cs="仿宋" w:hint="eastAsia"/>
          <w:color w:val="000000"/>
          <w:sz w:val="32"/>
          <w:szCs w:val="32"/>
        </w:rPr>
        <w:t>号、</w:t>
      </w:r>
      <w:r>
        <w:rPr>
          <w:rFonts w:ascii="仿宋" w:eastAsia="仿宋" w:hint="eastAsia"/>
          <w:color w:val="000000"/>
          <w:sz w:val="32"/>
          <w:szCs w:val="32"/>
          <w:lang w:val="zh-CN"/>
        </w:rPr>
        <w:t xml:space="preserve"> </w:t>
      </w:r>
      <w:r>
        <w:rPr>
          <w:rFonts w:ascii="仿宋" w:eastAsia="仿宋" w:hint="eastAsia"/>
          <w:color w:val="auto"/>
          <w:sz w:val="32"/>
          <w:szCs w:val="32"/>
        </w:rPr>
        <w:t>结合</w:t>
      </w:r>
      <w:r>
        <w:rPr>
          <w:color w:val="auto"/>
          <w:sz w:val="32"/>
          <w:szCs w:val="32"/>
        </w:rPr>
        <w:t>　</w:t>
      </w:r>
      <w:r>
        <w:rPr>
          <w:rFonts w:ascii="仿宋" w:eastAsia="仿宋" w:cs="仿宋" w:hint="eastAsia"/>
          <w:b w:val="0"/>
          <w:bCs/>
          <w:color w:val="000000"/>
          <w:kern w:val="0"/>
          <w:sz w:val="32"/>
          <w:szCs w:val="32"/>
        </w:rPr>
        <w:t>《阿坝藏族羌族自治州城乡困难群众临时生活救助实施办法》(阿府办发〔2011〕2</w:t>
      </w:r>
      <w:r>
        <w:rPr>
          <w:rFonts w:ascii="仿宋" w:eastAsia="仿宋" w:cs="仿宋" w:hint="eastAsia"/>
          <w:b w:val="0"/>
          <w:bCs/>
          <w:color w:val="000000"/>
          <w:kern w:val="0"/>
          <w:sz w:val="32"/>
          <w:szCs w:val="32"/>
          <w:lang w:val="en-US" w:eastAsia="zh-CN"/>
        </w:rPr>
        <w:t>3</w:t>
      </w:r>
      <w:r>
        <w:rPr>
          <w:rFonts w:ascii="仿宋" w:eastAsia="仿宋" w:cs="仿宋" w:hint="eastAsia"/>
          <w:b w:val="0"/>
          <w:bCs/>
          <w:color w:val="000000"/>
          <w:kern w:val="0"/>
          <w:sz w:val="32"/>
          <w:szCs w:val="32"/>
        </w:rPr>
        <w:t xml:space="preserve">号) </w:t>
      </w:r>
      <w:r>
        <w:rPr>
          <w:rFonts w:ascii="仿宋" w:eastAsia="仿宋" w:cs="仿宋" w:hint="eastAsia"/>
          <w:b w:val="0"/>
          <w:bCs/>
          <w:color w:val="000000"/>
          <w:kern w:val="0"/>
          <w:sz w:val="32"/>
          <w:szCs w:val="32"/>
          <w:lang w:eastAsia="zh-CN"/>
        </w:rPr>
        <w:t>、</w:t>
      </w:r>
      <w:r>
        <w:rPr>
          <w:rFonts w:ascii="仿宋" w:eastAsia="仿宋" w:cs="仿宋" w:hint="eastAsia"/>
          <w:b w:val="0"/>
          <w:bCs/>
          <w:color w:val="000000"/>
          <w:kern w:val="0"/>
          <w:sz w:val="32"/>
          <w:szCs w:val="32"/>
        </w:rPr>
        <w:t>《阿坝</w:t>
      </w:r>
      <w:r>
        <w:rPr>
          <w:rFonts w:ascii="仿宋" w:eastAsia="仿宋" w:cs="仿宋" w:hint="eastAsia"/>
          <w:b w:val="0"/>
          <w:bCs/>
          <w:color w:val="000000"/>
          <w:kern w:val="0"/>
          <w:sz w:val="32"/>
          <w:szCs w:val="32"/>
          <w:lang w:eastAsia="zh-CN"/>
        </w:rPr>
        <w:t>州民政局关于进一步做好临时救助工作的通知</w:t>
      </w:r>
      <w:r>
        <w:rPr>
          <w:rFonts w:ascii="仿宋" w:eastAsia="仿宋" w:cs="仿宋" w:hint="eastAsia"/>
          <w:b w:val="0"/>
          <w:bCs/>
          <w:color w:val="000000"/>
          <w:kern w:val="0"/>
          <w:sz w:val="32"/>
          <w:szCs w:val="32"/>
        </w:rPr>
        <w:t>》(阿</w:t>
      </w:r>
      <w:r>
        <w:rPr>
          <w:rFonts w:ascii="仿宋" w:eastAsia="仿宋" w:cs="仿宋" w:hint="eastAsia"/>
          <w:b w:val="0"/>
          <w:bCs/>
          <w:color w:val="000000"/>
          <w:kern w:val="0"/>
          <w:sz w:val="32"/>
          <w:szCs w:val="32"/>
          <w:lang w:eastAsia="zh-CN"/>
        </w:rPr>
        <w:t>州民政</w:t>
      </w:r>
      <w:r>
        <w:rPr>
          <w:rFonts w:ascii="仿宋" w:eastAsia="仿宋" w:cs="仿宋" w:hint="eastAsia"/>
          <w:b w:val="0"/>
          <w:bCs/>
          <w:color w:val="000000"/>
          <w:kern w:val="0"/>
          <w:sz w:val="32"/>
          <w:szCs w:val="32"/>
        </w:rPr>
        <w:t>〔201</w:t>
      </w:r>
      <w:r>
        <w:rPr>
          <w:rFonts w:ascii="仿宋" w:eastAsia="仿宋" w:cs="仿宋" w:hint="eastAsia"/>
          <w:b w:val="0"/>
          <w:bCs/>
          <w:color w:val="000000"/>
          <w:kern w:val="0"/>
          <w:sz w:val="32"/>
          <w:szCs w:val="32"/>
          <w:lang w:val="en-US" w:eastAsia="zh-CN"/>
        </w:rPr>
        <w:t>7</w:t>
      </w:r>
      <w:r>
        <w:rPr>
          <w:rFonts w:ascii="仿宋" w:eastAsia="仿宋" w:cs="仿宋" w:hint="eastAsia"/>
          <w:b w:val="0"/>
          <w:bCs/>
          <w:color w:val="000000"/>
          <w:kern w:val="0"/>
          <w:sz w:val="32"/>
          <w:szCs w:val="32"/>
        </w:rPr>
        <w:t>〕</w:t>
      </w:r>
      <w:r>
        <w:rPr>
          <w:rFonts w:ascii="仿宋" w:eastAsia="仿宋" w:cs="仿宋" w:hint="eastAsia"/>
          <w:b w:val="0"/>
          <w:bCs/>
          <w:color w:val="000000"/>
          <w:kern w:val="0"/>
          <w:sz w:val="32"/>
          <w:szCs w:val="32"/>
          <w:lang w:val="en-US" w:eastAsia="zh-CN"/>
        </w:rPr>
        <w:t>282</w:t>
      </w:r>
      <w:r>
        <w:rPr>
          <w:rFonts w:ascii="仿宋" w:eastAsia="仿宋" w:cs="仿宋" w:hint="eastAsia"/>
          <w:b w:val="0"/>
          <w:bCs/>
          <w:color w:val="000000"/>
          <w:kern w:val="0"/>
          <w:sz w:val="32"/>
          <w:szCs w:val="32"/>
        </w:rPr>
        <w:t>号)、</w:t>
      </w:r>
      <w:r>
        <w:rPr>
          <w:rFonts w:ascii="仿宋" w:eastAsia="仿宋" w:cs="仿宋" w:hint="eastAsia"/>
          <w:b w:val="0"/>
          <w:bCs/>
          <w:color w:val="000000"/>
          <w:kern w:val="0"/>
          <w:sz w:val="32"/>
          <w:szCs w:val="32"/>
          <w:lang w:eastAsia="zh-CN"/>
        </w:rPr>
        <w:t>和</w:t>
      </w:r>
      <w:r>
        <w:rPr>
          <w:rFonts w:ascii="仿宋" w:eastAsia="仿宋" w:cs="仿宋" w:hint="eastAsia"/>
          <w:b w:val="0"/>
          <w:bCs/>
          <w:color w:val="000000"/>
          <w:kern w:val="0"/>
          <w:sz w:val="32"/>
          <w:szCs w:val="32"/>
        </w:rPr>
        <w:t>《</w:t>
      </w:r>
      <w:r>
        <w:rPr>
          <w:rFonts w:ascii="仿宋" w:eastAsia="仿宋" w:cs="仿宋" w:hint="eastAsia"/>
          <w:b w:val="0"/>
          <w:bCs/>
          <w:color w:val="000000"/>
          <w:kern w:val="0"/>
          <w:sz w:val="32"/>
          <w:szCs w:val="32"/>
          <w:lang w:eastAsia="zh-CN"/>
        </w:rPr>
        <w:t>四川省民政厅四川省财政厅关于进一步做好临时救助工作的通知</w:t>
      </w:r>
      <w:r>
        <w:rPr>
          <w:rFonts w:ascii="仿宋" w:eastAsia="仿宋" w:cs="仿宋" w:hint="eastAsia"/>
          <w:b w:val="0"/>
          <w:bCs/>
          <w:color w:val="000000"/>
          <w:kern w:val="0"/>
          <w:sz w:val="32"/>
          <w:szCs w:val="32"/>
        </w:rPr>
        <w:t>》川民发（201</w:t>
      </w:r>
      <w:r>
        <w:rPr>
          <w:rFonts w:ascii="仿宋" w:eastAsia="仿宋" w:cs="仿宋" w:hint="eastAsia"/>
          <w:b w:val="0"/>
          <w:bCs/>
          <w:color w:val="000000"/>
          <w:kern w:val="0"/>
          <w:sz w:val="32"/>
          <w:szCs w:val="32"/>
          <w:lang w:val="en-US" w:eastAsia="zh-CN"/>
        </w:rPr>
        <w:t>8</w:t>
      </w:r>
      <w:r>
        <w:rPr>
          <w:rFonts w:ascii="仿宋" w:eastAsia="仿宋" w:cs="仿宋" w:hint="eastAsia"/>
          <w:b w:val="0"/>
          <w:bCs/>
          <w:color w:val="000000"/>
          <w:kern w:val="0"/>
          <w:sz w:val="32"/>
          <w:szCs w:val="32"/>
        </w:rPr>
        <w:t>）</w:t>
      </w:r>
      <w:r>
        <w:rPr>
          <w:rFonts w:ascii="仿宋" w:eastAsia="仿宋" w:cs="仿宋" w:hint="eastAsia"/>
          <w:b w:val="0"/>
          <w:bCs/>
          <w:color w:val="000000"/>
          <w:kern w:val="0"/>
          <w:sz w:val="32"/>
          <w:szCs w:val="32"/>
          <w:lang w:val="en-US" w:eastAsia="zh-CN"/>
        </w:rPr>
        <w:t>98</w:t>
      </w:r>
      <w:r>
        <w:rPr>
          <w:rFonts w:ascii="仿宋" w:eastAsia="仿宋" w:cs="仿宋" w:hint="eastAsia"/>
          <w:b w:val="0"/>
          <w:bCs/>
          <w:color w:val="000000"/>
          <w:kern w:val="0"/>
          <w:sz w:val="32"/>
          <w:szCs w:val="32"/>
        </w:rPr>
        <w:t>号</w:t>
      </w:r>
      <w:r>
        <w:rPr>
          <w:rFonts w:ascii="仿宋" w:eastAsia="仿宋" w:cs="仿宋" w:hint="eastAsia"/>
          <w:b w:val="0"/>
          <w:bCs/>
          <w:color w:val="000000"/>
          <w:kern w:val="0"/>
          <w:sz w:val="32"/>
          <w:szCs w:val="32"/>
          <w:lang w:val="zh-CN" w:eastAsia="zh-CN"/>
        </w:rPr>
        <w:t>文件精神,来评估、核定。给</w:t>
      </w:r>
      <w:r>
        <w:rPr>
          <w:rFonts w:ascii="仿宋" w:eastAsia="仿宋" w:cs="仿宋"/>
          <w:b w:val="0"/>
          <w:bCs/>
          <w:color w:val="000000"/>
          <w:kern w:val="0"/>
          <w:sz w:val="32"/>
          <w:szCs w:val="32"/>
          <w:lang w:val="zh-CN" w:eastAsia="zh-CN"/>
        </w:rPr>
        <w:t>予</w:t>
      </w:r>
      <w:r>
        <w:rPr>
          <w:rFonts w:ascii="仿宋" w:eastAsia="仿宋" w:cs="仿宋" w:hint="eastAsia"/>
          <w:b w:val="0"/>
          <w:bCs/>
          <w:color w:val="000000"/>
          <w:kern w:val="0"/>
          <w:sz w:val="32"/>
          <w:szCs w:val="32"/>
          <w:lang w:val="zh-CN" w:eastAsia="zh-CN"/>
        </w:rPr>
        <w:t>城乡低保对象、特困、建档立卡对象以及其他符合临时救助条件的困难人员的临时补助，必须细分明确救助对象类别，规范审核审批程序、科学制定量化救助标准，重点使用的原则。</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Chars="200" w:firstLine="640"/>
        <w:textAlignment w:val="auto"/>
        <w:rPr>
          <w:rFonts w:ascii="仿宋" w:eastAsia="仿宋" w:cs="仿宋" w:hint="eastAsia"/>
          <w:b w:val="0"/>
          <w:bCs/>
          <w:color w:val="000000"/>
          <w:kern w:val="0"/>
          <w:sz w:val="32"/>
          <w:szCs w:val="32"/>
          <w:lang w:val="zh-CN" w:eastAsia="zh-CN"/>
        </w:rPr>
      </w:pPr>
      <w:r>
        <w:rPr>
          <w:rFonts w:ascii="仿宋" w:eastAsia="仿宋" w:cs="仿宋" w:hint="eastAsia"/>
          <w:b w:val="0"/>
          <w:bCs/>
          <w:color w:val="000000"/>
          <w:kern w:val="0"/>
          <w:sz w:val="32"/>
          <w:szCs w:val="32"/>
          <w:lang w:val="zh-CN" w:eastAsia="zh-CN"/>
        </w:rPr>
        <w:t>自城乡特困制度实施以来，全县农村特困人员保障范围逐步扩大，保障标准逐步提高，已形成了同其他社会保障措施相配套、覆盖全县农村困难居民的最低生活保障体系，农村弱</w:t>
      </w:r>
      <w:r>
        <w:rPr>
          <w:rFonts w:ascii="仿宋" w:eastAsia="仿宋" w:cs="仿宋"/>
          <w:b w:val="0"/>
          <w:bCs/>
          <w:color w:val="000000"/>
          <w:kern w:val="0"/>
          <w:sz w:val="32"/>
          <w:szCs w:val="32"/>
          <w:lang w:val="zh-CN" w:eastAsia="zh-CN"/>
        </w:rPr>
        <w:t>小</w:t>
      </w:r>
      <w:r>
        <w:rPr>
          <w:rFonts w:ascii="仿宋" w:eastAsia="仿宋" w:cs="仿宋" w:hint="eastAsia"/>
          <w:b w:val="0"/>
          <w:bCs/>
          <w:color w:val="000000"/>
          <w:kern w:val="0"/>
          <w:sz w:val="32"/>
          <w:szCs w:val="32"/>
          <w:lang w:val="zh-CN" w:eastAsia="zh-CN"/>
        </w:rPr>
        <w:t>群体的基本生活得到了保障。通过问卷调查，群众满意率为9</w:t>
      </w:r>
      <w:r>
        <w:rPr>
          <w:rFonts w:ascii="仿宋" w:eastAsia="仿宋" w:cs="仿宋" w:hint="eastAsia"/>
          <w:b w:val="0"/>
          <w:bCs/>
          <w:color w:val="000000"/>
          <w:kern w:val="0"/>
          <w:sz w:val="32"/>
          <w:szCs w:val="32"/>
          <w:lang w:val="en-US" w:eastAsia="zh-CN"/>
        </w:rPr>
        <w:t>8</w:t>
      </w:r>
      <w:r>
        <w:rPr>
          <w:rFonts w:ascii="仿宋" w:eastAsia="仿宋" w:cs="仿宋" w:hint="eastAsia"/>
          <w:b w:val="0"/>
          <w:bCs/>
          <w:color w:val="000000"/>
          <w:kern w:val="0"/>
          <w:sz w:val="32"/>
          <w:szCs w:val="32"/>
          <w:lang w:val="zh-CN" w:eastAsia="zh-CN"/>
        </w:rPr>
        <w:t>%，低收入群体的生活质量有明显改善。为稳定、持久地解决农村贫困人口温饱问题、促进经济发展、社会和谐发挥了积极作用。</w:t>
      </w:r>
    </w:p>
    <w:p>
      <w:pPr>
        <w:keepNext w:val="0"/>
        <w:keepLines w:val="0"/>
        <w:pageBreakBefore w:val="0"/>
        <w:widowControl w:val="0"/>
        <w:kinsoku/>
        <w:wordWrap/>
        <w:overflowPunct/>
        <w:topLinePunct w:val="0"/>
        <w:autoSpaceDE/>
        <w:autoSpaceDN/>
        <w:bidi w:val="0"/>
        <w:adjustRightInd w:val="0"/>
        <w:snapToGrid w:val="0"/>
        <w:spacing w:line="560" w:lineRule="exact"/>
        <w:ind w:left="640" w:right="0" w:firstLineChars="200" w:firstLine="640"/>
        <w:textAlignment w:val="auto"/>
        <w:rPr>
          <w:rFonts w:ascii="仿宋" w:eastAsia="仿宋" w:cs="仿宋" w:hint="eastAsia"/>
          <w:b w:val="0"/>
          <w:bCs/>
          <w:color w:val="000000"/>
          <w:kern w:val="0"/>
          <w:sz w:val="32"/>
          <w:szCs w:val="32"/>
          <w:lang w:val="zh-CN" w:eastAsia="zh-CN"/>
        </w:rPr>
      </w:pPr>
      <w:r>
        <w:rPr>
          <w:rFonts w:ascii="仿宋" w:eastAsia="仿宋" w:cs="仿宋" w:hint="eastAsia"/>
          <w:b w:val="0"/>
          <w:bCs/>
          <w:color w:val="000000"/>
          <w:kern w:val="0"/>
          <w:sz w:val="32"/>
          <w:szCs w:val="32"/>
          <w:lang w:val="zh-CN" w:eastAsia="zh-CN"/>
        </w:rPr>
        <w:t>根据《社会救助暂行办法》（〔2014〕国务院令第649号、《四川省最低生活保障工作规程》等四个规程的通知（川民发[2017]155号）号文件。</w:t>
      </w:r>
    </w:p>
    <w:p>
      <w:pPr>
        <w:spacing w:line="560" w:lineRule="exact"/>
        <w:ind w:firstLineChars="200" w:firstLine="640"/>
        <w:rPr>
          <w:rFonts w:ascii="仿宋_GB2312" w:eastAsia="仿宋_GB2312" w:cs="Times New Roman" w:hint="eastAsia"/>
          <w:b/>
          <w:bCs/>
          <w:sz w:val="32"/>
          <w:szCs w:val="32"/>
          <w:lang w:val="zh-CN" w:eastAsia="zh-CN"/>
        </w:rPr>
      </w:pPr>
      <w:r>
        <w:rPr>
          <w:rFonts w:ascii="仿宋_GB2312" w:eastAsia="仿宋_GB2312" w:cs="仿宋_GB2312" w:hint="eastAsia"/>
          <w:sz w:val="32"/>
          <w:szCs w:val="32"/>
          <w:lang w:val="en-US" w:eastAsia="zh-CN"/>
        </w:rPr>
        <w:t>重点项目2：</w:t>
      </w:r>
      <w:r>
        <w:rPr>
          <w:rFonts w:ascii="仿宋_GB2312" w:eastAsia="仿宋_GB2312" w:cs="Times New Roman" w:hint="eastAsia"/>
          <w:b/>
          <w:bCs/>
          <w:sz w:val="32"/>
          <w:szCs w:val="32"/>
          <w:lang w:val="zh-CN" w:eastAsia="zh-CN"/>
        </w:rPr>
        <w:t>长寿老人</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r>
        <w:rPr>
          <w:rFonts w:ascii="仿宋_GB2312" w:eastAsia="仿宋_GB2312" w:cs="Times New Roman" w:hint="eastAsia"/>
          <w:sz w:val="32"/>
          <w:szCs w:val="32"/>
          <w:lang w:val="zh-CN"/>
        </w:rPr>
        <w:t>根据《中华人民共和国老年人权益保障法》、阿府办发〔2012〕42号、阿州民政〔2018〕175号、金委办[2015]39号文件精神， 为我县80周岁以上老年人发放高龄津贴，为百岁老人发放春节慰问金。</w:t>
      </w:r>
    </w:p>
    <w:p>
      <w:pPr>
        <w:widowControl/>
        <w:spacing w:line="560" w:lineRule="exact"/>
        <w:ind w:firstLineChars="200" w:firstLine="640"/>
        <w:jc w:val="left"/>
        <w:rPr>
          <w:rFonts w:ascii="仿宋_GB2312" w:eastAsia="仿宋_GB2312" w:cs="Times New Roman" w:hint="eastAsia"/>
          <w:sz w:val="32"/>
          <w:szCs w:val="32"/>
          <w:lang w:val="zh-CN"/>
        </w:rPr>
      </w:pPr>
      <w:r>
        <w:rPr>
          <w:rFonts w:ascii="仿宋_GB2312" w:eastAsia="仿宋_GB2312" w:cs="仿宋_GB2312" w:hint="eastAsia"/>
          <w:sz w:val="32"/>
          <w:szCs w:val="32"/>
          <w:lang w:val="en-US" w:eastAsia="zh-CN"/>
        </w:rPr>
        <w:t>绩效指标设置情况：</w:t>
      </w:r>
      <w:r>
        <w:rPr>
          <w:rFonts w:ascii="仿宋_GB2312" w:eastAsia="仿宋_GB2312" w:cs="Times New Roman" w:hint="eastAsia"/>
          <w:sz w:val="32"/>
          <w:szCs w:val="32"/>
          <w:lang w:val="zh-CN"/>
        </w:rPr>
        <w:t>根据《中华人民共和国老年人权益保障法》、阿府办发〔2012〕42、阿州民政〔2018〕175号文件精神,凡符合80周岁至89周岁老年人80元/人·月；90周岁至99周岁老年人150元/人·月；100周岁以上老年人400元/人·月，春节慰问金每人1000元。金委办[2015]39号发《金川县关于增加90周岁以上高龄老人生活补助的实施方案的通知》精神，90周岁老年人1000元/人·月,90-99周岁每增加一岁，每人补助增加100元/月；年满100周岁老年人2000元/人·月，100周岁以上，每人补助增加200元/月。（年满90周岁以上且有工资收入的老年人除外，享受90周岁至99周岁老年人150元/人·月；100周岁以上老年人400元/人·月）</w:t>
      </w:r>
    </w:p>
    <w:p>
      <w:pPr>
        <w:widowControl/>
        <w:spacing w:line="560" w:lineRule="exact"/>
        <w:ind w:firstLineChars="200" w:firstLine="640"/>
        <w:jc w:val="left"/>
        <w:rPr>
          <w:rFonts w:ascii="仿宋_GB2312" w:eastAsia="仿宋_GB2312" w:cs="Times New Roman"/>
          <w:sz w:val="32"/>
          <w:szCs w:val="32"/>
          <w:lang w:val="en-US" w:eastAsia="zh-CN"/>
        </w:rPr>
      </w:pPr>
      <w:r>
        <w:rPr>
          <w:rFonts w:ascii="仿宋_GB2312" w:eastAsia="仿宋_GB2312" w:cs="Times New Roman" w:hint="eastAsia"/>
          <w:sz w:val="32"/>
          <w:szCs w:val="32"/>
          <w:lang w:val="en-US" w:eastAsia="zh-CN"/>
        </w:rPr>
        <w:t>2、2022年长寿老人生活补贴预算1954人，标准80-2600元/人，资金为4201520元，县级配套资金为3612100元。</w:t>
      </w:r>
    </w:p>
    <w:p>
      <w:pPr>
        <w:adjustRightInd w:val="0"/>
        <w:snapToGrid w:val="0"/>
        <w:spacing w:line="560" w:lineRule="exact"/>
        <w:ind w:left="210"/>
        <w:rPr>
          <w:rFonts w:ascii="仿宋_GB2312" w:eastAsia="仿宋_GB2312" w:hint="eastAsia"/>
          <w:b/>
          <w:bCs/>
          <w:sz w:val="32"/>
          <w:szCs w:val="32"/>
        </w:rPr>
      </w:pPr>
      <w:r>
        <w:rPr>
          <w:rFonts w:ascii="仿宋_GB2312" w:eastAsia="仿宋_GB2312" w:hint="eastAsia"/>
          <w:b/>
          <w:bCs/>
          <w:sz w:val="32"/>
          <w:szCs w:val="32"/>
          <w:lang w:val="en-US" w:eastAsia="zh-CN"/>
        </w:rPr>
        <w:t xml:space="preserve">  二、</w:t>
      </w:r>
      <w:r>
        <w:rPr>
          <w:rFonts w:ascii="仿宋_GB2312" w:eastAsia="仿宋_GB2312" w:hint="eastAsia"/>
          <w:b/>
          <w:bCs/>
          <w:sz w:val="32"/>
          <w:szCs w:val="32"/>
        </w:rPr>
        <w:t>绩效目标合理性</w:t>
      </w:r>
    </w:p>
    <w:p>
      <w:pPr>
        <w:adjustRightInd w:val="0"/>
        <w:snapToGrid w:val="0"/>
        <w:spacing w:line="560" w:lineRule="exact"/>
        <w:ind w:firstLineChars="200" w:firstLine="640"/>
        <w:rPr>
          <w:rFonts w:ascii="仿宋_GB2312" w:eastAsia="仿宋_GB2312" w:cs="Times New Roman" w:hint="eastAsia"/>
          <w:sz w:val="32"/>
          <w:szCs w:val="32"/>
          <w:lang w:val="zh-CN" w:eastAsia="zh-CN"/>
        </w:rPr>
      </w:pPr>
      <w:r>
        <w:rPr>
          <w:rFonts w:ascii="仿宋_GB2312" w:eastAsia="仿宋_GB2312" w:cs="Times New Roman" w:hint="eastAsia"/>
          <w:sz w:val="32"/>
          <w:szCs w:val="32"/>
          <w:lang w:val="zh-CN" w:eastAsia="zh-CN"/>
        </w:rPr>
        <w:t>长寿老人资金保障项目申报内容与具体实施内容相符、申报目标合理可行。</w:t>
      </w:r>
    </w:p>
    <w:p>
      <w:pPr>
        <w:pStyle w:val="21"/>
        <w:spacing w:before="0" w:beforeAutospacing="0" w:after="0" w:afterAutospacing="0" w:line="560" w:lineRule="exact"/>
        <w:ind w:left="640" w:right="0"/>
        <w:rPr>
          <w:rFonts w:ascii="仿宋_GB2312" w:eastAsia="仿宋_GB2312" w:hint="eastAsia"/>
          <w:b/>
          <w:bCs/>
          <w:sz w:val="32"/>
          <w:szCs w:val="32"/>
        </w:rPr>
      </w:pPr>
      <w:r>
        <w:rPr>
          <w:rFonts w:ascii="仿宋_GB2312" w:eastAsia="仿宋_GB2312" w:hint="eastAsia"/>
          <w:b/>
          <w:bCs/>
          <w:sz w:val="32"/>
          <w:szCs w:val="32"/>
          <w:lang w:eastAsia="zh-CN"/>
        </w:rPr>
        <w:t>三、</w:t>
      </w:r>
      <w:r>
        <w:rPr>
          <w:rFonts w:ascii="仿宋_GB2312" w:eastAsia="仿宋_GB2312" w:hint="eastAsia"/>
          <w:b/>
          <w:bCs/>
          <w:sz w:val="32"/>
          <w:szCs w:val="32"/>
        </w:rPr>
        <w:t>实施方案可行性</w:t>
      </w:r>
    </w:p>
    <w:p>
      <w:pPr>
        <w:adjustRightInd w:val="0"/>
        <w:snapToGrid w:val="0"/>
        <w:spacing w:line="560" w:lineRule="exact"/>
        <w:ind w:firstLineChars="200" w:firstLine="640"/>
        <w:rPr>
          <w:rFonts w:ascii="仿宋_GB2312" w:hAnsi="仿宋_GB2312" w:hint="eastAsia"/>
          <w:b/>
          <w:sz w:val="32"/>
          <w:szCs w:val="32"/>
          <w:lang w:val="zh-CN"/>
        </w:rPr>
      </w:pPr>
      <w:r>
        <w:rPr>
          <w:rFonts w:ascii="仿宋_GB2312" w:hAnsi="仿宋_GB2312" w:hint="eastAsia"/>
          <w:b/>
          <w:sz w:val="32"/>
          <w:szCs w:val="32"/>
          <w:lang w:val="zh-CN"/>
        </w:rPr>
        <w:t>（一）项目组织架构及实施流程</w:t>
      </w:r>
    </w:p>
    <w:p>
      <w:pPr>
        <w:adjustRightInd w:val="0"/>
        <w:snapToGrid w:val="0"/>
        <w:spacing w:line="560" w:lineRule="exact"/>
        <w:ind w:firstLineChars="200" w:firstLine="640"/>
        <w:rPr>
          <w:rFonts w:ascii="仿宋_GB2312" w:eastAsia="仿宋_GB2312" w:cs="Times New Roman" w:hint="eastAsia"/>
          <w:sz w:val="32"/>
          <w:szCs w:val="32"/>
          <w:lang w:val="zh-CN" w:eastAsia="zh-CN"/>
        </w:rPr>
      </w:pPr>
      <w:r>
        <w:rPr>
          <w:rFonts w:ascii="仿宋_GB2312" w:eastAsia="仿宋_GB2312" w:cs="Times New Roman" w:hint="eastAsia"/>
          <w:sz w:val="32"/>
          <w:szCs w:val="32"/>
          <w:lang w:val="zh-CN" w:eastAsia="zh-CN"/>
        </w:rPr>
        <w:t>高龄津贴按照州、县财政分级承担的办法纳入财政预算，由原资金渠道列支解决，具有我县户籍年满80周岁的老人为长寿老人。根据本人身份证、户口簿申报长寿补贴。结合我县实际情况，根据发放标准，妥善解决老年人福利生活补贴资金。每季度以实际享受老年人福利人数到县财政社保股审核无误后，由我局填写用款计划表—社保股审核—国库股审核—部门申请直接由民政局财务股委托农行金川县支行代发到长寿老人人员手中。</w:t>
      </w:r>
    </w:p>
    <w:p>
      <w:pPr>
        <w:adjustRightInd w:val="0"/>
        <w:snapToGrid w:val="0"/>
        <w:spacing w:line="560" w:lineRule="exact"/>
        <w:ind w:firstLineChars="200" w:firstLine="640"/>
        <w:rPr>
          <w:rFonts w:ascii="黑体" w:eastAsia="黑体" w:cs="宋体" w:hint="eastAsia"/>
          <w:sz w:val="32"/>
          <w:szCs w:val="32"/>
        </w:rPr>
      </w:pPr>
      <w:r>
        <w:rPr>
          <w:rFonts w:ascii="黑体" w:eastAsia="黑体" w:cs="宋体" w:hint="eastAsia"/>
          <w:sz w:val="32"/>
          <w:szCs w:val="32"/>
        </w:rPr>
        <w:t>（二）项目管理情况</w:t>
      </w:r>
    </w:p>
    <w:p>
      <w:pPr>
        <w:widowControl/>
        <w:spacing w:line="560" w:lineRule="exact"/>
        <w:ind w:firstLineChars="200" w:firstLine="640"/>
        <w:jc w:val="left"/>
        <w:rPr>
          <w:rFonts w:ascii="仿宋_GB2312" w:cs="宋体" w:hAnsi="仿宋_GB2312" w:hint="eastAsia"/>
          <w:sz w:val="32"/>
          <w:szCs w:val="32"/>
        </w:rPr>
      </w:pPr>
      <w:r>
        <w:rPr>
          <w:rFonts w:ascii="仿宋_GB2312" w:eastAsia="仿宋_GB2312" w:cs="Times New Roman" w:hint="eastAsia"/>
          <w:sz w:val="32"/>
          <w:szCs w:val="32"/>
          <w:lang w:val="zh-CN" w:eastAsia="zh-CN"/>
        </w:rPr>
        <w:t>高龄津贴发放以户籍为基础，按照个人申请（以提交身份证、户口簿，本人农行卡复印件为准）、村（社区居）委会调查核实初审、乡（镇）人民政府审核、社会福利股审批的程序，实行属地管理、动态管理，按月发放</w:t>
      </w:r>
      <w:r>
        <w:rPr>
          <w:rFonts w:ascii="仿宋_GB2312" w:cs="宋体" w:hAnsi="仿宋_GB2312" w:hint="eastAsia"/>
          <w:sz w:val="32"/>
          <w:szCs w:val="32"/>
        </w:rPr>
        <w:t>。</w:t>
      </w:r>
    </w:p>
    <w:p>
      <w:pPr>
        <w:widowControl/>
        <w:spacing w:line="560" w:lineRule="exact"/>
        <w:ind w:firstLineChars="200" w:firstLine="640"/>
        <w:jc w:val="left"/>
        <w:rPr>
          <w:rFonts w:ascii="黑体" w:eastAsia="黑体" w:cs="宋体" w:hint="eastAsia"/>
          <w:sz w:val="32"/>
          <w:szCs w:val="32"/>
        </w:rPr>
      </w:pPr>
      <w:r>
        <w:rPr>
          <w:rFonts w:ascii="黑体" w:eastAsia="黑体" w:cs="宋体" w:hint="eastAsia"/>
          <w:sz w:val="32"/>
          <w:szCs w:val="32"/>
        </w:rPr>
        <w:t>（三）项目监管情况</w:t>
      </w:r>
    </w:p>
    <w:p>
      <w:pPr>
        <w:widowControl/>
        <w:spacing w:line="560" w:lineRule="exact"/>
        <w:ind w:firstLineChars="200" w:firstLine="640"/>
        <w:jc w:val="left"/>
        <w:rPr>
          <w:rFonts w:ascii="仿宋_GB2312" w:eastAsia="仿宋_GB2312" w:hint="eastAsia"/>
          <w:sz w:val="32"/>
          <w:szCs w:val="32"/>
        </w:rPr>
      </w:pPr>
      <w:r>
        <w:rPr>
          <w:rFonts w:ascii="仿宋_GB2312" w:eastAsia="仿宋_GB2312" w:cs="Times New Roman" w:hint="eastAsia"/>
          <w:sz w:val="32"/>
          <w:szCs w:val="32"/>
          <w:lang w:val="zh-CN" w:eastAsia="zh-CN"/>
        </w:rPr>
        <w:t>老年福利资金实行专款专用。社会福利股负责高龄津贴的审批，县财政部门负责高龄津贴资金的安排拨付，各乡镇负责老年人福利相关资料的收集、审核、申报、公示、资金发放等，县监察、审计部门负责高龄津贴资金的监督检查和审计。对套取、截留、挤占、挪用和不按规定发放的，按照有关规定依法从严查处。</w:t>
      </w:r>
    </w:p>
    <w:p>
      <w:pPr>
        <w:adjustRightInd w:val="0"/>
        <w:snapToGrid w:val="0"/>
        <w:spacing w:line="560" w:lineRule="exact"/>
        <w:ind w:left="0" w:firstLineChars="200" w:firstLine="640"/>
        <w:rPr>
          <w:rFonts w:ascii="仿宋_GB2312" w:eastAsia="仿宋_GB2312" w:hint="eastAsia"/>
          <w:b/>
          <w:bCs/>
          <w:sz w:val="32"/>
          <w:szCs w:val="32"/>
        </w:rPr>
      </w:pPr>
      <w:r>
        <w:rPr>
          <w:rFonts w:ascii="仿宋_GB2312" w:eastAsia="仿宋_GB2312" w:hint="eastAsia"/>
          <w:b/>
          <w:bCs/>
          <w:sz w:val="32"/>
          <w:szCs w:val="32"/>
          <w:lang w:eastAsia="zh-CN"/>
        </w:rPr>
        <w:t>四、</w:t>
      </w:r>
      <w:r>
        <w:rPr>
          <w:rFonts w:ascii="仿宋_GB2312" w:eastAsia="仿宋_GB2312" w:hint="eastAsia"/>
          <w:b/>
          <w:bCs/>
          <w:sz w:val="32"/>
          <w:szCs w:val="32"/>
        </w:rPr>
        <w:t>筹资合规性</w:t>
      </w:r>
    </w:p>
    <w:p>
      <w:pPr>
        <w:adjustRightInd w:val="0"/>
        <w:snapToGrid w:val="0"/>
        <w:spacing w:line="560" w:lineRule="exact"/>
        <w:ind w:firstLineChars="200" w:firstLine="640"/>
        <w:rPr>
          <w:rFonts w:ascii="仿宋_GB2312" w:hAnsi="仿宋_GB2312" w:hint="eastAsia"/>
          <w:b/>
          <w:sz w:val="32"/>
          <w:szCs w:val="32"/>
          <w:lang w:val="zh-CN"/>
        </w:rPr>
      </w:pPr>
      <w:r>
        <w:rPr>
          <w:rFonts w:ascii="仿宋_GB2312" w:hAnsi="仿宋_GB2312" w:hint="eastAsia"/>
          <w:b/>
          <w:sz w:val="32"/>
          <w:szCs w:val="32"/>
          <w:lang w:val="zh-CN"/>
        </w:rPr>
        <w:t>（一）项目资金申报及批复情况</w:t>
      </w:r>
    </w:p>
    <w:p>
      <w:pPr>
        <w:widowControl/>
        <w:spacing w:line="560" w:lineRule="exact"/>
        <w:ind w:firstLineChars="200" w:firstLine="640"/>
        <w:jc w:val="left"/>
        <w:rPr>
          <w:rFonts w:ascii="仿宋_GB2312" w:eastAsia="仿宋_GB2312" w:cs="Times New Roman" w:hint="eastAsia"/>
          <w:sz w:val="32"/>
          <w:szCs w:val="32"/>
          <w:lang w:val="zh-CN" w:eastAsia="zh-CN"/>
        </w:rPr>
      </w:pPr>
      <w:r>
        <w:rPr>
          <w:rFonts w:ascii="仿宋_GB2312" w:eastAsia="仿宋_GB2312" w:cs="Times New Roman" w:hint="eastAsia"/>
          <w:sz w:val="32"/>
          <w:szCs w:val="32"/>
          <w:lang w:val="zh-CN" w:eastAsia="zh-CN"/>
        </w:rPr>
        <w:t>按照上级有关规定，结合我县实际情况，严格按照妥善解决老年人福利生活补贴资金，按政策规定头年将此资金纳入财政预算。次年每季度以实际享受老年人福利人数到县财政社保股审核无误后，由我局填写用款计划表—社保股审核—国库股审核—部门申请直接由民政局财务股委托农行金川县支行通过一卡通代发到长寿老人人员手中。</w:t>
      </w:r>
    </w:p>
    <w:p>
      <w:pPr>
        <w:adjustRightInd w:val="0"/>
        <w:snapToGrid w:val="0"/>
        <w:spacing w:line="560" w:lineRule="exact"/>
        <w:ind w:firstLineChars="200" w:firstLine="640"/>
        <w:rPr>
          <w:rFonts w:ascii="仿宋_GB2312" w:hAnsi="仿宋_GB2312" w:hint="eastAsia"/>
          <w:sz w:val="32"/>
          <w:szCs w:val="32"/>
          <w:lang w:val="zh-CN"/>
        </w:rPr>
      </w:pPr>
      <w:r>
        <w:rPr>
          <w:rFonts w:ascii="仿宋_GB2312" w:hAnsi="仿宋_GB2312" w:hint="eastAsia"/>
          <w:b/>
          <w:sz w:val="32"/>
          <w:szCs w:val="32"/>
          <w:lang w:val="zh-CN"/>
        </w:rPr>
        <w:t>（二）资金计划、到位及使用情况</w:t>
      </w:r>
    </w:p>
    <w:p>
      <w:pPr>
        <w:spacing w:line="560" w:lineRule="exact"/>
        <w:ind w:firstLineChars="200" w:firstLine="640"/>
        <w:rPr>
          <w:rFonts w:ascii="仿宋_GB2312" w:eastAsia="仿宋_GB2312" w:cs="Times New Roman" w:hint="eastAsia"/>
          <w:sz w:val="32"/>
          <w:szCs w:val="32"/>
          <w:lang w:val="zh-CN" w:eastAsia="zh-CN"/>
        </w:rPr>
      </w:pPr>
      <w:r>
        <w:rPr>
          <w:rFonts w:ascii="仿宋_GB2312" w:hAnsi="仿宋_GB2312" w:hint="eastAsia"/>
          <w:b/>
          <w:sz w:val="32"/>
          <w:szCs w:val="32"/>
          <w:lang w:val="zh-CN"/>
        </w:rPr>
        <w:t>1.资金计划。</w:t>
      </w:r>
      <w:r>
        <w:rPr>
          <w:rFonts w:ascii="仿宋_GB2312" w:eastAsia="仿宋_GB2312" w:cs="Times New Roman" w:hint="eastAsia"/>
          <w:sz w:val="32"/>
          <w:szCs w:val="32"/>
          <w:lang w:val="zh-CN" w:eastAsia="zh-CN"/>
        </w:rPr>
        <w:t>高龄津贴按照州、县财政分级承担的办法纳入财政预算，由原资金渠道列支解决。</w:t>
      </w:r>
    </w:p>
    <w:p>
      <w:pPr>
        <w:adjustRightInd w:val="0"/>
        <w:snapToGrid w:val="0"/>
        <w:spacing w:line="560" w:lineRule="exact"/>
        <w:ind w:firstLineChars="200" w:firstLine="640"/>
        <w:rPr>
          <w:rFonts w:ascii="仿宋_GB2312" w:hAnsi="仿宋_GB2312" w:hint="eastAsia"/>
          <w:b/>
          <w:sz w:val="32"/>
          <w:szCs w:val="32"/>
          <w:lang w:val="zh-CN"/>
        </w:rPr>
      </w:pPr>
      <w:r>
        <w:rPr>
          <w:rFonts w:ascii="仿宋_GB2312" w:hAnsi="仿宋_GB2312" w:hint="eastAsia"/>
          <w:b/>
          <w:sz w:val="32"/>
          <w:szCs w:val="32"/>
          <w:lang w:val="zh-CN"/>
        </w:rPr>
        <w:t>（三）项目财务管理情况</w:t>
      </w:r>
    </w:p>
    <w:p>
      <w:pPr>
        <w:spacing w:line="560" w:lineRule="exact"/>
        <w:ind w:firstLineChars="200" w:firstLine="640"/>
        <w:rPr>
          <w:rFonts w:ascii="仿宋_GB2312" w:eastAsia="仿宋_GB2312" w:hint="eastAsia"/>
          <w:sz w:val="32"/>
          <w:szCs w:val="32"/>
        </w:rPr>
      </w:pPr>
      <w:r>
        <w:rPr>
          <w:rFonts w:ascii="仿宋_GB2312" w:eastAsia="仿宋_GB2312" w:cs="Times New Roman" w:hint="eastAsia"/>
          <w:sz w:val="32"/>
          <w:szCs w:val="32"/>
          <w:lang w:val="zh-CN" w:eastAsia="zh-CN"/>
        </w:rPr>
        <w:t>老年人福利资金纳入财政预算，按年底人数为基数进行来年预算，来年按实际人数拨付资金，实行专款专用，专项管理制度。老年人福利资金管理制度健全，严格执行财务管理制度，账务处理及时，会计核算规范。</w:t>
      </w:r>
    </w:p>
    <w:p>
      <w:pPr>
        <w:adjustRightInd w:val="0"/>
        <w:snapToGrid w:val="0"/>
        <w:spacing w:line="560" w:lineRule="exact"/>
        <w:ind w:left="0" w:firstLineChars="200" w:firstLine="640"/>
        <w:rPr>
          <w:rFonts w:ascii="仿宋_GB2312" w:eastAsia="仿宋_GB2312" w:hint="eastAsia"/>
          <w:b/>
          <w:bCs/>
          <w:sz w:val="32"/>
          <w:szCs w:val="32"/>
          <w:lang w:eastAsia="zh-CN"/>
        </w:rPr>
      </w:pPr>
      <w:r>
        <w:rPr>
          <w:rFonts w:ascii="仿宋_GB2312" w:eastAsia="仿宋_GB2312" w:hint="eastAsia"/>
          <w:b/>
          <w:bCs/>
          <w:sz w:val="32"/>
          <w:szCs w:val="32"/>
          <w:lang w:eastAsia="zh-CN"/>
        </w:rPr>
        <w:t>五、</w:t>
      </w:r>
      <w:r>
        <w:rPr>
          <w:rFonts w:ascii="仿宋_GB2312" w:eastAsia="仿宋_GB2312" w:hint="eastAsia"/>
          <w:b/>
          <w:bCs/>
          <w:sz w:val="32"/>
          <w:szCs w:val="32"/>
        </w:rPr>
        <w:t>可持续性</w:t>
      </w:r>
      <w:r>
        <w:rPr>
          <w:rFonts w:ascii="仿宋_GB2312" w:eastAsia="仿宋_GB2312" w:hint="eastAsia"/>
          <w:b/>
          <w:bCs/>
          <w:sz w:val="32"/>
          <w:szCs w:val="32"/>
          <w:lang w:eastAsia="zh-CN"/>
        </w:rPr>
        <w:t>分析</w:t>
      </w:r>
    </w:p>
    <w:p>
      <w:pPr>
        <w:widowControl/>
        <w:spacing w:line="560" w:lineRule="exact"/>
        <w:ind w:firstLineChars="200" w:firstLine="640"/>
        <w:jc w:val="left"/>
        <w:rPr>
          <w:rFonts w:ascii="仿宋_GB2312" w:eastAsia="仿宋_GB2312" w:cs="Times New Roman" w:hint="eastAsia"/>
          <w:sz w:val="32"/>
          <w:szCs w:val="32"/>
          <w:lang w:val="zh-CN" w:eastAsia="zh-CN"/>
        </w:rPr>
      </w:pPr>
      <w:r>
        <w:rPr>
          <w:rFonts w:ascii="仿宋_GB2312" w:eastAsia="仿宋_GB2312" w:cs="Times New Roman" w:hint="eastAsia"/>
          <w:sz w:val="32"/>
          <w:szCs w:val="32"/>
          <w:lang w:val="zh-CN" w:eastAsia="zh-CN"/>
        </w:rPr>
        <w:t>目前,我县实行农行金川县支行代发高龄津贴。定期与不定期进行抽查、督察，发放率达100%，让长寿老人生活得到了保障</w:t>
      </w:r>
    </w:p>
    <w:p>
      <w:pPr>
        <w:spacing w:line="560" w:lineRule="exact"/>
        <w:ind w:firstLineChars="200" w:firstLine="640"/>
        <w:rPr>
          <w:rFonts w:ascii="仿宋_GB2312" w:eastAsia="仿宋_GB2312" w:cs="Times New Roman" w:hint="eastAsia"/>
          <w:b/>
          <w:bCs/>
          <w:sz w:val="32"/>
          <w:szCs w:val="32"/>
          <w:lang w:val="zh-CN" w:eastAsia="zh-CN"/>
        </w:rPr>
      </w:pPr>
      <w:r>
        <w:rPr>
          <w:rFonts w:ascii="仿宋_GB2312" w:eastAsia="仿宋_GB2312" w:cs="仿宋_GB2312" w:hint="eastAsia"/>
          <w:b/>
          <w:bCs/>
          <w:sz w:val="32"/>
          <w:szCs w:val="32"/>
          <w:lang w:val="en-US" w:eastAsia="zh-CN"/>
        </w:rPr>
        <w:t>重点项目3：</w:t>
      </w:r>
      <w:r>
        <w:rPr>
          <w:rFonts w:ascii="仿宋_GB2312" w:eastAsia="仿宋_GB2312" w:hint="eastAsia"/>
          <w:b/>
          <w:bCs/>
          <w:sz w:val="32"/>
          <w:szCs w:val="32"/>
        </w:rPr>
        <w:t>离任村干部</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cs="仿宋_GB2312" w:hint="eastAsia"/>
          <w:sz w:val="32"/>
          <w:szCs w:val="32"/>
          <w:lang w:val="en-US" w:eastAsia="zh-CN"/>
        </w:rPr>
        <w:t>项目年度绩效目标：</w:t>
      </w:r>
      <w:r>
        <w:rPr>
          <w:rFonts w:ascii="仿宋_GB2312" w:eastAsia="仿宋_GB2312" w:hint="eastAsia"/>
          <w:sz w:val="32"/>
          <w:szCs w:val="32"/>
        </w:rPr>
        <w:t>为体现党委政府对离任村干部的深切关怀，进一步改善离任村干部待遇，激发在职村干部工作积极性，增强基层党组织凝聚力，补贴范围1、从解放初期到1956年底，担任过居委会、治保会主任的人员。2、1957年担任过合作社社长、会计的人员。3、1958年至1989年底担任村党支部书记、大队长、社长、村委会主任（村长）会计职务，连续9年或累计12年以上的人员。4、1990年后，担任村党支部书记、村委会主任（村长）、会计职务，连续9年或累计12年以上的人员。</w:t>
      </w:r>
    </w:p>
    <w:p>
      <w:pPr>
        <w:adjustRightInd w:val="0"/>
        <w:snapToGrid w:val="0"/>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cs="仿宋_GB2312" w:hint="eastAsia"/>
          <w:sz w:val="32"/>
          <w:szCs w:val="32"/>
          <w:lang w:val="en-US" w:eastAsia="zh-CN"/>
        </w:rPr>
        <w:t>一、</w:t>
      </w:r>
      <w:r>
        <w:rPr>
          <w:rFonts w:ascii="仿宋_GB2312" w:eastAsia="仿宋_GB2312" w:hint="eastAsia"/>
          <w:b/>
          <w:bCs/>
          <w:sz w:val="32"/>
          <w:szCs w:val="32"/>
        </w:rPr>
        <w:t>立项必要性</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根据阿委发（2018）4号关于进一步妥善解决离任村干部生活补贴的意见的相关文件，要从政治上生活上关心离任村干部，形成尊重和关心离任村干部的良好氛围，要在一定范围内进行公示，确保公开、公正、公平。</w:t>
      </w:r>
    </w:p>
    <w:p>
      <w:pPr>
        <w:adjustRightInd w:val="0"/>
        <w:snapToGrid w:val="0"/>
        <w:spacing w:line="560" w:lineRule="exact"/>
        <w:ind w:left="0" w:firstLineChars="200" w:firstLine="640"/>
        <w:rPr>
          <w:rFonts w:ascii="仿宋_GB2312" w:eastAsia="仿宋_GB2312" w:hint="eastAsia"/>
          <w:sz w:val="32"/>
          <w:szCs w:val="32"/>
        </w:rPr>
      </w:pPr>
      <w:r>
        <w:rPr>
          <w:rFonts w:ascii="仿宋_GB2312" w:eastAsia="仿宋_GB2312" w:hint="eastAsia"/>
          <w:b/>
          <w:bCs/>
          <w:sz w:val="32"/>
          <w:szCs w:val="32"/>
          <w:lang w:eastAsia="zh-CN"/>
        </w:rPr>
        <w:t>二、</w:t>
      </w:r>
      <w:r>
        <w:rPr>
          <w:rFonts w:ascii="仿宋_GB2312" w:eastAsia="仿宋_GB2312" w:hint="eastAsia"/>
          <w:b/>
          <w:bCs/>
          <w:sz w:val="32"/>
          <w:szCs w:val="32"/>
        </w:rPr>
        <w:t>投入经济性</w:t>
      </w:r>
    </w:p>
    <w:p>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符合离任村干部享受生活补助条件的，按照每人每月</w:t>
      </w:r>
      <w:r>
        <w:rPr>
          <w:rFonts w:ascii="仿宋_GB2312" w:eastAsia="仿宋_GB2312"/>
          <w:sz w:val="32"/>
          <w:szCs w:val="32"/>
        </w:rPr>
        <w:t>不</w:t>
      </w:r>
      <w:r>
        <w:rPr>
          <w:rFonts w:ascii="仿宋_GB2312" w:eastAsia="仿宋_GB2312" w:hint="eastAsia"/>
          <w:sz w:val="32"/>
          <w:szCs w:val="32"/>
        </w:rPr>
        <w:t>低于260元标准兑现生活补贴；连续任职满9年或累计12年的，以260元为基数，每多任职满1届每人每月增加20元生活补贴。已享受农村“三老”人员生活补贴，不再纳入。被罢免或因违纪违法等受到处理的村干部不纳入。</w:t>
      </w:r>
    </w:p>
    <w:p>
      <w:pPr>
        <w:adjustRightInd w:val="0"/>
        <w:snapToGrid w:val="0"/>
        <w:spacing w:line="560" w:lineRule="exact"/>
        <w:ind w:firstLineChars="300" w:firstLine="960"/>
        <w:rPr>
          <w:rFonts w:ascii="仿宋_GB2312" w:eastAsia="仿宋_GB2312"/>
          <w:sz w:val="32"/>
          <w:szCs w:val="32"/>
        </w:rPr>
      </w:pPr>
      <w:r>
        <w:rPr>
          <w:rFonts w:ascii="仿宋_GB2312" w:eastAsia="仿宋_GB2312" w:hint="eastAsia"/>
          <w:sz w:val="32"/>
          <w:szCs w:val="32"/>
        </w:rPr>
        <w:t>符合离任村干部享受生活补助条件，按照每人每月</w:t>
      </w:r>
      <w:r>
        <w:rPr>
          <w:rFonts w:ascii="仿宋_GB2312" w:eastAsia="仿宋_GB2312"/>
          <w:sz w:val="32"/>
          <w:szCs w:val="32"/>
        </w:rPr>
        <w:t>不</w:t>
      </w:r>
      <w:r>
        <w:rPr>
          <w:rFonts w:ascii="仿宋_GB2312" w:eastAsia="仿宋_GB2312" w:hint="eastAsia"/>
          <w:sz w:val="32"/>
          <w:szCs w:val="32"/>
        </w:rPr>
        <w:t>低于260元标准兑现生活</w:t>
      </w:r>
      <w:r>
        <w:rPr>
          <w:rFonts w:ascii="仿宋_GB2312" w:eastAsia="仿宋_GB2312"/>
          <w:sz w:val="32"/>
          <w:szCs w:val="32"/>
        </w:rPr>
        <w:t>补助</w:t>
      </w:r>
      <w:r>
        <w:rPr>
          <w:rFonts w:ascii="仿宋_GB2312" w:eastAsia="仿宋_GB2312" w:hint="eastAsia"/>
          <w:sz w:val="32"/>
          <w:szCs w:val="32"/>
        </w:rPr>
        <w:t>；连续任职满9年或累计12年的，以260元为基数，每多任职满1届每人每月增加20元生活补助。2022年预算资金为208.11万元，按照2021年10月实际支付人员544人来预算。</w:t>
      </w:r>
    </w:p>
    <w:p>
      <w:pPr>
        <w:adjustRightInd w:val="0"/>
        <w:snapToGrid w:val="0"/>
        <w:spacing w:line="560" w:lineRule="exact"/>
        <w:ind w:left="0" w:firstLineChars="200" w:firstLine="640"/>
        <w:rPr>
          <w:rFonts w:ascii="仿宋_GB2312" w:eastAsia="仿宋_GB2312" w:hint="eastAsia"/>
          <w:sz w:val="32"/>
          <w:szCs w:val="32"/>
        </w:rPr>
      </w:pPr>
      <w:r>
        <w:rPr>
          <w:rFonts w:ascii="仿宋_GB2312" w:eastAsia="仿宋_GB2312" w:hint="eastAsia"/>
          <w:b/>
          <w:bCs/>
          <w:sz w:val="32"/>
          <w:szCs w:val="32"/>
          <w:lang w:eastAsia="zh-CN"/>
        </w:rPr>
        <w:t>三、</w:t>
      </w:r>
      <w:r>
        <w:rPr>
          <w:rFonts w:ascii="仿宋_GB2312" w:eastAsia="仿宋_GB2312" w:hint="eastAsia"/>
          <w:b/>
          <w:bCs/>
          <w:sz w:val="32"/>
          <w:szCs w:val="32"/>
        </w:rPr>
        <w:t>绩效目标合理性</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绩效目标明确，与项目预计要解决的问题，现实需求基本匹配，相关指标需进一步细化量化。</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b/>
          <w:bCs/>
          <w:sz w:val="32"/>
          <w:szCs w:val="32"/>
          <w:lang w:eastAsia="zh-CN"/>
        </w:rPr>
        <w:t>四、</w:t>
      </w:r>
      <w:r>
        <w:rPr>
          <w:rFonts w:ascii="仿宋_GB2312" w:eastAsia="仿宋_GB2312" w:hint="eastAsia"/>
          <w:b/>
          <w:bCs/>
          <w:sz w:val="32"/>
          <w:szCs w:val="32"/>
        </w:rPr>
        <w:t>实施方案可行性</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项目技术路线基本可行，工作内容、方法、进度安排较合理，保障措施相对完备，组织机构是否健全，职责分工是否明确，于每季一次性支付，进一步明确项目路线，细化工作内容，完善技术手段。</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b/>
          <w:bCs/>
          <w:sz w:val="32"/>
          <w:szCs w:val="32"/>
          <w:lang w:eastAsia="zh-CN"/>
        </w:rPr>
        <w:t>五、</w:t>
      </w:r>
      <w:r>
        <w:rPr>
          <w:rFonts w:ascii="仿宋_GB2312" w:eastAsia="仿宋_GB2312" w:hint="eastAsia"/>
          <w:b/>
          <w:bCs/>
          <w:sz w:val="32"/>
          <w:szCs w:val="32"/>
        </w:rPr>
        <w:t>筹资合规性</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资金来源符合相关规定，资金支出方式较合理、风险可控。</w:t>
      </w:r>
    </w:p>
    <w:p>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b/>
          <w:bCs/>
          <w:sz w:val="32"/>
          <w:szCs w:val="32"/>
          <w:lang w:eastAsia="zh-CN"/>
        </w:rPr>
        <w:t>六、</w:t>
      </w:r>
      <w:r>
        <w:rPr>
          <w:rFonts w:ascii="仿宋_GB2312" w:eastAsia="仿宋_GB2312" w:hint="eastAsia"/>
          <w:b/>
          <w:bCs/>
          <w:sz w:val="32"/>
          <w:szCs w:val="32"/>
        </w:rPr>
        <w:t>可持续性分析</w:t>
      </w:r>
    </w:p>
    <w:p>
      <w:pPr>
        <w:pStyle w:val="19"/>
        <w:tabs>
          <w:tab w:val="center" w:pos="4153"/>
          <w:tab w:val="right" w:pos="8306"/>
        </w:tabs>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随着物价水平的上涨，相应</w:t>
      </w:r>
      <w:r>
        <w:rPr>
          <w:rFonts w:ascii="仿宋_GB2312" w:eastAsia="仿宋_GB2312"/>
          <w:sz w:val="32"/>
          <w:szCs w:val="32"/>
        </w:rPr>
        <w:t>地</w:t>
      </w:r>
      <w:r>
        <w:rPr>
          <w:rFonts w:ascii="仿宋_GB2312" w:eastAsia="仿宋_GB2312" w:hint="eastAsia"/>
          <w:sz w:val="32"/>
          <w:szCs w:val="32"/>
        </w:rPr>
        <w:t>提高离任村干部生活补贴有利于促进生活质量的提高及年老离任村干部安度晚年的可持续性发展。</w:t>
      </w:r>
    </w:p>
    <w:p>
      <w:pPr>
        <w:pStyle w:val="19"/>
        <w:tabs>
          <w:tab w:val="center" w:pos="4153"/>
          <w:tab w:val="right" w:pos="8306"/>
        </w:tabs>
        <w:spacing w:line="560" w:lineRule="exact"/>
        <w:rPr>
          <w:rFonts w:ascii="仿宋_GB2312" w:eastAsia="仿宋_GB2312" w:hint="eastAsia"/>
          <w:sz w:val="32"/>
          <w:szCs w:val="32"/>
          <w:lang w:eastAsia="zh-CN"/>
        </w:rPr>
      </w:pPr>
      <w:r>
        <w:rPr>
          <w:rFonts w:ascii="仿宋_GB2312" w:eastAsia="仿宋_GB2312" w:hint="eastAsia"/>
          <w:sz w:val="32"/>
          <w:szCs w:val="32"/>
          <w:lang w:eastAsia="zh-CN"/>
        </w:rPr>
        <w:t>重点项目</w:t>
      </w:r>
      <w:r>
        <w:rPr>
          <w:rFonts w:ascii="仿宋_GB2312" w:eastAsia="仿宋_GB2312" w:hint="eastAsia"/>
          <w:sz w:val="32"/>
          <w:szCs w:val="32"/>
          <w:lang w:val="en-US" w:eastAsia="zh-CN"/>
        </w:rPr>
        <w:t>4</w:t>
      </w:r>
      <w:r>
        <w:rPr>
          <w:rFonts w:ascii="仿宋_GB2312" w:eastAsia="仿宋_GB2312" w:hint="eastAsia"/>
          <w:sz w:val="32"/>
          <w:szCs w:val="32"/>
          <w:lang w:eastAsia="zh-CN"/>
        </w:rPr>
        <w:t>：困难残疾人生活补贴</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hint="eastAsia"/>
          <w:kern w:val="2"/>
          <w:sz w:val="32"/>
          <w:szCs w:val="32"/>
          <w:lang w:val="en-US" w:eastAsia="zh-CN" w:bidi="ar-SA"/>
        </w:rPr>
      </w:pPr>
      <w:r>
        <w:rPr>
          <w:rFonts w:ascii="仿宋_GB2312" w:eastAsia="仿宋_GB2312" w:cs="仿宋_GB2312" w:hint="eastAsia"/>
          <w:sz w:val="32"/>
          <w:szCs w:val="32"/>
          <w:lang w:val="en-US" w:eastAsia="zh-CN"/>
        </w:rPr>
        <w:t>项目年度绩效目标：</w:t>
      </w:r>
      <w:r>
        <w:rPr>
          <w:rFonts w:ascii="仿宋_GB2312" w:eastAsia="仿宋_GB2312" w:cs="Times New Roman" w:hint="eastAsia"/>
          <w:kern w:val="2"/>
          <w:sz w:val="32"/>
          <w:szCs w:val="32"/>
          <w:lang w:val="en-US" w:eastAsia="zh-CN" w:bidi="ar-SA"/>
        </w:rPr>
        <w:t>残疾人两项补贴是指国家对残疾人提供的两项资金补贴：用于改善残疾人的生活条件和基本生活需求；不断加大对残疾人的保障和扶持力度。残疾人两项补贴作为一项重要的政策举措,解决残疾人特殊生活困难和长期照护困难，改善残疾人生活质量其生活环境和条件,。</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楷体_GB2312" w:eastAsia="楷体_GB2312" w:hint="eastAsia"/>
          <w:b/>
          <w:bCs/>
        </w:rPr>
      </w:pPr>
      <w:r>
        <w:rPr>
          <w:rFonts w:ascii="楷体_GB2312" w:eastAsia="楷体_GB2312" w:hint="eastAsia"/>
          <w:b/>
          <w:bCs/>
        </w:rPr>
        <w:t>（一）立项必要性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根据</w:t>
      </w:r>
      <w:r>
        <w:rPr>
          <w:rFonts w:ascii="仿宋_GB2312" w:eastAsia="仿宋_GB2312" w:hint="eastAsia"/>
          <w:sz w:val="32"/>
          <w:szCs w:val="32"/>
        </w:rPr>
        <w:t>《</w:t>
      </w:r>
      <w:r>
        <w:rPr>
          <w:rFonts w:ascii="仿宋_GB2312" w:eastAsia="仿宋_GB2312" w:hint="eastAsia"/>
          <w:sz w:val="32"/>
          <w:szCs w:val="32"/>
          <w:lang w:eastAsia="zh-CN"/>
        </w:rPr>
        <w:t>阿坝州民政局</w:t>
      </w:r>
      <w:r>
        <w:rPr>
          <w:rFonts w:ascii="仿宋_GB2312" w:eastAsia="仿宋_GB2312" w:hint="eastAsia"/>
          <w:sz w:val="32"/>
          <w:szCs w:val="32"/>
          <w:lang w:val="en-US" w:eastAsia="zh-CN"/>
        </w:rPr>
        <w:t xml:space="preserve"> 阿坝州财政局 阿坝州残疾人联合会关于重度残疾人护理补贴提标扩面</w:t>
      </w:r>
      <w:r>
        <w:rPr>
          <w:rFonts w:ascii="仿宋_GB2312" w:eastAsia="仿宋_GB2312" w:hint="eastAsia"/>
          <w:sz w:val="32"/>
          <w:szCs w:val="32"/>
        </w:rPr>
        <w:t>》</w:t>
      </w:r>
      <w:r>
        <w:rPr>
          <w:rFonts w:ascii="仿宋_GB2312" w:eastAsia="仿宋_GB2312" w:hint="eastAsia"/>
          <w:sz w:val="32"/>
          <w:szCs w:val="32"/>
          <w:lang w:eastAsia="zh-CN"/>
        </w:rPr>
        <w:t>的通知</w:t>
      </w:r>
      <w:r>
        <w:rPr>
          <w:rFonts w:ascii="仿宋_GB2312" w:eastAsia="仿宋_GB2312" w:hint="eastAsia"/>
          <w:sz w:val="32"/>
          <w:szCs w:val="32"/>
        </w:rPr>
        <w:t>（</w:t>
      </w:r>
      <w:r>
        <w:rPr>
          <w:rFonts w:ascii="仿宋_GB2312" w:eastAsia="仿宋_GB2312" w:hint="eastAsia"/>
          <w:sz w:val="32"/>
          <w:szCs w:val="32"/>
          <w:lang w:eastAsia="zh-CN"/>
        </w:rPr>
        <w:t>阿州</w:t>
      </w:r>
      <w:r>
        <w:rPr>
          <w:rFonts w:ascii="仿宋_GB2312" w:eastAsia="仿宋_GB2312" w:hint="eastAsia"/>
          <w:sz w:val="32"/>
          <w:szCs w:val="32"/>
          <w:lang w:val="en-US" w:eastAsia="zh-CN"/>
        </w:rPr>
        <w:t xml:space="preserve"> 民政</w:t>
      </w:r>
      <w:r>
        <w:rPr>
          <w:rFonts w:ascii="仿宋_GB2312" w:eastAsia="仿宋_GB2312" w:hint="eastAsia"/>
          <w:sz w:val="32"/>
          <w:szCs w:val="32"/>
        </w:rPr>
        <w:t>发〔</w:t>
      </w:r>
      <w:r>
        <w:rPr>
          <w:rFonts w:ascii="仿宋_GB2312" w:eastAsia="仿宋_GB2312" w:hint="eastAsia"/>
          <w:sz w:val="32"/>
          <w:szCs w:val="32"/>
          <w:lang w:val="en-US" w:eastAsia="zh-CN"/>
        </w:rPr>
        <w:t>2023</w:t>
      </w:r>
      <w:r>
        <w:rPr>
          <w:rFonts w:ascii="仿宋_GB2312" w:eastAsia="仿宋_GB2312" w:hint="eastAsia"/>
          <w:sz w:val="32"/>
          <w:szCs w:val="32"/>
        </w:rPr>
        <w:t>〕</w:t>
      </w:r>
      <w:r>
        <w:rPr>
          <w:rFonts w:ascii="仿宋_GB2312" w:eastAsia="仿宋_GB2312" w:hint="eastAsia"/>
          <w:sz w:val="32"/>
          <w:szCs w:val="32"/>
          <w:lang w:val="en-US" w:eastAsia="zh-CN"/>
        </w:rPr>
        <w:t>16</w:t>
      </w:r>
      <w:r>
        <w:rPr>
          <w:rFonts w:ascii="仿宋_GB2312" w:eastAsia="仿宋_GB2312" w:hint="eastAsia"/>
          <w:sz w:val="32"/>
          <w:szCs w:val="32"/>
        </w:rPr>
        <w:t>号）</w:t>
      </w:r>
      <w:r>
        <w:rPr>
          <w:rFonts w:ascii="仿宋_GB2312" w:eastAsia="仿宋_GB2312" w:cs="Times New Roman" w:hint="eastAsia"/>
          <w:kern w:val="2"/>
          <w:sz w:val="32"/>
          <w:szCs w:val="32"/>
          <w:lang w:val="en-US" w:eastAsia="zh-CN" w:bidi="ar-SA"/>
        </w:rPr>
        <w:t>文件；《州民政局关于进一步开展全州最低生活保障扩围增效工作》的通知</w:t>
      </w:r>
      <w:r>
        <w:rPr>
          <w:rFonts w:ascii="仿宋_GB2312" w:eastAsia="仿宋_GB2312" w:hint="eastAsia"/>
          <w:sz w:val="32"/>
          <w:szCs w:val="32"/>
        </w:rPr>
        <w:t>（</w:t>
      </w:r>
      <w:r>
        <w:rPr>
          <w:rFonts w:ascii="仿宋_GB2312" w:eastAsia="仿宋_GB2312" w:hint="eastAsia"/>
          <w:sz w:val="32"/>
          <w:szCs w:val="32"/>
          <w:lang w:eastAsia="zh-CN"/>
        </w:rPr>
        <w:t>阿州</w:t>
      </w:r>
      <w:r>
        <w:rPr>
          <w:rFonts w:ascii="仿宋_GB2312" w:eastAsia="仿宋_GB2312" w:hint="eastAsia"/>
          <w:sz w:val="32"/>
          <w:szCs w:val="32"/>
          <w:lang w:val="en-US" w:eastAsia="zh-CN"/>
        </w:rPr>
        <w:t xml:space="preserve"> 民政</w:t>
      </w:r>
      <w:r>
        <w:rPr>
          <w:rFonts w:ascii="仿宋_GB2312" w:eastAsia="仿宋_GB2312" w:hint="eastAsia"/>
          <w:sz w:val="32"/>
          <w:szCs w:val="32"/>
        </w:rPr>
        <w:t>发〔</w:t>
      </w:r>
      <w:r>
        <w:rPr>
          <w:rFonts w:ascii="仿宋_GB2312" w:eastAsia="仿宋_GB2312" w:hint="eastAsia"/>
          <w:sz w:val="32"/>
          <w:szCs w:val="32"/>
          <w:lang w:val="en-US" w:eastAsia="zh-CN"/>
        </w:rPr>
        <w:t>2023</w:t>
      </w:r>
      <w:r>
        <w:rPr>
          <w:rFonts w:ascii="仿宋_GB2312" w:eastAsia="仿宋_GB2312" w:hint="eastAsia"/>
          <w:sz w:val="32"/>
          <w:szCs w:val="32"/>
        </w:rPr>
        <w:t>〕</w:t>
      </w:r>
      <w:r>
        <w:rPr>
          <w:rFonts w:ascii="仿宋_GB2312" w:eastAsia="仿宋_GB2312" w:hint="eastAsia"/>
          <w:sz w:val="32"/>
          <w:szCs w:val="32"/>
          <w:lang w:val="en-US" w:eastAsia="zh-CN"/>
        </w:rPr>
        <w:t>20</w:t>
      </w:r>
      <w:r>
        <w:rPr>
          <w:rFonts w:ascii="仿宋_GB2312" w:eastAsia="仿宋_GB2312" w:hint="eastAsia"/>
          <w:sz w:val="32"/>
          <w:szCs w:val="32"/>
        </w:rPr>
        <w:t>号）</w:t>
      </w:r>
      <w:r>
        <w:rPr>
          <w:rFonts w:ascii="仿宋_GB2312" w:eastAsia="仿宋_GB2312" w:cs="Times New Roman" w:hint="eastAsia"/>
          <w:kern w:val="2"/>
          <w:sz w:val="32"/>
          <w:szCs w:val="32"/>
          <w:lang w:val="en-US" w:eastAsia="zh-CN" w:bidi="ar-SA"/>
        </w:rPr>
        <w:t>文件相关规定执行。对符合条件的困难残疾对象发放补助资金。</w:t>
      </w:r>
    </w:p>
    <w:p>
      <w:pPr>
        <w:pStyle w:val="22"/>
        <w:keepNext w:val="0"/>
        <w:keepLines w:val="0"/>
        <w:pageBreakBefore w:val="0"/>
        <w:widowControl w:val="0"/>
        <w:kinsoku/>
        <w:wordWrap/>
        <w:overflowPunct/>
        <w:topLinePunct w:val="0"/>
        <w:autoSpaceDE/>
        <w:autoSpaceDN/>
        <w:bidi w:val="0"/>
        <w:spacing w:line="560" w:lineRule="exact"/>
        <w:ind w:firstLineChars="200" w:firstLine="640"/>
        <w:rPr>
          <w:rFonts w:ascii="楷体_GB2312" w:eastAsia="楷体_GB2312" w:hint="eastAsia"/>
          <w:b/>
          <w:bCs/>
        </w:rPr>
      </w:pPr>
      <w:r>
        <w:rPr>
          <w:rFonts w:ascii="楷体_GB2312" w:eastAsia="楷体_GB2312" w:hint="eastAsia"/>
          <w:b/>
          <w:bCs/>
        </w:rPr>
        <w:t>（二）投入经济性</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仿宋_GB2312" w:hint="eastAsia"/>
          <w:u w:val="single"/>
        </w:rPr>
      </w:pPr>
      <w:r>
        <w:rPr>
          <w:rFonts w:ascii="仿宋_GB2312" w:eastAsia="仿宋_GB2312" w:hint="eastAsia"/>
        </w:rPr>
        <w:t>该项目申报预算</w:t>
      </w:r>
      <w:r>
        <w:rPr>
          <w:rFonts w:ascii="仿宋_GB2312" w:hint="eastAsia"/>
          <w:lang w:val="en-US" w:eastAsia="zh-CN"/>
        </w:rPr>
        <w:t>37.2</w:t>
      </w:r>
      <w:r>
        <w:rPr>
          <w:rFonts w:ascii="仿宋_GB2312" w:eastAsia="仿宋_GB2312" w:hint="eastAsia"/>
        </w:rPr>
        <w:t>万元，年度申报金额为</w:t>
      </w:r>
      <w:r>
        <w:rPr>
          <w:rFonts w:ascii="仿宋_GB2312" w:hint="eastAsia"/>
          <w:lang w:val="en-US" w:eastAsia="zh-CN"/>
        </w:rPr>
        <w:t>37.2</w:t>
      </w:r>
      <w:r>
        <w:rPr>
          <w:rFonts w:ascii="仿宋_GB2312" w:eastAsia="仿宋_GB2312" w:hint="eastAsia"/>
        </w:rPr>
        <w:t>万元，具体测算过程为</w:t>
      </w:r>
      <w:r>
        <w:rPr>
          <w:rFonts w:ascii="仿宋_GB2312" w:hint="eastAsia"/>
          <w:lang w:eastAsia="zh-CN"/>
        </w:rPr>
        <w:t>：</w:t>
      </w:r>
      <w:r>
        <w:rPr>
          <w:rFonts w:ascii="仿宋_GB2312" w:eastAsia="仿宋_GB2312" w:cs="Times New Roman" w:hint="eastAsia"/>
          <w:lang w:eastAsia="zh-CN"/>
        </w:rPr>
        <w:t>（</w:t>
      </w:r>
      <w:r>
        <w:rPr>
          <w:rFonts w:ascii="仿宋_GB2312" w:eastAsia="仿宋_GB2312" w:cs="Times New Roman" w:hint="eastAsia"/>
          <w:lang w:val="en-US" w:eastAsia="zh-CN"/>
        </w:rPr>
        <w:t>截至23年10月，</w:t>
      </w:r>
      <w:r>
        <w:rPr>
          <w:rFonts w:ascii="仿宋_GB2312" w:cs="Times New Roman" w:hint="eastAsia"/>
          <w:lang w:val="en-US" w:eastAsia="zh-CN"/>
        </w:rPr>
        <w:t>金川县困难残疾人数为310人，</w:t>
      </w:r>
      <w:r>
        <w:rPr>
          <w:rFonts w:ascii="仿宋_GB2312" w:eastAsia="仿宋_GB2312" w:cs="Times New Roman" w:hint="eastAsia"/>
          <w:lang w:val="en-US" w:eastAsia="zh-CN"/>
        </w:rPr>
        <w:t>按照</w:t>
      </w:r>
      <w:r>
        <w:rPr>
          <w:rFonts w:ascii="仿宋_GB2312" w:cs="Times New Roman" w:hint="eastAsia"/>
          <w:lang w:val="en-US" w:eastAsia="zh-CN"/>
        </w:rPr>
        <w:t>100</w:t>
      </w:r>
      <w:r>
        <w:rPr>
          <w:rFonts w:ascii="仿宋_GB2312" w:eastAsia="仿宋_GB2312" w:cs="Times New Roman" w:hint="eastAsia"/>
          <w:lang w:val="en-US" w:eastAsia="zh-CN"/>
        </w:rPr>
        <w:t>元/月/人</w:t>
      </w:r>
      <w:r>
        <w:rPr>
          <w:rFonts w:ascii="仿宋_GB2312" w:cs="Times New Roman" w:hint="eastAsia"/>
          <w:lang w:val="en-US" w:eastAsia="zh-CN"/>
        </w:rPr>
        <w:t>补差</w:t>
      </w:r>
      <w:r>
        <w:rPr>
          <w:rFonts w:ascii="仿宋_GB2312" w:eastAsia="仿宋_GB2312" w:cs="Times New Roman" w:hint="eastAsia"/>
          <w:lang w:val="en-US" w:eastAsia="zh-CN"/>
        </w:rPr>
        <w:t>发放，预计24年预算为</w:t>
      </w:r>
      <w:r>
        <w:rPr>
          <w:rFonts w:ascii="仿宋_GB2312" w:hint="eastAsia"/>
          <w:lang w:val="en-US" w:eastAsia="zh-CN"/>
        </w:rPr>
        <w:t>37.2</w:t>
      </w:r>
      <w:r>
        <w:rPr>
          <w:rFonts w:ascii="仿宋_GB2312" w:eastAsia="仿宋_GB2312" w:cs="Times New Roman" w:hint="eastAsia"/>
          <w:lang w:val="en-US" w:eastAsia="zh-CN"/>
        </w:rPr>
        <w:t>万元。）</w:t>
      </w:r>
      <w:r>
        <w:rPr>
          <w:rFonts w:ascii="仿宋_GB2312" w:eastAsia="仿宋_GB2312" w:hint="eastAsia"/>
        </w:rPr>
        <w:t>资金来源为</w:t>
      </w:r>
      <w:r>
        <w:rPr>
          <w:rFonts w:ascii="仿宋_GB2312" w:hint="eastAsia"/>
          <w:lang w:eastAsia="zh-CN"/>
        </w:rPr>
        <w:t>上级</w:t>
      </w:r>
      <w:r>
        <w:rPr>
          <w:rFonts w:ascii="仿宋_GB2312" w:eastAsia="仿宋_GB2312" w:hint="eastAsia"/>
          <w:u w:val="single"/>
        </w:rPr>
        <w:t>财政资金</w:t>
      </w:r>
      <w:r>
        <w:rPr>
          <w:rFonts w:ascii="仿宋_GB2312" w:hint="eastAsia"/>
          <w:lang w:eastAsia="zh-CN"/>
        </w:rPr>
        <w:t>。</w:t>
      </w:r>
      <w:r>
        <w:rPr>
          <w:rFonts w:ascii="仿宋_GB2312" w:eastAsia="仿宋_GB2312" w:hint="eastAsia"/>
        </w:rPr>
        <w:t>本次对项目投入经济性的评估是在项目事前绩效评估、预算测算的基础上，按照厉行节约的要求，结合项目</w:t>
      </w:r>
      <w:r>
        <w:rPr>
          <w:rFonts w:ascii="仿宋_GB2312" w:hint="eastAsia"/>
          <w:lang w:eastAsia="zh-CN"/>
        </w:rPr>
        <w:t>2024</w:t>
      </w:r>
      <w:r>
        <w:rPr>
          <w:rFonts w:ascii="仿宋_GB2312" w:eastAsia="仿宋_GB2312" w:hint="eastAsia"/>
        </w:rPr>
        <w:t>年开支情况结合实际需求、相关费用标准及市场价格水平，重点对数量是否合理、投入是否经济、预算测算是否准确、测算过程是否详细、测算依据是否充分等方面进行了评估。评估认为，该项目任务数量</w:t>
      </w:r>
      <w:r>
        <w:rPr>
          <w:rFonts w:ascii="仿宋_GB2312" w:eastAsia="仿宋_GB2312" w:hint="eastAsia"/>
          <w:u w:val="single"/>
        </w:rPr>
        <w:t>基本合理</w:t>
      </w:r>
      <w:r>
        <w:rPr>
          <w:rFonts w:ascii="仿宋_GB2312" w:eastAsia="仿宋_GB2312" w:hint="eastAsia"/>
        </w:rPr>
        <w:t>、预算测算过程</w:t>
      </w:r>
      <w:r>
        <w:rPr>
          <w:rFonts w:ascii="仿宋_GB2312" w:eastAsia="仿宋_GB2312" w:hint="eastAsia"/>
          <w:u w:val="single"/>
        </w:rPr>
        <w:t>较为详细</w:t>
      </w:r>
      <w:r>
        <w:rPr>
          <w:rFonts w:ascii="仿宋_GB2312" w:eastAsia="仿宋_GB2312" w:hint="eastAsia"/>
        </w:rPr>
        <w:t>、测算依据</w:t>
      </w:r>
      <w:r>
        <w:rPr>
          <w:rFonts w:ascii="仿宋_GB2312" w:eastAsia="仿宋_GB2312" w:hint="eastAsia"/>
          <w:u w:val="single"/>
        </w:rPr>
        <w:t>基本充分</w:t>
      </w:r>
      <w:r>
        <w:rPr>
          <w:rFonts w:ascii="仿宋_GB2312" w:eastAsia="仿宋_GB2312" w:hint="eastAsia"/>
        </w:rPr>
        <w:t>、</w:t>
      </w:r>
      <w:r>
        <w:rPr>
          <w:rFonts w:ascii="仿宋_GB2312" w:eastAsia="仿宋_GB2312" w:hint="eastAsia"/>
          <w:u w:val="single"/>
        </w:rPr>
        <w:t>有一定的</w:t>
      </w:r>
      <w:r>
        <w:rPr>
          <w:rFonts w:ascii="仿宋_GB2312" w:eastAsia="仿宋_GB2312" w:hint="eastAsia"/>
        </w:rPr>
        <w:t>经济性。建议预算控制在</w:t>
      </w:r>
      <w:r>
        <w:rPr>
          <w:rFonts w:ascii="仿宋_GB2312" w:hint="eastAsia"/>
          <w:lang w:val="en-US" w:eastAsia="zh-CN"/>
        </w:rPr>
        <w:t>37.2</w:t>
      </w:r>
      <w:r>
        <w:rPr>
          <w:rFonts w:ascii="仿宋_GB2312" w:eastAsia="仿宋_GB2312" w:hint="eastAsia"/>
        </w:rPr>
        <w:t>万元以内，与申报数相比，评减</w:t>
      </w:r>
      <w:r>
        <w:rPr>
          <w:rFonts w:ascii="仿宋_GB2312" w:hint="eastAsia"/>
          <w:u w:val="single"/>
          <w:lang w:val="en-US" w:eastAsia="zh-CN"/>
        </w:rPr>
        <w:t>0</w:t>
      </w:r>
      <w:r>
        <w:rPr>
          <w:rFonts w:ascii="仿宋_GB2312" w:eastAsia="仿宋_GB2312" w:hint="eastAsia"/>
        </w:rPr>
        <w:t>万元，评减率</w:t>
      </w:r>
      <w:r>
        <w:rPr>
          <w:rFonts w:ascii="仿宋_GB2312" w:hint="eastAsia"/>
          <w:u w:val="single"/>
          <w:lang w:val="en-US" w:eastAsia="zh-CN"/>
        </w:rPr>
        <w:t>0</w:t>
      </w:r>
      <w:r>
        <w:rPr>
          <w:rFonts w:ascii="仿宋_GB2312" w:eastAsia="仿宋_GB2312" w:hint="eastAsia"/>
        </w:rPr>
        <w:t>％（详见下表）。</w:t>
      </w:r>
    </w:p>
    <w:p>
      <w:pPr>
        <w:pStyle w:val="22"/>
        <w:keepNext w:val="0"/>
        <w:keepLines w:val="0"/>
        <w:pageBreakBefore w:val="0"/>
        <w:widowControl w:val="0"/>
        <w:kinsoku/>
        <w:wordWrap/>
        <w:overflowPunct/>
        <w:topLinePunct w:val="0"/>
        <w:autoSpaceDE/>
        <w:autoSpaceDN/>
        <w:bidi w:val="0"/>
        <w:spacing w:line="560" w:lineRule="exact"/>
        <w:ind w:left="0" w:right="0" w:firstLineChars="0" w:firstLine="0"/>
        <w:jc w:val="center"/>
        <w:rPr>
          <w:rFonts w:ascii="仿宋_GB2312" w:eastAsia="仿宋_GB2312" w:hint="eastAsia"/>
          <w:lang w:eastAsia="zh-CN"/>
        </w:rPr>
      </w:pPr>
      <w:r>
        <w:rPr>
          <w:rFonts w:ascii="仿宋_GB2312" w:cs="Times New Roman" w:hint="eastAsia"/>
          <w:u w:val="none"/>
          <w:lang w:val="en-US" w:eastAsia="zh-CN"/>
        </w:rPr>
        <w:t>金川县困难残疾</w:t>
      </w:r>
      <w:r>
        <w:rPr>
          <w:rFonts w:ascii="仿宋_GB2312" w:cs="Times New Roman" w:hint="eastAsia"/>
          <w:u w:val="none"/>
        </w:rPr>
        <w:t>事前绩</w:t>
      </w:r>
      <w:r>
        <w:rPr>
          <w:rFonts w:ascii="仿宋_GB2312" w:hint="eastAsia"/>
          <w:u w:val="none"/>
        </w:rPr>
        <w:t>效评估汇总表</w:t>
      </w:r>
      <w:r>
        <w:rPr>
          <w:rFonts w:ascii="仿宋_GB2312" w:hint="eastAsia"/>
          <w:u w:val="none"/>
          <w:lang w:eastAsia="zh-CN"/>
        </w:rPr>
        <w:t>（万元）</w:t>
      </w:r>
    </w:p>
    <w:tbl>
      <w:tblPr>
        <w:jc w:val="left"/>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8"/>
        <w:gridCol w:w="1620"/>
        <w:gridCol w:w="1120"/>
        <w:gridCol w:w="929"/>
        <w:gridCol w:w="1126"/>
        <w:gridCol w:w="1230"/>
        <w:gridCol w:w="1397"/>
      </w:tblGrid>
      <w:tr>
        <w:trPr>
          <w:trHeight w:val="621"/>
        </w:trPr>
        <w:tc>
          <w:tcPr>
            <w:tcW w:w="798"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eastAsia="仿宋_GB2312" w:hint="eastAsia"/>
                <w:sz w:val="21"/>
                <w:szCs w:val="21"/>
              </w:rPr>
              <w:t>序号</w:t>
            </w:r>
          </w:p>
        </w:tc>
        <w:tc>
          <w:tcPr>
            <w:tcW w:w="16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eastAsia="仿宋_GB2312" w:hint="eastAsia"/>
                <w:sz w:val="21"/>
                <w:szCs w:val="21"/>
              </w:rPr>
              <w:t>项目内容</w:t>
            </w:r>
          </w:p>
        </w:tc>
        <w:tc>
          <w:tcPr>
            <w:tcW w:w="11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hint="eastAsia"/>
                <w:sz w:val="21"/>
                <w:szCs w:val="21"/>
              </w:rPr>
              <w:t>申报预 算</w:t>
            </w:r>
          </w:p>
        </w:tc>
        <w:tc>
          <w:tcPr>
            <w:tcW w:w="929"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hint="eastAsia"/>
                <w:sz w:val="21"/>
                <w:szCs w:val="21"/>
              </w:rPr>
              <w:t>送审金额</w:t>
            </w:r>
          </w:p>
        </w:tc>
        <w:tc>
          <w:tcPr>
            <w:tcW w:w="1126"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hint="eastAsia"/>
                <w:sz w:val="21"/>
                <w:szCs w:val="21"/>
              </w:rPr>
              <w:t>建议控制数</w:t>
            </w:r>
          </w:p>
        </w:tc>
        <w:tc>
          <w:tcPr>
            <w:tcW w:w="123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100" w:firstLine="210"/>
              <w:rPr>
                <w:rFonts w:ascii="仿宋_GB2312" w:eastAsia="仿宋_GB2312" w:hint="eastAsia"/>
                <w:sz w:val="21"/>
                <w:szCs w:val="21"/>
              </w:rPr>
            </w:pPr>
            <w:r>
              <w:rPr>
                <w:rFonts w:ascii="仿宋_GB2312" w:hint="eastAsia"/>
                <w:sz w:val="21"/>
                <w:szCs w:val="21"/>
              </w:rPr>
              <w:t>核减</w:t>
            </w:r>
          </w:p>
        </w:tc>
        <w:tc>
          <w:tcPr>
            <w:tcW w:w="1397" w:type="dxa"/>
            <w:vMerge w:val="restart"/>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hint="eastAsia"/>
                <w:sz w:val="21"/>
                <w:szCs w:val="21"/>
              </w:rPr>
            </w:pPr>
          </w:p>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hint="eastAsia"/>
                <w:sz w:val="21"/>
                <w:szCs w:val="21"/>
              </w:rPr>
              <w:t>备注</w:t>
            </w:r>
          </w:p>
        </w:tc>
      </w:tr>
      <w:tr>
        <w:trPr>
          <w:trHeight w:val="300"/>
        </w:trPr>
        <w:tc>
          <w:tcPr>
            <w:tcW w:w="798"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lang w:val="en-US" w:eastAsia="zh-CN"/>
              </w:rPr>
            </w:pPr>
            <w:r>
              <w:rPr>
                <w:rFonts w:ascii="仿宋_GB2312" w:hint="eastAsia"/>
                <w:sz w:val="21"/>
                <w:szCs w:val="21"/>
                <w:lang w:val="en-US" w:eastAsia="zh-CN"/>
              </w:rPr>
              <w:t>1</w:t>
            </w:r>
          </w:p>
        </w:tc>
        <w:tc>
          <w:tcPr>
            <w:tcW w:w="16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sz w:val="21"/>
                <w:szCs w:val="21"/>
                <w:lang w:val="en-US" w:eastAsia="zh-CN"/>
              </w:rPr>
            </w:pPr>
            <w:r>
              <w:rPr>
                <w:rFonts w:ascii="仿宋_GB2312" w:hint="eastAsia"/>
                <w:sz w:val="21"/>
                <w:szCs w:val="21"/>
                <w:lang w:val="en-US" w:eastAsia="zh-CN"/>
              </w:rPr>
              <w:t>困难残疾人生活补贴</w:t>
            </w:r>
          </w:p>
        </w:tc>
        <w:tc>
          <w:tcPr>
            <w:tcW w:w="11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929"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1126"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123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lang w:val="en-US" w:eastAsia="zh-CN"/>
              </w:rPr>
            </w:pPr>
          </w:p>
        </w:tc>
        <w:tc>
          <w:tcPr>
            <w:tcW w:w="1397" w:type="dxa"/>
            <w:vMerge/>
            <w:tcBorders>
              <w:top w:val="single" w:sz="4" w:space="0" w:color="auto"/>
              <w:left w:val="single" w:sz="4" w:space="0" w:color="auto"/>
              <w:bottom w:val="single" w:sz="4" w:space="0" w:color="auto"/>
              <w:right w:val="single" w:sz="4" w:space="0" w:color="auto"/>
            </w:tcBorders>
            <w:noWrap/>
          </w:tcPr>
          <w:p/>
        </w:tc>
      </w:tr>
      <w:tr>
        <w:trPr>
          <w:trHeight w:val="591"/>
        </w:trPr>
        <w:tc>
          <w:tcPr>
            <w:tcW w:w="798"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p>
        </w:tc>
        <w:tc>
          <w:tcPr>
            <w:tcW w:w="16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r>
              <w:rPr>
                <w:rFonts w:ascii="仿宋_GB2312" w:eastAsia="仿宋_GB2312" w:hint="eastAsia"/>
                <w:sz w:val="21"/>
                <w:szCs w:val="21"/>
              </w:rPr>
              <w:t>合计（万元）</w:t>
            </w:r>
          </w:p>
        </w:tc>
        <w:tc>
          <w:tcPr>
            <w:tcW w:w="112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929"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1126"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sz w:val="21"/>
                <w:szCs w:val="21"/>
                <w:lang w:val="en-US" w:eastAsia="zh-CN"/>
              </w:rPr>
            </w:pPr>
            <w:r>
              <w:rPr>
                <w:rFonts w:ascii="仿宋_GB2312" w:hint="eastAsia"/>
                <w:lang w:val="en-US" w:eastAsia="zh-CN"/>
              </w:rPr>
              <w:t>37.2</w:t>
            </w:r>
          </w:p>
        </w:tc>
        <w:tc>
          <w:tcPr>
            <w:tcW w:w="1230"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p>
        </w:tc>
        <w:tc>
          <w:tcPr>
            <w:tcW w:w="1397" w:type="dxa"/>
            <w:tcBorders>
              <w:top w:val="single" w:sz="4" w:space="0" w:color="auto"/>
              <w:left w:val="single" w:sz="4" w:space="0" w:color="auto"/>
              <w:bottom w:val="single" w:sz="4" w:space="0" w:color="auto"/>
              <w:right w:val="single" w:sz="4" w:space="0" w:color="auto"/>
            </w:tcBorders>
            <w:noWrap/>
          </w:tcPr>
          <w:p>
            <w:pPr>
              <w:pStyle w:val="22"/>
              <w:keepNext w:val="0"/>
              <w:keepLines w:val="0"/>
              <w:pageBreakBefore w:val="0"/>
              <w:widowControl w:val="0"/>
              <w:pBdr>
                <w:top w:val="none" w:sz="0" w:space="0" w:color="auto"/>
                <w:left w:val="none" w:sz="0" w:space="0" w:color="auto"/>
                <w:bottom w:val="none" w:sz="0" w:space="0" w:color="auto"/>
                <w:right w:val="none" w:sz="0" w:space="0" w:color="auto"/>
                <w:between w:val="none" w:sz="0" w:space="0" w:color="auto"/>
              </w:pBdr>
              <w:kinsoku/>
              <w:wordWrap/>
              <w:overflowPunct/>
              <w:topLinePunct w:val="0"/>
              <w:autoSpaceDE/>
              <w:autoSpaceDN/>
              <w:bidi w:val="0"/>
              <w:spacing w:line="560" w:lineRule="exact"/>
              <w:ind w:firstLineChars="0" w:firstLine="0"/>
              <w:rPr>
                <w:rFonts w:ascii="仿宋_GB2312" w:eastAsia="仿宋_GB2312" w:hint="eastAsia"/>
                <w:sz w:val="21"/>
                <w:szCs w:val="21"/>
              </w:rPr>
            </w:pPr>
          </w:p>
        </w:tc>
      </w:tr>
    </w:tbl>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楷体_GB2312" w:eastAsia="楷体_GB2312" w:hint="eastAsia"/>
          <w:b/>
          <w:bCs/>
        </w:rPr>
      </w:pPr>
      <w:r>
        <w:rPr>
          <w:rFonts w:ascii="楷体_GB2312" w:eastAsia="楷体_GB2312" w:hint="eastAsia"/>
          <w:b/>
          <w:bCs/>
        </w:rPr>
        <w:t>（三）目标合理性</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仿宋_GB2312" w:eastAsia="仿宋_GB2312"/>
          <w:lang w:val="en-US" w:eastAsia="zh-CN"/>
        </w:rPr>
      </w:pPr>
      <w:r>
        <w:rPr>
          <w:rFonts w:ascii="仿宋_GB2312" w:hint="eastAsia"/>
          <w:lang w:val="en-US" w:eastAsia="zh-CN"/>
        </w:rPr>
        <w:t>本项目设置绩效目标5项，分别为成本指标1项，产出指标2项，效益指标1项，满意度指标1项，详见项目目标绩效表，本项目</w:t>
      </w:r>
      <w:r>
        <w:rPr>
          <w:rFonts w:ascii="仿宋_GB2312" w:eastAsia="仿宋_GB2312" w:hint="eastAsia"/>
        </w:rPr>
        <w:t>绩效目标和绩效指标量化可考核，全面完整，契合政策或项目实质，与部门的长期规划目标、年度工作目标相一致，产出和效果</w:t>
      </w:r>
      <w:r>
        <w:rPr>
          <w:rFonts w:ascii="仿宋_GB2312" w:hint="eastAsia"/>
          <w:lang w:val="en-US" w:eastAsia="zh-CN"/>
        </w:rPr>
        <w:t>相</w:t>
      </w:r>
      <w:r>
        <w:rPr>
          <w:rFonts w:ascii="仿宋_GB2312" w:eastAsia="仿宋_GB2312" w:hint="eastAsia"/>
        </w:rPr>
        <w:t>关联，满意度指标预测</w:t>
      </w:r>
      <w:r>
        <w:rPr>
          <w:rFonts w:ascii="仿宋_GB2312" w:hint="eastAsia"/>
          <w:lang w:val="en-US" w:eastAsia="zh-CN"/>
        </w:rPr>
        <w:t>为100%。</w:t>
      </w:r>
    </w:p>
    <w:p>
      <w:pPr>
        <w:pStyle w:val="22"/>
        <w:keepNext w:val="0"/>
        <w:keepLines w:val="0"/>
        <w:pageBreakBefore w:val="0"/>
        <w:widowControl w:val="0"/>
        <w:kinsoku/>
        <w:wordWrap/>
        <w:overflowPunct/>
        <w:topLinePunct w:val="0"/>
        <w:autoSpaceDE/>
        <w:autoSpaceDN/>
        <w:bidi w:val="0"/>
        <w:spacing w:line="560" w:lineRule="exact"/>
        <w:ind w:left="0" w:right="0" w:firstLineChars="0" w:firstLine="0"/>
        <w:jc w:val="center"/>
        <w:rPr>
          <w:rFonts w:ascii="方正黑体_GBK" w:eastAsia="方正黑体_GBK" w:hint="eastAsia"/>
        </w:rPr>
      </w:pPr>
      <w:r>
        <w:rPr>
          <w:rFonts w:ascii="仿宋_GB2312" w:hint="eastAsia"/>
          <w:lang w:eastAsia="zh-CN"/>
        </w:rPr>
        <w:t>金川县</w:t>
      </w:r>
      <w:r>
        <w:rPr>
          <w:rFonts w:ascii="仿宋_GB2312" w:cs="Times New Roman" w:hint="eastAsia"/>
          <w:lang w:val="en-US" w:eastAsia="zh-CN"/>
        </w:rPr>
        <w:t>困难残疾人</w:t>
      </w:r>
      <w:r>
        <w:rPr>
          <w:rFonts w:ascii="仿宋_GB2312" w:cs="Times New Roman" w:hint="eastAsia"/>
          <w:lang w:eastAsia="zh-CN"/>
        </w:rPr>
        <w:t>绩</w:t>
      </w:r>
      <w:r>
        <w:rPr>
          <w:rFonts w:ascii="仿宋_GB2312" w:eastAsia="仿宋_GB2312" w:hint="eastAsia"/>
        </w:rPr>
        <w:t>效目标表</w:t>
      </w:r>
    </w:p>
    <w:tbl>
      <w:tblPr>
        <w:jc w:val="left"/>
        <w:tblInd w:w="96" w:type="dxa"/>
        <w:tblW w:w="99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21"/>
        <w:gridCol w:w="1337"/>
        <w:gridCol w:w="3470"/>
        <w:gridCol w:w="4038"/>
      </w:tblGrid>
      <w:tr>
        <w:trPr>
          <w:trHeight w:val="500"/>
        </w:trPr>
        <w:tc>
          <w:tcPr>
            <w:tcW w:w="1121"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一级指标</w:t>
            </w:r>
          </w:p>
        </w:tc>
        <w:tc>
          <w:tcPr>
            <w:tcW w:w="1337"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二级指标</w:t>
            </w:r>
          </w:p>
        </w:tc>
        <w:tc>
          <w:tcPr>
            <w:tcW w:w="3470"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三级指标</w:t>
            </w:r>
          </w:p>
        </w:tc>
        <w:tc>
          <w:tcPr>
            <w:tcW w:w="4038" w:type="dxa"/>
            <w:tcBorders>
              <w:top w:val="single" w:sz="4" w:space="0" w:color="000000"/>
              <w:left w:val="single" w:sz="4" w:space="0" w:color="000000"/>
              <w:bottom w:val="nil"/>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指标值（包含数字及文字描述）</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数量指标</w:t>
            </w:r>
          </w:p>
        </w:tc>
        <w:tc>
          <w:tcPr>
            <w:tcW w:w="3470"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困难残疾人数</w:t>
            </w:r>
          </w:p>
        </w:tc>
        <w:tc>
          <w:tcPr>
            <w:tcW w:w="4038"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center"/>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w:t>
            </w:r>
            <w:r>
              <w:rPr>
                <w:rFonts w:ascii="方正黑体_GBK" w:eastAsia="方正黑体_GBK" w:cs="方正黑体_GBK" w:hint="eastAsia"/>
                <w:i w:val="0"/>
                <w:iCs w:val="0"/>
                <w:color w:val="000000"/>
                <w:kern w:val="0"/>
                <w:sz w:val="20"/>
                <w:szCs w:val="20"/>
                <w:u w:val="none"/>
                <w:lang w:val="en-US" w:eastAsia="zh-CN"/>
              </w:rPr>
              <w:t>310</w:t>
            </w:r>
            <w:r>
              <w:rPr>
                <w:rFonts w:ascii="方正黑体_GBK" w:eastAsia="方正黑体_GBK" w:cs="方正黑体_GBK"/>
                <w:i w:val="0"/>
                <w:iCs w:val="0"/>
                <w:color w:val="000000"/>
                <w:kern w:val="0"/>
                <w:sz w:val="20"/>
                <w:szCs w:val="20"/>
                <w:u w:val="none"/>
                <w:lang w:val="en-US" w:eastAsia="zh-CN"/>
              </w:rPr>
              <w:t>人</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数</w:t>
            </w:r>
            <w:r>
              <w:rPr>
                <w:rFonts w:ascii="方正黑体_GBK" w:eastAsia="方正黑体_GBK" w:cs="方正黑体_GBK"/>
                <w:i w:val="0"/>
                <w:iCs w:val="0"/>
                <w:color w:val="000000"/>
                <w:kern w:val="0"/>
                <w:sz w:val="20"/>
                <w:szCs w:val="20"/>
                <w:u w:val="none"/>
                <w:lang w:val="en-US" w:eastAsia="zh-CN"/>
              </w:rPr>
              <w:t>量指标</w:t>
            </w:r>
          </w:p>
        </w:tc>
        <w:tc>
          <w:tcPr>
            <w:tcW w:w="3470"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困难残疾标准</w:t>
            </w:r>
          </w:p>
        </w:tc>
        <w:tc>
          <w:tcPr>
            <w:tcW w:w="4038"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center"/>
              <w:textAlignment w:val="top"/>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100</w:t>
            </w:r>
            <w:r>
              <w:rPr>
                <w:rFonts w:ascii="方正黑体_GBK" w:eastAsia="方正黑体_GBK" w:cs="方正黑体_GBK"/>
                <w:i w:val="0"/>
                <w:iCs w:val="0"/>
                <w:color w:val="000000"/>
                <w:kern w:val="0"/>
                <w:sz w:val="20"/>
                <w:szCs w:val="20"/>
                <w:u w:val="none"/>
                <w:lang w:val="en-US" w:eastAsia="zh-CN"/>
              </w:rPr>
              <w:t>元/人/月</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pageBreakBefore w:val="0"/>
              <w:widowControl/>
              <w:suppressLineNumbers w:val="0"/>
              <w:kinsoku/>
              <w:wordWrap/>
              <w:overflowPunct/>
              <w:topLinePunct w:val="0"/>
              <w:autoSpaceDE/>
              <w:autoSpaceDN/>
              <w:bidi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宋体" w:eastAsia="宋体" w:cs="宋体"/>
                <w:i w:val="0"/>
                <w:iCs w:val="0"/>
                <w:color w:val="000000"/>
                <w:sz w:val="20"/>
                <w:szCs w:val="20"/>
                <w:u w:val="none"/>
                <w:lang w:val="en-US"/>
              </w:rPr>
            </w:pPr>
            <w:r>
              <w:rPr>
                <w:rFonts w:ascii="宋体" w:eastAsia="宋体" w:cs="宋体" w:hint="eastAsia"/>
                <w:i w:val="0"/>
                <w:iCs w:val="0"/>
                <w:color w:val="000000"/>
                <w:kern w:val="0"/>
                <w:sz w:val="20"/>
                <w:szCs w:val="20"/>
                <w:u w:val="none"/>
                <w:lang w:val="en-US" w:eastAsia="zh-CN"/>
              </w:rPr>
              <w:t>生活补助</w:t>
            </w:r>
            <w:r>
              <w:rPr>
                <w:rFonts w:ascii="宋体" w:cs="宋体" w:hint="eastAsia"/>
                <w:i w:val="0"/>
                <w:iCs w:val="0"/>
                <w:color w:val="000000"/>
                <w:kern w:val="0"/>
                <w:sz w:val="20"/>
                <w:szCs w:val="20"/>
                <w:u w:val="none"/>
                <w:lang w:val="en-US" w:eastAsia="zh-CN"/>
              </w:rPr>
              <w:t>发放时间</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宋体" w:eastAsia="宋体" w:cs="宋体" w:hint="eastAsia"/>
                <w:i w:val="0"/>
                <w:iCs w:val="0"/>
                <w:color w:val="000000"/>
                <w:sz w:val="20"/>
                <w:szCs w:val="20"/>
                <w:u w:val="none"/>
              </w:rPr>
            </w:pPr>
            <w:r>
              <w:rPr>
                <w:rFonts w:ascii="宋体" w:cs="宋体" w:hint="eastAsia"/>
                <w:i w:val="0"/>
                <w:iCs w:val="0"/>
                <w:color w:val="000000"/>
                <w:kern w:val="0"/>
                <w:sz w:val="20"/>
                <w:szCs w:val="20"/>
                <w:u w:val="none"/>
                <w:lang w:val="en-US" w:eastAsia="zh-CN"/>
              </w:rPr>
              <w:t>按月发放</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效益指标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社会效益</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both"/>
              <w:textAlignment w:val="center"/>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困难残疾人生活补贴</w:t>
            </w:r>
            <w:r>
              <w:rPr>
                <w:rFonts w:ascii="方正黑体_GBK" w:eastAsia="方正黑体_GBK" w:cs="方正黑体_GBK"/>
                <w:i w:val="0"/>
                <w:iCs w:val="0"/>
                <w:color w:val="000000"/>
                <w:kern w:val="0"/>
                <w:sz w:val="20"/>
                <w:szCs w:val="20"/>
                <w:u w:val="none"/>
                <w:lang w:val="en-US" w:eastAsia="zh-CN"/>
              </w:rPr>
              <w:t>情况</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方正黑体_GBK" w:eastAsia="方正黑体_GBK" w:cs="方正黑体_GBK"/>
                <w:i w:val="0"/>
                <w:iCs w:val="0"/>
                <w:color w:val="000000"/>
                <w:sz w:val="20"/>
                <w:szCs w:val="20"/>
                <w:u w:val="none"/>
              </w:rPr>
            </w:pPr>
            <w:r>
              <w:rPr>
                <w:rFonts w:ascii="方正黑体_GBK" w:eastAsia="方正黑体_GBK" w:cs="方正黑体_GBK" w:hint="eastAsia"/>
                <w:i w:val="0"/>
                <w:iCs w:val="0"/>
                <w:color w:val="000000"/>
                <w:kern w:val="0"/>
                <w:sz w:val="20"/>
                <w:szCs w:val="20"/>
                <w:u w:val="none"/>
                <w:lang w:val="en-US" w:eastAsia="zh-CN"/>
              </w:rPr>
              <w:t>生活质量稳步</w:t>
            </w:r>
            <w:r>
              <w:rPr>
                <w:rFonts w:ascii="方正黑体_GBK" w:eastAsia="方正黑体_GBK" w:cs="方正黑体_GBK"/>
                <w:i w:val="0"/>
                <w:iCs w:val="0"/>
                <w:color w:val="000000"/>
                <w:kern w:val="0"/>
                <w:sz w:val="20"/>
                <w:szCs w:val="20"/>
                <w:u w:val="none"/>
                <w:lang w:val="en-US" w:eastAsia="zh-CN"/>
              </w:rPr>
              <w:t>提升</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服务对象满意度指标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服务对象满意度指标</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服务对象满意度</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w:t>
            </w:r>
            <w:r>
              <w:rPr>
                <w:rFonts w:ascii="方正黑体_GBK" w:eastAsia="方正黑体_GBK" w:cs="方正黑体_GBK" w:hint="eastAsia"/>
                <w:i w:val="0"/>
                <w:iCs w:val="0"/>
                <w:color w:val="000000"/>
                <w:kern w:val="0"/>
                <w:sz w:val="20"/>
                <w:szCs w:val="20"/>
                <w:u w:val="none"/>
                <w:lang w:val="en-US" w:eastAsia="zh-CN"/>
              </w:rPr>
              <w:t>95</w:t>
            </w:r>
            <w:r>
              <w:rPr>
                <w:rFonts w:ascii="方正黑体_GBK" w:eastAsia="方正黑体_GBK" w:cs="方正黑体_GBK"/>
                <w:i w:val="0"/>
                <w:iCs w:val="0"/>
                <w:color w:val="000000"/>
                <w:kern w:val="0"/>
                <w:sz w:val="20"/>
                <w:szCs w:val="20"/>
                <w:u w:val="none"/>
                <w:lang w:val="en-US" w:eastAsia="zh-CN"/>
              </w:rPr>
              <w:t>%</w:t>
            </w:r>
          </w:p>
        </w:tc>
      </w:tr>
    </w:tbl>
    <w:p>
      <w:pPr>
        <w:pStyle w:val="22"/>
        <w:keepNext w:val="0"/>
        <w:keepLines w:val="0"/>
        <w:pageBreakBefore w:val="0"/>
        <w:widowControl w:val="0"/>
        <w:kinsoku/>
        <w:wordWrap/>
        <w:overflowPunct/>
        <w:topLinePunct w:val="0"/>
        <w:autoSpaceDE/>
        <w:autoSpaceDN/>
        <w:bidi w:val="0"/>
        <w:spacing w:line="560" w:lineRule="exact"/>
        <w:ind w:left="0" w:firstLineChars="0" w:firstLine="0"/>
        <w:rPr>
          <w:rFonts w:ascii="楷体_GB2312" w:eastAsia="楷体_GB2312" w:hint="eastAsia"/>
          <w:b/>
          <w:bCs/>
        </w:rPr>
      </w:pP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楷体_GB2312" w:eastAsia="楷体_GB2312" w:hint="eastAsia"/>
          <w:b/>
          <w:bCs/>
        </w:rPr>
      </w:pPr>
      <w:r>
        <w:rPr>
          <w:rFonts w:ascii="楷体_GB2312" w:eastAsia="楷体_GB2312" w:hint="eastAsia"/>
          <w:b/>
          <w:bCs/>
        </w:rPr>
        <w:t>（四）实施可行性</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仿宋_GB2312" w:eastAsia="仿宋_GB2312" w:hint="eastAsia"/>
        </w:rPr>
      </w:pPr>
      <w:r>
        <w:rPr>
          <w:rFonts w:ascii="仿宋_GB2312" w:eastAsia="仿宋_GB2312" w:hint="eastAsia"/>
        </w:rPr>
        <w:t>本项目从政治、经济及社会效益结论分析，项目具有较强的社会效益和抗风险能力；从建设前置条件分析，项目已具备基本建设条件。项目的建设解决了</w:t>
      </w:r>
      <w:r>
        <w:rPr>
          <w:rFonts w:ascii="仿宋_GB2312" w:hint="eastAsia"/>
          <w:lang w:eastAsia="zh-CN"/>
        </w:rPr>
        <w:t>困境儿童</w:t>
      </w:r>
      <w:r>
        <w:rPr>
          <w:rFonts w:ascii="仿宋_GB2312" w:eastAsia="仿宋_GB2312" w:hint="eastAsia"/>
        </w:rPr>
        <w:t>的难题，为未来发展打下坚实基础，因此本项目的建设不仅必要，且非常迫切。</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楷体_GB2312" w:eastAsia="楷体_GB2312" w:hint="eastAsia"/>
          <w:b/>
          <w:bCs/>
        </w:rPr>
      </w:pPr>
      <w:r>
        <w:rPr>
          <w:rFonts w:ascii="楷体_GB2312" w:eastAsia="楷体_GB2312" w:hint="eastAsia"/>
          <w:b/>
          <w:bCs/>
        </w:rPr>
        <w:t>（五）筹资合规性</w:t>
      </w:r>
    </w:p>
    <w:p>
      <w:pPr>
        <w:pStyle w:val="22"/>
        <w:keepNext w:val="0"/>
        <w:keepLines w:val="0"/>
        <w:pageBreakBefore w:val="0"/>
        <w:widowControl w:val="0"/>
        <w:kinsoku/>
        <w:wordWrap/>
        <w:overflowPunct/>
        <w:topLinePunct w:val="0"/>
        <w:autoSpaceDE/>
        <w:autoSpaceDN/>
        <w:bidi w:val="0"/>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Times New Roman" w:hint="eastAsia"/>
          <w:lang w:val="en-US" w:eastAsia="zh-CN"/>
        </w:rPr>
        <w:t>该项目为中央</w:t>
      </w:r>
      <w:r>
        <w:rPr>
          <w:rFonts w:ascii="仿宋_GB2312" w:cs="Times New Roman" w:hint="eastAsia"/>
          <w:lang w:val="en-US" w:eastAsia="zh-CN"/>
        </w:rPr>
        <w:t>、地方</w:t>
      </w:r>
      <w:r>
        <w:rPr>
          <w:rFonts w:ascii="仿宋_GB2312" w:eastAsia="仿宋_GB2312" w:cs="Times New Roman" w:hint="eastAsia"/>
          <w:lang w:val="en-US" w:eastAsia="zh-CN"/>
        </w:rPr>
        <w:t>投资资金，地方配套资金</w:t>
      </w:r>
      <w:r>
        <w:rPr>
          <w:rFonts w:ascii="仿宋_GB2312" w:hint="eastAsia"/>
          <w:lang w:val="en-US" w:eastAsia="zh-CN"/>
        </w:rPr>
        <w:t>73.08</w:t>
      </w:r>
      <w:r>
        <w:rPr>
          <w:rFonts w:ascii="仿宋_GB2312" w:eastAsia="仿宋_GB2312" w:cs="Times New Roman" w:hint="eastAsia"/>
          <w:lang w:val="en-US" w:eastAsia="zh-CN"/>
        </w:rPr>
        <w:t>万元。</w:t>
      </w:r>
    </w:p>
    <w:p>
      <w:pPr>
        <w:pStyle w:val="19"/>
        <w:tabs>
          <w:tab w:val="center" w:pos="4153"/>
          <w:tab w:val="right" w:pos="8306"/>
        </w:tabs>
        <w:spacing w:line="560" w:lineRule="exact"/>
        <w:rPr>
          <w:rFonts w:ascii="仿宋_GB2312" w:eastAsia="仿宋_GB2312" w:hint="eastAsia"/>
          <w:sz w:val="32"/>
          <w:szCs w:val="32"/>
          <w:lang w:eastAsia="zh-CN"/>
        </w:rPr>
      </w:pPr>
      <w:r>
        <w:rPr>
          <w:rFonts w:ascii="仿宋_GB2312" w:eastAsia="仿宋_GB2312" w:hint="eastAsia"/>
          <w:sz w:val="32"/>
          <w:szCs w:val="32"/>
          <w:lang w:eastAsia="zh-CN"/>
        </w:rPr>
        <w:t>重点项目</w:t>
      </w:r>
      <w:r>
        <w:rPr>
          <w:rFonts w:ascii="仿宋_GB2312" w:eastAsia="仿宋_GB2312" w:hint="eastAsia"/>
          <w:sz w:val="32"/>
          <w:szCs w:val="32"/>
          <w:lang w:val="en-US" w:eastAsia="zh-CN"/>
        </w:rPr>
        <w:t>5</w:t>
      </w:r>
      <w:r>
        <w:rPr>
          <w:rFonts w:ascii="仿宋_GB2312" w:eastAsia="仿宋_GB2312" w:hint="eastAsia"/>
          <w:sz w:val="32"/>
          <w:szCs w:val="32"/>
          <w:lang w:eastAsia="zh-CN"/>
        </w:rPr>
        <w:t>：重度残疾人护理补贴</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残疾人两项补贴是指国家对残疾人提供的两项资金补贴：用于改善残疾人的生活条件和基本生活需求；不断加大对残疾人的保障和扶持力度。残疾人两项补贴作为一项重要的政策举措,解决残疾人特殊生活困难和长期照护困难，改善残疾人生活质量其生活环境和条件,。</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pStyle w:val="22"/>
        <w:spacing w:line="560" w:lineRule="exact"/>
        <w:ind w:left="0" w:firstLineChars="200" w:firstLine="640"/>
        <w:rPr>
          <w:rFonts w:ascii="楷体_GB2312" w:eastAsia="楷体_GB2312" w:hint="eastAsia"/>
          <w:b/>
          <w:bCs/>
        </w:rPr>
      </w:pPr>
      <w:r>
        <w:rPr>
          <w:rFonts w:ascii="楷体_GB2312" w:eastAsia="楷体_GB2312" w:hint="eastAsia"/>
          <w:b/>
          <w:bCs/>
        </w:rPr>
        <w:t>（一）立项必要性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根据</w:t>
      </w:r>
      <w:r>
        <w:rPr>
          <w:rFonts w:ascii="仿宋_GB2312" w:eastAsia="仿宋_GB2312" w:cs="仿宋_GB2312" w:hint="eastAsia"/>
          <w:sz w:val="32"/>
          <w:szCs w:val="32"/>
        </w:rPr>
        <w:t>《</w:t>
      </w:r>
      <w:r>
        <w:rPr>
          <w:rFonts w:ascii="仿宋_GB2312" w:eastAsia="仿宋_GB2312" w:cs="仿宋_GB2312" w:hint="eastAsia"/>
          <w:sz w:val="32"/>
          <w:szCs w:val="32"/>
          <w:lang w:eastAsia="zh-CN"/>
        </w:rPr>
        <w:t>四川省民政厅</w:t>
      </w:r>
      <w:r>
        <w:rPr>
          <w:rFonts w:ascii="仿宋_GB2312" w:eastAsia="仿宋_GB2312" w:cs="仿宋_GB2312" w:hint="eastAsia"/>
          <w:sz w:val="32"/>
          <w:szCs w:val="32"/>
          <w:lang w:val="en-US" w:eastAsia="zh-CN"/>
        </w:rPr>
        <w:t xml:space="preserve"> 四川省财政厅 四川省残疾人联合会关于建立困难残疾人生活补贴和重度残疾人护理补贴</w:t>
      </w:r>
      <w:r>
        <w:rPr>
          <w:rFonts w:ascii="仿宋_GB2312" w:eastAsia="仿宋_GB2312" w:cs="仿宋_GB2312" w:hint="eastAsia"/>
          <w:sz w:val="32"/>
          <w:szCs w:val="32"/>
        </w:rPr>
        <w:t>》</w:t>
      </w:r>
      <w:r>
        <w:rPr>
          <w:rFonts w:ascii="仿宋_GB2312" w:eastAsia="仿宋_GB2312" w:cs="仿宋_GB2312" w:hint="eastAsia"/>
          <w:sz w:val="32"/>
          <w:szCs w:val="32"/>
          <w:lang w:eastAsia="zh-CN"/>
        </w:rPr>
        <w:t>的通知</w:t>
      </w:r>
      <w:r>
        <w:rPr>
          <w:rFonts w:ascii="仿宋_GB2312" w:eastAsia="仿宋_GB2312" w:cs="仿宋_GB2312" w:hint="eastAsia"/>
          <w:sz w:val="32"/>
          <w:szCs w:val="32"/>
        </w:rPr>
        <w:t>（</w:t>
      </w:r>
      <w:r>
        <w:rPr>
          <w:rFonts w:ascii="仿宋_GB2312" w:eastAsia="仿宋_GB2312" w:cs="仿宋_GB2312" w:hint="eastAsia"/>
          <w:sz w:val="32"/>
          <w:szCs w:val="32"/>
          <w:lang w:eastAsia="zh-CN"/>
        </w:rPr>
        <w:t>川民</w:t>
      </w:r>
      <w:r>
        <w:rPr>
          <w:rFonts w:ascii="仿宋_GB2312" w:eastAsia="仿宋_GB2312" w:cs="仿宋_GB2312" w:hint="eastAsia"/>
          <w:sz w:val="32"/>
          <w:szCs w:val="32"/>
        </w:rPr>
        <w:t>发〔</w:t>
      </w:r>
      <w:r>
        <w:rPr>
          <w:rFonts w:ascii="仿宋_GB2312" w:eastAsia="仿宋_GB2312" w:cs="仿宋_GB2312" w:hint="eastAsia"/>
          <w:sz w:val="32"/>
          <w:szCs w:val="32"/>
          <w:lang w:val="en-US" w:eastAsia="zh-CN"/>
        </w:rPr>
        <w:t>2015</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195</w:t>
      </w:r>
      <w:r>
        <w:rPr>
          <w:rFonts w:ascii="仿宋_GB2312" w:eastAsia="仿宋_GB2312" w:cs="仿宋_GB2312" w:hint="eastAsia"/>
          <w:sz w:val="32"/>
          <w:szCs w:val="32"/>
        </w:rPr>
        <w:t>号）</w:t>
      </w:r>
      <w:r>
        <w:rPr>
          <w:rFonts w:ascii="仿宋_GB2312" w:eastAsia="仿宋_GB2312" w:cs="仿宋_GB2312" w:hint="eastAsia"/>
          <w:kern w:val="2"/>
          <w:sz w:val="32"/>
          <w:szCs w:val="32"/>
          <w:lang w:val="en-US" w:eastAsia="zh-CN" w:bidi="ar-SA"/>
        </w:rPr>
        <w:t>文件；</w:t>
      </w:r>
      <w:r>
        <w:rPr>
          <w:rFonts w:ascii="仿宋_GB2312" w:eastAsia="仿宋_GB2312" w:cs="仿宋_GB2312" w:hint="eastAsia"/>
          <w:sz w:val="32"/>
          <w:szCs w:val="32"/>
          <w:lang w:eastAsia="zh-CN"/>
        </w:rPr>
        <w:t>阿坝州民政局、阿坝州财政局、阿坝州残疾人联合会联合发文《</w:t>
      </w:r>
      <w:r>
        <w:rPr>
          <w:rFonts w:ascii="仿宋_GB2312" w:eastAsia="仿宋_GB2312" w:cs="仿宋_GB2312" w:hint="eastAsia"/>
          <w:sz w:val="32"/>
          <w:szCs w:val="32"/>
        </w:rPr>
        <w:t>关于</w:t>
      </w:r>
      <w:r>
        <w:rPr>
          <w:rFonts w:ascii="仿宋_GB2312" w:eastAsia="仿宋_GB2312" w:cs="仿宋_GB2312" w:hint="eastAsia"/>
          <w:sz w:val="32"/>
          <w:szCs w:val="32"/>
          <w:lang w:eastAsia="zh-CN"/>
        </w:rPr>
        <w:t>重度残疾人护理补贴提示扩面</w:t>
      </w:r>
      <w:r>
        <w:rPr>
          <w:rFonts w:ascii="仿宋_GB2312" w:eastAsia="仿宋_GB2312" w:cs="仿宋_GB2312" w:hint="eastAsia"/>
          <w:sz w:val="32"/>
          <w:szCs w:val="32"/>
        </w:rPr>
        <w:t>的通知</w:t>
      </w:r>
      <w:r>
        <w:rPr>
          <w:rFonts w:ascii="仿宋_GB2312" w:eastAsia="仿宋_GB2312" w:cs="仿宋_GB2312" w:hint="eastAsia"/>
          <w:sz w:val="32"/>
          <w:szCs w:val="32"/>
          <w:lang w:eastAsia="zh-CN"/>
        </w:rPr>
        <w:t>》</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阿州民政发</w:t>
      </w:r>
      <w:r>
        <w:rPr>
          <w:rFonts w:ascii="仿宋_GB2312" w:eastAsia="仿宋_GB2312" w:cs="仿宋_GB2312" w:hint="eastAsia"/>
          <w:color w:val="auto"/>
          <w:sz w:val="32"/>
          <w:szCs w:val="32"/>
        </w:rPr>
        <w:t>〔20</w:t>
      </w:r>
      <w:r>
        <w:rPr>
          <w:rFonts w:ascii="仿宋_GB2312" w:eastAsia="仿宋_GB2312" w:cs="仿宋_GB2312" w:hint="eastAsia"/>
          <w:color w:val="auto"/>
          <w:sz w:val="32"/>
          <w:szCs w:val="32"/>
          <w:lang w:val="en-US" w:eastAsia="zh-CN"/>
        </w:rPr>
        <w:t>23</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val="en-US" w:eastAsia="zh-CN"/>
        </w:rPr>
        <w:t>16</w:t>
      </w:r>
      <w:r>
        <w:rPr>
          <w:rFonts w:ascii="仿宋_GB2312" w:eastAsia="仿宋_GB2312" w:cs="仿宋_GB2312" w:hint="eastAsia"/>
          <w:color w:val="auto"/>
          <w:sz w:val="32"/>
          <w:szCs w:val="32"/>
        </w:rPr>
        <w:t>号）</w:t>
      </w:r>
      <w:r>
        <w:rPr>
          <w:rFonts w:ascii="仿宋_GB2312" w:eastAsia="仿宋_GB2312" w:cs="仿宋_GB2312" w:hint="eastAsia"/>
          <w:sz w:val="32"/>
          <w:szCs w:val="32"/>
        </w:rPr>
        <w:t>文件</w:t>
      </w:r>
      <w:r>
        <w:rPr>
          <w:rFonts w:ascii="仿宋_GB2312" w:eastAsia="仿宋_GB2312" w:cs="仿宋_GB2312" w:hint="eastAsia"/>
          <w:sz w:val="32"/>
          <w:szCs w:val="32"/>
          <w:lang w:eastAsia="zh-CN"/>
        </w:rPr>
        <w:t>要求</w:t>
      </w:r>
      <w:r>
        <w:rPr>
          <w:rFonts w:ascii="仿宋_GB2312" w:eastAsia="仿宋_GB2312" w:cs="仿宋_GB2312" w:hint="eastAsia"/>
          <w:sz w:val="32"/>
          <w:szCs w:val="32"/>
        </w:rPr>
        <w:t>，</w:t>
      </w:r>
      <w:r>
        <w:rPr>
          <w:rFonts w:ascii="仿宋_GB2312" w:eastAsia="仿宋_GB2312" w:cs="仿宋_GB2312" w:hint="eastAsia"/>
          <w:kern w:val="2"/>
          <w:sz w:val="32"/>
          <w:szCs w:val="32"/>
          <w:lang w:val="en-US" w:eastAsia="zh-CN" w:bidi="ar-SA"/>
        </w:rPr>
        <w:t>对符合条件的重度残疾对象发放补助资金。</w:t>
      </w:r>
      <w:r>
        <w:rPr>
          <w:rFonts w:ascii="仿宋_GB2312" w:eastAsia="仿宋_GB2312" w:cs="仿宋_GB2312" w:hint="eastAsia"/>
          <w:color w:val="auto"/>
          <w:kern w:val="0"/>
          <w:sz w:val="32"/>
          <w:szCs w:val="32"/>
        </w:rPr>
        <w:t>由县级人民政府财政部门根据同级人民政府民政部门审批确定的名单按人数足额拨付。</w:t>
      </w:r>
    </w:p>
    <w:p>
      <w:pPr>
        <w:pStyle w:val="22"/>
        <w:spacing w:line="560" w:lineRule="exact"/>
        <w:ind w:firstLineChars="200" w:firstLine="640"/>
        <w:rPr>
          <w:rFonts w:ascii="楷体_GB2312" w:eastAsia="楷体_GB2312" w:hint="eastAsia"/>
          <w:b/>
          <w:bCs/>
        </w:rPr>
      </w:pPr>
      <w:r>
        <w:rPr>
          <w:rFonts w:ascii="楷体_GB2312" w:eastAsia="楷体_GB2312" w:hint="eastAsia"/>
          <w:b/>
          <w:bCs/>
        </w:rPr>
        <w:t>（二）投入经济性</w:t>
      </w:r>
    </w:p>
    <w:p>
      <w:pPr>
        <w:pStyle w:val="22"/>
        <w:spacing w:line="560" w:lineRule="exact"/>
        <w:ind w:left="0" w:firstLineChars="200" w:firstLine="640"/>
        <w:rPr>
          <w:rFonts w:ascii="仿宋_GB2312" w:hint="eastAsia"/>
          <w:u w:val="single"/>
        </w:rPr>
      </w:pPr>
      <w:r>
        <w:rPr>
          <w:rFonts w:ascii="仿宋_GB2312" w:eastAsia="仿宋_GB2312" w:hint="eastAsia"/>
        </w:rPr>
        <w:t>该项目申报预算</w:t>
      </w:r>
      <w:r>
        <w:rPr>
          <w:rFonts w:ascii="仿宋_GB2312" w:hint="eastAsia"/>
          <w:lang w:val="en-US" w:eastAsia="zh-CN"/>
        </w:rPr>
        <w:t>127.836</w:t>
      </w:r>
      <w:r>
        <w:rPr>
          <w:rFonts w:ascii="仿宋_GB2312" w:eastAsia="仿宋_GB2312" w:hint="eastAsia"/>
        </w:rPr>
        <w:t>万元，年度申报金额为</w:t>
      </w:r>
      <w:r>
        <w:rPr>
          <w:rFonts w:ascii="仿宋_GB2312" w:hint="eastAsia"/>
          <w:lang w:val="en-US" w:eastAsia="zh-CN"/>
        </w:rPr>
        <w:t>127.836</w:t>
      </w:r>
      <w:r>
        <w:rPr>
          <w:rFonts w:ascii="仿宋_GB2312" w:eastAsia="仿宋_GB2312" w:hint="eastAsia"/>
        </w:rPr>
        <w:t>万元，具体测算过程为</w:t>
      </w:r>
      <w:r>
        <w:rPr>
          <w:rFonts w:ascii="仿宋_GB2312" w:hint="eastAsia"/>
          <w:lang w:eastAsia="zh-CN"/>
        </w:rPr>
        <w:t>：</w:t>
      </w:r>
      <w:r>
        <w:rPr>
          <w:rFonts w:ascii="仿宋_GB2312" w:eastAsia="仿宋_GB2312" w:cs="Times New Roman" w:hint="eastAsia"/>
          <w:lang w:eastAsia="zh-CN"/>
        </w:rPr>
        <w:t>（</w:t>
      </w:r>
      <w:r>
        <w:rPr>
          <w:rFonts w:ascii="仿宋_GB2312" w:eastAsia="仿宋_GB2312" w:cs="Times New Roman" w:hint="eastAsia"/>
          <w:lang w:val="en-US" w:eastAsia="zh-CN"/>
        </w:rPr>
        <w:t>截至</w:t>
      </w:r>
      <w:r>
        <w:rPr>
          <w:rFonts w:ascii="仿宋_GB2312" w:cs="Times New Roman" w:hint="eastAsia"/>
          <w:lang w:val="en-US" w:eastAsia="zh-CN"/>
        </w:rPr>
        <w:t>20</w:t>
      </w:r>
      <w:r>
        <w:rPr>
          <w:rFonts w:ascii="仿宋_GB2312" w:eastAsia="仿宋_GB2312" w:cs="Times New Roman" w:hint="eastAsia"/>
          <w:lang w:val="en-US" w:eastAsia="zh-CN"/>
        </w:rPr>
        <w:t>23年10月，</w:t>
      </w:r>
      <w:r>
        <w:rPr>
          <w:rFonts w:ascii="仿宋_GB2312" w:cs="Times New Roman" w:hint="eastAsia"/>
          <w:lang w:val="en-US" w:eastAsia="zh-CN"/>
        </w:rPr>
        <w:t>金川县重度残疾人数为907人，</w:t>
      </w:r>
      <w:r>
        <w:rPr>
          <w:rFonts w:ascii="仿宋_GB2312" w:eastAsia="仿宋_GB2312" w:cs="Times New Roman" w:hint="eastAsia"/>
          <w:lang w:val="en-US" w:eastAsia="zh-CN"/>
        </w:rPr>
        <w:t>按照一级</w:t>
      </w:r>
      <w:r>
        <w:rPr>
          <w:rFonts w:ascii="仿宋_GB2312" w:cs="Times New Roman" w:hint="eastAsia"/>
          <w:lang w:val="en-US" w:eastAsia="zh-CN"/>
        </w:rPr>
        <w:t>120</w:t>
      </w:r>
      <w:r>
        <w:rPr>
          <w:rFonts w:ascii="仿宋_GB2312" w:eastAsia="仿宋_GB2312" w:cs="Times New Roman" w:hint="eastAsia"/>
          <w:lang w:val="en-US" w:eastAsia="zh-CN"/>
        </w:rPr>
        <w:t>元/月/人、二级</w:t>
      </w:r>
      <w:r>
        <w:rPr>
          <w:rFonts w:ascii="仿宋_GB2312" w:cs="Times New Roman" w:hint="eastAsia"/>
          <w:lang w:val="en-US" w:eastAsia="zh-CN"/>
        </w:rPr>
        <w:t>90</w:t>
      </w:r>
      <w:r>
        <w:rPr>
          <w:rFonts w:ascii="仿宋_GB2312" w:eastAsia="仿宋_GB2312" w:cs="Times New Roman" w:hint="eastAsia"/>
          <w:lang w:val="en-US" w:eastAsia="zh-CN"/>
        </w:rPr>
        <w:t>元/月/人，三、四级精神和智力残疾</w:t>
      </w:r>
      <w:r>
        <w:rPr>
          <w:rFonts w:ascii="仿宋_GB2312" w:cs="Times New Roman" w:hint="eastAsia"/>
          <w:lang w:val="en-US" w:eastAsia="zh-CN"/>
        </w:rPr>
        <w:t>50</w:t>
      </w:r>
      <w:r>
        <w:rPr>
          <w:rFonts w:ascii="仿宋_GB2312" w:eastAsia="仿宋_GB2312" w:cs="Times New Roman" w:hint="eastAsia"/>
          <w:lang w:val="en-US" w:eastAsia="zh-CN"/>
        </w:rPr>
        <w:t>元/月/人标准进行发放，预计24年预算为</w:t>
      </w:r>
      <w:r>
        <w:rPr>
          <w:rFonts w:ascii="仿宋_GB2312" w:hint="eastAsia"/>
          <w:lang w:val="en-US" w:eastAsia="zh-CN"/>
        </w:rPr>
        <w:t>106.068</w:t>
      </w:r>
      <w:r>
        <w:rPr>
          <w:rFonts w:ascii="仿宋_GB2312" w:eastAsia="仿宋_GB2312" w:cs="Times New Roman" w:hint="eastAsia"/>
          <w:lang w:val="en-US" w:eastAsia="zh-CN"/>
        </w:rPr>
        <w:t>万元。）</w:t>
      </w:r>
      <w:r>
        <w:rPr>
          <w:rFonts w:ascii="仿宋_GB2312" w:eastAsia="仿宋_GB2312" w:hint="eastAsia"/>
        </w:rPr>
        <w:t>资金来源为</w:t>
      </w:r>
      <w:r>
        <w:rPr>
          <w:rFonts w:ascii="仿宋_GB2312" w:hint="eastAsia"/>
          <w:lang w:eastAsia="zh-CN"/>
        </w:rPr>
        <w:t>上级</w:t>
      </w:r>
      <w:r>
        <w:rPr>
          <w:rFonts w:ascii="仿宋_GB2312" w:eastAsia="仿宋_GB2312" w:hint="eastAsia"/>
          <w:u w:val="single"/>
        </w:rPr>
        <w:t>财政资金</w:t>
      </w:r>
      <w:r>
        <w:rPr>
          <w:rFonts w:ascii="仿宋_GB2312" w:hint="eastAsia"/>
          <w:lang w:eastAsia="zh-CN"/>
        </w:rPr>
        <w:t>。</w:t>
      </w:r>
      <w:r>
        <w:rPr>
          <w:rFonts w:ascii="仿宋_GB2312" w:eastAsia="仿宋_GB2312" w:hint="eastAsia"/>
        </w:rPr>
        <w:t>本次对项目投入经济性的评估是在项目事前绩效评估、预算测算的基础上，按照厉行节约的要求，结合项目</w:t>
      </w:r>
      <w:r>
        <w:rPr>
          <w:rFonts w:ascii="仿宋_GB2312" w:hint="eastAsia"/>
          <w:lang w:eastAsia="zh-CN"/>
        </w:rPr>
        <w:t>2024</w:t>
      </w:r>
      <w:r>
        <w:rPr>
          <w:rFonts w:ascii="仿宋_GB2312" w:eastAsia="仿宋_GB2312" w:hint="eastAsia"/>
        </w:rPr>
        <w:t>年开支情况结合实际需求、相关费用标准及市场价格水平，重点对数量是否合理、投入是否经济、预算测算是否准确、测算过程是否详细、测算依据是否充分等方面进行了评估。评估认为，该项目任务数量</w:t>
      </w:r>
      <w:r>
        <w:rPr>
          <w:rFonts w:ascii="仿宋_GB2312" w:eastAsia="仿宋_GB2312" w:hint="eastAsia"/>
          <w:u w:val="single"/>
        </w:rPr>
        <w:t>基本合理</w:t>
      </w:r>
      <w:r>
        <w:rPr>
          <w:rFonts w:ascii="仿宋_GB2312" w:eastAsia="仿宋_GB2312" w:hint="eastAsia"/>
        </w:rPr>
        <w:t>、预算测算过程</w:t>
      </w:r>
      <w:r>
        <w:rPr>
          <w:rFonts w:ascii="仿宋_GB2312" w:eastAsia="仿宋_GB2312" w:hint="eastAsia"/>
          <w:u w:val="single"/>
        </w:rPr>
        <w:t>较为详细</w:t>
      </w:r>
      <w:r>
        <w:rPr>
          <w:rFonts w:ascii="仿宋_GB2312" w:eastAsia="仿宋_GB2312" w:hint="eastAsia"/>
        </w:rPr>
        <w:t>、测算依据</w:t>
      </w:r>
      <w:r>
        <w:rPr>
          <w:rFonts w:ascii="仿宋_GB2312" w:eastAsia="仿宋_GB2312" w:hint="eastAsia"/>
          <w:u w:val="single"/>
        </w:rPr>
        <w:t>基本充分</w:t>
      </w:r>
      <w:r>
        <w:rPr>
          <w:rFonts w:ascii="仿宋_GB2312" w:eastAsia="仿宋_GB2312" w:hint="eastAsia"/>
        </w:rPr>
        <w:t>、</w:t>
      </w:r>
      <w:r>
        <w:rPr>
          <w:rFonts w:ascii="仿宋_GB2312" w:eastAsia="仿宋_GB2312" w:hint="eastAsia"/>
          <w:u w:val="single"/>
        </w:rPr>
        <w:t>有一定的</w:t>
      </w:r>
      <w:r>
        <w:rPr>
          <w:rFonts w:ascii="仿宋_GB2312" w:eastAsia="仿宋_GB2312" w:hint="eastAsia"/>
        </w:rPr>
        <w:t>经济性。建议预算控制在</w:t>
      </w:r>
      <w:r>
        <w:rPr>
          <w:rFonts w:ascii="仿宋_GB2312" w:hint="eastAsia"/>
          <w:lang w:val="en-US" w:eastAsia="zh-CN"/>
        </w:rPr>
        <w:t>106.068</w:t>
      </w:r>
      <w:r>
        <w:rPr>
          <w:rFonts w:ascii="仿宋_GB2312" w:eastAsia="仿宋_GB2312" w:hint="eastAsia"/>
        </w:rPr>
        <w:t>万元以内，与申报数相比，评减</w:t>
      </w:r>
      <w:r>
        <w:rPr>
          <w:rFonts w:ascii="仿宋_GB2312" w:hint="eastAsia"/>
          <w:u w:val="single"/>
          <w:lang w:val="en-US" w:eastAsia="zh-CN"/>
        </w:rPr>
        <w:t>0</w:t>
      </w:r>
      <w:r>
        <w:rPr>
          <w:rFonts w:ascii="仿宋_GB2312" w:eastAsia="仿宋_GB2312" w:hint="eastAsia"/>
        </w:rPr>
        <w:t>万元，评减率</w:t>
      </w:r>
      <w:r>
        <w:rPr>
          <w:rFonts w:ascii="仿宋_GB2312" w:hint="eastAsia"/>
          <w:u w:val="single"/>
          <w:lang w:val="en-US" w:eastAsia="zh-CN"/>
        </w:rPr>
        <w:t>0</w:t>
      </w:r>
      <w:r>
        <w:rPr>
          <w:rFonts w:ascii="仿宋_GB2312" w:eastAsia="仿宋_GB2312" w:hint="eastAsia"/>
        </w:rPr>
        <w:t>％（详见下表）。</w:t>
      </w:r>
    </w:p>
    <w:p>
      <w:pPr>
        <w:pStyle w:val="22"/>
        <w:spacing w:line="560" w:lineRule="exact"/>
        <w:ind w:left="0" w:right="0" w:firstLineChars="0" w:firstLine="0"/>
        <w:jc w:val="center"/>
        <w:rPr>
          <w:rFonts w:ascii="仿宋_GB2312" w:eastAsia="仿宋_GB2312" w:hint="eastAsia"/>
          <w:lang w:eastAsia="zh-CN"/>
        </w:rPr>
      </w:pPr>
      <w:r>
        <w:rPr>
          <w:rFonts w:ascii="仿宋_GB2312" w:cs="Times New Roman" w:hint="eastAsia"/>
          <w:u w:val="none"/>
          <w:lang w:val="en-US" w:eastAsia="zh-CN"/>
        </w:rPr>
        <w:t>金川县重度残疾</w:t>
      </w:r>
      <w:r>
        <w:rPr>
          <w:rFonts w:ascii="仿宋_GB2312" w:cs="Times New Roman" w:hint="eastAsia"/>
          <w:u w:val="none"/>
        </w:rPr>
        <w:t>事前绩</w:t>
      </w:r>
      <w:r>
        <w:rPr>
          <w:rFonts w:ascii="仿宋_GB2312" w:hint="eastAsia"/>
          <w:u w:val="none"/>
        </w:rPr>
        <w:t>效评估汇总表</w:t>
      </w:r>
      <w:r>
        <w:rPr>
          <w:rFonts w:ascii="仿宋_GB2312" w:hint="eastAsia"/>
          <w:u w:val="none"/>
          <w:lang w:eastAsia="zh-CN"/>
        </w:rPr>
        <w:t>（万元）</w:t>
      </w:r>
    </w:p>
    <w:tbl>
      <w:tblPr>
        <w:jc w:val="left"/>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12"/>
        <w:gridCol w:w="1680"/>
        <w:gridCol w:w="1346"/>
        <w:gridCol w:w="1384"/>
        <w:gridCol w:w="1380"/>
        <w:gridCol w:w="690"/>
        <w:gridCol w:w="795"/>
      </w:tblGrid>
      <w:tr>
        <w:trPr>
          <w:trHeight w:val="621"/>
        </w:trPr>
        <w:tc>
          <w:tcPr>
            <w:tcW w:w="512"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eastAsia="仿宋_GB2312" w:hint="eastAsia"/>
                <w:sz w:val="21"/>
                <w:szCs w:val="21"/>
              </w:rPr>
              <w:t>序号</w:t>
            </w:r>
          </w:p>
        </w:tc>
        <w:tc>
          <w:tcPr>
            <w:tcW w:w="16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eastAsia="仿宋_GB2312" w:hint="eastAsia"/>
                <w:sz w:val="21"/>
                <w:szCs w:val="21"/>
              </w:rPr>
              <w:t>项目内容</w:t>
            </w:r>
          </w:p>
        </w:tc>
        <w:tc>
          <w:tcPr>
            <w:tcW w:w="1346"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hint="eastAsia"/>
                <w:sz w:val="21"/>
                <w:szCs w:val="21"/>
              </w:rPr>
              <w:t>申报预 算</w:t>
            </w:r>
          </w:p>
        </w:tc>
        <w:tc>
          <w:tcPr>
            <w:tcW w:w="1384"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hint="eastAsia"/>
                <w:sz w:val="21"/>
                <w:szCs w:val="21"/>
              </w:rPr>
              <w:t>送审金额</w:t>
            </w:r>
          </w:p>
        </w:tc>
        <w:tc>
          <w:tcPr>
            <w:tcW w:w="13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hint="eastAsia"/>
                <w:sz w:val="21"/>
                <w:szCs w:val="21"/>
              </w:rPr>
              <w:t>建议控制数</w:t>
            </w:r>
          </w:p>
        </w:tc>
        <w:tc>
          <w:tcPr>
            <w:tcW w:w="69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100" w:firstLine="210"/>
              <w:rPr>
                <w:rFonts w:ascii="仿宋_GB2312" w:eastAsia="仿宋_GB2312" w:hint="eastAsia"/>
                <w:sz w:val="21"/>
                <w:szCs w:val="21"/>
              </w:rPr>
            </w:pPr>
            <w:r>
              <w:rPr>
                <w:rFonts w:ascii="仿宋_GB2312" w:hint="eastAsia"/>
                <w:sz w:val="21"/>
                <w:szCs w:val="21"/>
              </w:rPr>
              <w:t>核减</w:t>
            </w:r>
          </w:p>
        </w:tc>
        <w:tc>
          <w:tcPr>
            <w:tcW w:w="795" w:type="dxa"/>
            <w:vMerge w:val="restart"/>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hint="eastAsia"/>
                <w:sz w:val="21"/>
                <w:szCs w:val="21"/>
              </w:rPr>
            </w:pPr>
          </w:p>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hint="eastAsia"/>
                <w:sz w:val="21"/>
                <w:szCs w:val="21"/>
              </w:rPr>
              <w:t>备注</w:t>
            </w:r>
          </w:p>
        </w:tc>
      </w:tr>
      <w:tr>
        <w:trPr>
          <w:trHeight w:val="300"/>
        </w:trPr>
        <w:tc>
          <w:tcPr>
            <w:tcW w:w="512"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lang w:val="en-US" w:eastAsia="zh-CN"/>
              </w:rPr>
            </w:pPr>
            <w:r>
              <w:rPr>
                <w:rFonts w:ascii="仿宋_GB2312" w:hint="eastAsia"/>
                <w:sz w:val="21"/>
                <w:szCs w:val="21"/>
                <w:lang w:val="en-US" w:eastAsia="zh-CN"/>
              </w:rPr>
              <w:t>1</w:t>
            </w:r>
          </w:p>
        </w:tc>
        <w:tc>
          <w:tcPr>
            <w:tcW w:w="16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sz w:val="21"/>
                <w:szCs w:val="21"/>
                <w:lang w:val="en-US" w:eastAsia="zh-CN"/>
              </w:rPr>
            </w:pPr>
            <w:r>
              <w:rPr>
                <w:rFonts w:ascii="仿宋_GB2312" w:hint="eastAsia"/>
                <w:sz w:val="21"/>
                <w:szCs w:val="21"/>
                <w:lang w:val="en-US" w:eastAsia="zh-CN"/>
              </w:rPr>
              <w:t>重度残疾人护理补贴</w:t>
            </w:r>
          </w:p>
        </w:tc>
        <w:tc>
          <w:tcPr>
            <w:tcW w:w="1346"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sz w:val="21"/>
                <w:szCs w:val="21"/>
                <w:lang w:val="en-US" w:eastAsia="zh-CN"/>
              </w:rPr>
            </w:pPr>
            <w:r>
              <w:rPr>
                <w:rFonts w:ascii="仿宋_GB2312" w:hint="eastAsia"/>
                <w:lang w:val="en-US" w:eastAsia="zh-CN"/>
              </w:rPr>
              <w:t>106.068</w:t>
            </w:r>
          </w:p>
        </w:tc>
        <w:tc>
          <w:tcPr>
            <w:tcW w:w="1384"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sz w:val="21"/>
                <w:szCs w:val="21"/>
                <w:lang w:val="en-US" w:eastAsia="zh-CN"/>
              </w:rPr>
            </w:pPr>
            <w:r>
              <w:rPr>
                <w:rFonts w:ascii="仿宋_GB2312" w:hint="eastAsia"/>
                <w:lang w:val="en-US" w:eastAsia="zh-CN"/>
              </w:rPr>
              <w:t>106.068</w:t>
            </w:r>
          </w:p>
        </w:tc>
        <w:tc>
          <w:tcPr>
            <w:tcW w:w="13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cs="Times New Roman"/>
                <w:kern w:val="2"/>
                <w:sz w:val="21"/>
                <w:szCs w:val="21"/>
                <w:lang w:val="en-US" w:eastAsia="zh-CN" w:bidi="ar-SA"/>
              </w:rPr>
            </w:pPr>
            <w:r>
              <w:rPr>
                <w:rFonts w:ascii="仿宋_GB2312" w:hint="eastAsia"/>
                <w:lang w:val="en-US" w:eastAsia="zh-CN"/>
              </w:rPr>
              <w:t>106.068</w:t>
            </w:r>
          </w:p>
        </w:tc>
        <w:tc>
          <w:tcPr>
            <w:tcW w:w="69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lang w:val="en-US" w:eastAsia="zh-CN"/>
              </w:rPr>
            </w:pPr>
          </w:p>
        </w:tc>
        <w:tc>
          <w:tcPr>
            <w:tcW w:w="795" w:type="dxa"/>
            <w:vMerge/>
            <w:tcBorders>
              <w:top w:val="single" w:sz="4" w:space="0" w:color="auto"/>
              <w:left w:val="single" w:sz="4" w:space="0" w:color="auto"/>
              <w:bottom w:val="single" w:sz="4" w:space="0" w:color="auto"/>
              <w:right w:val="single" w:sz="4" w:space="0" w:color="auto"/>
            </w:tcBorders>
            <w:noWrap/>
          </w:tcPr>
          <w:p/>
        </w:tc>
      </w:tr>
      <w:tr>
        <w:trPr>
          <w:trHeight w:val="591"/>
        </w:trPr>
        <w:tc>
          <w:tcPr>
            <w:tcW w:w="512"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p>
        </w:tc>
        <w:tc>
          <w:tcPr>
            <w:tcW w:w="16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r>
              <w:rPr>
                <w:rFonts w:ascii="仿宋_GB2312" w:eastAsia="仿宋_GB2312" w:hint="eastAsia"/>
                <w:sz w:val="21"/>
                <w:szCs w:val="21"/>
              </w:rPr>
              <w:t>合计（万元）</w:t>
            </w:r>
          </w:p>
        </w:tc>
        <w:tc>
          <w:tcPr>
            <w:tcW w:w="1346"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sz w:val="21"/>
                <w:szCs w:val="21"/>
                <w:lang w:val="en-US" w:eastAsia="zh-CN"/>
              </w:rPr>
            </w:pPr>
            <w:r>
              <w:rPr>
                <w:rFonts w:ascii="仿宋_GB2312" w:hint="eastAsia"/>
                <w:lang w:val="en-US" w:eastAsia="zh-CN"/>
              </w:rPr>
              <w:t>106.068</w:t>
            </w:r>
          </w:p>
        </w:tc>
        <w:tc>
          <w:tcPr>
            <w:tcW w:w="1384"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cs="Times New Roman"/>
                <w:kern w:val="2"/>
                <w:sz w:val="21"/>
                <w:szCs w:val="21"/>
                <w:lang w:val="en-US" w:eastAsia="zh-CN" w:bidi="ar-SA"/>
              </w:rPr>
            </w:pPr>
            <w:r>
              <w:rPr>
                <w:rFonts w:ascii="仿宋_GB2312" w:hint="eastAsia"/>
                <w:lang w:val="en-US" w:eastAsia="zh-CN"/>
              </w:rPr>
              <w:t>106.068</w:t>
            </w:r>
          </w:p>
        </w:tc>
        <w:tc>
          <w:tcPr>
            <w:tcW w:w="138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sz w:val="21"/>
                <w:szCs w:val="21"/>
                <w:lang w:val="en-US" w:eastAsia="zh-CN"/>
              </w:rPr>
            </w:pPr>
            <w:r>
              <w:rPr>
                <w:rFonts w:ascii="仿宋_GB2312" w:hint="eastAsia"/>
                <w:lang w:val="en-US" w:eastAsia="zh-CN"/>
              </w:rPr>
              <w:t>106.068</w:t>
            </w:r>
          </w:p>
        </w:tc>
        <w:tc>
          <w:tcPr>
            <w:tcW w:w="690"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p>
        </w:tc>
        <w:tc>
          <w:tcPr>
            <w:tcW w:w="795" w:type="dxa"/>
            <w:tcBorders>
              <w:top w:val="single" w:sz="4" w:space="0" w:color="auto"/>
              <w:left w:val="single" w:sz="4" w:space="0" w:color="auto"/>
              <w:bottom w:val="single" w:sz="4" w:space="0" w:color="auto"/>
              <w:right w:val="single" w:sz="4" w:space="0" w:color="auto"/>
            </w:tcBorders>
            <w:noWrap/>
          </w:tcPr>
          <w:p>
            <w:pPr>
              <w:pStyle w:val="22"/>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仿宋_GB2312" w:eastAsia="仿宋_GB2312" w:hint="eastAsia"/>
                <w:sz w:val="21"/>
                <w:szCs w:val="21"/>
              </w:rPr>
            </w:pPr>
          </w:p>
        </w:tc>
      </w:tr>
    </w:tbl>
    <w:p>
      <w:pPr>
        <w:pStyle w:val="22"/>
        <w:spacing w:line="560" w:lineRule="exact"/>
        <w:ind w:left="0" w:firstLineChars="200" w:firstLine="640"/>
        <w:rPr>
          <w:rFonts w:ascii="楷体_GB2312" w:eastAsia="楷体_GB2312" w:hint="eastAsia"/>
          <w:b/>
          <w:bCs/>
        </w:rPr>
      </w:pPr>
      <w:r>
        <w:rPr>
          <w:rFonts w:ascii="楷体_GB2312" w:eastAsia="楷体_GB2312" w:hint="eastAsia"/>
          <w:b/>
          <w:bCs/>
        </w:rPr>
        <w:t>（三）目标合理性</w:t>
      </w:r>
    </w:p>
    <w:p>
      <w:pPr>
        <w:pStyle w:val="22"/>
        <w:spacing w:line="560" w:lineRule="exact"/>
        <w:ind w:left="0" w:firstLineChars="200" w:firstLine="640"/>
        <w:rPr>
          <w:rFonts w:ascii="仿宋_GB2312" w:eastAsia="仿宋_GB2312"/>
          <w:lang w:val="en-US" w:eastAsia="zh-CN"/>
        </w:rPr>
      </w:pPr>
      <w:r>
        <w:rPr>
          <w:rFonts w:ascii="仿宋_GB2312" w:hint="eastAsia"/>
          <w:lang w:val="en-US" w:eastAsia="zh-CN"/>
        </w:rPr>
        <w:t>本项目设置绩效目标5项，分别为成本指标1项，产出指标2项，效益指标1项，满意度指标1项，详见项目目标绩效表，本项目</w:t>
      </w:r>
      <w:r>
        <w:rPr>
          <w:rFonts w:ascii="仿宋_GB2312" w:eastAsia="仿宋_GB2312" w:hint="eastAsia"/>
        </w:rPr>
        <w:t>绩效目标和绩效指标量化可考核，全面完整，契合政策或项目实质，与部门的长期规划目标、年度工作目标相一致，产出和效果</w:t>
      </w:r>
      <w:r>
        <w:rPr>
          <w:rFonts w:ascii="仿宋_GB2312" w:hint="eastAsia"/>
          <w:lang w:val="en-US" w:eastAsia="zh-CN"/>
        </w:rPr>
        <w:t>相</w:t>
      </w:r>
      <w:r>
        <w:rPr>
          <w:rFonts w:ascii="仿宋_GB2312" w:eastAsia="仿宋_GB2312" w:hint="eastAsia"/>
        </w:rPr>
        <w:t>关联，满意度指标预测</w:t>
      </w:r>
      <w:r>
        <w:rPr>
          <w:rFonts w:ascii="仿宋_GB2312" w:hint="eastAsia"/>
          <w:lang w:val="en-US" w:eastAsia="zh-CN"/>
        </w:rPr>
        <w:t>为100%。</w:t>
      </w:r>
    </w:p>
    <w:p>
      <w:pPr>
        <w:pStyle w:val="22"/>
        <w:spacing w:line="560" w:lineRule="exact"/>
        <w:ind w:left="0" w:right="0" w:firstLineChars="0" w:firstLine="0"/>
        <w:jc w:val="center"/>
        <w:rPr>
          <w:rFonts w:ascii="方正黑体_GBK" w:eastAsia="方正黑体_GBK" w:hint="eastAsia"/>
        </w:rPr>
      </w:pPr>
      <w:r>
        <w:rPr>
          <w:rFonts w:ascii="仿宋_GB2312" w:hint="eastAsia"/>
          <w:lang w:eastAsia="zh-CN"/>
        </w:rPr>
        <w:t>金川县</w:t>
      </w:r>
      <w:r>
        <w:rPr>
          <w:rFonts w:ascii="仿宋_GB2312" w:cs="Times New Roman" w:hint="eastAsia"/>
          <w:lang w:val="en-US" w:eastAsia="zh-CN"/>
        </w:rPr>
        <w:t>重度残疾人</w:t>
      </w:r>
      <w:r>
        <w:rPr>
          <w:rFonts w:ascii="仿宋_GB2312" w:cs="Times New Roman" w:hint="eastAsia"/>
          <w:lang w:eastAsia="zh-CN"/>
        </w:rPr>
        <w:t>绩</w:t>
      </w:r>
      <w:r>
        <w:rPr>
          <w:rFonts w:ascii="仿宋_GB2312" w:eastAsia="仿宋_GB2312" w:hint="eastAsia"/>
        </w:rPr>
        <w:t>效目标表</w:t>
      </w:r>
    </w:p>
    <w:tbl>
      <w:tblPr>
        <w:jc w:val="left"/>
        <w:tblInd w:w="96" w:type="dxa"/>
        <w:tblW w:w="99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21"/>
        <w:gridCol w:w="1337"/>
        <w:gridCol w:w="3470"/>
        <w:gridCol w:w="4038"/>
      </w:tblGrid>
      <w:tr>
        <w:trPr>
          <w:trHeight w:val="500"/>
        </w:trPr>
        <w:tc>
          <w:tcPr>
            <w:tcW w:w="1121"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spacing w:line="560" w:lineRule="exact"/>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一级指标</w:t>
            </w:r>
          </w:p>
        </w:tc>
        <w:tc>
          <w:tcPr>
            <w:tcW w:w="1337"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二级指标</w:t>
            </w:r>
          </w:p>
        </w:tc>
        <w:tc>
          <w:tcPr>
            <w:tcW w:w="3470"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三级指标</w:t>
            </w:r>
          </w:p>
        </w:tc>
        <w:tc>
          <w:tcPr>
            <w:tcW w:w="4038"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spacing w:line="560" w:lineRule="exact"/>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指标值（包含数字及文字描述）</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数量指标</w:t>
            </w:r>
          </w:p>
        </w:tc>
        <w:tc>
          <w:tcPr>
            <w:tcW w:w="3470"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重度残疾人数</w:t>
            </w:r>
          </w:p>
        </w:tc>
        <w:tc>
          <w:tcPr>
            <w:tcW w:w="4038"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w:t>
            </w:r>
            <w:r>
              <w:rPr>
                <w:rFonts w:ascii="宋体" w:cs="宋体" w:hint="eastAsia"/>
                <w:i w:val="0"/>
                <w:iCs w:val="0"/>
                <w:color w:val="000000"/>
                <w:kern w:val="0"/>
                <w:sz w:val="20"/>
                <w:szCs w:val="20"/>
                <w:u w:val="none"/>
                <w:lang w:val="en-US" w:eastAsia="zh-CN"/>
              </w:rPr>
              <w:t>907</w:t>
            </w:r>
            <w:r>
              <w:rPr>
                <w:rFonts w:ascii="宋体" w:eastAsia="宋体" w:cs="宋体"/>
                <w:i w:val="0"/>
                <w:iCs w:val="0"/>
                <w:color w:val="000000"/>
                <w:kern w:val="0"/>
                <w:sz w:val="20"/>
                <w:szCs w:val="20"/>
                <w:u w:val="none"/>
                <w:lang w:val="en-US" w:eastAsia="zh-CN"/>
              </w:rPr>
              <w:t>人</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数</w:t>
            </w:r>
            <w:r>
              <w:rPr>
                <w:rFonts w:ascii="宋体" w:eastAsia="宋体" w:cs="宋体"/>
                <w:i w:val="0"/>
                <w:iCs w:val="0"/>
                <w:color w:val="000000"/>
                <w:kern w:val="0"/>
                <w:sz w:val="20"/>
                <w:szCs w:val="20"/>
                <w:u w:val="none"/>
                <w:lang w:val="en-US" w:eastAsia="zh-CN"/>
              </w:rPr>
              <w:t>量指标</w:t>
            </w:r>
          </w:p>
        </w:tc>
        <w:tc>
          <w:tcPr>
            <w:tcW w:w="3470"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重度残疾标准</w:t>
            </w:r>
          </w:p>
        </w:tc>
        <w:tc>
          <w:tcPr>
            <w:tcW w:w="4038"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一级</w:t>
            </w:r>
            <w:r>
              <w:rPr>
                <w:rFonts w:ascii="宋体" w:cs="宋体" w:hint="eastAsia"/>
                <w:i w:val="0"/>
                <w:iCs w:val="0"/>
                <w:color w:val="000000"/>
                <w:kern w:val="0"/>
                <w:sz w:val="20"/>
                <w:szCs w:val="20"/>
                <w:u w:val="none"/>
                <w:lang w:val="en-US" w:eastAsia="zh-CN"/>
              </w:rPr>
              <w:t>120</w:t>
            </w:r>
            <w:r>
              <w:rPr>
                <w:rFonts w:ascii="宋体" w:eastAsia="宋体" w:cs="宋体" w:hint="eastAsia"/>
                <w:i w:val="0"/>
                <w:iCs w:val="0"/>
                <w:color w:val="000000"/>
                <w:kern w:val="0"/>
                <w:sz w:val="20"/>
                <w:szCs w:val="20"/>
                <w:u w:val="none"/>
                <w:lang w:val="en-US" w:eastAsia="zh-CN"/>
              </w:rPr>
              <w:t>元/月/人、二级</w:t>
            </w:r>
            <w:r>
              <w:rPr>
                <w:rFonts w:ascii="宋体" w:cs="宋体" w:hint="eastAsia"/>
                <w:i w:val="0"/>
                <w:iCs w:val="0"/>
                <w:color w:val="000000"/>
                <w:kern w:val="0"/>
                <w:sz w:val="20"/>
                <w:szCs w:val="20"/>
                <w:u w:val="none"/>
                <w:lang w:val="en-US" w:eastAsia="zh-CN"/>
              </w:rPr>
              <w:t>90</w:t>
            </w:r>
            <w:r>
              <w:rPr>
                <w:rFonts w:ascii="宋体" w:eastAsia="宋体" w:cs="宋体" w:hint="eastAsia"/>
                <w:i w:val="0"/>
                <w:iCs w:val="0"/>
                <w:color w:val="000000"/>
                <w:kern w:val="0"/>
                <w:sz w:val="20"/>
                <w:szCs w:val="20"/>
                <w:u w:val="none"/>
                <w:lang w:val="en-US" w:eastAsia="zh-CN"/>
              </w:rPr>
              <w:t>元/月/人，三、四级精神和智力残疾</w:t>
            </w:r>
            <w:r>
              <w:rPr>
                <w:rFonts w:ascii="宋体" w:cs="宋体" w:hint="eastAsia"/>
                <w:i w:val="0"/>
                <w:iCs w:val="0"/>
                <w:color w:val="000000"/>
                <w:kern w:val="0"/>
                <w:sz w:val="20"/>
                <w:szCs w:val="20"/>
                <w:u w:val="none"/>
                <w:lang w:val="en-US" w:eastAsia="zh-CN"/>
              </w:rPr>
              <w:t>50</w:t>
            </w:r>
            <w:r>
              <w:rPr>
                <w:rFonts w:ascii="宋体" w:eastAsia="宋体" w:cs="宋体" w:hint="eastAsia"/>
                <w:i w:val="0"/>
                <w:iCs w:val="0"/>
                <w:color w:val="000000"/>
                <w:kern w:val="0"/>
                <w:sz w:val="20"/>
                <w:szCs w:val="20"/>
                <w:u w:val="none"/>
                <w:lang w:val="en-US" w:eastAsia="zh-CN"/>
              </w:rPr>
              <w:t>元/月/人标准进行发放</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560" w:lineRule="exact"/>
              <w:jc w:val="both"/>
              <w:textAlignment w:val="top"/>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产出指标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时效指标</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护理补助发放时间</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≥99%</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效益指标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社会效益</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重度残疾人护理补贴</w:t>
            </w:r>
            <w:r>
              <w:rPr>
                <w:rFonts w:ascii="宋体" w:eastAsia="宋体" w:cs="宋体"/>
                <w:i w:val="0"/>
                <w:iCs w:val="0"/>
                <w:color w:val="000000"/>
                <w:kern w:val="0"/>
                <w:sz w:val="20"/>
                <w:szCs w:val="20"/>
                <w:u w:val="none"/>
                <w:lang w:val="en-US" w:eastAsia="zh-CN"/>
              </w:rPr>
              <w:t>情况</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生活质量稳步</w:t>
            </w:r>
            <w:r>
              <w:rPr>
                <w:rFonts w:ascii="宋体" w:eastAsia="宋体" w:cs="宋体"/>
                <w:i w:val="0"/>
                <w:iCs w:val="0"/>
                <w:color w:val="000000"/>
                <w:kern w:val="0"/>
                <w:sz w:val="20"/>
                <w:szCs w:val="20"/>
                <w:u w:val="none"/>
                <w:lang w:val="en-US" w:eastAsia="zh-CN"/>
              </w:rPr>
              <w:t>提升</w:t>
            </w:r>
          </w:p>
        </w:tc>
      </w:tr>
      <w:tr>
        <w:trPr>
          <w:trHeight w:val="500"/>
        </w:trPr>
        <w:tc>
          <w:tcPr>
            <w:tcW w:w="112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方正黑体_GBK" w:eastAsia="方正黑体_GBK" w:cs="方正黑体_GBK"/>
                <w:i w:val="0"/>
                <w:iCs w:val="0"/>
                <w:color w:val="000000"/>
                <w:sz w:val="20"/>
                <w:szCs w:val="20"/>
                <w:u w:val="none"/>
              </w:rPr>
            </w:pPr>
            <w:r>
              <w:rPr>
                <w:rFonts w:ascii="方正黑体_GBK" w:eastAsia="方正黑体_GBK" w:cs="方正黑体_GBK"/>
                <w:i w:val="0"/>
                <w:iCs w:val="0"/>
                <w:color w:val="000000"/>
                <w:kern w:val="0"/>
                <w:sz w:val="20"/>
                <w:szCs w:val="20"/>
                <w:u w:val="none"/>
                <w:lang w:val="en-US" w:eastAsia="zh-CN"/>
              </w:rPr>
              <w:t>服务对象满意度指标</w:t>
            </w:r>
          </w:p>
        </w:tc>
        <w:tc>
          <w:tcPr>
            <w:tcW w:w="1337"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服务对象满意度指标</w:t>
            </w:r>
          </w:p>
        </w:tc>
        <w:tc>
          <w:tcPr>
            <w:tcW w:w="3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服务对象满意度</w:t>
            </w:r>
          </w:p>
        </w:tc>
        <w:tc>
          <w:tcPr>
            <w:tcW w:w="403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560" w:lineRule="exact"/>
              <w:jc w:val="left"/>
              <w:textAlignment w:val="center"/>
              <w:rPr>
                <w:rFonts w:ascii="宋体" w:eastAsia="宋体" w:cs="宋体"/>
                <w:i w:val="0"/>
                <w:iCs w:val="0"/>
                <w:color w:val="000000"/>
                <w:kern w:val="0"/>
                <w:sz w:val="20"/>
                <w:szCs w:val="20"/>
                <w:u w:val="none"/>
                <w:lang w:val="en-US" w:eastAsia="zh-CN"/>
              </w:rPr>
            </w:pPr>
            <w:r>
              <w:rPr>
                <w:rFonts w:ascii="宋体" w:eastAsia="宋体" w:cs="宋体"/>
                <w:i w:val="0"/>
                <w:iCs w:val="0"/>
                <w:color w:val="000000"/>
                <w:kern w:val="0"/>
                <w:sz w:val="20"/>
                <w:szCs w:val="20"/>
                <w:u w:val="none"/>
                <w:lang w:val="en-US" w:eastAsia="zh-CN"/>
              </w:rPr>
              <w:t>≥</w:t>
            </w:r>
            <w:r>
              <w:rPr>
                <w:rFonts w:ascii="宋体" w:eastAsia="宋体" w:cs="宋体" w:hint="eastAsia"/>
                <w:i w:val="0"/>
                <w:iCs w:val="0"/>
                <w:color w:val="000000"/>
                <w:kern w:val="0"/>
                <w:sz w:val="20"/>
                <w:szCs w:val="20"/>
                <w:u w:val="none"/>
                <w:lang w:val="en-US" w:eastAsia="zh-CN"/>
              </w:rPr>
              <w:t>95</w:t>
            </w:r>
            <w:r>
              <w:rPr>
                <w:rFonts w:ascii="宋体" w:eastAsia="宋体" w:cs="宋体"/>
                <w:i w:val="0"/>
                <w:iCs w:val="0"/>
                <w:color w:val="000000"/>
                <w:kern w:val="0"/>
                <w:sz w:val="20"/>
                <w:szCs w:val="20"/>
                <w:u w:val="none"/>
                <w:lang w:val="en-US" w:eastAsia="zh-CN"/>
              </w:rPr>
              <w:t>%</w:t>
            </w:r>
          </w:p>
        </w:tc>
      </w:tr>
    </w:tbl>
    <w:p>
      <w:pPr>
        <w:pStyle w:val="22"/>
        <w:spacing w:line="560" w:lineRule="exact"/>
        <w:ind w:left="0" w:firstLineChars="0" w:firstLine="0"/>
        <w:rPr>
          <w:rFonts w:ascii="楷体_GB2312" w:eastAsia="楷体_GB2312" w:hint="eastAsia"/>
          <w:b/>
          <w:bCs/>
        </w:rPr>
      </w:pPr>
    </w:p>
    <w:p>
      <w:pPr>
        <w:pStyle w:val="22"/>
        <w:spacing w:line="560" w:lineRule="exact"/>
        <w:ind w:left="0" w:firstLineChars="200" w:firstLine="640"/>
        <w:rPr>
          <w:rFonts w:ascii="楷体_GB2312" w:eastAsia="楷体_GB2312" w:hint="eastAsia"/>
          <w:b/>
          <w:bCs/>
        </w:rPr>
      </w:pPr>
      <w:r>
        <w:rPr>
          <w:rFonts w:ascii="楷体_GB2312" w:eastAsia="楷体_GB2312" w:hint="eastAsia"/>
          <w:b/>
          <w:bCs/>
        </w:rPr>
        <w:t>（四）实施可行性</w:t>
      </w:r>
    </w:p>
    <w:p>
      <w:pPr>
        <w:pStyle w:val="22"/>
        <w:spacing w:line="560" w:lineRule="exact"/>
        <w:ind w:left="0" w:firstLineChars="200" w:firstLine="640"/>
        <w:rPr>
          <w:rFonts w:ascii="仿宋_GB2312" w:eastAsia="仿宋_GB2312" w:hint="eastAsia"/>
        </w:rPr>
      </w:pPr>
      <w:r>
        <w:rPr>
          <w:rFonts w:ascii="仿宋_GB2312" w:eastAsia="仿宋_GB2312" w:hint="eastAsia"/>
        </w:rPr>
        <w:t>本项目从政治、经济及社会效益结论分析，项目具有较强的社会效益和抗风险能力；从建设前置条件分析，项目已具备基本建设条件。项目的建设解决了</w:t>
      </w:r>
      <w:r>
        <w:rPr>
          <w:rFonts w:ascii="仿宋_GB2312" w:hint="eastAsia"/>
          <w:lang w:eastAsia="zh-CN"/>
        </w:rPr>
        <w:t>困境儿童</w:t>
      </w:r>
      <w:r>
        <w:rPr>
          <w:rFonts w:ascii="仿宋_GB2312" w:eastAsia="仿宋_GB2312" w:hint="eastAsia"/>
        </w:rPr>
        <w:t>的难题，为未来发展打下坚实基础，因此本项目的建设不仅必要，且非常迫切。</w:t>
      </w:r>
    </w:p>
    <w:p>
      <w:pPr>
        <w:pStyle w:val="22"/>
        <w:spacing w:line="560" w:lineRule="exact"/>
        <w:ind w:left="0" w:firstLineChars="200" w:firstLine="640"/>
        <w:rPr>
          <w:rFonts w:ascii="楷体_GB2312" w:eastAsia="楷体_GB2312" w:hint="eastAsia"/>
          <w:b/>
          <w:bCs/>
        </w:rPr>
      </w:pPr>
      <w:r>
        <w:rPr>
          <w:rFonts w:ascii="楷体_GB2312" w:eastAsia="楷体_GB2312" w:hint="eastAsia"/>
          <w:b/>
          <w:bCs/>
        </w:rPr>
        <w:t>（五）筹资合规性</w:t>
      </w:r>
    </w:p>
    <w:p>
      <w:pPr>
        <w:pStyle w:val="22"/>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Times New Roman" w:hint="eastAsia"/>
          <w:lang w:val="en-US" w:eastAsia="zh-CN"/>
        </w:rPr>
        <w:t>该项目为中央</w:t>
      </w:r>
      <w:r>
        <w:rPr>
          <w:rFonts w:ascii="仿宋_GB2312" w:cs="Times New Roman" w:hint="eastAsia"/>
          <w:lang w:val="en-US" w:eastAsia="zh-CN"/>
        </w:rPr>
        <w:t>、地方</w:t>
      </w:r>
      <w:r>
        <w:rPr>
          <w:rFonts w:ascii="仿宋_GB2312" w:eastAsia="仿宋_GB2312" w:cs="Times New Roman" w:hint="eastAsia"/>
          <w:lang w:val="en-US" w:eastAsia="zh-CN"/>
        </w:rPr>
        <w:t>投资资金，地方配套资金</w:t>
      </w:r>
      <w:r>
        <w:rPr>
          <w:rFonts w:ascii="仿宋_GB2312" w:hint="eastAsia"/>
          <w:lang w:val="en-US" w:eastAsia="zh-CN"/>
        </w:rPr>
        <w:t>106.068</w:t>
      </w:r>
      <w:r>
        <w:rPr>
          <w:rFonts w:ascii="仿宋_GB2312" w:eastAsia="仿宋_GB2312" w:cs="Times New Roman" w:hint="eastAsia"/>
          <w:lang w:val="en-US" w:eastAsia="zh-CN"/>
        </w:rPr>
        <w:t>万元。</w:t>
      </w:r>
    </w:p>
    <w:p>
      <w:pPr>
        <w:pStyle w:val="19"/>
        <w:tabs>
          <w:tab w:val="center" w:pos="4153"/>
          <w:tab w:val="right" w:pos="8306"/>
        </w:tabs>
        <w:spacing w:line="560" w:lineRule="exact"/>
        <w:rPr>
          <w:rFonts w:ascii="仿宋_GB2312" w:eastAsia="仿宋_GB2312" w:hint="eastAsia"/>
          <w:sz w:val="32"/>
          <w:szCs w:val="32"/>
          <w:lang w:eastAsia="zh-CN"/>
        </w:rPr>
      </w:pPr>
      <w:r>
        <w:rPr>
          <w:rFonts w:ascii="仿宋_GB2312" w:eastAsia="仿宋_GB2312" w:hint="eastAsia"/>
          <w:sz w:val="32"/>
          <w:szCs w:val="32"/>
          <w:lang w:eastAsia="zh-CN"/>
        </w:rPr>
        <w:t>重点项目</w:t>
      </w:r>
      <w:r>
        <w:rPr>
          <w:rFonts w:ascii="仿宋_GB2312" w:eastAsia="仿宋_GB2312" w:hint="eastAsia"/>
          <w:sz w:val="32"/>
          <w:szCs w:val="32"/>
          <w:lang w:val="en-US" w:eastAsia="zh-CN"/>
        </w:rPr>
        <w:t>6</w:t>
      </w:r>
      <w:r>
        <w:rPr>
          <w:rFonts w:ascii="仿宋_GB2312" w:eastAsia="仿宋_GB2312" w:hint="eastAsia"/>
          <w:sz w:val="32"/>
          <w:szCs w:val="32"/>
          <w:lang w:eastAsia="zh-CN"/>
        </w:rPr>
        <w:t>：日间照料项目</w:t>
      </w:r>
    </w:p>
    <w:p>
      <w:pPr>
        <w:widowControl/>
        <w:spacing w:line="560" w:lineRule="exact"/>
        <w:jc w:val="lef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r>
        <w:rPr>
          <w:rFonts w:ascii="仿宋_GB2312" w:eastAsia="仿宋_GB2312" w:cs="仿宋_GB2312" w:hint="eastAsia"/>
          <w:color w:val="000000"/>
          <w:kern w:val="0"/>
          <w:sz w:val="32"/>
          <w:szCs w:val="32"/>
        </w:rPr>
        <w:t>贯彻落实养老服务发展法规政策标准，支持老年福利机构建设，提高社区养老服务设施覆盖率，健全养老服务体系，提升养老服务质量。</w:t>
      </w:r>
      <w:r>
        <w:rPr>
          <w:rFonts w:ascii="仿宋_GB2312" w:eastAsia="仿宋_GB2312" w:cs="仿宋_GB2312" w:hint="eastAsia"/>
          <w:color w:val="000000"/>
          <w:kern w:val="0"/>
          <w:sz w:val="32"/>
          <w:szCs w:val="32"/>
          <w:lang w:val="en-US" w:eastAsia="zh-CN"/>
        </w:rPr>
        <w:t>2024年按照规模适度的要求，计划在全县范围内选点建设3个日间照料中心，</w:t>
      </w:r>
      <w:r>
        <w:rPr>
          <w:rFonts w:ascii="仿宋_GB2312" w:eastAsia="仿宋_GB2312" w:cs="仿宋_GB2312" w:hint="eastAsia"/>
          <w:b w:val="0"/>
          <w:bCs w:val="0"/>
          <w:kern w:val="32"/>
          <w:sz w:val="32"/>
          <w:szCs w:val="32"/>
        </w:rPr>
        <w:t>床位数量达到</w:t>
      </w:r>
      <w:r>
        <w:rPr>
          <w:rFonts w:ascii="仿宋_GB2312" w:eastAsia="仿宋_GB2312" w:cs="仿宋_GB2312" w:hint="eastAsia"/>
          <w:b w:val="0"/>
          <w:bCs w:val="0"/>
          <w:kern w:val="32"/>
          <w:sz w:val="32"/>
          <w:szCs w:val="32"/>
          <w:lang w:val="en-US" w:eastAsia="zh-CN"/>
        </w:rPr>
        <w:t>7</w:t>
      </w:r>
      <w:r>
        <w:rPr>
          <w:rFonts w:ascii="仿宋_GB2312" w:eastAsia="仿宋_GB2312" w:cs="仿宋_GB2312" w:hint="eastAsia"/>
          <w:b w:val="0"/>
          <w:bCs w:val="0"/>
          <w:kern w:val="32"/>
          <w:sz w:val="32"/>
          <w:szCs w:val="32"/>
        </w:rPr>
        <w:t>张以上</w:t>
      </w:r>
      <w:r>
        <w:rPr>
          <w:rFonts w:ascii="仿宋_GB2312" w:eastAsia="仿宋_GB2312" w:cs="仿宋_GB2312" w:hint="eastAsia"/>
          <w:b w:val="0"/>
          <w:bCs w:val="0"/>
          <w:kern w:val="32"/>
          <w:sz w:val="32"/>
          <w:szCs w:val="32"/>
          <w:lang w:eastAsia="zh-CN"/>
        </w:rPr>
        <w:t>。</w:t>
      </w:r>
      <w:r>
        <w:rPr>
          <w:rFonts w:ascii="仿宋_GB2312" w:eastAsia="仿宋_GB2312" w:cs="仿宋_GB2312" w:hint="eastAsia"/>
          <w:b w:val="0"/>
          <w:bCs w:val="0"/>
          <w:kern w:val="32"/>
          <w:sz w:val="32"/>
          <w:szCs w:val="32"/>
        </w:rPr>
        <w:t>主要面向辐射区域内失能、高龄独居以及其他需要长期入住机构、需要临时短期托养的老年人</w:t>
      </w:r>
      <w:r>
        <w:rPr>
          <w:rFonts w:ascii="仿宋_GB2312" w:eastAsia="仿宋_GB2312" w:cs="仿宋_GB2312" w:hint="eastAsia"/>
          <w:b w:val="0"/>
          <w:bCs w:val="0"/>
          <w:kern w:val="32"/>
          <w:sz w:val="32"/>
          <w:szCs w:val="32"/>
          <w:lang w:eastAsia="zh-CN"/>
        </w:rPr>
        <w:t>。</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spacing w:line="560" w:lineRule="exact"/>
        <w:ind w:firstLineChars="200" w:firstLine="640"/>
        <w:outlineLvl w:val="0"/>
        <w:rPr>
          <w:rFonts w:ascii="仿宋_GB2312" w:eastAsia="仿宋_GB2312" w:cs="仿宋_GB2312"/>
          <w:b/>
          <w:bCs/>
          <w:color w:val="auto"/>
          <w:sz w:val="32"/>
          <w:szCs w:val="32"/>
          <w:highlight w:val="auto"/>
        </w:rPr>
      </w:pPr>
      <w:bookmarkStart w:id="0" w:name="_Toc91786664"/>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一</w:t>
      </w:r>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立项必要性</w:t>
      </w:r>
      <w:bookmarkEnd w:id="0"/>
    </w:p>
    <w:p>
      <w:pPr>
        <w:spacing w:line="560" w:lineRule="exact"/>
        <w:ind w:leftChars="200" w:left="420" w:firstLineChars="100" w:firstLine="320"/>
        <w:rPr>
          <w:rFonts w:ascii="仿宋_GB2312" w:eastAsia="仿宋_GB2312" w:cs="仿宋_GB2312"/>
          <w:b/>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hint="eastAsia"/>
          <w:color w:val="auto"/>
          <w:sz w:val="32"/>
          <w:szCs w:val="32"/>
          <w:highlight w:val="auto"/>
        </w:rPr>
        <w:t>立项必要性指标分值20分，评价得20分</w:t>
      </w:r>
      <w:r>
        <w:rPr>
          <w:rFonts w:ascii="仿宋_GB2312" w:eastAsia="仿宋_GB2312" w:cs="仿宋_GB2312" w:hint="eastAsia"/>
          <w:b/>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bookmarkStart w:id="1" w:name="_Toc91786665"/>
      <w:r>
        <w:rPr>
          <w:rFonts w:ascii="仿宋_GB2312" w:eastAsia="仿宋_GB2312" w:cs="仿宋_GB2312" w:hint="eastAsia"/>
          <w:b/>
          <w:bCs/>
          <w:color w:val="auto"/>
          <w:sz w:val="32"/>
          <w:szCs w:val="32"/>
          <w:highlight w:val="auto"/>
        </w:rPr>
        <w:t>1.政策相关性</w:t>
      </w:r>
      <w:bookmarkEnd w:id="1"/>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(1)政策符合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综合评价：项目政策与国家、省、市相关行业宏观政策相关。政策符合指标分值2.5分，评价得2.5分。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(2)立项依据充分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城乡社区日间照料中心建设立项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项目立项依据充分。立项依据充分指标分值2.5分，评价得2.5分。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bookmarkStart w:id="2" w:name="_Toc91786669"/>
      <w:r>
        <w:rPr>
          <w:rFonts w:ascii="仿宋_GB2312" w:eastAsia="仿宋_GB2312" w:cs="仿宋_GB2312" w:hint="eastAsia"/>
          <w:b/>
          <w:bCs/>
          <w:color w:val="auto"/>
          <w:sz w:val="32"/>
          <w:szCs w:val="32"/>
          <w:highlight w:val="auto"/>
        </w:rPr>
        <w:t>2.职能相关性</w:t>
      </w:r>
      <w:bookmarkEnd w:id="2"/>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(1)绩效目标与职能相关度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该项目以制度为核心，以监管为重点，确保</w:t>
      </w:r>
      <w:r>
        <w:rPr>
          <w:rStyle w:val="23"/>
          <w:rFonts w:eastAsia="仿宋_GB2312" w:cs="Arial" w:hint="eastAsia"/>
          <w:b w:val="0"/>
          <w:color w:val="auto"/>
          <w:sz w:val="32"/>
          <w:lang w:eastAsia="zh-CN"/>
          <w:highlight w:val="auto"/>
        </w:rPr>
        <w:t>资</w:t>
      </w:r>
      <w:r>
        <w:rPr>
          <w:rStyle w:val="23"/>
          <w:rFonts w:eastAsia="仿宋_GB2312" w:cs="Arial" w:hint="eastAsia"/>
          <w:b w:val="0"/>
          <w:color w:val="auto"/>
          <w:sz w:val="32"/>
          <w:highlight w:val="auto"/>
        </w:rPr>
        <w:t>金安全，有条不紊开展养老服务各项工作，加强优化养老服务体系建设，</w:t>
      </w:r>
      <w:r>
        <w:rPr>
          <w:rStyle w:val="23"/>
          <w:rFonts w:eastAsia="仿宋_GB2312" w:cs="Arial" w:hint="eastAsia"/>
          <w:b w:val="0"/>
          <w:color w:val="auto"/>
          <w:sz w:val="32"/>
          <w:lang w:eastAsia="zh-CN"/>
          <w:highlight w:val="auto"/>
        </w:rPr>
        <w:t>2023</w:t>
      </w:r>
      <w:r>
        <w:rPr>
          <w:rStyle w:val="23"/>
          <w:rFonts w:eastAsia="仿宋_GB2312" w:cs="Arial" w:hint="eastAsia"/>
          <w:b w:val="0"/>
          <w:color w:val="auto"/>
          <w:sz w:val="32"/>
          <w:highlight w:val="auto"/>
        </w:rPr>
        <w:t>年我局继续坚持积极稳妥，强化基本民生保障职能，推动搭建基层社会治理和社区公共服务平台。结合单位职能，绩效目标与职能相关。</w:t>
      </w:r>
    </w:p>
    <w:p>
      <w:pPr>
        <w:spacing w:line="560" w:lineRule="exact"/>
        <w:ind w:firstLineChars="200" w:firstLine="640"/>
        <w:rPr>
          <w:rFonts w:ascii="仿宋_GB2312" w:eastAsia="仿宋_GB2312"/>
          <w:b/>
          <w:bCs/>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w:t>
      </w:r>
      <w:r>
        <w:rPr>
          <w:rStyle w:val="23"/>
          <w:rFonts w:eastAsia="仿宋_GB2312" w:hint="eastAsia"/>
          <w:b w:val="0"/>
          <w:color w:val="auto"/>
          <w:sz w:val="32"/>
          <w:highlight w:val="auto"/>
        </w:rPr>
        <w:t>被评估单位</w:t>
      </w:r>
      <w:r>
        <w:rPr>
          <w:rStyle w:val="23"/>
          <w:rFonts w:eastAsia="仿宋_GB2312"/>
          <w:b w:val="0"/>
          <w:color w:val="auto"/>
          <w:sz w:val="32"/>
          <w:highlight w:val="auto"/>
        </w:rPr>
        <w:t>职能高度相关。绩效目标与职能相关度指标分值2.0分，评价得2.0分。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(2)项目内容与规划相关度</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该项目主要内容建设城乡社区日间照料中心建设，围绕2016到202</w:t>
      </w:r>
      <w:r>
        <w:rPr>
          <w:rStyle w:val="23"/>
          <w:rFonts w:eastAsia="仿宋_GB2312" w:cs="Arial" w:hint="eastAsia"/>
          <w:b w:val="0"/>
          <w:bCs/>
          <w:color w:val="auto"/>
          <w:sz w:val="32"/>
          <w:lang w:val="en-US" w:eastAsia="zh-CN"/>
          <w:highlight w:val="auto"/>
        </w:rPr>
        <w:t>4</w:t>
      </w:r>
      <w:r>
        <w:rPr>
          <w:rStyle w:val="23"/>
          <w:rFonts w:eastAsia="仿宋_GB2312" w:cs="Arial" w:hint="eastAsia"/>
          <w:b w:val="0"/>
          <w:bCs/>
          <w:color w:val="auto"/>
          <w:sz w:val="32"/>
          <w:highlight w:val="auto"/>
        </w:rPr>
        <w:t>年实现90﹪的城市社区、50﹪的农村社区建有社区老年人日间照料中心的目标，因地制宜推动城乡社区日</w:t>
      </w:r>
      <w:r>
        <w:rPr>
          <w:rStyle w:val="23"/>
          <w:rFonts w:eastAsia="仿宋_GB2312" w:cs="Arial"/>
          <w:b w:val="0"/>
          <w:bCs/>
          <w:color w:val="auto"/>
          <w:sz w:val="32"/>
          <w:highlight w:val="auto"/>
        </w:rPr>
        <w:t>间</w:t>
      </w:r>
      <w:r>
        <w:rPr>
          <w:rStyle w:val="23"/>
          <w:rFonts w:eastAsia="仿宋_GB2312" w:cs="Arial" w:hint="eastAsia"/>
          <w:b w:val="0"/>
          <w:bCs/>
          <w:color w:val="auto"/>
          <w:sz w:val="32"/>
          <w:highlight w:val="auto"/>
        </w:rPr>
        <w:t>照料中心建设。构建居家养老支付服务机制并覆盖2</w:t>
      </w:r>
      <w:r>
        <w:rPr>
          <w:rStyle w:val="23"/>
          <w:rFonts w:eastAsia="仿宋_GB2312" w:cs="Arial" w:hint="eastAsia"/>
          <w:b w:val="0"/>
          <w:bCs/>
          <w:color w:val="auto"/>
          <w:sz w:val="32"/>
          <w:lang w:val="en-US" w:eastAsia="zh-CN"/>
          <w:highlight w:val="auto"/>
        </w:rPr>
        <w:t>000</w:t>
      </w:r>
      <w:r>
        <w:rPr>
          <w:rStyle w:val="23"/>
          <w:rFonts w:eastAsia="仿宋_GB2312" w:cs="Arial" w:hint="eastAsia"/>
          <w:b w:val="0"/>
          <w:bCs/>
          <w:color w:val="auto"/>
          <w:sz w:val="32"/>
          <w:highlight w:val="auto"/>
        </w:rPr>
        <w:t>名困难家庭的失能老人、独居老人和80周岁以上高龄老人居家养老服务补助政策，确保202</w:t>
      </w:r>
      <w:r>
        <w:rPr>
          <w:rStyle w:val="23"/>
          <w:rFonts w:eastAsia="仿宋_GB2312" w:cs="Arial" w:hint="eastAsia"/>
          <w:b w:val="0"/>
          <w:bCs/>
          <w:color w:val="auto"/>
          <w:sz w:val="32"/>
          <w:lang w:val="en-US" w:eastAsia="zh-CN"/>
          <w:highlight w:val="auto"/>
        </w:rPr>
        <w:t>4</w:t>
      </w:r>
      <w:r>
        <w:rPr>
          <w:rStyle w:val="23"/>
          <w:rFonts w:eastAsia="仿宋_GB2312" w:cs="Arial" w:hint="eastAsia"/>
          <w:b w:val="0"/>
          <w:bCs/>
          <w:color w:val="auto"/>
          <w:sz w:val="32"/>
          <w:highlight w:val="auto"/>
        </w:rPr>
        <w:t>年以前实现补助对象全覆盖的目标，采用政府向各类养老服务组织购买服务和开发公益性岗位等方式，构建居家养老支持服务机制，为全县2500名居家养老的高龄老人和困难老人提供助餐、助医、助浴、助行等多种服务。</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综合评价：项目内容与规划高度相关。项目内容与规划相关度指标分值1.5分，评价得1.5分。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(3)预期绩效与重点工作相关度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金川县民政局</w:t>
      </w:r>
      <w:r>
        <w:rPr>
          <w:rStyle w:val="23"/>
          <w:rFonts w:eastAsia="仿宋_GB2312" w:cs="Arial"/>
          <w:b w:val="0"/>
          <w:color w:val="auto"/>
          <w:sz w:val="32"/>
          <w:highlight w:val="auto"/>
        </w:rPr>
        <w:t>主要承担如下职能：</w:t>
      </w:r>
      <w:r>
        <w:rPr>
          <w:rStyle w:val="23"/>
          <w:rFonts w:eastAsia="仿宋_GB2312" w:cs="Arial" w:hint="eastAsia"/>
          <w:b w:val="0"/>
          <w:color w:val="auto"/>
          <w:sz w:val="32"/>
          <w:highlight w:val="auto"/>
        </w:rPr>
        <w:t>依法依规负责社会福利、养老服务、救助管理、殡葬服务机构安全生产监督管理工作。项目预期绩效为单位重点工作。</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项目预期绩效与重点工作高度相关。预期绩效与重点工作相关度指标分值1.5分，评价得1.5分。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bookmarkStart w:id="3" w:name="_Toc91786671"/>
      <w:r>
        <w:rPr>
          <w:rFonts w:ascii="仿宋_GB2312" w:eastAsia="仿宋_GB2312" w:cs="仿宋_GB2312" w:hint="eastAsia"/>
          <w:b/>
          <w:bCs/>
          <w:color w:val="auto"/>
          <w:sz w:val="32"/>
          <w:szCs w:val="32"/>
          <w:highlight w:val="auto"/>
        </w:rPr>
        <w:t>3.需求相关性</w:t>
      </w:r>
      <w:bookmarkEnd w:id="3"/>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(1)需求迫切性</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综合评价：评估项目具有现实需求，且迫切需求。</w:t>
      </w:r>
      <w:r>
        <w:rPr>
          <w:rStyle w:val="23"/>
          <w:rFonts w:eastAsia="仿宋_GB2312"/>
          <w:b w:val="0"/>
          <w:color w:val="auto"/>
          <w:sz w:val="32"/>
          <w:highlight w:val="auto"/>
        </w:rPr>
        <w:t>需求迫切性指标分值2.0分，评价得2.0分。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(2)可替代性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中、省、州均要求进一步加强养老服务建设，</w:t>
      </w:r>
      <w:r>
        <w:rPr>
          <w:rStyle w:val="23"/>
          <w:rFonts w:eastAsia="仿宋_GB2312" w:cs="Arial" w:hint="eastAsia"/>
          <w:b w:val="0"/>
          <w:color w:val="auto"/>
          <w:sz w:val="32"/>
          <w:lang w:val="zh-CN"/>
          <w:highlight w:val="auto"/>
        </w:rPr>
        <w:t>项目实施</w:t>
      </w:r>
      <w:r>
        <w:rPr>
          <w:rStyle w:val="23"/>
          <w:rFonts w:eastAsia="仿宋_GB2312" w:cs="Arial" w:hint="eastAsia"/>
          <w:b w:val="0"/>
          <w:color w:val="auto"/>
          <w:sz w:val="32"/>
          <w:highlight w:val="auto"/>
        </w:rPr>
        <w:t>为全县居家养老福利老年人提供了周到、便捷、高效、体贴的专业化服务，不断促进了我县养老服务业的健康发展，本项目不具备可替代性。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项目不具有可替代性。可替代性指标分值1.5分，评价得1.5分。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(3)确定的服务对象或受益对象</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收益对象为全县行政区域范围内由政府或企事业单位、社会组织、个人，按照本地养老设施建设专项规划或社区建设规划等相关规划要求，以独资或合资合作等方式建设的城乡社区老年人日间照料中心为满足老年人多层次的养老需求，不断加强城乡社区日间照料中心建设进度，真正把民生实事办好，把好事办实，更好地为老年人提供服务，不断提升老年人的幸福感、获得感。</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项目服务对象或受益对象确定。确定的服务对象或受益对象指标分值1.5分，评价得1.5分。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bookmarkStart w:id="4" w:name="_Toc91786673"/>
      <w:r>
        <w:rPr>
          <w:rFonts w:ascii="仿宋_GB2312" w:eastAsia="仿宋_GB2312" w:cs="仿宋_GB2312" w:hint="eastAsia"/>
          <w:b/>
          <w:bCs/>
          <w:color w:val="auto"/>
          <w:sz w:val="32"/>
          <w:szCs w:val="32"/>
          <w:highlight w:val="auto"/>
        </w:rPr>
        <w:t>4.财政投入相关性</w:t>
      </w:r>
      <w:bookmarkEnd w:id="4"/>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(1)项目公共性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本项目是为进一步体现党和政府对老年群众关心关怀，推动我州和谐发展，属于公共性项目。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财政投资项目具有公共性。项目公共性指标分值2.5分，评价得2.5分。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(2)项目财政支持范围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政府投资属于公共投资范畴，其投资的领域是由其职能决定的，主要包括公益性项目、基础性项目等。</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基础性项目是指那些建设期长、投资量大、经济收益较低的基础设施和基础产业项目。包括水利、能源、交通运输等基础设施和农、林、重要原材料等基础产业。</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城乡社区日间照料中心建设属于公益性项目，属于公共财政支持范围项目。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评估项目属于公共财政支持范围。项目财政支持范围指标分值2.5分，评价得2.5分。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bookmarkStart w:id="5" w:name="_Toc91786674"/>
      <w:r>
        <w:rPr>
          <w:rFonts w:ascii="仿宋_GB2312" w:eastAsia="仿宋_GB2312" w:cs="仿宋_GB2312" w:hint="eastAsia"/>
          <w:b/>
          <w:bCs/>
          <w:color w:val="auto"/>
          <w:sz w:val="32"/>
          <w:szCs w:val="32"/>
          <w:highlight w:val="auto"/>
        </w:rPr>
        <w:t>(二)投入经济性</w:t>
      </w:r>
      <w:bookmarkEnd w:id="5"/>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投入经济性指标分值20分，评价得20分。</w:t>
      </w:r>
    </w:p>
    <w:p>
      <w:pPr>
        <w:spacing w:line="560" w:lineRule="exact"/>
        <w:ind w:firstLineChars="200" w:firstLine="640"/>
        <w:outlineLvl w:val="0"/>
        <w:rPr>
          <w:rFonts w:ascii="仿宋_GB2312" w:eastAsia="仿宋_GB2312" w:cs="仿宋_GB2312"/>
          <w:b/>
          <w:bCs/>
          <w:color w:val="auto"/>
          <w:sz w:val="32"/>
          <w:szCs w:val="32"/>
          <w:highlight w:val="auto"/>
        </w:rPr>
      </w:pPr>
      <w:bookmarkStart w:id="6" w:name="_Toc91786675"/>
      <w:r>
        <w:rPr>
          <w:rFonts w:ascii="仿宋_GB2312" w:eastAsia="仿宋_GB2312" w:cs="仿宋_GB2312" w:hint="eastAsia"/>
          <w:b/>
          <w:bCs/>
          <w:color w:val="auto"/>
          <w:sz w:val="32"/>
          <w:szCs w:val="32"/>
          <w:highlight w:val="auto"/>
        </w:rPr>
        <w:t>1.财政投入合理性</w:t>
      </w:r>
      <w:bookmarkEnd w:id="6"/>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(1)项目预算与预期效果匹配</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项目预算</w:t>
      </w:r>
      <w:r>
        <w:rPr>
          <w:rStyle w:val="23"/>
          <w:rFonts w:eastAsia="仿宋_GB2312" w:cs="Arial"/>
          <w:b w:val="0"/>
          <w:color w:val="auto"/>
          <w:sz w:val="32"/>
          <w:highlight w:val="auto"/>
        </w:rPr>
        <w:t>费</w:t>
      </w:r>
      <w:r>
        <w:rPr>
          <w:rStyle w:val="23"/>
          <w:rFonts w:eastAsia="仿宋_GB2312" w:cs="Arial" w:hint="eastAsia"/>
          <w:b w:val="0"/>
          <w:color w:val="auto"/>
          <w:sz w:val="32"/>
          <w:highlight w:val="auto"/>
        </w:rPr>
        <w:t>用日间照料中心建设</w:t>
      </w:r>
      <w:r>
        <w:rPr>
          <w:rStyle w:val="23"/>
          <w:rFonts w:eastAsia="仿宋_GB2312" w:cs="Arial" w:hint="eastAsia"/>
          <w:b w:val="0"/>
          <w:color w:val="auto"/>
          <w:sz w:val="32"/>
          <w:lang w:eastAsia="zh-CN"/>
          <w:highlight w:val="auto"/>
        </w:rPr>
        <w:t>资金</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w:t>
      </w:r>
      <w:r>
        <w:rPr>
          <w:rStyle w:val="23"/>
          <w:rFonts w:eastAsia="仿宋_GB2312" w:cs="Arial" w:hint="eastAsia"/>
          <w:b w:val="0"/>
          <w:color w:val="auto"/>
          <w:sz w:val="32"/>
          <w:lang w:eastAsia="zh-CN"/>
          <w:highlight w:val="auto"/>
        </w:rPr>
        <w:t>，</w:t>
      </w:r>
      <w:r>
        <w:rPr>
          <w:rStyle w:val="23"/>
          <w:rFonts w:eastAsia="仿宋_GB2312" w:cs="Arial" w:hint="eastAsia"/>
          <w:b w:val="0"/>
          <w:color w:val="auto"/>
          <w:sz w:val="32"/>
          <w:highlight w:val="auto"/>
        </w:rPr>
        <w:t>通过本项目的实施，以制度为核心，以监管为重点，确保基金安全，有条不紊开展务各项工作，加强养老</w:t>
      </w:r>
      <w:r>
        <w:rPr>
          <w:rStyle w:val="23"/>
          <w:rFonts w:eastAsia="仿宋_GB2312" w:cs="Arial" w:hint="eastAsia"/>
          <w:b w:val="0"/>
          <w:color w:val="auto"/>
          <w:sz w:val="32"/>
          <w:lang w:eastAsia="zh-CN"/>
          <w:highlight w:val="auto"/>
        </w:rPr>
        <w:t>机构</w:t>
      </w:r>
      <w:r>
        <w:rPr>
          <w:rStyle w:val="23"/>
          <w:rFonts w:eastAsia="仿宋_GB2312" w:cs="Arial" w:hint="eastAsia"/>
          <w:b w:val="0"/>
          <w:color w:val="auto"/>
          <w:sz w:val="32"/>
          <w:highlight w:val="auto"/>
        </w:rPr>
        <w:t>服务经办能力、优化养老服务政策，收入预算与经济发展相协调，坚持民生优先，项目投入资源及成本与预期产出及效果相匹配。</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项目投入资源及成本与预期产出及效果相匹配</w:t>
      </w:r>
      <w:r>
        <w:rPr>
          <w:rStyle w:val="23"/>
          <w:rFonts w:eastAsia="仿宋_GB2312"/>
          <w:b w:val="0"/>
          <w:bCs/>
          <w:color w:val="auto"/>
          <w:sz w:val="32"/>
          <w:highlight w:val="auto"/>
        </w:rPr>
        <w:t>。</w:t>
      </w:r>
      <w:r>
        <w:rPr>
          <w:rStyle w:val="23"/>
          <w:rFonts w:eastAsia="仿宋_GB2312"/>
          <w:b w:val="0"/>
          <w:color w:val="auto"/>
          <w:sz w:val="32"/>
          <w:highlight w:val="auto"/>
        </w:rPr>
        <w:t>项目预算与预期效果匹配指标分值4.0分，评价得4.0分。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(2)投入成本合理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本次项目预计建设农村日间照料中心</w:t>
      </w:r>
      <w:r>
        <w:rPr>
          <w:rStyle w:val="23"/>
          <w:rFonts w:eastAsia="仿宋_GB2312" w:cs="Arial" w:hint="eastAsia"/>
          <w:b w:val="0"/>
          <w:color w:val="auto"/>
          <w:sz w:val="32"/>
          <w:lang w:val="en-US" w:eastAsia="zh-CN"/>
          <w:highlight w:val="auto"/>
        </w:rPr>
        <w:t>3</w:t>
      </w:r>
      <w:r>
        <w:rPr>
          <w:rStyle w:val="23"/>
          <w:rFonts w:eastAsia="仿宋_GB2312" w:cs="Arial" w:hint="eastAsia"/>
          <w:b w:val="0"/>
          <w:color w:val="auto"/>
          <w:sz w:val="32"/>
          <w:highlight w:val="auto"/>
        </w:rPr>
        <w:t>个，共</w:t>
      </w:r>
      <w:r>
        <w:rPr>
          <w:rStyle w:val="23"/>
          <w:rFonts w:eastAsia="仿宋_GB2312" w:cs="Arial" w:hint="eastAsia"/>
          <w:b w:val="0"/>
          <w:color w:val="auto"/>
          <w:sz w:val="32"/>
          <w:lang w:eastAsia="zh-CN"/>
          <w:highlight w:val="auto"/>
        </w:rPr>
        <w:t>申请</w:t>
      </w:r>
      <w:r>
        <w:rPr>
          <w:rStyle w:val="23"/>
          <w:rFonts w:eastAsia="仿宋_GB2312" w:cs="Arial" w:hint="eastAsia"/>
          <w:b w:val="0"/>
          <w:color w:val="auto"/>
          <w:sz w:val="32"/>
          <w:highlight w:val="auto"/>
        </w:rPr>
        <w:t>资金</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万元。项目预算编制的政策、依据等符合中央、省、市、县相关法律、法规、政策规定，项目预算编制合理，成本测算依据充分。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cs="Arial"/>
          <w:b w:val="0"/>
          <w:color w:val="auto"/>
          <w:sz w:val="32"/>
          <w:highlight w:val="auto"/>
        </w:rPr>
        <w:t>综合评</w:t>
      </w:r>
      <w:r>
        <w:rPr>
          <w:rStyle w:val="23"/>
          <w:rFonts w:eastAsia="仿宋_GB2312"/>
          <w:b w:val="0"/>
          <w:bCs/>
          <w:color w:val="auto"/>
          <w:sz w:val="32"/>
          <w:highlight w:val="auto"/>
        </w:rPr>
        <w:t>价：</w:t>
      </w:r>
      <w:r>
        <w:rPr>
          <w:rStyle w:val="23"/>
          <w:rFonts w:eastAsia="仿宋_GB2312"/>
          <w:b w:val="0"/>
          <w:color w:val="auto"/>
          <w:sz w:val="32"/>
          <w:highlight w:val="auto"/>
        </w:rPr>
        <w:t>项目投入成本合理，成本测算依据充分。投入成本合理指标分值3.0分，评价得3.0分。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(3)其他渠道投入充分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本项目资金为财政资金，无其他渠道投入。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综合评价：项目资金未见其他渠道有充分投入</w:t>
      </w:r>
      <w:r>
        <w:rPr>
          <w:rStyle w:val="23"/>
          <w:rFonts w:eastAsia="仿宋_GB2312"/>
          <w:b w:val="0"/>
          <w:color w:val="auto"/>
          <w:sz w:val="32"/>
          <w:highlight w:val="auto"/>
        </w:rPr>
        <w:t>。其他渠道投入充分指标分值3.0分，评价得3.0分。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bookmarkStart w:id="7" w:name="_Toc91786676"/>
      <w:r>
        <w:rPr>
          <w:rFonts w:ascii="仿宋_GB2312" w:eastAsia="仿宋_GB2312" w:cs="仿宋_GB2312" w:hint="eastAsia"/>
          <w:b/>
          <w:bCs/>
          <w:color w:val="auto"/>
          <w:sz w:val="32"/>
          <w:szCs w:val="32"/>
          <w:highlight w:val="auto"/>
        </w:rPr>
        <w:t>2.成本控制措施有效性</w:t>
      </w:r>
      <w:bookmarkEnd w:id="7"/>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(1)成本预期水平合理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本项目按照建设农村日间照料中心</w:t>
      </w:r>
      <w:r>
        <w:rPr>
          <w:rStyle w:val="23"/>
          <w:rFonts w:eastAsia="仿宋_GB2312" w:cs="Arial" w:hint="eastAsia"/>
          <w:b w:val="0"/>
          <w:color w:val="auto"/>
          <w:sz w:val="32"/>
          <w:lang w:val="en-US" w:eastAsia="zh-CN"/>
          <w:highlight w:val="auto"/>
        </w:rPr>
        <w:t>3</w:t>
      </w:r>
      <w:r>
        <w:rPr>
          <w:rStyle w:val="23"/>
          <w:rFonts w:eastAsia="仿宋_GB2312" w:cs="Arial" w:hint="eastAsia"/>
          <w:b w:val="0"/>
          <w:color w:val="auto"/>
          <w:sz w:val="32"/>
          <w:highlight w:val="auto"/>
        </w:rPr>
        <w:t>个进行规范建设成本，进行规划建设项目预期水平合理。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成本预期水平比较合理。成本预期水平合理指标分值4.0分，评价得4.0分。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(2)投入产出比合理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本项目要求实施内容完成建设农村日间照料中</w:t>
      </w:r>
      <w:r>
        <w:rPr>
          <w:rStyle w:val="23"/>
          <w:rFonts w:eastAsia="仿宋_GB2312" w:cs="Arial"/>
          <w:b w:val="0"/>
          <w:color w:val="auto"/>
          <w:sz w:val="32"/>
          <w:highlight w:val="auto"/>
        </w:rPr>
        <w:t>心</w:t>
      </w:r>
      <w:r>
        <w:rPr>
          <w:rStyle w:val="23"/>
          <w:rFonts w:eastAsia="仿宋_GB2312" w:cs="Arial" w:hint="eastAsia"/>
          <w:b w:val="0"/>
          <w:color w:val="auto"/>
          <w:sz w:val="32"/>
          <w:lang w:val="en-US" w:eastAsia="zh-CN"/>
          <w:highlight w:val="auto"/>
        </w:rPr>
        <w:t>3</w:t>
      </w:r>
      <w:r>
        <w:rPr>
          <w:rStyle w:val="23"/>
          <w:rFonts w:eastAsia="仿宋_GB2312" w:cs="Arial" w:hint="eastAsia"/>
          <w:b w:val="0"/>
          <w:color w:val="auto"/>
          <w:sz w:val="32"/>
          <w:highlight w:val="auto"/>
        </w:rPr>
        <w:t>个，共</w:t>
      </w:r>
      <w:r>
        <w:rPr>
          <w:rStyle w:val="23"/>
          <w:rFonts w:eastAsia="仿宋_GB2312" w:cs="Arial" w:hint="eastAsia"/>
          <w:b w:val="0"/>
          <w:color w:val="auto"/>
          <w:sz w:val="32"/>
          <w:lang w:eastAsia="zh-CN"/>
          <w:highlight w:val="auto"/>
        </w:rPr>
        <w:t>申请</w:t>
      </w:r>
      <w:r>
        <w:rPr>
          <w:rStyle w:val="23"/>
          <w:rFonts w:eastAsia="仿宋_GB2312" w:cs="Arial" w:hint="eastAsia"/>
          <w:b w:val="0"/>
          <w:color w:val="auto"/>
          <w:sz w:val="32"/>
          <w:highlight w:val="auto"/>
        </w:rPr>
        <w:t>资金</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万元，推动了养老服务基础设施建设</w:t>
      </w:r>
      <w:r>
        <w:rPr>
          <w:rStyle w:val="23"/>
          <w:rFonts w:eastAsia="仿宋_GB2312" w:cs="Arial" w:hint="eastAsia"/>
          <w:b w:val="0"/>
          <w:color w:val="auto"/>
          <w:sz w:val="32"/>
          <w:lang w:val="en-US" w:eastAsia="zh-CN"/>
          <w:highlight w:val="auto"/>
        </w:rPr>
        <w:t>发展</w:t>
      </w:r>
      <w:r>
        <w:rPr>
          <w:rStyle w:val="23"/>
          <w:rFonts w:eastAsia="仿宋_GB2312" w:cs="Arial" w:hint="eastAsia"/>
          <w:b w:val="0"/>
          <w:color w:val="auto"/>
          <w:sz w:val="32"/>
          <w:highlight w:val="auto"/>
        </w:rPr>
        <w:t>，投入产出比合理。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项目投入产出比较合理。投入产出比合理指标分值3.0分，评价得3.0分。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(3)成本控制有效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该项目按照补贴指标进行，成本控制有效。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项目成本节约控制有效、合理。成本控制有效指标分值3.0分，评价得3.0分。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bookmarkStart w:id="8" w:name="_Toc91786677"/>
      <w:r>
        <w:rPr>
          <w:rFonts w:ascii="仿宋_GB2312" w:eastAsia="仿宋_GB2312" w:cs="仿宋_GB2312" w:hint="eastAsia"/>
          <w:b/>
          <w:bCs/>
          <w:color w:val="auto"/>
          <w:sz w:val="32"/>
          <w:szCs w:val="32"/>
          <w:highlight w:val="auto"/>
        </w:rPr>
        <w:t>(三)绩效目标合理性</w:t>
      </w:r>
      <w:bookmarkEnd w:id="8"/>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绩效目标合理性指标分值20分，评价得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color w:val="auto"/>
          <w:sz w:val="32"/>
          <w:szCs w:val="32"/>
          <w:highlight w:val="auto"/>
        </w:rPr>
        <w:t>7.50</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bookmarkStart w:id="9" w:name="_Toc91786678"/>
      <w:r>
        <w:rPr>
          <w:rFonts w:ascii="仿宋_GB2312" w:eastAsia="仿宋_GB2312" w:cs="仿宋_GB2312" w:hint="eastAsia"/>
          <w:b/>
          <w:bCs/>
          <w:color w:val="auto"/>
          <w:sz w:val="32"/>
          <w:szCs w:val="32"/>
          <w:highlight w:val="auto"/>
        </w:rPr>
        <w:t>1.目标明确性</w:t>
      </w:r>
      <w:bookmarkEnd w:id="9"/>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(1)目标明确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本项目目标为：</w:t>
      </w:r>
      <w:r>
        <w:rPr>
          <w:rStyle w:val="23"/>
          <w:rFonts w:eastAsia="仿宋_GB2312" w:cs="Arial" w:hint="eastAsia"/>
          <w:b w:val="0"/>
          <w:color w:val="auto"/>
          <w:sz w:val="32"/>
          <w:lang w:val="en-US" w:eastAsia="zh-CN"/>
          <w:highlight w:val="auto"/>
        </w:rPr>
        <w:t>为</w:t>
      </w:r>
      <w:r>
        <w:rPr>
          <w:rStyle w:val="23"/>
          <w:rFonts w:eastAsia="仿宋_GB2312" w:cs="Arial" w:hint="eastAsia"/>
          <w:b w:val="0"/>
          <w:color w:val="auto"/>
          <w:sz w:val="32"/>
          <w:highlight w:val="auto"/>
        </w:rPr>
        <w:t>全</w:t>
      </w:r>
      <w:r>
        <w:rPr>
          <w:rStyle w:val="23"/>
          <w:rFonts w:eastAsia="仿宋_GB2312" w:cs="Arial" w:hint="eastAsia"/>
          <w:b w:val="0"/>
          <w:color w:val="auto"/>
          <w:sz w:val="32"/>
          <w:lang w:eastAsia="zh-CN"/>
          <w:highlight w:val="auto"/>
        </w:rPr>
        <w:t>县</w:t>
      </w:r>
      <w:r>
        <w:rPr>
          <w:rStyle w:val="23"/>
          <w:rFonts w:eastAsia="仿宋_GB2312" w:cs="Arial" w:hint="eastAsia"/>
          <w:b w:val="0"/>
          <w:color w:val="auto"/>
          <w:sz w:val="32"/>
          <w:highlight w:val="auto"/>
        </w:rPr>
        <w:t>老年人提供周到、便捷、高效、体贴的专业化服务，绩效目标明确。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项目绩效目标明确。目标明确指标分值2.5分，评价得2.5分。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(2)目标与规划一致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项目绩效目标与项目的长期规划目标、年度工作目标相一致。目标与规划一致指标分值2.5分，评价得2.5分。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(3)目标受益群体准确</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根据现场查看相关资料，被评估单位目标为</w:t>
      </w:r>
      <w:r>
        <w:rPr>
          <w:rStyle w:val="23"/>
          <w:rFonts w:eastAsia="仿宋_GB2312" w:cs="Arial" w:hint="eastAsia"/>
          <w:b w:val="0"/>
          <w:bCs/>
          <w:color w:val="auto"/>
          <w:sz w:val="32"/>
          <w:lang w:val="en-US" w:eastAsia="zh-CN"/>
          <w:highlight w:val="auto"/>
        </w:rPr>
        <w:t>以</w:t>
      </w:r>
      <w:r>
        <w:rPr>
          <w:rStyle w:val="23"/>
          <w:rFonts w:eastAsia="仿宋_GB2312" w:cs="Arial" w:hint="eastAsia"/>
          <w:b w:val="0"/>
          <w:bCs/>
          <w:color w:val="auto"/>
          <w:sz w:val="32"/>
          <w:highlight w:val="auto"/>
        </w:rPr>
        <w:t>金川县全县老年</w:t>
      </w:r>
      <w:r>
        <w:rPr>
          <w:rStyle w:val="23"/>
          <w:rFonts w:eastAsia="仿宋_GB2312" w:cs="Arial" w:hint="eastAsia"/>
          <w:b w:val="0"/>
          <w:bCs/>
          <w:color w:val="auto"/>
          <w:sz w:val="32"/>
          <w:lang w:val="en-US" w:eastAsia="zh-CN"/>
          <w:highlight w:val="auto"/>
        </w:rPr>
        <w:t>人为</w:t>
      </w:r>
      <w:r>
        <w:rPr>
          <w:rStyle w:val="23"/>
          <w:rFonts w:eastAsia="仿宋_GB2312" w:cs="Arial" w:hint="eastAsia"/>
          <w:b w:val="0"/>
          <w:bCs/>
          <w:color w:val="auto"/>
          <w:sz w:val="32"/>
          <w:highlight w:val="auto"/>
        </w:rPr>
        <w:t>服务对象，不断促进我县养老服务业的健康发展，</w:t>
      </w:r>
      <w:r>
        <w:rPr>
          <w:rStyle w:val="23"/>
          <w:rFonts w:eastAsia="仿宋_GB2312" w:cs="Arial" w:hint="eastAsia"/>
          <w:b w:val="0"/>
          <w:bCs/>
          <w:color w:val="auto"/>
          <w:sz w:val="32"/>
          <w:lang w:val="en-US" w:eastAsia="zh-CN"/>
          <w:highlight w:val="auto"/>
        </w:rPr>
        <w:t>项</w:t>
      </w:r>
      <w:r>
        <w:rPr>
          <w:rStyle w:val="23"/>
          <w:rFonts w:eastAsia="仿宋_GB2312" w:cs="Arial" w:hint="eastAsia"/>
          <w:b w:val="0"/>
          <w:bCs/>
          <w:color w:val="auto"/>
          <w:sz w:val="32"/>
          <w:highlight w:val="auto"/>
        </w:rPr>
        <w:t>目绩效目标受益群体定位准确。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项目绩效目标受益群体定位准确。目标受益群体准确指标分值2.5分，评价得2.5分。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(4)目标与项目相关度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综合评价：项目绩效目标和指标设置与项目高度相关。目标与项目相关度指标分值2.5分，评价得</w:t>
      </w:r>
      <w:r>
        <w:rPr>
          <w:rFonts w:ascii="仿宋_GB2312" w:eastAsia="仿宋_GB2312" w:cs="仿宋_GB2312" w:hint="eastAsia"/>
          <w:color w:val="auto"/>
          <w:sz w:val="32"/>
          <w:szCs w:val="32"/>
          <w:lang w:val="en-US" w:eastAsia="zh-CN"/>
          <w:highlight w:val="auto"/>
        </w:rPr>
        <w:t>2.5</w:t>
      </w:r>
      <w:r>
        <w:rPr>
          <w:rFonts w:ascii="仿宋_GB2312" w:eastAsia="仿宋_GB2312" w:cs="仿宋_GB2312"/>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bookmarkStart w:id="10" w:name="_Toc91786680"/>
      <w:r>
        <w:rPr>
          <w:rFonts w:ascii="仿宋_GB2312" w:eastAsia="仿宋_GB2312" w:cs="仿宋_GB2312" w:hint="eastAsia"/>
          <w:b/>
          <w:bCs/>
          <w:color w:val="auto"/>
          <w:sz w:val="32"/>
          <w:szCs w:val="32"/>
          <w:highlight w:val="auto"/>
        </w:rPr>
        <w:t>2.目标合理性</w:t>
      </w:r>
      <w:bookmarkEnd w:id="10"/>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(1)目标与预计解决的问题匹配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项目绩效目标与项目预计解决的问题相匹配。目标与预计解决的问题匹配指标分值2.5分，评价得2.5分。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(2)目标与现实需求匹配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目标与现实需求相匹配。目标与现实需求匹配指标分值2.5分，评价得2.5分。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(3)目标设置前瞻性及挑战性</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本项目绩效目标为常规目标，不具有前瞻性及挑战性。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w:t>
      </w:r>
      <w:r>
        <w:rPr>
          <w:rStyle w:val="23"/>
          <w:rFonts w:eastAsia="仿宋_GB2312"/>
          <w:b w:val="0"/>
          <w:color w:val="auto"/>
          <w:sz w:val="32"/>
          <w:highlight w:val="auto"/>
        </w:rPr>
        <w:t>目标设置</w:t>
      </w:r>
      <w:r>
        <w:rPr>
          <w:rStyle w:val="23"/>
          <w:rFonts w:eastAsia="仿宋_GB2312" w:hint="eastAsia"/>
          <w:b w:val="0"/>
          <w:color w:val="auto"/>
          <w:sz w:val="32"/>
          <w:highlight w:val="auto"/>
        </w:rPr>
        <w:t>不</w:t>
      </w:r>
      <w:r>
        <w:rPr>
          <w:rStyle w:val="23"/>
          <w:rFonts w:eastAsia="仿宋_GB2312"/>
          <w:b w:val="0"/>
          <w:color w:val="auto"/>
          <w:sz w:val="32"/>
          <w:highlight w:val="auto"/>
        </w:rPr>
        <w:t>具有前瞻性及挑战性。目标设置前瞻性及挑战性指标分值2.5分，评价得</w:t>
      </w:r>
      <w:r>
        <w:rPr>
          <w:rStyle w:val="23"/>
          <w:rFonts w:eastAsia="仿宋_GB2312" w:hint="eastAsia"/>
          <w:b w:val="0"/>
          <w:color w:val="auto"/>
          <w:sz w:val="32"/>
          <w:lang w:val="en-US" w:eastAsia="zh-CN"/>
          <w:highlight w:val="auto"/>
        </w:rPr>
        <w:t>2.5</w:t>
      </w:r>
      <w:r>
        <w:rPr>
          <w:rStyle w:val="23"/>
          <w:rFonts w:eastAsia="仿宋_GB2312"/>
          <w:b w:val="0"/>
          <w:color w:val="auto"/>
          <w:sz w:val="32"/>
          <w:highlight w:val="auto"/>
        </w:rPr>
        <w:t>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(4)目标完整及合理</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项目绩效指标细化、量化，指标值设置合理。目标完整及合理指标分值2.5分，评价得2.5分。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bookmarkStart w:id="11" w:name="_Toc91786682"/>
      <w:r>
        <w:rPr>
          <w:rFonts w:ascii="仿宋_GB2312" w:eastAsia="仿宋_GB2312" w:cs="仿宋_GB2312" w:hint="eastAsia"/>
          <w:b/>
          <w:bCs/>
          <w:color w:val="auto"/>
          <w:sz w:val="32"/>
          <w:szCs w:val="32"/>
          <w:highlight w:val="auto"/>
        </w:rPr>
        <w:t>(四)实施方案有效性</w:t>
      </w:r>
      <w:bookmarkEnd w:id="11"/>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实施方案有效性指标分值20分，其中2分纳入不计分项，实际有效指标分值18分，评价得</w:t>
      </w:r>
      <w:r>
        <w:rPr>
          <w:rFonts w:ascii="仿宋_GB2312" w:eastAsia="仿宋_GB2312" w:cs="仿宋_GB2312" w:hint="eastAsia"/>
          <w:color w:val="auto"/>
          <w:sz w:val="32"/>
          <w:szCs w:val="32"/>
          <w:lang w:val="en-US" w:eastAsia="zh-CN"/>
          <w:highlight w:val="auto"/>
        </w:rPr>
        <w:t>8</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bookmarkStart w:id="12" w:name="_Toc91786683"/>
      <w:r>
        <w:rPr>
          <w:rFonts w:ascii="仿宋_GB2312" w:eastAsia="仿宋_GB2312" w:cs="仿宋_GB2312" w:hint="eastAsia"/>
          <w:b/>
          <w:bCs/>
          <w:color w:val="auto"/>
          <w:sz w:val="32"/>
          <w:szCs w:val="32"/>
          <w:highlight w:val="auto"/>
        </w:rPr>
        <w:t>1.实施内容明确性</w:t>
      </w:r>
      <w:bookmarkEnd w:id="12"/>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根据现场查看相关资料，被评估单位实施内容明确、具体，与绩效目标相匹配，编制完成专项管理办法，项目实施方案组织机构健全，职责分工明确，组织机构保障</w:t>
      </w:r>
      <w:r>
        <w:rPr>
          <w:rFonts w:ascii="仿宋_GB2312" w:eastAsia="仿宋_GB2312" w:cs="仿宋_GB2312" w:hint="eastAsia"/>
          <w:color w:val="auto"/>
          <w:sz w:val="32"/>
          <w:szCs w:val="32"/>
          <w:lang w:eastAsia="zh-CN"/>
          <w:highlight w:val="auto"/>
        </w:rPr>
        <w:t>机制健全</w:t>
      </w:r>
      <w:r>
        <w:rPr>
          <w:rFonts w:ascii="仿宋_GB2312" w:eastAsia="仿宋_GB2312" w:cs="仿宋_GB2312" w:hint="eastAsia"/>
          <w:color w:val="auto"/>
          <w:sz w:val="32"/>
          <w:szCs w:val="32"/>
          <w:highlight w:val="auto"/>
        </w:rPr>
        <w:t>，与实施内容匹配。</w:t>
      </w:r>
    </w:p>
    <w:p>
      <w:pPr>
        <w:spacing w:line="560" w:lineRule="exact"/>
        <w:ind w:firstLineChars="200" w:firstLine="64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综合评价：项目内容明确具体，与绩效目标相匹配；组织机构保障滞后，与实施内容匹配。实施内容明确性指标分值5.0分，评价得</w:t>
      </w:r>
      <w:r>
        <w:rPr>
          <w:rFonts w:ascii="仿宋_GB2312" w:eastAsia="仿宋_GB2312" w:cs="仿宋_GB2312" w:hint="eastAsia"/>
          <w:color w:val="auto"/>
          <w:sz w:val="32"/>
          <w:szCs w:val="32"/>
          <w:lang w:val="en-US" w:eastAsia="zh-CN"/>
          <w:highlight w:val="auto"/>
        </w:rPr>
        <w:t>5</w:t>
      </w:r>
      <w:r>
        <w:rPr>
          <w:rFonts w:ascii="仿宋_GB2312" w:eastAsia="仿宋_GB2312" w:cs="仿宋_GB2312" w:hint="eastAsia"/>
          <w:color w:val="auto"/>
          <w:sz w:val="32"/>
          <w:szCs w:val="32"/>
          <w:highlight w:val="auto"/>
        </w:rPr>
        <w:t>.0分。</w:t>
      </w:r>
    </w:p>
    <w:p>
      <w:pPr>
        <w:spacing w:line="560" w:lineRule="exact"/>
        <w:ind w:firstLineChars="200" w:firstLine="640"/>
        <w:outlineLvl w:val="0"/>
        <w:rPr>
          <w:rFonts w:ascii="仿宋_GB2312" w:eastAsia="仿宋_GB2312" w:cs="仿宋_GB2312"/>
          <w:b/>
          <w:bCs/>
          <w:color w:val="auto"/>
          <w:sz w:val="32"/>
          <w:szCs w:val="32"/>
          <w:highlight w:val="auto"/>
        </w:rPr>
      </w:pPr>
      <w:bookmarkStart w:id="13" w:name="_Toc91786684"/>
      <w:r>
        <w:rPr>
          <w:rFonts w:ascii="仿宋_GB2312" w:eastAsia="仿宋_GB2312" w:cs="仿宋_GB2312" w:hint="eastAsia"/>
          <w:b/>
          <w:bCs/>
          <w:color w:val="auto"/>
          <w:sz w:val="32"/>
          <w:szCs w:val="32"/>
          <w:highlight w:val="auto"/>
        </w:rPr>
        <w:t>2.项目时效性</w:t>
      </w:r>
      <w:bookmarkEnd w:id="13"/>
    </w:p>
    <w:p>
      <w:pPr>
        <w:spacing w:line="560" w:lineRule="exact"/>
        <w:ind w:firstLineChars="200" w:firstLine="640"/>
        <w:outlineLvl w:val="0"/>
        <w:rPr>
          <w:rFonts w:ascii="仿宋_GB2312" w:eastAsia="仿宋_GB2312" w:cs="仿宋_GB2312" w:hint="eastAsia"/>
          <w:color w:val="auto"/>
          <w:sz w:val="32"/>
          <w:szCs w:val="32"/>
          <w:highlight w:val="auto"/>
        </w:rPr>
      </w:pPr>
      <w:bookmarkStart w:id="14" w:name="_Toc91786685"/>
      <w:r>
        <w:rPr>
          <w:rFonts w:ascii="仿宋_GB2312" w:eastAsia="仿宋_GB2312" w:cs="仿宋_GB2312" w:hint="eastAsia"/>
          <w:color w:val="auto"/>
          <w:sz w:val="32"/>
          <w:szCs w:val="32"/>
          <w:lang w:val="en-US" w:eastAsia="zh-CN"/>
          <w:highlight w:val="auto"/>
        </w:rPr>
        <w:t>本项目未设置设立、退出时限（该项目确定了施工承包单位后才能确定项目相关的退出时限），建立了相关项目调整机制</w:t>
      </w:r>
      <w:r>
        <w:rPr>
          <w:rFonts w:ascii="仿宋_GB2312" w:eastAsia="仿宋_GB2312" w:cs="仿宋_GB2312" w:hint="eastAsia"/>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综合评价：项目时效性指标分值5</w:t>
      </w:r>
      <w:r>
        <w:rPr>
          <w:rFonts w:ascii="仿宋_GB2312" w:eastAsia="仿宋_GB2312" w:cs="仿宋_GB2312"/>
          <w:color w:val="auto"/>
          <w:sz w:val="32"/>
          <w:szCs w:val="32"/>
          <w:highlight w:val="auto"/>
        </w:rPr>
        <w:t>.0</w:t>
      </w:r>
      <w:r>
        <w:rPr>
          <w:rFonts w:ascii="仿宋_GB2312" w:eastAsia="仿宋_GB2312" w:cs="仿宋_GB2312" w:hint="eastAsia"/>
          <w:color w:val="auto"/>
          <w:sz w:val="32"/>
          <w:szCs w:val="32"/>
          <w:highlight w:val="auto"/>
        </w:rPr>
        <w:t>分，评价得分</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3.实施方案可行性</w:t>
      </w:r>
      <w:bookmarkEnd w:id="14"/>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(1)项目技术路线与内容及目标匹配</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本项目为专业服务类，主要以医疗补助形式体现，无技术路线可言，该指标纳入不计分项。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(2)项目组织及进度安排合理</w:t>
      </w:r>
    </w:p>
    <w:p>
      <w:pPr>
        <w:spacing w:line="560" w:lineRule="exact"/>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本项目已经开始组织建设（1）确定选址（2）手续办理（3）装修、布置（4）验收运营。</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综合评价：项目组织及进度安排合理指标分值2.0分，评价得1.0分。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(3)项目设施保障程度</w:t>
      </w:r>
    </w:p>
    <w:p>
      <w:pPr>
        <w:spacing w:line="560" w:lineRule="exact"/>
        <w:ind w:firstLineChars="200" w:firstLine="640"/>
        <w:rPr>
          <w:rFonts w:ascii="仿宋_GB2312" w:eastAsia="仿宋_GB2312" w:cs="仿宋_GB2312"/>
          <w:color w:val="auto"/>
          <w:sz w:val="32"/>
          <w:szCs w:val="32"/>
          <w:highlight w:val="auto"/>
        </w:rPr>
      </w:pPr>
      <w:r>
        <w:rPr>
          <w:rStyle w:val="23"/>
          <w:rFonts w:eastAsia="仿宋_GB2312" w:cs="Arial" w:hint="eastAsia"/>
          <w:b w:val="0"/>
          <w:color w:val="auto"/>
          <w:sz w:val="32"/>
          <w:highlight w:val="auto"/>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r>
        <w:rPr>
          <w:rFonts w:ascii="仿宋_GB2312" w:eastAsia="仿宋_GB2312" w:cs="仿宋_GB2312" w:hint="eastAsia"/>
          <w:color w:val="auto"/>
          <w:sz w:val="32"/>
          <w:szCs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项目设施保障程度指标分值1.0分，评价得1.0分。</w:t>
      </w:r>
    </w:p>
    <w:p>
      <w:pPr>
        <w:spacing w:line="560" w:lineRule="exact"/>
        <w:ind w:firstLineChars="200" w:firstLine="640"/>
        <w:outlineLvl w:val="0"/>
        <w:rPr>
          <w:rFonts w:ascii="仿宋_GB2312" w:eastAsia="仿宋_GB2312" w:cs="仿宋_GB2312"/>
          <w:b/>
          <w:bCs/>
          <w:color w:val="auto"/>
          <w:sz w:val="32"/>
          <w:szCs w:val="32"/>
          <w:highlight w:val="auto"/>
        </w:rPr>
      </w:pPr>
      <w:bookmarkStart w:id="15" w:name="_Toc91786686"/>
      <w:r>
        <w:rPr>
          <w:rFonts w:ascii="仿宋_GB2312" w:eastAsia="仿宋_GB2312" w:cs="仿宋_GB2312" w:hint="eastAsia"/>
          <w:b/>
          <w:bCs/>
          <w:color w:val="auto"/>
          <w:sz w:val="32"/>
          <w:szCs w:val="32"/>
          <w:highlight w:val="auto"/>
        </w:rPr>
        <w:t>4.过程控制有效性</w:t>
      </w:r>
      <w:bookmarkEnd w:id="15"/>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(1)程序规范</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根据查看相关资料，截止被评价日，本项目制定</w:t>
      </w:r>
      <w:r>
        <w:rPr>
          <w:rStyle w:val="23"/>
          <w:rFonts w:eastAsia="仿宋_GB2312" w:cs="Arial" w:hint="eastAsia"/>
          <w:b w:val="0"/>
          <w:color w:val="auto"/>
          <w:sz w:val="32"/>
          <w:lang w:val="en-US" w:eastAsia="zh-CN"/>
          <w:highlight w:val="auto"/>
        </w:rPr>
        <w:t>了2024年</w:t>
      </w:r>
      <w:r>
        <w:rPr>
          <w:rStyle w:val="23"/>
          <w:rFonts w:eastAsia="仿宋_GB2312" w:cs="Arial" w:hint="eastAsia"/>
          <w:b w:val="0"/>
          <w:color w:val="auto"/>
          <w:sz w:val="32"/>
          <w:highlight w:val="auto"/>
        </w:rPr>
        <w:t>实施方案。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程序规范指标分值1.0分，评价得</w:t>
      </w:r>
      <w:r>
        <w:rPr>
          <w:rStyle w:val="23"/>
          <w:rFonts w:eastAsia="仿宋_GB2312" w:hint="eastAsia"/>
          <w:b w:val="0"/>
          <w:color w:val="auto"/>
          <w:sz w:val="32"/>
          <w:lang w:val="en-US" w:eastAsia="zh-CN"/>
          <w:highlight w:val="auto"/>
        </w:rPr>
        <w:t>1</w:t>
      </w:r>
      <w:r>
        <w:rPr>
          <w:rStyle w:val="23"/>
          <w:rFonts w:eastAsia="仿宋_GB2312"/>
          <w:b w:val="0"/>
          <w:color w:val="auto"/>
          <w:sz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(2)组织机构保障度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了</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实施方案，项目组织机构健全、职责分工明确、项目人员条件与项目有关并得以有效保障。</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综合评价：未见职责分工明确、项目人员条件与项目有关并得以有效保障的相关资料。制度机制保障指标分值1.5分，评价得</w:t>
      </w:r>
      <w:r>
        <w:rPr>
          <w:rFonts w:ascii="仿宋_GB2312" w:eastAsia="仿宋_GB2312" w:cs="仿宋_GB2312" w:hint="eastAsia"/>
          <w:color w:val="auto"/>
          <w:sz w:val="32"/>
          <w:szCs w:val="32"/>
          <w:lang w:val="en-US" w:eastAsia="zh-CN"/>
          <w:highlight w:val="auto"/>
        </w:rPr>
        <w:t>1.5</w:t>
      </w:r>
      <w:r>
        <w:rPr>
          <w:rFonts w:ascii="仿宋_GB2312" w:eastAsia="仿宋_GB2312" w:cs="仿宋_GB2312"/>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(3)制度健全及解决问题措施</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的</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实施方案，评估业务管理制度、技术规程、标准健全、完善。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w:t>
      </w:r>
      <w:r>
        <w:rPr>
          <w:rFonts w:ascii="仿宋_GB2312" w:eastAsia="仿宋_GB2312" w:cs="仿宋_GB2312" w:hint="eastAsia"/>
          <w:color w:val="auto"/>
          <w:sz w:val="32"/>
          <w:szCs w:val="32"/>
          <w:highlight w:val="auto"/>
        </w:rPr>
        <w:t>制度健全及解决问题措施指标分值1.0分，评价得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(4)制度机制保障度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截止被评价日，本项目制定</w:t>
      </w:r>
      <w:r>
        <w:rPr>
          <w:rStyle w:val="23"/>
          <w:rFonts w:eastAsia="仿宋_GB2312" w:cs="Arial" w:hint="eastAsia"/>
          <w:b w:val="0"/>
          <w:color w:val="auto"/>
          <w:sz w:val="32"/>
          <w:lang w:val="en-US" w:eastAsia="zh-CN"/>
          <w:highlight w:val="auto"/>
        </w:rPr>
        <w:t>了2024年</w:t>
      </w:r>
      <w:r>
        <w:rPr>
          <w:rStyle w:val="23"/>
          <w:rFonts w:eastAsia="仿宋_GB2312" w:cs="Arial" w:hint="eastAsia"/>
          <w:b w:val="0"/>
          <w:color w:val="auto"/>
          <w:sz w:val="32"/>
          <w:highlight w:val="auto"/>
        </w:rPr>
        <w:t>实施方案，评估项目执行过程设立管控措施、机制等，相关措施、机制能够保证项目顺利实施。</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制度机制保障指标分值1.5分，评价得</w:t>
      </w:r>
      <w:r>
        <w:rPr>
          <w:rStyle w:val="23"/>
          <w:rFonts w:eastAsia="仿宋_GB2312" w:hint="eastAsia"/>
          <w:b w:val="0"/>
          <w:color w:val="auto"/>
          <w:sz w:val="32"/>
          <w:lang w:val="en-US" w:eastAsia="zh-CN"/>
          <w:highlight w:val="auto"/>
        </w:rPr>
        <w:t>1.5</w:t>
      </w:r>
      <w:r>
        <w:rPr>
          <w:rStyle w:val="23"/>
          <w:rFonts w:eastAsia="仿宋_GB2312"/>
          <w:b w:val="0"/>
          <w:color w:val="auto"/>
          <w:sz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bookmarkStart w:id="16" w:name="_Toc91786687"/>
      <w:r>
        <w:rPr>
          <w:rFonts w:ascii="仿宋_GB2312" w:eastAsia="仿宋_GB2312" w:cs="仿宋_GB2312" w:hint="eastAsia"/>
          <w:b/>
          <w:bCs/>
          <w:color w:val="auto"/>
          <w:sz w:val="32"/>
          <w:szCs w:val="32"/>
          <w:highlight w:val="auto"/>
        </w:rPr>
        <w:t>(五)筹资合规性</w:t>
      </w:r>
      <w:bookmarkEnd w:id="16"/>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筹资合规性指标分值20分，</w:t>
      </w:r>
      <w:bookmarkStart w:id="17" w:name="_Toc91786688"/>
      <w:r>
        <w:rPr>
          <w:rFonts w:ascii="仿宋_GB2312" w:eastAsia="仿宋_GB2312" w:cs="仿宋_GB2312" w:hint="eastAsia"/>
          <w:color w:val="auto"/>
          <w:sz w:val="32"/>
          <w:szCs w:val="32"/>
          <w:highlight w:val="auto"/>
        </w:rPr>
        <w:t>其中8分纳入不计分项，实际有效指标分值12分，评价得</w:t>
      </w:r>
      <w:r>
        <w:rPr>
          <w:rFonts w:ascii="仿宋_GB2312" w:eastAsia="仿宋_GB2312" w:cs="仿宋_GB2312"/>
          <w:color w:val="auto"/>
          <w:sz w:val="32"/>
          <w:szCs w:val="32"/>
          <w:highlight w:val="auto"/>
        </w:rPr>
        <w:t>1</w:t>
      </w:r>
      <w:r>
        <w:rPr>
          <w:rFonts w:ascii="仿宋_GB2312" w:eastAsia="仿宋_GB2312" w:cs="仿宋_GB2312" w:hint="eastAsia"/>
          <w:color w:val="auto"/>
          <w:sz w:val="32"/>
          <w:szCs w:val="32"/>
          <w:highlight w:val="auto"/>
        </w:rPr>
        <w:t>2分。</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1.筹资合规性</w:t>
      </w:r>
      <w:bookmarkEnd w:id="17"/>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资金来源合规指标分值4.0分，评价得4.0分。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(2)资金筹措规范及论证齐全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本项目属于年初预算资金项目，无需进行资金筹措、无需经过评估论证，该指标纳入不计分项。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(3)资金筹措与权责匹配</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本项目县财政局负责筹集资金，县司法局负责落实具体工作，财权和事权相匹配，无其他渠道资金来源。</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资金筹措与权责匹配指标分值3.0分，评价得3.0分。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bookmarkStart w:id="18" w:name="_Toc91786689"/>
      <w:r>
        <w:rPr>
          <w:rFonts w:ascii="仿宋_GB2312" w:eastAsia="仿宋_GB2312" w:cs="仿宋_GB2312" w:hint="eastAsia"/>
          <w:b/>
          <w:bCs/>
          <w:color w:val="auto"/>
          <w:sz w:val="32"/>
          <w:szCs w:val="32"/>
          <w:highlight w:val="auto"/>
        </w:rPr>
        <w:t>2.财政投入能力</w:t>
      </w:r>
      <w:bookmarkEnd w:id="18"/>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(1)财政资金配套方式及承受能力科学</w:t>
      </w:r>
    </w:p>
    <w:p>
      <w:pPr>
        <w:spacing w:line="560" w:lineRule="exact"/>
        <w:ind w:firstLineChars="200" w:firstLine="640"/>
        <w:rPr>
          <w:rFonts w:ascii="仿宋_GB2312" w:eastAsia="仿宋_GB2312" w:cs="仿宋_GB2312"/>
          <w:bCs/>
          <w:color w:val="auto"/>
          <w:sz w:val="32"/>
          <w:szCs w:val="32"/>
          <w:highlight w:val="auto"/>
        </w:rPr>
      </w:pPr>
      <w:r>
        <w:rPr>
          <w:rFonts w:ascii="仿宋_GB2312" w:eastAsia="仿宋_GB2312" w:cs="仿宋_GB2312" w:hint="eastAsia"/>
          <w:color w:val="auto"/>
          <w:sz w:val="32"/>
          <w:szCs w:val="32"/>
          <w:highlight w:val="auto"/>
        </w:rPr>
        <w:t>本项目属于年初预算资金项目，</w:t>
      </w:r>
      <w:r>
        <w:rPr>
          <w:rFonts w:ascii="仿宋_GB2312" w:eastAsia="仿宋_GB2312" w:cs="仿宋_GB2312"/>
          <w:bCs/>
          <w:color w:val="auto"/>
          <w:sz w:val="32"/>
          <w:szCs w:val="32"/>
          <w:highlight w:val="auto"/>
        </w:rPr>
        <w:t>用于财政预算绩效管理</w:t>
      </w:r>
      <w:r>
        <w:rPr>
          <w:rFonts w:ascii="仿宋_GB2312" w:eastAsia="仿宋_GB2312" w:cs="仿宋_GB2312" w:hint="eastAsia"/>
          <w:bCs/>
          <w:color w:val="auto"/>
          <w:sz w:val="32"/>
          <w:szCs w:val="32"/>
          <w:highlight w:val="auto"/>
        </w:rPr>
        <w:t>，财政资金配套方式和承受能力科学合理。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财政资金配套方式及承受能力科学指标分值2.0分，评价得2.0分。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(2)财政资金重复投入</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根据项目各级财政部门和其他部门没有类似项目资金重复投入。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财政资金重复投入指标分值2.0分，评价得2.0分。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(3)财政资金支持方式合理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本项目属于公益性项目，属于公共财政支持范围项目，纳入</w:t>
      </w:r>
      <w:r>
        <w:rPr>
          <w:rStyle w:val="23"/>
          <w:rFonts w:eastAsia="仿宋_GB2312" w:cs="Arial"/>
          <w:b w:val="0"/>
          <w:color w:val="auto"/>
          <w:sz w:val="32"/>
          <w:highlight w:val="auto"/>
        </w:rPr>
        <w:t>财政预算绩效管理</w:t>
      </w:r>
      <w:r>
        <w:rPr>
          <w:rStyle w:val="23"/>
          <w:rFonts w:eastAsia="仿宋_GB2312" w:cs="Arial" w:hint="eastAsia"/>
          <w:b w:val="0"/>
          <w:color w:val="auto"/>
          <w:sz w:val="32"/>
          <w:highlight w:val="auto"/>
        </w:rPr>
        <w:t>，根据实际情况实现财政直接支付，财政资金支持方式合理。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财政资金支持方式合理指标分值1.0分，评价得1.0分。</w:t>
      </w:r>
    </w:p>
    <w:p>
      <w:pPr>
        <w:spacing w:line="560" w:lineRule="exact"/>
        <w:ind w:firstLineChars="200" w:firstLine="640"/>
        <w:outlineLvl w:val="0"/>
        <w:rPr>
          <w:rFonts w:ascii="仿宋_GB2312" w:eastAsia="仿宋_GB2312" w:cs="仿宋_GB2312"/>
          <w:b/>
          <w:bCs/>
          <w:color w:val="auto"/>
          <w:sz w:val="32"/>
          <w:szCs w:val="32"/>
          <w:highlight w:val="auto"/>
        </w:rPr>
      </w:pPr>
      <w:bookmarkStart w:id="19" w:name="_Toc91786690"/>
      <w:r>
        <w:rPr>
          <w:rFonts w:ascii="仿宋_GB2312" w:eastAsia="仿宋_GB2312" w:cs="仿宋_GB2312" w:hint="eastAsia"/>
          <w:b/>
          <w:bCs/>
          <w:color w:val="auto"/>
          <w:sz w:val="32"/>
          <w:szCs w:val="32"/>
          <w:highlight w:val="auto"/>
        </w:rPr>
        <w:t>3.筹资风险可控性</w:t>
      </w:r>
      <w:bookmarkEnd w:id="19"/>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(1)筹资风险认识全面</w:t>
      </w:r>
    </w:p>
    <w:p>
      <w:pPr>
        <w:spacing w:line="560" w:lineRule="exact"/>
        <w:ind w:firstLineChars="200" w:firstLine="640"/>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本项目资金筹措由县财政局保障，被评估单位无筹资风险，该指标纳入不计分项。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(2)风险应对措施可行及有效</w:t>
      </w:r>
    </w:p>
    <w:p>
      <w:pPr>
        <w:spacing w:line="560" w:lineRule="exact"/>
        <w:ind w:firstLineChars="200" w:firstLine="640"/>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本项目资金筹措由县财政局保障，被评估单位无需出具风险应对措施，该指标纳入不计分项。</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(六)总体结论</w:t>
      </w:r>
    </w:p>
    <w:p>
      <w:pPr>
        <w:tabs>
          <w:tab w:val="left" w:pos="0"/>
          <w:tab w:val="left" w:pos="4830"/>
        </w:tabs>
        <w:spacing w:line="560" w:lineRule="exact"/>
        <w:ind w:firstLineChars="200" w:firstLine="640"/>
        <w:outlineLvl w:val="0"/>
        <w:rPr>
          <w:rFonts w:ascii="仿宋_GB2312" w:eastAsia="仿宋_GB2312" w:cs="仿宋_GB2312"/>
          <w:color w:val="auto"/>
          <w:sz w:val="32"/>
          <w:szCs w:val="32"/>
          <w:highlight w:val="auto"/>
        </w:rPr>
      </w:pPr>
      <w:bookmarkStart w:id="20" w:name="_Toc91786692"/>
      <w:r>
        <w:rPr>
          <w:rFonts w:ascii="仿宋_GB2312" w:eastAsia="仿宋_GB2312" w:cs="仿宋_GB2312" w:hint="eastAsia"/>
          <w:color w:val="auto"/>
          <w:sz w:val="32"/>
          <w:szCs w:val="32"/>
          <w:highlight w:val="auto"/>
        </w:rPr>
        <w:t>评估小组通过收集、汇总资料，分析、核实项目绩效，经综合上述绩效评估情况，我们认为本次申请的“城乡社区日间照料中心建设”立项合规，依据充分，绩效目标指向明确，与相应的财政支出范围、方向、效果紧密相关，评估过程经调查研究及科学论证，符合实际。</w:t>
      </w:r>
      <w:bookmarkEnd w:id="20"/>
    </w:p>
    <w:p>
      <w:pPr>
        <w:pStyle w:val="19"/>
        <w:tabs>
          <w:tab w:val="center" w:pos="4153"/>
          <w:tab w:val="right" w:pos="8306"/>
        </w:tabs>
        <w:spacing w:line="560" w:lineRule="exact"/>
        <w:rPr>
          <w:rFonts w:ascii="仿宋_GB2312" w:eastAsia="仿宋_GB2312" w:cs="仿宋_GB2312" w:hint="eastAsia"/>
          <w:color w:val="auto"/>
          <w:sz w:val="32"/>
          <w:szCs w:val="32"/>
          <w:highlight w:val="auto"/>
        </w:rPr>
      </w:pPr>
      <w:bookmarkStart w:id="21" w:name="_Toc91786693"/>
      <w:r>
        <w:rPr>
          <w:rFonts w:ascii="仿宋_GB2312" w:eastAsia="仿宋_GB2312" w:cs="仿宋_GB2312" w:hint="eastAsia"/>
          <w:color w:val="auto"/>
          <w:sz w:val="32"/>
          <w:szCs w:val="32"/>
          <w:highlight w:val="auto"/>
        </w:rPr>
        <w:t>经综合评估，</w:t>
      </w:r>
      <w:r>
        <w:rPr>
          <w:rFonts w:ascii="仿宋_GB2312" w:eastAsia="仿宋_GB2312" w:cs="仿宋_GB2312" w:hint="eastAsia"/>
          <w:bCs/>
          <w:color w:val="auto"/>
          <w:sz w:val="32"/>
          <w:szCs w:val="32"/>
          <w:highlight w:val="auto"/>
        </w:rPr>
        <w:t>金川县民政局</w:t>
      </w:r>
      <w:r>
        <w:rPr>
          <w:rFonts w:ascii="仿宋_GB2312" w:eastAsia="仿宋_GB2312" w:cs="仿宋_GB2312" w:hint="eastAsia"/>
          <w:bCs/>
          <w:color w:val="auto"/>
          <w:sz w:val="32"/>
          <w:szCs w:val="32"/>
          <w:lang w:eastAsia="zh-CN"/>
          <w:highlight w:val="auto"/>
        </w:rPr>
        <w:t>202</w:t>
      </w:r>
      <w:r>
        <w:rPr>
          <w:rFonts w:ascii="仿宋_GB2312" w:eastAsia="仿宋_GB2312" w:cs="仿宋_GB2312" w:hint="eastAsia"/>
          <w:bCs/>
          <w:color w:val="auto"/>
          <w:sz w:val="32"/>
          <w:szCs w:val="32"/>
          <w:lang w:val="en-US" w:eastAsia="zh-CN"/>
          <w:highlight w:val="auto"/>
        </w:rPr>
        <w:t>4</w:t>
      </w:r>
      <w:r>
        <w:rPr>
          <w:rFonts w:ascii="仿宋_GB2312" w:eastAsia="仿宋_GB2312" w:cs="仿宋_GB2312" w:hint="eastAsia"/>
          <w:bCs/>
          <w:color w:val="auto"/>
          <w:sz w:val="32"/>
          <w:szCs w:val="32"/>
          <w:highlight w:val="auto"/>
        </w:rPr>
        <w:t>年度“城乡社区日间照料中心建设”</w:t>
      </w:r>
      <w:r>
        <w:rPr>
          <w:rFonts w:ascii="仿宋_GB2312" w:eastAsia="仿宋_GB2312" w:cs="仿宋_GB2312" w:hint="eastAsia"/>
          <w:color w:val="auto"/>
          <w:sz w:val="32"/>
          <w:szCs w:val="32"/>
          <w:highlight w:val="auto"/>
        </w:rPr>
        <w:t>事前评估绩效总体得分</w:t>
      </w:r>
      <w:r>
        <w:rPr>
          <w:rFonts w:ascii="仿宋_GB2312" w:eastAsia="仿宋_GB2312" w:cs="仿宋_GB2312" w:hint="eastAsia"/>
          <w:color w:val="auto"/>
          <w:sz w:val="32"/>
          <w:szCs w:val="32"/>
          <w:lang w:val="en-US" w:eastAsia="zh-CN"/>
          <w:highlight w:val="auto"/>
        </w:rPr>
        <w:t>93.5</w:t>
      </w:r>
      <w:r>
        <w:rPr>
          <w:rFonts w:ascii="仿宋_GB2312" w:eastAsia="仿宋_GB2312" w:cs="仿宋_GB2312" w:hint="eastAsia"/>
          <w:color w:val="auto"/>
          <w:sz w:val="32"/>
          <w:szCs w:val="32"/>
          <w:highlight w:val="auto"/>
        </w:rPr>
        <w:t>分。</w:t>
      </w:r>
      <w:bookmarkEnd w:id="21"/>
    </w:p>
    <w:p>
      <w:pPr>
        <w:pStyle w:val="19"/>
        <w:tabs>
          <w:tab w:val="center" w:pos="4153"/>
          <w:tab w:val="right" w:pos="8306"/>
        </w:tabs>
        <w:spacing w:line="560" w:lineRule="exact"/>
        <w:rPr>
          <w:rFonts w:ascii="仿宋_GB2312" w:eastAsia="仿宋_GB2312" w:hint="eastAsia"/>
          <w:sz w:val="32"/>
          <w:szCs w:val="32"/>
          <w:lang w:eastAsia="zh-CN"/>
        </w:rPr>
      </w:pPr>
      <w:r>
        <w:rPr>
          <w:rFonts w:ascii="仿宋_GB2312" w:eastAsia="仿宋_GB2312" w:hint="eastAsia"/>
          <w:sz w:val="32"/>
          <w:szCs w:val="32"/>
          <w:lang w:eastAsia="zh-CN"/>
        </w:rPr>
        <w:t>重点项目</w:t>
      </w:r>
      <w:r>
        <w:rPr>
          <w:rFonts w:ascii="仿宋_GB2312" w:eastAsia="仿宋_GB2312" w:hint="eastAsia"/>
          <w:sz w:val="32"/>
          <w:szCs w:val="32"/>
          <w:lang w:val="en-US" w:eastAsia="zh-CN"/>
        </w:rPr>
        <w:t>7</w:t>
      </w:r>
      <w:r>
        <w:rPr>
          <w:rFonts w:ascii="仿宋_GB2312" w:eastAsia="仿宋_GB2312" w:hint="eastAsia"/>
          <w:sz w:val="32"/>
          <w:szCs w:val="32"/>
          <w:lang w:eastAsia="zh-CN"/>
        </w:rPr>
        <w:t>：居家养老项目</w:t>
      </w:r>
    </w:p>
    <w:p>
      <w:pPr>
        <w:widowControl/>
        <w:spacing w:line="560" w:lineRule="exact"/>
        <w:jc w:val="lef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r>
        <w:rPr>
          <w:rFonts w:ascii="仿宋_GB2312" w:eastAsia="仿宋_GB2312" w:cs="仿宋_GB2312" w:hint="eastAsia"/>
          <w:color w:val="000000"/>
          <w:kern w:val="0"/>
          <w:sz w:val="32"/>
          <w:szCs w:val="32"/>
        </w:rPr>
        <w:t>贯彻落实养老服务发展法规政策标准，支持老年福利机构建设，提高社区养老服务设施覆盖率，健全养老服务体系，提升养老服务质量。</w:t>
      </w:r>
      <w:r>
        <w:rPr>
          <w:rFonts w:ascii="仿宋_GB2312" w:eastAsia="仿宋_GB2312" w:cs="仿宋_GB2312" w:hint="eastAsia"/>
          <w:color w:val="000000"/>
          <w:kern w:val="0"/>
          <w:sz w:val="32"/>
          <w:szCs w:val="32"/>
          <w:lang w:val="en-US" w:eastAsia="zh-CN"/>
        </w:rPr>
        <w:t>2024年按照规模适度的要求，计划在全县范围内选点建设3个日间照料中心，</w:t>
      </w:r>
      <w:r>
        <w:rPr>
          <w:rFonts w:ascii="仿宋_GB2312" w:eastAsia="仿宋_GB2312" w:cs="仿宋_GB2312" w:hint="eastAsia"/>
          <w:b w:val="0"/>
          <w:bCs w:val="0"/>
          <w:kern w:val="32"/>
          <w:sz w:val="32"/>
          <w:szCs w:val="32"/>
        </w:rPr>
        <w:t>床位数量达到</w:t>
      </w:r>
      <w:r>
        <w:rPr>
          <w:rFonts w:ascii="仿宋_GB2312" w:eastAsia="仿宋_GB2312" w:cs="仿宋_GB2312" w:hint="eastAsia"/>
          <w:b w:val="0"/>
          <w:bCs w:val="0"/>
          <w:kern w:val="32"/>
          <w:sz w:val="32"/>
          <w:szCs w:val="32"/>
          <w:lang w:val="en-US" w:eastAsia="zh-CN"/>
        </w:rPr>
        <w:t>7</w:t>
      </w:r>
      <w:r>
        <w:rPr>
          <w:rFonts w:ascii="仿宋_GB2312" w:eastAsia="仿宋_GB2312" w:cs="仿宋_GB2312" w:hint="eastAsia"/>
          <w:b w:val="0"/>
          <w:bCs w:val="0"/>
          <w:kern w:val="32"/>
          <w:sz w:val="32"/>
          <w:szCs w:val="32"/>
        </w:rPr>
        <w:t>张以上</w:t>
      </w:r>
      <w:r>
        <w:rPr>
          <w:rFonts w:ascii="仿宋_GB2312" w:eastAsia="仿宋_GB2312" w:cs="仿宋_GB2312" w:hint="eastAsia"/>
          <w:b w:val="0"/>
          <w:bCs w:val="0"/>
          <w:kern w:val="32"/>
          <w:sz w:val="32"/>
          <w:szCs w:val="32"/>
          <w:lang w:eastAsia="zh-CN"/>
        </w:rPr>
        <w:t>。</w:t>
      </w:r>
      <w:r>
        <w:rPr>
          <w:rFonts w:ascii="仿宋_GB2312" w:eastAsia="仿宋_GB2312" w:cs="仿宋_GB2312" w:hint="eastAsia"/>
          <w:b w:val="0"/>
          <w:bCs w:val="0"/>
          <w:kern w:val="32"/>
          <w:sz w:val="32"/>
          <w:szCs w:val="32"/>
        </w:rPr>
        <w:t>主要面向辐射区域内失能、高龄独居以及其他需要长期入住机构、需要临时短期托养的老年人</w:t>
      </w:r>
      <w:r>
        <w:rPr>
          <w:rFonts w:ascii="仿宋_GB2312" w:eastAsia="仿宋_GB2312" w:cs="仿宋_GB2312" w:hint="eastAsia"/>
          <w:b w:val="0"/>
          <w:bCs w:val="0"/>
          <w:kern w:val="32"/>
          <w:sz w:val="32"/>
          <w:szCs w:val="32"/>
          <w:lang w:eastAsia="zh-CN"/>
        </w:rPr>
        <w:t>。</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一</w:t>
      </w:r>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立项必要性</w:t>
      </w:r>
    </w:p>
    <w:p>
      <w:pPr>
        <w:spacing w:line="560" w:lineRule="exact"/>
        <w:ind w:leftChars="200" w:left="420" w:firstLineChars="100" w:firstLine="320"/>
        <w:rPr>
          <w:rFonts w:ascii="仿宋_GB2312" w:eastAsia="仿宋_GB2312" w:cs="仿宋_GB2312"/>
          <w:b/>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hint="eastAsia"/>
          <w:color w:val="auto"/>
          <w:sz w:val="32"/>
          <w:szCs w:val="32"/>
          <w:highlight w:val="auto"/>
        </w:rPr>
        <w:t>立项必要性指标分值20分，评价得20分</w:t>
      </w:r>
      <w:r>
        <w:rPr>
          <w:rFonts w:ascii="仿宋_GB2312" w:eastAsia="仿宋_GB2312" w:cs="仿宋_GB2312" w:hint="eastAsia"/>
          <w:b/>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1.政策相关性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(1)政策符合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综合评价：项目政策与国家、省、市相关行业宏观政策相关。政策符合指标分值2.5分，评价得2.5分。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(2)立项依据充分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w:t>
      </w:r>
      <w:r>
        <w:rPr>
          <w:rStyle w:val="23"/>
          <w:rFonts w:eastAsia="仿宋_GB2312" w:cs="Arial" w:hint="eastAsia"/>
          <w:b w:val="0"/>
          <w:color w:val="auto"/>
          <w:sz w:val="32"/>
          <w:lang w:eastAsia="zh-CN"/>
          <w:highlight w:val="auto"/>
        </w:rPr>
        <w:t>居家养老采购项目</w:t>
      </w:r>
      <w:r>
        <w:rPr>
          <w:rStyle w:val="23"/>
          <w:rFonts w:eastAsia="仿宋_GB2312" w:cs="Arial" w:hint="eastAsia"/>
          <w:b w:val="0"/>
          <w:color w:val="auto"/>
          <w:sz w:val="32"/>
          <w:highlight w:val="auto"/>
        </w:rPr>
        <w:t>立项依据充分。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项目立项依据充分。立项依据充分指标分值2.5分，评价得2.5分。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2.职能相关性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(1)绩效目标与职能相关度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该项目以制度为核心，以监管为重点，确保</w:t>
      </w:r>
      <w:r>
        <w:rPr>
          <w:rStyle w:val="23"/>
          <w:rFonts w:eastAsia="仿宋_GB2312" w:cs="Arial" w:hint="eastAsia"/>
          <w:b w:val="0"/>
          <w:color w:val="auto"/>
          <w:sz w:val="32"/>
          <w:lang w:eastAsia="zh-CN"/>
          <w:highlight w:val="auto"/>
        </w:rPr>
        <w:t>资</w:t>
      </w:r>
      <w:r>
        <w:rPr>
          <w:rStyle w:val="23"/>
          <w:rFonts w:eastAsia="仿宋_GB2312" w:cs="Arial" w:hint="eastAsia"/>
          <w:b w:val="0"/>
          <w:color w:val="auto"/>
          <w:sz w:val="32"/>
          <w:highlight w:val="auto"/>
        </w:rPr>
        <w:t>金安全，有条不紊开展养老服务各项工作，加强优化养老服务体系建设，</w:t>
      </w:r>
      <w:r>
        <w:rPr>
          <w:rStyle w:val="23"/>
          <w:rFonts w:eastAsia="仿宋_GB2312" w:cs="Arial" w:hint="eastAsia"/>
          <w:b w:val="0"/>
          <w:color w:val="auto"/>
          <w:sz w:val="32"/>
          <w:lang w:eastAsia="zh-CN"/>
          <w:highlight w:val="auto"/>
        </w:rPr>
        <w:t>202</w:t>
      </w:r>
      <w:r>
        <w:rPr>
          <w:rStyle w:val="23"/>
          <w:rFonts w:eastAsia="仿宋_GB2312" w:cs="Arial" w:hint="eastAsia"/>
          <w:b w:val="0"/>
          <w:color w:val="auto"/>
          <w:sz w:val="32"/>
          <w:lang w:val="en-US" w:eastAsia="zh-CN"/>
          <w:highlight w:val="auto"/>
        </w:rPr>
        <w:t>4</w:t>
      </w:r>
      <w:r>
        <w:rPr>
          <w:rStyle w:val="23"/>
          <w:rFonts w:eastAsia="仿宋_GB2312" w:cs="Arial" w:hint="eastAsia"/>
          <w:b w:val="0"/>
          <w:color w:val="auto"/>
          <w:sz w:val="32"/>
          <w:highlight w:val="auto"/>
        </w:rPr>
        <w:t>年我局继续坚持积极稳妥，强化基本民生保障职能，推动搭建基层社会治理和社区公共服务平台。结合单位职能，绩效目标与职能相关。</w:t>
      </w:r>
    </w:p>
    <w:p>
      <w:pPr>
        <w:spacing w:line="560" w:lineRule="exact"/>
        <w:ind w:firstLineChars="200" w:firstLine="640"/>
        <w:rPr>
          <w:rFonts w:ascii="仿宋_GB2312" w:eastAsia="仿宋_GB2312"/>
          <w:b/>
          <w:bCs/>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w:t>
      </w:r>
      <w:r>
        <w:rPr>
          <w:rStyle w:val="23"/>
          <w:rFonts w:eastAsia="仿宋_GB2312" w:hint="eastAsia"/>
          <w:b w:val="0"/>
          <w:color w:val="auto"/>
          <w:sz w:val="32"/>
          <w:highlight w:val="auto"/>
        </w:rPr>
        <w:t>被评估单位</w:t>
      </w:r>
      <w:r>
        <w:rPr>
          <w:rStyle w:val="23"/>
          <w:rFonts w:eastAsia="仿宋_GB2312"/>
          <w:b w:val="0"/>
          <w:color w:val="auto"/>
          <w:sz w:val="32"/>
          <w:highlight w:val="auto"/>
        </w:rPr>
        <w:t>职能高度相关。绩效目标与职能相关度指标分值2.0分，评价得2.0分。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(2)项目内容与规划相关度</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该项目主要内容建设</w:t>
      </w:r>
      <w:r>
        <w:rPr>
          <w:rStyle w:val="23"/>
          <w:rFonts w:eastAsia="仿宋_GB2312" w:cs="Arial" w:hint="eastAsia"/>
          <w:b w:val="0"/>
          <w:bCs/>
          <w:color w:val="auto"/>
          <w:sz w:val="32"/>
          <w:lang w:eastAsia="zh-CN"/>
          <w:highlight w:val="auto"/>
        </w:rPr>
        <w:t>居家养老采购项目</w:t>
      </w:r>
      <w:r>
        <w:rPr>
          <w:rStyle w:val="23"/>
          <w:rFonts w:eastAsia="仿宋_GB2312" w:cs="Arial" w:hint="eastAsia"/>
          <w:b w:val="0"/>
          <w:bCs/>
          <w:color w:val="auto"/>
          <w:sz w:val="32"/>
          <w:highlight w:val="auto"/>
        </w:rPr>
        <w:t>，围绕2016到202</w:t>
      </w:r>
      <w:r>
        <w:rPr>
          <w:rStyle w:val="23"/>
          <w:rFonts w:eastAsia="仿宋_GB2312" w:cs="Arial" w:hint="eastAsia"/>
          <w:b w:val="0"/>
          <w:bCs/>
          <w:color w:val="auto"/>
          <w:sz w:val="32"/>
          <w:lang w:val="en-US" w:eastAsia="zh-CN"/>
          <w:highlight w:val="auto"/>
        </w:rPr>
        <w:t>4</w:t>
      </w:r>
      <w:r>
        <w:rPr>
          <w:rStyle w:val="23"/>
          <w:rFonts w:eastAsia="仿宋_GB2312" w:cs="Arial" w:hint="eastAsia"/>
          <w:b w:val="0"/>
          <w:bCs/>
          <w:color w:val="auto"/>
          <w:sz w:val="32"/>
          <w:highlight w:val="auto"/>
        </w:rPr>
        <w:t>年实现90﹪的城市社区、50﹪的农村社区的目标，因地制宜推动城乡社区日</w:t>
      </w:r>
      <w:r>
        <w:rPr>
          <w:rStyle w:val="23"/>
          <w:rFonts w:eastAsia="仿宋_GB2312" w:cs="Arial"/>
          <w:b w:val="0"/>
          <w:bCs/>
          <w:color w:val="auto"/>
          <w:sz w:val="32"/>
          <w:highlight w:val="auto"/>
        </w:rPr>
        <w:t>间</w:t>
      </w:r>
      <w:r>
        <w:rPr>
          <w:rStyle w:val="23"/>
          <w:rFonts w:eastAsia="仿宋_GB2312" w:cs="Arial" w:hint="eastAsia"/>
          <w:b w:val="0"/>
          <w:bCs/>
          <w:color w:val="auto"/>
          <w:sz w:val="32"/>
          <w:highlight w:val="auto"/>
        </w:rPr>
        <w:t>照料中心建设。构建居家养老支付服务机制并覆盖2</w:t>
      </w:r>
      <w:r>
        <w:rPr>
          <w:rStyle w:val="23"/>
          <w:rFonts w:eastAsia="仿宋_GB2312" w:cs="Arial" w:hint="eastAsia"/>
          <w:b w:val="0"/>
          <w:bCs/>
          <w:color w:val="auto"/>
          <w:sz w:val="32"/>
          <w:lang w:val="en-US" w:eastAsia="zh-CN"/>
          <w:highlight w:val="auto"/>
        </w:rPr>
        <w:t>500</w:t>
      </w:r>
      <w:r>
        <w:rPr>
          <w:rStyle w:val="23"/>
          <w:rFonts w:eastAsia="仿宋_GB2312" w:cs="Arial" w:hint="eastAsia"/>
          <w:b w:val="0"/>
          <w:bCs/>
          <w:color w:val="auto"/>
          <w:sz w:val="32"/>
          <w:highlight w:val="auto"/>
        </w:rPr>
        <w:t>名困难家庭的失能老人、独居老人和80周岁以上高龄老人居家养老服务补助政策，确保202</w:t>
      </w:r>
      <w:r>
        <w:rPr>
          <w:rStyle w:val="23"/>
          <w:rFonts w:eastAsia="仿宋_GB2312" w:cs="Arial" w:hint="eastAsia"/>
          <w:b w:val="0"/>
          <w:bCs/>
          <w:color w:val="auto"/>
          <w:sz w:val="32"/>
          <w:lang w:val="en-US" w:eastAsia="zh-CN"/>
          <w:highlight w:val="auto"/>
        </w:rPr>
        <w:t>4</w:t>
      </w:r>
      <w:r>
        <w:rPr>
          <w:rStyle w:val="23"/>
          <w:rFonts w:eastAsia="仿宋_GB2312" w:cs="Arial" w:hint="eastAsia"/>
          <w:b w:val="0"/>
          <w:bCs/>
          <w:color w:val="auto"/>
          <w:sz w:val="32"/>
          <w:highlight w:val="auto"/>
        </w:rPr>
        <w:t>年以前实</w:t>
      </w:r>
      <w:r>
        <w:rPr>
          <w:rStyle w:val="23"/>
          <w:rFonts w:eastAsia="仿宋_GB2312" w:cs="Arial" w:hint="eastAsia"/>
          <w:b w:val="0"/>
          <w:bCs/>
          <w:color w:val="auto"/>
          <w:sz w:val="32"/>
          <w:lang w:eastAsia="zh-CN"/>
          <w:highlight w:val="auto"/>
        </w:rPr>
        <w:t>现</w:t>
      </w:r>
      <w:r>
        <w:rPr>
          <w:rStyle w:val="23"/>
          <w:rFonts w:eastAsia="仿宋_GB2312" w:cs="Arial" w:hint="eastAsia"/>
          <w:b w:val="0"/>
          <w:bCs/>
          <w:color w:val="auto"/>
          <w:sz w:val="32"/>
          <w:highlight w:val="auto"/>
        </w:rPr>
        <w:t>对象全覆盖的目标，采用政府向各类养老服务组织购买服务和开发公益性岗位等方式，构建居家养老支持服务机制，为全县2500名居家养老的高龄老人和困难老人提供助餐、助医、助浴、助行等多种服务。</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综合评价：项目内容与规划高度相关。项目内容与规划相关度指标分值1.5分，评价得1.5分。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(3)预期绩效与重点工作相关度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金川县民政局</w:t>
      </w:r>
      <w:r>
        <w:rPr>
          <w:rStyle w:val="23"/>
          <w:rFonts w:eastAsia="仿宋_GB2312" w:cs="Arial"/>
          <w:b w:val="0"/>
          <w:color w:val="auto"/>
          <w:sz w:val="32"/>
          <w:highlight w:val="auto"/>
        </w:rPr>
        <w:t>主要承担如下职能：</w:t>
      </w:r>
      <w:r>
        <w:rPr>
          <w:rStyle w:val="23"/>
          <w:rFonts w:eastAsia="仿宋_GB2312" w:cs="Arial" w:hint="eastAsia"/>
          <w:b w:val="0"/>
          <w:color w:val="auto"/>
          <w:sz w:val="32"/>
          <w:highlight w:val="auto"/>
        </w:rPr>
        <w:t>依法依规负责社会福利、养老服务、救助管理、殡葬服务机构安全生产监督管理工作。项目预期绩效为单位重点工作。</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项目预期绩效与重点工作高度相关。预期绩效与重点工作相关度指标分值1.5分，评价得1.5分。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3.需求相关性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(1)需求迫切性</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综合评价：评估项目具有现实需求，且迫切需求。</w:t>
      </w:r>
      <w:r>
        <w:rPr>
          <w:rStyle w:val="23"/>
          <w:rFonts w:eastAsia="仿宋_GB2312"/>
          <w:b w:val="0"/>
          <w:color w:val="auto"/>
          <w:sz w:val="32"/>
          <w:highlight w:val="auto"/>
        </w:rPr>
        <w:t>需求迫切性指标分值2.0分，评价得2.0分。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(2)可替代性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中、省、州均要求进一步加强养老服务建设，</w:t>
      </w:r>
      <w:r>
        <w:rPr>
          <w:rStyle w:val="23"/>
          <w:rFonts w:eastAsia="仿宋_GB2312" w:cs="Arial" w:hint="eastAsia"/>
          <w:b w:val="0"/>
          <w:color w:val="auto"/>
          <w:sz w:val="32"/>
          <w:lang w:val="zh-CN"/>
          <w:highlight w:val="auto"/>
        </w:rPr>
        <w:t>项目实施</w:t>
      </w:r>
      <w:r>
        <w:rPr>
          <w:rStyle w:val="23"/>
          <w:rFonts w:eastAsia="仿宋_GB2312" w:cs="Arial" w:hint="eastAsia"/>
          <w:b w:val="0"/>
          <w:color w:val="auto"/>
          <w:sz w:val="32"/>
          <w:highlight w:val="auto"/>
        </w:rPr>
        <w:t>为全县居家养老福利老年人提供了周到、便捷、高效、体贴的专业化服务，不断促进了我县养老服务业的健康发展，本项目不具备可替代性。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项目不具有可替代性。可替代性指标分值1.5分，评价得1.5分。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(3)确定的服务对象或受益对象</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收益对象为全县行政区域范围内由政府或企事业单位、社会组织、个人，按照本地养老设施建设专项规划或社区建设规划等相关规划要求，以独资或合资合作等方式建设的城乡社区老年人日间照料中心为满足老年人多层次的养老需求，不断加强</w:t>
      </w:r>
      <w:r>
        <w:rPr>
          <w:rStyle w:val="23"/>
          <w:rFonts w:eastAsia="仿宋_GB2312" w:cs="Arial" w:hint="eastAsia"/>
          <w:b w:val="0"/>
          <w:color w:val="auto"/>
          <w:sz w:val="32"/>
          <w:lang w:eastAsia="zh-CN"/>
          <w:highlight w:val="auto"/>
        </w:rPr>
        <w:t>居家养老采购项目</w:t>
      </w:r>
      <w:r>
        <w:rPr>
          <w:rStyle w:val="23"/>
          <w:rFonts w:eastAsia="仿宋_GB2312" w:cs="Arial" w:hint="eastAsia"/>
          <w:b w:val="0"/>
          <w:color w:val="auto"/>
          <w:sz w:val="32"/>
          <w:highlight w:val="auto"/>
        </w:rPr>
        <w:t>进度，真正把民生实事办好，把好事办实，更好地为老年人提供服务，不断提升老年人的幸福感、获得感。</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项目服务对象或受益对象确定。确定的服务对象或受益对象指标分值1.5分，评价得1.5分。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4.财政投入相关性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(1)项目公共性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本项目是为进一步体现党和政府对老年群众关心关怀，推动我州和谐发展，属于公共性项目。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财政投资项目具有公共性。项目公共性指标分值2.5分，评价得2.5分。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(2)项目财政支持范围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政府投资属于公共投资范畴，其投资的领域是由其职能决定的，主要包括公益性项目、基础性项目等。</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基础性项目是指那些建设期长、投资量大、经济收益较低的基础设施和基础产业项目。包括水利、能源、交通运输等基础设施和农、林、重要原材料等基础产业。</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lang w:eastAsia="zh-CN"/>
          <w:highlight w:val="auto"/>
        </w:rPr>
        <w:t>居家养老采购项目</w:t>
      </w:r>
      <w:r>
        <w:rPr>
          <w:rStyle w:val="23"/>
          <w:rFonts w:eastAsia="仿宋_GB2312" w:cs="Arial" w:hint="eastAsia"/>
          <w:b w:val="0"/>
          <w:color w:val="auto"/>
          <w:sz w:val="32"/>
          <w:highlight w:val="auto"/>
        </w:rPr>
        <w:t>属于公益性项目，属于公共财政支持范围项目。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评估项目属于公共财政支持范围。项目财政支持范围指标分值2.5分，评价得2.5分。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(二)投入经济性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投入经济性指标分值20分，评价得20分。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1.财政投入合理性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(1)项目预算与预期效果匹配</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项目预算</w:t>
      </w:r>
      <w:r>
        <w:rPr>
          <w:rStyle w:val="23"/>
          <w:rFonts w:eastAsia="仿宋_GB2312" w:cs="Arial"/>
          <w:b w:val="0"/>
          <w:color w:val="auto"/>
          <w:sz w:val="32"/>
          <w:highlight w:val="auto"/>
        </w:rPr>
        <w:t>费</w:t>
      </w:r>
      <w:r>
        <w:rPr>
          <w:rStyle w:val="23"/>
          <w:rFonts w:eastAsia="仿宋_GB2312" w:cs="Arial" w:hint="eastAsia"/>
          <w:b w:val="0"/>
          <w:color w:val="auto"/>
          <w:sz w:val="32"/>
          <w:highlight w:val="auto"/>
        </w:rPr>
        <w:t>用</w:t>
      </w:r>
      <w:r>
        <w:rPr>
          <w:rStyle w:val="23"/>
          <w:rFonts w:eastAsia="仿宋_GB2312" w:cs="Arial" w:hint="eastAsia"/>
          <w:b w:val="0"/>
          <w:color w:val="auto"/>
          <w:sz w:val="32"/>
          <w:lang w:eastAsia="zh-CN"/>
          <w:highlight w:val="auto"/>
        </w:rPr>
        <w:t>为：</w:t>
      </w:r>
      <w:r>
        <w:rPr>
          <w:rStyle w:val="23"/>
          <w:rFonts w:eastAsia="仿宋_GB2312" w:cs="Arial" w:hint="eastAsia"/>
          <w:b w:val="0"/>
          <w:color w:val="auto"/>
          <w:sz w:val="32"/>
          <w:highlight w:val="auto"/>
        </w:rPr>
        <w:t>运营补贴共</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通过本项目的实施，以制度为核心，以监管为重点，确保基金安全，有条不紊开展养老服务各项工作，加强养老服务经办能力、优化养老服务政策，收入预算与经济发展相协调，坚持民生优先，项目投入资源及成本与预期产出及效果相匹配。</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项目投入资源及成本与预期产出及效果相匹配</w:t>
      </w:r>
      <w:r>
        <w:rPr>
          <w:rStyle w:val="23"/>
          <w:rFonts w:eastAsia="仿宋_GB2312"/>
          <w:b w:val="0"/>
          <w:bCs/>
          <w:color w:val="auto"/>
          <w:sz w:val="32"/>
          <w:highlight w:val="auto"/>
        </w:rPr>
        <w:t>。</w:t>
      </w:r>
      <w:r>
        <w:rPr>
          <w:rStyle w:val="23"/>
          <w:rFonts w:eastAsia="仿宋_GB2312"/>
          <w:b w:val="0"/>
          <w:color w:val="auto"/>
          <w:sz w:val="32"/>
          <w:highlight w:val="auto"/>
        </w:rPr>
        <w:t>项目预算与预期效果匹配指标分值4.0分，评价得4.0分。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(2)投入成本合理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本次项目预计</w:t>
      </w:r>
      <w:r>
        <w:rPr>
          <w:rStyle w:val="23"/>
          <w:rFonts w:eastAsia="仿宋_GB2312" w:cs="Arial" w:hint="eastAsia"/>
          <w:b w:val="0"/>
          <w:color w:val="auto"/>
          <w:sz w:val="32"/>
          <w:lang w:eastAsia="zh-CN"/>
          <w:highlight w:val="auto"/>
        </w:rPr>
        <w:t>为</w:t>
      </w:r>
      <w:r>
        <w:rPr>
          <w:rStyle w:val="23"/>
          <w:rFonts w:eastAsia="仿宋_GB2312" w:cs="Arial" w:hint="eastAsia"/>
          <w:b w:val="0"/>
          <w:color w:val="auto"/>
          <w:sz w:val="32"/>
          <w:lang w:val="en-US" w:eastAsia="zh-CN"/>
          <w:highlight w:val="auto"/>
        </w:rPr>
        <w:t>1500名老人采购老年用具、用品、1000人上门服务</w:t>
      </w:r>
      <w:r>
        <w:rPr>
          <w:rStyle w:val="23"/>
          <w:rFonts w:eastAsia="仿宋_GB2312" w:cs="Arial" w:hint="eastAsia"/>
          <w:b w:val="0"/>
          <w:color w:val="auto"/>
          <w:sz w:val="32"/>
          <w:highlight w:val="auto"/>
        </w:rPr>
        <w:t>，共计安排资金</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万元。项目预算编制的政策、依据等符合中央、省、市、县相关法律、法规、政策规定，项目预算编制合理，成本测算依据充分。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cs="Arial"/>
          <w:b w:val="0"/>
          <w:color w:val="auto"/>
          <w:sz w:val="32"/>
          <w:highlight w:val="auto"/>
        </w:rPr>
        <w:t>综合评</w:t>
      </w:r>
      <w:r>
        <w:rPr>
          <w:rStyle w:val="23"/>
          <w:rFonts w:eastAsia="仿宋_GB2312"/>
          <w:b w:val="0"/>
          <w:bCs/>
          <w:color w:val="auto"/>
          <w:sz w:val="32"/>
          <w:highlight w:val="auto"/>
        </w:rPr>
        <w:t>价：</w:t>
      </w:r>
      <w:r>
        <w:rPr>
          <w:rStyle w:val="23"/>
          <w:rFonts w:eastAsia="仿宋_GB2312"/>
          <w:b w:val="0"/>
          <w:color w:val="auto"/>
          <w:sz w:val="32"/>
          <w:highlight w:val="auto"/>
        </w:rPr>
        <w:t>项目投入成本合理，成本测算依据充分。投入成本合理指标分值3.0分，评价得3.0分。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(3)其他渠道投入充分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本项目资金为财政资金，无其他渠道投入。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综合评价：项目资金未见其他渠道有充分投入</w:t>
      </w:r>
      <w:r>
        <w:rPr>
          <w:rStyle w:val="23"/>
          <w:rFonts w:eastAsia="仿宋_GB2312"/>
          <w:b w:val="0"/>
          <w:color w:val="auto"/>
          <w:sz w:val="32"/>
          <w:highlight w:val="auto"/>
        </w:rPr>
        <w:t>。其他渠道投入充分指标分值3.0分，评价得3.0分。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2.成本控制措施有效性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(1)成本预期水平合理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本次项目预计</w:t>
      </w:r>
      <w:r>
        <w:rPr>
          <w:rStyle w:val="23"/>
          <w:rFonts w:eastAsia="仿宋_GB2312" w:cs="Arial" w:hint="eastAsia"/>
          <w:b w:val="0"/>
          <w:color w:val="auto"/>
          <w:sz w:val="32"/>
          <w:lang w:eastAsia="zh-CN"/>
          <w:highlight w:val="auto"/>
        </w:rPr>
        <w:t>为</w:t>
      </w:r>
      <w:r>
        <w:rPr>
          <w:rStyle w:val="23"/>
          <w:rFonts w:eastAsia="仿宋_GB2312" w:cs="Arial" w:hint="eastAsia"/>
          <w:b w:val="0"/>
          <w:color w:val="auto"/>
          <w:sz w:val="32"/>
          <w:lang w:val="en-US" w:eastAsia="zh-CN"/>
          <w:highlight w:val="auto"/>
        </w:rPr>
        <w:t>1500名老人采购老年用具、用品、1000人上门服务</w:t>
      </w:r>
      <w:r>
        <w:rPr>
          <w:rStyle w:val="23"/>
          <w:rFonts w:eastAsia="仿宋_GB2312" w:cs="Arial" w:hint="eastAsia"/>
          <w:b w:val="0"/>
          <w:color w:val="auto"/>
          <w:sz w:val="32"/>
          <w:highlight w:val="auto"/>
        </w:rPr>
        <w:t>进行规范建设成本，进行规划建设项目预期水平合理。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成本预期水平比较合理。成本预期水平合理指标分值4.0分，评价得4.0分。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(2)投入产出比合理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本次项目预计</w:t>
      </w:r>
      <w:r>
        <w:rPr>
          <w:rStyle w:val="23"/>
          <w:rFonts w:eastAsia="仿宋_GB2312" w:cs="Arial" w:hint="eastAsia"/>
          <w:b w:val="0"/>
          <w:color w:val="auto"/>
          <w:sz w:val="32"/>
          <w:lang w:eastAsia="zh-CN"/>
          <w:highlight w:val="auto"/>
        </w:rPr>
        <w:t>为</w:t>
      </w:r>
      <w:r>
        <w:rPr>
          <w:rStyle w:val="23"/>
          <w:rFonts w:eastAsia="仿宋_GB2312" w:cs="Arial" w:hint="eastAsia"/>
          <w:b w:val="0"/>
          <w:color w:val="auto"/>
          <w:sz w:val="32"/>
          <w:lang w:val="en-US" w:eastAsia="zh-CN"/>
          <w:highlight w:val="auto"/>
        </w:rPr>
        <w:t>1500名老人采购老年用具、用品、1000人上门服务</w:t>
      </w:r>
      <w:r>
        <w:rPr>
          <w:rStyle w:val="23"/>
          <w:rFonts w:eastAsia="仿宋_GB2312" w:cs="Arial" w:hint="eastAsia"/>
          <w:b w:val="0"/>
          <w:color w:val="auto"/>
          <w:sz w:val="32"/>
          <w:highlight w:val="auto"/>
        </w:rPr>
        <w:t>，共计安排资金</w:t>
      </w:r>
      <w:r>
        <w:rPr>
          <w:rStyle w:val="23"/>
          <w:rFonts w:eastAsia="仿宋_GB2312" w:cs="Arial" w:hint="eastAsia"/>
          <w:b w:val="0"/>
          <w:color w:val="auto"/>
          <w:sz w:val="32"/>
          <w:lang w:val="en-US" w:eastAsia="zh-CN"/>
          <w:highlight w:val="auto"/>
        </w:rPr>
        <w:t>75</w:t>
      </w:r>
      <w:r>
        <w:rPr>
          <w:rStyle w:val="23"/>
          <w:rFonts w:eastAsia="仿宋_GB2312" w:cs="Arial" w:hint="eastAsia"/>
          <w:b w:val="0"/>
          <w:color w:val="auto"/>
          <w:sz w:val="32"/>
          <w:highlight w:val="auto"/>
        </w:rPr>
        <w:t>万元，推动了养老服务基础设施建设</w:t>
      </w:r>
      <w:r>
        <w:rPr>
          <w:rStyle w:val="23"/>
          <w:rFonts w:eastAsia="仿宋_GB2312" w:cs="Arial" w:hint="eastAsia"/>
          <w:b w:val="0"/>
          <w:color w:val="auto"/>
          <w:sz w:val="32"/>
          <w:lang w:val="en-US" w:eastAsia="zh-CN"/>
          <w:highlight w:val="auto"/>
        </w:rPr>
        <w:t>发展</w:t>
      </w:r>
      <w:r>
        <w:rPr>
          <w:rStyle w:val="23"/>
          <w:rFonts w:eastAsia="仿宋_GB2312" w:cs="Arial" w:hint="eastAsia"/>
          <w:b w:val="0"/>
          <w:color w:val="auto"/>
          <w:sz w:val="32"/>
          <w:highlight w:val="auto"/>
        </w:rPr>
        <w:t>，投入产出比合理。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项目投入产出比较合理。投入产出比合理指标分值3.0分，评价得3.0分。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(3)成本控制有效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该项目按照补贴指标进行，成本控制有效。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项目成本节约控制有效、合理。成本控制有效指标分值3.0分，评价得3.0分。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(三)绩效目标合理性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绩效目标合理性指标分值20分，评价得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color w:val="auto"/>
          <w:sz w:val="32"/>
          <w:szCs w:val="32"/>
          <w:highlight w:val="auto"/>
        </w:rPr>
        <w:t>7.50</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1.目标明确性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(1)目标明确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本项目目标为：</w:t>
      </w:r>
      <w:r>
        <w:rPr>
          <w:rStyle w:val="23"/>
          <w:rFonts w:eastAsia="仿宋_GB2312" w:cs="Arial" w:hint="eastAsia"/>
          <w:b w:val="0"/>
          <w:color w:val="auto"/>
          <w:sz w:val="32"/>
          <w:lang w:val="en-US" w:eastAsia="zh-CN"/>
          <w:highlight w:val="auto"/>
        </w:rPr>
        <w:t>为</w:t>
      </w:r>
      <w:r>
        <w:rPr>
          <w:rStyle w:val="23"/>
          <w:rFonts w:eastAsia="仿宋_GB2312" w:cs="Arial" w:hint="eastAsia"/>
          <w:b w:val="0"/>
          <w:color w:val="auto"/>
          <w:sz w:val="32"/>
          <w:highlight w:val="auto"/>
        </w:rPr>
        <w:t>全县居家养老福利老年人提供周到、便捷、高效、体贴的专业化服务，绩效目标明确。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项目绩效目标明确。目标明确指标分值2.5分，评价得2.5分。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(2)目标与规划一致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项目绩效目标与项目的长期规划目标、年度工作目标相一致。目标与规划一致指标分值2.5分，评价得2.5分。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(3)目标受益群体准确</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根据现场查看相关资料，被评估单位目标为</w:t>
      </w:r>
      <w:r>
        <w:rPr>
          <w:rStyle w:val="23"/>
          <w:rFonts w:eastAsia="仿宋_GB2312" w:cs="Arial" w:hint="eastAsia"/>
          <w:b w:val="0"/>
          <w:bCs/>
          <w:color w:val="auto"/>
          <w:sz w:val="32"/>
          <w:lang w:val="en-US" w:eastAsia="zh-CN"/>
          <w:highlight w:val="auto"/>
        </w:rPr>
        <w:t>以</w:t>
      </w:r>
      <w:r>
        <w:rPr>
          <w:rStyle w:val="23"/>
          <w:rFonts w:eastAsia="仿宋_GB2312" w:cs="Arial" w:hint="eastAsia"/>
          <w:b w:val="0"/>
          <w:bCs/>
          <w:color w:val="auto"/>
          <w:sz w:val="32"/>
          <w:highlight w:val="auto"/>
        </w:rPr>
        <w:t>金川县全县老年</w:t>
      </w:r>
      <w:r>
        <w:rPr>
          <w:rStyle w:val="23"/>
          <w:rFonts w:eastAsia="仿宋_GB2312" w:cs="Arial" w:hint="eastAsia"/>
          <w:b w:val="0"/>
          <w:bCs/>
          <w:color w:val="auto"/>
          <w:sz w:val="32"/>
          <w:lang w:val="en-US" w:eastAsia="zh-CN"/>
          <w:highlight w:val="auto"/>
        </w:rPr>
        <w:t>人为</w:t>
      </w:r>
      <w:r>
        <w:rPr>
          <w:rStyle w:val="23"/>
          <w:rFonts w:eastAsia="仿宋_GB2312" w:cs="Arial" w:hint="eastAsia"/>
          <w:b w:val="0"/>
          <w:bCs/>
          <w:color w:val="auto"/>
          <w:sz w:val="32"/>
          <w:highlight w:val="auto"/>
        </w:rPr>
        <w:t>服务对象，不断促进我县养老服务业的健康发展，</w:t>
      </w:r>
      <w:r>
        <w:rPr>
          <w:rStyle w:val="23"/>
          <w:rFonts w:eastAsia="仿宋_GB2312" w:cs="Arial" w:hint="eastAsia"/>
          <w:b w:val="0"/>
          <w:bCs/>
          <w:color w:val="auto"/>
          <w:sz w:val="32"/>
          <w:lang w:val="en-US" w:eastAsia="zh-CN"/>
          <w:highlight w:val="auto"/>
        </w:rPr>
        <w:t>项</w:t>
      </w:r>
      <w:r>
        <w:rPr>
          <w:rStyle w:val="23"/>
          <w:rFonts w:eastAsia="仿宋_GB2312" w:cs="Arial" w:hint="eastAsia"/>
          <w:b w:val="0"/>
          <w:bCs/>
          <w:color w:val="auto"/>
          <w:sz w:val="32"/>
          <w:highlight w:val="auto"/>
        </w:rPr>
        <w:t>目绩效目标受益群体定位准确。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项目绩效目标受益群体定位准确。目标受益群体准确指标分值2.5分，评价得2.5分。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(4)目标与项目相关度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综合评价：项目绩效目标和指标设置与项目高度相关。目标与项目相关度指标分值2.5分，评价得</w:t>
      </w:r>
      <w:r>
        <w:rPr>
          <w:rFonts w:ascii="仿宋_GB2312" w:eastAsia="仿宋_GB2312" w:cs="仿宋_GB2312" w:hint="eastAsia"/>
          <w:color w:val="auto"/>
          <w:sz w:val="32"/>
          <w:szCs w:val="32"/>
          <w:lang w:val="en-US" w:eastAsia="zh-CN"/>
          <w:highlight w:val="auto"/>
        </w:rPr>
        <w:t>2.5</w:t>
      </w:r>
      <w:r>
        <w:rPr>
          <w:rFonts w:ascii="仿宋_GB2312" w:eastAsia="仿宋_GB2312" w:cs="仿宋_GB2312"/>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2.目标合理性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(1)目标与预计解决的问题匹配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项目绩效目标与项目预计解决的问题相匹配。目标与预计解决的问题匹配指标分值2.5分，评价得2.5分。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(2)目标与现实需求匹配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目标与现实需求相匹配。目标与现实需求匹配指标分值2.5分，评价得2.5分。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(3)目标设置前瞻性及挑战性</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本项目绩效目标为常规目标，不具有前瞻性及挑战性。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w:t>
      </w:r>
      <w:r>
        <w:rPr>
          <w:rStyle w:val="23"/>
          <w:rFonts w:eastAsia="仿宋_GB2312"/>
          <w:b w:val="0"/>
          <w:color w:val="auto"/>
          <w:sz w:val="32"/>
          <w:highlight w:val="auto"/>
        </w:rPr>
        <w:t>目标设置</w:t>
      </w:r>
      <w:r>
        <w:rPr>
          <w:rStyle w:val="23"/>
          <w:rFonts w:eastAsia="仿宋_GB2312" w:hint="eastAsia"/>
          <w:b w:val="0"/>
          <w:color w:val="auto"/>
          <w:sz w:val="32"/>
          <w:highlight w:val="auto"/>
        </w:rPr>
        <w:t>不</w:t>
      </w:r>
      <w:r>
        <w:rPr>
          <w:rStyle w:val="23"/>
          <w:rFonts w:eastAsia="仿宋_GB2312"/>
          <w:b w:val="0"/>
          <w:color w:val="auto"/>
          <w:sz w:val="32"/>
          <w:highlight w:val="auto"/>
        </w:rPr>
        <w:t>具有前瞻性及挑战性。目标设置前瞻性及挑战性指标分值2.5分，评价得0分。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(4)目标完整及合理</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项目绩效指标细化、量化，指标值设置合理。目标完整及合理指标分值2.5分，评价得2.5分。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(四)实施方案有效性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实施方案有效性指标分值20分，其中2分纳入不计分项，实际有效指标分值18分，评价得</w:t>
      </w:r>
      <w:r>
        <w:rPr>
          <w:rFonts w:ascii="仿宋_GB2312" w:eastAsia="仿宋_GB2312" w:cs="仿宋_GB2312" w:hint="eastAsia"/>
          <w:color w:val="auto"/>
          <w:sz w:val="32"/>
          <w:szCs w:val="32"/>
          <w:lang w:val="en-US" w:eastAsia="zh-CN"/>
          <w:highlight w:val="auto"/>
        </w:rPr>
        <w:t>8</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1.实施内容明确性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根据现场查看相关资料，被评估单位实施内容明确、具体，与绩效目标相匹配，编制完成专项管理办法，项目实施方案组织机构健全，职责分工明确，组织机构保障</w:t>
      </w:r>
      <w:r>
        <w:rPr>
          <w:rFonts w:ascii="仿宋_GB2312" w:eastAsia="仿宋_GB2312" w:cs="仿宋_GB2312" w:hint="eastAsia"/>
          <w:color w:val="auto"/>
          <w:sz w:val="32"/>
          <w:szCs w:val="32"/>
          <w:lang w:eastAsia="zh-CN"/>
          <w:highlight w:val="auto"/>
        </w:rPr>
        <w:t>机制健全</w:t>
      </w:r>
      <w:r>
        <w:rPr>
          <w:rFonts w:ascii="仿宋_GB2312" w:eastAsia="仿宋_GB2312" w:cs="仿宋_GB2312" w:hint="eastAsia"/>
          <w:color w:val="auto"/>
          <w:sz w:val="32"/>
          <w:szCs w:val="32"/>
          <w:highlight w:val="auto"/>
        </w:rPr>
        <w:t>，与实施内容匹配。</w:t>
      </w:r>
    </w:p>
    <w:p>
      <w:pPr>
        <w:spacing w:line="560" w:lineRule="exact"/>
        <w:ind w:firstLineChars="200" w:firstLine="64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综合评价：项目内容明确具体，与绩效目标相匹配；组织机构保障滞后，与实施内容匹配。实施内容明确性指标分值5.0分，评价得</w:t>
      </w:r>
      <w:r>
        <w:rPr>
          <w:rFonts w:ascii="仿宋_GB2312" w:eastAsia="仿宋_GB2312" w:cs="仿宋_GB2312" w:hint="eastAsia"/>
          <w:color w:val="auto"/>
          <w:sz w:val="32"/>
          <w:szCs w:val="32"/>
          <w:lang w:val="en-US" w:eastAsia="zh-CN"/>
          <w:highlight w:val="auto"/>
        </w:rPr>
        <w:t>5</w:t>
      </w:r>
      <w:r>
        <w:rPr>
          <w:rFonts w:ascii="仿宋_GB2312" w:eastAsia="仿宋_GB2312" w:cs="仿宋_GB2312" w:hint="eastAsia"/>
          <w:color w:val="auto"/>
          <w:sz w:val="32"/>
          <w:szCs w:val="32"/>
          <w:highlight w:val="auto"/>
        </w:rPr>
        <w:t>.0分。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2.项目时效性</w:t>
      </w:r>
    </w:p>
    <w:p>
      <w:pPr>
        <w:spacing w:line="560" w:lineRule="exact"/>
        <w:ind w:firstLineChars="200" w:firstLine="640"/>
        <w:outlineLvl w:val="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lang w:val="en-US" w:eastAsia="zh-CN"/>
          <w:highlight w:val="auto"/>
        </w:rPr>
        <w:t>本项目未设置设立、退出时限（该项目确定了施工承包单位后才能确定项目相关的退出时限），建立了相关项目调整机制</w:t>
      </w:r>
      <w:r>
        <w:rPr>
          <w:rFonts w:ascii="仿宋_GB2312" w:eastAsia="仿宋_GB2312" w:cs="仿宋_GB2312" w:hint="eastAsia"/>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综合评价：项目时效性指标分值5</w:t>
      </w:r>
      <w:r>
        <w:rPr>
          <w:rFonts w:ascii="仿宋_GB2312" w:eastAsia="仿宋_GB2312" w:cs="仿宋_GB2312"/>
          <w:color w:val="auto"/>
          <w:sz w:val="32"/>
          <w:szCs w:val="32"/>
          <w:highlight w:val="auto"/>
        </w:rPr>
        <w:t>.0</w:t>
      </w:r>
      <w:r>
        <w:rPr>
          <w:rFonts w:ascii="仿宋_GB2312" w:eastAsia="仿宋_GB2312" w:cs="仿宋_GB2312" w:hint="eastAsia"/>
          <w:color w:val="auto"/>
          <w:sz w:val="32"/>
          <w:szCs w:val="32"/>
          <w:highlight w:val="auto"/>
        </w:rPr>
        <w:t>分，评价得分</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3.实施方案可行性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(1)项目技术路线与内容及目标匹配</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本项目为专业服务类，主要以医疗补助形式体现，无技术路线可言，该指标纳入不计分项。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(2)项目组织及进度安排合理</w:t>
      </w:r>
    </w:p>
    <w:p>
      <w:pPr>
        <w:spacing w:line="560" w:lineRule="exact"/>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本项目已经开始组织建设（1）确定选址（2）手续办理（3）装修、布置（4）验收运营。</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综合评价：项目组织及进度安排合理指标分值2.0分，评价得1.0分。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(3)项目设施保障程度</w:t>
      </w:r>
    </w:p>
    <w:p>
      <w:pPr>
        <w:spacing w:line="560" w:lineRule="exact"/>
        <w:ind w:firstLineChars="200" w:firstLine="640"/>
        <w:rPr>
          <w:rFonts w:ascii="仿宋_GB2312" w:eastAsia="仿宋_GB2312" w:cs="仿宋_GB2312"/>
          <w:color w:val="auto"/>
          <w:sz w:val="32"/>
          <w:szCs w:val="32"/>
          <w:highlight w:val="auto"/>
        </w:rPr>
      </w:pPr>
      <w:r>
        <w:rPr>
          <w:rStyle w:val="23"/>
          <w:rFonts w:eastAsia="仿宋_GB2312" w:cs="Arial" w:hint="eastAsia"/>
          <w:b w:val="0"/>
          <w:color w:val="auto"/>
          <w:sz w:val="32"/>
          <w:highlight w:val="auto"/>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r>
        <w:rPr>
          <w:rFonts w:ascii="仿宋_GB2312" w:eastAsia="仿宋_GB2312" w:cs="仿宋_GB2312" w:hint="eastAsia"/>
          <w:color w:val="auto"/>
          <w:sz w:val="32"/>
          <w:szCs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项目设施保障程度指标分值1.0分，评价得1.0分。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4.过程控制有效性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(1)程序规范</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根据查看相关资料，截止被评价日，本项目制定</w:t>
      </w:r>
      <w:r>
        <w:rPr>
          <w:rStyle w:val="23"/>
          <w:rFonts w:eastAsia="仿宋_GB2312" w:cs="Arial" w:hint="eastAsia"/>
          <w:b w:val="0"/>
          <w:color w:val="auto"/>
          <w:sz w:val="32"/>
          <w:lang w:val="en-US" w:eastAsia="zh-CN"/>
          <w:highlight w:val="auto"/>
        </w:rPr>
        <w:t>了2023年</w:t>
      </w:r>
      <w:r>
        <w:rPr>
          <w:rStyle w:val="23"/>
          <w:rFonts w:eastAsia="仿宋_GB2312" w:cs="Arial" w:hint="eastAsia"/>
          <w:b w:val="0"/>
          <w:color w:val="auto"/>
          <w:sz w:val="32"/>
          <w:highlight w:val="auto"/>
        </w:rPr>
        <w:t>实施方案。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程序规范指标分值1.0分，评价得</w:t>
      </w:r>
      <w:r>
        <w:rPr>
          <w:rStyle w:val="23"/>
          <w:rFonts w:eastAsia="仿宋_GB2312" w:hint="eastAsia"/>
          <w:b w:val="0"/>
          <w:color w:val="auto"/>
          <w:sz w:val="32"/>
          <w:lang w:val="en-US" w:eastAsia="zh-CN"/>
          <w:highlight w:val="auto"/>
        </w:rPr>
        <w:t>1</w:t>
      </w:r>
      <w:r>
        <w:rPr>
          <w:rStyle w:val="23"/>
          <w:rFonts w:eastAsia="仿宋_GB2312"/>
          <w:b w:val="0"/>
          <w:color w:val="auto"/>
          <w:sz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(2)组织机构保障度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了</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实施方案，项目组织机构健全、职责分工明确、项目人员条件与项目有关并得以有效保障。</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综合评价：未见职责分工明确、项目人员条件与项目有关并得以有效保障的相关资料。制度机制保障指标分值1.5分，评价得</w:t>
      </w:r>
      <w:r>
        <w:rPr>
          <w:rFonts w:ascii="仿宋_GB2312" w:eastAsia="仿宋_GB2312" w:cs="仿宋_GB2312" w:hint="eastAsia"/>
          <w:color w:val="auto"/>
          <w:sz w:val="32"/>
          <w:szCs w:val="32"/>
          <w:lang w:val="en-US" w:eastAsia="zh-CN"/>
          <w:highlight w:val="auto"/>
        </w:rPr>
        <w:t>1.5</w:t>
      </w:r>
      <w:r>
        <w:rPr>
          <w:rFonts w:ascii="仿宋_GB2312" w:eastAsia="仿宋_GB2312" w:cs="仿宋_GB2312"/>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(3)制度健全及解决问题措施</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的</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实施方案，评估业务管理制度、技术规程、标准健全、完善。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w:t>
      </w:r>
      <w:r>
        <w:rPr>
          <w:rFonts w:ascii="仿宋_GB2312" w:eastAsia="仿宋_GB2312" w:cs="仿宋_GB2312" w:hint="eastAsia"/>
          <w:color w:val="auto"/>
          <w:sz w:val="32"/>
          <w:szCs w:val="32"/>
          <w:highlight w:val="auto"/>
        </w:rPr>
        <w:t>制度健全及解决问题措施指标分值1.0分，评价得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(4)制度机制保障度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截止被评价日，本项目制定</w:t>
      </w:r>
      <w:r>
        <w:rPr>
          <w:rStyle w:val="23"/>
          <w:rFonts w:eastAsia="仿宋_GB2312" w:cs="Arial" w:hint="eastAsia"/>
          <w:b w:val="0"/>
          <w:color w:val="auto"/>
          <w:sz w:val="32"/>
          <w:lang w:val="en-US" w:eastAsia="zh-CN"/>
          <w:highlight w:val="auto"/>
        </w:rPr>
        <w:t>了2024年</w:t>
      </w:r>
      <w:r>
        <w:rPr>
          <w:rStyle w:val="23"/>
          <w:rFonts w:eastAsia="仿宋_GB2312" w:cs="Arial" w:hint="eastAsia"/>
          <w:b w:val="0"/>
          <w:color w:val="auto"/>
          <w:sz w:val="32"/>
          <w:highlight w:val="auto"/>
        </w:rPr>
        <w:t>实施方案，评估项目执行过程设立管控措施、机制等，相关措施、机制能够保证项目顺利实施。</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制度机制保障指标分值1.5分，评价得</w:t>
      </w:r>
      <w:r>
        <w:rPr>
          <w:rStyle w:val="23"/>
          <w:rFonts w:eastAsia="仿宋_GB2312" w:hint="eastAsia"/>
          <w:b w:val="0"/>
          <w:color w:val="auto"/>
          <w:sz w:val="32"/>
          <w:lang w:val="en-US" w:eastAsia="zh-CN"/>
          <w:highlight w:val="auto"/>
        </w:rPr>
        <w:t>1.5</w:t>
      </w:r>
      <w:r>
        <w:rPr>
          <w:rStyle w:val="23"/>
          <w:rFonts w:eastAsia="仿宋_GB2312"/>
          <w:b w:val="0"/>
          <w:color w:val="auto"/>
          <w:sz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(五)筹资合规性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筹资合规性指标分值20分，其中8分纳入不计分项，实际有效指标分值12分，评价得</w:t>
      </w:r>
      <w:r>
        <w:rPr>
          <w:rFonts w:ascii="仿宋_GB2312" w:eastAsia="仿宋_GB2312" w:cs="仿宋_GB2312"/>
          <w:color w:val="auto"/>
          <w:sz w:val="32"/>
          <w:szCs w:val="32"/>
          <w:highlight w:val="auto"/>
        </w:rPr>
        <w:t>1</w:t>
      </w:r>
      <w:r>
        <w:rPr>
          <w:rFonts w:ascii="仿宋_GB2312" w:eastAsia="仿宋_GB2312" w:cs="仿宋_GB2312" w:hint="eastAsia"/>
          <w:color w:val="auto"/>
          <w:sz w:val="32"/>
          <w:szCs w:val="32"/>
          <w:highlight w:val="auto"/>
        </w:rPr>
        <w:t>2分。</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1.筹资合规性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资金来源合规指标分值4.0分，评价得4.0分。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(2)资金筹措规范及论证齐全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本项目属于年初预算资金项目，无需进行资金筹措、无需经过评估论证，该指标纳入不计分项。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(3)资金筹措与权责匹配</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本项目县财政局负责筹集资金，县</w:t>
      </w:r>
      <w:r>
        <w:rPr>
          <w:rFonts w:ascii="仿宋_GB2312" w:eastAsia="仿宋_GB2312" w:cs="仿宋_GB2312" w:hint="eastAsia"/>
          <w:color w:val="auto"/>
          <w:sz w:val="32"/>
          <w:szCs w:val="32"/>
          <w:lang w:eastAsia="zh-CN"/>
          <w:highlight w:val="auto"/>
        </w:rPr>
        <w:t>民政</w:t>
      </w:r>
      <w:r>
        <w:rPr>
          <w:rFonts w:ascii="仿宋_GB2312" w:eastAsia="仿宋_GB2312" w:cs="仿宋_GB2312" w:hint="eastAsia"/>
          <w:color w:val="auto"/>
          <w:sz w:val="32"/>
          <w:szCs w:val="32"/>
          <w:highlight w:val="auto"/>
        </w:rPr>
        <w:t>局负责落实具体工作，财权和事权相匹配，无其他渠道资金来源。</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资金筹措与权责匹配指标分值3.0分，评价得3.0分。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2.财政投入能力</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(1)财政资金配套方式及承受能力科学</w:t>
      </w:r>
    </w:p>
    <w:p>
      <w:pPr>
        <w:spacing w:line="560" w:lineRule="exact"/>
        <w:ind w:firstLineChars="200" w:firstLine="640"/>
        <w:rPr>
          <w:rFonts w:ascii="仿宋_GB2312" w:eastAsia="仿宋_GB2312" w:cs="仿宋_GB2312"/>
          <w:bCs/>
          <w:color w:val="auto"/>
          <w:sz w:val="32"/>
          <w:szCs w:val="32"/>
          <w:highlight w:val="auto"/>
        </w:rPr>
      </w:pPr>
      <w:r>
        <w:rPr>
          <w:rFonts w:ascii="仿宋_GB2312" w:eastAsia="仿宋_GB2312" w:cs="仿宋_GB2312" w:hint="eastAsia"/>
          <w:color w:val="auto"/>
          <w:sz w:val="32"/>
          <w:szCs w:val="32"/>
          <w:highlight w:val="auto"/>
        </w:rPr>
        <w:t>本项目属于年初预算资金项目，</w:t>
      </w:r>
      <w:r>
        <w:rPr>
          <w:rFonts w:ascii="仿宋_GB2312" w:eastAsia="仿宋_GB2312" w:cs="仿宋_GB2312"/>
          <w:bCs/>
          <w:color w:val="auto"/>
          <w:sz w:val="32"/>
          <w:szCs w:val="32"/>
          <w:highlight w:val="auto"/>
        </w:rPr>
        <w:t>用于财政预算绩效管理</w:t>
      </w:r>
      <w:r>
        <w:rPr>
          <w:rFonts w:ascii="仿宋_GB2312" w:eastAsia="仿宋_GB2312" w:cs="仿宋_GB2312" w:hint="eastAsia"/>
          <w:bCs/>
          <w:color w:val="auto"/>
          <w:sz w:val="32"/>
          <w:szCs w:val="32"/>
          <w:highlight w:val="auto"/>
        </w:rPr>
        <w:t>，财政资金配套方式和承受能力科学合理。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财政资金配套方式及承受能力科学指标分值2.0分，评价得2.0分。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(2)财政资金重复投入</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根据项目各级财政部门和其他部门没有类似项目资金重复投入。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财政资金重复投入指标分值2.0分，评价得2.0分。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(3)财政资金支持方式合理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本项目属于公益性项目，属于公共财政支持范围项目，纳入</w:t>
      </w:r>
      <w:r>
        <w:rPr>
          <w:rStyle w:val="23"/>
          <w:rFonts w:eastAsia="仿宋_GB2312" w:cs="Arial"/>
          <w:b w:val="0"/>
          <w:color w:val="auto"/>
          <w:sz w:val="32"/>
          <w:highlight w:val="auto"/>
        </w:rPr>
        <w:t>财政预算绩效管理</w:t>
      </w:r>
      <w:r>
        <w:rPr>
          <w:rStyle w:val="23"/>
          <w:rFonts w:eastAsia="仿宋_GB2312" w:cs="Arial" w:hint="eastAsia"/>
          <w:b w:val="0"/>
          <w:color w:val="auto"/>
          <w:sz w:val="32"/>
          <w:highlight w:val="auto"/>
        </w:rPr>
        <w:t>，根据实际情况实现财政直接支付，财政资金支持方式合理。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财政资金支持方式合理指标分值1.0分，评价得1.0分。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3.筹资风险可控性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(1)筹资风险认识全面</w:t>
      </w:r>
    </w:p>
    <w:p>
      <w:pPr>
        <w:spacing w:line="560" w:lineRule="exact"/>
        <w:ind w:firstLineChars="200" w:firstLine="640"/>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本项目资金筹措由县财政局保障，被评估单位无筹资风险，该指标纳入不计分项。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(2)风险应对措施可行及有效</w:t>
      </w:r>
    </w:p>
    <w:p>
      <w:pPr>
        <w:spacing w:line="560" w:lineRule="exact"/>
        <w:ind w:firstLineChars="200" w:firstLine="640"/>
        <w:outlineLvl w:val="0"/>
        <w:rPr>
          <w:rFonts w:ascii="仿宋_GB2312" w:eastAsia="仿宋_GB2312" w:cs="仿宋_GB2312"/>
          <w:color w:val="auto"/>
          <w:sz w:val="32"/>
          <w:szCs w:val="32"/>
          <w:highlight w:val="auto"/>
        </w:rPr>
      </w:pPr>
      <w:bookmarkStart w:id="22" w:name="_Toc91786691"/>
      <w:r>
        <w:rPr>
          <w:rFonts w:ascii="仿宋_GB2312" w:eastAsia="仿宋_GB2312" w:cs="仿宋_GB2312" w:hint="eastAsia"/>
          <w:color w:val="auto"/>
          <w:sz w:val="32"/>
          <w:szCs w:val="32"/>
          <w:highlight w:val="auto"/>
        </w:rPr>
        <w:t>本项目资金筹措由县财政局保障，被评估单位无需出具风险应对措施，该指标纳入不计分项。</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(六)总体结论</w:t>
      </w:r>
      <w:bookmarkEnd w:id="22"/>
    </w:p>
    <w:p>
      <w:pPr>
        <w:tabs>
          <w:tab w:val="left" w:pos="0"/>
          <w:tab w:val="left" w:pos="4830"/>
        </w:tabs>
        <w:spacing w:line="560" w:lineRule="exact"/>
        <w:ind w:firstLineChars="200" w:firstLine="640"/>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评估小组通过收集、汇总资料，分析、核实项目绩效，经综合上述绩效评估情况，我们认为本次申请的“</w:t>
      </w:r>
      <w:r>
        <w:rPr>
          <w:rFonts w:ascii="仿宋_GB2312" w:eastAsia="仿宋_GB2312" w:cs="仿宋_GB2312" w:hint="eastAsia"/>
          <w:color w:val="auto"/>
          <w:sz w:val="32"/>
          <w:szCs w:val="32"/>
          <w:lang w:eastAsia="zh-CN"/>
          <w:highlight w:val="auto"/>
        </w:rPr>
        <w:t>居家养老采购项目</w:t>
      </w:r>
      <w:r>
        <w:rPr>
          <w:rFonts w:ascii="仿宋_GB2312" w:eastAsia="仿宋_GB2312" w:cs="仿宋_GB2312" w:hint="eastAsia"/>
          <w:color w:val="auto"/>
          <w:sz w:val="32"/>
          <w:szCs w:val="32"/>
          <w:highlight w:val="auto"/>
        </w:rPr>
        <w:t>”立项合规，依据充分，绩效目标指向明确，与相应的财政支出范围、方向、效果紧密相关，评估过程经调查研究及科学论证，符合实际。</w:t>
      </w:r>
    </w:p>
    <w:p>
      <w:pPr>
        <w:tabs>
          <w:tab w:val="left" w:pos="0"/>
          <w:tab w:val="left" w:pos="4830"/>
        </w:tabs>
        <w:spacing w:line="560" w:lineRule="exact"/>
        <w:ind w:firstLineChars="200" w:firstLine="640"/>
        <w:outlineLvl w:val="0"/>
        <w:rPr>
          <w:rFonts w:ascii="仿宋_GB2312" w:eastAsia="仿宋_GB2312" w:cs="仿宋_GB2312" w:hint="eastAsia"/>
          <w:sz w:val="32"/>
          <w:szCs w:val="32"/>
          <w:lang w:val="en-US" w:eastAsia="zh-CN"/>
        </w:rPr>
      </w:pPr>
      <w:r>
        <w:rPr>
          <w:rFonts w:ascii="仿宋_GB2312" w:eastAsia="仿宋_GB2312" w:cs="仿宋_GB2312" w:hint="eastAsia"/>
          <w:color w:val="auto"/>
          <w:sz w:val="32"/>
          <w:szCs w:val="32"/>
          <w:highlight w:val="auto"/>
        </w:rPr>
        <w:t>经综合评估，</w:t>
      </w:r>
      <w:r>
        <w:rPr>
          <w:rFonts w:ascii="仿宋_GB2312" w:eastAsia="仿宋_GB2312" w:cs="仿宋_GB2312" w:hint="eastAsia"/>
          <w:bCs/>
          <w:color w:val="auto"/>
          <w:sz w:val="32"/>
          <w:szCs w:val="32"/>
          <w:highlight w:val="auto"/>
        </w:rPr>
        <w:t>金川县民政局</w:t>
      </w:r>
      <w:r>
        <w:rPr>
          <w:rFonts w:ascii="仿宋_GB2312" w:eastAsia="仿宋_GB2312" w:cs="仿宋_GB2312" w:hint="eastAsia"/>
          <w:bCs/>
          <w:color w:val="auto"/>
          <w:sz w:val="32"/>
          <w:szCs w:val="32"/>
          <w:lang w:eastAsia="zh-CN"/>
          <w:highlight w:val="auto"/>
        </w:rPr>
        <w:t>202</w:t>
      </w:r>
      <w:r>
        <w:rPr>
          <w:rFonts w:ascii="仿宋_GB2312" w:eastAsia="仿宋_GB2312" w:cs="仿宋_GB2312" w:hint="eastAsia"/>
          <w:bCs/>
          <w:color w:val="auto"/>
          <w:sz w:val="32"/>
          <w:szCs w:val="32"/>
          <w:lang w:val="en-US" w:eastAsia="zh-CN"/>
          <w:highlight w:val="auto"/>
        </w:rPr>
        <w:t>4</w:t>
      </w:r>
      <w:r>
        <w:rPr>
          <w:rFonts w:ascii="仿宋_GB2312" w:eastAsia="仿宋_GB2312" w:cs="仿宋_GB2312" w:hint="eastAsia"/>
          <w:bCs/>
          <w:color w:val="auto"/>
          <w:sz w:val="32"/>
          <w:szCs w:val="32"/>
          <w:highlight w:val="auto"/>
        </w:rPr>
        <w:t>年度“</w:t>
      </w:r>
      <w:r>
        <w:rPr>
          <w:rFonts w:ascii="仿宋_GB2312" w:eastAsia="仿宋_GB2312" w:cs="仿宋_GB2312" w:hint="eastAsia"/>
          <w:bCs/>
          <w:color w:val="auto"/>
          <w:sz w:val="32"/>
          <w:szCs w:val="32"/>
          <w:lang w:eastAsia="zh-CN"/>
          <w:highlight w:val="auto"/>
        </w:rPr>
        <w:t>居家养老采购项目</w:t>
      </w:r>
      <w:r>
        <w:rPr>
          <w:rFonts w:ascii="仿宋_GB2312" w:eastAsia="仿宋_GB2312" w:cs="仿宋_GB2312" w:hint="eastAsia"/>
          <w:bCs/>
          <w:color w:val="auto"/>
          <w:sz w:val="32"/>
          <w:szCs w:val="32"/>
          <w:highlight w:val="auto"/>
        </w:rPr>
        <w:t>”</w:t>
      </w:r>
      <w:r>
        <w:rPr>
          <w:rFonts w:ascii="仿宋_GB2312" w:eastAsia="仿宋_GB2312" w:cs="仿宋_GB2312" w:hint="eastAsia"/>
          <w:color w:val="auto"/>
          <w:sz w:val="32"/>
          <w:szCs w:val="32"/>
          <w:highlight w:val="auto"/>
        </w:rPr>
        <w:t>事前评估绩效总体得分</w:t>
      </w:r>
      <w:r>
        <w:rPr>
          <w:rFonts w:ascii="仿宋_GB2312" w:eastAsia="仿宋_GB2312" w:cs="仿宋_GB2312" w:hint="eastAsia"/>
          <w:color w:val="auto"/>
          <w:sz w:val="32"/>
          <w:szCs w:val="32"/>
          <w:lang w:val="en-US" w:eastAsia="zh-CN"/>
          <w:highlight w:val="auto"/>
        </w:rPr>
        <w:t>91</w:t>
      </w:r>
      <w:r>
        <w:rPr>
          <w:rFonts w:ascii="仿宋_GB2312" w:eastAsia="仿宋_GB2312" w:cs="仿宋_GB2312" w:hint="eastAsia"/>
          <w:color w:val="auto"/>
          <w:sz w:val="32"/>
          <w:szCs w:val="32"/>
          <w:highlight w:val="auto"/>
        </w:rPr>
        <w:t>分。</w:t>
      </w:r>
    </w:p>
    <w:p>
      <w:pPr>
        <w:pStyle w:val="19"/>
        <w:tabs>
          <w:tab w:val="center" w:pos="4153"/>
          <w:tab w:val="right" w:pos="8306"/>
        </w:tabs>
        <w:spacing w:line="560" w:lineRule="exact"/>
        <w:rPr>
          <w:rFonts w:ascii="仿宋_GB2312" w:eastAsia="仿宋_GB2312" w:hint="eastAsia"/>
          <w:sz w:val="32"/>
          <w:szCs w:val="32"/>
          <w:lang w:eastAsia="zh-CN"/>
        </w:rPr>
      </w:pPr>
      <w:r>
        <w:rPr>
          <w:rFonts w:ascii="仿宋_GB2312" w:eastAsia="仿宋_GB2312" w:hint="eastAsia"/>
          <w:sz w:val="32"/>
          <w:szCs w:val="32"/>
          <w:lang w:eastAsia="zh-CN"/>
        </w:rPr>
        <w:t>重点项目</w:t>
      </w:r>
      <w:r>
        <w:rPr>
          <w:rFonts w:ascii="仿宋_GB2312" w:eastAsia="仿宋_GB2312" w:hint="eastAsia"/>
          <w:sz w:val="32"/>
          <w:szCs w:val="32"/>
          <w:lang w:val="en-US" w:eastAsia="zh-CN"/>
        </w:rPr>
        <w:t>8</w:t>
      </w:r>
      <w:r>
        <w:rPr>
          <w:rFonts w:ascii="仿宋_GB2312" w:eastAsia="仿宋_GB2312" w:hint="eastAsia"/>
          <w:sz w:val="32"/>
          <w:szCs w:val="32"/>
          <w:lang w:eastAsia="zh-CN"/>
        </w:rPr>
        <w:t>：</w:t>
      </w:r>
      <w:r>
        <w:rPr>
          <w:rFonts w:ascii="仿宋_GB2312" w:eastAsia="仿宋_GB2312" w:hint="eastAsia"/>
          <w:sz w:val="32"/>
          <w:szCs w:val="32"/>
          <w:lang w:val="en-US" w:eastAsia="zh-CN"/>
        </w:rPr>
        <w:t>30张床位及维修改造</w:t>
      </w:r>
      <w:r>
        <w:rPr>
          <w:rFonts w:ascii="仿宋_GB2312" w:eastAsia="仿宋_GB2312" w:hint="eastAsia"/>
          <w:sz w:val="32"/>
          <w:szCs w:val="32"/>
          <w:lang w:eastAsia="zh-CN"/>
        </w:rPr>
        <w:t>项目</w:t>
      </w:r>
    </w:p>
    <w:p>
      <w:pPr>
        <w:widowControl/>
        <w:spacing w:line="560" w:lineRule="exact"/>
        <w:jc w:val="lef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r>
        <w:rPr>
          <w:rFonts w:ascii="仿宋_GB2312" w:eastAsia="仿宋_GB2312" w:cs="仿宋_GB2312" w:hint="eastAsia"/>
          <w:color w:val="000000"/>
          <w:kern w:val="0"/>
          <w:sz w:val="32"/>
          <w:szCs w:val="32"/>
        </w:rPr>
        <w:t>贯彻落实养老服务发展法规政策标准，支持老年福利机构建设，提高社区养老服务设施覆盖率，健全养老服务体系，提升养老服务质量。</w:t>
      </w:r>
      <w:r>
        <w:rPr>
          <w:rFonts w:ascii="仿宋_GB2312" w:eastAsia="仿宋_GB2312" w:cs="仿宋_GB2312" w:hint="eastAsia"/>
          <w:color w:val="000000"/>
          <w:kern w:val="0"/>
          <w:sz w:val="32"/>
          <w:szCs w:val="32"/>
          <w:lang w:val="en-US" w:eastAsia="zh-CN"/>
        </w:rPr>
        <w:t>2024年按照规模适度的要求，计划在全县范围内选点建设3个日间照料中心，</w:t>
      </w:r>
      <w:r>
        <w:rPr>
          <w:rFonts w:ascii="仿宋_GB2312" w:eastAsia="仿宋_GB2312" w:cs="仿宋_GB2312" w:hint="eastAsia"/>
          <w:b w:val="0"/>
          <w:bCs w:val="0"/>
          <w:kern w:val="32"/>
          <w:sz w:val="32"/>
          <w:szCs w:val="32"/>
        </w:rPr>
        <w:t>床位数量达到</w:t>
      </w:r>
      <w:r>
        <w:rPr>
          <w:rFonts w:ascii="仿宋_GB2312" w:eastAsia="仿宋_GB2312" w:cs="仿宋_GB2312" w:hint="eastAsia"/>
          <w:b w:val="0"/>
          <w:bCs w:val="0"/>
          <w:kern w:val="32"/>
          <w:sz w:val="32"/>
          <w:szCs w:val="32"/>
          <w:lang w:val="en-US" w:eastAsia="zh-CN"/>
        </w:rPr>
        <w:t>7</w:t>
      </w:r>
      <w:r>
        <w:rPr>
          <w:rFonts w:ascii="仿宋_GB2312" w:eastAsia="仿宋_GB2312" w:cs="仿宋_GB2312" w:hint="eastAsia"/>
          <w:b w:val="0"/>
          <w:bCs w:val="0"/>
          <w:kern w:val="32"/>
          <w:sz w:val="32"/>
          <w:szCs w:val="32"/>
        </w:rPr>
        <w:t>张以上</w:t>
      </w:r>
      <w:r>
        <w:rPr>
          <w:rFonts w:ascii="仿宋_GB2312" w:eastAsia="仿宋_GB2312" w:cs="仿宋_GB2312" w:hint="eastAsia"/>
          <w:b w:val="0"/>
          <w:bCs w:val="0"/>
          <w:kern w:val="32"/>
          <w:sz w:val="32"/>
          <w:szCs w:val="32"/>
          <w:lang w:eastAsia="zh-CN"/>
        </w:rPr>
        <w:t>。</w:t>
      </w:r>
      <w:r>
        <w:rPr>
          <w:rFonts w:ascii="仿宋_GB2312" w:eastAsia="仿宋_GB2312" w:cs="仿宋_GB2312" w:hint="eastAsia"/>
          <w:b w:val="0"/>
          <w:bCs w:val="0"/>
          <w:kern w:val="32"/>
          <w:sz w:val="32"/>
          <w:szCs w:val="32"/>
        </w:rPr>
        <w:t>主要面向辐射区域内失能、高龄独居以及其他需要长期入住机构、需要临时短期托养的老年人</w:t>
      </w:r>
      <w:r>
        <w:rPr>
          <w:rFonts w:ascii="仿宋_GB2312" w:eastAsia="仿宋_GB2312" w:cs="仿宋_GB2312" w:hint="eastAsia"/>
          <w:b w:val="0"/>
          <w:bCs w:val="0"/>
          <w:kern w:val="32"/>
          <w:sz w:val="32"/>
          <w:szCs w:val="32"/>
          <w:lang w:eastAsia="zh-CN"/>
        </w:rPr>
        <w:t>。</w:t>
      </w:r>
    </w:p>
    <w:p>
      <w:pPr>
        <w:pStyle w:val="19"/>
        <w:tabs>
          <w:tab w:val="center" w:pos="4153"/>
          <w:tab w:val="right" w:pos="8306"/>
        </w:tabs>
        <w:spacing w:line="560" w:lineRule="exac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一</w:t>
      </w:r>
      <w:r>
        <w:rPr>
          <w:rFonts w:ascii="仿宋_GB2312" w:eastAsia="仿宋_GB2312" w:cs="仿宋_GB2312"/>
          <w:b/>
          <w:bCs/>
          <w:color w:val="auto"/>
          <w:sz w:val="32"/>
          <w:szCs w:val="32"/>
          <w:highlight w:val="auto"/>
        </w:rPr>
        <w:t>)</w:t>
      </w:r>
      <w:r>
        <w:rPr>
          <w:rFonts w:ascii="仿宋_GB2312" w:eastAsia="仿宋_GB2312" w:cs="仿宋_GB2312" w:hint="eastAsia"/>
          <w:b/>
          <w:bCs/>
          <w:color w:val="auto"/>
          <w:sz w:val="32"/>
          <w:szCs w:val="32"/>
          <w:highlight w:val="auto"/>
        </w:rPr>
        <w:t>立项必要性</w:t>
      </w:r>
    </w:p>
    <w:p>
      <w:pPr>
        <w:spacing w:line="560" w:lineRule="exact"/>
        <w:ind w:leftChars="200" w:left="420" w:firstLineChars="100" w:firstLine="320"/>
        <w:rPr>
          <w:rFonts w:ascii="仿宋_GB2312" w:eastAsia="仿宋_GB2312" w:cs="仿宋_GB2312"/>
          <w:b/>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hint="eastAsia"/>
          <w:color w:val="auto"/>
          <w:sz w:val="32"/>
          <w:szCs w:val="32"/>
          <w:highlight w:val="auto"/>
        </w:rPr>
        <w:t>立项必要性指标分值20分，评价得20分</w:t>
      </w:r>
      <w:r>
        <w:rPr>
          <w:rFonts w:ascii="仿宋_GB2312" w:eastAsia="仿宋_GB2312" w:cs="仿宋_GB2312" w:hint="eastAsia"/>
          <w:b/>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1.政策相关性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(1)政策符合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综合评价：项目政策与国家、省、市相关行业宏观政策相关。政策符合指标分值2.5分，评价得2.5分。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(2)立项依据充分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cs="Arial" w:hint="eastAsia"/>
          <w:b w:val="0"/>
          <w:color w:val="auto"/>
          <w:sz w:val="32"/>
          <w:highlight w:val="auto"/>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特请示金川县，</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Style w:val="23"/>
          <w:rFonts w:eastAsia="仿宋_GB2312"/>
          <w:b w:val="0"/>
          <w:bCs/>
          <w:color w:val="auto"/>
          <w:sz w:val="32"/>
          <w:highlight w:val="auto"/>
        </w:rPr>
        <w:t>综合评价：</w:t>
      </w:r>
      <w:r>
        <w:rPr>
          <w:rStyle w:val="23"/>
          <w:rFonts w:eastAsia="仿宋_GB2312"/>
          <w:b w:val="0"/>
          <w:color w:val="auto"/>
          <w:sz w:val="32"/>
          <w:highlight w:val="auto"/>
        </w:rPr>
        <w:t>项目立项依据充分。立项依据充分指标分值2.5分，评价得2.5分。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2.职能相关性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(1)绩效目标与职能相关度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该项目以制度为核心，以监管为重点，确保</w:t>
      </w:r>
      <w:r>
        <w:rPr>
          <w:rStyle w:val="23"/>
          <w:rFonts w:eastAsia="仿宋_GB2312" w:cs="Arial" w:hint="eastAsia"/>
          <w:b w:val="0"/>
          <w:color w:val="auto"/>
          <w:sz w:val="32"/>
          <w:lang w:val="en-US" w:eastAsia="zh-CN"/>
          <w:highlight w:val="auto"/>
        </w:rPr>
        <w:t>资</w:t>
      </w:r>
      <w:r>
        <w:rPr>
          <w:rStyle w:val="23"/>
          <w:rFonts w:eastAsia="仿宋_GB2312" w:cs="Arial" w:hint="eastAsia"/>
          <w:b w:val="0"/>
          <w:color w:val="auto"/>
          <w:sz w:val="32"/>
          <w:highlight w:val="auto"/>
        </w:rPr>
        <w:t>金安全，有条不紊开展各项工作，加强优化</w:t>
      </w:r>
      <w:r>
        <w:rPr>
          <w:rFonts w:ascii="仿宋_GB2312" w:eastAsia="仿宋_GB2312" w:cs="仿宋_GB2312" w:hint="eastAsia"/>
          <w:b w:val="0"/>
          <w:bCs/>
          <w:color w:val="auto"/>
          <w:sz w:val="32"/>
          <w:szCs w:val="32"/>
          <w:highlight w:val="auto"/>
        </w:rPr>
        <w:t>金川县救助福利服务中心</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Style w:val="23"/>
          <w:rFonts w:eastAsia="仿宋_GB2312" w:cs="Arial" w:hint="eastAsia"/>
          <w:b w:val="0"/>
          <w:color w:val="auto"/>
          <w:sz w:val="32"/>
          <w:highlight w:val="auto"/>
        </w:rPr>
        <w:t>建设，202</w:t>
      </w:r>
      <w:r>
        <w:rPr>
          <w:rStyle w:val="23"/>
          <w:rFonts w:eastAsia="仿宋_GB2312" w:cs="Arial" w:hint="eastAsia"/>
          <w:b w:val="0"/>
          <w:color w:val="auto"/>
          <w:sz w:val="32"/>
          <w:lang w:val="en-US" w:eastAsia="zh-CN"/>
          <w:highlight w:val="auto"/>
        </w:rPr>
        <w:t>4</w:t>
      </w:r>
      <w:r>
        <w:rPr>
          <w:rStyle w:val="23"/>
          <w:rFonts w:eastAsia="仿宋_GB2312" w:cs="Arial" w:hint="eastAsia"/>
          <w:b w:val="0"/>
          <w:color w:val="auto"/>
          <w:sz w:val="32"/>
          <w:highlight w:val="auto"/>
        </w:rPr>
        <w:t>年我局继续坚持积极稳妥，强化基本民生保障职能，推动搭建基层社会治理和社区公共服务平台。结合单位职能，绩效目标与职能相关。</w:t>
      </w:r>
    </w:p>
    <w:p>
      <w:pPr>
        <w:spacing w:line="560" w:lineRule="exact"/>
        <w:ind w:firstLineChars="200" w:firstLine="640"/>
        <w:rPr>
          <w:rFonts w:ascii="仿宋_GB2312" w:eastAsia="仿宋_GB2312"/>
          <w:b/>
          <w:bCs/>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w:t>
      </w:r>
      <w:r>
        <w:rPr>
          <w:rStyle w:val="23"/>
          <w:rFonts w:eastAsia="仿宋_GB2312" w:hint="eastAsia"/>
          <w:b w:val="0"/>
          <w:color w:val="auto"/>
          <w:sz w:val="32"/>
          <w:highlight w:val="auto"/>
        </w:rPr>
        <w:t>被评估单位</w:t>
      </w:r>
      <w:r>
        <w:rPr>
          <w:rStyle w:val="23"/>
          <w:rFonts w:eastAsia="仿宋_GB2312"/>
          <w:b w:val="0"/>
          <w:color w:val="auto"/>
          <w:sz w:val="32"/>
          <w:highlight w:val="auto"/>
        </w:rPr>
        <w:t>职能高度相关。绩效目标与职能相关度指标分值2.0分，评价得2.0分。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(2)项目内容与规划相关度</w:t>
      </w:r>
    </w:p>
    <w:p>
      <w:pPr>
        <w:spacing w:line="560" w:lineRule="exact"/>
        <w:ind w:firstLineChars="200" w:firstLine="640"/>
        <w:rPr>
          <w:rFonts w:ascii="仿宋_GB2312" w:eastAsia="仿宋_GB2312"/>
          <w:b/>
          <w:color w:val="auto"/>
          <w:sz w:val="32"/>
          <w:szCs w:val="32"/>
          <w:highlight w:val="auto"/>
        </w:rPr>
      </w:pPr>
      <w:r>
        <w:rPr>
          <w:rStyle w:val="23"/>
          <w:rFonts w:eastAsia="仿宋_GB2312" w:cs="Arial" w:hint="eastAsia"/>
          <w:b w:val="0"/>
          <w:bCs/>
          <w:color w:val="auto"/>
          <w:sz w:val="32"/>
          <w:highlight w:val="auto"/>
        </w:rPr>
        <w:t>该项目主要内容</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Style w:val="23"/>
          <w:rFonts w:eastAsia="仿宋_GB2312" w:cs="Arial" w:hint="eastAsia"/>
          <w:b w:val="0"/>
          <w:bCs/>
          <w:color w:val="auto"/>
          <w:sz w:val="32"/>
          <w:highlight w:val="auto"/>
        </w:rPr>
        <w:t>，其实施内容符合</w:t>
      </w:r>
      <w:r>
        <w:rPr>
          <w:rStyle w:val="23"/>
          <w:rFonts w:eastAsia="仿宋_GB2312" w:cs="Arial" w:hint="eastAsia"/>
          <w:b w:val="0"/>
          <w:color w:val="auto"/>
          <w:sz w:val="32"/>
          <w:highlight w:val="auto"/>
        </w:rPr>
        <w:t>《根据《国务院关于加快发展养老服务业的若干意见》（国发〔2013〕35号）、《四川省人民政府关于加快发展养老服务业的实施意见》（川府发〔2014〕8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特请示金川县，</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Style w:val="23"/>
          <w:rFonts w:eastAsia="仿宋_GB2312"/>
          <w:b w:val="0"/>
          <w:bCs/>
          <w:color w:val="auto"/>
          <w:sz w:val="32"/>
          <w:highlight w:val="auto"/>
        </w:rPr>
        <w:t>综合评价：</w:t>
      </w:r>
      <w:r>
        <w:rPr>
          <w:rStyle w:val="23"/>
          <w:rFonts w:eastAsia="仿宋_GB2312"/>
          <w:b w:val="0"/>
          <w:color w:val="auto"/>
          <w:sz w:val="32"/>
          <w:highlight w:val="auto"/>
        </w:rPr>
        <w:t>项目立项依据充分。立项依据充分指标分值2.5分，评价得2.5分。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w:t>
      </w:r>
      <w:r>
        <w:rPr>
          <w:rStyle w:val="23"/>
          <w:rFonts w:eastAsia="仿宋_GB2312" w:cs="Arial" w:hint="eastAsia"/>
          <w:b w:val="0"/>
          <w:bCs/>
          <w:color w:val="auto"/>
          <w:sz w:val="32"/>
          <w:highlight w:val="auto"/>
        </w:rPr>
        <w:t>等文件精神要求，项目内容与规划相关。</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综合评价：项目内容与规划高度相关。项目内容与规划相关度指标分值1.5分，评价得1.5分。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(3)预期绩效与重点工作相关度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金川县民政局</w:t>
      </w:r>
      <w:r>
        <w:rPr>
          <w:rStyle w:val="23"/>
          <w:rFonts w:eastAsia="仿宋_GB2312" w:cs="Arial"/>
          <w:b w:val="0"/>
          <w:color w:val="auto"/>
          <w:sz w:val="32"/>
          <w:highlight w:val="auto"/>
        </w:rPr>
        <w:t>主要承担如下职能：</w:t>
      </w:r>
      <w:r>
        <w:rPr>
          <w:rStyle w:val="23"/>
          <w:rFonts w:eastAsia="仿宋_GB2312" w:cs="Arial" w:hint="eastAsia"/>
          <w:b w:val="0"/>
          <w:color w:val="auto"/>
          <w:sz w:val="32"/>
          <w:highlight w:val="auto"/>
        </w:rPr>
        <w:t>依法依规负责社会福利、养老服务、救助管理、殡葬服务机构安全生产监督管理工作。项目预期绩效为单位重点工作。</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项目预期绩效与重点工作高度相关。预期绩效与重点工作相关度指标分值1.5分，评价得1.5分。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3.需求相关性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(1)需求迫切性</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为贯彻落实加快发展养老服务业的实施意见，推动我</w:t>
      </w:r>
      <w:r>
        <w:rPr>
          <w:rStyle w:val="23"/>
          <w:rFonts w:eastAsia="仿宋_GB2312" w:cs="Arial" w:hint="eastAsia"/>
          <w:b w:val="0"/>
          <w:bCs/>
          <w:color w:val="auto"/>
          <w:sz w:val="32"/>
          <w:lang w:eastAsia="zh-CN"/>
          <w:highlight w:val="auto"/>
        </w:rPr>
        <w:t>县</w:t>
      </w:r>
      <w:r>
        <w:rPr>
          <w:rFonts w:ascii="仿宋" w:eastAsia="仿宋" w:cs="仿宋" w:hint="eastAsia"/>
          <w:b w:val="0"/>
          <w:bCs/>
          <w:color w:val="auto"/>
          <w:sz w:val="32"/>
          <w:szCs w:val="32"/>
          <w:lang w:val="en-US" w:eastAsia="zh-CN"/>
          <w:highlight w:val="auto"/>
        </w:rPr>
        <w:t>养老服务业的</w:t>
      </w:r>
      <w:r>
        <w:rPr>
          <w:rStyle w:val="23"/>
          <w:rFonts w:eastAsia="仿宋_GB2312" w:cs="Arial" w:hint="eastAsia"/>
          <w:b w:val="0"/>
          <w:bCs/>
          <w:color w:val="auto"/>
          <w:sz w:val="32"/>
          <w:highlight w:val="auto"/>
        </w:rPr>
        <w:t>发展工作，依据</w:t>
      </w:r>
      <w:r>
        <w:rPr>
          <w:rStyle w:val="23"/>
          <w:rFonts w:eastAsia="仿宋_GB2312" w:cs="Arial" w:hint="eastAsia"/>
          <w:b w:val="0"/>
          <w:color w:val="auto"/>
          <w:sz w:val="32"/>
          <w:highlight w:val="auto"/>
        </w:rPr>
        <w:t>《国务院关于加快发展养老服务业的若干意见》（国发〔2013〕35号）、《四川省人民政府关于加快发展养老服务业的实施意见》（川府发〔2014〕8号）</w:t>
      </w:r>
      <w:r>
        <w:rPr>
          <w:rStyle w:val="23"/>
          <w:rFonts w:eastAsia="仿宋_GB2312" w:cs="Arial" w:hint="eastAsia"/>
          <w:b w:val="0"/>
          <w:bCs/>
          <w:color w:val="auto"/>
          <w:sz w:val="32"/>
          <w:highlight w:val="auto"/>
        </w:rPr>
        <w:t>等文件精神，项目需求迫切。</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综合评价：评估项目具有现实需求，且迫切需求。</w:t>
      </w:r>
      <w:r>
        <w:rPr>
          <w:rStyle w:val="23"/>
          <w:rFonts w:eastAsia="仿宋_GB2312"/>
          <w:b w:val="0"/>
          <w:color w:val="auto"/>
          <w:sz w:val="32"/>
          <w:highlight w:val="auto"/>
        </w:rPr>
        <w:t>需求迫切性指标分值2.0分，评价得2.0分。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(2)可替代性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中、省、州均要求</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Style w:val="23"/>
          <w:rFonts w:eastAsia="仿宋_GB2312" w:cs="Arial" w:hint="eastAsia"/>
          <w:b w:val="0"/>
          <w:color w:val="auto"/>
          <w:sz w:val="32"/>
          <w:highlight w:val="auto"/>
        </w:rPr>
        <w:t>建设，</w:t>
      </w:r>
      <w:r>
        <w:rPr>
          <w:rStyle w:val="23"/>
          <w:rFonts w:eastAsia="仿宋_GB2312" w:cs="Arial" w:hint="eastAsia"/>
          <w:b w:val="0"/>
          <w:color w:val="auto"/>
          <w:sz w:val="32"/>
          <w:lang w:val="zh-CN"/>
          <w:highlight w:val="auto"/>
        </w:rPr>
        <w:t>项目实施</w:t>
      </w:r>
      <w:r>
        <w:rPr>
          <w:rStyle w:val="23"/>
          <w:rFonts w:eastAsia="仿宋_GB2312" w:cs="Arial" w:hint="eastAsia"/>
          <w:b w:val="0"/>
          <w:color w:val="auto"/>
          <w:sz w:val="32"/>
          <w:highlight w:val="auto"/>
        </w:rPr>
        <w:t>提供了周到、便捷、高效、体贴的专业化服务，不断促进了我</w:t>
      </w:r>
      <w:r>
        <w:rPr>
          <w:rFonts w:ascii="仿宋_GB2312" w:eastAsia="仿宋_GB2312" w:cs="仿宋_GB2312" w:hint="eastAsia"/>
          <w:b w:val="0"/>
          <w:bCs/>
          <w:color w:val="auto"/>
          <w:sz w:val="32"/>
          <w:szCs w:val="32"/>
          <w:lang w:val="en-US" w:eastAsia="zh-CN"/>
          <w:highlight w:val="auto"/>
        </w:rPr>
        <w:t>养老服务业</w:t>
      </w:r>
      <w:r>
        <w:rPr>
          <w:rStyle w:val="23"/>
          <w:rFonts w:eastAsia="仿宋_GB2312" w:cs="Arial" w:hint="eastAsia"/>
          <w:b w:val="0"/>
          <w:color w:val="auto"/>
          <w:sz w:val="32"/>
          <w:highlight w:val="auto"/>
        </w:rPr>
        <w:t>的健康发展，本项目不具备可替代性。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项目不具有可替代性。可替代性指标分值1.5分，评价得1.5分。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(3)确定的服务对象或受益对象</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收益对象为全县行政区域范围内由政府或企事业单位、社会组织、个人，按照本地养老设施建设专项规划或社区建设规划等相关规划要求，以独资或合资合作等方式建设的</w:t>
      </w:r>
      <w:r>
        <w:rPr>
          <w:rFonts w:ascii="仿宋" w:eastAsia="仿宋" w:cs="仿宋" w:hint="eastAsia"/>
          <w:b w:val="0"/>
          <w:bCs/>
          <w:color w:val="auto"/>
          <w:sz w:val="32"/>
          <w:szCs w:val="32"/>
          <w:lang w:val="en-US" w:eastAsia="zh-CN"/>
          <w:highlight w:val="auto"/>
        </w:rPr>
        <w:t>养老</w:t>
      </w:r>
      <w:r>
        <w:rPr>
          <w:rFonts w:ascii="仿宋" w:eastAsia="仿宋" w:cs="仿宋" w:hint="eastAsia"/>
          <w:b w:val="0"/>
          <w:bCs/>
          <w:color w:val="auto"/>
          <w:sz w:val="32"/>
          <w:szCs w:val="32"/>
          <w:highlight w:val="auto"/>
        </w:rPr>
        <w:t>设施建设</w:t>
      </w:r>
      <w:r>
        <w:rPr>
          <w:rStyle w:val="23"/>
          <w:rFonts w:eastAsia="仿宋_GB2312" w:cs="Arial" w:hint="eastAsia"/>
          <w:b w:val="0"/>
          <w:color w:val="auto"/>
          <w:sz w:val="32"/>
          <w:highlight w:val="auto"/>
        </w:rPr>
        <w:t>多层次的需求，不断加强</w:t>
      </w:r>
      <w:r>
        <w:rPr>
          <w:rFonts w:ascii="仿宋" w:eastAsia="仿宋" w:cs="仿宋" w:hint="eastAsia"/>
          <w:b w:val="0"/>
          <w:bCs/>
          <w:color w:val="auto"/>
          <w:sz w:val="32"/>
          <w:szCs w:val="32"/>
          <w:lang w:val="en-US" w:eastAsia="zh-CN"/>
          <w:highlight w:val="auto"/>
        </w:rPr>
        <w:t>养老</w:t>
      </w:r>
      <w:r>
        <w:rPr>
          <w:rFonts w:ascii="仿宋" w:eastAsia="仿宋" w:cs="仿宋" w:hint="eastAsia"/>
          <w:b w:val="0"/>
          <w:bCs/>
          <w:color w:val="auto"/>
          <w:sz w:val="32"/>
          <w:szCs w:val="32"/>
          <w:highlight w:val="auto"/>
        </w:rPr>
        <w:t>设施</w:t>
      </w:r>
      <w:r>
        <w:rPr>
          <w:rStyle w:val="23"/>
          <w:rFonts w:eastAsia="仿宋_GB2312" w:cs="Arial" w:hint="eastAsia"/>
          <w:b w:val="0"/>
          <w:color w:val="auto"/>
          <w:sz w:val="32"/>
          <w:highlight w:val="auto"/>
        </w:rPr>
        <w:t>建设进度，真正把民生实事办好，把好事办实，更好地提供服务，不断提升幸福感、获得感。</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项目服务对象或受益对象确定。确定的服务对象或受益对象指标分值1.5分，评价得1.5分。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4.财政投入相关性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(1)项目公共性</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本项目是为进一步体现党和政府对</w:t>
      </w:r>
      <w:r>
        <w:rPr>
          <w:rStyle w:val="23"/>
          <w:rFonts w:eastAsia="仿宋_GB2312" w:cs="Arial" w:hint="eastAsia"/>
          <w:b w:val="0"/>
          <w:color w:val="auto"/>
          <w:sz w:val="32"/>
          <w:lang w:val="en-US" w:eastAsia="zh-CN"/>
          <w:highlight w:val="auto"/>
        </w:rPr>
        <w:t>全县老年人</w:t>
      </w:r>
      <w:r>
        <w:rPr>
          <w:rStyle w:val="23"/>
          <w:rFonts w:eastAsia="仿宋_GB2312" w:cs="Arial" w:hint="eastAsia"/>
          <w:b w:val="0"/>
          <w:color w:val="auto"/>
          <w:sz w:val="32"/>
          <w:lang w:eastAsia="zh-CN"/>
          <w:highlight w:val="auto"/>
        </w:rPr>
        <w:t>、群众</w:t>
      </w:r>
      <w:r>
        <w:rPr>
          <w:rStyle w:val="23"/>
          <w:rFonts w:eastAsia="仿宋_GB2312" w:cs="Arial" w:hint="eastAsia"/>
          <w:b w:val="0"/>
          <w:color w:val="auto"/>
          <w:sz w:val="32"/>
          <w:highlight w:val="auto"/>
        </w:rPr>
        <w:t>关心关怀，推动我</w:t>
      </w:r>
      <w:r>
        <w:rPr>
          <w:rStyle w:val="23"/>
          <w:rFonts w:eastAsia="仿宋_GB2312" w:cs="Arial" w:hint="eastAsia"/>
          <w:b w:val="0"/>
          <w:color w:val="auto"/>
          <w:sz w:val="32"/>
          <w:lang w:eastAsia="zh-CN"/>
          <w:highlight w:val="auto"/>
        </w:rPr>
        <w:t>县</w:t>
      </w:r>
      <w:r>
        <w:rPr>
          <w:rStyle w:val="23"/>
          <w:rFonts w:eastAsia="仿宋_GB2312" w:cs="Arial" w:hint="eastAsia"/>
          <w:b w:val="0"/>
          <w:color w:val="auto"/>
          <w:sz w:val="32"/>
          <w:highlight w:val="auto"/>
        </w:rPr>
        <w:t>和谐发展，属于公共性项目。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财政投资项目具有公共性。项目公共性指标分值2.5分，评价得2.5分。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(2)项目财政支持范围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政府投资属于公共投资范畴，其投资的领域是由其职能决定的，主要包括公益性项目、基础性项目等。</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基础性项目是指那些建设期长、投资量大、经济收益较低的基础设施和基础产业项目。包括水利、能源、交通运输等基础设施和农、林、重要原材料等基础产业。</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b w:val="0"/>
          <w:bCs/>
          <w:color w:val="auto"/>
          <w:sz w:val="32"/>
          <w:szCs w:val="32"/>
          <w:highlight w:val="auto"/>
        </w:rPr>
        <w:t>金川县救助福利服务中心维修改造和设施设备项目</w:t>
      </w:r>
      <w:r>
        <w:rPr>
          <w:rStyle w:val="23"/>
          <w:rFonts w:eastAsia="仿宋_GB2312" w:cs="Arial" w:hint="eastAsia"/>
          <w:b w:val="0"/>
          <w:color w:val="auto"/>
          <w:sz w:val="32"/>
          <w:highlight w:val="auto"/>
        </w:rPr>
        <w:t>，属于公共财政支持范围项目。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评估项目属于公共财政支持范围。项目财政支持范围指标分值2.5分，评价得2.5分。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(二)投入经济性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投入经济性指标分值20分，评价得20分。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1.财政投入合理性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(1)项目预算与预期效果匹配</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项目预算</w:t>
      </w:r>
      <w:r>
        <w:rPr>
          <w:rStyle w:val="23"/>
          <w:rFonts w:eastAsia="仿宋_GB2312" w:cs="Arial"/>
          <w:b w:val="0"/>
          <w:color w:val="auto"/>
          <w:sz w:val="32"/>
          <w:highlight w:val="auto"/>
        </w:rPr>
        <w:t>费</w:t>
      </w:r>
      <w:r>
        <w:rPr>
          <w:rStyle w:val="23"/>
          <w:rFonts w:eastAsia="仿宋_GB2312" w:cs="Arial" w:hint="eastAsia"/>
          <w:b w:val="0"/>
          <w:color w:val="auto"/>
          <w:sz w:val="32"/>
          <w:highlight w:val="auto"/>
        </w:rPr>
        <w:t>用</w:t>
      </w:r>
      <w:r>
        <w:rPr>
          <w:rFonts w:ascii="仿宋" w:eastAsia="仿宋" w:cs="仿宋" w:hint="eastAsia"/>
          <w:b w:val="0"/>
          <w:bCs/>
          <w:color w:val="auto"/>
          <w:sz w:val="32"/>
          <w:szCs w:val="32"/>
          <w:lang w:val="en-US" w:eastAsia="zh-CN"/>
          <w:highlight w:val="auto"/>
        </w:rPr>
        <w:t>30张床位及维修改造</w:t>
      </w:r>
      <w:r>
        <w:rPr>
          <w:rFonts w:ascii="仿宋_GB2312" w:eastAsia="仿宋_GB2312" w:cs="仿宋_GB2312" w:hint="eastAsia"/>
          <w:b w:val="0"/>
          <w:bCs/>
          <w:color w:val="auto"/>
          <w:sz w:val="32"/>
          <w:szCs w:val="32"/>
          <w:highlight w:val="auto"/>
        </w:rPr>
        <w:t>项目</w:t>
      </w:r>
      <w:r>
        <w:rPr>
          <w:rFonts w:ascii="仿宋" w:eastAsia="仿宋" w:cs="仿宋" w:hint="eastAsia"/>
          <w:b w:val="0"/>
          <w:bCs/>
          <w:color w:val="auto"/>
          <w:sz w:val="32"/>
          <w:szCs w:val="32"/>
          <w:lang w:eastAsia="zh-CN"/>
          <w:highlight w:val="auto"/>
        </w:rPr>
        <w:t>资金</w:t>
      </w:r>
      <w:r>
        <w:rPr>
          <w:rStyle w:val="23"/>
          <w:rFonts w:eastAsia="仿宋_GB2312" w:cs="Arial" w:hint="eastAsia"/>
          <w:b w:val="0"/>
          <w:color w:val="auto"/>
          <w:sz w:val="32"/>
          <w:highlight w:val="auto"/>
        </w:rPr>
        <w:t>、运营补贴共</w:t>
      </w:r>
      <w:r>
        <w:rPr>
          <w:rStyle w:val="23"/>
          <w:rFonts w:eastAsia="仿宋_GB2312" w:cs="Arial" w:hint="eastAsia"/>
          <w:b w:val="0"/>
          <w:color w:val="auto"/>
          <w:sz w:val="32"/>
          <w:lang w:val="en-US" w:eastAsia="zh-CN"/>
          <w:highlight w:val="auto"/>
        </w:rPr>
        <w:t>15</w:t>
      </w:r>
      <w:r>
        <w:rPr>
          <w:rStyle w:val="23"/>
          <w:rFonts w:eastAsia="仿宋_GB2312" w:cs="Arial" w:hint="eastAsia"/>
          <w:b w:val="0"/>
          <w:color w:val="auto"/>
          <w:sz w:val="32"/>
          <w:highlight w:val="auto"/>
        </w:rPr>
        <w:t>万元。通过本项目的实施，以制度为核心，以监管为重点，确保基金安全，有条不紊开展各项工作，加强经办能力、优化服务政策，收入预算与经济发展相协调，坚持民生优先，项目投入资源及成本与预期产出及效果相匹配。</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项目投入资源及成本与预期产出及效果相匹配</w:t>
      </w:r>
      <w:r>
        <w:rPr>
          <w:rStyle w:val="23"/>
          <w:rFonts w:eastAsia="仿宋_GB2312"/>
          <w:b w:val="0"/>
          <w:bCs/>
          <w:color w:val="auto"/>
          <w:sz w:val="32"/>
          <w:highlight w:val="auto"/>
        </w:rPr>
        <w:t>。</w:t>
      </w:r>
      <w:r>
        <w:rPr>
          <w:rStyle w:val="23"/>
          <w:rFonts w:eastAsia="仿宋_GB2312"/>
          <w:b w:val="0"/>
          <w:color w:val="auto"/>
          <w:sz w:val="32"/>
          <w:highlight w:val="auto"/>
        </w:rPr>
        <w:t>项目预算与预期效果匹配指标分值4.0分，评价得4.0分。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(2)投入成本合理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本次项目预计</w:t>
      </w:r>
      <w:r>
        <w:rPr>
          <w:rFonts w:ascii="仿宋" w:eastAsia="仿宋" w:cs="仿宋" w:hint="eastAsia"/>
          <w:b w:val="0"/>
          <w:bCs/>
          <w:color w:val="auto"/>
          <w:sz w:val="32"/>
          <w:szCs w:val="32"/>
          <w:lang w:val="en-US" w:eastAsia="zh-CN"/>
          <w:highlight w:val="auto"/>
        </w:rPr>
        <w:t>30张床位及维修改造</w:t>
      </w:r>
      <w:r>
        <w:rPr>
          <w:rFonts w:ascii="仿宋_GB2312" w:eastAsia="仿宋_GB2312" w:cs="仿宋_GB2312" w:hint="eastAsia"/>
          <w:b w:val="0"/>
          <w:bCs/>
          <w:color w:val="auto"/>
          <w:sz w:val="32"/>
          <w:szCs w:val="32"/>
          <w:highlight w:val="auto"/>
        </w:rPr>
        <w:t>项目</w:t>
      </w:r>
      <w:r>
        <w:rPr>
          <w:rStyle w:val="23"/>
          <w:rFonts w:eastAsia="仿宋_GB2312" w:cs="Arial" w:hint="eastAsia"/>
          <w:b w:val="0"/>
          <w:color w:val="auto"/>
          <w:sz w:val="32"/>
          <w:lang w:val="en-US" w:eastAsia="zh-CN"/>
          <w:highlight w:val="auto"/>
        </w:rPr>
        <w:t>1</w:t>
      </w:r>
      <w:r>
        <w:rPr>
          <w:rStyle w:val="23"/>
          <w:rFonts w:eastAsia="仿宋_GB2312" w:cs="Arial" w:hint="eastAsia"/>
          <w:b w:val="0"/>
          <w:color w:val="auto"/>
          <w:sz w:val="32"/>
          <w:highlight w:val="auto"/>
        </w:rPr>
        <w:t>个，共计安排资金</w:t>
      </w:r>
      <w:r>
        <w:rPr>
          <w:rStyle w:val="23"/>
          <w:rFonts w:eastAsia="仿宋_GB2312" w:cs="Arial" w:hint="eastAsia"/>
          <w:b w:val="0"/>
          <w:color w:val="auto"/>
          <w:sz w:val="32"/>
          <w:lang w:val="en-US" w:eastAsia="zh-CN"/>
          <w:highlight w:val="auto"/>
        </w:rPr>
        <w:t>15</w:t>
      </w:r>
      <w:r>
        <w:rPr>
          <w:rStyle w:val="23"/>
          <w:rFonts w:eastAsia="仿宋_GB2312" w:cs="Arial" w:hint="eastAsia"/>
          <w:b w:val="0"/>
          <w:color w:val="auto"/>
          <w:sz w:val="32"/>
          <w:highlight w:val="auto"/>
        </w:rPr>
        <w:t>万元。项目预算编制的政策、依据等符合中央、省、市、县相关法律、法规、政策规定，项目预算编制合理，成本测算依据充分。</w:t>
      </w:r>
    </w:p>
    <w:p>
      <w:pPr>
        <w:spacing w:line="560" w:lineRule="exact"/>
        <w:ind w:firstLineChars="200" w:firstLine="640"/>
        <w:rPr>
          <w:rFonts w:ascii="仿宋_GB2312" w:eastAsia="仿宋_GB2312"/>
          <w:b/>
          <w:color w:val="auto"/>
          <w:sz w:val="32"/>
          <w:szCs w:val="32"/>
          <w:highlight w:val="auto"/>
        </w:rPr>
      </w:pPr>
      <w:r>
        <w:rPr>
          <w:rStyle w:val="23"/>
          <w:rFonts w:eastAsia="仿宋_GB2312" w:cs="Arial"/>
          <w:b w:val="0"/>
          <w:color w:val="auto"/>
          <w:sz w:val="32"/>
          <w:highlight w:val="auto"/>
        </w:rPr>
        <w:t>综合评</w:t>
      </w:r>
      <w:r>
        <w:rPr>
          <w:rStyle w:val="23"/>
          <w:rFonts w:eastAsia="仿宋_GB2312"/>
          <w:b w:val="0"/>
          <w:bCs/>
          <w:color w:val="auto"/>
          <w:sz w:val="32"/>
          <w:highlight w:val="auto"/>
        </w:rPr>
        <w:t>价：</w:t>
      </w:r>
      <w:r>
        <w:rPr>
          <w:rStyle w:val="23"/>
          <w:rFonts w:eastAsia="仿宋_GB2312"/>
          <w:b w:val="0"/>
          <w:color w:val="auto"/>
          <w:sz w:val="32"/>
          <w:highlight w:val="auto"/>
        </w:rPr>
        <w:t>项目投入成本合理，成本测算依据充分。投入成本合理指标分值3.0分，评价得3.0分。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(3)其他渠道投入充分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本项目资金为财政资金，无其他渠道投入。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综合评价：项目资金未见其他渠道有充分投入</w:t>
      </w:r>
      <w:r>
        <w:rPr>
          <w:rStyle w:val="23"/>
          <w:rFonts w:eastAsia="仿宋_GB2312"/>
          <w:b w:val="0"/>
          <w:color w:val="auto"/>
          <w:sz w:val="32"/>
          <w:highlight w:val="auto"/>
        </w:rPr>
        <w:t>。其他渠道投入充分指标分值3.0分，评价得3.0分。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2.成本控制措施有效性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(1)成本预期水平合理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本项目按照</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Fonts w:ascii="仿宋_GB2312" w:eastAsia="仿宋_GB2312" w:cs="仿宋_GB2312" w:hint="eastAsia"/>
          <w:b w:val="0"/>
          <w:bCs/>
          <w:color w:val="auto"/>
          <w:sz w:val="32"/>
          <w:szCs w:val="32"/>
          <w:lang w:val="en-US" w:eastAsia="zh-CN"/>
          <w:highlight w:val="auto"/>
        </w:rPr>
        <w:t>1个</w:t>
      </w:r>
      <w:r>
        <w:rPr>
          <w:rStyle w:val="23"/>
          <w:rFonts w:eastAsia="仿宋_GB2312" w:cs="Arial" w:hint="eastAsia"/>
          <w:b w:val="0"/>
          <w:color w:val="auto"/>
          <w:sz w:val="32"/>
          <w:highlight w:val="auto"/>
        </w:rPr>
        <w:t>进行规范建设成本，进行规划建设项目预期水平合理。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成本预期水平比较合理。成本预期水平合理指标分值4.0分，评价得4.0分。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(2)投入产出比合理</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color w:val="auto"/>
          <w:sz w:val="32"/>
          <w:highlight w:val="auto"/>
        </w:rPr>
        <w:t>本项目要求实施内容完成</w:t>
      </w:r>
      <w:r>
        <w:rPr>
          <w:rFonts w:ascii="仿宋" w:eastAsia="仿宋" w:cs="仿宋" w:hint="eastAsia"/>
          <w:b w:val="0"/>
          <w:bCs/>
          <w:color w:val="auto"/>
          <w:sz w:val="32"/>
          <w:szCs w:val="32"/>
          <w:lang w:val="en-US" w:eastAsia="zh-CN"/>
          <w:highlight w:val="auto"/>
        </w:rPr>
        <w:t>50张床位及维修改造</w:t>
      </w:r>
      <w:r>
        <w:rPr>
          <w:rFonts w:ascii="仿宋_GB2312" w:eastAsia="仿宋_GB2312" w:cs="仿宋_GB2312" w:hint="eastAsia"/>
          <w:b w:val="0"/>
          <w:bCs/>
          <w:color w:val="auto"/>
          <w:sz w:val="32"/>
          <w:szCs w:val="32"/>
          <w:highlight w:val="auto"/>
        </w:rPr>
        <w:t>项目</w:t>
      </w:r>
      <w:r>
        <w:rPr>
          <w:rFonts w:ascii="仿宋_GB2312" w:eastAsia="仿宋_GB2312" w:cs="仿宋_GB2312" w:hint="eastAsia"/>
          <w:b w:val="0"/>
          <w:bCs/>
          <w:color w:val="auto"/>
          <w:sz w:val="32"/>
          <w:szCs w:val="32"/>
          <w:lang w:val="en-US" w:eastAsia="zh-CN"/>
          <w:highlight w:val="auto"/>
        </w:rPr>
        <w:t>1个</w:t>
      </w:r>
      <w:r>
        <w:rPr>
          <w:rStyle w:val="23"/>
          <w:rFonts w:eastAsia="仿宋_GB2312" w:cs="Arial" w:hint="eastAsia"/>
          <w:b w:val="0"/>
          <w:color w:val="auto"/>
          <w:sz w:val="32"/>
          <w:highlight w:val="auto"/>
        </w:rPr>
        <w:t>，共计安排资金</w:t>
      </w:r>
      <w:r>
        <w:rPr>
          <w:rStyle w:val="23"/>
          <w:rFonts w:eastAsia="仿宋_GB2312" w:cs="Arial" w:hint="eastAsia"/>
          <w:b w:val="0"/>
          <w:color w:val="auto"/>
          <w:sz w:val="32"/>
          <w:lang w:val="en-US" w:eastAsia="zh-CN"/>
          <w:highlight w:val="auto"/>
        </w:rPr>
        <w:t>15</w:t>
      </w:r>
      <w:r>
        <w:rPr>
          <w:rStyle w:val="23"/>
          <w:rFonts w:eastAsia="仿宋_GB2312" w:cs="Arial" w:hint="eastAsia"/>
          <w:b w:val="0"/>
          <w:color w:val="auto"/>
          <w:sz w:val="32"/>
          <w:highlight w:val="auto"/>
        </w:rPr>
        <w:t>万元，推动了基础设施建设</w:t>
      </w:r>
      <w:r>
        <w:rPr>
          <w:rStyle w:val="23"/>
          <w:rFonts w:eastAsia="仿宋_GB2312" w:cs="Arial" w:hint="eastAsia"/>
          <w:b w:val="0"/>
          <w:color w:val="auto"/>
          <w:sz w:val="32"/>
          <w:lang w:val="en-US" w:eastAsia="zh-CN"/>
          <w:highlight w:val="auto"/>
        </w:rPr>
        <w:t>发展</w:t>
      </w:r>
      <w:r>
        <w:rPr>
          <w:rStyle w:val="23"/>
          <w:rFonts w:eastAsia="仿宋_GB2312" w:cs="Arial" w:hint="eastAsia"/>
          <w:b w:val="0"/>
          <w:color w:val="auto"/>
          <w:sz w:val="32"/>
          <w:highlight w:val="auto"/>
        </w:rPr>
        <w:t>，投入产出比合理。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项目投入产出比较合理。投入产出比合理指标分值3.0分，评价得3.0分。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(3)成本控制有效</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该项目按照补贴指标进行，成本控制有效。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项目成本节约控制有效、合理。成本控制有效指标分值3.0分，评价得3.0分。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(三)绩效目标合理性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绩效目标合理性指标分值20分，评价得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color w:val="auto"/>
          <w:sz w:val="32"/>
          <w:szCs w:val="32"/>
          <w:highlight w:val="auto"/>
        </w:rPr>
        <w:t>7.50</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1.目标明确性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(1)目标明确</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本项目目标为：</w:t>
      </w:r>
      <w:r>
        <w:rPr>
          <w:rStyle w:val="23"/>
          <w:rFonts w:eastAsia="仿宋_GB2312" w:cs="Arial" w:hint="eastAsia"/>
          <w:b w:val="0"/>
          <w:color w:val="auto"/>
          <w:sz w:val="32"/>
          <w:lang w:val="en-US" w:eastAsia="zh-CN"/>
          <w:highlight w:val="auto"/>
        </w:rPr>
        <w:t>为</w:t>
      </w:r>
      <w:r>
        <w:rPr>
          <w:rStyle w:val="23"/>
          <w:rFonts w:eastAsia="仿宋_GB2312" w:cs="Arial" w:hint="eastAsia"/>
          <w:b w:val="0"/>
          <w:color w:val="auto"/>
          <w:sz w:val="32"/>
          <w:highlight w:val="auto"/>
        </w:rPr>
        <w:t>全县</w:t>
      </w:r>
      <w:r>
        <w:rPr>
          <w:rStyle w:val="23"/>
          <w:rFonts w:eastAsia="仿宋_GB2312" w:cs="Arial" w:hint="eastAsia"/>
          <w:b w:val="0"/>
          <w:color w:val="auto"/>
          <w:sz w:val="32"/>
          <w:lang w:eastAsia="zh-CN"/>
          <w:highlight w:val="auto"/>
        </w:rPr>
        <w:t>村（社区）</w:t>
      </w:r>
      <w:r>
        <w:rPr>
          <w:rStyle w:val="23"/>
          <w:rFonts w:eastAsia="仿宋_GB2312" w:cs="Arial" w:hint="eastAsia"/>
          <w:b w:val="0"/>
          <w:color w:val="auto"/>
          <w:sz w:val="32"/>
          <w:lang w:val="en-US" w:eastAsia="zh-CN"/>
          <w:highlight w:val="auto"/>
        </w:rPr>
        <w:t>老年人</w:t>
      </w:r>
      <w:r>
        <w:rPr>
          <w:rStyle w:val="23"/>
          <w:rFonts w:eastAsia="仿宋_GB2312" w:cs="Arial" w:hint="eastAsia"/>
          <w:b w:val="0"/>
          <w:color w:val="auto"/>
          <w:sz w:val="32"/>
          <w:highlight w:val="auto"/>
        </w:rPr>
        <w:t>提供周到、便捷、高效、体贴的专业化服务，绩效目标明确。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项目绩效目标明确。目标明确指标分值2.5分，评价得2.5分。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(2)目标与规划一致</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w:t>
      </w:r>
      <w:r>
        <w:rPr>
          <w:rStyle w:val="23"/>
          <w:rFonts w:eastAsia="仿宋_GB2312" w:cs="Arial" w:hint="eastAsia"/>
          <w:b w:val="0"/>
          <w:bCs/>
          <w:color w:val="auto"/>
          <w:sz w:val="32"/>
          <w:highlight w:val="auto"/>
        </w:rPr>
        <w:t>依据</w:t>
      </w:r>
      <w:r>
        <w:rPr>
          <w:rStyle w:val="23"/>
          <w:rFonts w:eastAsia="仿宋_GB2312" w:cs="Arial" w:hint="eastAsia"/>
          <w:b w:val="0"/>
          <w:color w:val="auto"/>
          <w:sz w:val="32"/>
          <w:highlight w:val="auto"/>
        </w:rPr>
        <w:t>《国务院关于加快发展养老服务业的若干意见》（国发〔2013〕35号）、《四川省人民政府关于加快发展养老服务业的实施意见》（川府发〔2014〕8号）</w:t>
      </w:r>
      <w:r>
        <w:rPr>
          <w:rStyle w:val="23"/>
          <w:rFonts w:eastAsia="仿宋_GB2312" w:cs="Arial" w:hint="eastAsia"/>
          <w:b w:val="0"/>
          <w:bCs/>
          <w:color w:val="auto"/>
          <w:sz w:val="32"/>
          <w:highlight w:val="auto"/>
        </w:rPr>
        <w:t>等文件精神</w:t>
      </w:r>
      <w:r>
        <w:rPr>
          <w:rStyle w:val="23"/>
          <w:rFonts w:eastAsia="仿宋_GB2312" w:cs="Arial" w:hint="eastAsia"/>
          <w:b w:val="0"/>
          <w:bCs/>
          <w:color w:val="auto"/>
          <w:sz w:val="32"/>
          <w:lang w:eastAsia="zh-CN"/>
          <w:highlight w:val="auto"/>
        </w:rPr>
        <w:t>，</w:t>
      </w:r>
      <w:r>
        <w:rPr>
          <w:rStyle w:val="23"/>
          <w:rFonts w:eastAsia="仿宋_GB2312" w:cs="Arial" w:hint="eastAsia"/>
          <w:b w:val="0"/>
          <w:color w:val="auto"/>
          <w:sz w:val="32"/>
          <w:highlight w:val="auto"/>
        </w:rPr>
        <w:t>健全基础建设，项目绩效目标与项目的长期规划目标、年度工作目标相一致。</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项目绩效目标与项目的长期规划目标、年度工作目标相一致。目标与规划一致指标分值2.5分，评价得2.5分。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(3)目标受益群体准确</w:t>
      </w:r>
    </w:p>
    <w:p>
      <w:pPr>
        <w:spacing w:line="560" w:lineRule="exact"/>
        <w:ind w:firstLineChars="200" w:firstLine="640"/>
        <w:rPr>
          <w:rStyle w:val="23"/>
          <w:rFonts w:eastAsia="仿宋_GB2312" w:cs="Arial"/>
          <w:b w:val="0"/>
          <w:bCs/>
          <w:color w:val="auto"/>
          <w:sz w:val="32"/>
          <w:highlight w:val="auto"/>
        </w:rPr>
      </w:pPr>
      <w:r>
        <w:rPr>
          <w:rStyle w:val="23"/>
          <w:rFonts w:eastAsia="仿宋_GB2312" w:cs="Arial" w:hint="eastAsia"/>
          <w:b w:val="0"/>
          <w:bCs/>
          <w:color w:val="auto"/>
          <w:sz w:val="32"/>
          <w:highlight w:val="auto"/>
        </w:rPr>
        <w:t>根据现场查看相关资料，被评估单位目标为</w:t>
      </w:r>
      <w:r>
        <w:rPr>
          <w:rStyle w:val="23"/>
          <w:rFonts w:eastAsia="仿宋_GB2312" w:cs="Arial" w:hint="eastAsia"/>
          <w:b w:val="0"/>
          <w:bCs/>
          <w:color w:val="auto"/>
          <w:sz w:val="32"/>
          <w:lang w:val="en-US" w:eastAsia="zh-CN"/>
          <w:highlight w:val="auto"/>
        </w:rPr>
        <w:t>以</w:t>
      </w:r>
      <w:r>
        <w:rPr>
          <w:rStyle w:val="23"/>
          <w:rFonts w:eastAsia="仿宋_GB2312" w:cs="Arial" w:hint="eastAsia"/>
          <w:b w:val="0"/>
          <w:bCs/>
          <w:color w:val="auto"/>
          <w:sz w:val="32"/>
          <w:highlight w:val="auto"/>
        </w:rPr>
        <w:t>全县</w:t>
      </w:r>
      <w:r>
        <w:rPr>
          <w:rStyle w:val="23"/>
          <w:rFonts w:eastAsia="仿宋_GB2312" w:cs="Arial" w:hint="eastAsia"/>
          <w:b w:val="0"/>
          <w:bCs/>
          <w:color w:val="auto"/>
          <w:sz w:val="32"/>
          <w:lang w:val="en-US" w:eastAsia="zh-CN"/>
          <w:highlight w:val="auto"/>
        </w:rPr>
        <w:t>老年人为</w:t>
      </w:r>
      <w:r>
        <w:rPr>
          <w:rStyle w:val="23"/>
          <w:rFonts w:eastAsia="仿宋_GB2312" w:cs="Arial" w:hint="eastAsia"/>
          <w:b w:val="0"/>
          <w:bCs/>
          <w:color w:val="auto"/>
          <w:sz w:val="32"/>
          <w:highlight w:val="auto"/>
        </w:rPr>
        <w:t>服务对象，不断促进我县</w:t>
      </w:r>
      <w:r>
        <w:rPr>
          <w:rStyle w:val="23"/>
          <w:rFonts w:eastAsia="仿宋_GB2312" w:cs="Arial" w:hint="eastAsia"/>
          <w:b w:val="0"/>
          <w:bCs/>
          <w:color w:val="auto"/>
          <w:sz w:val="32"/>
          <w:lang w:eastAsia="zh-CN"/>
          <w:highlight w:val="auto"/>
        </w:rPr>
        <w:t>公</w:t>
      </w:r>
      <w:r>
        <w:rPr>
          <w:rStyle w:val="23"/>
          <w:rFonts w:eastAsia="仿宋_GB2312" w:cs="Arial" w:hint="eastAsia"/>
          <w:b w:val="0"/>
          <w:bCs/>
          <w:color w:val="auto"/>
          <w:sz w:val="32"/>
          <w:lang w:val="en-US" w:eastAsia="zh-CN"/>
          <w:highlight w:val="auto"/>
        </w:rPr>
        <w:t>养老</w:t>
      </w:r>
      <w:r>
        <w:rPr>
          <w:rStyle w:val="23"/>
          <w:rFonts w:eastAsia="仿宋_GB2312" w:cs="Arial" w:hint="eastAsia"/>
          <w:b w:val="0"/>
          <w:bCs/>
          <w:color w:val="auto"/>
          <w:sz w:val="32"/>
          <w:lang w:eastAsia="zh-CN"/>
          <w:highlight w:val="auto"/>
        </w:rPr>
        <w:t>服</w:t>
      </w:r>
      <w:r>
        <w:rPr>
          <w:rStyle w:val="23"/>
          <w:rFonts w:eastAsia="仿宋_GB2312" w:cs="Arial" w:hint="eastAsia"/>
          <w:b w:val="0"/>
          <w:bCs/>
          <w:color w:val="auto"/>
          <w:sz w:val="32"/>
          <w:highlight w:val="auto"/>
        </w:rPr>
        <w:t>务业的健康发展，</w:t>
      </w:r>
      <w:r>
        <w:rPr>
          <w:rStyle w:val="23"/>
          <w:rFonts w:eastAsia="仿宋_GB2312" w:cs="Arial" w:hint="eastAsia"/>
          <w:b w:val="0"/>
          <w:bCs/>
          <w:color w:val="auto"/>
          <w:sz w:val="32"/>
          <w:lang w:val="en-US" w:eastAsia="zh-CN"/>
          <w:highlight w:val="auto"/>
        </w:rPr>
        <w:t>项</w:t>
      </w:r>
      <w:r>
        <w:rPr>
          <w:rStyle w:val="23"/>
          <w:rFonts w:eastAsia="仿宋_GB2312" w:cs="Arial" w:hint="eastAsia"/>
          <w:b w:val="0"/>
          <w:bCs/>
          <w:color w:val="auto"/>
          <w:sz w:val="32"/>
          <w:highlight w:val="auto"/>
        </w:rPr>
        <w:t>目绩效目标受益群体定位准确。</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项目绩效目标受益群体定位准确。目标受益群体准确指标分值2.5分，评价得2.5分。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(4)目标与项目相关度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综合评价：项目绩效目标和指标设置与项目高度相关。目标与项目相关度指标分值2.5分，评价得</w:t>
      </w:r>
      <w:r>
        <w:rPr>
          <w:rFonts w:ascii="仿宋_GB2312" w:eastAsia="仿宋_GB2312" w:cs="仿宋_GB2312" w:hint="eastAsia"/>
          <w:color w:val="auto"/>
          <w:sz w:val="32"/>
          <w:szCs w:val="32"/>
          <w:lang w:val="en-US" w:eastAsia="zh-CN"/>
          <w:highlight w:val="auto"/>
        </w:rPr>
        <w:t>2.5</w:t>
      </w:r>
      <w:r>
        <w:rPr>
          <w:rFonts w:ascii="仿宋_GB2312" w:eastAsia="仿宋_GB2312" w:cs="仿宋_GB2312"/>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2.目标合理性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(1)目标与预计解决的问题匹配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项目绩效目标与项目预计解决的问题相匹配。目标与预计解决的问题匹配指标分值2.5分，评价得2.5分。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(2)目标与现实需求匹配</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目标与现实需求相匹配。目标与现实需求匹配指标分值2.5分，评价得2.5分。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(3)目标设置前瞻性及挑战性</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本项目绩效目标为常规目标，不具有前瞻性及挑战性。</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综合评价：项目</w:t>
      </w:r>
      <w:r>
        <w:rPr>
          <w:rStyle w:val="23"/>
          <w:rFonts w:eastAsia="仿宋_GB2312"/>
          <w:b w:val="0"/>
          <w:color w:val="auto"/>
          <w:sz w:val="32"/>
          <w:highlight w:val="auto"/>
        </w:rPr>
        <w:t>目标设置</w:t>
      </w:r>
      <w:r>
        <w:rPr>
          <w:rStyle w:val="23"/>
          <w:rFonts w:eastAsia="仿宋_GB2312" w:hint="eastAsia"/>
          <w:b w:val="0"/>
          <w:color w:val="auto"/>
          <w:sz w:val="32"/>
          <w:highlight w:val="auto"/>
        </w:rPr>
        <w:t>不</w:t>
      </w:r>
      <w:r>
        <w:rPr>
          <w:rStyle w:val="23"/>
          <w:rFonts w:eastAsia="仿宋_GB2312"/>
          <w:b w:val="0"/>
          <w:color w:val="auto"/>
          <w:sz w:val="32"/>
          <w:highlight w:val="auto"/>
        </w:rPr>
        <w:t>具有前瞻性及挑战性。目标设置前瞻性及挑战性指标分值2.5分，评价得0分。</w:t>
      </w:r>
    </w:p>
    <w:p>
      <w:pPr>
        <w:spacing w:line="560" w:lineRule="exact"/>
        <w:ind w:leftChars="200" w:left="420" w:firstLineChars="100" w:firstLine="32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(4)目标完整及合理</w:t>
      </w:r>
    </w:p>
    <w:p>
      <w:pPr>
        <w:spacing w:line="560" w:lineRule="exact"/>
        <w:ind w:firstLineChars="200" w:firstLine="640"/>
        <w:rPr>
          <w:rStyle w:val="23"/>
          <w:rFonts w:eastAsia="仿宋_GB2312" w:cs="Arial"/>
          <w:b w:val="0"/>
          <w:color w:val="auto"/>
          <w:sz w:val="32"/>
          <w:highlight w:val="auto"/>
        </w:rPr>
      </w:pPr>
      <w:r>
        <w:rPr>
          <w:rFonts w:ascii="仿宋_GB2312" w:eastAsia="仿宋_GB2312" w:cs="仿宋_GB2312" w:hint="eastAsia"/>
          <w:color w:val="auto"/>
          <w:sz w:val="32"/>
          <w:szCs w:val="32"/>
          <w:highlight w:val="auto"/>
        </w:rPr>
        <w:t>目前单位编写</w:t>
      </w:r>
      <w:r>
        <w:rPr>
          <w:rFonts w:ascii="仿宋_GB2312" w:eastAsia="仿宋_GB2312" w:cs="仿宋_GB2312" w:hint="eastAsia"/>
          <w:color w:val="auto"/>
          <w:sz w:val="32"/>
          <w:szCs w:val="32"/>
          <w:lang w:val="en-US" w:eastAsia="zh-CN"/>
          <w:highlight w:val="auto"/>
        </w:rPr>
        <w:t>了</w:t>
      </w:r>
      <w:r>
        <w:rPr>
          <w:rFonts w:ascii="仿宋_GB2312" w:eastAsia="仿宋_GB2312" w:cs="仿宋_GB2312" w:hint="eastAsia"/>
          <w:color w:val="auto"/>
          <w:sz w:val="32"/>
          <w:szCs w:val="32"/>
          <w:highlight w:val="auto"/>
        </w:rPr>
        <w:t>绩效目标申报表</w:t>
      </w:r>
      <w:r>
        <w:rPr>
          <w:rStyle w:val="23"/>
          <w:rFonts w:eastAsia="仿宋_GB2312" w:cs="Arial" w:hint="eastAsia"/>
          <w:b w:val="0"/>
          <w:color w:val="auto"/>
          <w:sz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项目绩效指标细化、量化，指标值设置合理。目标完整及合理指标分值2.5分，评价得2.5分。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(四)实施方案有效性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实施方案有效性指标分值20分，其中2分纳入不计分项，实际有效指标分值18分，评价得</w:t>
      </w:r>
      <w:r>
        <w:rPr>
          <w:rFonts w:ascii="仿宋_GB2312" w:eastAsia="仿宋_GB2312" w:cs="仿宋_GB2312" w:hint="eastAsia"/>
          <w:color w:val="auto"/>
          <w:sz w:val="32"/>
          <w:szCs w:val="32"/>
          <w:lang w:val="en-US" w:eastAsia="zh-CN"/>
          <w:highlight w:val="auto"/>
        </w:rPr>
        <w:t>8</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1.实施内容明确性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根据现场查看相关资料，被评估单位实施内容明确、具体，与绩效目标相匹配，编制完成专项管理办法，项目实施方案组织机构健全，职责分工明确，组织机构保障</w:t>
      </w:r>
      <w:r>
        <w:rPr>
          <w:rFonts w:ascii="仿宋_GB2312" w:eastAsia="仿宋_GB2312" w:cs="仿宋_GB2312" w:hint="eastAsia"/>
          <w:color w:val="auto"/>
          <w:sz w:val="32"/>
          <w:szCs w:val="32"/>
          <w:lang w:eastAsia="zh-CN"/>
          <w:highlight w:val="auto"/>
        </w:rPr>
        <w:t>机制健全</w:t>
      </w:r>
      <w:r>
        <w:rPr>
          <w:rFonts w:ascii="仿宋_GB2312" w:eastAsia="仿宋_GB2312" w:cs="仿宋_GB2312" w:hint="eastAsia"/>
          <w:color w:val="auto"/>
          <w:sz w:val="32"/>
          <w:szCs w:val="32"/>
          <w:highlight w:val="auto"/>
        </w:rPr>
        <w:t>，与实施内容匹配。</w:t>
      </w:r>
    </w:p>
    <w:p>
      <w:pPr>
        <w:spacing w:line="560" w:lineRule="exact"/>
        <w:ind w:firstLineChars="200" w:firstLine="64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highlight w:val="auto"/>
        </w:rPr>
        <w:t>综合评价：项目内容明确具体，与绩效目标相匹配；组织机构保障滞后，与实施内容匹配。实施内容明确性指标分值5.0分，评价得</w:t>
      </w:r>
      <w:r>
        <w:rPr>
          <w:rFonts w:ascii="仿宋_GB2312" w:eastAsia="仿宋_GB2312" w:cs="仿宋_GB2312" w:hint="eastAsia"/>
          <w:color w:val="auto"/>
          <w:sz w:val="32"/>
          <w:szCs w:val="32"/>
          <w:lang w:val="en-US" w:eastAsia="zh-CN"/>
          <w:highlight w:val="auto"/>
        </w:rPr>
        <w:t>5</w:t>
      </w:r>
      <w:r>
        <w:rPr>
          <w:rFonts w:ascii="仿宋_GB2312" w:eastAsia="仿宋_GB2312" w:cs="仿宋_GB2312" w:hint="eastAsia"/>
          <w:color w:val="auto"/>
          <w:sz w:val="32"/>
          <w:szCs w:val="32"/>
          <w:highlight w:val="auto"/>
        </w:rPr>
        <w:t>.0分。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2.项目时效性</w:t>
      </w:r>
    </w:p>
    <w:p>
      <w:pPr>
        <w:spacing w:line="560" w:lineRule="exact"/>
        <w:ind w:firstLineChars="200" w:firstLine="640"/>
        <w:outlineLvl w:val="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lang w:val="en-US" w:eastAsia="zh-CN"/>
          <w:highlight w:val="auto"/>
        </w:rPr>
        <w:t>本项目未设置设立、退出时限（该项目确定了施工承包单位后才能确定项目相关的退出时限），建立了相关项目调整机制</w:t>
      </w:r>
      <w:r>
        <w:rPr>
          <w:rFonts w:ascii="仿宋_GB2312" w:eastAsia="仿宋_GB2312" w:cs="仿宋_GB2312" w:hint="eastAsia"/>
          <w:color w:val="auto"/>
          <w:sz w:val="32"/>
          <w:szCs w:val="32"/>
          <w:highlight w:val="auto"/>
        </w:rPr>
        <w:t>。</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综合评价：项目时效性指标分值5</w:t>
      </w:r>
      <w:r>
        <w:rPr>
          <w:rFonts w:ascii="仿宋_GB2312" w:eastAsia="仿宋_GB2312" w:cs="仿宋_GB2312"/>
          <w:color w:val="auto"/>
          <w:sz w:val="32"/>
          <w:szCs w:val="32"/>
          <w:highlight w:val="auto"/>
        </w:rPr>
        <w:t>.0</w:t>
      </w:r>
      <w:r>
        <w:rPr>
          <w:rFonts w:ascii="仿宋_GB2312" w:eastAsia="仿宋_GB2312" w:cs="仿宋_GB2312" w:hint="eastAsia"/>
          <w:color w:val="auto"/>
          <w:sz w:val="32"/>
          <w:szCs w:val="32"/>
          <w:highlight w:val="auto"/>
        </w:rPr>
        <w:t>分，评价得分</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3.实施方案可行性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(1)项目技术路线与内容及目标匹配</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color w:val="auto"/>
          <w:sz w:val="32"/>
          <w:szCs w:val="32"/>
          <w:highlight w:val="auto"/>
        </w:rPr>
        <w:t>本项目为专业服务类，主要以医疗补助形式体现，无技术路线可言，该指标纳入不计分项。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(2)项目组织及进度安排合理</w:t>
      </w:r>
    </w:p>
    <w:p>
      <w:pPr>
        <w:spacing w:line="560" w:lineRule="exact"/>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本项目已经开始组织建设（1）确定选址（2）手续办理（3）装修、布置（4）验收运营。</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综合评价：项目组织及进度安排合理指标分值2.0分，评价得1.0分。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(3)项目设施保障程度</w:t>
      </w:r>
    </w:p>
    <w:p>
      <w:pPr>
        <w:spacing w:line="560" w:lineRule="exact"/>
        <w:ind w:firstLineChars="200" w:firstLine="640"/>
        <w:rPr>
          <w:rFonts w:ascii="仿宋_GB2312" w:eastAsia="仿宋_GB2312" w:cs="仿宋_GB2312"/>
          <w:color w:val="auto"/>
          <w:sz w:val="32"/>
          <w:szCs w:val="32"/>
          <w:highlight w:val="auto"/>
        </w:rPr>
      </w:pPr>
      <w:r>
        <w:rPr>
          <w:rStyle w:val="23"/>
          <w:rFonts w:eastAsia="仿宋_GB2312" w:cs="Arial" w:hint="eastAsia"/>
          <w:b w:val="0"/>
          <w:color w:val="auto"/>
          <w:sz w:val="32"/>
          <w:highlight w:val="auto"/>
        </w:rPr>
        <w:t>为了确保养老服务体系建设补助资金支出真正保民生、兜底线、救急难、可持续，对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r>
        <w:rPr>
          <w:rFonts w:ascii="仿宋_GB2312" w:eastAsia="仿宋_GB2312" w:cs="仿宋_GB2312" w:hint="eastAsia"/>
          <w:color w:val="auto"/>
          <w:sz w:val="32"/>
          <w:szCs w:val="32"/>
          <w:highlight w:val="auto"/>
        </w:rPr>
        <w:t>。</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项目设施保障程度指标分值1.0分，评价得1.0分。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4.过程控制有效性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(1)程序规范</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根据查看相关资料，截止被评价日，本项目制定</w:t>
      </w:r>
      <w:r>
        <w:rPr>
          <w:rStyle w:val="23"/>
          <w:rFonts w:eastAsia="仿宋_GB2312" w:cs="Arial" w:hint="eastAsia"/>
          <w:b w:val="0"/>
          <w:color w:val="auto"/>
          <w:sz w:val="32"/>
          <w:lang w:val="en-US" w:eastAsia="zh-CN"/>
          <w:highlight w:val="auto"/>
        </w:rPr>
        <w:t>了2022年</w:t>
      </w:r>
      <w:r>
        <w:rPr>
          <w:rStyle w:val="23"/>
          <w:rFonts w:eastAsia="仿宋_GB2312" w:cs="Arial" w:hint="eastAsia"/>
          <w:b w:val="0"/>
          <w:color w:val="auto"/>
          <w:sz w:val="32"/>
          <w:highlight w:val="auto"/>
        </w:rPr>
        <w:t>实施方案。</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程序规范指标分值1.0分，评价得</w:t>
      </w:r>
      <w:r>
        <w:rPr>
          <w:rStyle w:val="23"/>
          <w:rFonts w:eastAsia="仿宋_GB2312" w:hint="eastAsia"/>
          <w:b w:val="0"/>
          <w:color w:val="auto"/>
          <w:sz w:val="32"/>
          <w:lang w:val="en-US" w:eastAsia="zh-CN"/>
          <w:highlight w:val="auto"/>
        </w:rPr>
        <w:t>1</w:t>
      </w:r>
      <w:r>
        <w:rPr>
          <w:rStyle w:val="23"/>
          <w:rFonts w:eastAsia="仿宋_GB2312"/>
          <w:b w:val="0"/>
          <w:color w:val="auto"/>
          <w:sz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(2)组织机构保障度</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了</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实施方案，项目组织机构健全、职责分工明确、项目人员条件与项目有关并得以有效保障。</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综合评价：未见职责分工明确、项目人员条件与项目有关并得以有效保障的相关资料。制度机制保障指标分值1.5分，评价得</w:t>
      </w:r>
      <w:r>
        <w:rPr>
          <w:rFonts w:ascii="仿宋_GB2312" w:eastAsia="仿宋_GB2312" w:cs="仿宋_GB2312" w:hint="eastAsia"/>
          <w:color w:val="auto"/>
          <w:sz w:val="32"/>
          <w:szCs w:val="32"/>
          <w:lang w:val="en-US" w:eastAsia="zh-CN"/>
          <w:highlight w:val="auto"/>
        </w:rPr>
        <w:t>1.5</w:t>
      </w:r>
      <w:r>
        <w:rPr>
          <w:rFonts w:ascii="仿宋_GB2312" w:eastAsia="仿宋_GB2312" w:cs="仿宋_GB2312"/>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(3)制度健全及解决问题措施</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截止被评价日，本项目制定</w:t>
      </w:r>
      <w:r>
        <w:rPr>
          <w:rFonts w:ascii="仿宋_GB2312" w:eastAsia="仿宋_GB2312" w:cs="仿宋_GB2312" w:hint="eastAsia"/>
          <w:color w:val="auto"/>
          <w:sz w:val="32"/>
          <w:szCs w:val="32"/>
          <w:lang w:val="en-US" w:eastAsia="zh-CN"/>
          <w:highlight w:val="auto"/>
        </w:rPr>
        <w:t>的</w:t>
      </w:r>
      <w:r>
        <w:rPr>
          <w:rStyle w:val="23"/>
          <w:rFonts w:eastAsia="仿宋_GB2312" w:cs="Arial" w:hint="eastAsia"/>
          <w:b w:val="0"/>
          <w:color w:val="auto"/>
          <w:sz w:val="32"/>
          <w:lang w:val="en-US" w:eastAsia="zh-CN"/>
          <w:highlight w:val="auto"/>
        </w:rPr>
        <w:t>2024年</w:t>
      </w:r>
      <w:r>
        <w:rPr>
          <w:rFonts w:ascii="仿宋_GB2312" w:eastAsia="仿宋_GB2312" w:cs="仿宋_GB2312" w:hint="eastAsia"/>
          <w:color w:val="auto"/>
          <w:sz w:val="32"/>
          <w:szCs w:val="32"/>
          <w:highlight w:val="auto"/>
        </w:rPr>
        <w:t>实施方案，评估业务管理制度、技术规程、标准健全、完善。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color w:val="auto"/>
          <w:sz w:val="32"/>
          <w:szCs w:val="32"/>
          <w:highlight w:val="auto"/>
        </w:rPr>
        <w:t>综合评价：</w:t>
      </w:r>
      <w:r>
        <w:rPr>
          <w:rFonts w:ascii="仿宋_GB2312" w:eastAsia="仿宋_GB2312" w:cs="仿宋_GB2312" w:hint="eastAsia"/>
          <w:color w:val="auto"/>
          <w:sz w:val="32"/>
          <w:szCs w:val="32"/>
          <w:highlight w:val="auto"/>
        </w:rPr>
        <w:t>制度健全及解决问题措施指标分值1.0分，评价得</w:t>
      </w:r>
      <w:r>
        <w:rPr>
          <w:rFonts w:ascii="仿宋_GB2312" w:eastAsia="仿宋_GB2312" w:cs="仿宋_GB2312" w:hint="eastAsia"/>
          <w:color w:val="auto"/>
          <w:sz w:val="32"/>
          <w:szCs w:val="32"/>
          <w:lang w:val="en-US" w:eastAsia="zh-CN"/>
          <w:highlight w:val="auto"/>
        </w:rPr>
        <w:t>1</w:t>
      </w:r>
      <w:r>
        <w:rPr>
          <w:rFonts w:ascii="仿宋_GB2312" w:eastAsia="仿宋_GB2312" w:cs="仿宋_GB2312" w:hint="eastAsia"/>
          <w:color w:val="auto"/>
          <w:sz w:val="32"/>
          <w:szCs w:val="32"/>
          <w:highlight w:val="auto"/>
        </w:rPr>
        <w:t>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(4)制度机制保障度</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截止被评价日，本项目制定</w:t>
      </w:r>
      <w:r>
        <w:rPr>
          <w:rStyle w:val="23"/>
          <w:rFonts w:eastAsia="仿宋_GB2312" w:cs="Arial" w:hint="eastAsia"/>
          <w:b w:val="0"/>
          <w:color w:val="auto"/>
          <w:sz w:val="32"/>
          <w:lang w:val="en-US" w:eastAsia="zh-CN"/>
          <w:highlight w:val="auto"/>
        </w:rPr>
        <w:t>了2024年</w:t>
      </w:r>
      <w:r>
        <w:rPr>
          <w:rStyle w:val="23"/>
          <w:rFonts w:eastAsia="仿宋_GB2312" w:cs="Arial" w:hint="eastAsia"/>
          <w:b w:val="0"/>
          <w:color w:val="auto"/>
          <w:sz w:val="32"/>
          <w:highlight w:val="auto"/>
        </w:rPr>
        <w:t>实施方案，评估项目执行过程设立管控措施、机制等，相关措施、机制能够保证项目顺利实施。</w:t>
      </w:r>
      <w:bookmarkStart w:id="23" w:name="_GoBack"/>
      <w:bookmarkEnd w:id="23"/>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制度机制保障指标分值1.5分，评价得</w:t>
      </w:r>
      <w:r>
        <w:rPr>
          <w:rStyle w:val="23"/>
          <w:rFonts w:eastAsia="仿宋_GB2312" w:hint="eastAsia"/>
          <w:b w:val="0"/>
          <w:color w:val="auto"/>
          <w:sz w:val="32"/>
          <w:lang w:val="en-US" w:eastAsia="zh-CN"/>
          <w:highlight w:val="auto"/>
        </w:rPr>
        <w:t>1.5</w:t>
      </w:r>
      <w:r>
        <w:rPr>
          <w:rStyle w:val="23"/>
          <w:rFonts w:eastAsia="仿宋_GB2312"/>
          <w:b w:val="0"/>
          <w:color w:val="auto"/>
          <w:sz w:val="32"/>
          <w:highlight w:val="auto"/>
        </w:rPr>
        <w:t>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(五)筹资合规性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b/>
          <w:color w:val="auto"/>
          <w:sz w:val="32"/>
          <w:szCs w:val="32"/>
          <w:highlight w:val="auto"/>
        </w:rPr>
        <w:t>整体评价：</w:t>
      </w:r>
      <w:r>
        <w:rPr>
          <w:rFonts w:ascii="仿宋_GB2312" w:eastAsia="仿宋_GB2312" w:cs="仿宋_GB2312" w:hint="eastAsia"/>
          <w:color w:val="auto"/>
          <w:sz w:val="32"/>
          <w:szCs w:val="32"/>
          <w:highlight w:val="auto"/>
        </w:rPr>
        <w:t>筹资合规性指标分值20分，其中8分纳入不计分项，实际有效指标分值12分，评价得</w:t>
      </w:r>
      <w:r>
        <w:rPr>
          <w:rFonts w:ascii="仿宋_GB2312" w:eastAsia="仿宋_GB2312" w:cs="仿宋_GB2312"/>
          <w:color w:val="auto"/>
          <w:sz w:val="32"/>
          <w:szCs w:val="32"/>
          <w:highlight w:val="auto"/>
        </w:rPr>
        <w:t>1</w:t>
      </w:r>
      <w:r>
        <w:rPr>
          <w:rFonts w:ascii="仿宋_GB2312" w:eastAsia="仿宋_GB2312" w:cs="仿宋_GB2312" w:hint="eastAsia"/>
          <w:color w:val="auto"/>
          <w:sz w:val="32"/>
          <w:szCs w:val="32"/>
          <w:highlight w:val="auto"/>
        </w:rPr>
        <w:t>2分。</w:t>
      </w:r>
    </w:p>
    <w:p>
      <w:pPr>
        <w:spacing w:line="560" w:lineRule="exact"/>
        <w:ind w:firstLineChars="200" w:firstLine="64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1.筹资合规性</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本项目资金来源已经纳入单位年初预算，财政根据预算指标直接下达，资金来源合规。</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资金来源合规指标分值4.0分，评价得4.0分。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(2)资金筹措规范及论证齐全</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本项目属于年初预算资金项目，无需进行资金筹措、无需经过评估论证，该指标纳入不计分项。</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(3)资金筹措与权责匹配</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本项目县财政局负责筹集资金，县</w:t>
      </w:r>
      <w:r>
        <w:rPr>
          <w:rFonts w:ascii="仿宋_GB2312" w:eastAsia="仿宋_GB2312" w:cs="仿宋_GB2312" w:hint="eastAsia"/>
          <w:color w:val="auto"/>
          <w:sz w:val="32"/>
          <w:szCs w:val="32"/>
          <w:lang w:eastAsia="zh-CN"/>
          <w:highlight w:val="auto"/>
        </w:rPr>
        <w:t>民政</w:t>
      </w:r>
      <w:r>
        <w:rPr>
          <w:rFonts w:ascii="仿宋_GB2312" w:eastAsia="仿宋_GB2312" w:cs="仿宋_GB2312" w:hint="eastAsia"/>
          <w:color w:val="auto"/>
          <w:sz w:val="32"/>
          <w:szCs w:val="32"/>
          <w:highlight w:val="auto"/>
        </w:rPr>
        <w:t>局负责落实具体工作，财权和事权相匹配，无其他渠道资金来源。</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资金筹措与权责匹配指标分值3.0分，评价得3.0分。</w:t>
      </w:r>
    </w:p>
    <w:p>
      <w:pPr>
        <w:spacing w:line="560" w:lineRule="exact"/>
        <w:ind w:firstLineChars="200" w:firstLine="640"/>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2.财政投入能力</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(1)财政资金配套方式及承受能力科学</w:t>
      </w:r>
    </w:p>
    <w:p>
      <w:pPr>
        <w:spacing w:line="560" w:lineRule="exact"/>
        <w:ind w:firstLineChars="200" w:firstLine="640"/>
        <w:rPr>
          <w:rFonts w:ascii="仿宋_GB2312" w:eastAsia="仿宋_GB2312" w:cs="仿宋_GB2312"/>
          <w:bCs/>
          <w:color w:val="auto"/>
          <w:sz w:val="32"/>
          <w:szCs w:val="32"/>
          <w:highlight w:val="auto"/>
        </w:rPr>
      </w:pPr>
      <w:r>
        <w:rPr>
          <w:rFonts w:ascii="仿宋_GB2312" w:eastAsia="仿宋_GB2312" w:cs="仿宋_GB2312" w:hint="eastAsia"/>
          <w:color w:val="auto"/>
          <w:sz w:val="32"/>
          <w:szCs w:val="32"/>
          <w:highlight w:val="auto"/>
        </w:rPr>
        <w:t>本项目属于年初预算资金项目，</w:t>
      </w:r>
      <w:r>
        <w:rPr>
          <w:rFonts w:ascii="仿宋_GB2312" w:eastAsia="仿宋_GB2312" w:cs="仿宋_GB2312"/>
          <w:bCs/>
          <w:color w:val="auto"/>
          <w:sz w:val="32"/>
          <w:szCs w:val="32"/>
          <w:highlight w:val="auto"/>
        </w:rPr>
        <w:t>用于财政预算绩效管理</w:t>
      </w:r>
      <w:r>
        <w:rPr>
          <w:rFonts w:ascii="仿宋_GB2312" w:eastAsia="仿宋_GB2312" w:cs="仿宋_GB2312" w:hint="eastAsia"/>
          <w:bCs/>
          <w:color w:val="auto"/>
          <w:sz w:val="32"/>
          <w:szCs w:val="32"/>
          <w:highlight w:val="auto"/>
        </w:rPr>
        <w:t>，财政资金配套方式和承受能力科学合理。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财政资金配套方式及承受能力科学指标分值2.0分，评价得2.0分。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(2)财政资金重复投入</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根据项目各级财政部门和其他部门没有类似项目资金重复投入。</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财政资金重复投入指标分值2.0分，评价得2.0分。</w:t>
      </w:r>
    </w:p>
    <w:p>
      <w:pPr>
        <w:spacing w:line="560" w:lineRule="exact"/>
        <w:ind w:firstLineChars="200" w:firstLine="64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(3)财政资金支持方式合理</w:t>
      </w:r>
    </w:p>
    <w:p>
      <w:pPr>
        <w:spacing w:line="560" w:lineRule="exact"/>
        <w:ind w:firstLineChars="200" w:firstLine="640"/>
        <w:rPr>
          <w:rStyle w:val="23"/>
          <w:rFonts w:eastAsia="仿宋_GB2312" w:cs="Arial"/>
          <w:b w:val="0"/>
          <w:color w:val="auto"/>
          <w:sz w:val="32"/>
          <w:highlight w:val="auto"/>
        </w:rPr>
      </w:pPr>
      <w:r>
        <w:rPr>
          <w:rStyle w:val="23"/>
          <w:rFonts w:eastAsia="仿宋_GB2312" w:cs="Arial" w:hint="eastAsia"/>
          <w:b w:val="0"/>
          <w:color w:val="auto"/>
          <w:sz w:val="32"/>
          <w:highlight w:val="auto"/>
        </w:rPr>
        <w:t>本项目属于公益性项目，属于公共财政支持范围项目，纳入</w:t>
      </w:r>
      <w:r>
        <w:rPr>
          <w:rStyle w:val="23"/>
          <w:rFonts w:eastAsia="仿宋_GB2312" w:cs="Arial"/>
          <w:b w:val="0"/>
          <w:color w:val="auto"/>
          <w:sz w:val="32"/>
          <w:highlight w:val="auto"/>
        </w:rPr>
        <w:t>财政预算绩效管理</w:t>
      </w:r>
      <w:r>
        <w:rPr>
          <w:rStyle w:val="23"/>
          <w:rFonts w:eastAsia="仿宋_GB2312" w:cs="Arial" w:hint="eastAsia"/>
          <w:b w:val="0"/>
          <w:color w:val="auto"/>
          <w:sz w:val="32"/>
          <w:highlight w:val="auto"/>
        </w:rPr>
        <w:t>，根据实际情况实现财政直接支付，财政资金支持方式合理。</w:t>
      </w:r>
    </w:p>
    <w:p>
      <w:pPr>
        <w:spacing w:line="560" w:lineRule="exact"/>
        <w:ind w:firstLineChars="200" w:firstLine="640"/>
        <w:rPr>
          <w:rFonts w:ascii="仿宋_GB2312" w:eastAsia="仿宋_GB2312"/>
          <w:b/>
          <w:color w:val="auto"/>
          <w:sz w:val="32"/>
          <w:szCs w:val="32"/>
          <w:highlight w:val="auto"/>
        </w:rPr>
      </w:pPr>
      <w:r>
        <w:rPr>
          <w:rStyle w:val="23"/>
          <w:rFonts w:eastAsia="仿宋_GB2312"/>
          <w:b w:val="0"/>
          <w:bCs/>
          <w:color w:val="auto"/>
          <w:sz w:val="32"/>
          <w:highlight w:val="auto"/>
        </w:rPr>
        <w:t>综合评价：</w:t>
      </w:r>
      <w:r>
        <w:rPr>
          <w:rStyle w:val="23"/>
          <w:rFonts w:eastAsia="仿宋_GB2312"/>
          <w:b w:val="0"/>
          <w:color w:val="auto"/>
          <w:sz w:val="32"/>
          <w:highlight w:val="auto"/>
        </w:rPr>
        <w:t>财政资金支持方式合理指标分值1.0分，评价得1.0分。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3.筹资风险可控性</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(1)筹资风险认识全面</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本项目资金筹措由县财政局保障，被评估单位无筹资风险，该指标纳入不计分项。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(2)风险应对措施可行及有效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本项目资金筹措由县财政局保障，被评估单位无需出具风险应对措施，该指标纳入不计分项。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b/>
          <w:bCs/>
          <w:color w:val="auto"/>
          <w:sz w:val="32"/>
          <w:szCs w:val="32"/>
          <w:highlight w:val="auto"/>
        </w:rPr>
      </w:pPr>
      <w:r>
        <w:rPr>
          <w:rFonts w:ascii="仿宋_GB2312" w:eastAsia="仿宋_GB2312" w:cs="仿宋_GB2312" w:hint="eastAsia"/>
          <w:b/>
          <w:bCs/>
          <w:color w:val="auto"/>
          <w:sz w:val="32"/>
          <w:szCs w:val="32"/>
          <w:highlight w:val="auto"/>
        </w:rPr>
        <w:t>(六)总体结论</w:t>
      </w:r>
    </w:p>
    <w:p>
      <w:pPr>
        <w:keepNext w:val="0"/>
        <w:keepLines w:val="0"/>
        <w:pageBreakBefore w:val="0"/>
        <w:widowControl w:val="0"/>
        <w:tabs>
          <w:tab w:val="left" w:pos="0"/>
          <w:tab w:val="left" w:pos="4830"/>
        </w:tabs>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color w:val="auto"/>
          <w:sz w:val="32"/>
          <w:szCs w:val="32"/>
          <w:highlight w:val="auto"/>
        </w:rPr>
      </w:pPr>
      <w:r>
        <w:rPr>
          <w:rFonts w:ascii="仿宋_GB2312" w:eastAsia="仿宋_GB2312" w:cs="仿宋_GB2312" w:hint="eastAsia"/>
          <w:color w:val="auto"/>
          <w:sz w:val="32"/>
          <w:szCs w:val="32"/>
          <w:highlight w:val="auto"/>
        </w:rPr>
        <w:t>评估小组通过收集、汇总资料，分析、核实项目绩效，经综合上述绩效评估情况，我们认为本次的“</w:t>
      </w:r>
      <w:r>
        <w:rPr>
          <w:rFonts w:ascii="仿宋" w:eastAsia="仿宋" w:cs="仿宋" w:hint="eastAsia"/>
          <w:b w:val="0"/>
          <w:bCs/>
          <w:color w:val="auto"/>
          <w:sz w:val="32"/>
          <w:szCs w:val="32"/>
          <w:highlight w:val="auto"/>
        </w:rPr>
        <w:t>村级办公场所和综合服务设施</w:t>
      </w:r>
      <w:r>
        <w:rPr>
          <w:rFonts w:ascii="仿宋" w:eastAsia="仿宋" w:cs="仿宋" w:hint="eastAsia"/>
          <w:b w:val="0"/>
          <w:bCs/>
          <w:color w:val="auto"/>
          <w:sz w:val="32"/>
          <w:szCs w:val="32"/>
          <w:lang w:eastAsia="zh-CN"/>
          <w:highlight w:val="auto"/>
        </w:rPr>
        <w:t>建设项目</w:t>
      </w:r>
      <w:r>
        <w:rPr>
          <w:rFonts w:ascii="仿宋_GB2312" w:eastAsia="仿宋_GB2312" w:cs="仿宋_GB2312" w:hint="eastAsia"/>
          <w:color w:val="auto"/>
          <w:sz w:val="32"/>
          <w:szCs w:val="32"/>
          <w:highlight w:val="auto"/>
        </w:rPr>
        <w:t>”立项合规，依据充分，绩效目标指向明确，与相应的财政支出范围、方向、效果紧密相关，评估过程经调查研究及科学论证，符合实际。</w:t>
      </w:r>
    </w:p>
    <w:p>
      <w:pPr>
        <w:keepNext w:val="0"/>
        <w:keepLines w:val="0"/>
        <w:pageBreakBefore w:val="0"/>
        <w:widowControl w:val="0"/>
        <w:tabs>
          <w:tab w:val="left" w:pos="0"/>
          <w:tab w:val="left" w:pos="4830"/>
        </w:tabs>
        <w:kinsoku/>
        <w:wordWrap/>
        <w:overflowPunct/>
        <w:topLinePunct w:val="0"/>
        <w:autoSpaceDE/>
        <w:autoSpaceDN/>
        <w:bidi w:val="0"/>
        <w:adjustRightInd/>
        <w:snapToGrid/>
        <w:spacing w:line="560" w:lineRule="exact"/>
        <w:ind w:firstLineChars="200" w:firstLine="640"/>
        <w:textAlignment w:val="auto"/>
        <w:outlineLvl w:val="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highlight w:val="auto"/>
        </w:rPr>
        <w:t>经综合评估，</w:t>
      </w:r>
      <w:r>
        <w:rPr>
          <w:rFonts w:ascii="仿宋_GB2312" w:eastAsia="仿宋_GB2312" w:cs="仿宋_GB2312" w:hint="eastAsia"/>
          <w:bCs/>
          <w:color w:val="auto"/>
          <w:sz w:val="32"/>
          <w:szCs w:val="32"/>
          <w:highlight w:val="auto"/>
        </w:rPr>
        <w:t>金川县民政局202</w:t>
      </w:r>
      <w:r>
        <w:rPr>
          <w:rFonts w:ascii="仿宋_GB2312" w:eastAsia="仿宋_GB2312" w:cs="仿宋_GB2312" w:hint="eastAsia"/>
          <w:bCs/>
          <w:color w:val="auto"/>
          <w:sz w:val="32"/>
          <w:szCs w:val="32"/>
          <w:lang w:val="en-US" w:eastAsia="zh-CN"/>
          <w:highlight w:val="auto"/>
        </w:rPr>
        <w:t>4</w:t>
      </w:r>
      <w:r>
        <w:rPr>
          <w:rFonts w:ascii="仿宋_GB2312" w:eastAsia="仿宋_GB2312" w:cs="仿宋_GB2312" w:hint="eastAsia"/>
          <w:bCs/>
          <w:color w:val="auto"/>
          <w:sz w:val="32"/>
          <w:szCs w:val="32"/>
          <w:highlight w:val="auto"/>
        </w:rPr>
        <w:t>年度“</w:t>
      </w:r>
      <w:r>
        <w:rPr>
          <w:rFonts w:ascii="仿宋" w:eastAsia="仿宋" w:cs="仿宋" w:hint="eastAsia"/>
          <w:b w:val="0"/>
          <w:bCs/>
          <w:color w:val="auto"/>
          <w:sz w:val="32"/>
          <w:szCs w:val="32"/>
          <w:lang w:val="en-US" w:eastAsia="zh-CN"/>
          <w:highlight w:val="auto"/>
        </w:rPr>
        <w:t>30张床位及维修改造</w:t>
      </w:r>
      <w:r>
        <w:rPr>
          <w:rFonts w:ascii="仿宋_GB2312" w:eastAsia="仿宋_GB2312" w:cs="仿宋_GB2312" w:hint="eastAsia"/>
          <w:b w:val="0"/>
          <w:bCs/>
          <w:color w:val="auto"/>
          <w:sz w:val="32"/>
          <w:szCs w:val="32"/>
          <w:highlight w:val="auto"/>
        </w:rPr>
        <w:t>项目</w:t>
      </w:r>
      <w:r>
        <w:rPr>
          <w:rFonts w:ascii="仿宋_GB2312" w:eastAsia="仿宋_GB2312" w:cs="仿宋_GB2312" w:hint="eastAsia"/>
          <w:bCs/>
          <w:color w:val="auto"/>
          <w:sz w:val="32"/>
          <w:szCs w:val="32"/>
          <w:highlight w:val="auto"/>
        </w:rPr>
        <w:t>”</w:t>
      </w:r>
      <w:r>
        <w:rPr>
          <w:rFonts w:ascii="仿宋_GB2312" w:eastAsia="仿宋_GB2312" w:cs="仿宋_GB2312" w:hint="eastAsia"/>
          <w:color w:val="auto"/>
          <w:sz w:val="32"/>
          <w:szCs w:val="32"/>
          <w:highlight w:val="auto"/>
        </w:rPr>
        <w:t>事前评估绩效总体得分</w:t>
      </w:r>
      <w:r>
        <w:rPr>
          <w:rFonts w:ascii="仿宋_GB2312" w:eastAsia="仿宋_GB2312" w:cs="仿宋_GB2312" w:hint="eastAsia"/>
          <w:color w:val="auto"/>
          <w:sz w:val="32"/>
          <w:szCs w:val="32"/>
          <w:lang w:val="en-US" w:eastAsia="zh-CN"/>
          <w:highlight w:val="auto"/>
        </w:rPr>
        <w:t>95</w:t>
      </w:r>
      <w:r>
        <w:rPr>
          <w:rFonts w:ascii="仿宋_GB2312" w:eastAsia="仿宋_GB2312" w:cs="仿宋_GB2312" w:hint="eastAsia"/>
          <w:color w:val="auto"/>
          <w:sz w:val="32"/>
          <w:szCs w:val="32"/>
          <w:highlight w:val="auto"/>
        </w:rPr>
        <w:t>分。</w:t>
      </w:r>
    </w:p>
    <w:p>
      <w:pPr>
        <w:pStyle w:val="19"/>
        <w:tabs>
          <w:tab w:val="center" w:pos="4153"/>
          <w:tab w:val="right" w:pos="8306"/>
        </w:tabs>
        <w:spacing w:line="560" w:lineRule="exact"/>
        <w:rPr>
          <w:rFonts w:ascii="仿宋_GB2312" w:eastAsia="仿宋_GB2312" w:cs="仿宋_GB2312" w:hint="eastAsia"/>
          <w:sz w:val="32"/>
          <w:szCs w:val="32"/>
          <w:lang w:val="en-US" w:eastAsia="zh-CN"/>
        </w:rPr>
      </w:pPr>
    </w:p>
    <w:p>
      <w:pPr>
        <w:spacing w:line="560" w:lineRule="exact"/>
        <w:rPr>
          <w:rFonts w:ascii="仿宋_GB2312" w:eastAsia="仿宋_GB2312" w:cs="仿宋_GB2312" w:hint="eastAsia"/>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auto"/>
    <w:pitch w:val="variable"/>
    <w:sig w:usb0="00000000" w:usb1="0000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Times New Roman">
    <w:panose1 w:val="02020603050405020304"/>
    <w:charset w:val="B1"/>
    <w:family w:val="auto"/>
    <w:pitch w:val="variable"/>
    <w:sig w:usb0="E0002AFF" w:usb1="C0007841" w:usb2="00000009" w:usb3="00000000" w:csb0="400001FF" w:csb1="FFFF0000"/>
  </w:font>
  <w:font w:name="宋体">
    <w:panose1 w:val="02010600030101010101"/>
    <w:charset w:val="80"/>
    <w:family w:val="auto"/>
    <w:pitch w:val="variable"/>
    <w:sig w:usb0="00000003" w:usb1="288F0000" w:usb2="0000000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方正黑体_GBK">
    <w:altName w:val="微软雅黑"/>
    <w:panose1 w:val="02000000000000000000"/>
    <w:charset w:val="86"/>
    <w:family w:val="script"/>
    <w:pitch w:val="variable"/>
    <w:sig w:usb0="00000000" w:usb1="0000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Salutation"/>
    <w:basedOn w:val="0"/>
    <w:next w:val="0"/>
    <w:rPr>
      <w:rFonts w:ascii="Calibri" w:hAnsi="Calibri"/>
      <w:b/>
      <w:sz w:val="36"/>
      <w:szCs w:val="24"/>
    </w:rPr>
  </w:style>
  <w:style w:type="paragraph" w:styleId="17">
    <w:name w:val="Body Text"/>
    <w:basedOn w:val="0"/>
    <w:next w:val="18"/>
    <w:pPr>
      <w:widowControl w:val="0"/>
      <w:kinsoku w:val="0"/>
      <w:overflowPunct w:val="0"/>
      <w:autoSpaceDE w:val="0"/>
      <w:autoSpaceDN w:val="0"/>
      <w:adjustRightInd w:val="0"/>
      <w:snapToGrid w:val="0"/>
      <w:spacing w:line="560" w:lineRule="exact"/>
      <w:ind w:leftChars="48" w:left="48" w:right="261" w:firstLineChars="200" w:firstLine="200"/>
      <w:jc w:val="both"/>
    </w:pPr>
    <w:rPr>
      <w:rFonts w:ascii="仿宋_GB2312" w:eastAsia="仿宋_GB2312" w:cs="仿宋_GB2312"/>
      <w:kern w:val="2"/>
      <w:sz w:val="32"/>
      <w:szCs w:val="32"/>
      <w:lang w:val="en-US" w:eastAsia="zh-CN" w:bidi="ar-SA"/>
    </w:rPr>
  </w:style>
  <w:style w:type="paragraph" w:styleId="18">
    <w:name w:val="Body Text First Indent"/>
    <w:basedOn w:val="17"/>
    <w:pPr>
      <w:ind w:firstLineChars="100" w:firstLine="100"/>
    </w:pPr>
  </w:style>
  <w:style w:type="paragraph" w:styleId="19">
    <w:name w:val="footer"/>
    <w:basedOn w:val="0"/>
    <w:pPr>
      <w:tabs>
        <w:tab w:val="center" w:pos="4153"/>
        <w:tab w:val="right" w:pos="8306"/>
      </w:tabs>
      <w:snapToGrid w:val="0"/>
      <w:jc w:val="left"/>
    </w:pPr>
    <w:rPr>
      <w:sz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Normal (Web)"/>
    <w:basedOn w:val="0"/>
    <w:pPr>
      <w:spacing w:before="0" w:beforeAutospacing="1" w:after="0" w:afterAutospacing="1"/>
      <w:ind w:left="0" w:right="0"/>
      <w:jc w:val="left"/>
    </w:pPr>
    <w:rPr>
      <w:kern w:val="0"/>
      <w:sz w:val="24"/>
      <w:lang w:val="en-US" w:eastAsia="zh-CN"/>
    </w:rPr>
  </w:style>
  <w:style w:type="paragraph" w:customStyle="1" w:styleId="22">
    <w:name w:val="NormalIndent"/>
    <w:next w:val="20"/>
    <w:pPr>
      <w:widowControl w:val="0"/>
      <w:ind w:firstLineChars="200" w:firstLine="200"/>
      <w:jc w:val="both"/>
    </w:pPr>
    <w:rPr>
      <w:rFonts w:ascii="Times New Roman" w:eastAsia="仿宋_GB2312" w:cs="Times New Roman" w:hAnsi="Times New Roman"/>
      <w:kern w:val="2"/>
      <w:sz w:val="32"/>
      <w:szCs w:val="32"/>
      <w:lang w:val="en-US" w:eastAsia="zh-CN" w:bidi="ar-SA"/>
    </w:rPr>
  </w:style>
  <w:style w:type="character" w:customStyle="1" w:styleId="23">
    <w:name w:val="NormalCharacter"/>
    <w:rPr>
      <w:rFonts w:ascii="仿宋_GB2312" w:hAnsi="仿宋_GB2312"/>
      <w:b/>
      <w:sz w:val="30"/>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53</Pages>
  <Words>23738</Words>
  <Characters>25200</Characters>
  <Lines>1329</Lines>
  <Paragraphs>626</Paragraphs>
  <CharactersWithSpaces>25215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2024-03-14T09:02:53Z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2052-11.8.2.12094</vt:lpwstr>
  </property>
  <property fmtid="{D5CDD505-2E9C-101B-9397-08002B2CF9AE}" pid="3" name="ICV">
    <vt:lpwstr>2B4F8FC067E64A8C930A1A1AF1F0A0C1</vt:lpwstr>
  </property>
</Properties>
</file>