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民政局</w:t>
      </w:r>
      <w:r>
        <w:rPr>
          <w:rFonts w:hint="eastAsia" w:ascii="方正小标宋_GBK" w:hAnsi="方正小标宋_GBK" w:eastAsia="方正小标宋_GBK" w:cs="方正小标宋_GBK"/>
          <w:sz w:val="44"/>
          <w:szCs w:val="44"/>
        </w:rPr>
        <w:t>重点项目预算的绩效目标情况说明</w:t>
      </w:r>
      <w:r>
        <w:rPr>
          <w:rFonts w:hint="eastAsia" w:ascii="方正小标宋_GBK" w:hAnsi="方正小标宋_GBK" w:eastAsia="方正小标宋_GBK" w:cs="方正小标宋_GBK"/>
          <w:sz w:val="44"/>
          <w:szCs w:val="44"/>
          <w:lang w:eastAsia="zh-CN"/>
        </w:rPr>
        <w:t>（模板）</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2023年，我单位部门预算1767.71万元 ，均严格按绩效管理要求实现项目绩效目标管理，其中重点项目预算1个，现将情况说明如下：</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一、单位预算绩效管理工作开展情况。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完成了2023年本级部门预算整体绩效目标申报和3个重点项目预算绩效目标申报，并编报3个重点项目预算事前绩效评估报告。</w:t>
      </w:r>
    </w:p>
    <w:p>
      <w:pPr>
        <w:numPr>
          <w:ilvl w:val="0"/>
          <w:numId w:val="1"/>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单位整体绩效目标。</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请引用单位在“预算一体化系统”的预算绩效模块下编制部门整体绩效目标申报中的整体绩效目标。</w:t>
      </w:r>
    </w:p>
    <w:p>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三、重点项目绩效目标。</w:t>
      </w:r>
    </w:p>
    <w:p>
      <w:pPr>
        <w:ind w:firstLine="643" w:firstLineChars="200"/>
        <w:rPr>
          <w:rFonts w:hint="eastAsia" w:ascii="仿宋" w:hAnsi="仿宋" w:eastAsia="仿宋"/>
          <w:color w:val="000000"/>
          <w:sz w:val="32"/>
          <w:szCs w:val="32"/>
          <w:shd w:val="clear" w:color="auto" w:fill="FFFFFF"/>
          <w:lang w:val="en-US" w:eastAsia="zh-CN"/>
        </w:rPr>
      </w:pPr>
      <w:r>
        <w:rPr>
          <w:rFonts w:hint="eastAsia" w:ascii="仿宋_GB2312" w:hAnsi="仿宋_GB2312" w:eastAsia="仿宋_GB2312" w:cs="仿宋_GB2312"/>
          <w:b/>
          <w:bCs/>
          <w:sz w:val="32"/>
          <w:szCs w:val="32"/>
          <w:lang w:val="en-US" w:eastAsia="zh-CN"/>
        </w:rPr>
        <w:t>重点项目1：</w:t>
      </w:r>
      <w:r>
        <w:rPr>
          <w:rFonts w:hint="eastAsia" w:ascii="仿宋" w:hAnsi="仿宋" w:eastAsia="仿宋"/>
          <w:b/>
          <w:bCs/>
          <w:color w:val="000000"/>
          <w:sz w:val="32"/>
          <w:szCs w:val="32"/>
          <w:shd w:val="clear" w:color="auto" w:fill="FFFFFF"/>
          <w:lang w:val="en-US" w:eastAsia="zh-CN"/>
        </w:rPr>
        <w:t>困难群众救助补助资金</w:t>
      </w:r>
    </w:p>
    <w:p>
      <w:pPr>
        <w:widowControl/>
        <w:spacing w:line="480" w:lineRule="atLeas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w:t>
      </w:r>
      <w:r>
        <w:rPr>
          <w:rFonts w:hint="eastAsia" w:ascii="仿宋" w:hAnsi="仿宋" w:eastAsia="仿宋"/>
          <w:color w:val="000000"/>
          <w:sz w:val="32"/>
          <w:szCs w:val="32"/>
          <w:shd w:val="clear" w:color="auto" w:fill="FFFFFF"/>
          <w:lang w:val="en-US" w:eastAsia="zh-CN"/>
        </w:rPr>
        <w:t>此资金专项用于城乡低保，特困供养，临时救助，流浪乞讨人员救助和孤儿的基本生活保障。</w:t>
      </w:r>
    </w:p>
    <w:p>
      <w:pPr>
        <w:pStyle w:val="3"/>
        <w:spacing w:before="0" w:beforeAutospacing="0" w:after="0" w:afterAutospacing="0" w:line="600" w:lineRule="exact"/>
        <w:ind w:firstLine="640" w:firstLineChars="200"/>
        <w:rPr>
          <w:rFonts w:hint="eastAsia" w:ascii="仿宋_GB2312" w:eastAsia="仿宋_GB2312" w:cs="Times New Roman"/>
          <w:sz w:val="32"/>
          <w:szCs w:val="32"/>
        </w:rPr>
      </w:pPr>
      <w:r>
        <w:rPr>
          <w:rFonts w:hint="eastAsia" w:ascii="仿宋_GB2312" w:hAnsi="仿宋_GB2312" w:eastAsia="仿宋_GB2312" w:cs="仿宋_GB2312"/>
          <w:sz w:val="32"/>
          <w:szCs w:val="32"/>
          <w:lang w:val="en-US" w:eastAsia="zh-CN"/>
        </w:rPr>
        <w:t>绩效指标设置情况：</w:t>
      </w:r>
      <w:r>
        <w:rPr>
          <w:rFonts w:hint="eastAsia" w:ascii="仿宋_GB2312" w:hAnsi="宋体" w:eastAsia="仿宋_GB2312"/>
          <w:b/>
          <w:bCs/>
          <w:sz w:val="32"/>
          <w:szCs w:val="32"/>
          <w:lang w:val="en-US" w:eastAsia="zh-CN"/>
        </w:rPr>
        <w:t xml:space="preserve"> </w:t>
      </w:r>
      <w:r>
        <w:rPr>
          <w:rFonts w:hint="eastAsia" w:ascii="仿宋_GB2312" w:hAnsi="仿宋" w:eastAsia="仿宋_GB2312"/>
          <w:sz w:val="32"/>
          <w:szCs w:val="32"/>
          <w:lang w:val="zh-CN"/>
        </w:rPr>
        <w:t>按照上级有关规定，结合我县实际情况，</w:t>
      </w:r>
      <w:r>
        <w:rPr>
          <w:rFonts w:hint="eastAsia" w:ascii="仿宋_GB2312" w:eastAsia="仿宋_GB2312" w:cs="Times New Roman"/>
          <w:sz w:val="32"/>
          <w:szCs w:val="32"/>
          <w:lang w:val="zh-CN"/>
        </w:rPr>
        <w:t>同时严格按照城乡低保，</w:t>
      </w:r>
      <w:r>
        <w:rPr>
          <w:rFonts w:hint="eastAsia" w:ascii="仿宋_GB2312" w:eastAsia="仿宋_GB2312" w:cs="Times New Roman"/>
          <w:sz w:val="32"/>
          <w:szCs w:val="32"/>
          <w:lang w:val="en-US" w:eastAsia="zh-CN"/>
        </w:rPr>
        <w:t>临时救助，流浪乞讨，困难儿童，特困供养人员</w:t>
      </w:r>
      <w:r>
        <w:rPr>
          <w:rFonts w:hint="eastAsia" w:ascii="仿宋_GB2312" w:eastAsia="仿宋_GB2312" w:cs="Times New Roman"/>
          <w:sz w:val="32"/>
          <w:szCs w:val="32"/>
          <w:lang w:val="zh-CN"/>
        </w:rPr>
        <w:t>条例，</w:t>
      </w:r>
      <w:r>
        <w:rPr>
          <w:rFonts w:hint="eastAsia" w:ascii="仿宋_GB2312" w:eastAsia="仿宋_GB2312" w:cs="Times New Roman"/>
          <w:sz w:val="32"/>
          <w:szCs w:val="32"/>
        </w:rPr>
        <w:t>根</w:t>
      </w:r>
      <w:r>
        <w:rPr>
          <w:rFonts w:hint="eastAsia" w:ascii="仿宋_GB2312" w:eastAsia="仿宋_GB2312" w:cs="Times New Roman"/>
          <w:sz w:val="32"/>
          <w:szCs w:val="32"/>
          <w:lang w:val="en-US" w:eastAsia="zh-CN"/>
        </w:rPr>
        <w:t>救助</w:t>
      </w:r>
      <w:r>
        <w:rPr>
          <w:rFonts w:hint="eastAsia" w:ascii="仿宋_GB2312" w:eastAsia="仿宋_GB2312" w:cs="Times New Roman"/>
          <w:sz w:val="32"/>
          <w:szCs w:val="32"/>
        </w:rPr>
        <w:t>对象人数、</w:t>
      </w:r>
      <w:r>
        <w:rPr>
          <w:rFonts w:hint="eastAsia" w:ascii="仿宋_GB2312" w:eastAsia="仿宋_GB2312" w:cs="Times New Roman"/>
          <w:sz w:val="32"/>
          <w:szCs w:val="32"/>
          <w:lang w:val="en-US" w:eastAsia="zh-CN"/>
        </w:rPr>
        <w:t>救助</w:t>
      </w:r>
      <w:r>
        <w:rPr>
          <w:rFonts w:hint="eastAsia" w:ascii="仿宋_GB2312" w:eastAsia="仿宋_GB2312" w:cs="Times New Roman"/>
          <w:sz w:val="32"/>
          <w:szCs w:val="32"/>
        </w:rPr>
        <w:t>标准、补助水平和滚存结余等有关数据，认真测算</w:t>
      </w:r>
      <w:r>
        <w:rPr>
          <w:rFonts w:hint="eastAsia" w:ascii="仿宋_GB2312" w:eastAsia="仿宋_GB2312" w:cs="Times New Roman"/>
          <w:sz w:val="32"/>
          <w:szCs w:val="32"/>
          <w:lang w:val="en-US" w:eastAsia="zh-CN"/>
        </w:rPr>
        <w:t>救助</w:t>
      </w:r>
      <w:r>
        <w:rPr>
          <w:rFonts w:hint="eastAsia" w:ascii="仿宋_GB2312" w:eastAsia="仿宋_GB2312" w:cs="Times New Roman"/>
          <w:sz w:val="32"/>
          <w:szCs w:val="32"/>
        </w:rPr>
        <w:t>低保资金需求报同级财政部门。经同级财政部门审核后，列入预算草案报本级人民代表大会批准。</w:t>
      </w:r>
      <w:r>
        <w:rPr>
          <w:rFonts w:hint="eastAsia" w:ascii="仿宋_GB2312" w:eastAsia="仿宋_GB2312" w:cs="Times New Roman"/>
          <w:sz w:val="32"/>
          <w:szCs w:val="32"/>
          <w:lang w:val="en-US" w:eastAsia="zh-CN"/>
        </w:rPr>
        <w:t>困难群众救助</w:t>
      </w:r>
      <w:r>
        <w:rPr>
          <w:rFonts w:hint="eastAsia" w:ascii="仿宋_GB2312" w:eastAsia="仿宋_GB2312" w:cs="Times New Roman"/>
          <w:sz w:val="32"/>
          <w:szCs w:val="32"/>
        </w:rPr>
        <w:t>资金实行社会化发放，通过银行、信用社等代理金融机构，直接发放到户。县级财政、民政部门以</w:t>
      </w:r>
      <w:r>
        <w:rPr>
          <w:rFonts w:hint="eastAsia" w:ascii="仿宋_GB2312" w:eastAsia="仿宋_GB2312" w:cs="Times New Roman"/>
          <w:sz w:val="32"/>
          <w:szCs w:val="32"/>
          <w:lang w:val="en-US" w:eastAsia="zh-CN"/>
        </w:rPr>
        <w:t>救助</w:t>
      </w:r>
      <w:r>
        <w:rPr>
          <w:rFonts w:hint="eastAsia" w:ascii="仿宋_GB2312" w:eastAsia="仿宋_GB2312" w:cs="Times New Roman"/>
          <w:sz w:val="32"/>
          <w:szCs w:val="32"/>
        </w:rPr>
        <w:t>家庭为单位为其在代理金融机构开设专门账户，实行涉农资金“一卡(折)通”将</w:t>
      </w:r>
      <w:r>
        <w:rPr>
          <w:rFonts w:hint="eastAsia" w:ascii="仿宋_GB2312" w:eastAsia="仿宋_GB2312" w:cs="Times New Roman"/>
          <w:sz w:val="32"/>
          <w:szCs w:val="32"/>
          <w:lang w:val="en-US" w:eastAsia="zh-CN"/>
        </w:rPr>
        <w:t>救助</w:t>
      </w:r>
      <w:r>
        <w:rPr>
          <w:rFonts w:hint="eastAsia" w:ascii="仿宋_GB2312" w:eastAsia="仿宋_GB2312" w:cs="Times New Roman"/>
          <w:sz w:val="32"/>
          <w:szCs w:val="32"/>
        </w:rPr>
        <w:t>资金纳入“一卡(折)通”，统一发放。</w:t>
      </w:r>
    </w:p>
    <w:p>
      <w:pPr>
        <w:adjustRightInd w:val="0"/>
        <w:snapToGrid w:val="0"/>
        <w:spacing w:line="600" w:lineRule="exact"/>
        <w:rPr>
          <w:rFonts w:hint="eastAsia" w:ascii="仿宋_GB2312" w:hAnsi="宋体"/>
          <w:b/>
          <w:sz w:val="32"/>
          <w:szCs w:val="32"/>
          <w:lang w:val="zh-CN"/>
        </w:rPr>
      </w:pPr>
      <w:r>
        <w:rPr>
          <w:rFonts w:hint="eastAsia" w:ascii="仿宋_GB2312" w:hAnsi="宋体"/>
          <w:b/>
          <w:sz w:val="32"/>
          <w:szCs w:val="32"/>
          <w:lang w:val="zh-CN"/>
        </w:rPr>
        <w:t>一）项目组织架构及实施流程</w:t>
      </w:r>
    </w:p>
    <w:p>
      <w:pPr>
        <w:widowControl/>
        <w:spacing w:line="600" w:lineRule="exact"/>
        <w:ind w:firstLine="640" w:firstLineChars="200"/>
        <w:jc w:val="left"/>
        <w:rPr>
          <w:rFonts w:hint="eastAsia" w:ascii="仿宋_GB2312" w:hAnsi="仿宋_GB2312" w:cs="宋体"/>
          <w:sz w:val="32"/>
          <w:szCs w:val="32"/>
        </w:rPr>
      </w:pPr>
      <w:r>
        <w:rPr>
          <w:rFonts w:hint="eastAsia" w:ascii="仿宋_GB2312" w:hAnsi="宋体" w:eastAsia="仿宋_GB2312"/>
          <w:sz w:val="32"/>
          <w:szCs w:val="32"/>
          <w:lang w:val="en-US" w:eastAsia="zh-CN"/>
        </w:rPr>
        <w:t>困难群众救助</w:t>
      </w:r>
      <w:r>
        <w:rPr>
          <w:rFonts w:hint="eastAsia" w:ascii="仿宋_GB2312" w:hAnsi="宋体" w:eastAsia="仿宋_GB2312"/>
          <w:sz w:val="32"/>
          <w:szCs w:val="32"/>
        </w:rPr>
        <w:t>资金按照州、县财政分级承担的办法纳入财政预算，由原资金渠道列支解决，由州财政承担40%，各县财政承担60%</w:t>
      </w:r>
      <w:r>
        <w:rPr>
          <w:rFonts w:hint="eastAsia" w:ascii="仿宋_GB2312" w:hAnsi="仿宋_GB2312" w:cs="宋体"/>
          <w:sz w:val="32"/>
          <w:szCs w:val="32"/>
        </w:rPr>
        <w:t>。</w:t>
      </w:r>
    </w:p>
    <w:p>
      <w:pPr>
        <w:widowControl/>
        <w:spacing w:line="600" w:lineRule="exact"/>
        <w:ind w:firstLine="480" w:firstLineChars="150"/>
        <w:jc w:val="left"/>
        <w:rPr>
          <w:rFonts w:hint="eastAsia" w:ascii="黑体" w:hAnsi="黑体" w:eastAsia="黑体" w:cs="宋体"/>
          <w:sz w:val="32"/>
          <w:szCs w:val="32"/>
        </w:rPr>
      </w:pPr>
      <w:r>
        <w:rPr>
          <w:rFonts w:hint="eastAsia" w:ascii="黑体" w:hAnsi="黑体" w:eastAsia="黑体" w:cs="宋体"/>
          <w:sz w:val="32"/>
          <w:szCs w:val="32"/>
        </w:rPr>
        <w:t>（二）项目管理情况</w:t>
      </w:r>
    </w:p>
    <w:p>
      <w:pPr>
        <w:widowControl/>
        <w:spacing w:line="600" w:lineRule="exact"/>
        <w:ind w:firstLine="640" w:firstLineChars="200"/>
        <w:jc w:val="left"/>
        <w:rPr>
          <w:rFonts w:hint="eastAsia" w:ascii="仿宋_GB2312" w:hAnsi="仿宋_GB2312" w:eastAsia="仿宋_GB2312" w:cs="宋体"/>
          <w:sz w:val="32"/>
          <w:szCs w:val="32"/>
        </w:rPr>
      </w:pPr>
      <w:r>
        <w:rPr>
          <w:rFonts w:hint="eastAsia" w:ascii="仿宋_GB2312" w:hAnsi="宋体" w:eastAsia="仿宋_GB2312"/>
          <w:sz w:val="32"/>
          <w:szCs w:val="32"/>
        </w:rPr>
        <w:t>具有金川县户籍常住居民家庭，凡共同生活的家庭成员人均收入不低于我州最低生活保障标准，且人均总值（家庭收入和财产收入）低于当地一年低保标准总和（农村4680元）的家庭，以户申请低保。困难家庭中丧失劳动能力的可申请低保等</w:t>
      </w:r>
      <w:r>
        <w:rPr>
          <w:rFonts w:hint="eastAsia" w:ascii="仿宋_GB2312" w:hAnsi="仿宋_GB2312" w:cs="宋体"/>
          <w:sz w:val="32"/>
          <w:szCs w:val="32"/>
        </w:rPr>
        <w:t>。</w:t>
      </w:r>
    </w:p>
    <w:p>
      <w:pPr>
        <w:widowControl/>
        <w:spacing w:line="600" w:lineRule="exact"/>
        <w:ind w:firstLine="640" w:firstLineChars="200"/>
        <w:jc w:val="left"/>
        <w:rPr>
          <w:rFonts w:hint="eastAsia" w:ascii="黑体" w:hAnsi="黑体" w:eastAsia="黑体" w:cs="宋体"/>
          <w:sz w:val="32"/>
          <w:szCs w:val="32"/>
        </w:rPr>
      </w:pPr>
      <w:r>
        <w:rPr>
          <w:rFonts w:hint="eastAsia" w:ascii="黑体" w:hAnsi="黑体" w:eastAsia="黑体" w:cs="宋体"/>
          <w:sz w:val="32"/>
          <w:szCs w:val="32"/>
        </w:rPr>
        <w:t>（三）项目监管情况</w:t>
      </w:r>
    </w:p>
    <w:p>
      <w:pPr>
        <w:widowControl/>
        <w:spacing w:line="6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严格按规定使用城乡低保资金，不得擅自扩大支出范围，不得以任何形式截留、滞留、挤占和挪用，不得向低保对象收取任何管理费用。对违规使用低保资金的，按有关规定严肃处理。</w:t>
      </w:r>
    </w:p>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600" w:lineRule="exact"/>
        <w:ind w:left="640" w:leftChars="0" w:right="0" w:rightChars="0" w:firstLine="640" w:firstLineChars="200"/>
        <w:textAlignment w:val="auto"/>
        <w:rPr>
          <w:rFonts w:hint="eastAsia" w:ascii="仿宋" w:hAnsi="仿宋" w:eastAsia="仿宋" w:cs="仿宋"/>
          <w:b w:val="0"/>
          <w:bCs/>
          <w:color w:val="000000"/>
          <w:kern w:val="0"/>
          <w:sz w:val="32"/>
          <w:szCs w:val="32"/>
          <w:lang w:val="zh-CN" w:eastAsia="zh-CN"/>
        </w:rPr>
      </w:pPr>
      <w:r>
        <w:rPr>
          <w:rFonts w:eastAsia="仿宋_GB2312"/>
          <w:color w:val="000000"/>
          <w:sz w:val="32"/>
          <w:szCs w:val="32"/>
        </w:rPr>
        <w:t>根据《社会救助暂行办法》（国务院令第649号）、《国务院关于全面建立临时救助制度的通知》（国发〔2014〕47号）、《四川省社会救助实施办法》（省政府令第286号）、《四川省人民政府关于进一步健全完善临时救助制度的意见》（川府发〔2015〕13号）</w:t>
      </w:r>
      <w:r>
        <w:rPr>
          <w:rFonts w:hint="eastAsia" w:ascii="仿宋" w:hAnsi="仿宋" w:eastAsia="仿宋" w:cs="仿宋"/>
          <w:b w:val="0"/>
          <w:bCs/>
          <w:color w:val="000000"/>
          <w:kern w:val="0"/>
          <w:sz w:val="32"/>
          <w:szCs w:val="32"/>
        </w:rPr>
        <w:t>《四川省最低生活保障工作规程》</w:t>
      </w:r>
      <w:r>
        <w:rPr>
          <w:rFonts w:hint="eastAsia" w:ascii="仿宋" w:hAnsi="仿宋" w:eastAsia="仿宋" w:cs="仿宋"/>
          <w:color w:val="000000"/>
          <w:sz w:val="32"/>
          <w:szCs w:val="32"/>
        </w:rPr>
        <w:t>川民发（201</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155</w:t>
      </w:r>
      <w:r>
        <w:rPr>
          <w:rFonts w:hint="eastAsia" w:ascii="仿宋" w:hAnsi="仿宋" w:eastAsia="仿宋" w:cs="仿宋"/>
          <w:color w:val="000000"/>
          <w:sz w:val="32"/>
          <w:szCs w:val="32"/>
        </w:rPr>
        <w:t>号、</w:t>
      </w:r>
      <w:r>
        <w:rPr>
          <w:rFonts w:hint="eastAsia" w:ascii="仿宋" w:hAnsi="仿宋" w:eastAsia="仿宋"/>
          <w:color w:val="000000"/>
          <w:sz w:val="32"/>
          <w:szCs w:val="32"/>
          <w:lang w:val="zh-CN"/>
        </w:rPr>
        <w:t xml:space="preserve"> </w:t>
      </w:r>
      <w:r>
        <w:rPr>
          <w:rFonts w:hint="eastAsia" w:ascii="仿宋" w:hAnsi="仿宋" w:eastAsia="仿宋"/>
          <w:color w:val="auto"/>
          <w:sz w:val="32"/>
          <w:szCs w:val="32"/>
        </w:rPr>
        <w:t>结合</w:t>
      </w:r>
      <w:r>
        <w:rPr>
          <w:color w:val="auto"/>
          <w:sz w:val="32"/>
          <w:szCs w:val="32"/>
        </w:rPr>
        <w:t>　</w:t>
      </w:r>
      <w:r>
        <w:rPr>
          <w:rFonts w:hint="eastAsia" w:ascii="仿宋" w:hAnsi="仿宋" w:eastAsia="仿宋" w:cs="仿宋"/>
          <w:b w:val="0"/>
          <w:bCs/>
          <w:color w:val="000000"/>
          <w:kern w:val="0"/>
          <w:sz w:val="32"/>
          <w:szCs w:val="32"/>
        </w:rPr>
        <w:t>《阿坝藏族羌族自治州城乡困难群众临时生活救助实施办法》(阿府办发〔2011〕2</w:t>
      </w:r>
      <w:r>
        <w:rPr>
          <w:rFonts w:hint="eastAsia" w:ascii="仿宋" w:hAnsi="仿宋" w:eastAsia="仿宋" w:cs="仿宋"/>
          <w:b w:val="0"/>
          <w:bCs/>
          <w:color w:val="000000"/>
          <w:kern w:val="0"/>
          <w:sz w:val="32"/>
          <w:szCs w:val="32"/>
          <w:lang w:val="en-US" w:eastAsia="zh-CN"/>
        </w:rPr>
        <w:t>3</w:t>
      </w:r>
      <w:r>
        <w:rPr>
          <w:rFonts w:hint="eastAsia" w:ascii="仿宋" w:hAnsi="仿宋" w:eastAsia="仿宋" w:cs="仿宋"/>
          <w:b w:val="0"/>
          <w:bCs/>
          <w:color w:val="000000"/>
          <w:kern w:val="0"/>
          <w:sz w:val="32"/>
          <w:szCs w:val="32"/>
        </w:rPr>
        <w:t xml:space="preserve">号) </w:t>
      </w:r>
      <w:r>
        <w:rPr>
          <w:rFonts w:hint="eastAsia" w:ascii="仿宋" w:hAnsi="仿宋" w:eastAsia="仿宋" w:cs="仿宋"/>
          <w:b w:val="0"/>
          <w:bCs/>
          <w:color w:val="000000"/>
          <w:kern w:val="0"/>
          <w:sz w:val="32"/>
          <w:szCs w:val="32"/>
          <w:lang w:eastAsia="zh-CN"/>
        </w:rPr>
        <w:t>、</w:t>
      </w:r>
      <w:r>
        <w:rPr>
          <w:rFonts w:hint="eastAsia" w:ascii="仿宋" w:hAnsi="仿宋" w:eastAsia="仿宋" w:cs="仿宋"/>
          <w:b w:val="0"/>
          <w:bCs/>
          <w:color w:val="000000"/>
          <w:kern w:val="0"/>
          <w:sz w:val="32"/>
          <w:szCs w:val="32"/>
        </w:rPr>
        <w:t>《阿坝</w:t>
      </w:r>
      <w:r>
        <w:rPr>
          <w:rFonts w:hint="eastAsia" w:ascii="仿宋" w:hAnsi="仿宋" w:eastAsia="仿宋" w:cs="仿宋"/>
          <w:b w:val="0"/>
          <w:bCs/>
          <w:color w:val="000000"/>
          <w:kern w:val="0"/>
          <w:sz w:val="32"/>
          <w:szCs w:val="32"/>
          <w:lang w:eastAsia="zh-CN"/>
        </w:rPr>
        <w:t>州民政局关于进一步做好临时救助工作的通知</w:t>
      </w:r>
      <w:r>
        <w:rPr>
          <w:rFonts w:hint="eastAsia" w:ascii="仿宋" w:hAnsi="仿宋" w:eastAsia="仿宋" w:cs="仿宋"/>
          <w:b w:val="0"/>
          <w:bCs/>
          <w:color w:val="000000"/>
          <w:kern w:val="0"/>
          <w:sz w:val="32"/>
          <w:szCs w:val="32"/>
        </w:rPr>
        <w:t>》(阿</w:t>
      </w:r>
      <w:r>
        <w:rPr>
          <w:rFonts w:hint="eastAsia" w:ascii="仿宋" w:hAnsi="仿宋" w:eastAsia="仿宋" w:cs="仿宋"/>
          <w:b w:val="0"/>
          <w:bCs/>
          <w:color w:val="000000"/>
          <w:kern w:val="0"/>
          <w:sz w:val="32"/>
          <w:szCs w:val="32"/>
          <w:lang w:eastAsia="zh-CN"/>
        </w:rPr>
        <w:t>州民政</w:t>
      </w:r>
      <w:r>
        <w:rPr>
          <w:rFonts w:hint="eastAsia" w:ascii="仿宋" w:hAnsi="仿宋" w:eastAsia="仿宋" w:cs="仿宋"/>
          <w:b w:val="0"/>
          <w:bCs/>
          <w:color w:val="000000"/>
          <w:kern w:val="0"/>
          <w:sz w:val="32"/>
          <w:szCs w:val="32"/>
        </w:rPr>
        <w:t>〔201</w:t>
      </w:r>
      <w:r>
        <w:rPr>
          <w:rFonts w:hint="eastAsia" w:ascii="仿宋" w:hAnsi="仿宋" w:eastAsia="仿宋" w:cs="仿宋"/>
          <w:b w:val="0"/>
          <w:bCs/>
          <w:color w:val="000000"/>
          <w:kern w:val="0"/>
          <w:sz w:val="32"/>
          <w:szCs w:val="32"/>
          <w:lang w:val="en-US" w:eastAsia="zh-CN"/>
        </w:rPr>
        <w:t>7</w:t>
      </w:r>
      <w:r>
        <w:rPr>
          <w:rFonts w:hint="eastAsia" w:ascii="仿宋" w:hAnsi="仿宋" w:eastAsia="仿宋" w:cs="仿宋"/>
          <w:b w:val="0"/>
          <w:bCs/>
          <w:color w:val="000000"/>
          <w:kern w:val="0"/>
          <w:sz w:val="32"/>
          <w:szCs w:val="32"/>
        </w:rPr>
        <w:t>〕</w:t>
      </w:r>
      <w:r>
        <w:rPr>
          <w:rFonts w:hint="eastAsia" w:ascii="仿宋" w:hAnsi="仿宋" w:eastAsia="仿宋" w:cs="仿宋"/>
          <w:b w:val="0"/>
          <w:bCs/>
          <w:color w:val="000000"/>
          <w:kern w:val="0"/>
          <w:sz w:val="32"/>
          <w:szCs w:val="32"/>
          <w:lang w:val="en-US" w:eastAsia="zh-CN"/>
        </w:rPr>
        <w:t>282</w:t>
      </w:r>
      <w:r>
        <w:rPr>
          <w:rFonts w:hint="eastAsia" w:ascii="仿宋" w:hAnsi="仿宋" w:eastAsia="仿宋" w:cs="仿宋"/>
          <w:b w:val="0"/>
          <w:bCs/>
          <w:color w:val="000000"/>
          <w:kern w:val="0"/>
          <w:sz w:val="32"/>
          <w:szCs w:val="32"/>
        </w:rPr>
        <w:t>号)、</w:t>
      </w:r>
      <w:r>
        <w:rPr>
          <w:rFonts w:hint="eastAsia" w:ascii="仿宋" w:hAnsi="仿宋" w:eastAsia="仿宋" w:cs="仿宋"/>
          <w:b w:val="0"/>
          <w:bCs/>
          <w:color w:val="000000"/>
          <w:kern w:val="0"/>
          <w:sz w:val="32"/>
          <w:szCs w:val="32"/>
          <w:lang w:eastAsia="zh-CN"/>
        </w:rPr>
        <w:t>和</w:t>
      </w:r>
      <w:r>
        <w:rPr>
          <w:rFonts w:hint="eastAsia" w:ascii="仿宋" w:hAnsi="仿宋" w:eastAsia="仿宋" w:cs="仿宋"/>
          <w:b w:val="0"/>
          <w:bCs/>
          <w:color w:val="000000"/>
          <w:kern w:val="0"/>
          <w:sz w:val="32"/>
          <w:szCs w:val="32"/>
        </w:rPr>
        <w:t>《</w:t>
      </w:r>
      <w:r>
        <w:rPr>
          <w:rFonts w:hint="eastAsia" w:ascii="仿宋" w:hAnsi="仿宋" w:eastAsia="仿宋" w:cs="仿宋"/>
          <w:b w:val="0"/>
          <w:bCs/>
          <w:color w:val="000000"/>
          <w:kern w:val="0"/>
          <w:sz w:val="32"/>
          <w:szCs w:val="32"/>
          <w:lang w:eastAsia="zh-CN"/>
        </w:rPr>
        <w:t>四川省民政厅四川省财政厅关于进一步做好临时救助工作的通知</w:t>
      </w:r>
      <w:r>
        <w:rPr>
          <w:rFonts w:hint="eastAsia" w:ascii="仿宋" w:hAnsi="仿宋" w:eastAsia="仿宋" w:cs="仿宋"/>
          <w:b w:val="0"/>
          <w:bCs/>
          <w:color w:val="000000"/>
          <w:kern w:val="0"/>
          <w:sz w:val="32"/>
          <w:szCs w:val="32"/>
        </w:rPr>
        <w:t>》川民发（201</w:t>
      </w:r>
      <w:r>
        <w:rPr>
          <w:rFonts w:hint="eastAsia" w:ascii="仿宋" w:hAnsi="仿宋" w:eastAsia="仿宋" w:cs="仿宋"/>
          <w:b w:val="0"/>
          <w:bCs/>
          <w:color w:val="000000"/>
          <w:kern w:val="0"/>
          <w:sz w:val="32"/>
          <w:szCs w:val="32"/>
          <w:lang w:val="en-US" w:eastAsia="zh-CN"/>
        </w:rPr>
        <w:t>8</w:t>
      </w:r>
      <w:r>
        <w:rPr>
          <w:rFonts w:hint="eastAsia" w:ascii="仿宋" w:hAnsi="仿宋" w:eastAsia="仿宋" w:cs="仿宋"/>
          <w:b w:val="0"/>
          <w:bCs/>
          <w:color w:val="000000"/>
          <w:kern w:val="0"/>
          <w:sz w:val="32"/>
          <w:szCs w:val="32"/>
        </w:rPr>
        <w:t>）</w:t>
      </w:r>
      <w:r>
        <w:rPr>
          <w:rFonts w:hint="eastAsia" w:ascii="仿宋" w:hAnsi="仿宋" w:eastAsia="仿宋" w:cs="仿宋"/>
          <w:b w:val="0"/>
          <w:bCs/>
          <w:color w:val="000000"/>
          <w:kern w:val="0"/>
          <w:sz w:val="32"/>
          <w:szCs w:val="32"/>
          <w:lang w:val="en-US" w:eastAsia="zh-CN"/>
        </w:rPr>
        <w:t>98</w:t>
      </w:r>
      <w:r>
        <w:rPr>
          <w:rFonts w:hint="eastAsia" w:ascii="仿宋" w:hAnsi="仿宋" w:eastAsia="仿宋" w:cs="仿宋"/>
          <w:b w:val="0"/>
          <w:bCs/>
          <w:color w:val="000000"/>
          <w:kern w:val="0"/>
          <w:sz w:val="32"/>
          <w:szCs w:val="32"/>
        </w:rPr>
        <w:t>号</w:t>
      </w:r>
      <w:r>
        <w:rPr>
          <w:rFonts w:hint="eastAsia" w:ascii="仿宋" w:hAnsi="仿宋" w:eastAsia="仿宋" w:cs="仿宋"/>
          <w:b w:val="0"/>
          <w:bCs/>
          <w:color w:val="000000"/>
          <w:kern w:val="0"/>
          <w:sz w:val="32"/>
          <w:szCs w:val="32"/>
          <w:lang w:val="zh-CN" w:eastAsia="zh-CN"/>
        </w:rPr>
        <w:t>文件精神,来评估、核定。给与城乡低保对象、特困、建档立卡对象、以及其他符合临时救助条件的困难人员的临时补助，必须细分明确救助对象类别，规范审核审批程序、科学制定量化救助标准，重点使用的原则。</w:t>
      </w:r>
    </w:p>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600" w:lineRule="exact"/>
        <w:ind w:left="640" w:leftChars="0" w:right="0" w:rightChars="0" w:firstLine="640" w:firstLineChars="200"/>
        <w:textAlignment w:val="auto"/>
        <w:rPr>
          <w:rFonts w:hint="eastAsia" w:ascii="仿宋" w:hAnsi="仿宋" w:eastAsia="仿宋" w:cs="仿宋"/>
          <w:b w:val="0"/>
          <w:bCs/>
          <w:color w:val="000000"/>
          <w:kern w:val="0"/>
          <w:sz w:val="32"/>
          <w:szCs w:val="32"/>
          <w:lang w:val="zh-CN" w:eastAsia="zh-CN"/>
        </w:rPr>
      </w:pPr>
      <w:r>
        <w:rPr>
          <w:rFonts w:hint="eastAsia" w:ascii="仿宋" w:hAnsi="仿宋" w:eastAsia="仿宋" w:cs="仿宋"/>
          <w:b w:val="0"/>
          <w:bCs/>
          <w:color w:val="000000"/>
          <w:kern w:val="0"/>
          <w:sz w:val="32"/>
          <w:szCs w:val="32"/>
          <w:lang w:val="zh-CN" w:eastAsia="zh-CN"/>
        </w:rPr>
        <w:t>自城乡特困制度实施以来，全县农村特困人员保障范围逐步扩大，保障标准逐步提高，已形成了同其他社会保障措施相配套、覆盖全县农村困难居民的最低生活保障体系，农村弱势群体的基本生活得到了保障。通过问卷调查，群众满意率为9</w:t>
      </w:r>
      <w:r>
        <w:rPr>
          <w:rFonts w:hint="eastAsia" w:ascii="仿宋" w:hAnsi="仿宋" w:eastAsia="仿宋" w:cs="仿宋"/>
          <w:b w:val="0"/>
          <w:bCs/>
          <w:color w:val="000000"/>
          <w:kern w:val="0"/>
          <w:sz w:val="32"/>
          <w:szCs w:val="32"/>
          <w:lang w:val="en-US" w:eastAsia="zh-CN"/>
        </w:rPr>
        <w:t>8</w:t>
      </w:r>
      <w:r>
        <w:rPr>
          <w:rFonts w:hint="eastAsia" w:ascii="仿宋" w:hAnsi="仿宋" w:eastAsia="仿宋" w:cs="仿宋"/>
          <w:b w:val="0"/>
          <w:bCs/>
          <w:color w:val="000000"/>
          <w:kern w:val="0"/>
          <w:sz w:val="32"/>
          <w:szCs w:val="32"/>
          <w:lang w:val="zh-CN" w:eastAsia="zh-CN"/>
        </w:rPr>
        <w:t>%，低收入群体的生活质量有明显改善。为稳定、持久地解决农村贫困人口温饱问题、促进经济发展、社会和谐发挥了积极作用。</w:t>
      </w:r>
    </w:p>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600" w:lineRule="exact"/>
        <w:ind w:left="640" w:leftChars="0" w:right="0" w:rightChars="0" w:firstLine="640" w:firstLineChars="200"/>
        <w:textAlignment w:val="auto"/>
        <w:rPr>
          <w:rFonts w:hint="eastAsia" w:ascii="仿宋" w:hAnsi="仿宋" w:eastAsia="仿宋" w:cs="仿宋"/>
          <w:b w:val="0"/>
          <w:bCs/>
          <w:color w:val="000000"/>
          <w:kern w:val="0"/>
          <w:sz w:val="32"/>
          <w:szCs w:val="32"/>
          <w:lang w:val="zh-CN" w:eastAsia="zh-CN"/>
        </w:rPr>
      </w:pPr>
      <w:r>
        <w:rPr>
          <w:rFonts w:hint="eastAsia" w:ascii="仿宋" w:hAnsi="仿宋" w:eastAsia="仿宋" w:cs="仿宋"/>
          <w:b w:val="0"/>
          <w:bCs/>
          <w:color w:val="000000"/>
          <w:kern w:val="0"/>
          <w:sz w:val="32"/>
          <w:szCs w:val="32"/>
          <w:lang w:val="zh-CN" w:eastAsia="zh-CN"/>
        </w:rPr>
        <w:t>根据《社会救助暂行办法》（〔2014〕国务院令第649号、《四川省最低生活保障工作规程》等四个规程的通知（川民发[2017]155号）号文件。</w:t>
      </w:r>
    </w:p>
    <w:p>
      <w:pPr>
        <w:ind w:firstLine="640" w:firstLineChars="200"/>
        <w:rPr>
          <w:rFonts w:hint="eastAsia" w:ascii="仿宋_GB2312" w:hAnsi="仿宋_GB2312" w:eastAsia="仿宋_GB2312" w:cs="仿宋_GB2312"/>
          <w:sz w:val="32"/>
          <w:szCs w:val="32"/>
          <w:lang w:val="en-US" w:eastAsia="zh-CN"/>
        </w:rPr>
      </w:pPr>
    </w:p>
    <w:p>
      <w:pPr>
        <w:ind w:firstLine="643" w:firstLineChars="200"/>
        <w:rPr>
          <w:rFonts w:hint="eastAsia" w:ascii="仿宋_GB2312" w:hAnsi="宋体" w:eastAsia="仿宋_GB2312" w:cs="Times New Roman"/>
          <w:b/>
          <w:bCs/>
          <w:sz w:val="32"/>
          <w:szCs w:val="32"/>
          <w:lang w:val="zh-CN" w:eastAsia="zh-CN"/>
        </w:rPr>
      </w:pPr>
      <w:r>
        <w:rPr>
          <w:rFonts w:hint="eastAsia" w:ascii="仿宋_GB2312" w:hAnsi="仿宋_GB2312" w:eastAsia="仿宋_GB2312" w:cs="仿宋_GB2312"/>
          <w:b/>
          <w:bCs/>
          <w:sz w:val="32"/>
          <w:szCs w:val="32"/>
          <w:lang w:val="en-US" w:eastAsia="zh-CN"/>
        </w:rPr>
        <w:t>重点项目2：</w:t>
      </w:r>
      <w:r>
        <w:rPr>
          <w:rFonts w:hint="eastAsia" w:ascii="仿宋_GB2312" w:hAnsi="宋体" w:eastAsia="仿宋_GB2312" w:cs="Times New Roman"/>
          <w:b/>
          <w:bCs/>
          <w:sz w:val="32"/>
          <w:szCs w:val="32"/>
          <w:lang w:val="zh-CN" w:eastAsia="zh-CN"/>
        </w:rPr>
        <w:t>长寿老人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w:t>
      </w:r>
      <w:r>
        <w:rPr>
          <w:rFonts w:hint="eastAsia" w:ascii="仿宋_GB2312" w:hAnsi="宋体" w:eastAsia="仿宋_GB2312" w:cs="Times New Roman"/>
          <w:sz w:val="32"/>
          <w:szCs w:val="32"/>
          <w:lang w:val="zh-CN"/>
        </w:rPr>
        <w:t>根据《中华人民共和国老年人权益保障法》、阿府办发〔2012〕42号、阿州民政〔2018〕175号、金委办[2015]39号文件精神， 为我县80周岁以上老年人发放高龄津贴，为百岁老人发放春节慰问金。</w:t>
      </w:r>
    </w:p>
    <w:p>
      <w:pPr>
        <w:widowControl/>
        <w:spacing w:line="600" w:lineRule="exact"/>
        <w:ind w:firstLine="640" w:firstLineChars="200"/>
        <w:jc w:val="left"/>
        <w:rPr>
          <w:rFonts w:hint="eastAsia" w:ascii="仿宋_GB2312" w:hAnsi="宋体" w:eastAsia="仿宋_GB2312" w:cs="Times New Roman"/>
          <w:sz w:val="32"/>
          <w:szCs w:val="32"/>
          <w:lang w:val="zh-CN"/>
        </w:rPr>
      </w:pPr>
      <w:r>
        <w:rPr>
          <w:rFonts w:hint="eastAsia" w:ascii="仿宋_GB2312" w:hAnsi="仿宋_GB2312" w:eastAsia="仿宋_GB2312" w:cs="仿宋_GB2312"/>
          <w:sz w:val="32"/>
          <w:szCs w:val="32"/>
          <w:lang w:val="en-US" w:eastAsia="zh-CN"/>
        </w:rPr>
        <w:t>绩效指标设置情况：</w:t>
      </w:r>
      <w:r>
        <w:rPr>
          <w:rFonts w:hint="eastAsia" w:ascii="仿宋_GB2312" w:hAnsi="宋体" w:eastAsia="仿宋_GB2312" w:cs="Times New Roman"/>
          <w:sz w:val="32"/>
          <w:szCs w:val="32"/>
          <w:lang w:val="zh-CN"/>
        </w:rPr>
        <w:t>根据《中华人民共和国老年人权益保障法》、阿府办发〔2012〕42、阿州民政〔2018〕175号文件精神,凡符合80周岁至89周岁老年人80元/人·月；90周岁至99周岁老年人150元/人·月；100周岁以上老年人400元/人·月，春节慰问金每人1000元。金委办[2015]39号发《金川县关于增加90周岁以上高龄老人生活补助的实施方案的通知》精神，90周岁老年人1000元/人·月,90-99周岁每增加一岁，每人补助增加100元/月；年满100周岁老年人2000元/人·月，100周岁以上，每人补助增加200元/月。（年满90周岁以上且有工资收入的老年人除外，享受90周岁至99周岁老年人150元/人·月；100周岁以上老年人400元/人·月）</w:t>
      </w:r>
    </w:p>
    <w:p>
      <w:pPr>
        <w:widowControl/>
        <w:spacing w:line="600" w:lineRule="exact"/>
        <w:ind w:firstLine="640" w:firstLineChars="200"/>
        <w:jc w:val="left"/>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2、2022年长寿老人生活补贴预算1954人，标准80-2600元/人，资金为4201520元，县级配套资金为3612100元。</w:t>
      </w:r>
    </w:p>
    <w:p>
      <w:pPr>
        <w:numPr>
          <w:numId w:val="0"/>
        </w:numPr>
        <w:adjustRightInd w:val="0"/>
        <w:snapToGrid w:val="0"/>
        <w:spacing w:line="600" w:lineRule="exact"/>
        <w:ind w:left="210" w:leftChars="0"/>
        <w:rPr>
          <w:rFonts w:hint="eastAsia" w:ascii="仿宋_GB2312" w:hAnsi="宋体" w:eastAsia="仿宋_GB2312"/>
          <w:b/>
          <w:bCs/>
          <w:sz w:val="32"/>
          <w:szCs w:val="32"/>
        </w:rPr>
      </w:pPr>
      <w:r>
        <w:rPr>
          <w:rFonts w:hint="eastAsia" w:ascii="仿宋_GB2312" w:hAnsi="宋体" w:eastAsia="仿宋_GB2312"/>
          <w:b/>
          <w:bCs/>
          <w:sz w:val="32"/>
          <w:szCs w:val="32"/>
          <w:lang w:val="en-US" w:eastAsia="zh-CN"/>
        </w:rPr>
        <w:t xml:space="preserve">  二、</w:t>
      </w:r>
      <w:r>
        <w:rPr>
          <w:rFonts w:hint="eastAsia" w:ascii="仿宋_GB2312" w:hAnsi="宋体" w:eastAsia="仿宋_GB2312"/>
          <w:b/>
          <w:bCs/>
          <w:sz w:val="32"/>
          <w:szCs w:val="32"/>
        </w:rPr>
        <w:t>绩效目标合理性</w:t>
      </w:r>
    </w:p>
    <w:p>
      <w:pPr>
        <w:adjustRightInd w:val="0"/>
        <w:snapToGrid w:val="0"/>
        <w:spacing w:line="520" w:lineRule="exact"/>
        <w:ind w:firstLine="640" w:firstLineChars="200"/>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eastAsia="zh-CN"/>
        </w:rPr>
        <w:t>长寿老人资金保障项目申报内容与具体实施内容相符、申报目标合理可行。</w:t>
      </w:r>
    </w:p>
    <w:p>
      <w:pPr>
        <w:pStyle w:val="3"/>
        <w:numPr>
          <w:numId w:val="0"/>
        </w:numPr>
        <w:spacing w:before="0" w:beforeAutospacing="0" w:after="0" w:afterAutospacing="0" w:line="600" w:lineRule="exact"/>
        <w:ind w:left="640" w:leftChars="0" w:right="0" w:rightChars="0"/>
        <w:rPr>
          <w:rFonts w:hint="eastAsia" w:ascii="仿宋_GB2312" w:hAnsi="宋体" w:eastAsia="仿宋_GB2312"/>
          <w:b/>
          <w:bCs/>
          <w:sz w:val="32"/>
          <w:szCs w:val="32"/>
        </w:rPr>
      </w:pPr>
      <w:r>
        <w:rPr>
          <w:rFonts w:hint="eastAsia" w:ascii="仿宋_GB2312" w:hAnsi="宋体" w:eastAsia="仿宋_GB2312"/>
          <w:b/>
          <w:bCs/>
          <w:sz w:val="32"/>
          <w:szCs w:val="32"/>
          <w:lang w:eastAsia="zh-CN"/>
        </w:rPr>
        <w:t>三、</w:t>
      </w:r>
      <w:r>
        <w:rPr>
          <w:rFonts w:hint="eastAsia" w:ascii="仿宋_GB2312" w:hAnsi="宋体" w:eastAsia="仿宋_GB2312"/>
          <w:b/>
          <w:bCs/>
          <w:sz w:val="32"/>
          <w:szCs w:val="32"/>
        </w:rPr>
        <w:t>实施方案可行性</w:t>
      </w:r>
    </w:p>
    <w:p>
      <w:pPr>
        <w:adjustRightInd w:val="0"/>
        <w:snapToGrid w:val="0"/>
        <w:spacing w:line="540" w:lineRule="exact"/>
        <w:ind w:firstLine="643" w:firstLineChars="200"/>
        <w:rPr>
          <w:rFonts w:hint="eastAsia" w:ascii="仿宋_GB2312" w:hAnsi="宋体"/>
          <w:b/>
          <w:sz w:val="32"/>
          <w:szCs w:val="32"/>
          <w:lang w:val="zh-CN"/>
        </w:rPr>
      </w:pPr>
      <w:r>
        <w:rPr>
          <w:rFonts w:hint="eastAsia" w:ascii="仿宋_GB2312" w:hAnsi="宋体"/>
          <w:b/>
          <w:sz w:val="32"/>
          <w:szCs w:val="32"/>
          <w:lang w:val="zh-CN"/>
        </w:rPr>
        <w:t>（一）项目组织架构及实施流程</w:t>
      </w:r>
    </w:p>
    <w:p>
      <w:pPr>
        <w:adjustRightInd w:val="0"/>
        <w:snapToGrid w:val="0"/>
        <w:spacing w:line="520" w:lineRule="exact"/>
        <w:ind w:firstLine="640" w:firstLineChars="200"/>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eastAsia="zh-CN"/>
        </w:rPr>
        <w:t>高龄津贴按照州、县财政分级承担的办法纳入财政预算，由原资金渠道列支解决，具有我县户籍年满80周岁的老人为长寿老人。根据本人身份证、户口簿申报长寿补贴。结合我县实际情况，根据发放标准，妥善解决老年人福利生活补贴资金。每季度以实际享受老年人福利人数到县财政社保股审核无误后，由我局填写用款计划表—社保股审核—国库股审核—部门申请直接由民政局财务股委托农行金川县支行代发到长寿老人人员手中。</w:t>
      </w:r>
    </w:p>
    <w:p>
      <w:pPr>
        <w:adjustRightInd w:val="0"/>
        <w:snapToGrid w:val="0"/>
        <w:spacing w:line="540" w:lineRule="exact"/>
        <w:ind w:firstLine="640" w:firstLineChars="200"/>
        <w:rPr>
          <w:rFonts w:hint="eastAsia" w:ascii="黑体" w:hAnsi="黑体" w:eastAsia="黑体" w:cs="宋体"/>
          <w:sz w:val="32"/>
          <w:szCs w:val="32"/>
        </w:rPr>
      </w:pPr>
      <w:r>
        <w:rPr>
          <w:rFonts w:hint="eastAsia" w:ascii="黑体" w:hAnsi="黑体" w:eastAsia="黑体" w:cs="宋体"/>
          <w:sz w:val="32"/>
          <w:szCs w:val="32"/>
        </w:rPr>
        <w:t>（二）项目管理情况</w:t>
      </w:r>
    </w:p>
    <w:p>
      <w:pPr>
        <w:widowControl/>
        <w:spacing w:line="540" w:lineRule="exact"/>
        <w:ind w:firstLine="640" w:firstLineChars="200"/>
        <w:jc w:val="left"/>
        <w:rPr>
          <w:rFonts w:hint="eastAsia" w:ascii="仿宋_GB2312" w:hAnsi="仿宋_GB2312" w:cs="宋体"/>
          <w:sz w:val="32"/>
          <w:szCs w:val="32"/>
        </w:rPr>
      </w:pPr>
      <w:r>
        <w:rPr>
          <w:rFonts w:hint="eastAsia" w:ascii="仿宋_GB2312" w:hAnsi="宋体" w:eastAsia="仿宋_GB2312" w:cs="Times New Roman"/>
          <w:sz w:val="32"/>
          <w:szCs w:val="32"/>
          <w:lang w:val="zh-CN" w:eastAsia="zh-CN"/>
        </w:rPr>
        <w:t>高龄津贴发放以户籍为基础，按照个人申请（以提交身份证、户口簿，本人农行卡复印件为准）、村（社区居）委会调查核实初审、乡（镇）人民政府审核、社会福利股审批的程序，实行属地管理、动态管理，按月发放</w:t>
      </w:r>
      <w:r>
        <w:rPr>
          <w:rFonts w:hint="eastAsia" w:ascii="仿宋_GB2312" w:hAnsi="仿宋_GB2312" w:cs="宋体"/>
          <w:sz w:val="32"/>
          <w:szCs w:val="32"/>
        </w:rPr>
        <w:t>。</w:t>
      </w:r>
    </w:p>
    <w:p>
      <w:pPr>
        <w:widowControl/>
        <w:spacing w:line="540" w:lineRule="exact"/>
        <w:ind w:firstLine="640" w:firstLineChars="200"/>
        <w:jc w:val="left"/>
        <w:rPr>
          <w:rFonts w:hint="eastAsia" w:ascii="黑体" w:hAnsi="黑体" w:eastAsia="黑体" w:cs="宋体"/>
          <w:sz w:val="32"/>
          <w:szCs w:val="32"/>
        </w:rPr>
      </w:pPr>
      <w:r>
        <w:rPr>
          <w:rFonts w:hint="eastAsia" w:ascii="黑体" w:hAnsi="黑体" w:eastAsia="黑体" w:cs="宋体"/>
          <w:sz w:val="32"/>
          <w:szCs w:val="32"/>
        </w:rPr>
        <w:t>（三）项目监管情况</w:t>
      </w:r>
    </w:p>
    <w:p>
      <w:pPr>
        <w:widowControl/>
        <w:spacing w:line="540" w:lineRule="exact"/>
        <w:ind w:firstLine="640" w:firstLineChars="200"/>
        <w:jc w:val="left"/>
        <w:rPr>
          <w:rFonts w:hint="eastAsia" w:ascii="仿宋_GB2312" w:hAnsi="宋体" w:eastAsia="仿宋_GB2312"/>
          <w:sz w:val="32"/>
          <w:szCs w:val="32"/>
        </w:rPr>
      </w:pPr>
      <w:r>
        <w:rPr>
          <w:rFonts w:hint="eastAsia" w:ascii="仿宋_GB2312" w:hAnsi="宋体" w:eastAsia="仿宋_GB2312" w:cs="Times New Roman"/>
          <w:sz w:val="32"/>
          <w:szCs w:val="32"/>
          <w:lang w:val="zh-CN" w:eastAsia="zh-CN"/>
        </w:rPr>
        <w:t>老年福利资金实行专款专用。社会福利股负责高龄津贴的审批，县财政部门负责高龄津贴资金的安排拨付，各乡镇负责老年人福利相关资料的收集、审核、申报、公示、资金发放等，县监察、审计部门负责高龄津贴资金的监督检查和审计。对套取、截留、挤占、挪用和不按规定发放的，按照有关规定依法从严查处。</w:t>
      </w:r>
    </w:p>
    <w:p>
      <w:pPr>
        <w:numPr>
          <w:numId w:val="0"/>
        </w:numPr>
        <w:adjustRightInd w:val="0"/>
        <w:snapToGrid w:val="0"/>
        <w:spacing w:line="600" w:lineRule="exact"/>
        <w:ind w:firstLine="643" w:firstLineChars="200"/>
        <w:rPr>
          <w:rFonts w:hint="eastAsia" w:ascii="仿宋_GB2312" w:hAnsi="宋体" w:eastAsia="仿宋_GB2312"/>
          <w:b/>
          <w:bCs/>
          <w:sz w:val="32"/>
          <w:szCs w:val="32"/>
        </w:rPr>
      </w:pPr>
      <w:r>
        <w:rPr>
          <w:rFonts w:hint="eastAsia" w:ascii="仿宋_GB2312" w:hAnsi="宋体" w:eastAsia="仿宋_GB2312"/>
          <w:b/>
          <w:bCs/>
          <w:sz w:val="32"/>
          <w:szCs w:val="32"/>
          <w:lang w:eastAsia="zh-CN"/>
        </w:rPr>
        <w:t>四、</w:t>
      </w:r>
      <w:r>
        <w:rPr>
          <w:rFonts w:hint="eastAsia" w:ascii="仿宋_GB2312" w:hAnsi="宋体" w:eastAsia="仿宋_GB2312"/>
          <w:b/>
          <w:bCs/>
          <w:sz w:val="32"/>
          <w:szCs w:val="32"/>
        </w:rPr>
        <w:t>筹资合规性</w:t>
      </w:r>
    </w:p>
    <w:p>
      <w:pPr>
        <w:adjustRightInd w:val="0"/>
        <w:snapToGrid w:val="0"/>
        <w:spacing w:line="540" w:lineRule="exact"/>
        <w:ind w:firstLine="643" w:firstLineChars="200"/>
        <w:rPr>
          <w:rFonts w:hint="eastAsia" w:ascii="仿宋_GB2312" w:hAnsi="宋体"/>
          <w:b/>
          <w:sz w:val="32"/>
          <w:szCs w:val="32"/>
          <w:lang w:val="zh-CN"/>
        </w:rPr>
      </w:pPr>
      <w:r>
        <w:rPr>
          <w:rFonts w:hint="eastAsia" w:ascii="仿宋_GB2312" w:hAnsi="宋体"/>
          <w:b/>
          <w:sz w:val="32"/>
          <w:szCs w:val="32"/>
          <w:lang w:val="zh-CN"/>
        </w:rPr>
        <w:t>（一）项目资金申报及批复情况</w:t>
      </w:r>
    </w:p>
    <w:p>
      <w:pPr>
        <w:widowControl/>
        <w:spacing w:line="540" w:lineRule="exact"/>
        <w:ind w:firstLine="640" w:firstLineChars="200"/>
        <w:jc w:val="left"/>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eastAsia="zh-CN"/>
        </w:rPr>
        <w:t>按照上级有关规定，结合我县实际情况，严格按照妥善解决老年人福利生活补贴资金，按政策规定头年将此资金纳入财政预算。次年每季度以实际享受老年人福利人数到县财政社保股审核无误后，由我局填写用款计划表—社保股审核—国库股审核—部门申请直接由民政局财务股委托农行金川县支行通过一卡通代发到长寿老人人员手中。</w:t>
      </w:r>
    </w:p>
    <w:p>
      <w:pPr>
        <w:adjustRightInd w:val="0"/>
        <w:snapToGrid w:val="0"/>
        <w:spacing w:line="540" w:lineRule="exact"/>
        <w:ind w:firstLine="643" w:firstLineChars="200"/>
        <w:rPr>
          <w:rFonts w:hint="eastAsia" w:ascii="仿宋_GB2312" w:hAnsi="宋体"/>
          <w:sz w:val="32"/>
          <w:szCs w:val="32"/>
          <w:lang w:val="zh-CN"/>
        </w:rPr>
      </w:pPr>
      <w:r>
        <w:rPr>
          <w:rFonts w:hint="eastAsia" w:ascii="仿宋_GB2312" w:hAnsi="宋体"/>
          <w:b/>
          <w:sz w:val="32"/>
          <w:szCs w:val="32"/>
          <w:lang w:val="zh-CN"/>
        </w:rPr>
        <w:t>（二）资金计划、到位及使用情况</w:t>
      </w:r>
    </w:p>
    <w:p>
      <w:pPr>
        <w:spacing w:line="540" w:lineRule="exact"/>
        <w:ind w:firstLine="643" w:firstLineChars="200"/>
        <w:rPr>
          <w:rFonts w:hint="eastAsia" w:ascii="仿宋_GB2312" w:hAnsi="宋体" w:eastAsia="仿宋_GB2312" w:cs="Times New Roman"/>
          <w:sz w:val="32"/>
          <w:szCs w:val="32"/>
          <w:lang w:val="zh-CN" w:eastAsia="zh-CN"/>
        </w:rPr>
      </w:pPr>
      <w:r>
        <w:rPr>
          <w:rFonts w:hint="eastAsia" w:ascii="仿宋_GB2312" w:hAnsi="仿宋_GB2312"/>
          <w:b/>
          <w:sz w:val="32"/>
          <w:szCs w:val="32"/>
          <w:lang w:val="zh-CN"/>
        </w:rPr>
        <w:t>1.资金计划。</w:t>
      </w:r>
      <w:r>
        <w:rPr>
          <w:rFonts w:hint="eastAsia" w:ascii="仿宋_GB2312" w:hAnsi="宋体" w:eastAsia="仿宋_GB2312" w:cs="Times New Roman"/>
          <w:sz w:val="32"/>
          <w:szCs w:val="32"/>
          <w:lang w:val="zh-CN" w:eastAsia="zh-CN"/>
        </w:rPr>
        <w:t>高龄津贴按照州、县财政分级承担的办法纳入财政预算，由原资金渠道列支解决。</w:t>
      </w:r>
    </w:p>
    <w:p>
      <w:pPr>
        <w:adjustRightInd w:val="0"/>
        <w:snapToGrid w:val="0"/>
        <w:spacing w:line="540" w:lineRule="exact"/>
        <w:ind w:firstLine="643" w:firstLineChars="200"/>
        <w:rPr>
          <w:rFonts w:hint="eastAsia" w:ascii="仿宋_GB2312" w:hAnsi="宋体"/>
          <w:b/>
          <w:sz w:val="32"/>
          <w:szCs w:val="32"/>
          <w:lang w:val="zh-CN"/>
        </w:rPr>
      </w:pPr>
      <w:r>
        <w:rPr>
          <w:rFonts w:hint="eastAsia" w:ascii="仿宋_GB2312" w:hAnsi="宋体"/>
          <w:b/>
          <w:sz w:val="32"/>
          <w:szCs w:val="32"/>
          <w:lang w:val="zh-CN"/>
        </w:rPr>
        <w:t>（三）项目财务管理情况</w:t>
      </w:r>
    </w:p>
    <w:p>
      <w:pPr>
        <w:spacing w:line="540" w:lineRule="exact"/>
        <w:ind w:firstLine="640" w:firstLineChars="200"/>
        <w:rPr>
          <w:rFonts w:hint="eastAsia" w:ascii="仿宋_GB2312" w:hAnsi="宋体" w:eastAsia="仿宋_GB2312"/>
          <w:sz w:val="32"/>
          <w:szCs w:val="32"/>
        </w:rPr>
      </w:pPr>
      <w:r>
        <w:rPr>
          <w:rFonts w:hint="eastAsia" w:ascii="仿宋_GB2312" w:hAnsi="宋体" w:eastAsia="仿宋_GB2312" w:cs="Times New Roman"/>
          <w:sz w:val="32"/>
          <w:szCs w:val="32"/>
          <w:lang w:val="zh-CN" w:eastAsia="zh-CN"/>
        </w:rPr>
        <w:t>老年人福利资金纳入财政预算，按年底人数为基数进行来年预算，来年按实际人数拨付资金，实行专款专用，专项管理制度。老年人福利资金管理制度健全，严格执行财务管理制度，账务处理及时，会计核算规范。</w:t>
      </w:r>
    </w:p>
    <w:p>
      <w:pPr>
        <w:numPr>
          <w:numId w:val="0"/>
        </w:numPr>
        <w:adjustRightInd w:val="0"/>
        <w:snapToGrid w:val="0"/>
        <w:spacing w:line="600" w:lineRule="exact"/>
        <w:ind w:firstLine="643" w:firstLineChars="200"/>
        <w:rPr>
          <w:rFonts w:hint="eastAsia" w:ascii="仿宋_GB2312" w:hAnsi="宋体" w:eastAsia="仿宋_GB2312"/>
          <w:b/>
          <w:bCs/>
          <w:sz w:val="32"/>
          <w:szCs w:val="32"/>
          <w:lang w:eastAsia="zh-CN"/>
        </w:rPr>
      </w:pPr>
      <w:r>
        <w:rPr>
          <w:rFonts w:hint="eastAsia" w:ascii="仿宋_GB2312" w:hAnsi="宋体" w:eastAsia="仿宋_GB2312"/>
          <w:b/>
          <w:bCs/>
          <w:sz w:val="32"/>
          <w:szCs w:val="32"/>
          <w:lang w:eastAsia="zh-CN"/>
        </w:rPr>
        <w:t>五、</w:t>
      </w:r>
      <w:r>
        <w:rPr>
          <w:rFonts w:hint="eastAsia" w:ascii="仿宋_GB2312" w:hAnsi="宋体" w:eastAsia="仿宋_GB2312"/>
          <w:b/>
          <w:bCs/>
          <w:sz w:val="32"/>
          <w:szCs w:val="32"/>
        </w:rPr>
        <w:t>可持续性</w:t>
      </w:r>
      <w:r>
        <w:rPr>
          <w:rFonts w:hint="eastAsia" w:ascii="仿宋_GB2312" w:hAnsi="宋体" w:eastAsia="仿宋_GB2312"/>
          <w:b/>
          <w:bCs/>
          <w:sz w:val="32"/>
          <w:szCs w:val="32"/>
          <w:lang w:eastAsia="zh-CN"/>
        </w:rPr>
        <w:t>分析</w:t>
      </w:r>
    </w:p>
    <w:p>
      <w:pPr>
        <w:widowControl/>
        <w:spacing w:line="540" w:lineRule="exact"/>
        <w:ind w:firstLine="640" w:firstLineChars="200"/>
        <w:jc w:val="left"/>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zh-CN" w:eastAsia="zh-CN"/>
        </w:rPr>
        <w:t>目前,我县实行农行金川县支行代发高龄津贴。定期与不定期进行抽查、督察，发放率达100%，让长寿老人生活得到了保障</w:t>
      </w:r>
    </w:p>
    <w:p>
      <w:pPr>
        <w:ind w:firstLine="640" w:firstLineChars="200"/>
        <w:rPr>
          <w:rFonts w:hint="eastAsia" w:ascii="仿宋_GB2312" w:hAnsi="仿宋_GB2312" w:eastAsia="仿宋_GB2312" w:cs="仿宋_GB2312"/>
          <w:sz w:val="32"/>
          <w:szCs w:val="32"/>
          <w:lang w:val="en-US" w:eastAsia="zh-CN"/>
        </w:rPr>
      </w:pPr>
    </w:p>
    <w:p>
      <w:pPr>
        <w:ind w:firstLine="643" w:firstLineChars="200"/>
        <w:rPr>
          <w:rFonts w:hint="eastAsia" w:ascii="仿宋_GB2312" w:hAnsi="宋体" w:eastAsia="仿宋_GB2312" w:cs="Times New Roman"/>
          <w:b/>
          <w:bCs/>
          <w:sz w:val="32"/>
          <w:szCs w:val="32"/>
          <w:lang w:val="zh-CN" w:eastAsia="zh-CN"/>
        </w:rPr>
      </w:pPr>
      <w:r>
        <w:rPr>
          <w:rFonts w:hint="eastAsia" w:ascii="仿宋_GB2312" w:hAnsi="仿宋_GB2312" w:eastAsia="仿宋_GB2312" w:cs="仿宋_GB2312"/>
          <w:b/>
          <w:bCs/>
          <w:sz w:val="32"/>
          <w:szCs w:val="32"/>
          <w:lang w:val="en-US" w:eastAsia="zh-CN"/>
        </w:rPr>
        <w:t>重点项目3：</w:t>
      </w:r>
      <w:r>
        <w:rPr>
          <w:rFonts w:hint="eastAsia" w:ascii="仿宋_GB2312" w:hAnsi="宋体" w:eastAsia="仿宋_GB2312"/>
          <w:b/>
          <w:bCs/>
          <w:sz w:val="32"/>
          <w:szCs w:val="32"/>
        </w:rPr>
        <w:t>离任村干部</w:t>
      </w:r>
    </w:p>
    <w:p>
      <w:pPr>
        <w:adjustRightInd w:val="0"/>
        <w:snapToGrid w:val="0"/>
        <w:spacing w:line="520" w:lineRule="exact"/>
        <w:ind w:left="420"/>
        <w:rPr>
          <w:rFonts w:ascii="仿宋_GB2312" w:hAnsi="宋体" w:eastAsia="仿宋_GB2312"/>
          <w:sz w:val="32"/>
          <w:szCs w:val="32"/>
        </w:rPr>
      </w:pPr>
      <w:r>
        <w:rPr>
          <w:rFonts w:hint="eastAsia" w:ascii="仿宋_GB2312" w:hAnsi="仿宋_GB2312" w:eastAsia="仿宋_GB2312" w:cs="仿宋_GB2312"/>
          <w:sz w:val="32"/>
          <w:szCs w:val="32"/>
          <w:lang w:val="en-US" w:eastAsia="zh-CN"/>
        </w:rPr>
        <w:t>项目年度绩效目标：</w:t>
      </w:r>
      <w:r>
        <w:rPr>
          <w:rFonts w:hint="eastAsia" w:ascii="仿宋_GB2312" w:hAnsi="宋体" w:eastAsia="仿宋_GB2312"/>
          <w:sz w:val="32"/>
          <w:szCs w:val="32"/>
        </w:rPr>
        <w:t>为体现党委政府对离任村干部的深切关怀，进一步改善离任村干部待遇，激发在职村干部工作积极性，增强基层党组织凝聚力，补贴范围1、从解放初期到1956年底，担任过居委会、治保会主任的人员。2、1957年担任过合作社社长、会计的人员。3、1958年至1989年底担任村党支部书记、大队长、社长、村委会主任（村长）会计职务，连续9年或累计12年以上的人员。4、1990年后，担任村党支部书记、村委会主任（村长）、会计职务，连续9年或累计12年以上的人员。</w:t>
      </w:r>
    </w:p>
    <w:p>
      <w:pPr>
        <w:rPr>
          <w:rFonts w:hint="eastAsia" w:ascii="仿宋_GB2312" w:hAnsi="仿宋_GB2312" w:eastAsia="仿宋_GB2312" w:cs="仿宋_GB2312"/>
          <w:sz w:val="32"/>
          <w:szCs w:val="32"/>
          <w:lang w:val="en-US" w:eastAsia="zh-CN"/>
        </w:rPr>
      </w:pP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w:t>
      </w:r>
    </w:p>
    <w:p>
      <w:pPr>
        <w:adjustRightInd w:val="0"/>
        <w:snapToGrid w:val="0"/>
        <w:spacing w:line="520" w:lineRule="exact"/>
        <w:ind w:firstLine="640" w:firstLineChars="200"/>
        <w:rPr>
          <w:rFonts w:hint="eastAsia" w:ascii="仿宋_GB2312" w:hAnsi="宋体" w:eastAsia="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宋体" w:eastAsia="仿宋_GB2312"/>
          <w:b/>
          <w:bCs/>
          <w:sz w:val="32"/>
          <w:szCs w:val="32"/>
        </w:rPr>
        <w:t>立项必要性</w:t>
      </w:r>
    </w:p>
    <w:p>
      <w:pPr>
        <w:adjustRightInd w:val="0"/>
        <w:snapToGrid w:val="0"/>
        <w:spacing w:line="5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根据阿委发（2018）4号关于进一步妥善解决离任村干部生活补贴的意见的相关文件，要从政治上生活上关心离任村干部，形成尊重和关心离任村干部的良好氛围，要在一定范围内进行公示，确保公开、公正、公平。</w:t>
      </w:r>
    </w:p>
    <w:p>
      <w:pPr>
        <w:numPr>
          <w:numId w:val="0"/>
        </w:numPr>
        <w:adjustRightInd w:val="0"/>
        <w:snapToGrid w:val="0"/>
        <w:spacing w:line="52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lang w:eastAsia="zh-CN"/>
        </w:rPr>
        <w:t>二、</w:t>
      </w:r>
      <w:r>
        <w:rPr>
          <w:rFonts w:hint="eastAsia" w:ascii="仿宋_GB2312" w:hAnsi="宋体" w:eastAsia="仿宋_GB2312"/>
          <w:b/>
          <w:bCs/>
          <w:sz w:val="32"/>
          <w:szCs w:val="32"/>
        </w:rPr>
        <w:t>投入经济性</w:t>
      </w:r>
    </w:p>
    <w:p>
      <w:pPr>
        <w:adjustRightInd w:val="0"/>
        <w:snapToGrid w:val="0"/>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符合离任村干部享受生活补助条件的，按照每人每月布低于260元标准兑现生活补贴；连续任职满9年或累计12年的，以260元为基数，每多任职满1届每人每月增加20元生活补贴。已享受农村“三老”人员生活补贴，不再纳入。被罢免或因违纪违法等受到处理的村干部不纳入。</w:t>
      </w:r>
    </w:p>
    <w:p>
      <w:pPr>
        <w:adjustRightInd w:val="0"/>
        <w:snapToGrid w:val="0"/>
        <w:spacing w:line="520" w:lineRule="exact"/>
        <w:ind w:firstLine="960" w:firstLineChars="300"/>
        <w:rPr>
          <w:rFonts w:ascii="仿宋_GB2312" w:hAnsi="宋体" w:eastAsia="仿宋_GB2312"/>
          <w:sz w:val="32"/>
          <w:szCs w:val="32"/>
        </w:rPr>
      </w:pPr>
      <w:r>
        <w:rPr>
          <w:rFonts w:hint="eastAsia" w:ascii="仿宋_GB2312" w:hAnsi="宋体" w:eastAsia="仿宋_GB2312"/>
          <w:sz w:val="32"/>
          <w:szCs w:val="32"/>
        </w:rPr>
        <w:t>符合离任村干部享受生活补助条件，按照每人每月布低于260元标准兑现生活；连续任职满9年或累计12年的，以260元为基数，每多任职满1届每人每月增加20元生活补助。2022年预算资金为208.11万元，按照2021年10月实际支付人员544人来预算。</w:t>
      </w:r>
    </w:p>
    <w:p>
      <w:pPr>
        <w:numPr>
          <w:numId w:val="0"/>
        </w:numPr>
        <w:adjustRightInd w:val="0"/>
        <w:snapToGrid w:val="0"/>
        <w:spacing w:line="52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lang w:eastAsia="zh-CN"/>
        </w:rPr>
        <w:t>三、</w:t>
      </w:r>
      <w:r>
        <w:rPr>
          <w:rFonts w:hint="eastAsia" w:ascii="仿宋_GB2312" w:hAnsi="宋体" w:eastAsia="仿宋_GB2312"/>
          <w:b/>
          <w:bCs/>
          <w:sz w:val="32"/>
          <w:szCs w:val="32"/>
        </w:rPr>
        <w:t>绩效目标合理性</w:t>
      </w:r>
    </w:p>
    <w:p>
      <w:pPr>
        <w:adjustRightInd w:val="0"/>
        <w:snapToGrid w:val="0"/>
        <w:spacing w:line="5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绩效目标明确，与项目预计要解决的问题，现实需求基本匹配，相关指标需进一步细化量化。</w:t>
      </w:r>
      <w:bookmarkStart w:id="0" w:name="_GoBack"/>
      <w:bookmarkEnd w:id="0"/>
    </w:p>
    <w:p>
      <w:pPr>
        <w:adjustRightInd w:val="0"/>
        <w:snapToGrid w:val="0"/>
        <w:spacing w:line="52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lang w:eastAsia="zh-CN"/>
        </w:rPr>
        <w:t>四、</w:t>
      </w:r>
      <w:r>
        <w:rPr>
          <w:rFonts w:hint="eastAsia" w:ascii="仿宋_GB2312" w:hAnsi="宋体" w:eastAsia="仿宋_GB2312"/>
          <w:b/>
          <w:bCs/>
          <w:sz w:val="32"/>
          <w:szCs w:val="32"/>
        </w:rPr>
        <w:t>实施方案可行性</w:t>
      </w:r>
    </w:p>
    <w:p>
      <w:pPr>
        <w:adjustRightInd w:val="0"/>
        <w:snapToGrid w:val="0"/>
        <w:spacing w:line="5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项目技术路线基本可行，工作内容、方法、进度安排较合理，保障措施相对完备，组织机构是否健全，职责分工是否明确，于每季一次性支付，进一步明确项目路线，细化工作内容，完善技术手段。</w:t>
      </w:r>
    </w:p>
    <w:p>
      <w:pPr>
        <w:adjustRightInd w:val="0"/>
        <w:snapToGrid w:val="0"/>
        <w:spacing w:line="52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lang w:eastAsia="zh-CN"/>
        </w:rPr>
        <w:t>五、</w:t>
      </w:r>
      <w:r>
        <w:rPr>
          <w:rFonts w:hint="eastAsia" w:ascii="仿宋_GB2312" w:hAnsi="宋体" w:eastAsia="仿宋_GB2312"/>
          <w:b/>
          <w:bCs/>
          <w:sz w:val="32"/>
          <w:szCs w:val="32"/>
        </w:rPr>
        <w:t>筹资合规性</w:t>
      </w:r>
    </w:p>
    <w:p>
      <w:pPr>
        <w:adjustRightInd w:val="0"/>
        <w:snapToGrid w:val="0"/>
        <w:spacing w:line="5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资金来源符合相关规定，资金支出方式较合理、风险可控。</w:t>
      </w:r>
    </w:p>
    <w:p>
      <w:pPr>
        <w:adjustRightInd w:val="0"/>
        <w:snapToGrid w:val="0"/>
        <w:spacing w:line="52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lang w:eastAsia="zh-CN"/>
        </w:rPr>
        <w:t>六、</w:t>
      </w:r>
      <w:r>
        <w:rPr>
          <w:rFonts w:hint="eastAsia" w:ascii="仿宋_GB2312" w:hAnsi="宋体" w:eastAsia="仿宋_GB2312"/>
          <w:b/>
          <w:bCs/>
          <w:sz w:val="32"/>
          <w:szCs w:val="32"/>
        </w:rPr>
        <w:t>可持续性分析</w:t>
      </w:r>
    </w:p>
    <w:p>
      <w:pPr>
        <w:pStyle w:val="2"/>
        <w:rPr>
          <w:rFonts w:hint="eastAsia"/>
          <w:sz w:val="32"/>
          <w:szCs w:val="32"/>
          <w:lang w:val="en-US" w:eastAsia="zh-CN"/>
        </w:rPr>
      </w:pPr>
      <w:r>
        <w:rPr>
          <w:rFonts w:hint="eastAsia" w:ascii="仿宋_GB2312" w:hAnsi="宋体" w:eastAsia="仿宋_GB2312"/>
          <w:sz w:val="32"/>
          <w:szCs w:val="32"/>
        </w:rPr>
        <w:t>随着物价水平的上涨，相应的提高离任村干部生活补贴有利于促进生活质量的提高及年老离任村干部安度晚年的可持续性发展。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YzcxMmQwNzM4ZWQwZjY0ZjUyMjQxMmQxYTJkZmIifQ=="/>
  </w:docVars>
  <w:rsids>
    <w:rsidRoot w:val="36F0070A"/>
    <w:rsid w:val="11232FC8"/>
    <w:rsid w:val="29925BEC"/>
    <w:rsid w:val="36F0070A"/>
    <w:rsid w:val="67EC6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337</Words>
  <Characters>349</Characters>
  <Lines>0</Lines>
  <Paragraphs>0</Paragraphs>
  <TotalTime>4</TotalTime>
  <ScaleCrop>false</ScaleCrop>
  <LinksUpToDate>false</LinksUpToDate>
  <CharactersWithSpaces>351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Administrator</cp:lastModifiedBy>
  <dcterms:modified xsi:type="dcterms:W3CDTF">2023-02-14T03:54:54Z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9AE2057AE1EE4206BCD5D3C6208EA771</vt:lpwstr>
  </property>
</Properties>
</file>