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2AF50">
      <w:pPr>
        <w:spacing w:line="60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金川县财政局</w:t>
      </w:r>
    </w:p>
    <w:p w14:paraId="79E5187B">
      <w:pPr>
        <w:spacing w:line="600" w:lineRule="exact"/>
        <w:jc w:val="center"/>
        <w:rPr>
          <w:rFonts w:ascii="方正小标宋简体" w:eastAsia="方正小标宋简体" w:cs="方正小标宋_GBK"/>
          <w:sz w:val="44"/>
          <w:szCs w:val="44"/>
        </w:rPr>
      </w:pPr>
      <w:r>
        <w:rPr>
          <w:rFonts w:hint="eastAsia" w:ascii="方正小标宋简体" w:eastAsia="方正小标宋简体" w:cs="方正小标宋_GBK"/>
          <w:sz w:val="44"/>
          <w:szCs w:val="44"/>
        </w:rPr>
        <w:t>部门预算绩效目标情况说明</w:t>
      </w:r>
    </w:p>
    <w:p w14:paraId="7C99E41E">
      <w:pPr>
        <w:spacing w:beforeLines="10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年，部门预算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1244.58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，均严格按绩效管理要求实现项目绩效目标管理，其中重点项目预算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个，现将情况说明如下：</w:t>
      </w:r>
    </w:p>
    <w:p w14:paraId="47E87219">
      <w:pPr>
        <w:spacing w:line="560" w:lineRule="exact"/>
        <w:ind w:firstLine="643" w:firstLineChars="2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一、单位预算绩效管理工作开展情况</w:t>
      </w:r>
    </w:p>
    <w:p w14:paraId="78F3B58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年本级部门预算整体绩效目标申报和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个重点项目预算绩效目标申报，并编报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个重点项目预算事前绩效评估报告。</w:t>
      </w:r>
    </w:p>
    <w:p w14:paraId="48986575">
      <w:pPr>
        <w:numPr>
          <w:ilvl w:val="0"/>
          <w:numId w:val="1"/>
        </w:numPr>
        <w:spacing w:line="560" w:lineRule="exact"/>
        <w:ind w:firstLine="643" w:firstLineChars="2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单位整体绩效目标</w:t>
      </w:r>
    </w:p>
    <w:p w14:paraId="66638855">
      <w:pPr>
        <w:pStyle w:val="2"/>
        <w:spacing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抓好收支预算执行。编好收支预算，依法组织收入，加强支出管理。二是促进经济稳定增长。推进供给侧结构性改革，推进全面创新改革试验，加大重点基础设施投入，促进产业转型升级，推进新型城镇化。三是大力推进脱贫攻坚。做好脱贫攻坚资金保障，继续推进涉农资金整合试点，推进“四项基金”有效运行，拓宽贫困人口增收渠道。四是促进民生社会事业发展。持续加大民生投入，足额筹措十项民生工程、</w:t>
      </w:r>
      <w:r>
        <w:rPr>
          <w:rFonts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件民生实事、支持教育、养老、医药卫生等方面社会事业发展。五是推进绿色发展。加大污染防治支持力度，支持加强生态建设，支持发展绿色低碳循环经济。六是深化财税体制改革。继续深化税制改革，加快财政管理体制改革，深化预算管理制度改革，加快转变财政支持发展方式。七是加强政府债务管理。全面编制政府债务收支预算，强化债务风险防控，推进融资平台公司规范转型，加快推进存量债务置换，做好政府债券发行管理工作。八是强化财政管理监督。加快法治财政建设，强化财政基础管理，严肃财经纪律。九是推进从严管党治党。加强干部队伍建设，加强党风廉政建设，加强系统党的建设。</w:t>
      </w:r>
    </w:p>
    <w:p w14:paraId="69B6864A">
      <w:pPr>
        <w:spacing w:line="560" w:lineRule="exact"/>
        <w:ind w:firstLine="643" w:firstLineChars="2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三、重点项目绩效目标</w:t>
      </w:r>
    </w:p>
    <w:p w14:paraId="0E9E342C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重点项目</w:t>
      </w:r>
      <w:r>
        <w:rPr>
          <w:rFonts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</w:t>
      </w:r>
      <w:r>
        <w:rPr>
          <w:rFonts w:hint="eastAsia" w:ascii="仿宋_GB2312" w:eastAsia="仿宋_GB2312"/>
          <w:b/>
          <w:sz w:val="32"/>
          <w:szCs w:val="32"/>
        </w:rPr>
        <w:t>金川县财政局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b/>
          <w:sz w:val="32"/>
          <w:szCs w:val="32"/>
        </w:rPr>
        <w:t>-2027</w:t>
      </w:r>
      <w:r>
        <w:rPr>
          <w:rFonts w:hint="eastAsia" w:ascii="仿宋_GB2312" w:eastAsia="仿宋_GB2312"/>
          <w:b/>
          <w:sz w:val="32"/>
          <w:szCs w:val="32"/>
        </w:rPr>
        <w:t>年绩效评价、资产清查、财务决算、审计咨询服务采购代理服务</w:t>
      </w:r>
    </w:p>
    <w:p w14:paraId="49A87F8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全面完成全县项目工程评审和年度财政重点绩效评价工作任务，一是为政府部门科学决策提供依据；二是促进预算管理绩效、提高财政资金的使用效率和投资效益；三是为财政部门对各单位提供问责依据，从而提升预算管理水平，使公共服务保障水平得以提升。</w:t>
      </w:r>
    </w:p>
    <w:p w14:paraId="1A4270E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个，包括产出指标、成本指标、效益指标和满意度指标。</w:t>
      </w:r>
    </w:p>
    <w:p w14:paraId="340313EF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重点项目</w:t>
      </w:r>
      <w:r>
        <w:rPr>
          <w:rFonts w:ascii="仿宋_GB2312" w:hAnsi="仿宋_GB2312" w:eastAsia="仿宋_GB2312" w:cs="仿宋_GB2312"/>
          <w:b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：金川县财政局工程造价咨询服务采购项目</w:t>
      </w:r>
    </w:p>
    <w:p w14:paraId="265E9DF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项目年度绩效目标：为了切实做好政府投资类项目（概）预算评审、结算审核、跟踪审计，政府重大投资项目财政财务监管，确保财政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委托项目造价咨询质量和实效性，保障和维护财政协作机构合法权益</w:t>
      </w:r>
    </w:p>
    <w:p w14:paraId="406EE4C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个，包括产出指标、成本指标、效益指标和满意度指标。</w:t>
      </w:r>
    </w:p>
    <w:p w14:paraId="0DC09AAE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重点项目</w:t>
      </w:r>
      <w:r>
        <w:rPr>
          <w:rFonts w:ascii="仿宋_GB2312" w:hAnsi="仿宋_GB2312" w:eastAsia="仿宋_GB2312" w:cs="仿宋_GB2312"/>
          <w:b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：财政改革工作经费</w:t>
      </w:r>
    </w:p>
    <w:p w14:paraId="0D1FF7C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项目年度绩效目标：维护各项系统，一是具有现实需求，是具有明显的经济、社会、环境或可持续性效益等必要性，二是保障全县财政系统正常运转。</w:t>
      </w:r>
    </w:p>
    <w:p w14:paraId="024CAA4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个，包括产出指标、成本指标、效益指标和满意度指标。</w:t>
      </w:r>
    </w:p>
    <w:p w14:paraId="174339C4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重点项目</w:t>
      </w:r>
      <w:r>
        <w:rPr>
          <w:rFonts w:ascii="仿宋_GB2312" w:hAnsi="仿宋_GB2312" w:eastAsia="仿宋_GB2312" w:cs="仿宋_GB2312"/>
          <w:b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：其他支出</w:t>
      </w:r>
    </w:p>
    <w:p w14:paraId="48C29CF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项目年度绩效目标：提高工作效率，促进工作顺利开展，保障日常工作的正常运转。</w:t>
      </w:r>
    </w:p>
    <w:p w14:paraId="412F39B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个，包括产出指标、成本指标、效益指标和满意度指标。</w:t>
      </w:r>
    </w:p>
    <w:p w14:paraId="3E597BF4">
      <w:pPr>
        <w:spacing w:line="560" w:lineRule="exact"/>
        <w:ind w:firstLine="200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mY0ODJiMzlkNTBlMDZlM2U3ZjQxYjgzNGE5YzA3MzAifQ=="/>
  </w:docVars>
  <w:rsids>
    <w:rsidRoot w:val="36F0070A"/>
    <w:rsid w:val="00071D97"/>
    <w:rsid w:val="00160BA0"/>
    <w:rsid w:val="00271903"/>
    <w:rsid w:val="00306417"/>
    <w:rsid w:val="004444EF"/>
    <w:rsid w:val="004C0772"/>
    <w:rsid w:val="004F4F31"/>
    <w:rsid w:val="00667C1A"/>
    <w:rsid w:val="00805ECA"/>
    <w:rsid w:val="00816697"/>
    <w:rsid w:val="00826C87"/>
    <w:rsid w:val="0084778C"/>
    <w:rsid w:val="00867A7D"/>
    <w:rsid w:val="008C35B9"/>
    <w:rsid w:val="008E4482"/>
    <w:rsid w:val="0092705F"/>
    <w:rsid w:val="00963112"/>
    <w:rsid w:val="00BC3D06"/>
    <w:rsid w:val="00C22A67"/>
    <w:rsid w:val="00C41149"/>
    <w:rsid w:val="00DE4EE8"/>
    <w:rsid w:val="11232FC8"/>
    <w:rsid w:val="36F0070A"/>
    <w:rsid w:val="4B2E30B4"/>
    <w:rsid w:val="67EC6580"/>
    <w:rsid w:val="7C0E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1175</Words>
  <Characters>1196</Characters>
  <Lines>0</Lines>
  <Paragraphs>0</Paragraphs>
  <TotalTime>47</TotalTime>
  <ScaleCrop>false</ScaleCrop>
  <LinksUpToDate>false</LinksUpToDate>
  <CharactersWithSpaces>1198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2025-03-04T05:44:17Z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0BAE5945039C4A2F95730782B8A1DED7_12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