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image/emf"/>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ackground w:color="FFFFFF"/>
  <w:body>
    <w:p>
      <w:pPr>
        <w:jc w:val="center"/>
        <w:rPr>
          <w:rFonts w:ascii="黑体" w:hint="eastAsia"/>
          <w:sz w:val="36"/>
          <w:szCs w:val="36"/>
        </w:rPr>
      </w:pPr>
    </w:p>
    <w:p>
      <w:pPr>
        <w:jc w:val="center"/>
        <w:rPr>
          <w:rFonts w:ascii="黑体" w:hint="eastAsia"/>
          <w:sz w:val="36"/>
          <w:szCs w:val="36"/>
        </w:rPr>
      </w:pPr>
    </w:p>
    <w:p>
      <w:pPr>
        <w:jc w:val="center"/>
        <w:rPr>
          <w:rFonts w:ascii="黑体" w:hint="eastAsia"/>
          <w:sz w:val="36"/>
          <w:szCs w:val="36"/>
        </w:rPr>
      </w:pPr>
    </w:p>
    <w:p>
      <w:pPr>
        <w:jc w:val="center"/>
        <w:rPr>
          <w:rFonts w:ascii="黑体" w:hint="eastAsia"/>
          <w:sz w:val="36"/>
          <w:szCs w:val="36"/>
        </w:rPr>
      </w:pPr>
    </w:p>
    <w:p>
      <w:pPr>
        <w:jc w:val="center"/>
        <w:rPr>
          <w:rFonts w:ascii="黑体" w:hint="eastAsia"/>
          <w:sz w:val="36"/>
          <w:szCs w:val="36"/>
        </w:rPr>
      </w:pPr>
    </w:p>
    <w:p>
      <w:pPr>
        <w:jc w:val="center"/>
        <w:rPr>
          <w:rFonts w:ascii="黑体" w:hint="eastAsia"/>
          <w:sz w:val="36"/>
          <w:szCs w:val="36"/>
        </w:rPr>
      </w:pPr>
    </w:p>
    <w:p>
      <w:pPr>
        <w:jc w:val="center"/>
        <w:rPr>
          <w:rFonts w:ascii="黑体"/>
          <w:sz w:val="72"/>
          <w:szCs w:val="72"/>
        </w:rPr>
      </w:pPr>
      <w:r>
        <w:rPr>
          <w:rFonts w:ascii="黑体"/>
          <w:sz w:val="72"/>
          <w:szCs w:val="72"/>
        </w:rPr>
        <w:t>2022年度</w:t>
      </w:r>
    </w:p>
    <w:p>
      <w:pPr>
        <w:jc w:val="center"/>
        <w:rPr>
          <w:rFonts w:ascii="黑体"/>
          <w:sz w:val="72"/>
          <w:szCs w:val="72"/>
        </w:rPr>
      </w:pPr>
      <w:r>
        <w:rPr>
          <w:rFonts w:ascii="黑体"/>
          <w:sz w:val="72"/>
          <w:szCs w:val="72"/>
        </w:rPr>
        <w:t>金川县财政局</w:t>
      </w:r>
    </w:p>
    <w:p>
      <w:pPr>
        <w:jc w:val="center"/>
        <w:rPr>
          <w:rFonts w:ascii="黑体" w:hint="eastAsia"/>
          <w:sz w:val="72"/>
          <w:szCs w:val="72"/>
        </w:rPr>
      </w:pPr>
      <w:r>
        <w:rPr>
          <w:rFonts w:ascii="黑体"/>
          <w:sz w:val="72"/>
          <w:szCs w:val="72"/>
        </w:rPr>
        <w:t>部门决算</w:t>
      </w:r>
    </w:p>
    <w:p>
      <w:pPr>
        <w:jc w:val="center"/>
        <w:rPr>
          <w:rFonts w:ascii="黑体" w:hint="eastAsia"/>
          <w:sz w:val="72"/>
          <w:szCs w:val="72"/>
        </w:rPr>
      </w:pPr>
    </w:p>
    <w:p>
      <w:pPr>
        <w:jc w:val="center"/>
        <w:rPr>
          <w:rFonts w:ascii="黑体" w:hint="eastAsia"/>
          <w:sz w:val="36"/>
          <w:szCs w:val="36"/>
        </w:rPr>
      </w:pPr>
    </w:p>
    <w:p>
      <w:pPr>
        <w:jc w:val="center"/>
        <w:rPr>
          <w:rFonts w:ascii="黑体" w:hint="eastAsia"/>
          <w:sz w:val="36"/>
          <w:szCs w:val="36"/>
        </w:rPr>
      </w:pPr>
    </w:p>
    <w:p>
      <w:pPr>
        <w:jc w:val="center"/>
        <w:rPr>
          <w:rFonts w:ascii="黑体" w:hint="eastAsia"/>
          <w:sz w:val="36"/>
          <w:szCs w:val="36"/>
        </w:rPr>
      </w:pPr>
    </w:p>
    <w:p>
      <w:pPr>
        <w:jc w:val="center"/>
        <w:rPr>
          <w:rFonts w:ascii="黑体" w:hint="eastAsia"/>
          <w:sz w:val="36"/>
          <w:szCs w:val="36"/>
        </w:rPr>
      </w:pPr>
    </w:p>
    <w:p>
      <w:pPr>
        <w:jc w:val="center"/>
        <w:rPr>
          <w:rFonts w:ascii="黑体" w:hint="eastAsia"/>
          <w:sz w:val="36"/>
          <w:szCs w:val="36"/>
        </w:rPr>
      </w:pPr>
    </w:p>
    <w:p>
      <w:pPr>
        <w:jc w:val="center"/>
        <w:rPr>
          <w:rFonts w:ascii="黑体" w:hint="eastAsia"/>
          <w:sz w:val="36"/>
          <w:szCs w:val="36"/>
        </w:rPr>
      </w:pPr>
    </w:p>
    <w:p>
      <w:pPr>
        <w:jc w:val="center"/>
        <w:rPr>
          <w:rFonts w:ascii="黑体" w:hint="eastAsia"/>
          <w:sz w:val="36"/>
          <w:szCs w:val="36"/>
        </w:rPr>
      </w:pPr>
    </w:p>
    <w:p>
      <w:pPr>
        <w:jc w:val="center"/>
        <w:rPr>
          <w:rFonts w:ascii="黑体" w:hint="eastAsia"/>
          <w:sz w:val="36"/>
          <w:szCs w:val="36"/>
        </w:rPr>
      </w:pPr>
    </w:p>
    <w:p>
      <w:pPr>
        <w:jc w:val="center"/>
        <w:rPr>
          <w:rFonts w:ascii="黑体" w:hint="eastAsia"/>
          <w:sz w:val="36"/>
          <w:szCs w:val="36"/>
        </w:rPr>
      </w:pPr>
    </w:p>
    <w:p>
      <w:pPr>
        <w:jc w:val="both"/>
        <w:rPr>
          <w:rFonts w:ascii="黑体" w:hint="eastAsia"/>
          <w:sz w:val="36"/>
          <w:szCs w:val="36"/>
        </w:rPr>
      </w:pPr>
    </w:p>
    <w:p>
      <w:pPr>
        <w:jc w:val="center"/>
        <w:rPr>
          <w:rFonts w:ascii="黑体" w:hint="eastAsia"/>
          <w:sz w:val="36"/>
          <w:szCs w:val="36"/>
        </w:rPr>
      </w:pPr>
      <w:r>
        <w:rPr>
          <w:rFonts w:ascii="黑体" w:hint="eastAsia"/>
          <w:sz w:val="36"/>
          <w:szCs w:val="36"/>
        </w:rPr>
        <w:t>公开目录</w:t>
      </w:r>
    </w:p>
    <w:p>
      <w:pPr>
        <w:spacing w:line="500" w:lineRule="exact"/>
        <w:ind w:firstLineChars="196" w:firstLine="627"/>
        <w:rPr>
          <w:rFonts w:ascii="仿宋_GB2312" w:eastAsia="仿宋_GB2312" w:hint="eastAsia"/>
          <w:b w:val="0"/>
          <w:sz w:val="32"/>
          <w:szCs w:val="32"/>
          <w:lang w:val="en-US" w:eastAsia="zh-CN"/>
        </w:rPr>
      </w:pPr>
      <w:r>
        <w:rPr>
          <w:rFonts w:ascii="仿宋_GB2312" w:eastAsia="仿宋_GB2312" w:hint="eastAsia"/>
          <w:b w:val="0"/>
          <w:sz w:val="32"/>
          <w:szCs w:val="32"/>
        </w:rPr>
        <w:t>一、基本职能及主要工作</w:t>
      </w:r>
      <w:r>
        <w:rPr>
          <w:rFonts w:ascii="仿宋_GB2312" w:eastAsia="仿宋_GB2312" w:hint="eastAsia"/>
          <w:b w:val="0"/>
          <w:sz w:val="32"/>
          <w:szCs w:val="32"/>
          <w:lang w:val="en-US" w:eastAsia="zh-CN"/>
        </w:rPr>
        <w:t>.........................4</w:t>
      </w:r>
    </w:p>
    <w:p>
      <w:pPr>
        <w:spacing w:line="500" w:lineRule="exact"/>
        <w:ind w:firstLineChars="112" w:firstLine="358"/>
        <w:rPr>
          <w:rFonts w:ascii="仿宋_GB2312" w:eastAsia="仿宋_GB2312" w:hint="eastAsia"/>
          <w:b w:val="0"/>
          <w:sz w:val="32"/>
          <w:szCs w:val="32"/>
          <w:lang w:val="en-US" w:eastAsia="zh-CN"/>
        </w:rPr>
      </w:pPr>
      <w:r>
        <w:rPr>
          <w:rFonts w:ascii="仿宋_GB2312" w:eastAsia="仿宋_GB2312" w:hint="eastAsia"/>
          <w:b w:val="0"/>
          <w:sz w:val="32"/>
          <w:szCs w:val="32"/>
        </w:rPr>
        <w:t>（一）主要职能</w:t>
      </w:r>
      <w:r>
        <w:rPr>
          <w:rFonts w:ascii="仿宋_GB2312" w:eastAsia="仿宋_GB2312" w:hint="eastAsia"/>
          <w:b w:val="0"/>
          <w:sz w:val="32"/>
          <w:szCs w:val="32"/>
          <w:lang w:val="en-US" w:eastAsia="zh-CN"/>
        </w:rPr>
        <w:t>...................................6</w:t>
      </w:r>
    </w:p>
    <w:p>
      <w:pPr>
        <w:spacing w:line="500" w:lineRule="exact"/>
        <w:ind w:firstLineChars="112" w:firstLine="358"/>
        <w:rPr>
          <w:rFonts w:ascii="仿宋_GB2312" w:eastAsia="仿宋_GB2312" w:hint="eastAsia"/>
          <w:b w:val="0"/>
          <w:sz w:val="32"/>
          <w:szCs w:val="32"/>
          <w:lang w:val="en-US" w:eastAsia="zh-CN"/>
        </w:rPr>
      </w:pPr>
      <w:r>
        <w:rPr>
          <w:rFonts w:ascii="仿宋_GB2312" w:eastAsia="仿宋_GB2312" w:hint="eastAsia"/>
          <w:b w:val="0"/>
          <w:sz w:val="32"/>
          <w:szCs w:val="32"/>
        </w:rPr>
        <w:t>（二）2022年重点工作完成情况</w:t>
      </w:r>
      <w:r>
        <w:rPr>
          <w:rFonts w:ascii="仿宋_GB2312" w:eastAsia="仿宋_GB2312" w:hint="eastAsia"/>
          <w:b w:val="0"/>
          <w:sz w:val="32"/>
          <w:szCs w:val="32"/>
          <w:lang w:val="en-US" w:eastAsia="zh-CN"/>
        </w:rPr>
        <w:t>....................7</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二、部门概况</w:t>
      </w:r>
      <w:r>
        <w:rPr>
          <w:rFonts w:ascii="仿宋_GB2312" w:eastAsia="仿宋_GB2312" w:hint="eastAsia"/>
          <w:b w:val="0"/>
          <w:sz w:val="32"/>
          <w:szCs w:val="32"/>
          <w:lang w:val="en-US" w:eastAsia="zh-CN"/>
        </w:rPr>
        <w:t>....................................7</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三、收支决算总体情况说明</w:t>
      </w:r>
      <w:r>
        <w:rPr>
          <w:rFonts w:ascii="仿宋_GB2312" w:eastAsia="仿宋_GB2312" w:hint="eastAsia"/>
          <w:b w:val="0"/>
          <w:sz w:val="32"/>
          <w:szCs w:val="32"/>
          <w:lang w:val="en-US" w:eastAsia="zh-CN"/>
        </w:rPr>
        <w:t>........................8</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四、财政拨款收入支出决算总体情况说明</w:t>
      </w:r>
      <w:r>
        <w:rPr>
          <w:rFonts w:ascii="仿宋_GB2312" w:eastAsia="仿宋_GB2312" w:hint="eastAsia"/>
          <w:b w:val="0"/>
          <w:sz w:val="32"/>
          <w:szCs w:val="32"/>
          <w:lang w:val="en-US" w:eastAsia="zh-CN"/>
        </w:rPr>
        <w:t>...........8</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五、一般公共预算财政拨款支出决算情况说明</w:t>
      </w:r>
      <w:r>
        <w:rPr>
          <w:rFonts w:ascii="仿宋_GB2312" w:eastAsia="仿宋_GB2312" w:hint="eastAsia"/>
          <w:b w:val="0"/>
          <w:sz w:val="32"/>
          <w:szCs w:val="32"/>
          <w:lang w:val="en-US" w:eastAsia="zh-CN"/>
        </w:rPr>
        <w:t>.......8</w:t>
      </w:r>
    </w:p>
    <w:p>
      <w:pPr>
        <w:spacing w:line="500" w:lineRule="exact"/>
        <w:ind w:firstLineChars="112" w:firstLine="358"/>
        <w:rPr>
          <w:rFonts w:ascii="仿宋_GB2312" w:eastAsia="仿宋_GB2312" w:hint="eastAsia"/>
          <w:b w:val="0"/>
          <w:sz w:val="32"/>
          <w:szCs w:val="32"/>
          <w:lang w:val="en-US" w:eastAsia="zh-CN"/>
        </w:rPr>
      </w:pPr>
      <w:r>
        <w:rPr>
          <w:rFonts w:ascii="仿宋_GB2312" w:eastAsia="仿宋_GB2312" w:hint="eastAsia"/>
          <w:b w:val="0"/>
          <w:sz w:val="32"/>
          <w:szCs w:val="32"/>
        </w:rPr>
        <w:t>（一）一般公共预算财政拨款支出决算总体情况</w:t>
      </w:r>
      <w:r>
        <w:rPr>
          <w:rFonts w:ascii="仿宋_GB2312" w:eastAsia="仿宋_GB2312" w:hint="eastAsia"/>
          <w:b w:val="0"/>
          <w:sz w:val="32"/>
          <w:szCs w:val="32"/>
          <w:lang w:val="en-US" w:eastAsia="zh-CN"/>
        </w:rPr>
        <w:t>......9</w:t>
      </w:r>
    </w:p>
    <w:p>
      <w:pPr>
        <w:spacing w:line="500" w:lineRule="exact"/>
        <w:ind w:firstLineChars="112" w:firstLine="358"/>
        <w:rPr>
          <w:rFonts w:ascii="仿宋_GB2312" w:eastAsia="仿宋_GB2312" w:hint="eastAsia"/>
          <w:b w:val="0"/>
          <w:sz w:val="32"/>
          <w:szCs w:val="32"/>
          <w:lang w:val="en-US" w:eastAsia="zh-CN"/>
        </w:rPr>
      </w:pPr>
      <w:r>
        <w:rPr>
          <w:rFonts w:ascii="仿宋_GB2312" w:eastAsia="仿宋_GB2312" w:hint="eastAsia"/>
          <w:b w:val="0"/>
          <w:sz w:val="32"/>
          <w:szCs w:val="32"/>
        </w:rPr>
        <w:t>（二）一般公共预算财政拨款支出决算结构情况</w:t>
      </w:r>
      <w:r>
        <w:rPr>
          <w:rFonts w:ascii="仿宋_GB2312" w:eastAsia="仿宋_GB2312" w:hint="eastAsia"/>
          <w:b w:val="0"/>
          <w:sz w:val="32"/>
          <w:szCs w:val="32"/>
          <w:lang w:val="en-US" w:eastAsia="zh-CN"/>
        </w:rPr>
        <w:t>......9</w:t>
      </w:r>
    </w:p>
    <w:p>
      <w:pPr>
        <w:spacing w:line="500" w:lineRule="exact"/>
        <w:ind w:firstLineChars="112" w:firstLine="358"/>
        <w:rPr>
          <w:rFonts w:ascii="仿宋_GB2312" w:eastAsia="仿宋_GB2312" w:hint="eastAsia"/>
          <w:b w:val="0"/>
          <w:sz w:val="32"/>
          <w:szCs w:val="32"/>
          <w:lang w:val="en-US" w:eastAsia="zh-CN"/>
        </w:rPr>
      </w:pPr>
      <w:r>
        <w:rPr>
          <w:rFonts w:ascii="仿宋_GB2312" w:eastAsia="仿宋_GB2312" w:hint="eastAsia"/>
          <w:b w:val="0"/>
          <w:sz w:val="32"/>
          <w:szCs w:val="32"/>
        </w:rPr>
        <w:t>（三）一般公共预算财政拨款支出决算具体情况</w:t>
      </w:r>
      <w:r>
        <w:rPr>
          <w:rFonts w:ascii="仿宋_GB2312" w:eastAsia="仿宋_GB2312" w:hint="eastAsia"/>
          <w:b w:val="0"/>
          <w:sz w:val="32"/>
          <w:szCs w:val="32"/>
          <w:lang w:val="en-US" w:eastAsia="zh-CN"/>
        </w:rPr>
        <w:t>......10</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六、一般公共预算财政拨款基本支出决算情况说明</w:t>
      </w:r>
      <w:r>
        <w:rPr>
          <w:rFonts w:ascii="仿宋_GB2312" w:eastAsia="仿宋_GB2312" w:hint="eastAsia"/>
          <w:b w:val="0"/>
          <w:sz w:val="32"/>
          <w:szCs w:val="32"/>
          <w:lang w:val="en-US" w:eastAsia="zh-CN"/>
        </w:rPr>
        <w:t>...10</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七、“三公”经费财政拨款支出决算情况说明</w:t>
      </w:r>
      <w:r>
        <w:rPr>
          <w:rFonts w:ascii="仿宋_GB2312" w:eastAsia="仿宋_GB2312" w:hint="eastAsia"/>
          <w:b w:val="0"/>
          <w:sz w:val="32"/>
          <w:szCs w:val="32"/>
          <w:lang w:val="en-US" w:eastAsia="zh-CN"/>
        </w:rPr>
        <w:t>........10</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（一）“三公”经费财政拨款支出决算总体情况说明</w:t>
      </w:r>
      <w:r>
        <w:rPr>
          <w:rFonts w:ascii="仿宋_GB2312" w:eastAsia="仿宋_GB2312" w:hint="eastAsia"/>
          <w:b w:val="0"/>
          <w:sz w:val="32"/>
          <w:szCs w:val="32"/>
          <w:lang w:val="en-US" w:eastAsia="zh-CN"/>
        </w:rPr>
        <w:t>..10</w:t>
      </w:r>
    </w:p>
    <w:p>
      <w:pPr>
        <w:spacing w:line="500" w:lineRule="exact"/>
        <w:ind w:firstLineChars="112" w:firstLine="358"/>
        <w:rPr>
          <w:rFonts w:ascii="仿宋_GB2312" w:eastAsia="仿宋_GB2312" w:hint="eastAsia"/>
          <w:b w:val="0"/>
          <w:sz w:val="32"/>
          <w:szCs w:val="32"/>
          <w:lang w:val="en-US" w:eastAsia="zh-CN"/>
        </w:rPr>
      </w:pPr>
      <w:r>
        <w:rPr>
          <w:rFonts w:ascii="仿宋_GB2312" w:eastAsia="仿宋_GB2312" w:hint="eastAsia"/>
          <w:b w:val="0"/>
          <w:sz w:val="32"/>
          <w:szCs w:val="32"/>
        </w:rPr>
        <w:t>（二）“三公”经费财政拨款支出决算具体情况说明</w:t>
      </w:r>
      <w:r>
        <w:rPr>
          <w:rFonts w:ascii="仿宋_GB2312" w:eastAsia="仿宋_GB2312" w:hint="eastAsia"/>
          <w:b w:val="0"/>
          <w:sz w:val="32"/>
          <w:szCs w:val="32"/>
          <w:lang w:val="en-US" w:eastAsia="zh-CN"/>
        </w:rPr>
        <w:t>...11</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八、政府性基金预算支出决算情况说明</w:t>
      </w:r>
      <w:r>
        <w:rPr>
          <w:rFonts w:ascii="仿宋_GB2312" w:eastAsia="仿宋_GB2312" w:hint="eastAsia"/>
          <w:b w:val="0"/>
          <w:sz w:val="32"/>
          <w:szCs w:val="32"/>
          <w:lang w:val="en-US" w:eastAsia="zh-CN"/>
        </w:rPr>
        <w:t>.............12</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九、国有资本经营预算支出决算情况说明</w:t>
      </w:r>
      <w:r>
        <w:rPr>
          <w:rFonts w:ascii="仿宋_GB2312" w:eastAsia="仿宋_GB2312" w:hint="eastAsia"/>
          <w:b w:val="0"/>
          <w:sz w:val="32"/>
          <w:szCs w:val="32"/>
          <w:lang w:val="en-US" w:eastAsia="zh-CN"/>
        </w:rPr>
        <w:t>...........12</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十、其他重要事项的情况说明</w:t>
      </w:r>
      <w:r>
        <w:rPr>
          <w:rFonts w:ascii="仿宋_GB2312" w:eastAsia="仿宋_GB2312" w:hint="eastAsia"/>
          <w:b w:val="0"/>
          <w:sz w:val="32"/>
          <w:szCs w:val="32"/>
          <w:lang w:val="en-US" w:eastAsia="zh-CN"/>
        </w:rPr>
        <w:t>.....................12</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（一）机关运行经费支出情况</w:t>
      </w:r>
      <w:r>
        <w:rPr>
          <w:rFonts w:ascii="仿宋_GB2312" w:eastAsia="仿宋_GB2312" w:hint="eastAsia"/>
          <w:b w:val="0"/>
          <w:sz w:val="32"/>
          <w:szCs w:val="32"/>
          <w:lang w:val="en-US" w:eastAsia="zh-CN"/>
        </w:rPr>
        <w:t>.....................12</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（二）政府采购支出情况</w:t>
      </w:r>
      <w:r>
        <w:rPr>
          <w:rFonts w:ascii="仿宋_GB2312" w:eastAsia="仿宋_GB2312" w:hint="eastAsia"/>
          <w:b w:val="0"/>
          <w:sz w:val="32"/>
          <w:szCs w:val="32"/>
          <w:lang w:val="en-US" w:eastAsia="zh-CN"/>
        </w:rPr>
        <w:t>.........................12</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（三）国有资产占有使用情况</w:t>
      </w:r>
      <w:r>
        <w:rPr>
          <w:rFonts w:ascii="仿宋_GB2312" w:eastAsia="仿宋_GB2312" w:hint="eastAsia"/>
          <w:b w:val="0"/>
          <w:sz w:val="32"/>
          <w:szCs w:val="32"/>
          <w:lang w:val="en-US" w:eastAsia="zh-CN"/>
        </w:rPr>
        <w:t>.....................12</w:t>
      </w:r>
    </w:p>
    <w:p>
      <w:pPr>
        <w:spacing w:line="500" w:lineRule="exact"/>
        <w:ind w:firstLineChars="161" w:firstLine="515"/>
        <w:rPr>
          <w:rFonts w:ascii="仿宋_GB2312" w:eastAsia="仿宋_GB2312" w:hint="eastAsia"/>
          <w:b w:val="0"/>
          <w:sz w:val="32"/>
          <w:szCs w:val="32"/>
          <w:lang w:val="en-US" w:eastAsia="zh-CN"/>
        </w:rPr>
      </w:pPr>
      <w:r>
        <w:rPr>
          <w:rFonts w:ascii="仿宋_GB2312" w:eastAsia="仿宋_GB2312" w:hint="eastAsia"/>
          <w:b w:val="0"/>
          <w:sz w:val="32"/>
          <w:szCs w:val="32"/>
        </w:rPr>
        <w:t>（四）预算绩效情况</w:t>
      </w:r>
      <w:r>
        <w:rPr>
          <w:rFonts w:ascii="仿宋_GB2312" w:eastAsia="仿宋_GB2312" w:hint="eastAsia"/>
          <w:b w:val="0"/>
          <w:sz w:val="32"/>
          <w:szCs w:val="32"/>
          <w:lang w:val="en-US" w:eastAsia="zh-CN"/>
        </w:rPr>
        <w:t>.............................14</w:t>
      </w:r>
    </w:p>
    <w:p>
      <w:pPr>
        <w:spacing w:line="500" w:lineRule="exact"/>
        <w:ind w:firstLineChars="208" w:firstLine="666"/>
        <w:rPr>
          <w:rFonts w:ascii="仿宋_GB2312" w:eastAsia="仿宋_GB2312" w:hint="eastAsia"/>
          <w:b w:val="0"/>
          <w:sz w:val="32"/>
          <w:szCs w:val="32"/>
          <w:lang w:val="en-US" w:eastAsia="zh-CN"/>
        </w:rPr>
      </w:pPr>
      <w:r>
        <w:rPr>
          <w:rFonts w:ascii="仿宋_GB2312" w:eastAsia="仿宋_GB2312" w:hint="eastAsia"/>
          <w:b w:val="0"/>
          <w:sz w:val="32"/>
          <w:szCs w:val="32"/>
        </w:rPr>
        <w:t>1.绩效目标管理情况</w:t>
      </w:r>
      <w:r>
        <w:rPr>
          <w:rFonts w:ascii="仿宋_GB2312" w:eastAsia="仿宋_GB2312" w:hint="eastAsia"/>
          <w:b w:val="0"/>
          <w:sz w:val="32"/>
          <w:szCs w:val="32"/>
          <w:lang w:val="en-US" w:eastAsia="zh-CN"/>
        </w:rPr>
        <w:t>...........................12</w:t>
      </w:r>
    </w:p>
    <w:p>
      <w:pPr>
        <w:spacing w:line="500" w:lineRule="exact"/>
        <w:ind w:firstLineChars="208" w:firstLine="666"/>
        <w:rPr>
          <w:rFonts w:ascii="仿宋_GB2312" w:eastAsia="仿宋_GB2312" w:hint="eastAsia"/>
          <w:b w:val="0"/>
          <w:sz w:val="32"/>
          <w:szCs w:val="32"/>
          <w:lang w:val="en-US" w:eastAsia="zh-CN"/>
        </w:rPr>
      </w:pPr>
      <w:r>
        <w:rPr>
          <w:rFonts w:ascii="仿宋_GB2312" w:eastAsia="仿宋_GB2312" w:hint="eastAsia"/>
          <w:b w:val="0"/>
          <w:sz w:val="32"/>
          <w:szCs w:val="32"/>
        </w:rPr>
        <w:t>2.部门整体支出绩效自评开展情况</w:t>
      </w:r>
      <w:r>
        <w:rPr>
          <w:rFonts w:ascii="仿宋_GB2312" w:eastAsia="仿宋_GB2312" w:hint="eastAsia"/>
          <w:b w:val="0"/>
          <w:sz w:val="32"/>
          <w:szCs w:val="32"/>
          <w:lang w:val="en-US" w:eastAsia="zh-CN"/>
        </w:rPr>
        <w:t>...............13</w:t>
      </w:r>
    </w:p>
    <w:p>
      <w:pPr>
        <w:spacing w:line="500" w:lineRule="exact"/>
        <w:ind w:firstLineChars="208" w:firstLine="666"/>
        <w:rPr>
          <w:rFonts w:ascii="仿宋_GB2312" w:eastAsia="仿宋_GB2312" w:hint="eastAsia"/>
          <w:b w:val="0"/>
          <w:sz w:val="32"/>
          <w:szCs w:val="32"/>
          <w:lang w:val="en-US" w:eastAsia="zh-CN"/>
        </w:rPr>
      </w:pPr>
      <w:r>
        <w:rPr>
          <w:rFonts w:ascii="仿宋_GB2312" w:eastAsia="仿宋_GB2312" w:hint="eastAsia"/>
          <w:b w:val="0"/>
          <w:sz w:val="32"/>
          <w:szCs w:val="32"/>
        </w:rPr>
        <w:t>3.部门自行组织绩效评价开展情况</w:t>
      </w:r>
      <w:r>
        <w:rPr>
          <w:rFonts w:ascii="仿宋_GB2312" w:eastAsia="仿宋_GB2312" w:hint="eastAsia"/>
          <w:b w:val="0"/>
          <w:sz w:val="32"/>
          <w:szCs w:val="32"/>
          <w:lang w:val="en-US" w:eastAsia="zh-CN"/>
        </w:rPr>
        <w:t>...............14</w:t>
      </w:r>
    </w:p>
    <w:p>
      <w:pPr>
        <w:spacing w:line="500" w:lineRule="exact"/>
        <w:ind w:firstLineChars="208" w:firstLine="666"/>
        <w:rPr>
          <w:rFonts w:ascii="仿宋_GB2312" w:eastAsia="仿宋_GB2312" w:hint="eastAsia"/>
          <w:b w:val="0"/>
          <w:sz w:val="32"/>
          <w:szCs w:val="32"/>
          <w:lang w:val="en-US" w:eastAsia="zh-CN"/>
        </w:rPr>
      </w:pPr>
      <w:r>
        <w:rPr>
          <w:rFonts w:ascii="仿宋_GB2312" w:eastAsia="仿宋_GB2312" w:hint="eastAsia"/>
          <w:b w:val="0"/>
          <w:sz w:val="32"/>
          <w:szCs w:val="32"/>
        </w:rPr>
        <w:t>十一、名词解释</w:t>
      </w:r>
      <w:r>
        <w:rPr>
          <w:rFonts w:ascii="仿宋_GB2312" w:eastAsia="仿宋_GB2312" w:hint="eastAsia"/>
          <w:b w:val="0"/>
          <w:sz w:val="32"/>
          <w:szCs w:val="32"/>
          <w:lang w:val="en-US" w:eastAsia="zh-CN"/>
        </w:rPr>
        <w:t>...............................16</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十二、附件...................................16</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十三、决算公开表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（一）收入支出决算总表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（二）收入决算表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（三）支出决算表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（四）财政拨款收入支出决算总表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（五）财政拨款收入支出决算总表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（六）一般公共预算财政拨款支出决算表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（七）一般公共预算财政拨款支出决算表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（八）一般公共预算财政拨款基本支出决算明细表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（九）一般公共预算财政拨款项目支出决算表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（十）政府性基金预算财政拨款收入支出决算表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（十一）国有资本经营预算财政拨款收入支出决算表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（十二）国有资本经营预算财政拨款支出决算表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（十三）财政拨款“三公”经费支出决算表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p>
    <w:p>
      <w:pPr>
        <w:spacing w:line="600" w:lineRule="exact"/>
        <w:ind w:firstLineChars="200" w:firstLine="640"/>
        <w:jc w:val="both"/>
        <w:rPr>
          <w:rFonts w:ascii="仿宋_GB2312" w:eastAsia="仿宋_GB2312" w:cs="仿宋_GB2312" w:hint="eastAsia"/>
          <w:b w:val="0"/>
          <w:color w:val="000000"/>
          <w:sz w:val="32"/>
          <w:szCs w:val="32"/>
          <w:lang w:val="en-US" w:eastAsia="zh-CN"/>
        </w:rPr>
      </w:pPr>
    </w:p>
    <w:p>
      <w:pPr>
        <w:spacing w:line="600" w:lineRule="exact"/>
        <w:ind w:firstLineChars="200" w:firstLine="640"/>
        <w:jc w:val="both"/>
        <w:rPr>
          <w:rFonts w:ascii="仿宋_GB2312" w:eastAsia="仿宋_GB2312" w:cs="仿宋_GB2312" w:hint="eastAsia"/>
          <w:b w:val="0"/>
          <w:color w:val="000000"/>
          <w:sz w:val="32"/>
          <w:szCs w:val="32"/>
          <w:lang w:val="en-US" w:eastAsia="zh-CN"/>
        </w:rPr>
      </w:pPr>
    </w:p>
    <w:p>
      <w:pPr>
        <w:spacing w:line="600" w:lineRule="exact"/>
        <w:ind w:firstLineChars="200" w:firstLine="640"/>
        <w:jc w:val="both"/>
        <w:rPr>
          <w:rFonts w:ascii="仿宋_GB2312" w:eastAsia="仿宋_GB2312" w:cs="仿宋_GB2312" w:hint="eastAsia"/>
          <w:b w:val="0"/>
          <w:color w:val="000000"/>
          <w:sz w:val="32"/>
          <w:szCs w:val="32"/>
          <w:lang w:val="en-US" w:eastAsia="zh-CN"/>
        </w:rPr>
      </w:pPr>
    </w:p>
    <w:p>
      <w:pPr>
        <w:spacing w:line="600" w:lineRule="exact"/>
        <w:ind w:firstLineChars="200" w:firstLine="640"/>
        <w:jc w:val="both"/>
        <w:rPr>
          <w:rFonts w:ascii="仿宋_GB2312" w:eastAsia="仿宋_GB2312" w:cs="仿宋_GB2312" w:hint="eastAsia"/>
          <w:b w:val="0"/>
          <w:color w:val="000000"/>
          <w:sz w:val="32"/>
          <w:szCs w:val="32"/>
          <w:lang w:val="en-US" w:eastAsia="zh-CN"/>
        </w:rPr>
      </w:pPr>
    </w:p>
    <w:p>
      <w:pPr>
        <w:spacing w:line="600" w:lineRule="exact"/>
        <w:jc w:val="both"/>
        <w:rPr>
          <w:rFonts w:ascii="仿宋_GB2312" w:eastAsia="仿宋_GB2312" w:cs="仿宋_GB2312" w:hint="eastAsia"/>
          <w:b w:val="0"/>
          <w:color w:val="000000"/>
          <w:sz w:val="32"/>
          <w:szCs w:val="32"/>
          <w:lang w:val="en-US" w:eastAsia="zh-CN"/>
        </w:rPr>
      </w:pPr>
    </w:p>
    <w:p>
      <w:pPr>
        <w:spacing w:line="600" w:lineRule="exact"/>
        <w:jc w:val="center"/>
        <w:rPr>
          <w:rFonts w:ascii="方正小标宋简体" w:eastAsia="方正小标宋简体" w:hint="eastAsia"/>
          <w:b w:val="0"/>
          <w:color w:val="000000"/>
          <w:szCs w:val="44"/>
        </w:rPr>
      </w:pPr>
      <w:r>
        <w:rPr>
          <w:rFonts w:ascii="方正小标宋简体" w:eastAsia="方正小标宋简体" w:hint="eastAsia"/>
          <w:b w:val="0"/>
          <w:color w:val="000000"/>
          <w:szCs w:val="44"/>
        </w:rPr>
        <w:t>2022年度金川县财政局</w:t>
      </w:r>
    </w:p>
    <w:p>
      <w:pPr>
        <w:spacing w:line="600" w:lineRule="exact"/>
        <w:jc w:val="center"/>
        <w:rPr>
          <w:rFonts w:ascii="方正小标宋简体" w:eastAsia="方正小标宋简体" w:hint="eastAsia"/>
          <w:b w:val="0"/>
          <w:color w:val="000000"/>
          <w:szCs w:val="44"/>
        </w:rPr>
      </w:pPr>
      <w:r>
        <w:rPr>
          <w:rFonts w:ascii="方正小标宋简体" w:eastAsia="方正小标宋简体" w:hint="eastAsia"/>
          <w:b w:val="0"/>
          <w:color w:val="000000"/>
          <w:szCs w:val="44"/>
        </w:rPr>
        <w:t>部门决算</w:t>
      </w:r>
    </w:p>
    <w:p>
      <w:pPr>
        <w:snapToGrid w:val="0"/>
        <w:jc w:val="center"/>
        <w:rPr>
          <w:rFonts w:ascii="仿宋_GB2312" w:eastAsia="仿宋_GB2312" w:hint="eastAsia"/>
          <w:szCs w:val="28"/>
        </w:rPr>
      </w:pPr>
    </w:p>
    <w:p>
      <w:pPr>
        <w:spacing w:line="600" w:lineRule="exact"/>
        <w:ind w:firstLineChars="200" w:firstLine="640"/>
        <w:rPr>
          <w:rFonts w:ascii="黑体" w:hint="eastAsia"/>
          <w:color w:val="000000"/>
          <w:sz w:val="32"/>
          <w:szCs w:val="32"/>
        </w:rPr>
      </w:pPr>
      <w:r>
        <w:rPr>
          <w:rFonts w:ascii="黑体" w:hint="eastAsia"/>
          <w:color w:val="000000"/>
          <w:sz w:val="32"/>
          <w:szCs w:val="32"/>
        </w:rPr>
        <w:t>一、基本职能及主要工作</w:t>
      </w:r>
    </w:p>
    <w:p>
      <w:pPr>
        <w:ind w:firstLineChars="200" w:firstLine="640"/>
        <w:rPr>
          <w:rFonts w:ascii="宋体" w:hAnsi="宋体" w:hint="eastAsia"/>
          <w:b w:val="0"/>
          <w:sz w:val="32"/>
          <w:szCs w:val="32"/>
        </w:rPr>
      </w:pPr>
      <w:r>
        <w:rPr>
          <w:rFonts w:ascii="宋体" w:hAnsi="宋体" w:hint="eastAsia"/>
          <w:b w:val="0"/>
          <w:sz w:val="32"/>
          <w:szCs w:val="32"/>
        </w:rPr>
        <w:t>（一）财政局部门主要职责</w:t>
      </w:r>
    </w:p>
    <w:p>
      <w:pPr>
        <w:ind w:firstLineChars="200" w:firstLine="640"/>
        <w:rPr>
          <w:rFonts w:ascii="仿宋_GB2312" w:eastAsia="仿宋_GB2312" w:hint="eastAsia"/>
          <w:b w:val="0"/>
          <w:sz w:val="32"/>
          <w:szCs w:val="32"/>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1</w:t>
      </w:r>
      <w:r>
        <w:rPr>
          <w:rFonts w:ascii="仿宋_GB2312" w:eastAsia="仿宋_GB2312" w:hint="eastAsia"/>
          <w:b w:val="0"/>
          <w:sz w:val="32"/>
          <w:szCs w:val="32"/>
          <w:lang w:eastAsia="zh-CN"/>
        </w:rPr>
        <w:t>）</w:t>
      </w:r>
      <w:r>
        <w:rPr>
          <w:rFonts w:ascii="仿宋_GB2312" w:eastAsia="仿宋_GB2312" w:hint="eastAsia"/>
          <w:b w:val="0"/>
          <w:sz w:val="32"/>
          <w:szCs w:val="32"/>
        </w:rPr>
        <w:t>拟定和执行全县财政经济的发展战略、方针政策和中、长期财政规划；贯彻执行财政分配政策和财政改革方案；参与宏观经济分析预测和全县重大宏观经济政策的制定；提出运用财税政策实施宏观经济调控和综合平衡全县财力的建议；制定构建地方公共财政体系的政策、制度；指导全县财政工作。</w:t>
      </w:r>
    </w:p>
    <w:p>
      <w:pPr>
        <w:ind w:firstLine="630"/>
        <w:rPr>
          <w:rFonts w:ascii="仿宋_GB2312" w:eastAsia="仿宋_GB2312" w:hint="eastAsia"/>
          <w:b w:val="0"/>
          <w:sz w:val="32"/>
          <w:szCs w:val="32"/>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2</w:t>
      </w:r>
      <w:r>
        <w:rPr>
          <w:rFonts w:ascii="仿宋_GB2312" w:eastAsia="仿宋_GB2312" w:hint="eastAsia"/>
          <w:b w:val="0"/>
          <w:sz w:val="32"/>
          <w:szCs w:val="32"/>
          <w:lang w:eastAsia="zh-CN"/>
        </w:rPr>
        <w:t>）</w:t>
      </w:r>
      <w:r>
        <w:rPr>
          <w:rFonts w:ascii="仿宋_GB2312" w:eastAsia="仿宋_GB2312" w:hint="eastAsia"/>
          <w:b w:val="0"/>
          <w:sz w:val="32"/>
          <w:szCs w:val="32"/>
        </w:rPr>
        <w:t>贯彻执行国家财税方面的法律、法规和方针、政策，负责起草地方性财税法规草案、实施办法和规章制度并组织实施。管理中央转贷的特种国债。</w:t>
      </w:r>
    </w:p>
    <w:p>
      <w:pPr>
        <w:ind w:firstLine="630"/>
        <w:rPr>
          <w:rFonts w:ascii="仿宋_GB2312" w:eastAsia="仿宋_GB2312" w:hint="eastAsia"/>
          <w:b w:val="0"/>
          <w:sz w:val="32"/>
          <w:szCs w:val="32"/>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3</w:t>
      </w:r>
      <w:r>
        <w:rPr>
          <w:rFonts w:ascii="仿宋_GB2312" w:eastAsia="仿宋_GB2312" w:hint="eastAsia"/>
          <w:b w:val="0"/>
          <w:sz w:val="32"/>
          <w:szCs w:val="32"/>
          <w:lang w:eastAsia="zh-CN"/>
        </w:rPr>
        <w:t>）</w:t>
      </w:r>
      <w:r>
        <w:rPr>
          <w:rFonts w:ascii="仿宋_GB2312" w:eastAsia="仿宋_GB2312" w:hint="eastAsia"/>
          <w:b w:val="0"/>
          <w:sz w:val="32"/>
          <w:szCs w:val="32"/>
        </w:rPr>
        <w:t>承担各项财政收支管理的责任。负责编制年度县级预算草案并组织执行；受县政府委托，向县人民代表大会报告全县及县本级财政预算及执行情况，向县人大常委会会报告决算；组织制定经费开支标准、定额，负责审核批复部门（单位）的年度预算。完善转移支付制度。</w:t>
      </w:r>
    </w:p>
    <w:p>
      <w:pPr>
        <w:rPr>
          <w:rFonts w:ascii="仿宋_GB2312" w:eastAsia="仿宋_GB2312" w:hint="eastAsia"/>
          <w:b w:val="0"/>
          <w:sz w:val="32"/>
          <w:szCs w:val="32"/>
        </w:rPr>
      </w:pPr>
      <w:r>
        <w:rPr>
          <w:rFonts w:ascii="仿宋_GB2312" w:eastAsia="仿宋_GB2312" w:hint="eastAsia"/>
          <w:b w:val="0"/>
          <w:sz w:val="32"/>
          <w:szCs w:val="32"/>
        </w:rPr>
        <w:t xml:space="preserve">    </w:t>
      </w: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4</w:t>
      </w:r>
      <w:r>
        <w:rPr>
          <w:rFonts w:ascii="仿宋_GB2312" w:eastAsia="仿宋_GB2312" w:hint="eastAsia"/>
          <w:b w:val="0"/>
          <w:sz w:val="32"/>
          <w:szCs w:val="32"/>
          <w:lang w:eastAsia="zh-CN"/>
        </w:rPr>
        <w:t>）</w:t>
      </w:r>
      <w:r>
        <w:rPr>
          <w:rFonts w:ascii="仿宋_GB2312" w:eastAsia="仿宋_GB2312" w:hint="eastAsia"/>
          <w:b w:val="0"/>
          <w:sz w:val="32"/>
          <w:szCs w:val="32"/>
        </w:rPr>
        <w:t>负责政府非税收入管理。负责政府性基金管理，按规定管理行政事业性收费。管理财政票据。制定并组织实施彩票管理政策和有关办法，管理彩票市场，按规定管理彩票基金。</w:t>
      </w:r>
    </w:p>
    <w:p>
      <w:pPr>
        <w:ind w:firstLine="630"/>
        <w:rPr>
          <w:rFonts w:ascii="仿宋_GB2312" w:eastAsia="仿宋_GB2312" w:hint="eastAsia"/>
          <w:b w:val="0"/>
          <w:sz w:val="32"/>
          <w:szCs w:val="32"/>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5</w:t>
      </w:r>
      <w:r>
        <w:rPr>
          <w:rFonts w:ascii="仿宋_GB2312" w:eastAsia="仿宋_GB2312" w:hint="eastAsia"/>
          <w:b w:val="0"/>
          <w:sz w:val="32"/>
          <w:szCs w:val="32"/>
          <w:lang w:eastAsia="zh-CN"/>
        </w:rPr>
        <w:t>）</w:t>
      </w:r>
      <w:r>
        <w:rPr>
          <w:rFonts w:ascii="仿宋_GB2312" w:eastAsia="仿宋_GB2312" w:hint="eastAsia"/>
          <w:b w:val="0"/>
          <w:sz w:val="32"/>
          <w:szCs w:val="32"/>
        </w:rPr>
        <w:t>组织制定全县国库管理制度、国库集中收付制度，指导和监督国库业务，按规定开展国库现金管理工作。负责制定政府采购制度，监督管理全县政府采购工作。</w:t>
      </w:r>
    </w:p>
    <w:p>
      <w:pPr>
        <w:ind w:firstLine="630"/>
        <w:rPr>
          <w:rFonts w:ascii="仿宋_GB2312" w:eastAsia="仿宋_GB2312" w:hint="eastAsia"/>
          <w:b w:val="0"/>
          <w:sz w:val="32"/>
          <w:szCs w:val="32"/>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6</w:t>
      </w:r>
      <w:r>
        <w:rPr>
          <w:rFonts w:ascii="仿宋_GB2312" w:eastAsia="仿宋_GB2312" w:hint="eastAsia"/>
          <w:b w:val="0"/>
          <w:sz w:val="32"/>
          <w:szCs w:val="32"/>
          <w:lang w:eastAsia="zh-CN"/>
        </w:rPr>
        <w:t>）</w:t>
      </w:r>
      <w:r>
        <w:rPr>
          <w:rFonts w:ascii="仿宋_GB2312" w:eastAsia="仿宋_GB2312" w:hint="eastAsia"/>
          <w:b w:val="0"/>
          <w:sz w:val="32"/>
          <w:szCs w:val="32"/>
        </w:rPr>
        <w:t>会同有关部门管理全县社会保障和就业及医疗卫生支出，会同有关部门拟订社会保障资金（基金）的财务管理制度，编制县级社会保障预决算草案。</w:t>
      </w:r>
    </w:p>
    <w:p>
      <w:pPr>
        <w:rPr>
          <w:rFonts w:ascii="仿宋_GB2312" w:eastAsia="仿宋_GB2312" w:hint="eastAsia"/>
          <w:b w:val="0"/>
          <w:sz w:val="32"/>
          <w:szCs w:val="32"/>
        </w:rPr>
      </w:pPr>
      <w:r>
        <w:rPr>
          <w:rFonts w:ascii="仿宋_GB2312" w:eastAsia="仿宋_GB2312" w:hint="eastAsia"/>
          <w:b w:val="0"/>
          <w:sz w:val="32"/>
          <w:szCs w:val="32"/>
        </w:rPr>
        <w:t xml:space="preserve">    </w:t>
      </w: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7</w:t>
      </w:r>
      <w:r>
        <w:rPr>
          <w:rFonts w:ascii="仿宋_GB2312" w:eastAsia="仿宋_GB2312" w:hint="eastAsia"/>
          <w:b w:val="0"/>
          <w:sz w:val="32"/>
          <w:szCs w:val="32"/>
          <w:lang w:eastAsia="zh-CN"/>
        </w:rPr>
        <w:t>）</w:t>
      </w:r>
      <w:r>
        <w:rPr>
          <w:rFonts w:ascii="仿宋_GB2312" w:eastAsia="仿宋_GB2312" w:hint="eastAsia"/>
          <w:b w:val="0"/>
          <w:sz w:val="32"/>
          <w:szCs w:val="32"/>
        </w:rPr>
        <w:t>负责组织执行政府债务管理制度和政策，制定具体管理办法，负责管理政府债务，防范财政风险。参与研究利用外资的有政策，管理外国政府和国际金融机构（赠）款项目的有关业务。</w:t>
      </w:r>
    </w:p>
    <w:p>
      <w:pPr>
        <w:ind w:firstLineChars="200" w:firstLine="640"/>
        <w:rPr>
          <w:rFonts w:ascii="仿宋_GB2312" w:eastAsia="仿宋_GB2312" w:hint="eastAsia"/>
          <w:b w:val="0"/>
          <w:sz w:val="32"/>
          <w:szCs w:val="32"/>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8</w:t>
      </w:r>
      <w:r>
        <w:rPr>
          <w:rFonts w:ascii="仿宋_GB2312" w:eastAsia="仿宋_GB2312" w:hint="eastAsia"/>
          <w:b w:val="0"/>
          <w:sz w:val="32"/>
          <w:szCs w:val="32"/>
          <w:lang w:eastAsia="zh-CN"/>
        </w:rPr>
        <w:t>）</w:t>
      </w:r>
      <w:r>
        <w:rPr>
          <w:rFonts w:ascii="仿宋_GB2312" w:eastAsia="仿宋_GB2312" w:hint="eastAsia"/>
          <w:b w:val="0"/>
          <w:sz w:val="32"/>
          <w:szCs w:val="32"/>
        </w:rPr>
        <w:t>负责审核和汇总编制全县国有资本经营预决算草案，制定国有资本经营预算的制度和办法，收取县本级企业国有资本收益，组织实施企业财务制度，按规定管理金融类国有资产，参与拟订企业国有资产管理相关制度，按规定管理资产评估工作。</w:t>
      </w:r>
    </w:p>
    <w:p>
      <w:pPr>
        <w:ind w:firstLineChars="200" w:firstLine="640"/>
        <w:rPr>
          <w:rFonts w:ascii="仿宋_GB2312" w:eastAsia="仿宋_GB2312" w:hint="eastAsia"/>
          <w:b w:val="0"/>
          <w:sz w:val="32"/>
          <w:szCs w:val="32"/>
        </w:rPr>
      </w:pPr>
      <w:r>
        <w:rPr>
          <w:rFonts w:ascii="仿宋_GB2312" w:eastAsia="仿宋_GB2312" w:hint="eastAsia"/>
          <w:b w:val="0"/>
          <w:sz w:val="32"/>
          <w:szCs w:val="32"/>
        </w:rPr>
        <w:t>（9）负责制定全县行政事业单位国有资产管理规章制度及县级机关事业单位国有资产收益管理办法并对执行情况进行监督检查，负责县级机关国有资产经营收益财政专户管理工作。制定需要全县统一规定的开支标准和支出政策。</w:t>
      </w:r>
    </w:p>
    <w:p>
      <w:pPr>
        <w:ind w:firstLineChars="200" w:firstLine="640"/>
        <w:rPr>
          <w:rFonts w:ascii="仿宋_GB2312" w:eastAsia="仿宋_GB2312" w:hint="eastAsia"/>
          <w:b w:val="0"/>
          <w:sz w:val="32"/>
          <w:szCs w:val="32"/>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10</w:t>
      </w:r>
      <w:r>
        <w:rPr>
          <w:rFonts w:ascii="仿宋_GB2312" w:eastAsia="仿宋_GB2312" w:hint="eastAsia"/>
          <w:b w:val="0"/>
          <w:sz w:val="32"/>
          <w:szCs w:val="32"/>
          <w:lang w:eastAsia="zh-CN"/>
        </w:rPr>
        <w:t>）</w:t>
      </w:r>
      <w:r>
        <w:rPr>
          <w:rFonts w:ascii="仿宋_GB2312" w:eastAsia="仿宋_GB2312" w:hint="eastAsia"/>
          <w:b w:val="0"/>
          <w:sz w:val="32"/>
          <w:szCs w:val="32"/>
        </w:rPr>
        <w:t>负责办理和监督财政性经济发展支出、政府性投资项目的财政拨款，负责投资评审工作，参与拟订政府性建设投资的有关政策，制定基本建设财务制度，负责有关政策性补贴和专项储备资金财务管理工作。负责全县农业综合开发管理工作。</w:t>
      </w:r>
    </w:p>
    <w:p>
      <w:pPr>
        <w:ind w:firstLineChars="200" w:firstLine="640"/>
        <w:rPr>
          <w:rFonts w:ascii="仿宋_GB2312" w:eastAsia="仿宋_GB2312" w:hint="eastAsia"/>
          <w:b w:val="0"/>
          <w:sz w:val="32"/>
          <w:szCs w:val="32"/>
        </w:rPr>
      </w:pPr>
      <w:r>
        <w:rPr>
          <w:rFonts w:ascii="仿宋_GB2312" w:eastAsia="仿宋_GB2312" w:hint="eastAsia"/>
          <w:b w:val="0"/>
          <w:sz w:val="32"/>
          <w:szCs w:val="32"/>
        </w:rPr>
        <w:t>（11）负责管理全县会计工作，监督和规范会计行为，实施国家统一会计制度和补充规定；会同有关部门管理会计专业技术职称工作。</w:t>
      </w:r>
    </w:p>
    <w:p>
      <w:pPr>
        <w:ind w:firstLineChars="200" w:firstLine="640"/>
        <w:rPr>
          <w:rFonts w:ascii="仿宋_GB2312" w:eastAsia="仿宋_GB2312" w:hint="eastAsia"/>
          <w:b w:val="0"/>
          <w:sz w:val="32"/>
          <w:szCs w:val="32"/>
        </w:rPr>
      </w:pPr>
      <w:r>
        <w:rPr>
          <w:rFonts w:ascii="仿宋_GB2312" w:eastAsia="仿宋_GB2312" w:hint="eastAsia"/>
          <w:b w:val="0"/>
          <w:sz w:val="32"/>
          <w:szCs w:val="32"/>
        </w:rPr>
        <w:t>（12）负责财政资金绩效评价；监督检查财税政策、法律法规的执行；反映财政收支中的重大问题；依法查处重点违反财经纪律的行为。</w:t>
      </w:r>
    </w:p>
    <w:p>
      <w:pPr>
        <w:ind w:firstLineChars="200" w:firstLine="640"/>
        <w:rPr>
          <w:rFonts w:ascii="仿宋_GB2312" w:eastAsia="仿宋_GB2312" w:hint="eastAsia"/>
          <w:b w:val="0"/>
          <w:sz w:val="32"/>
          <w:szCs w:val="32"/>
        </w:rPr>
      </w:pPr>
      <w:r>
        <w:rPr>
          <w:rFonts w:ascii="仿宋_GB2312" w:eastAsia="仿宋_GB2312" w:hint="eastAsia"/>
          <w:b w:val="0"/>
          <w:sz w:val="32"/>
          <w:szCs w:val="32"/>
        </w:rPr>
        <w:t>（1</w:t>
      </w:r>
      <w:r>
        <w:rPr>
          <w:rFonts w:ascii="仿宋_GB2312" w:eastAsia="仿宋_GB2312" w:hint="eastAsia"/>
          <w:b w:val="0"/>
          <w:sz w:val="32"/>
          <w:szCs w:val="32"/>
          <w:lang w:val="en-US" w:eastAsia="zh-CN"/>
        </w:rPr>
        <w:t>3</w:t>
      </w:r>
      <w:r>
        <w:rPr>
          <w:rFonts w:ascii="仿宋_GB2312" w:eastAsia="仿宋_GB2312" w:hint="eastAsia"/>
          <w:b w:val="0"/>
          <w:sz w:val="32"/>
          <w:szCs w:val="32"/>
        </w:rPr>
        <w:t>）制定财政科研计划和教育培训规划；组织财政业务培训；负责财政信息和财政宣传工作；指导全县财政系统抓好精神文明建设和廉政建设，做好财政系统干部的思想政治工作。</w:t>
      </w:r>
    </w:p>
    <w:p>
      <w:pPr>
        <w:ind w:firstLineChars="200" w:firstLine="640"/>
        <w:rPr>
          <w:rFonts w:ascii="仿宋_GB2312" w:eastAsia="仿宋_GB2312" w:hint="eastAsia"/>
          <w:b w:val="0"/>
          <w:sz w:val="32"/>
          <w:szCs w:val="32"/>
        </w:rPr>
      </w:pPr>
      <w:r>
        <w:rPr>
          <w:rFonts w:ascii="仿宋_GB2312" w:eastAsia="仿宋_GB2312" w:hint="eastAsia"/>
          <w:b w:val="0"/>
          <w:sz w:val="32"/>
          <w:szCs w:val="32"/>
        </w:rPr>
        <w:t>（1</w:t>
      </w:r>
      <w:r>
        <w:rPr>
          <w:rFonts w:ascii="仿宋_GB2312" w:eastAsia="仿宋_GB2312" w:hint="eastAsia"/>
          <w:b w:val="0"/>
          <w:sz w:val="32"/>
          <w:szCs w:val="32"/>
          <w:lang w:val="en-US" w:eastAsia="zh-CN"/>
        </w:rPr>
        <w:t>4</w:t>
      </w:r>
      <w:r>
        <w:rPr>
          <w:rFonts w:ascii="仿宋_GB2312" w:eastAsia="仿宋_GB2312" w:hint="eastAsia"/>
          <w:b w:val="0"/>
          <w:sz w:val="32"/>
          <w:szCs w:val="32"/>
        </w:rPr>
        <w:t>）承担县政府公布的有关行政审批事项。</w:t>
      </w:r>
    </w:p>
    <w:p>
      <w:pPr>
        <w:ind w:firstLine="645"/>
        <w:rPr>
          <w:rFonts w:ascii="仿宋_GB2312" w:eastAsia="仿宋_GB2312" w:hint="eastAsia"/>
          <w:b w:val="0"/>
          <w:sz w:val="32"/>
          <w:szCs w:val="32"/>
        </w:rPr>
      </w:pPr>
      <w:r>
        <w:rPr>
          <w:rFonts w:ascii="仿宋_GB2312" w:eastAsia="仿宋_GB2312" w:hint="eastAsia"/>
          <w:b w:val="0"/>
          <w:sz w:val="32"/>
          <w:szCs w:val="32"/>
        </w:rPr>
        <w:t>（1</w:t>
      </w:r>
      <w:r>
        <w:rPr>
          <w:rFonts w:ascii="仿宋_GB2312" w:eastAsia="仿宋_GB2312" w:hint="eastAsia"/>
          <w:b w:val="0"/>
          <w:sz w:val="32"/>
          <w:szCs w:val="32"/>
          <w:lang w:val="en-US" w:eastAsia="zh-CN"/>
        </w:rPr>
        <w:t>5</w:t>
      </w:r>
      <w:r>
        <w:rPr>
          <w:rFonts w:ascii="仿宋_GB2312" w:eastAsia="仿宋_GB2312" w:hint="eastAsia"/>
          <w:b w:val="0"/>
          <w:sz w:val="32"/>
          <w:szCs w:val="32"/>
        </w:rPr>
        <w:t>）承办县政府交办的其他事项</w:t>
      </w:r>
    </w:p>
    <w:p>
      <w:pPr>
        <w:ind w:firstLineChars="200" w:firstLine="640"/>
        <w:rPr>
          <w:rFonts w:ascii="宋体" w:hAnsi="宋体" w:hint="eastAsia"/>
          <w:b w:val="0"/>
          <w:sz w:val="32"/>
          <w:szCs w:val="32"/>
        </w:rPr>
      </w:pPr>
      <w:r>
        <w:rPr>
          <w:rFonts w:ascii="仿宋_GB2312" w:eastAsia="仿宋_GB2312" w:cs="仿宋_GB2312" w:hint="eastAsia"/>
          <w:b w:val="0"/>
          <w:sz w:val="32"/>
          <w:szCs w:val="32"/>
        </w:rPr>
        <w:t>（二）支付中心部门主要职责</w:t>
      </w:r>
    </w:p>
    <w:p>
      <w:pPr>
        <w:ind w:firstLineChars="200" w:firstLine="640"/>
        <w:rPr>
          <w:rFonts w:ascii="仿宋_GB2312" w:eastAsia="仿宋_GB2312" w:hint="eastAsia"/>
          <w:b w:val="0"/>
          <w:sz w:val="32"/>
          <w:szCs w:val="32"/>
        </w:rPr>
      </w:pPr>
      <w:r>
        <w:rPr>
          <w:rFonts w:ascii="仿宋_GB2312" w:eastAsia="仿宋_GB2312" w:hint="eastAsia"/>
          <w:b w:val="0"/>
          <w:sz w:val="32"/>
          <w:szCs w:val="32"/>
        </w:rPr>
        <w:t>（1）监督和管理财政性资金的支出和使用。</w:t>
      </w:r>
    </w:p>
    <w:p>
      <w:pPr>
        <w:ind w:firstLineChars="200" w:firstLine="640"/>
        <w:rPr>
          <w:rFonts w:ascii="仿宋_GB2312" w:eastAsia="仿宋_GB2312" w:hint="eastAsia"/>
          <w:b w:val="0"/>
          <w:sz w:val="32"/>
          <w:szCs w:val="32"/>
        </w:rPr>
      </w:pPr>
      <w:r>
        <w:rPr>
          <w:rFonts w:ascii="仿宋_GB2312" w:eastAsia="仿宋_GB2312" w:hint="eastAsia"/>
          <w:b w:val="0"/>
          <w:sz w:val="32"/>
          <w:szCs w:val="32"/>
        </w:rPr>
        <w:t>（2）按规定的费用开支范围和标准，审核原始凭证的合法性、合理性和真实性，审核费用发生的审批手续是否符合报账规定：准确、及时地做好账务和清算工作。</w:t>
      </w:r>
    </w:p>
    <w:p>
      <w:pPr>
        <w:ind w:firstLineChars="200" w:firstLine="640"/>
        <w:rPr>
          <w:rFonts w:ascii="仿宋_GB2312" w:eastAsia="仿宋_GB2312" w:hint="eastAsia"/>
          <w:b w:val="0"/>
          <w:sz w:val="32"/>
          <w:szCs w:val="32"/>
        </w:rPr>
      </w:pPr>
      <w:r>
        <w:rPr>
          <w:rFonts w:ascii="仿宋_GB2312" w:eastAsia="仿宋_GB2312" w:hint="eastAsia"/>
          <w:b w:val="0"/>
          <w:sz w:val="32"/>
          <w:szCs w:val="32"/>
        </w:rPr>
        <w:t>（</w:t>
      </w:r>
      <w:r>
        <w:rPr>
          <w:rFonts w:ascii="仿宋_GB2312" w:eastAsia="仿宋_GB2312" w:hint="eastAsia"/>
          <w:b w:val="0"/>
          <w:sz w:val="32"/>
          <w:szCs w:val="32"/>
          <w:lang w:val="en-US" w:eastAsia="zh-CN"/>
        </w:rPr>
        <w:t>3</w:t>
      </w:r>
      <w:r>
        <w:rPr>
          <w:rFonts w:ascii="仿宋_GB2312" w:eastAsia="仿宋_GB2312" w:hint="eastAsia"/>
          <w:b w:val="0"/>
          <w:sz w:val="32"/>
          <w:szCs w:val="32"/>
        </w:rPr>
        <w:t>）及时做好会计凭证、账册、报表等财会资料的收集、汇编、归档等会计档案管理工作。</w:t>
      </w:r>
    </w:p>
    <w:p>
      <w:pPr>
        <w:ind w:firstLine="645"/>
        <w:rPr>
          <w:rFonts w:ascii="仿宋_GB2312" w:eastAsia="仿宋_GB2312" w:hint="eastAsia"/>
          <w:b w:val="0"/>
          <w:sz w:val="32"/>
          <w:szCs w:val="32"/>
        </w:rPr>
      </w:pPr>
      <w:r>
        <w:rPr>
          <w:rFonts w:ascii="仿宋_GB2312" w:eastAsia="仿宋_GB2312" w:hint="eastAsia"/>
          <w:b w:val="0"/>
          <w:sz w:val="32"/>
          <w:szCs w:val="32"/>
        </w:rPr>
        <w:t>（</w:t>
      </w:r>
      <w:r>
        <w:rPr>
          <w:rFonts w:ascii="仿宋_GB2312" w:eastAsia="仿宋_GB2312" w:hint="eastAsia"/>
          <w:b w:val="0"/>
          <w:sz w:val="32"/>
          <w:szCs w:val="32"/>
          <w:lang w:val="en-US" w:eastAsia="zh-CN"/>
        </w:rPr>
        <w:t>4</w:t>
      </w:r>
      <w:r>
        <w:rPr>
          <w:rFonts w:ascii="仿宋_GB2312" w:eastAsia="仿宋_GB2312" w:hint="eastAsia"/>
          <w:b w:val="0"/>
          <w:sz w:val="32"/>
          <w:szCs w:val="32"/>
        </w:rPr>
        <w:t>）为单位办理直接支付业务</w:t>
      </w:r>
      <w:r>
        <w:rPr>
          <w:rFonts w:hint="eastAsia"/>
          <w:b w:val="0"/>
        </w:rPr>
        <w:t>。</w:t>
      </w:r>
    </w:p>
    <w:p>
      <w:pPr>
        <w:spacing w:line="500" w:lineRule="exact"/>
        <w:ind w:firstLineChars="200" w:firstLine="640"/>
        <w:rPr>
          <w:rFonts w:ascii="黑体" w:eastAsia="黑体" w:cs="黑体" w:hint="eastAsia"/>
          <w:b w:val="0"/>
          <w:sz w:val="32"/>
          <w:szCs w:val="32"/>
        </w:rPr>
      </w:pPr>
      <w:r>
        <w:rPr>
          <w:rFonts w:ascii="黑体" w:eastAsia="黑体" w:cs="黑体" w:hint="eastAsia"/>
          <w:b w:val="0"/>
          <w:sz w:val="32"/>
          <w:szCs w:val="32"/>
        </w:rPr>
        <w:t>（二）2022年重点工作完成情况。</w:t>
      </w:r>
    </w:p>
    <w:p>
      <w:pPr>
        <w:ind w:firstLineChars="200" w:firstLine="640"/>
        <w:rPr>
          <w:rFonts w:ascii="仿宋_GB2312" w:eastAsia="仿宋_GB2312" w:hint="eastAsia"/>
          <w:b w:val="0"/>
          <w:sz w:val="32"/>
          <w:szCs w:val="32"/>
        </w:rPr>
      </w:pPr>
      <w:r>
        <w:rPr>
          <w:rFonts w:ascii="仿宋_GB2312" w:eastAsia="仿宋_GB2312" w:hint="eastAsia"/>
          <w:b w:val="0"/>
          <w:sz w:val="32"/>
          <w:szCs w:val="32"/>
        </w:rPr>
        <w:t>2022年我局继续坚持积极稳妥，收入预算与经济发展相协调；坚持厉行节约，努力降低行政成本；坚持改革创新，着力提高财政绩效。全面完成2022年各项工作，取得实效。</w:t>
      </w:r>
    </w:p>
    <w:p>
      <w:pPr>
        <w:spacing w:line="600" w:lineRule="exact"/>
        <w:ind w:firstLineChars="200" w:firstLine="640"/>
        <w:rPr>
          <w:rFonts w:ascii="黑体" w:hint="eastAsia"/>
          <w:color w:val="000000"/>
          <w:sz w:val="32"/>
          <w:szCs w:val="32"/>
        </w:rPr>
      </w:pPr>
      <w:r>
        <w:rPr>
          <w:rFonts w:ascii="黑体" w:hint="eastAsia"/>
          <w:color w:val="000000"/>
          <w:sz w:val="32"/>
          <w:szCs w:val="32"/>
        </w:rPr>
        <w:t>二、部门概况</w:t>
      </w:r>
    </w:p>
    <w:p>
      <w:pPr>
        <w:ind w:firstLineChars="196" w:firstLine="627"/>
        <w:rPr>
          <w:rFonts w:ascii="仿宋_GB2312" w:eastAsia="仿宋_GB2312" w:hint="eastAsia"/>
          <w:b w:val="0"/>
          <w:sz w:val="32"/>
          <w:szCs w:val="32"/>
        </w:rPr>
      </w:pPr>
      <w:r>
        <w:rPr>
          <w:rFonts w:ascii="仿宋_GB2312" w:eastAsia="仿宋_GB2312" w:hint="eastAsia"/>
          <w:b w:val="0"/>
          <w:sz w:val="32"/>
          <w:szCs w:val="32"/>
        </w:rPr>
        <w:t>2022年新增二级单位支付中心，现由财政局和支付中心二个单位单独编制预算</w:t>
      </w:r>
      <w:r>
        <w:rPr>
          <w:rFonts w:ascii="宋体" w:eastAsia="宋体" w:cs="宋体" w:hint="eastAsia"/>
          <w:b w:val="0"/>
          <w:sz w:val="32"/>
          <w:szCs w:val="32"/>
        </w:rPr>
        <w:t>后再汇总，</w:t>
      </w:r>
      <w:r>
        <w:rPr>
          <w:rFonts w:ascii="仿宋_GB2312" w:eastAsia="仿宋_GB2312" w:hint="eastAsia"/>
          <w:b w:val="0"/>
          <w:sz w:val="32"/>
          <w:szCs w:val="32"/>
        </w:rPr>
        <w:t>单位编制数37个，其中：公务员编制15人、行政工勤编制2人、参公编制19个、事业工勤编制1人；截至2022年末，单位实有人数34人，其中：</w:t>
      </w:r>
      <w:r>
        <w:rPr>
          <w:rFonts w:ascii="仿宋_GB2312" w:eastAsia="仿宋_GB2312" w:hint="eastAsia"/>
          <w:b w:val="0"/>
          <w:bCs/>
          <w:sz w:val="32"/>
        </w:rPr>
        <w:t>行政人员13人，行政工勤2人，事业参公人员19人</w:t>
      </w:r>
      <w:r>
        <w:rPr>
          <w:rFonts w:ascii="仿宋_GB2312" w:eastAsia="仿宋_GB2312" w:hint="eastAsia"/>
          <w:b w:val="0"/>
          <w:sz w:val="32"/>
          <w:szCs w:val="32"/>
        </w:rPr>
        <w:t>；退休人员18人工资转由社保部门发放。</w:t>
      </w:r>
    </w:p>
    <w:p>
      <w:pPr>
        <w:spacing w:line="600" w:lineRule="exact"/>
        <w:ind w:firstLineChars="200" w:firstLine="640"/>
        <w:rPr>
          <w:rFonts w:ascii="黑体"/>
          <w:color w:val="000000"/>
          <w:sz w:val="32"/>
          <w:szCs w:val="32"/>
        </w:rPr>
      </w:pPr>
      <w:r>
        <w:rPr>
          <w:rFonts w:ascii="黑体" w:hint="eastAsia"/>
          <w:color w:val="000000"/>
          <w:sz w:val="32"/>
          <w:szCs w:val="32"/>
        </w:rPr>
        <w:t>三、收支决算总体情况说明</w:t>
      </w:r>
    </w:p>
    <w:p>
      <w:pPr>
        <w:spacing w:line="600" w:lineRule="exact"/>
        <w:ind w:firstLineChars="200" w:firstLine="640"/>
        <w:rPr>
          <w:rFonts w:ascii="仿宋_GB2312" w:eastAsia="仿宋_GB2312" w:hint="eastAsia"/>
          <w:b w:val="0"/>
          <w:color w:val="000000"/>
          <w:sz w:val="32"/>
          <w:szCs w:val="32"/>
        </w:rPr>
      </w:pPr>
      <w:r>
        <w:rPr>
          <w:rFonts w:ascii="仿宋_GB2312" w:eastAsia="仿宋_GB2312" w:hint="eastAsia"/>
          <w:b w:val="0"/>
          <w:color w:val="000000"/>
          <w:sz w:val="32"/>
          <w:szCs w:val="32"/>
        </w:rPr>
        <w:t>1、2022年本年总收入</w:t>
      </w:r>
      <w:r>
        <w:rPr>
          <w:rFonts w:ascii="仿宋_GB2312" w:eastAsia="仿宋_GB2312" w:hint="eastAsia"/>
          <w:b w:val="0"/>
          <w:sz w:val="32"/>
        </w:rPr>
        <w:t>1255.83万元</w:t>
      </w:r>
      <w:r>
        <w:rPr>
          <w:rFonts w:ascii="仿宋_GB2312" w:eastAsia="仿宋_GB2312" w:hint="eastAsia"/>
          <w:b w:val="0"/>
          <w:color w:val="000000"/>
          <w:sz w:val="32"/>
          <w:szCs w:val="32"/>
        </w:rPr>
        <w:t>，其中：财政拨款收入</w:t>
      </w:r>
      <w:r>
        <w:rPr>
          <w:rFonts w:ascii="仿宋_GB2312" w:eastAsia="仿宋_GB2312" w:hint="eastAsia"/>
          <w:b w:val="0"/>
          <w:sz w:val="32"/>
        </w:rPr>
        <w:t>1255.83</w:t>
      </w:r>
      <w:r>
        <w:rPr>
          <w:rFonts w:ascii="仿宋_GB2312" w:eastAsia="仿宋_GB2312" w:hint="eastAsia"/>
          <w:b w:val="0"/>
          <w:color w:val="000000"/>
          <w:sz w:val="32"/>
          <w:szCs w:val="32"/>
        </w:rPr>
        <w:t>万元，占100%；事业收入0万元；经营收入0万元；附属单位上缴收入0万元；其他收入0万</w:t>
      </w:r>
      <w:r>
        <w:rPr>
          <w:rFonts w:ascii="仿宋_GB2312" w:eastAsia="仿宋_GB2312" w:hint="eastAsia"/>
          <w:b/>
          <w:color w:val="000000"/>
          <w:sz w:val="32"/>
          <w:szCs w:val="32"/>
        </w:rPr>
        <w:drawing>
          <wp:anchor distT="0" distB="0" distL="114300" distR="114300" simplePos="0" relativeHeight="2" behindDoc="1" locked="0" layoutInCell="1" hidden="0" allowOverlap="0">
            <wp:simplePos x="0" y="0"/>
            <wp:positionH relativeFrom="column">
              <wp:posOffset>1924685</wp:posOffset>
            </wp:positionH>
            <wp:positionV relativeFrom="line">
              <wp:posOffset>207645</wp:posOffset>
            </wp:positionV>
            <wp:extent cx="3574415" cy="2503805"/>
            <wp:effectExtent l="0" t="0" r="0" b="0"/>
            <wp:wrapNone/>
            <wp:docPr id="4" name="图片 256" descr="wps7272"/>
            <wp:cNvGraphicFramePr>
              <a:graphicFrameLocks noChangeAspect="1"/>
            </wp:cNvGraphicFramePr>
            <a:graphic>
              <a:graphicData uri="http://schemas.openxmlformats.org/drawingml/2006/picture">
                <pic:pic>
                  <pic:nvPicPr>
                    <pic:cNvPr id="6" name="图片 256 6"/>
                    <pic:cNvPicPr/>
                  </pic:nvPicPr>
                  <pic:blipFill>
                    <a:blip r:embed="rId4"/>
                    <a:stretch>
                      <a:fillRect/>
                    </a:stretch>
                  </pic:blipFill>
                  <pic:spPr>
                    <a:xfrm rot="0">
                      <a:off x="0" y="0"/>
                      <a:ext cx="3574415" cy="2503805"/>
                    </a:xfrm>
                    <a:prstGeom prst="rect"/>
                    <a:noFill/>
                    <a:ln w="9525" cmpd="sng" cap="flat">
                      <a:noFill/>
                      <a:prstDash val="solid"/>
                      <a:round/>
                    </a:ln>
                  </pic:spPr>
                </pic:pic>
              </a:graphicData>
            </a:graphic>
          </wp:anchor>
        </w:drawing>
      </w:r>
      <w:r>
        <w:rPr>
          <w:rFonts w:ascii="仿宋_GB2312" w:eastAsia="仿宋_GB2312" w:hint="eastAsia"/>
          <w:b w:val="0"/>
          <w:color w:val="000000"/>
          <w:sz w:val="32"/>
          <w:szCs w:val="32"/>
        </w:rPr>
        <w:t>元。</w:t>
      </w:r>
    </w:p>
    <w:p>
      <w:pPr>
        <w:spacing w:line="600" w:lineRule="exact"/>
        <w:ind w:firstLineChars="200" w:firstLine="640"/>
        <w:rPr>
          <w:rFonts w:ascii="仿宋_GB2312" w:eastAsia="仿宋_GB2312" w:hint="eastAsia"/>
          <w:b w:val="0"/>
          <w:color w:val="000000"/>
          <w:sz w:val="32"/>
          <w:szCs w:val="32"/>
        </w:rPr>
      </w:pPr>
    </w:p>
    <w:p>
      <w:pPr>
        <w:spacing w:line="600" w:lineRule="exact"/>
        <w:ind w:firstLineChars="200" w:firstLine="640"/>
        <w:rPr>
          <w:rFonts w:ascii="仿宋_GB2312" w:eastAsia="仿宋_GB2312" w:hint="eastAsia"/>
          <w:b w:val="0"/>
          <w:color w:val="000000"/>
          <w:sz w:val="32"/>
          <w:szCs w:val="32"/>
        </w:rPr>
      </w:pPr>
    </w:p>
    <w:p>
      <w:pPr>
        <w:spacing w:line="600" w:lineRule="exact"/>
        <w:ind w:firstLineChars="200" w:firstLine="640"/>
        <w:rPr>
          <w:rFonts w:ascii="仿宋_GB2312" w:eastAsia="仿宋_GB2312" w:hint="eastAsia"/>
          <w:b w:val="0"/>
          <w:color w:val="000000"/>
          <w:sz w:val="32"/>
          <w:szCs w:val="32"/>
        </w:rPr>
      </w:pPr>
    </w:p>
    <w:p>
      <w:pPr>
        <w:spacing w:line="600" w:lineRule="exact"/>
        <w:ind w:firstLineChars="200" w:firstLine="640"/>
        <w:rPr>
          <w:rFonts w:ascii="仿宋_GB2312" w:eastAsia="仿宋_GB2312" w:hint="eastAsia"/>
          <w:b w:val="0"/>
          <w:color w:val="000000"/>
          <w:sz w:val="32"/>
          <w:szCs w:val="32"/>
        </w:rPr>
      </w:pPr>
    </w:p>
    <w:p>
      <w:pPr>
        <w:spacing w:line="600" w:lineRule="exact"/>
        <w:ind w:firstLineChars="200" w:firstLine="640"/>
        <w:rPr>
          <w:rFonts w:ascii="仿宋_GB2312" w:eastAsia="仿宋_GB2312" w:hint="eastAsia"/>
          <w:b w:val="0"/>
          <w:color w:val="000000"/>
          <w:sz w:val="32"/>
          <w:szCs w:val="32"/>
        </w:rPr>
      </w:pPr>
    </w:p>
    <w:p>
      <w:pPr>
        <w:spacing w:line="600" w:lineRule="exact"/>
        <w:ind w:firstLineChars="200" w:firstLine="640"/>
        <w:rPr>
          <w:rFonts w:ascii="仿宋_GB2312" w:eastAsia="仿宋_GB2312" w:hint="eastAsia"/>
          <w:b w:val="0"/>
          <w:color w:val="000000"/>
          <w:sz w:val="32"/>
          <w:szCs w:val="32"/>
        </w:rPr>
      </w:pPr>
    </w:p>
    <w:p>
      <w:pPr>
        <w:spacing w:line="600" w:lineRule="exact"/>
        <w:ind w:firstLineChars="200" w:firstLine="640"/>
        <w:rPr>
          <w:rFonts w:ascii="仿宋_GB2312" w:eastAsia="仿宋_GB2312" w:hint="eastAsia"/>
          <w:b w:val="0"/>
          <w:color w:val="000000"/>
          <w:sz w:val="32"/>
          <w:szCs w:val="32"/>
        </w:rPr>
      </w:pPr>
    </w:p>
    <w:p>
      <w:pPr>
        <w:ind w:firstLineChars="250" w:firstLine="800"/>
        <w:rPr>
          <w:rFonts w:ascii="仿宋_GB2312" w:eastAsia="仿宋_GB2312" w:hint="eastAsia"/>
          <w:b w:val="0"/>
          <w:color w:val="000000"/>
          <w:sz w:val="32"/>
          <w:szCs w:val="32"/>
        </w:rPr>
      </w:pPr>
      <w:r>
        <w:rPr>
          <w:rFonts w:ascii="仿宋_GB2312" w:eastAsia="仿宋_GB2312" w:hint="eastAsia"/>
          <w:b w:val="0"/>
          <w:color w:val="000000"/>
          <w:sz w:val="32"/>
          <w:szCs w:val="32"/>
        </w:rPr>
        <w:t>2、2022年本年总支出</w:t>
      </w:r>
      <w:r>
        <w:rPr>
          <w:rFonts w:ascii="仿宋_GB2312" w:eastAsia="仿宋_GB2312" w:hint="eastAsia"/>
          <w:b w:val="0"/>
          <w:sz w:val="32"/>
        </w:rPr>
        <w:t>1255.83万元</w:t>
      </w:r>
      <w:r>
        <w:rPr>
          <w:rFonts w:ascii="仿宋_GB2312" w:eastAsia="仿宋_GB2312" w:hint="eastAsia"/>
          <w:b w:val="0"/>
          <w:color w:val="000000"/>
          <w:sz w:val="32"/>
          <w:szCs w:val="32"/>
        </w:rPr>
        <w:t>，其中：</w:t>
      </w:r>
      <w:r>
        <w:rPr>
          <w:rFonts w:ascii="仿宋_GB2312" w:eastAsia="仿宋_GB2312" w:cs="仿宋_GB2312" w:hint="eastAsia"/>
          <w:b w:val="0"/>
          <w:sz w:val="28"/>
          <w:szCs w:val="28"/>
        </w:rPr>
        <w:t>基本支出744.12万元，占59.26%，项目支出511.71万元，占40.74%。</w:t>
      </w:r>
    </w:p>
    <w:p>
      <w:pPr>
        <w:snapToGrid w:val="0"/>
        <w:spacing w:line="360" w:lineRule="auto"/>
        <w:ind w:firstLineChars="200" w:firstLine="880"/>
        <w:jc w:val="center"/>
        <w:rPr>
          <w:rFonts w:hint="eastAsia"/>
        </w:rPr>
      </w:pPr>
    </w:p>
    <w:p>
      <w:pPr>
        <w:snapToGrid w:val="0"/>
        <w:spacing w:line="360" w:lineRule="auto"/>
        <w:ind w:firstLineChars="200" w:firstLine="880"/>
        <w:jc w:val="center"/>
        <w:rPr>
          <w:rFonts w:hint="eastAsia"/>
        </w:rPr>
      </w:pPr>
      <w:r>
        <w:drawing>
          <wp:inline distT="0" distB="0" distL="114300" distR="114300">
            <wp:extent cx="2333625" cy="1475740"/>
            <wp:effectExtent l="0" t="0" r="36" b="41"/>
            <wp:docPr id="7" name="图片 1"/>
            <wp:cNvGraphicFramePr>
              <a:graphicFrameLocks noChangeAspect="1"/>
            </wp:cNvGraphicFramePr>
            <a:graphic>
              <a:graphicData uri="http://schemas.openxmlformats.org/drawingml/2006/picture">
                <pic:pic>
                  <pic:nvPicPr>
                    <pic:cNvPr id="9" name="图片 1 9"/>
                    <pic:cNvPicPr/>
                  </pic:nvPicPr>
                  <pic:blipFill>
                    <a:blip r:embed="rId5"/>
                    <a:stretch>
                      <a:fillRect/>
                    </a:stretch>
                  </pic:blipFill>
                  <pic:spPr>
                    <a:xfrm rot="0">
                      <a:off x="0" y="0"/>
                      <a:ext cx="2333625" cy="1475740"/>
                    </a:xfrm>
                    <a:prstGeom prst="rect"/>
                    <a:noFill/>
                    <a:ln w="9525" cmpd="sng" cap="flat">
                      <a:noFill/>
                      <a:prstDash val="solid"/>
                      <a:round/>
                    </a:ln>
                  </pic:spPr>
                </pic:pic>
              </a:graphicData>
            </a:graphic>
          </wp:inline>
        </w:drawing>
      </w:r>
    </w:p>
    <w:p>
      <w:pPr>
        <w:spacing w:line="600" w:lineRule="exact"/>
        <w:ind w:firstLineChars="200" w:firstLine="640"/>
        <w:rPr>
          <w:rFonts w:ascii="黑体" w:hint="eastAsia"/>
          <w:sz w:val="32"/>
          <w:szCs w:val="32"/>
        </w:rPr>
      </w:pPr>
      <w:r>
        <w:rPr>
          <w:rFonts w:ascii="黑体" w:hint="eastAsia"/>
          <w:sz w:val="32"/>
          <w:szCs w:val="32"/>
        </w:rPr>
        <w:t>四、</w:t>
      </w:r>
      <w:r>
        <w:rPr>
          <w:rFonts w:hint="eastAsia"/>
          <w:sz w:val="32"/>
          <w:szCs w:val="32"/>
        </w:rPr>
        <w:t>财政拨款收入支出决算总体情况说明</w:t>
      </w:r>
      <w:r>
        <w:rPr>
          <w:rFonts w:ascii="黑体" w:hint="eastAsia"/>
          <w:sz w:val="32"/>
          <w:szCs w:val="32"/>
        </w:rPr>
        <w:t>情况</w:t>
      </w:r>
    </w:p>
    <w:p>
      <w:pPr>
        <w:spacing w:line="600" w:lineRule="exact"/>
        <w:ind w:firstLineChars="196" w:firstLine="627"/>
        <w:rPr>
          <w:rFonts w:ascii="黑体" w:hint="eastAsia"/>
          <w:color w:val="000000"/>
          <w:sz w:val="32"/>
          <w:szCs w:val="32"/>
        </w:rPr>
      </w:pPr>
      <w:r>
        <w:rPr>
          <w:rFonts w:ascii="仿宋_GB2312" w:eastAsia="仿宋_GB2312" w:hint="eastAsia"/>
          <w:b w:val="0"/>
          <w:color w:val="000000"/>
          <w:sz w:val="32"/>
          <w:szCs w:val="32"/>
        </w:rPr>
        <w:t>2022年度财政拨款收支总决算</w:t>
      </w:r>
      <w:r>
        <w:rPr>
          <w:rFonts w:ascii="仿宋_GB2312" w:eastAsia="仿宋_GB2312" w:hint="eastAsia"/>
          <w:b w:val="0"/>
          <w:sz w:val="32"/>
        </w:rPr>
        <w:t>1255.83</w:t>
      </w:r>
      <w:r>
        <w:rPr>
          <w:rFonts w:ascii="仿宋_GB2312" w:eastAsia="仿宋_GB2312" w:hint="eastAsia"/>
          <w:b w:val="0"/>
          <w:color w:val="000000"/>
          <w:sz w:val="32"/>
          <w:szCs w:val="32"/>
        </w:rPr>
        <w:t>万元，与2021年度财政拨款收支总决算</w:t>
      </w:r>
      <w:r>
        <w:rPr>
          <w:rFonts w:ascii="仿宋_GB2312" w:eastAsia="仿宋_GB2312" w:hint="eastAsia"/>
          <w:b w:val="0"/>
          <w:sz w:val="32"/>
        </w:rPr>
        <w:t>1285.84</w:t>
      </w:r>
      <w:r>
        <w:rPr>
          <w:rFonts w:ascii="仿宋_GB2312" w:eastAsia="仿宋_GB2312" w:hint="eastAsia"/>
          <w:b w:val="0"/>
          <w:color w:val="000000"/>
          <w:sz w:val="32"/>
          <w:szCs w:val="32"/>
        </w:rPr>
        <w:t>万元相比，减少30.01万元，下降2.34%，减少的主要原因是减少了财政项目支出等。</w:t>
      </w:r>
    </w:p>
    <w:p>
      <w:pPr>
        <w:jc w:val="center"/>
      </w:pPr>
      <w:r>
        <w:drawing>
          <wp:inline distT="0" distB="0" distL="114300" distR="114300">
            <wp:extent cx="2800350" cy="1685925"/>
            <wp:effectExtent l="0" t="0" r="43" b="26"/>
            <wp:docPr id="10" name="图片 2"/>
            <wp:cNvGraphicFramePr>
              <a:graphicFrameLocks noChangeAspect="1"/>
            </wp:cNvGraphicFramePr>
            <a:graphic>
              <a:graphicData uri="http://schemas.openxmlformats.org/drawingml/2006/picture">
                <pic:pic>
                  <pic:nvPicPr>
                    <pic:cNvPr id="12" name="图片 2 12"/>
                    <pic:cNvPicPr/>
                  </pic:nvPicPr>
                  <pic:blipFill>
                    <a:blip r:embed="rId6"/>
                    <a:stretch>
                      <a:fillRect/>
                    </a:stretch>
                  </pic:blipFill>
                  <pic:spPr>
                    <a:xfrm rot="0">
                      <a:off x="0" y="0"/>
                      <a:ext cx="2800350" cy="1685925"/>
                    </a:xfrm>
                    <a:prstGeom prst="rect"/>
                    <a:noFill/>
                    <a:ln w="9525" cmpd="sng" cap="flat">
                      <a:noFill/>
                      <a:prstDash val="solid"/>
                      <a:round/>
                    </a:ln>
                  </pic:spPr>
                </pic:pic>
              </a:graphicData>
            </a:graphic>
          </wp:inline>
        </w:drawing>
      </w:r>
    </w:p>
    <w:p>
      <w:pPr>
        <w:numPr>
          <w:ilvl w:val="0"/>
          <w:numId w:val="1"/>
        </w:numPr>
        <w:ind w:left="0" w:firstLineChars="200" w:firstLine="640"/>
        <w:jc w:val="both"/>
        <w:rPr>
          <w:rFonts w:ascii="黑体" w:hint="eastAsia"/>
          <w:color w:val="000000"/>
          <w:sz w:val="32"/>
          <w:szCs w:val="32"/>
        </w:rPr>
      </w:pPr>
      <w:r>
        <w:rPr>
          <w:rFonts w:ascii="黑体" w:hint="eastAsia"/>
          <w:color w:val="000000"/>
          <w:sz w:val="32"/>
          <w:szCs w:val="32"/>
        </w:rPr>
        <w:t>一般公共预算财政拨款支出决算情况说明</w:t>
      </w:r>
    </w:p>
    <w:p>
      <w:pPr>
        <w:ind w:left="0" w:firstLineChars="200" w:firstLine="640"/>
        <w:jc w:val="both"/>
        <w:rPr>
          <w:rFonts w:ascii="仿宋_GB2312" w:eastAsia="仿宋_GB2312" w:hint="eastAsia"/>
          <w:b/>
          <w:bCs/>
          <w:sz w:val="32"/>
          <w:szCs w:val="32"/>
        </w:rPr>
      </w:pPr>
      <w:r>
        <w:rPr>
          <w:rFonts w:ascii="仿宋_GB2312" w:eastAsia="仿宋_GB2312" w:hint="eastAsia"/>
          <w:b/>
          <w:bCs/>
          <w:sz w:val="32"/>
          <w:szCs w:val="32"/>
        </w:rPr>
        <w:t>（一）一般公共预算财政拨款支出决算总体情况</w:t>
      </w:r>
    </w:p>
    <w:p>
      <w:pPr>
        <w:spacing w:line="600" w:lineRule="exact"/>
        <w:ind w:firstLineChars="200" w:firstLine="640"/>
        <w:rPr>
          <w:rFonts w:ascii="仿宋_GB2312" w:eastAsia="仿宋_GB2312" w:hint="eastAsia"/>
          <w:b w:val="0"/>
          <w:sz w:val="32"/>
          <w:szCs w:val="32"/>
        </w:rPr>
      </w:pPr>
      <w:r>
        <w:rPr>
          <w:rFonts w:ascii="仿宋_GB2312" w:eastAsia="仿宋_GB2312" w:hint="eastAsia"/>
          <w:b w:val="0"/>
          <w:sz w:val="32"/>
          <w:szCs w:val="32"/>
        </w:rPr>
        <w:t>2022年度一般公共预算财政拨款支出1255.83万元，占本年支出合计的100%。与2021年1285.84万元相比，</w:t>
      </w:r>
      <w:r>
        <w:rPr>
          <w:rFonts w:ascii="仿宋_GB2312" w:eastAsia="仿宋_GB2312" w:hint="eastAsia"/>
          <w:b w:val="0"/>
          <w:color w:val="000000"/>
          <w:sz w:val="32"/>
          <w:szCs w:val="32"/>
        </w:rPr>
        <w:t>减少30.01万元，下降2.34%</w:t>
      </w:r>
      <w:r>
        <w:rPr>
          <w:rFonts w:ascii="仿宋_GB2312" w:eastAsia="仿宋_GB2312" w:hint="eastAsia"/>
          <w:b w:val="0"/>
          <w:sz w:val="32"/>
          <w:szCs w:val="32"/>
        </w:rPr>
        <w:t>。</w:t>
      </w:r>
    </w:p>
    <w:p>
      <w:pPr>
        <w:spacing w:line="600" w:lineRule="exact"/>
        <w:ind w:firstLineChars="200" w:firstLine="880"/>
        <w:rPr>
          <w:rFonts w:ascii="仿宋_GB2312" w:eastAsia="仿宋_GB2312" w:hint="eastAsia"/>
          <w:b w:val="0"/>
          <w:color w:val="FF0000"/>
          <w:sz w:val="32"/>
          <w:szCs w:val="32"/>
        </w:rPr>
      </w:pPr>
      <w:r>
        <w:drawing>
          <wp:anchor distT="0" distB="0" distL="114300" distR="114300" simplePos="0" relativeHeight="4" behindDoc="1" locked="0" layoutInCell="1" hidden="0" allowOverlap="1">
            <wp:simplePos x="0" y="0"/>
            <wp:positionH relativeFrom="column">
              <wp:posOffset>1924685</wp:posOffset>
            </wp:positionH>
            <wp:positionV relativeFrom="paragraph">
              <wp:posOffset>30480</wp:posOffset>
            </wp:positionV>
            <wp:extent cx="1619249" cy="1352550"/>
            <wp:effectExtent l="0" t="0" r="0" b="0"/>
            <wp:wrapNone/>
            <wp:docPr id="13" name="图片 449"/>
            <wp:cNvGraphicFramePr>
              <a:graphicFrameLocks noChangeAspect="1"/>
            </wp:cNvGraphicFramePr>
            <a:graphic>
              <a:graphicData uri="http://schemas.openxmlformats.org/drawingml/2006/picture">
                <pic:pic>
                  <pic:nvPicPr>
                    <pic:cNvPr id="15" name="图片 449 15"/>
                    <pic:cNvPicPr/>
                  </pic:nvPicPr>
                  <pic:blipFill>
                    <a:blip r:embed="rId7"/>
                    <a:stretch>
                      <a:fillRect/>
                    </a:stretch>
                  </pic:blipFill>
                  <pic:spPr>
                    <a:xfrm rot="0">
                      <a:off x="0" y="0"/>
                      <a:ext cx="1619249" cy="1352550"/>
                    </a:xfrm>
                    <a:prstGeom prst="rect"/>
                    <a:noFill/>
                    <a:ln w="9525" cmpd="sng" cap="flat">
                      <a:noFill/>
                      <a:prstDash val="solid"/>
                      <a:round/>
                    </a:ln>
                  </pic:spPr>
                </pic:pic>
              </a:graphicData>
            </a:graphic>
          </wp:anchor>
        </w:drawing>
      </w:r>
    </w:p>
    <w:p>
      <w:pPr>
        <w:spacing w:line="600" w:lineRule="exact"/>
        <w:ind w:firstLineChars="200" w:firstLine="640"/>
        <w:rPr>
          <w:rFonts w:ascii="仿宋_GB2312" w:eastAsia="仿宋_GB2312" w:hint="eastAsia"/>
          <w:b w:val="0"/>
          <w:color w:val="FF0000"/>
          <w:sz w:val="32"/>
          <w:szCs w:val="32"/>
        </w:rPr>
      </w:pPr>
    </w:p>
    <w:p>
      <w:pPr>
        <w:spacing w:line="600" w:lineRule="exact"/>
        <w:rPr>
          <w:rFonts w:hint="eastAsia"/>
          <w:color w:val="FF0000"/>
        </w:rPr>
      </w:pPr>
      <w:r>
        <w:rPr>
          <w:rFonts w:hint="eastAsia"/>
          <w:color w:val="FF0000"/>
        </w:rPr>
        <w:t xml:space="preserve">            </w:t>
      </w:r>
    </w:p>
    <w:p>
      <w:pPr>
        <w:spacing w:line="600" w:lineRule="exact"/>
        <w:rPr>
          <w:rFonts w:hint="eastAsia"/>
          <w:color w:val="FF0000"/>
        </w:rPr>
      </w:pPr>
    </w:p>
    <w:p>
      <w:pPr>
        <w:spacing w:line="600" w:lineRule="exact"/>
        <w:ind w:firstLineChars="200" w:firstLine="640"/>
        <w:rPr>
          <w:rFonts w:hint="eastAsia"/>
        </w:rPr>
      </w:pPr>
      <w:r>
        <w:rPr>
          <w:rFonts w:ascii="仿宋_GB2312" w:eastAsia="仿宋_GB2312" w:hint="eastAsia"/>
          <w:sz w:val="32"/>
          <w:szCs w:val="32"/>
        </w:rPr>
        <w:t>（二）一般公共预算财政拨款支出决算结构情况</w:t>
      </w:r>
    </w:p>
    <w:p>
      <w:pPr>
        <w:spacing w:line="600" w:lineRule="exact"/>
        <w:ind w:firstLineChars="200" w:firstLine="640"/>
        <w:rPr>
          <w:rFonts w:ascii="仿宋_GB2312" w:eastAsia="仿宋_GB2312" w:hint="eastAsia"/>
          <w:b w:val="0"/>
          <w:sz w:val="32"/>
          <w:szCs w:val="32"/>
        </w:rPr>
      </w:pPr>
      <w:r>
        <w:rPr>
          <w:rFonts w:ascii="仿宋_GB2312" w:eastAsia="仿宋_GB2312" w:hint="eastAsia"/>
          <w:b w:val="0"/>
          <w:sz w:val="32"/>
          <w:szCs w:val="32"/>
        </w:rPr>
        <w:t>2022年一般公共预算财政拨款支出1255.83万元，主要用于以下方面:</w:t>
      </w:r>
      <w:r>
        <w:rPr>
          <w:rFonts w:ascii="仿宋_GB2312" w:eastAsia="仿宋_GB2312" w:cs="仿宋_GB2312" w:hint="eastAsia"/>
          <w:b w:val="0"/>
          <w:sz w:val="28"/>
          <w:szCs w:val="28"/>
        </w:rPr>
        <w:t xml:space="preserve"> ：</w:t>
      </w:r>
      <w:r>
        <w:rPr>
          <w:rFonts w:ascii="仿宋_GB2312" w:eastAsia="仿宋_GB2312" w:cs="宋体" w:hint="eastAsia"/>
          <w:b w:val="0"/>
          <w:sz w:val="28"/>
          <w:szCs w:val="28"/>
        </w:rPr>
        <w:t>一般公共服务支出1089.94万元，占86%；卫生健康支出35.76万元，占3%；住房保障支出47.63万元，占4%；社会保障和就业支出82.50万元，占7%。</w:t>
      </w:r>
    </w:p>
    <w:p>
      <w:pPr>
        <w:snapToGrid w:val="0"/>
        <w:spacing w:line="360" w:lineRule="auto"/>
        <w:jc w:val="center"/>
      </w:pPr>
      <w:r>
        <w:drawing>
          <wp:inline distT="0" distB="0" distL="114300" distR="114300">
            <wp:extent cx="2569210" cy="1552575"/>
            <wp:effectExtent l="0" t="0" r="24" b="24"/>
            <wp:docPr id="16" name="图片 3"/>
            <wp:cNvGraphicFramePr>
              <a:graphicFrameLocks noChangeAspect="1"/>
            </wp:cNvGraphicFramePr>
            <a:graphic>
              <a:graphicData uri="http://schemas.openxmlformats.org/drawingml/2006/picture">
                <pic:pic>
                  <pic:nvPicPr>
                    <pic:cNvPr id="18" name="图片 3 18"/>
                    <pic:cNvPicPr/>
                  </pic:nvPicPr>
                  <pic:blipFill>
                    <a:blip r:embed="rId8"/>
                    <a:stretch>
                      <a:fillRect/>
                    </a:stretch>
                  </pic:blipFill>
                  <pic:spPr>
                    <a:xfrm rot="0">
                      <a:off x="0" y="0"/>
                      <a:ext cx="2569210" cy="1552575"/>
                    </a:xfrm>
                    <a:prstGeom prst="rect"/>
                    <a:noFill/>
                    <a:ln w="9525" cmpd="sng" cap="flat">
                      <a:noFill/>
                      <a:prstDash val="solid"/>
                      <a:round/>
                    </a:ln>
                  </pic:spPr>
                </pic:pic>
              </a:graphicData>
            </a:graphic>
          </wp:inline>
        </w:drawing>
      </w:r>
    </w:p>
    <w:p>
      <w:pPr>
        <w:ind w:firstLineChars="200" w:firstLine="640"/>
      </w:pPr>
      <w:r>
        <w:rPr>
          <w:rFonts w:ascii="仿宋" w:eastAsia="仿宋" w:hint="eastAsia"/>
          <w:sz w:val="32"/>
          <w:szCs w:val="32"/>
        </w:rPr>
        <w:t>（三）一般公共预算财政拨款支出决算具体情况</w:t>
      </w:r>
    </w:p>
    <w:p>
      <w:pPr>
        <w:ind w:firstLineChars="250" w:firstLine="800"/>
        <w:rPr>
          <w:rFonts w:ascii="仿宋_GB2312" w:eastAsia="仿宋_GB2312" w:hint="eastAsia"/>
          <w:b w:val="0"/>
          <w:color w:val="000000"/>
          <w:sz w:val="32"/>
          <w:szCs w:val="32"/>
        </w:rPr>
      </w:pPr>
      <w:r>
        <w:rPr>
          <w:rFonts w:ascii="仿宋_GB2312" w:eastAsia="仿宋_GB2312" w:hint="eastAsia"/>
          <w:b w:val="0"/>
          <w:sz w:val="32"/>
          <w:szCs w:val="32"/>
        </w:rPr>
        <w:t>1.一般</w:t>
      </w:r>
      <w:r>
        <w:rPr>
          <w:rFonts w:ascii="仿宋_GB2312" w:eastAsia="仿宋_GB2312" w:hint="eastAsia"/>
          <w:b w:val="0"/>
          <w:bCs/>
          <w:sz w:val="32"/>
          <w:szCs w:val="32"/>
        </w:rPr>
        <w:t>公共服务支出2010601行政运行</w:t>
      </w:r>
      <w:r>
        <w:rPr>
          <w:rFonts w:ascii="仿宋_GB2312" w:eastAsia="仿宋_GB2312" w:hint="eastAsia"/>
          <w:b w:val="0"/>
          <w:sz w:val="32"/>
          <w:szCs w:val="32"/>
        </w:rPr>
        <w:t>:2022年决算数为</w:t>
      </w:r>
      <w:r>
        <w:rPr>
          <w:rFonts w:ascii="仿宋_GB2312" w:eastAsia="仿宋_GB2312" w:hint="eastAsia"/>
          <w:b w:val="0"/>
          <w:color w:val="000000"/>
          <w:sz w:val="32"/>
          <w:szCs w:val="32"/>
        </w:rPr>
        <w:t>578.23万元，完成预算100%。</w:t>
      </w:r>
    </w:p>
    <w:p>
      <w:pPr>
        <w:ind w:firstLineChars="250" w:firstLine="800"/>
        <w:rPr>
          <w:rFonts w:ascii="仿宋_GB2312" w:eastAsia="仿宋_GB2312" w:hint="eastAsia"/>
          <w:b w:val="0"/>
          <w:color w:val="000000"/>
          <w:sz w:val="32"/>
          <w:szCs w:val="32"/>
        </w:rPr>
      </w:pPr>
      <w:r>
        <w:rPr>
          <w:rStyle w:val="20"/>
          <w:rFonts w:ascii="仿宋_GB2312" w:eastAsia="仿宋_GB2312" w:hint="eastAsia"/>
          <w:b w:val="0"/>
          <w:bCs w:val="0"/>
          <w:color w:val="000000"/>
          <w:sz w:val="32"/>
          <w:szCs w:val="32"/>
        </w:rPr>
        <w:t>2.</w:t>
      </w:r>
      <w:r>
        <w:rPr>
          <w:rStyle w:val="20"/>
          <w:rFonts w:ascii="仿宋_GB2312" w:eastAsia="仿宋_GB2312" w:hint="eastAsia"/>
          <w:b w:val="0"/>
          <w:color w:val="000000"/>
          <w:sz w:val="32"/>
          <w:szCs w:val="32"/>
        </w:rPr>
        <w:t>社会保障和就业支出：2022年决算数82.50万元</w:t>
      </w:r>
      <w:r>
        <w:rPr>
          <w:rStyle w:val="20"/>
          <w:rFonts w:ascii="仿宋_GB2312" w:eastAsia="仿宋_GB2312" w:hint="eastAsia"/>
          <w:b w:val="0"/>
          <w:bCs w:val="0"/>
          <w:color w:val="000000"/>
          <w:sz w:val="32"/>
          <w:szCs w:val="32"/>
        </w:rPr>
        <w:t>，其中2080505机关事业单位养老保险缴费支出55万元；2080506机关事业单位职业年金缴费支出27.5万元，</w:t>
      </w:r>
      <w:r>
        <w:rPr>
          <w:rFonts w:ascii="仿宋_GB2312" w:eastAsia="仿宋_GB2312" w:hint="eastAsia"/>
          <w:b w:val="0"/>
          <w:color w:val="000000"/>
          <w:sz w:val="32"/>
          <w:szCs w:val="32"/>
        </w:rPr>
        <w:t>完成预算100%。</w:t>
      </w:r>
    </w:p>
    <w:p>
      <w:pPr>
        <w:ind w:firstLineChars="200" w:firstLine="640"/>
        <w:rPr>
          <w:rFonts w:ascii="仿宋_GB2312" w:eastAsia="仿宋_GB2312" w:hint="eastAsia"/>
          <w:b w:val="0"/>
          <w:sz w:val="32"/>
          <w:szCs w:val="32"/>
        </w:rPr>
      </w:pPr>
      <w:r>
        <w:rPr>
          <w:rStyle w:val="20"/>
          <w:rFonts w:ascii="仿宋_GB2312" w:eastAsia="仿宋_GB2312" w:hint="eastAsia"/>
          <w:b w:val="0"/>
          <w:color w:val="000000"/>
          <w:sz w:val="32"/>
          <w:szCs w:val="32"/>
        </w:rPr>
        <w:t>3.住房保障支出2210201</w:t>
      </w:r>
      <w:r>
        <w:rPr>
          <w:rFonts w:ascii="仿宋_GB2312" w:eastAsia="仿宋_GB2312" w:hint="eastAsia"/>
          <w:b w:val="0"/>
          <w:color w:val="000000"/>
          <w:sz w:val="32"/>
          <w:szCs w:val="32"/>
        </w:rPr>
        <w:t>住房公积金</w:t>
      </w:r>
      <w:r>
        <w:rPr>
          <w:rStyle w:val="20"/>
          <w:rFonts w:ascii="仿宋_GB2312" w:eastAsia="仿宋_GB2312" w:hint="eastAsia"/>
          <w:b w:val="0"/>
          <w:color w:val="000000"/>
          <w:sz w:val="32"/>
          <w:szCs w:val="32"/>
        </w:rPr>
        <w:t>:</w:t>
      </w:r>
      <w:r>
        <w:rPr>
          <w:rFonts w:ascii="仿宋_GB2312" w:eastAsia="仿宋_GB2312" w:hint="eastAsia"/>
          <w:b w:val="0"/>
          <w:color w:val="000000"/>
          <w:sz w:val="32"/>
          <w:szCs w:val="32"/>
        </w:rPr>
        <w:t>2022年决算数为47.63万元，完成预算100%。</w:t>
      </w:r>
    </w:p>
    <w:p>
      <w:pPr>
        <w:ind w:firstLineChars="200" w:firstLine="640"/>
        <w:rPr>
          <w:rFonts w:ascii="仿宋_GB2312" w:eastAsia="仿宋_GB2312" w:hint="eastAsia"/>
          <w:b w:val="0"/>
          <w:color w:val="000000"/>
          <w:sz w:val="32"/>
          <w:szCs w:val="32"/>
        </w:rPr>
      </w:pPr>
      <w:r>
        <w:rPr>
          <w:rStyle w:val="20"/>
          <w:rFonts w:ascii="仿宋_GB2312" w:eastAsia="仿宋_GB2312" w:hint="eastAsia"/>
          <w:b w:val="0"/>
          <w:color w:val="000000"/>
          <w:sz w:val="32"/>
          <w:szCs w:val="32"/>
        </w:rPr>
        <w:t>4.卫生健康支出：</w:t>
      </w:r>
      <w:r>
        <w:rPr>
          <w:rFonts w:ascii="仿宋_GB2312" w:eastAsia="仿宋_GB2312" w:hint="eastAsia"/>
          <w:b w:val="0"/>
          <w:color w:val="000000"/>
          <w:sz w:val="32"/>
          <w:szCs w:val="32"/>
        </w:rPr>
        <w:t>2022年决算数为35.76万元，其中</w:t>
      </w:r>
      <w:r>
        <w:rPr>
          <w:rStyle w:val="20"/>
          <w:rFonts w:ascii="仿宋_GB2312" w:eastAsia="仿宋_GB2312" w:hint="eastAsia"/>
          <w:b w:val="0"/>
          <w:color w:val="000000"/>
          <w:sz w:val="32"/>
          <w:szCs w:val="32"/>
        </w:rPr>
        <w:t>2101101行政单位医疗26.15万元；2101103公务员</w:t>
      </w:r>
      <w:r>
        <w:rPr>
          <w:rStyle w:val="20"/>
          <w:rFonts w:ascii="仿宋_GB2312" w:eastAsia="仿宋_GB2312" w:cs="仿宋_GB2312" w:hint="eastAsia"/>
          <w:b w:val="0"/>
          <w:color w:val="000000"/>
          <w:sz w:val="32"/>
          <w:szCs w:val="32"/>
        </w:rPr>
        <w:t>医疗补助9.61万元</w:t>
      </w:r>
      <w:r>
        <w:rPr>
          <w:rFonts w:ascii="仿宋_GB2312" w:eastAsia="仿宋_GB2312" w:hint="eastAsia"/>
          <w:b w:val="0"/>
          <w:color w:val="000000"/>
          <w:sz w:val="32"/>
          <w:szCs w:val="32"/>
        </w:rPr>
        <w:t>，完成预算100%。</w:t>
      </w:r>
    </w:p>
    <w:p>
      <w:pPr>
        <w:spacing w:line="600" w:lineRule="exact"/>
        <w:ind w:firstLineChars="200" w:firstLine="640"/>
        <w:rPr>
          <w:rFonts w:ascii="仿宋_GB2312" w:eastAsia="仿宋_GB2312" w:hint="eastAsia"/>
          <w:b w:val="0"/>
          <w:sz w:val="32"/>
        </w:rPr>
      </w:pPr>
      <w:r>
        <w:rPr>
          <w:rFonts w:ascii="仿宋_GB2312" w:eastAsia="仿宋_GB2312" w:hint="eastAsia"/>
          <w:b w:val="0"/>
          <w:sz w:val="32"/>
          <w:szCs w:val="32"/>
        </w:rPr>
        <w:t>5. 2010699其他财政事务支出154.60</w:t>
      </w:r>
      <w:r>
        <w:rPr>
          <w:rFonts w:ascii="仿宋_GB2312" w:eastAsia="仿宋_GB2312" w:cs="宋体" w:hint="eastAsia"/>
          <w:b w:val="0"/>
          <w:sz w:val="28"/>
          <w:szCs w:val="28"/>
        </w:rPr>
        <w:t>万元</w:t>
      </w:r>
      <w:r>
        <w:rPr>
          <w:rFonts w:ascii="仿宋_GB2312" w:eastAsia="仿宋_GB2312" w:hint="eastAsia"/>
          <w:b w:val="0"/>
          <w:sz w:val="32"/>
          <w:szCs w:val="32"/>
        </w:rPr>
        <w:t>，委托业务费及信息网络费用等</w:t>
      </w:r>
      <w:r>
        <w:rPr>
          <w:rFonts w:ascii="仿宋_GB2312" w:eastAsia="仿宋_GB2312" w:hint="eastAsia"/>
          <w:b w:val="0"/>
          <w:sz w:val="32"/>
        </w:rPr>
        <w:t>。</w:t>
      </w:r>
    </w:p>
    <w:p>
      <w:pPr>
        <w:spacing w:line="600" w:lineRule="exact"/>
        <w:ind w:firstLineChars="200" w:firstLine="640"/>
        <w:rPr>
          <w:rFonts w:ascii="仿宋_GB2312" w:eastAsia="仿宋_GB2312" w:hint="eastAsia"/>
          <w:b w:val="0"/>
          <w:sz w:val="32"/>
          <w:szCs w:val="32"/>
        </w:rPr>
      </w:pPr>
      <w:r>
        <w:rPr>
          <w:rFonts w:ascii="仿宋_GB2312" w:eastAsia="仿宋_GB2312" w:hint="eastAsia"/>
          <w:b w:val="0"/>
          <w:sz w:val="32"/>
          <w:szCs w:val="32"/>
        </w:rPr>
        <w:t>6、2010608财政委托业务支出</w:t>
      </w:r>
      <w:r>
        <w:rPr>
          <w:rFonts w:ascii="仿宋_GB2312" w:eastAsia="仿宋_GB2312" w:cs="宋体" w:hint="eastAsia"/>
          <w:b w:val="0"/>
          <w:sz w:val="28"/>
          <w:szCs w:val="28"/>
        </w:rPr>
        <w:t>357.11万元</w:t>
      </w:r>
      <w:r>
        <w:rPr>
          <w:rFonts w:ascii="仿宋_GB2312" w:eastAsia="仿宋_GB2312" w:hint="eastAsia"/>
          <w:b w:val="0"/>
          <w:sz w:val="32"/>
          <w:szCs w:val="32"/>
        </w:rPr>
        <w:t>，主要是第三方绩效评价费用及全县财政评审费。</w:t>
      </w:r>
    </w:p>
    <w:p>
      <w:pPr>
        <w:spacing w:line="600" w:lineRule="exact"/>
        <w:ind w:firstLineChars="200" w:firstLine="640"/>
        <w:rPr>
          <w:rFonts w:ascii="黑体"/>
          <w:sz w:val="32"/>
          <w:szCs w:val="32"/>
        </w:rPr>
      </w:pPr>
      <w:r>
        <w:rPr>
          <w:rFonts w:ascii="黑体" w:hint="eastAsia"/>
          <w:sz w:val="32"/>
          <w:szCs w:val="32"/>
        </w:rPr>
        <w:t>六、一般公共预算财政拨款基本支出决算情况说明</w:t>
      </w:r>
    </w:p>
    <w:p>
      <w:pPr>
        <w:spacing w:line="600" w:lineRule="exact"/>
        <w:ind w:firstLine="645"/>
        <w:rPr>
          <w:rFonts w:ascii="仿宋_GB2312" w:eastAsia="仿宋_GB2312" w:hint="eastAsia"/>
          <w:b w:val="0"/>
          <w:sz w:val="32"/>
          <w:szCs w:val="32"/>
        </w:rPr>
      </w:pPr>
      <w:r>
        <w:rPr>
          <w:rFonts w:ascii="仿宋_GB2312" w:eastAsia="仿宋_GB2312" w:hint="eastAsia"/>
          <w:b w:val="0"/>
          <w:sz w:val="32"/>
          <w:szCs w:val="32"/>
        </w:rPr>
        <w:t>2022年一般公共预算财政拨款基本支出</w:t>
      </w:r>
      <w:r>
        <w:rPr>
          <w:rFonts w:ascii="仿宋_GB2312" w:eastAsia="仿宋_GB2312" w:cs="仿宋_GB2312" w:hint="eastAsia"/>
          <w:b w:val="0"/>
          <w:sz w:val="28"/>
          <w:szCs w:val="28"/>
        </w:rPr>
        <w:t>744.12</w:t>
      </w:r>
      <w:r>
        <w:rPr>
          <w:rFonts w:ascii="仿宋_GB2312" w:eastAsia="仿宋_GB2312" w:hint="eastAsia"/>
          <w:b w:val="0"/>
          <w:sz w:val="32"/>
          <w:szCs w:val="32"/>
        </w:rPr>
        <w:t>万元，其中：</w:t>
      </w:r>
    </w:p>
    <w:p>
      <w:pPr>
        <w:spacing w:line="600" w:lineRule="exact"/>
        <w:ind w:firstLine="645"/>
        <w:rPr>
          <w:rFonts w:ascii="仿宋_GB2312" w:eastAsia="仿宋_GB2312" w:hint="eastAsia"/>
          <w:b w:val="0"/>
          <w:sz w:val="32"/>
          <w:szCs w:val="32"/>
        </w:rPr>
      </w:pPr>
      <w:r>
        <w:rPr>
          <w:rFonts w:ascii="仿宋_GB2312" w:eastAsia="仿宋_GB2312" w:hint="eastAsia"/>
          <w:b w:val="0"/>
          <w:sz w:val="32"/>
          <w:szCs w:val="32"/>
        </w:rPr>
        <w:t>人员经费704.44万元，主要包括：基本工资135.50万元、津贴补贴175.28元、奖金107.38万元、机关事业单位基本养老保险缴费55万元、职业年金缴费27.5万元、其他社会保障缴费（工伤失业保险）5.06万元、生活补助21.34万元、奖励金72.83万元、住房公积金47.63万元、基本医疗缴费26.15万元、公务员医疗补助9.61万元，抚恤金21.16万元。</w:t>
        <w:br/>
        <w:t xml:space="preserve">    公用经费39.68万元，主要包括：办公费9.54万元、水费0.76万元、电费3.4万元、差旅费8.66万元、维修（护）费1.50万元、福利费4.02万元、公务用车运行维护费11.80万元。</w:t>
      </w:r>
    </w:p>
    <w:p>
      <w:pPr>
        <w:spacing w:line="600" w:lineRule="exact"/>
        <w:ind w:firstLineChars="200" w:firstLine="640"/>
        <w:rPr>
          <w:rFonts w:ascii="黑体"/>
          <w:color w:val="000000"/>
          <w:sz w:val="32"/>
          <w:szCs w:val="32"/>
        </w:rPr>
      </w:pPr>
      <w:r>
        <w:rPr>
          <w:rFonts w:ascii="黑体" w:hint="eastAsia"/>
          <w:color w:val="000000"/>
          <w:sz w:val="32"/>
          <w:szCs w:val="32"/>
        </w:rPr>
        <w:t>七、“三公”经费财政拨款支出决算情况说明</w:t>
      </w:r>
    </w:p>
    <w:p>
      <w:pPr>
        <w:spacing w:line="600" w:lineRule="exact"/>
        <w:ind w:firstLineChars="150" w:firstLine="480"/>
        <w:rPr>
          <w:rFonts w:ascii="仿宋_GB2312" w:eastAsia="仿宋_GB2312" w:hint="eastAsia"/>
          <w:bCs/>
          <w:color w:val="000000"/>
          <w:sz w:val="32"/>
          <w:szCs w:val="32"/>
        </w:rPr>
      </w:pPr>
      <w:r>
        <w:rPr>
          <w:rFonts w:ascii="仿宋_GB2312" w:hAnsi="仿宋_GB2312"/>
          <w:bCs/>
          <w:color w:val="000000"/>
          <w:sz w:val="32"/>
          <w:szCs w:val="32"/>
        </w:rPr>
        <w:t>（</w:t>
      </w:r>
      <w:r>
        <w:rPr>
          <w:rFonts w:ascii="仿宋_GB2312" w:eastAsia="仿宋_GB2312" w:hint="eastAsia"/>
          <w:bCs/>
          <w:color w:val="000000"/>
          <w:sz w:val="32"/>
          <w:szCs w:val="32"/>
        </w:rPr>
        <w:t>一）“三公”经费财政拨款支出决算总体情况说明</w:t>
      </w:r>
    </w:p>
    <w:p>
      <w:pPr>
        <w:spacing w:line="600" w:lineRule="exact"/>
        <w:ind w:firstLineChars="200" w:firstLine="640"/>
        <w:rPr>
          <w:rFonts w:ascii="仿宋_GB2312" w:eastAsia="仿宋_GB2312" w:hint="eastAsia"/>
          <w:b w:val="0"/>
          <w:color w:val="333333"/>
          <w:sz w:val="32"/>
          <w:szCs w:val="32"/>
        </w:rPr>
      </w:pPr>
      <w:r>
        <w:rPr>
          <w:rFonts w:ascii="仿宋_GB2312" w:eastAsia="仿宋_GB2312" w:hint="eastAsia"/>
          <w:b w:val="0"/>
          <w:color w:val="333333"/>
          <w:sz w:val="32"/>
          <w:szCs w:val="32"/>
        </w:rPr>
        <w:t>2022年度“三公”经费财政拨款支出决算为</w:t>
      </w:r>
      <w:r>
        <w:rPr>
          <w:rFonts w:ascii="仿宋_GB2312" w:eastAsia="仿宋_GB2312" w:hint="eastAsia"/>
          <w:b w:val="0"/>
          <w:sz w:val="32"/>
          <w:szCs w:val="32"/>
        </w:rPr>
        <w:t>11.80</w:t>
      </w:r>
      <w:r>
        <w:rPr>
          <w:rFonts w:ascii="仿宋_GB2312" w:eastAsia="仿宋_GB2312" w:hint="eastAsia"/>
          <w:b w:val="0"/>
          <w:color w:val="333333"/>
          <w:sz w:val="32"/>
          <w:szCs w:val="32"/>
        </w:rPr>
        <w:t>万元，完成预算100%，其中：因公出国（境）费支出决算为0万元；公务用车运行维护费支出决算为</w:t>
      </w:r>
      <w:r>
        <w:rPr>
          <w:rFonts w:ascii="仿宋_GB2312" w:eastAsia="仿宋_GB2312" w:hint="eastAsia"/>
          <w:b w:val="0"/>
          <w:sz w:val="32"/>
          <w:szCs w:val="32"/>
        </w:rPr>
        <w:t>11.80</w:t>
      </w:r>
      <w:r>
        <w:rPr>
          <w:rFonts w:ascii="仿宋_GB2312" w:eastAsia="仿宋_GB2312" w:hint="eastAsia"/>
          <w:b w:val="0"/>
          <w:color w:val="333333"/>
          <w:sz w:val="32"/>
          <w:szCs w:val="32"/>
        </w:rPr>
        <w:t>万元；公务接待费支出决算为0万元。</w:t>
      </w:r>
    </w:p>
    <w:p>
      <w:pPr>
        <w:spacing w:line="600" w:lineRule="exact"/>
        <w:ind w:firstLine="640"/>
        <w:rPr>
          <w:rFonts w:ascii="仿宋_GB2312" w:eastAsia="仿宋_GB2312" w:hint="eastAsia"/>
          <w:b w:val="0"/>
          <w:color w:val="333333"/>
          <w:sz w:val="32"/>
          <w:szCs w:val="32"/>
        </w:rPr>
      </w:pPr>
      <w:r>
        <w:rPr>
          <w:rFonts w:ascii="仿宋_GB2312" w:eastAsia="仿宋_GB2312" w:hint="eastAsia"/>
          <w:b w:val="0"/>
          <w:color w:val="333333"/>
          <w:sz w:val="32"/>
          <w:szCs w:val="32"/>
        </w:rPr>
        <w:t>2022年度“三公”经费财政拨款支出决算数11.80万元比2021年决算数8.64万元</w:t>
      </w:r>
      <w:r>
        <w:rPr>
          <w:rFonts w:ascii="仿宋_GB2312" w:eastAsia="仿宋_GB2312" w:hint="eastAsia"/>
          <w:b w:val="0"/>
          <w:color w:val="000000"/>
          <w:sz w:val="32"/>
          <w:szCs w:val="32"/>
        </w:rPr>
        <w:t>增加</w:t>
      </w:r>
      <w:r>
        <w:rPr>
          <w:rFonts w:ascii="仿宋_GB2312" w:eastAsia="仿宋_GB2312" w:hint="eastAsia"/>
          <w:b w:val="0"/>
          <w:color w:val="333333"/>
          <w:sz w:val="32"/>
          <w:szCs w:val="32"/>
        </w:rPr>
        <w:t>3.16万元，</w:t>
      </w:r>
      <w:r>
        <w:rPr>
          <w:rFonts w:ascii="仿宋_GB2312" w:eastAsia="仿宋_GB2312" w:hint="eastAsia"/>
          <w:b w:val="0"/>
          <w:color w:val="000000"/>
          <w:sz w:val="32"/>
          <w:szCs w:val="32"/>
        </w:rPr>
        <w:t>增长36.58%，增长原因一是车辆使用年限长，零件老化，维修时候多，二是下乡或出差多，油费消耗大。其中：</w:t>
      </w:r>
      <w:r>
        <w:rPr>
          <w:rFonts w:ascii="仿宋_GB2312" w:eastAsia="仿宋_GB2312" w:hint="eastAsia"/>
          <w:b w:val="0"/>
          <w:color w:val="333333"/>
          <w:sz w:val="32"/>
          <w:szCs w:val="32"/>
        </w:rPr>
        <w:t>因公出国（境）费支出0万元；公务用车运行维护费支出决算数</w:t>
      </w:r>
      <w:r>
        <w:rPr>
          <w:rFonts w:ascii="仿宋_GB2312" w:eastAsia="仿宋_GB2312" w:hint="eastAsia"/>
          <w:b w:val="0"/>
          <w:color w:val="000000"/>
          <w:sz w:val="32"/>
          <w:szCs w:val="32"/>
        </w:rPr>
        <w:t>11.80</w:t>
      </w:r>
      <w:r>
        <w:rPr>
          <w:rFonts w:ascii="仿宋_GB2312" w:eastAsia="仿宋_GB2312" w:hint="eastAsia"/>
          <w:b w:val="0"/>
          <w:color w:val="333333"/>
          <w:sz w:val="32"/>
          <w:szCs w:val="32"/>
        </w:rPr>
        <w:t>万元，公务用车运行维护费主要用于耗油量，单位车辆维修及保险费用等；公务接待费支出决算</w:t>
      </w:r>
      <w:r>
        <w:rPr>
          <w:rFonts w:ascii="仿宋_GB2312" w:eastAsia="仿宋_GB2312" w:hint="eastAsia"/>
          <w:b w:val="0"/>
          <w:color w:val="000000"/>
          <w:sz w:val="32"/>
          <w:szCs w:val="32"/>
        </w:rPr>
        <w:t>0</w:t>
      </w:r>
      <w:r>
        <w:rPr>
          <w:rFonts w:ascii="仿宋_GB2312" w:eastAsia="仿宋_GB2312" w:hint="eastAsia"/>
          <w:b w:val="0"/>
          <w:color w:val="333333"/>
          <w:sz w:val="32"/>
          <w:szCs w:val="32"/>
        </w:rPr>
        <w:t>万元。</w:t>
      </w:r>
    </w:p>
    <w:p>
      <w:pPr>
        <w:spacing w:line="600" w:lineRule="exact"/>
        <w:ind w:firstLine="640"/>
        <w:rPr>
          <w:rFonts w:ascii="仿宋_GB2312" w:eastAsia="仿宋_GB2312" w:hint="eastAsia"/>
          <w:sz w:val="32"/>
          <w:szCs w:val="32"/>
        </w:rPr>
      </w:pPr>
      <w:r>
        <w:rPr>
          <w:rFonts w:ascii="仿宋_GB2312" w:eastAsia="仿宋_GB2312" w:hint="eastAsia"/>
          <w:sz w:val="32"/>
          <w:szCs w:val="32"/>
        </w:rPr>
        <w:t>（二）“三公”经费财政拨款支出决算具体情况说明</w:t>
      </w:r>
    </w:p>
    <w:p>
      <w:pPr>
        <w:spacing w:line="600" w:lineRule="exact"/>
        <w:ind w:firstLineChars="200" w:firstLine="640"/>
        <w:rPr>
          <w:rFonts w:ascii="仿宋_GB2312" w:eastAsia="仿宋_GB2312" w:hint="eastAsia"/>
          <w:b w:val="0"/>
          <w:sz w:val="32"/>
          <w:szCs w:val="32"/>
        </w:rPr>
      </w:pPr>
      <w:r>
        <w:rPr>
          <w:rFonts w:ascii="仿宋_GB2312" w:eastAsia="仿宋_GB2312" w:hint="eastAsia"/>
          <w:b w:val="0"/>
          <w:sz w:val="32"/>
          <w:szCs w:val="32"/>
        </w:rPr>
        <w:t>2022年度“三公”经费财政拨款支出决算中，因公出国（境）费支出0万元；公务用车运行维护费支出决算11.80万元，公务接待费支出决算0万元，具体情况如下</w:t>
      </w:r>
    </w:p>
    <w:p>
      <w:pPr>
        <w:spacing w:line="600" w:lineRule="exact"/>
        <w:ind w:firstLine="640"/>
        <w:rPr>
          <w:rFonts w:ascii="仿宋_GB2312" w:eastAsia="仿宋_GB2312" w:hint="eastAsia"/>
          <w:b w:val="0"/>
          <w:sz w:val="32"/>
          <w:szCs w:val="32"/>
        </w:rPr>
      </w:pPr>
      <w:r>
        <w:drawing>
          <wp:anchor distT="0" distB="0" distL="114300" distR="114300" simplePos="0" relativeHeight="6" behindDoc="1" locked="0" layoutInCell="1" hidden="0" allowOverlap="1">
            <wp:simplePos x="0" y="0"/>
            <wp:positionH relativeFrom="column">
              <wp:posOffset>1924685</wp:posOffset>
            </wp:positionH>
            <wp:positionV relativeFrom="paragraph">
              <wp:posOffset>215265</wp:posOffset>
            </wp:positionV>
            <wp:extent cx="1762125" cy="1428750"/>
            <wp:effectExtent l="0" t="0" r="0" b="0"/>
            <wp:wrapNone/>
            <wp:docPr id="19" name="图片 450"/>
            <wp:cNvGraphicFramePr>
              <a:graphicFrameLocks noChangeAspect="1"/>
            </wp:cNvGraphicFramePr>
            <a:graphic>
              <a:graphicData uri="http://schemas.openxmlformats.org/drawingml/2006/picture">
                <pic:pic>
                  <pic:nvPicPr>
                    <pic:cNvPr id="21" name="图片 450 21"/>
                    <pic:cNvPicPr/>
                  </pic:nvPicPr>
                  <pic:blipFill>
                    <a:blip r:embed="rId9"/>
                    <a:stretch>
                      <a:fillRect/>
                    </a:stretch>
                  </pic:blipFill>
                  <pic:spPr>
                    <a:xfrm rot="0">
                      <a:off x="0" y="0"/>
                      <a:ext cx="1762125" cy="1428750"/>
                    </a:xfrm>
                    <a:prstGeom prst="rect"/>
                    <a:noFill/>
                    <a:ln w="9525" cmpd="sng" cap="flat">
                      <a:noFill/>
                      <a:prstDash val="solid"/>
                      <a:round/>
                    </a:ln>
                  </pic:spPr>
                </pic:pic>
              </a:graphicData>
            </a:graphic>
          </wp:anchor>
        </w:drawing>
      </w:r>
    </w:p>
    <w:p>
      <w:pPr>
        <w:spacing w:line="600" w:lineRule="exact"/>
        <w:ind w:firstLine="645"/>
        <w:jc w:val="center"/>
        <w:rPr>
          <w:rFonts w:ascii="仿宋_GB2312" w:eastAsia="仿宋_GB2312" w:hint="eastAsia"/>
          <w:b w:val="0"/>
          <w:color w:val="000000"/>
          <w:sz w:val="32"/>
          <w:szCs w:val="32"/>
        </w:rPr>
      </w:pPr>
    </w:p>
    <w:p>
      <w:pPr>
        <w:spacing w:line="600" w:lineRule="exact"/>
        <w:ind w:firstLine="645"/>
        <w:jc w:val="center"/>
        <w:rPr>
          <w:rFonts w:ascii="仿宋_GB2312" w:eastAsia="仿宋_GB2312" w:hint="eastAsia"/>
          <w:b w:val="0"/>
          <w:color w:val="000000"/>
          <w:sz w:val="32"/>
          <w:szCs w:val="32"/>
        </w:rPr>
      </w:pPr>
    </w:p>
    <w:p>
      <w:pPr>
        <w:spacing w:line="600" w:lineRule="exact"/>
        <w:ind w:firstLine="645"/>
        <w:jc w:val="center"/>
        <w:rPr>
          <w:rFonts w:ascii="仿宋_GB2312" w:eastAsia="仿宋_GB2312" w:hint="eastAsia"/>
          <w:b w:val="0"/>
          <w:color w:val="000000"/>
          <w:sz w:val="32"/>
          <w:szCs w:val="32"/>
        </w:rPr>
      </w:pPr>
    </w:p>
    <w:p>
      <w:pPr>
        <w:spacing w:line="600" w:lineRule="exact"/>
        <w:ind w:firstLineChars="196" w:firstLine="627"/>
        <w:rPr>
          <w:rFonts w:ascii="仿宋_GB2312" w:eastAsia="仿宋_GB2312" w:hint="eastAsia"/>
          <w:b w:val="0"/>
          <w:color w:val="000000"/>
          <w:sz w:val="32"/>
          <w:szCs w:val="32"/>
        </w:rPr>
      </w:pPr>
      <w:r>
        <w:rPr>
          <w:rFonts w:ascii="仿宋_GB2312" w:eastAsia="仿宋_GB2312" w:hint="eastAsia"/>
          <w:color w:val="000000"/>
          <w:sz w:val="32"/>
          <w:szCs w:val="32"/>
        </w:rPr>
        <w:t>1.因公出国（境）经费：</w:t>
      </w:r>
      <w:r>
        <w:rPr>
          <w:rFonts w:ascii="仿宋_GB2312" w:eastAsia="仿宋_GB2312"/>
          <w:b w:val="0"/>
          <w:color w:val="000000"/>
          <w:sz w:val="32"/>
          <w:szCs w:val="32"/>
        </w:rPr>
        <w:t>20</w:t>
      </w:r>
      <w:r>
        <w:rPr>
          <w:rFonts w:ascii="仿宋_GB2312" w:eastAsia="仿宋_GB2312" w:hint="eastAsia"/>
          <w:b w:val="0"/>
          <w:color w:val="000000"/>
          <w:sz w:val="32"/>
          <w:szCs w:val="32"/>
        </w:rPr>
        <w:t>22年因公出国（境）费0万元。</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2.公务用车购置及运行维护费</w:t>
      </w:r>
    </w:p>
    <w:p>
      <w:pPr>
        <w:spacing w:line="600" w:lineRule="exact"/>
        <w:ind w:firstLineChars="200" w:firstLine="640"/>
        <w:rPr>
          <w:rFonts w:ascii="仿宋_GB2312" w:eastAsia="仿宋_GB2312" w:hint="eastAsia"/>
          <w:b w:val="0"/>
          <w:color w:val="000000"/>
          <w:sz w:val="32"/>
          <w:szCs w:val="32"/>
        </w:rPr>
      </w:pPr>
      <w:r>
        <w:rPr>
          <w:rFonts w:ascii="仿宋_GB2312" w:eastAsia="仿宋_GB2312"/>
          <w:b w:val="0"/>
          <w:color w:val="000000"/>
          <w:sz w:val="32"/>
          <w:szCs w:val="32"/>
        </w:rPr>
        <w:t>20</w:t>
      </w:r>
      <w:r>
        <w:rPr>
          <w:rFonts w:ascii="仿宋_GB2312" w:eastAsia="仿宋_GB2312" w:hint="eastAsia"/>
          <w:b w:val="0"/>
          <w:color w:val="000000"/>
          <w:sz w:val="32"/>
          <w:szCs w:val="32"/>
        </w:rPr>
        <w:t>22年公务用车运行维护费支出11.80万元，主要用于开展各项财政工作所需的公务用车燃料费、维修费、过路费、保险费等支出。</w:t>
      </w:r>
    </w:p>
    <w:p>
      <w:pPr>
        <w:spacing w:line="600" w:lineRule="exact"/>
        <w:ind w:firstLineChars="200" w:firstLine="640"/>
        <w:rPr>
          <w:rFonts w:ascii="仿宋_GB2312" w:eastAsia="仿宋_GB2312"/>
          <w:b w:val="0"/>
          <w:color w:val="000000"/>
          <w:sz w:val="32"/>
          <w:szCs w:val="32"/>
        </w:rPr>
      </w:pPr>
      <w:r>
        <w:rPr>
          <w:rFonts w:ascii="仿宋_GB2312" w:eastAsia="仿宋_GB2312" w:hint="eastAsia"/>
          <w:b w:val="0"/>
          <w:color w:val="000000"/>
          <w:sz w:val="32"/>
          <w:szCs w:val="32"/>
        </w:rPr>
        <w:t>单位车辆保有量2辆。</w:t>
      </w:r>
    </w:p>
    <w:p>
      <w:pPr>
        <w:spacing w:line="600" w:lineRule="exact"/>
        <w:ind w:firstLineChars="200" w:firstLine="640"/>
        <w:rPr>
          <w:rFonts w:ascii="楷体_GB2312" w:eastAsia="楷体_GB2312"/>
          <w:color w:val="000000"/>
          <w:sz w:val="32"/>
          <w:szCs w:val="32"/>
        </w:rPr>
      </w:pPr>
      <w:r>
        <w:rPr>
          <w:rFonts w:ascii="仿宋_GB2312" w:eastAsia="仿宋_GB2312" w:hint="eastAsia"/>
          <w:color w:val="000000"/>
          <w:sz w:val="32"/>
          <w:szCs w:val="32"/>
        </w:rPr>
        <w:t>3.公务接待费</w:t>
      </w:r>
    </w:p>
    <w:p>
      <w:pPr>
        <w:spacing w:line="600" w:lineRule="exact"/>
        <w:ind w:firstLineChars="200" w:firstLine="640"/>
        <w:rPr>
          <w:rFonts w:ascii="仿宋_GB2312" w:eastAsia="仿宋_GB2312" w:hint="eastAsia"/>
          <w:b w:val="0"/>
          <w:color w:val="000000"/>
          <w:sz w:val="32"/>
          <w:szCs w:val="32"/>
        </w:rPr>
      </w:pPr>
      <w:r>
        <w:rPr>
          <w:rFonts w:ascii="仿宋_GB2312" w:eastAsia="仿宋_GB2312"/>
          <w:b w:val="0"/>
          <w:color w:val="000000"/>
          <w:sz w:val="32"/>
          <w:szCs w:val="32"/>
        </w:rPr>
        <w:t>20</w:t>
      </w:r>
      <w:r>
        <w:rPr>
          <w:rFonts w:ascii="仿宋_GB2312" w:eastAsia="仿宋_GB2312" w:hint="eastAsia"/>
          <w:b w:val="0"/>
          <w:color w:val="000000"/>
          <w:sz w:val="32"/>
          <w:szCs w:val="32"/>
        </w:rPr>
        <w:t>22年公务接待费0万元。</w:t>
      </w:r>
    </w:p>
    <w:p>
      <w:pPr>
        <w:spacing w:line="600" w:lineRule="exact"/>
        <w:ind w:firstLine="640"/>
        <w:rPr>
          <w:rFonts w:ascii="黑体" w:hint="eastAsia"/>
          <w:sz w:val="32"/>
          <w:szCs w:val="32"/>
        </w:rPr>
      </w:pPr>
      <w:r>
        <w:rPr>
          <w:rFonts w:ascii="黑体" w:hint="eastAsia"/>
          <w:sz w:val="32"/>
          <w:szCs w:val="32"/>
        </w:rPr>
        <w:t>八、政府性基金预算财政拨款支出决算情况说明</w:t>
      </w:r>
    </w:p>
    <w:p>
      <w:pPr>
        <w:spacing w:line="600" w:lineRule="exact"/>
        <w:ind w:firstLine="640"/>
        <w:rPr>
          <w:rFonts w:ascii="仿宋_GB2312" w:eastAsia="仿宋_GB2312" w:hint="eastAsia"/>
          <w:b w:val="0"/>
          <w:sz w:val="32"/>
          <w:szCs w:val="32"/>
        </w:rPr>
      </w:pPr>
      <w:r>
        <w:rPr>
          <w:rFonts w:ascii="仿宋_GB2312" w:eastAsia="仿宋_GB2312" w:hint="eastAsia"/>
          <w:b w:val="0"/>
          <w:sz w:val="32"/>
          <w:szCs w:val="32"/>
        </w:rPr>
        <w:t>2022年政府性基金预算财政拨款支出数0万元。</w:t>
      </w:r>
    </w:p>
    <w:p>
      <w:pPr>
        <w:numPr>
          <w:ilvl w:val="0"/>
          <w:numId w:val="2"/>
        </w:numPr>
        <w:spacing w:line="600" w:lineRule="exact"/>
        <w:ind w:left="0" w:firstLine="640"/>
        <w:rPr>
          <w:rFonts w:ascii="仿宋_GB2312" w:eastAsia="仿宋_GB2312" w:hint="eastAsia"/>
          <w:bCs/>
          <w:color w:val="000000"/>
          <w:sz w:val="32"/>
          <w:szCs w:val="32"/>
        </w:rPr>
      </w:pPr>
      <w:r>
        <w:rPr>
          <w:rFonts w:ascii="仿宋_GB2312" w:eastAsia="仿宋_GB2312" w:hint="eastAsia"/>
          <w:bCs/>
          <w:color w:val="000000"/>
          <w:sz w:val="32"/>
          <w:szCs w:val="32"/>
        </w:rPr>
        <w:t>国有资本经营预算支出决算情况说明</w:t>
      </w:r>
    </w:p>
    <w:p>
      <w:pPr>
        <w:spacing w:line="600" w:lineRule="exact"/>
        <w:ind w:firstLine="640"/>
        <w:rPr>
          <w:rFonts w:ascii="仿宋_GB2312" w:eastAsia="仿宋_GB2312" w:hint="eastAsia"/>
          <w:b w:val="0"/>
          <w:color w:val="000000"/>
          <w:sz w:val="32"/>
          <w:szCs w:val="32"/>
        </w:rPr>
      </w:pPr>
      <w:r>
        <w:rPr>
          <w:rFonts w:ascii="仿宋_GB2312" w:eastAsia="仿宋_GB2312" w:hint="eastAsia"/>
          <w:b w:val="0"/>
          <w:color w:val="000000"/>
          <w:sz w:val="32"/>
          <w:szCs w:val="32"/>
        </w:rPr>
        <w:t>2022年国有资本经营预算支出0元</w:t>
      </w:r>
    </w:p>
    <w:p>
      <w:pPr>
        <w:spacing w:line="600" w:lineRule="exact"/>
        <w:ind w:firstLineChars="200" w:firstLine="640"/>
        <w:rPr>
          <w:rFonts w:ascii="黑体"/>
          <w:color w:val="000000"/>
          <w:sz w:val="32"/>
          <w:szCs w:val="32"/>
        </w:rPr>
      </w:pPr>
      <w:r>
        <w:rPr>
          <w:rFonts w:ascii="黑体" w:hint="eastAsia"/>
          <w:color w:val="000000"/>
          <w:sz w:val="32"/>
          <w:szCs w:val="32"/>
        </w:rPr>
        <w:t>十、其他重要事项的情况说明</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（一）机关运行经费支出情况</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b w:val="0"/>
          <w:color w:val="000000"/>
          <w:sz w:val="32"/>
          <w:szCs w:val="32"/>
        </w:rPr>
        <w:t>2022年度，机关运行经费支</w:t>
      </w:r>
      <w:r>
        <w:rPr>
          <w:rFonts w:ascii="仿宋_GB2312" w:eastAsia="仿宋_GB2312" w:hint="eastAsia"/>
          <w:b w:val="0"/>
          <w:sz w:val="32"/>
          <w:szCs w:val="32"/>
        </w:rPr>
        <w:t>出 497.75万元，比2021</w:t>
      </w:r>
      <w:r>
        <w:rPr>
          <w:rFonts w:ascii="仿宋_GB2312" w:eastAsia="仿宋_GB2312" w:hint="eastAsia"/>
          <w:b w:val="0"/>
          <w:color w:val="000000"/>
          <w:sz w:val="32"/>
          <w:szCs w:val="32"/>
        </w:rPr>
        <w:t>年机关运行经费</w:t>
      </w:r>
      <w:r>
        <w:rPr>
          <w:rFonts w:ascii="仿宋_GB2312" w:eastAsia="仿宋_GB2312" w:hint="eastAsia"/>
          <w:b w:val="0"/>
          <w:sz w:val="32"/>
          <w:szCs w:val="32"/>
        </w:rPr>
        <w:t>316.89</w:t>
      </w:r>
      <w:r>
        <w:rPr>
          <w:rFonts w:ascii="仿宋_GB2312" w:eastAsia="仿宋_GB2312" w:hint="eastAsia"/>
          <w:b w:val="0"/>
          <w:color w:val="000000"/>
          <w:sz w:val="32"/>
          <w:szCs w:val="32"/>
        </w:rPr>
        <w:t>万元增加了180.86万元，增长57%。增加的主要原因是全县的绩效评价经费和财政评审委托业务费。</w:t>
      </w:r>
    </w:p>
    <w:p>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（二）政府采购支出情况</w:t>
      </w:r>
    </w:p>
    <w:p>
      <w:pPr>
        <w:spacing w:line="600" w:lineRule="exact"/>
        <w:ind w:firstLineChars="200" w:firstLine="640"/>
        <w:rPr>
          <w:rFonts w:ascii="仿宋_GB2312" w:eastAsia="仿宋_GB2312" w:hint="eastAsia"/>
          <w:b w:val="0"/>
          <w:sz w:val="32"/>
          <w:szCs w:val="32"/>
        </w:rPr>
      </w:pPr>
      <w:r>
        <w:rPr>
          <w:rFonts w:ascii="仿宋_GB2312" w:eastAsia="仿宋_GB2312" w:hint="eastAsia"/>
          <w:b w:val="0"/>
          <w:sz w:val="32"/>
          <w:szCs w:val="32"/>
        </w:rPr>
        <w:t>2022年度政府采购支出22.67万元，其中办公设备购置17.07万元，服务支出5.6万元。</w:t>
      </w:r>
      <w:r>
        <w:rPr>
          <w:rFonts w:ascii="仿宋_GB2312" w:eastAsia="仿宋_GB2312"/>
          <w:b w:val="0"/>
          <w:sz w:val="32"/>
          <w:szCs w:val="32"/>
        </w:rPr>
        <w:t>其中授予中小企业合同17.07万元.</w:t>
      </w:r>
    </w:p>
    <w:p>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（三）国有资产占有使用情况</w:t>
      </w:r>
    </w:p>
    <w:p>
      <w:pPr>
        <w:autoSpaceDE w:val="0"/>
        <w:autoSpaceDN w:val="0"/>
        <w:adjustRightInd w:val="0"/>
        <w:spacing w:line="600" w:lineRule="exact"/>
        <w:ind w:firstLineChars="200" w:firstLine="640"/>
        <w:jc w:val="left"/>
        <w:rPr>
          <w:rFonts w:ascii="仿宋_GB2312" w:eastAsia="仿宋_GB2312" w:hint="eastAsia"/>
          <w:b w:val="0"/>
          <w:color w:val="000000"/>
          <w:sz w:val="32"/>
          <w:szCs w:val="32"/>
        </w:rPr>
      </w:pPr>
      <w:r>
        <w:rPr>
          <w:rFonts w:ascii="仿宋_GB2312" w:eastAsia="仿宋_GB2312" w:hint="eastAsia"/>
          <w:b w:val="0"/>
          <w:color w:val="000000"/>
          <w:sz w:val="32"/>
          <w:szCs w:val="32"/>
        </w:rPr>
        <w:t>截至2022年12月31日，我局有公有车辆2辆，均为一般公务用车；有单价50万元以上通用设备，无单价100万元以上专用设备。</w:t>
      </w:r>
    </w:p>
    <w:p>
      <w:pPr>
        <w:autoSpaceDE w:val="0"/>
        <w:autoSpaceDN w:val="0"/>
        <w:adjustRightInd w:val="0"/>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t>（四）预算绩效情况</w:t>
      </w:r>
    </w:p>
    <w:p>
      <w:pPr>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1、绩效目标管理情况。</w:t>
      </w:r>
    </w:p>
    <w:p>
      <w:pPr>
        <w:ind w:firstLineChars="200" w:firstLine="640"/>
        <w:rPr>
          <w:rFonts w:ascii="仿宋_GB2312" w:eastAsia="仿宋_GB2312" w:cs="仿宋_GB2312" w:hint="eastAsia"/>
          <w:b w:val="0"/>
          <w:color w:val="000000"/>
          <w:sz w:val="32"/>
          <w:szCs w:val="32"/>
        </w:rPr>
      </w:pPr>
      <w:r>
        <w:rPr>
          <w:rFonts w:ascii="仿宋_GB2312" w:eastAsia="仿宋_GB2312" w:cs="仿宋_GB2312" w:hint="eastAsia"/>
          <w:b w:val="0"/>
          <w:color w:val="000000"/>
          <w:sz w:val="32"/>
          <w:szCs w:val="32"/>
        </w:rPr>
        <w:t>按照预算绩效管理要求，本部门对2022年一般公共预算项目支出开展了绩效目标管理，编制绩效目标。本部门对2022年整体支出开展绩效自评</w:t>
      </w:r>
      <w:r>
        <w:rPr>
          <w:rFonts w:ascii="仿宋_GB2312" w:eastAsia="仿宋_GB2312" w:cs="仿宋_GB2312" w:hint="eastAsia"/>
          <w:b w:val="0"/>
          <w:color w:val="000000"/>
          <w:sz w:val="32"/>
          <w:szCs w:val="32"/>
          <w:lang w:eastAsia="zh-CN"/>
        </w:rPr>
        <w:t>（见附件）</w:t>
      </w:r>
      <w:r>
        <w:rPr>
          <w:rFonts w:ascii="仿宋_GB2312" w:eastAsia="仿宋_GB2312" w:cs="仿宋_GB2312" w:hint="eastAsia"/>
          <w:b w:val="0"/>
          <w:color w:val="000000"/>
          <w:sz w:val="32"/>
          <w:szCs w:val="32"/>
        </w:rPr>
        <w:t>，自评得分95分。</w:t>
      </w:r>
    </w:p>
    <w:p>
      <w:pPr>
        <w:spacing w:line="600" w:lineRule="atLeast"/>
        <w:ind w:firstLineChars="200" w:firstLine="640"/>
        <w:rPr>
          <w:rFonts w:ascii="仿宋_GB2312" w:eastAsia="仿宋_GB2312" w:hint="eastAsia"/>
          <w:b w:val="0"/>
          <w:sz w:val="32"/>
          <w:szCs w:val="32"/>
        </w:rPr>
      </w:pPr>
      <w:r>
        <w:rPr>
          <w:rFonts w:ascii="仿宋_GB2312" w:eastAsia="仿宋_GB2312" w:hint="eastAsia"/>
          <w:sz w:val="32"/>
          <w:szCs w:val="32"/>
        </w:rPr>
        <w:t>2</w:t>
      </w:r>
      <w:r>
        <w:rPr>
          <w:rFonts w:ascii="仿宋_GB2312" w:eastAsia="仿宋_GB2312" w:hint="eastAsia"/>
          <w:sz w:val="32"/>
          <w:szCs w:val="32"/>
          <w:lang w:eastAsia="zh-CN"/>
        </w:rPr>
        <w:t>、</w:t>
      </w:r>
      <w:r>
        <w:rPr>
          <w:rFonts w:ascii="仿宋_GB2312" w:eastAsia="仿宋_GB2312" w:hint="eastAsia"/>
          <w:sz w:val="32"/>
          <w:szCs w:val="32"/>
        </w:rPr>
        <w:t xml:space="preserve">部门整体支出绩效自评开展情况 </w:t>
      </w:r>
      <w:r>
        <w:rPr>
          <w:rFonts w:ascii="仿宋_GB2312" w:eastAsia="仿宋_GB2312" w:hint="eastAsia"/>
          <w:b w:val="0"/>
          <w:sz w:val="32"/>
          <w:szCs w:val="32"/>
        </w:rPr>
        <w:t>部门预算执行情况良好，无不良记录及违规违纪行为，预算支出和决算支出情况相符。</w:t>
      </w:r>
    </w:p>
    <w:p>
      <w:pPr>
        <w:spacing w:line="600" w:lineRule="atLeast"/>
        <w:ind w:firstLineChars="200" w:firstLine="640"/>
        <w:rPr>
          <w:rFonts w:ascii="仿宋_GB2312" w:eastAsia="仿宋_GB2312" w:hint="eastAsia"/>
          <w:b w:val="0"/>
          <w:sz w:val="32"/>
          <w:szCs w:val="32"/>
        </w:rPr>
      </w:pPr>
      <w:r>
        <w:rPr>
          <w:rFonts w:ascii="仿宋_GB2312" w:eastAsia="仿宋_GB2312" w:hint="eastAsia"/>
          <w:sz w:val="32"/>
          <w:szCs w:val="32"/>
        </w:rPr>
        <w:t xml:space="preserve">3、部门自行组织绩效评价开展情况 </w:t>
      </w:r>
      <w:r>
        <w:rPr>
          <w:rFonts w:ascii="仿宋_GB2312" w:eastAsia="仿宋_GB2312" w:hint="eastAsia"/>
          <w:b w:val="0"/>
          <w:sz w:val="32"/>
          <w:szCs w:val="32"/>
        </w:rPr>
        <w:t>一是业务知识有待提高；二是部门决算上报处理效率还需继续提升。加快完成机关财务管理规章制度建设、加强会计核算和财务管理能力，及时与财政局相关股室对接工作，提升工作效率。</w:t>
      </w:r>
    </w:p>
    <w:p>
      <w:pPr>
        <w:jc w:val="center"/>
        <w:rPr>
          <w:rFonts w:ascii="黑体" w:hint="eastAsia"/>
          <w:color w:val="000000"/>
          <w:sz w:val="32"/>
          <w:szCs w:val="32"/>
        </w:rPr>
      </w:pPr>
      <w:r>
        <w:rPr>
          <w:rFonts w:ascii="黑体" w:hint="eastAsia"/>
          <w:color w:val="000000"/>
          <w:sz w:val="32"/>
          <w:szCs w:val="32"/>
        </w:rPr>
        <w:t>2022年部门整体支出绩效评价得分表</w:t>
      </w:r>
    </w:p>
    <w:tbl>
      <w:tblPr>
        <w:jc w:val="left"/>
        <w:tblInd w:w="-176" w:type="dxa"/>
        <w:tblW w:w="949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702"/>
        <w:gridCol w:w="2268"/>
        <w:gridCol w:w="3402"/>
        <w:gridCol w:w="2126"/>
      </w:tblGrid>
      <w:tr>
        <w:trPr>
          <w:trHeight w:val="278"/>
        </w:trPr>
        <w:tc>
          <w:tcPr>
            <w:tcW w:w="1702" w:type="dxa"/>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hAnsi="宋体"/>
                <w:bCs/>
                <w:color w:val="000000"/>
                <w:kern w:val="0"/>
                <w:sz w:val="20"/>
              </w:rPr>
            </w:pPr>
            <w:r>
              <w:rPr>
                <w:rFonts w:ascii="宋体" w:cs="宋体" w:hAnsi="宋体" w:hint="eastAsia"/>
                <w:bCs/>
                <w:color w:val="000000"/>
                <w:kern w:val="0"/>
                <w:sz w:val="20"/>
              </w:rPr>
              <w:t>一级指标</w:t>
            </w:r>
          </w:p>
        </w:tc>
        <w:tc>
          <w:tcPr>
            <w:tcW w:w="2268" w:type="dxa"/>
            <w:tcBorders>
              <w:top w:val="single" w:sz="4" w:space="0" w:color="auto"/>
              <w:left w:val="nil"/>
              <w:bottom w:val="single" w:sz="4" w:space="0" w:color="auto"/>
              <w:right w:val="single" w:sz="4" w:space="0" w:color="auto"/>
            </w:tcBorders>
            <w:noWrap/>
            <w:vAlign w:val="center"/>
          </w:tcPr>
          <w:p>
            <w:pPr>
              <w:widowControl/>
              <w:jc w:val="center"/>
              <w:rPr>
                <w:rFonts w:ascii="宋体" w:cs="宋体" w:hAnsi="宋体"/>
                <w:bCs/>
                <w:color w:val="000000"/>
                <w:kern w:val="0"/>
                <w:sz w:val="20"/>
              </w:rPr>
            </w:pPr>
            <w:r>
              <w:rPr>
                <w:rFonts w:ascii="宋体" w:cs="宋体" w:hAnsi="宋体" w:hint="eastAsia"/>
                <w:bCs/>
                <w:color w:val="000000"/>
                <w:kern w:val="0"/>
                <w:sz w:val="20"/>
              </w:rPr>
              <w:t>二级指标</w:t>
            </w:r>
          </w:p>
        </w:tc>
        <w:tc>
          <w:tcPr>
            <w:tcW w:w="3402" w:type="dxa"/>
            <w:tcBorders>
              <w:top w:val="single" w:sz="4" w:space="0" w:color="auto"/>
              <w:left w:val="nil"/>
              <w:bottom w:val="single" w:sz="4" w:space="0" w:color="auto"/>
              <w:right w:val="single" w:sz="4" w:space="0" w:color="auto"/>
            </w:tcBorders>
            <w:noWrap/>
            <w:vAlign w:val="center"/>
          </w:tcPr>
          <w:p>
            <w:pPr>
              <w:widowControl/>
              <w:jc w:val="center"/>
              <w:rPr>
                <w:rFonts w:ascii="宋体" w:cs="宋体" w:hAnsi="宋体"/>
                <w:bCs/>
                <w:color w:val="000000"/>
                <w:kern w:val="0"/>
                <w:sz w:val="20"/>
              </w:rPr>
            </w:pPr>
            <w:r>
              <w:rPr>
                <w:rFonts w:ascii="宋体" w:cs="宋体" w:hAnsi="宋体" w:hint="eastAsia"/>
                <w:bCs/>
                <w:color w:val="000000"/>
                <w:kern w:val="0"/>
                <w:sz w:val="20"/>
              </w:rPr>
              <w:t>三级指标</w:t>
            </w:r>
          </w:p>
        </w:tc>
        <w:tc>
          <w:tcPr>
            <w:tcW w:w="2126" w:type="dxa"/>
            <w:tcBorders>
              <w:top w:val="single" w:sz="4" w:space="0" w:color="auto"/>
              <w:left w:val="nil"/>
              <w:bottom w:val="single" w:sz="4" w:space="0" w:color="auto"/>
              <w:right w:val="single" w:sz="4" w:space="0" w:color="auto"/>
            </w:tcBorders>
            <w:noWrap/>
          </w:tcPr>
          <w:p>
            <w:pPr>
              <w:widowControl/>
              <w:jc w:val="center"/>
              <w:rPr>
                <w:rFonts w:ascii="宋体" w:cs="宋体" w:hAnsi="宋体" w:hint="eastAsia"/>
                <w:bCs/>
                <w:color w:val="000000"/>
                <w:kern w:val="0"/>
                <w:sz w:val="20"/>
              </w:rPr>
            </w:pPr>
            <w:r>
              <w:rPr>
                <w:rFonts w:ascii="宋体" w:cs="宋体" w:hAnsi="宋体" w:hint="eastAsia"/>
                <w:bCs/>
                <w:color w:val="000000"/>
                <w:kern w:val="0"/>
                <w:sz w:val="20"/>
              </w:rPr>
              <w:t>得分</w:t>
            </w:r>
          </w:p>
        </w:tc>
      </w:tr>
      <w:tr>
        <w:trPr>
          <w:trHeight w:val="520"/>
        </w:trPr>
        <w:tc>
          <w:tcPr>
            <w:tcW w:w="1702" w:type="dxa"/>
            <w:vMerge w:val="restart"/>
            <w:tcBorders>
              <w:top w:val="nil"/>
              <w:left w:val="single" w:sz="4" w:space="0" w:color="auto"/>
              <w:right w:val="single" w:sz="4" w:space="0" w:color="auto"/>
            </w:tcBorders>
            <w:noWrap/>
            <w:vAlign w:val="center"/>
          </w:tcPr>
          <w:p>
            <w:pPr>
              <w:widowControl/>
              <w:jc w:val="center"/>
              <w:rPr>
                <w:rFonts w:ascii="宋体" w:cs="宋体" w:hAnsi="宋体"/>
                <w:color w:val="000000"/>
                <w:kern w:val="0"/>
                <w:sz w:val="20"/>
              </w:rPr>
            </w:pPr>
            <w:r>
              <w:rPr>
                <w:rFonts w:ascii="宋体" w:cs="宋体" w:hAnsi="宋体" w:hint="eastAsia"/>
                <w:color w:val="000000"/>
                <w:kern w:val="0"/>
                <w:sz w:val="20"/>
              </w:rPr>
              <w:t>部门决策（25分）</w:t>
            </w: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hAnsi="宋体"/>
                <w:color w:val="000000"/>
                <w:kern w:val="0"/>
                <w:sz w:val="20"/>
              </w:rPr>
            </w:pPr>
            <w:r>
              <w:rPr>
                <w:rFonts w:ascii="宋体" w:cs="宋体" w:hAnsi="宋体" w:hint="eastAsia"/>
                <w:color w:val="000000"/>
                <w:kern w:val="0"/>
                <w:sz w:val="20"/>
              </w:rPr>
              <w:t>目标任务（15分）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相关性（5分）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5</w:t>
            </w:r>
          </w:p>
        </w:tc>
      </w:tr>
      <w:tr>
        <w:trPr>
          <w:trHeight w:val="41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明确性（5分）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5</w:t>
            </w:r>
          </w:p>
        </w:tc>
      </w:tr>
      <w:tr>
        <w:trPr>
          <w:trHeight w:val="42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合理性（5分）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5</w:t>
            </w:r>
          </w:p>
        </w:tc>
      </w:tr>
      <w:tr>
        <w:trPr>
          <w:trHeight w:val="269"/>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预算编制（10分）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测算依据（5分）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５</w:t>
            </w:r>
          </w:p>
        </w:tc>
      </w:tr>
      <w:tr>
        <w:trPr>
          <w:trHeight w:val="231"/>
        </w:trPr>
        <w:tc>
          <w:tcPr>
            <w:tcW w:w="1702" w:type="dxa"/>
            <w:vMerge/>
            <w:tcBorders>
              <w:left w:val="single" w:sz="4" w:space="0" w:color="auto"/>
              <w:bottom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目标管理（5分）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５</w:t>
            </w:r>
          </w:p>
        </w:tc>
      </w:tr>
      <w:tr>
        <w:trPr>
          <w:trHeight w:val="477"/>
        </w:trPr>
        <w:tc>
          <w:tcPr>
            <w:tcW w:w="1702" w:type="dxa"/>
            <w:vMerge w:val="restart"/>
            <w:tcBorders>
              <w:top w:val="nil"/>
              <w:left w:val="single" w:sz="4" w:space="0" w:color="auto"/>
              <w:right w:val="single" w:sz="4" w:space="0" w:color="auto"/>
            </w:tcBorders>
            <w:noWrap/>
            <w:vAlign w:val="center"/>
          </w:tcPr>
          <w:p>
            <w:pPr>
              <w:widowControl/>
              <w:jc w:val="center"/>
              <w:rPr>
                <w:rFonts w:ascii="宋体" w:cs="宋体" w:hAnsi="宋体"/>
                <w:color w:val="000000"/>
                <w:kern w:val="0"/>
                <w:sz w:val="20"/>
              </w:rPr>
            </w:pPr>
            <w:r>
              <w:rPr>
                <w:rFonts w:ascii="宋体" w:cs="宋体" w:hAnsi="宋体" w:hint="eastAsia"/>
                <w:color w:val="000000"/>
                <w:kern w:val="0"/>
                <w:sz w:val="20"/>
              </w:rPr>
              <w:t>综合管理（30分）</w:t>
            </w: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专项资金分配时限（2分）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省级财力专项预算分配时限（1分）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1</w:t>
            </w:r>
          </w:p>
        </w:tc>
      </w:tr>
      <w:tr>
        <w:trPr>
          <w:trHeight w:val="41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中央专款分配合规率（1分）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1</w:t>
            </w:r>
          </w:p>
        </w:tc>
      </w:tr>
      <w:tr>
        <w:trPr>
          <w:trHeight w:val="277"/>
        </w:trPr>
        <w:tc>
          <w:tcPr>
            <w:tcW w:w="1702" w:type="dxa"/>
            <w:vMerge/>
            <w:tcBorders>
              <w:left w:val="single" w:sz="4" w:space="0" w:color="auto"/>
              <w:right w:val="single" w:sz="4" w:space="0" w:color="auto"/>
            </w:tcBorders>
            <w:noWrap/>
            <w:vAlign w:val="center"/>
          </w:tcPr>
          <w:p/>
        </w:tc>
        <w:tc>
          <w:tcPr>
            <w:tcW w:w="2268"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中期评估（2分）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执行中期评估（2分）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2</w:t>
            </w:r>
          </w:p>
        </w:tc>
      </w:tr>
      <w:tr>
        <w:trPr>
          <w:trHeight w:val="381"/>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绩效监控（5分）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预算执行进度监控（2分）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2</w:t>
            </w:r>
          </w:p>
        </w:tc>
      </w:tr>
      <w:tr>
        <w:trPr>
          <w:trHeight w:val="27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绩效目标动态监控（3分）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3</w:t>
            </w:r>
          </w:p>
        </w:tc>
      </w:tr>
      <w:tr>
        <w:trPr>
          <w:trHeight w:val="235"/>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非税收入执收情况（2分）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非税收入征收情况（1分）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1</w:t>
            </w:r>
          </w:p>
        </w:tc>
      </w:tr>
      <w:tr>
        <w:trPr>
          <w:trHeight w:val="325"/>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非税收入上缴情况（1分）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1</w:t>
            </w:r>
          </w:p>
        </w:tc>
      </w:tr>
      <w:tr>
        <w:trPr>
          <w:trHeight w:val="287"/>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资产管理（6分）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资产管理信息化情况（2分）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2</w:t>
            </w:r>
          </w:p>
        </w:tc>
      </w:tr>
      <w:tr>
        <w:trPr>
          <w:trHeight w:val="235"/>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行政事业单位资产报告情况（2分）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2</w:t>
            </w:r>
          </w:p>
        </w:tc>
      </w:tr>
      <w:tr>
        <w:trPr>
          <w:trHeight w:val="35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资产管理与预算管理相结合（2分）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2</w:t>
            </w:r>
          </w:p>
        </w:tc>
      </w:tr>
      <w:tr>
        <w:trPr>
          <w:trHeight w:val="272"/>
        </w:trPr>
        <w:tc>
          <w:tcPr>
            <w:tcW w:w="1702" w:type="dxa"/>
            <w:vMerge/>
            <w:tcBorders>
              <w:left w:val="single" w:sz="4" w:space="0" w:color="auto"/>
              <w:right w:val="single" w:sz="4" w:space="0" w:color="auto"/>
            </w:tcBorders>
            <w:noWrap/>
            <w:vAlign w:val="center"/>
          </w:tcPr>
          <w:p/>
        </w:tc>
        <w:tc>
          <w:tcPr>
            <w:tcW w:w="2268"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内控制度管理（2分）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内部控制度健全完整（2分）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1</w:t>
            </w:r>
          </w:p>
        </w:tc>
      </w:tr>
      <w:tr>
        <w:trPr>
          <w:trHeight w:val="221"/>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信息公开（6分）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预算公开（2分）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2</w:t>
            </w:r>
          </w:p>
        </w:tc>
      </w:tr>
      <w:tr>
        <w:trPr>
          <w:trHeight w:val="197"/>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决算公开（2分）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2</w:t>
            </w:r>
          </w:p>
        </w:tc>
      </w:tr>
      <w:tr>
        <w:trPr>
          <w:trHeight w:val="287"/>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绩效信息公开（2分）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2</w:t>
            </w:r>
          </w:p>
        </w:tc>
      </w:tr>
      <w:tr>
        <w:trPr>
          <w:trHeight w:val="405"/>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绩效评价（5分）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绩效评价开展（2分）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cs="宋体" w:hAnsi="宋体" w:hint="eastAsia"/>
                <w:color w:val="000000"/>
                <w:kern w:val="0"/>
                <w:sz w:val="20"/>
              </w:rPr>
              <w:t>2</w:t>
            </w:r>
          </w:p>
        </w:tc>
      </w:tr>
      <w:tr>
        <w:trPr>
          <w:trHeight w:val="127"/>
        </w:trPr>
        <w:tc>
          <w:tcPr>
            <w:tcW w:w="1702" w:type="dxa"/>
            <w:vMerge/>
            <w:tcBorders>
              <w:left w:val="single" w:sz="4" w:space="0" w:color="auto"/>
              <w:bottom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评价结果应用（3分）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rPr>
            </w:pPr>
            <w:r>
              <w:rPr>
                <w:rFonts w:ascii="宋体" w:eastAsia="宋体" w:cs="宋体" w:hint="eastAsia"/>
                <w:color w:val="000000"/>
                <w:kern w:val="0"/>
                <w:sz w:val="20"/>
              </w:rPr>
              <w:t>2</w:t>
            </w:r>
          </w:p>
        </w:tc>
      </w:tr>
      <w:tr>
        <w:trPr>
          <w:trHeight w:val="231"/>
        </w:trPr>
        <w:tc>
          <w:tcPr>
            <w:tcW w:w="1702" w:type="dxa"/>
            <w:vMerge w:val="restart"/>
            <w:tcBorders>
              <w:top w:val="nil"/>
              <w:left w:val="single" w:sz="4" w:space="0" w:color="auto"/>
              <w:right w:val="single" w:sz="4" w:space="0" w:color="auto"/>
            </w:tcBorders>
            <w:noWrap/>
            <w:vAlign w:val="center"/>
          </w:tcPr>
          <w:p>
            <w:pPr>
              <w:widowControl/>
              <w:jc w:val="center"/>
              <w:rPr>
                <w:rFonts w:ascii="宋体" w:cs="宋体" w:hAnsi="宋体"/>
                <w:color w:val="000000"/>
                <w:kern w:val="0"/>
                <w:sz w:val="20"/>
              </w:rPr>
            </w:pPr>
            <w:r>
              <w:rPr>
                <w:rFonts w:ascii="宋体" w:cs="宋体" w:hAnsi="宋体" w:hint="eastAsia"/>
                <w:color w:val="000000"/>
                <w:kern w:val="0"/>
                <w:sz w:val="20"/>
              </w:rPr>
              <w:t>部门绩效情况（45分）</w:t>
            </w: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履职成效（20分）</w:t>
            </w: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hAnsi="宋体"/>
                <w:color w:val="000000"/>
                <w:kern w:val="0"/>
                <w:sz w:val="20"/>
              </w:rPr>
            </w:pPr>
            <w:r>
              <w:rPr>
                <w:rFonts w:ascii="宋体" w:cs="宋体" w:hAnsi="宋体" w:hint="eastAsia"/>
                <w:color w:val="000000"/>
                <w:kern w:val="0"/>
                <w:sz w:val="20"/>
              </w:rPr>
              <w:t>部门特性指标</w:t>
            </w:r>
          </w:p>
        </w:tc>
        <w:tc>
          <w:tcPr>
            <w:tcW w:w="2126" w:type="dxa"/>
            <w:tcBorders>
              <w:top w:val="nil"/>
              <w:left w:val="nil"/>
              <w:bottom w:val="single" w:sz="4" w:space="0" w:color="auto"/>
              <w:right w:val="single" w:sz="4" w:space="0" w:color="auto"/>
            </w:tcBorders>
            <w:noWrap/>
          </w:tcPr>
          <w:p>
            <w:pPr>
              <w:widowControl/>
              <w:jc w:val="center"/>
              <w:rPr>
                <w:rFonts w:ascii="宋体" w:eastAsia="宋体" w:cs="宋体" w:hint="eastAsia"/>
                <w:color w:val="000000"/>
                <w:kern w:val="0"/>
                <w:sz w:val="20"/>
              </w:rPr>
            </w:pPr>
            <w:r>
              <w:rPr>
                <w:rFonts w:ascii="宋体" w:cs="宋体" w:hAnsi="宋体" w:hint="eastAsia"/>
                <w:color w:val="000000"/>
                <w:kern w:val="0"/>
                <w:sz w:val="20"/>
              </w:rPr>
              <w:t>19</w:t>
            </w:r>
          </w:p>
        </w:tc>
      </w:tr>
      <w:tr>
        <w:trPr>
          <w:trHeight w:val="221"/>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hAnsi="宋体"/>
                <w:color w:val="000000"/>
                <w:kern w:val="0"/>
                <w:sz w:val="20"/>
              </w:rPr>
            </w:pPr>
          </w:p>
        </w:tc>
        <w:tc>
          <w:tcPr>
            <w:tcW w:w="2126" w:type="dxa"/>
            <w:tcBorders>
              <w:top w:val="nil"/>
              <w:left w:val="nil"/>
              <w:bottom w:val="single" w:sz="4" w:space="0" w:color="auto"/>
              <w:right w:val="single" w:sz="4" w:space="0" w:color="auto"/>
            </w:tcBorders>
            <w:noWrap/>
          </w:tcPr>
          <w:p>
            <w:pPr>
              <w:widowControl/>
              <w:jc w:val="center"/>
              <w:rPr>
                <w:rFonts w:ascii="宋体" w:cs="宋体" w:hAnsi="宋体"/>
                <w:color w:val="000000"/>
                <w:kern w:val="0"/>
                <w:sz w:val="20"/>
              </w:rPr>
            </w:pPr>
          </w:p>
        </w:tc>
      </w:tr>
      <w:tr>
        <w:trPr>
          <w:trHeight w:val="24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hAnsi="宋体"/>
                <w:color w:val="000000"/>
                <w:kern w:val="0"/>
                <w:sz w:val="20"/>
              </w:rPr>
            </w:pPr>
          </w:p>
        </w:tc>
        <w:tc>
          <w:tcPr>
            <w:tcW w:w="2126" w:type="dxa"/>
            <w:tcBorders>
              <w:top w:val="nil"/>
              <w:left w:val="nil"/>
              <w:bottom w:val="single" w:sz="4" w:space="0" w:color="auto"/>
              <w:right w:val="single" w:sz="4" w:space="0" w:color="auto"/>
            </w:tcBorders>
            <w:noWrap/>
          </w:tcPr>
          <w:p>
            <w:pPr>
              <w:widowControl/>
              <w:jc w:val="center"/>
              <w:rPr>
                <w:rFonts w:ascii="宋体" w:cs="宋体" w:hAnsi="宋体"/>
                <w:color w:val="000000"/>
                <w:kern w:val="0"/>
                <w:sz w:val="20"/>
              </w:rPr>
            </w:pPr>
          </w:p>
        </w:tc>
      </w:tr>
      <w:tr>
        <w:trPr>
          <w:trHeight w:val="221"/>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hAnsi="宋体"/>
                <w:color w:val="000000"/>
                <w:kern w:val="0"/>
                <w:sz w:val="20"/>
              </w:rPr>
            </w:pPr>
          </w:p>
        </w:tc>
        <w:tc>
          <w:tcPr>
            <w:tcW w:w="2126" w:type="dxa"/>
            <w:tcBorders>
              <w:top w:val="nil"/>
              <w:left w:val="nil"/>
              <w:bottom w:val="single" w:sz="4" w:space="0" w:color="auto"/>
              <w:right w:val="single" w:sz="4" w:space="0" w:color="auto"/>
            </w:tcBorders>
            <w:noWrap/>
          </w:tcPr>
          <w:p>
            <w:pPr>
              <w:widowControl/>
              <w:jc w:val="center"/>
              <w:rPr>
                <w:rFonts w:ascii="宋体" w:cs="宋体" w:hAnsi="宋体"/>
                <w:color w:val="000000"/>
                <w:kern w:val="0"/>
                <w:sz w:val="20"/>
              </w:rPr>
            </w:pPr>
          </w:p>
        </w:tc>
      </w:tr>
      <w:tr>
        <w:trPr>
          <w:trHeight w:val="157"/>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hAnsi="宋体"/>
                <w:color w:val="000000"/>
                <w:kern w:val="0"/>
                <w:sz w:val="20"/>
              </w:rPr>
            </w:pPr>
            <w:r>
              <w:rPr>
                <w:rFonts w:ascii="宋体" w:cs="宋体" w:hAnsi="宋体" w:hint="eastAsia"/>
                <w:color w:val="000000"/>
                <w:kern w:val="0"/>
                <w:sz w:val="20"/>
              </w:rPr>
              <w:t>可持续发展能力（15分）</w:t>
            </w: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hAnsi="宋体"/>
                <w:color w:val="000000"/>
                <w:kern w:val="0"/>
                <w:sz w:val="20"/>
              </w:rPr>
            </w:pPr>
            <w:r>
              <w:rPr>
                <w:rFonts w:ascii="宋体" w:cs="宋体" w:hAnsi="宋体" w:hint="eastAsia"/>
                <w:color w:val="000000"/>
                <w:kern w:val="0"/>
                <w:sz w:val="20"/>
              </w:rPr>
              <w:t>重点改革（重点工作）完成情况（5分）</w:t>
            </w:r>
          </w:p>
        </w:tc>
        <w:tc>
          <w:tcPr>
            <w:tcW w:w="2126" w:type="dxa"/>
            <w:tcBorders>
              <w:top w:val="nil"/>
              <w:left w:val="nil"/>
              <w:bottom w:val="single" w:sz="4" w:space="0" w:color="auto"/>
              <w:right w:val="single" w:sz="4" w:space="0" w:color="auto"/>
            </w:tcBorders>
            <w:noWrap/>
          </w:tcPr>
          <w:p>
            <w:pPr>
              <w:widowControl/>
              <w:jc w:val="center"/>
              <w:rPr>
                <w:rFonts w:ascii="宋体" w:eastAsia="宋体" w:cs="宋体" w:hint="eastAsia"/>
                <w:color w:val="000000"/>
                <w:kern w:val="0"/>
                <w:sz w:val="20"/>
              </w:rPr>
            </w:pPr>
            <w:r>
              <w:rPr>
                <w:rFonts w:ascii="宋体" w:eastAsia="宋体" w:cs="宋体" w:hint="eastAsia"/>
                <w:color w:val="000000"/>
                <w:kern w:val="0"/>
                <w:sz w:val="20"/>
              </w:rPr>
              <w:t>4</w:t>
            </w:r>
          </w:p>
        </w:tc>
      </w:tr>
      <w:tr>
        <w:trPr>
          <w:trHeight w:val="32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hAnsi="宋体"/>
                <w:color w:val="000000"/>
                <w:kern w:val="0"/>
                <w:sz w:val="20"/>
              </w:rPr>
            </w:pPr>
            <w:r>
              <w:rPr>
                <w:rFonts w:ascii="宋体" w:cs="宋体" w:hAnsi="宋体" w:hint="eastAsia"/>
                <w:color w:val="000000"/>
                <w:kern w:val="0"/>
                <w:sz w:val="20"/>
              </w:rPr>
              <w:t>科技（制度、方法、机制等）创新（5分）</w:t>
            </w:r>
          </w:p>
        </w:tc>
        <w:tc>
          <w:tcPr>
            <w:tcW w:w="2126" w:type="dxa"/>
            <w:tcBorders>
              <w:top w:val="nil"/>
              <w:left w:val="nil"/>
              <w:bottom w:val="single" w:sz="4" w:space="0" w:color="auto"/>
              <w:right w:val="single" w:sz="4" w:space="0" w:color="auto"/>
            </w:tcBorders>
            <w:noWrap/>
          </w:tcPr>
          <w:p>
            <w:pPr>
              <w:widowControl/>
              <w:jc w:val="center"/>
              <w:rPr>
                <w:rFonts w:ascii="宋体" w:eastAsia="宋体" w:cs="宋体" w:hint="eastAsia"/>
                <w:color w:val="000000"/>
                <w:kern w:val="0"/>
                <w:sz w:val="20"/>
              </w:rPr>
            </w:pPr>
            <w:r>
              <w:rPr>
                <w:rFonts w:ascii="宋体" w:cs="宋体" w:hAnsi="宋体" w:hint="eastAsia"/>
                <w:color w:val="000000"/>
                <w:kern w:val="0"/>
                <w:sz w:val="20"/>
              </w:rPr>
              <w:t>４</w:t>
            </w:r>
          </w:p>
        </w:tc>
      </w:tr>
      <w:tr>
        <w:trPr>
          <w:trHeight w:val="385"/>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hAnsi="宋体"/>
                <w:color w:val="000000"/>
                <w:kern w:val="0"/>
                <w:sz w:val="20"/>
              </w:rPr>
            </w:pPr>
            <w:r>
              <w:rPr>
                <w:rFonts w:ascii="宋体" w:cs="宋体" w:hAnsi="宋体" w:hint="eastAsia"/>
                <w:color w:val="000000"/>
                <w:kern w:val="0"/>
                <w:sz w:val="20"/>
              </w:rPr>
              <w:t>人才培养（5分）</w:t>
            </w:r>
          </w:p>
        </w:tc>
        <w:tc>
          <w:tcPr>
            <w:tcW w:w="2126" w:type="dxa"/>
            <w:tcBorders>
              <w:top w:val="nil"/>
              <w:left w:val="nil"/>
              <w:bottom w:val="single" w:sz="4" w:space="0" w:color="auto"/>
              <w:right w:val="single" w:sz="4" w:space="0" w:color="auto"/>
            </w:tcBorders>
            <w:noWrap/>
          </w:tcPr>
          <w:p>
            <w:pPr>
              <w:widowControl/>
              <w:jc w:val="center"/>
              <w:rPr>
                <w:rFonts w:ascii="宋体" w:eastAsia="宋体" w:cs="宋体" w:hint="eastAsia"/>
                <w:color w:val="000000"/>
                <w:kern w:val="0"/>
                <w:sz w:val="20"/>
              </w:rPr>
            </w:pPr>
            <w:r>
              <w:rPr>
                <w:rFonts w:ascii="宋体" w:cs="宋体" w:hAnsi="宋体" w:hint="eastAsia"/>
                <w:color w:val="000000"/>
                <w:kern w:val="0"/>
                <w:sz w:val="20"/>
              </w:rPr>
              <w:t>5</w:t>
            </w:r>
          </w:p>
        </w:tc>
      </w:tr>
      <w:tr>
        <w:trPr>
          <w:trHeight w:val="432"/>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right w:val="single" w:sz="4" w:space="0" w:color="auto"/>
            </w:tcBorders>
            <w:noWrap/>
            <w:vAlign w:val="center"/>
          </w:tcPr>
          <w:p>
            <w:pPr>
              <w:widowControl/>
              <w:jc w:val="center"/>
              <w:rPr>
                <w:rFonts w:ascii="宋体" w:cs="宋体" w:hAnsi="宋体"/>
                <w:color w:val="000000"/>
                <w:kern w:val="0"/>
                <w:sz w:val="20"/>
              </w:rPr>
            </w:pPr>
            <w:r>
              <w:rPr>
                <w:rFonts w:ascii="宋体" w:cs="宋体" w:hAnsi="宋体" w:hint="eastAsia"/>
                <w:color w:val="000000"/>
                <w:kern w:val="0"/>
                <w:sz w:val="20"/>
              </w:rPr>
              <w:t>满意度（10分）</w:t>
            </w: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hAnsi="宋体"/>
                <w:color w:val="000000"/>
                <w:kern w:val="0"/>
                <w:sz w:val="20"/>
              </w:rPr>
            </w:pPr>
            <w:r>
              <w:rPr>
                <w:rFonts w:ascii="宋体" w:cs="宋体" w:hAnsi="宋体" w:hint="eastAsia"/>
                <w:color w:val="000000"/>
                <w:kern w:val="0"/>
                <w:sz w:val="20"/>
              </w:rPr>
              <w:t>协作部门满意度（3分）</w:t>
            </w:r>
          </w:p>
        </w:tc>
        <w:tc>
          <w:tcPr>
            <w:tcW w:w="2126" w:type="dxa"/>
            <w:tcBorders>
              <w:top w:val="nil"/>
              <w:left w:val="nil"/>
              <w:bottom w:val="single" w:sz="4" w:space="0" w:color="auto"/>
              <w:right w:val="single" w:sz="4" w:space="0" w:color="auto"/>
            </w:tcBorders>
            <w:noWrap/>
          </w:tcPr>
          <w:p>
            <w:pPr>
              <w:widowControl/>
              <w:jc w:val="center"/>
              <w:rPr>
                <w:rFonts w:ascii="宋体" w:eastAsia="宋体" w:cs="宋体" w:hint="eastAsia"/>
                <w:color w:val="000000"/>
                <w:kern w:val="0"/>
                <w:sz w:val="20"/>
              </w:rPr>
            </w:pPr>
            <w:r>
              <w:rPr>
                <w:rFonts w:ascii="宋体" w:cs="宋体" w:hAnsi="宋体" w:hint="eastAsia"/>
                <w:color w:val="000000"/>
                <w:kern w:val="0"/>
                <w:sz w:val="20"/>
              </w:rPr>
              <w:t>3</w:t>
            </w:r>
          </w:p>
        </w:tc>
      </w:tr>
      <w:tr>
        <w:trPr>
          <w:trHeight w:val="396"/>
        </w:trPr>
        <w:tc>
          <w:tcPr>
            <w:tcW w:w="1702" w:type="dxa"/>
            <w:vMerge/>
            <w:tcBorders>
              <w:left w:val="single" w:sz="4" w:space="0" w:color="auto"/>
              <w:right w:val="single" w:sz="4" w:space="0" w:color="auto"/>
            </w:tcBorders>
            <w:noWrap/>
            <w:vAlign w:val="center"/>
          </w:tcPr>
          <w:p/>
        </w:tc>
        <w:tc>
          <w:tcPr>
            <w:tcW w:w="2268" w:type="dxa"/>
            <w:vMerge/>
            <w:tcBorders>
              <w:left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hAnsi="宋体"/>
                <w:color w:val="000000"/>
                <w:kern w:val="0"/>
                <w:sz w:val="20"/>
              </w:rPr>
            </w:pPr>
            <w:r>
              <w:rPr>
                <w:rFonts w:ascii="宋体" w:cs="宋体" w:hAnsi="宋体" w:hint="eastAsia"/>
                <w:color w:val="000000"/>
                <w:kern w:val="0"/>
                <w:sz w:val="20"/>
              </w:rPr>
              <w:t>管理对象满意度（3分）</w:t>
            </w:r>
          </w:p>
        </w:tc>
        <w:tc>
          <w:tcPr>
            <w:tcW w:w="2126" w:type="dxa"/>
            <w:tcBorders>
              <w:top w:val="nil"/>
              <w:left w:val="nil"/>
              <w:bottom w:val="single" w:sz="4" w:space="0" w:color="auto"/>
              <w:right w:val="single" w:sz="4" w:space="0" w:color="auto"/>
            </w:tcBorders>
            <w:noWrap/>
          </w:tcPr>
          <w:p>
            <w:pPr>
              <w:widowControl/>
              <w:jc w:val="center"/>
              <w:rPr>
                <w:rFonts w:ascii="宋体" w:eastAsia="宋体" w:cs="宋体" w:hint="eastAsia"/>
                <w:color w:val="000000"/>
                <w:kern w:val="0"/>
                <w:sz w:val="20"/>
              </w:rPr>
            </w:pPr>
            <w:r>
              <w:rPr>
                <w:rFonts w:ascii="宋体" w:cs="宋体" w:hAnsi="宋体" w:hint="eastAsia"/>
                <w:color w:val="000000"/>
                <w:kern w:val="0"/>
                <w:sz w:val="20"/>
              </w:rPr>
              <w:t>3</w:t>
            </w:r>
          </w:p>
        </w:tc>
      </w:tr>
      <w:tr>
        <w:trPr>
          <w:trHeight w:val="411"/>
        </w:trPr>
        <w:tc>
          <w:tcPr>
            <w:tcW w:w="1702" w:type="dxa"/>
            <w:vMerge/>
            <w:tcBorders>
              <w:left w:val="single" w:sz="4" w:space="0" w:color="auto"/>
              <w:bottom w:val="single" w:sz="4" w:space="0" w:color="auto"/>
              <w:right w:val="single" w:sz="4" w:space="0" w:color="auto"/>
            </w:tcBorders>
            <w:noWrap/>
            <w:vAlign w:val="center"/>
          </w:tcPr>
          <w:p/>
        </w:tc>
        <w:tc>
          <w:tcPr>
            <w:tcW w:w="2268" w:type="dxa"/>
            <w:vMerge/>
            <w:tcBorders>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hAnsi="宋体"/>
                <w:color w:val="000000"/>
                <w:kern w:val="0"/>
                <w:sz w:val="20"/>
              </w:rPr>
            </w:pPr>
            <w:r>
              <w:rPr>
                <w:rFonts w:ascii="宋体" w:cs="宋体" w:hAnsi="宋体" w:hint="eastAsia"/>
                <w:color w:val="000000"/>
                <w:kern w:val="0"/>
                <w:sz w:val="20"/>
              </w:rPr>
              <w:t>社会公众满意度（4分）</w:t>
            </w:r>
          </w:p>
        </w:tc>
        <w:tc>
          <w:tcPr>
            <w:tcW w:w="2126" w:type="dxa"/>
            <w:tcBorders>
              <w:top w:val="nil"/>
              <w:left w:val="nil"/>
              <w:bottom w:val="single" w:sz="4" w:space="0" w:color="auto"/>
              <w:right w:val="single" w:sz="4" w:space="0" w:color="auto"/>
            </w:tcBorders>
            <w:noWrap/>
          </w:tcPr>
          <w:p>
            <w:pPr>
              <w:widowControl/>
              <w:jc w:val="center"/>
              <w:rPr>
                <w:rFonts w:ascii="宋体" w:eastAsia="宋体" w:cs="宋体" w:hint="eastAsia"/>
                <w:color w:val="000000"/>
                <w:kern w:val="0"/>
                <w:sz w:val="20"/>
              </w:rPr>
            </w:pPr>
            <w:r>
              <w:rPr>
                <w:rFonts w:ascii="宋体" w:cs="宋体" w:hAnsi="宋体" w:hint="eastAsia"/>
                <w:color w:val="000000"/>
                <w:kern w:val="0"/>
                <w:sz w:val="20"/>
              </w:rPr>
              <w:t>4</w:t>
            </w:r>
          </w:p>
        </w:tc>
      </w:tr>
    </w:tbl>
    <w:p>
      <w:pPr>
        <w:autoSpaceDE w:val="0"/>
        <w:autoSpaceDN w:val="0"/>
        <w:adjustRightInd w:val="0"/>
        <w:spacing w:line="600" w:lineRule="exact"/>
        <w:ind w:firstLineChars="147" w:firstLine="470"/>
        <w:jc w:val="left"/>
        <w:rPr>
          <w:rFonts w:ascii="黑体" w:hint="eastAsia"/>
          <w:color w:val="000000"/>
          <w:sz w:val="32"/>
          <w:szCs w:val="32"/>
        </w:rPr>
      </w:pPr>
      <w:r>
        <w:rPr>
          <w:rFonts w:ascii="黑体" w:hint="eastAsia"/>
          <w:color w:val="000000"/>
          <w:sz w:val="32"/>
          <w:szCs w:val="32"/>
        </w:rPr>
        <w:t>十一、名词解释</w:t>
      </w:r>
    </w:p>
    <w:p>
      <w:pPr>
        <w:pStyle w:val="19"/>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 xml:space="preserve">1.财政拨款收入：指县级财政当年拨付的资金。 </w:t>
      </w:r>
    </w:p>
    <w:p>
      <w:pPr>
        <w:pStyle w:val="19"/>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 xml:space="preserve">2.年初结转和结余：指以前年度尚未完成、结转到本年按有关规定继续使用的资金。 </w:t>
      </w:r>
    </w:p>
    <w:p>
      <w:pPr>
        <w:ind w:firstLineChars="200" w:firstLine="640"/>
        <w:rPr>
          <w:rFonts w:ascii="仿宋_GB2312" w:eastAsia="仿宋_GB2312" w:hint="eastAsia"/>
          <w:b w:val="0"/>
          <w:color w:val="000000"/>
          <w:sz w:val="32"/>
          <w:szCs w:val="32"/>
        </w:rPr>
      </w:pPr>
      <w:r>
        <w:rPr>
          <w:rFonts w:ascii="仿宋_GB2312" w:eastAsia="仿宋_GB2312" w:hint="eastAsia"/>
          <w:b w:val="0"/>
          <w:color w:val="000000"/>
          <w:sz w:val="32"/>
          <w:szCs w:val="32"/>
        </w:rPr>
        <w:t>3.年末结转和结余：指本年度或以前年度预算安排、因客观条件发生变化无法按原计划实施，需延迟到以后年度按有关规定继续使用的资金。</w:t>
      </w:r>
    </w:p>
    <w:p>
      <w:pPr>
        <w:ind w:firstLineChars="200" w:firstLine="640"/>
        <w:rPr>
          <w:rFonts w:ascii="仿宋_GB2312" w:eastAsia="仿宋_GB2312" w:hint="eastAsia"/>
          <w:b w:val="0"/>
          <w:color w:val="000000"/>
          <w:sz w:val="32"/>
          <w:szCs w:val="32"/>
        </w:rPr>
      </w:pPr>
      <w:r>
        <w:rPr>
          <w:rFonts w:ascii="仿宋_GB2312" w:eastAsia="仿宋_GB2312" w:hint="eastAsia"/>
          <w:b w:val="0"/>
          <w:color w:val="000000"/>
          <w:sz w:val="32"/>
          <w:szCs w:val="32"/>
        </w:rPr>
        <w:t>4.基本支出：指为保障机构正常运转、完成日常工作任务而发生的人员支出和公用支出。</w:t>
      </w:r>
    </w:p>
    <w:p>
      <w:pPr>
        <w:ind w:firstLineChars="200" w:firstLine="640"/>
        <w:rPr>
          <w:rFonts w:ascii="仿宋_GB2312" w:eastAsia="仿宋_GB2312" w:hint="eastAsia"/>
          <w:b w:val="0"/>
          <w:color w:val="000000"/>
          <w:sz w:val="32"/>
          <w:szCs w:val="32"/>
        </w:rPr>
      </w:pPr>
      <w:r>
        <w:rPr>
          <w:rFonts w:ascii="仿宋_GB2312" w:eastAsia="仿宋_GB2312" w:hint="eastAsia"/>
          <w:b w:val="0"/>
          <w:color w:val="000000"/>
          <w:sz w:val="32"/>
          <w:szCs w:val="32"/>
        </w:rPr>
        <w:t xml:space="preserve">5.项目支出：指在基本支出之外为完成特定行政任务和事业发展目标所发生的支出。 </w:t>
      </w:r>
    </w:p>
    <w:p>
      <w:pPr>
        <w:pStyle w:val="19"/>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76" w:lineRule="exact"/>
        <w:ind w:firstLineChars="200" w:firstLine="640"/>
        <w:rPr>
          <w:rFonts w:ascii="仿宋_GB2312" w:eastAsia="仿宋_GB2312" w:cs="仿宋" w:hint="eastAsia"/>
          <w:b w:val="0"/>
          <w:sz w:val="32"/>
          <w:szCs w:val="32"/>
        </w:rPr>
      </w:pPr>
      <w:r>
        <w:rPr>
          <w:rFonts w:ascii="仿宋_GB2312" w:eastAsia="仿宋_GB2312" w:cs="仿宋" w:hint="eastAsia"/>
          <w:b w:val="0"/>
          <w:color w:val="000000"/>
          <w:kern w:val="0"/>
          <w:sz w:val="32"/>
          <w:szCs w:val="32"/>
          <w:lang w:val="en-US" w:eastAsia="zh-CN" w:bidi="ar-SA"/>
        </w:rPr>
        <w:t>7</w:t>
      </w:r>
      <w:r>
        <w:rPr>
          <w:rFonts w:ascii="仿宋_GB2312" w:eastAsia="仿宋_GB2312" w:cs="仿宋" w:hint="eastAsia"/>
          <w:b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ind w:firstLineChars="200" w:firstLine="640"/>
        <w:rPr>
          <w:rFonts w:ascii="仿宋_GB2312" w:eastAsia="仿宋_GB2312" w:cs="仿宋_GB2312" w:hint="eastAsia"/>
          <w:b w:val="0"/>
          <w:sz w:val="32"/>
          <w:szCs w:val="32"/>
        </w:rPr>
      </w:pPr>
      <w:r>
        <w:rPr>
          <w:rFonts w:ascii="仿宋_GB2312" w:eastAsia="仿宋_GB2312" w:cs="仿宋_GB2312" w:hint="eastAsia"/>
          <w:b w:val="0"/>
          <w:bCs/>
          <w:sz w:val="32"/>
          <w:szCs w:val="32"/>
        </w:rPr>
        <w:t>8.</w:t>
      </w:r>
      <w:r>
        <w:rPr>
          <w:rFonts w:ascii="仿宋_GB2312" w:eastAsia="仿宋_GB2312" w:cs="仿宋_GB2312" w:hint="eastAsia"/>
          <w:b w:val="0"/>
          <w:sz w:val="32"/>
          <w:szCs w:val="32"/>
        </w:rPr>
        <w:t>社会保障和就业机关事业单位基本养老保险（2080505）机关事业单位职业年金（2080506）：指反映机关事业单位实施养老保险制度由单位缴纳的基本养老保险费支出和职业年金支出。</w:t>
      </w:r>
    </w:p>
    <w:p>
      <w:pPr>
        <w:spacing w:line="576" w:lineRule="exact"/>
        <w:ind w:firstLineChars="200" w:firstLine="640"/>
        <w:rPr>
          <w:rFonts w:ascii="仿宋_GB2312" w:eastAsia="仿宋_GB2312" w:cs="仿宋_GB2312" w:hint="eastAsia"/>
          <w:b w:val="0"/>
          <w:sz w:val="32"/>
          <w:szCs w:val="32"/>
        </w:rPr>
      </w:pPr>
      <w:r>
        <w:rPr>
          <w:rFonts w:ascii="仿宋_GB2312" w:eastAsia="仿宋_GB2312" w:cs="仿宋_GB2312" w:hint="eastAsia"/>
          <w:b w:val="0"/>
          <w:bCs/>
          <w:sz w:val="32"/>
          <w:szCs w:val="32"/>
        </w:rPr>
        <w:t>9.</w:t>
      </w:r>
      <w:r>
        <w:rPr>
          <w:rFonts w:ascii="仿宋_GB2312" w:eastAsia="仿宋_GB2312" w:cs="仿宋_GB2312" w:hint="eastAsia"/>
          <w:b w:val="0"/>
          <w:sz w:val="32"/>
          <w:szCs w:val="32"/>
        </w:rPr>
        <w:t>医疗卫生与计划生育行政单位医疗（2101101）和公务员医疗补助（2101103）:指反映财政部门集中安排的行政单位基本医疗保险缴费经费和公务员医疗补助经费，未参加医疗保险的行政单位的公费医疗经费，按国家规定享受离休人员、红军老战士待遇人员的医疗经费。</w:t>
      </w:r>
    </w:p>
    <w:p>
      <w:pPr>
        <w:spacing w:line="576" w:lineRule="exact"/>
        <w:ind w:firstLineChars="200" w:firstLine="640"/>
        <w:rPr>
          <w:rFonts w:ascii="仿宋_GB2312" w:eastAsia="仿宋_GB2312" w:cs="仿宋_GB2312" w:hint="eastAsia"/>
          <w:b w:val="0"/>
          <w:sz w:val="32"/>
          <w:szCs w:val="32"/>
        </w:rPr>
      </w:pPr>
      <w:r>
        <w:rPr>
          <w:rFonts w:ascii="仿宋_GB2312" w:eastAsia="仿宋_GB2312" w:cs="仿宋_GB2312" w:hint="eastAsia"/>
          <w:b w:val="0"/>
          <w:bCs/>
          <w:sz w:val="32"/>
          <w:szCs w:val="32"/>
        </w:rPr>
        <w:t>10.</w:t>
      </w:r>
      <w:r>
        <w:rPr>
          <w:rFonts w:ascii="仿宋_GB2312" w:eastAsia="仿宋_GB2312" w:cs="仿宋_GB2312" w:hint="eastAsia"/>
          <w:b w:val="0"/>
          <w:sz w:val="32"/>
          <w:szCs w:val="32"/>
        </w:rPr>
        <w:t>住房保障支出住房公积金（2210201）：指反映行政事业单位按人力资源和社会保障部、财政部规定的基本工资和津贴补贴以及规定比例为职工缴纳的住房公积金。</w:t>
      </w:r>
    </w:p>
    <w:p>
      <w:pPr>
        <w:pStyle w:val="19"/>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11．一般公共服务201财政事务06其他财政事务支出99：指反映除上述项目以外其他财政事务方面的支出。</w:t>
      </w:r>
    </w:p>
    <w:p>
      <w:pPr>
        <w:spacing w:line="600" w:lineRule="exact"/>
        <w:ind w:firstLineChars="200" w:firstLine="640"/>
        <w:rPr>
          <w:rFonts w:ascii="仿宋_GB2312" w:eastAsia="仿宋_GB2312" w:hint="eastAsia"/>
          <w:b w:val="0"/>
          <w:sz w:val="32"/>
          <w:szCs w:val="32"/>
        </w:rPr>
      </w:pPr>
      <w:r>
        <w:rPr>
          <w:rFonts w:ascii="仿宋_GB2312" w:eastAsia="仿宋_GB2312" w:hint="eastAsia"/>
          <w:b w:val="0"/>
          <w:sz w:val="32"/>
          <w:szCs w:val="32"/>
        </w:rPr>
        <w:t>12．一般公共服务201财政事务06财政委托业务支出08：指反映财政委托评审机构进行财政投资评审和委托建设银行等代理业务发生的支出。</w:t>
      </w:r>
    </w:p>
    <w:p>
      <w:pPr>
        <w:spacing w:line="600" w:lineRule="exact"/>
        <w:ind w:firstLineChars="200" w:firstLine="640"/>
        <w:rPr>
          <w:rFonts w:ascii="仿宋_GB2312" w:eastAsia="仿宋_GB2312" w:hint="eastAsia"/>
          <w:b w:val="0"/>
          <w:sz w:val="32"/>
          <w:szCs w:val="32"/>
        </w:rPr>
      </w:pPr>
    </w:p>
    <w:p>
      <w:pPr>
        <w:spacing w:line="600" w:lineRule="exact"/>
        <w:ind w:firstLineChars="200" w:firstLine="640"/>
        <w:rPr>
          <w:rFonts w:ascii="仿宋_GB2312" w:eastAsia="仿宋_GB2312" w:hint="eastAsia"/>
          <w:b w:val="0"/>
          <w:sz w:val="32"/>
          <w:szCs w:val="32"/>
        </w:rPr>
      </w:pPr>
    </w:p>
    <w:p>
      <w:pPr>
        <w:spacing w:line="600" w:lineRule="exact"/>
        <w:ind w:firstLineChars="200" w:firstLine="640"/>
        <w:rPr>
          <w:rFonts w:ascii="仿宋_GB2312" w:eastAsia="仿宋_GB2312" w:hint="eastAsia"/>
          <w:b w:val="0"/>
          <w:sz w:val="32"/>
          <w:szCs w:val="32"/>
        </w:rPr>
      </w:pPr>
    </w:p>
    <w:p>
      <w:pPr>
        <w:spacing w:line="600" w:lineRule="exact"/>
        <w:ind w:firstLineChars="200" w:firstLine="640"/>
        <w:rPr>
          <w:rFonts w:ascii="仿宋_GB2312" w:eastAsia="仿宋_GB2312" w:hint="eastAsia"/>
          <w:b w:val="0"/>
          <w:sz w:val="32"/>
          <w:szCs w:val="32"/>
        </w:rPr>
      </w:pPr>
    </w:p>
    <w:p>
      <w:pPr>
        <w:spacing w:line="600" w:lineRule="exact"/>
        <w:ind w:firstLineChars="200" w:firstLine="640"/>
        <w:rPr>
          <w:rFonts w:ascii="仿宋_GB2312" w:eastAsia="仿宋_GB2312" w:hint="eastAsia"/>
          <w:b w:val="0"/>
          <w:sz w:val="32"/>
          <w:szCs w:val="32"/>
        </w:rPr>
      </w:pPr>
    </w:p>
    <w:p>
      <w:pPr>
        <w:spacing w:line="600" w:lineRule="exact"/>
        <w:ind w:firstLineChars="200" w:firstLine="640"/>
        <w:rPr>
          <w:rFonts w:ascii="仿宋_GB2312" w:eastAsia="仿宋_GB2312" w:hint="eastAsia"/>
          <w:b w:val="0"/>
          <w:sz w:val="32"/>
          <w:szCs w:val="32"/>
        </w:rPr>
      </w:pPr>
    </w:p>
    <w:p>
      <w:pPr>
        <w:numPr>
          <w:ilvl w:val="0"/>
          <w:numId w:val="3"/>
        </w:numPr>
        <w:autoSpaceDE w:val="0"/>
        <w:autoSpaceDN w:val="0"/>
        <w:adjustRightInd w:val="0"/>
        <w:spacing w:line="600" w:lineRule="exact"/>
        <w:ind w:left="0" w:firstLineChars="147" w:firstLine="470"/>
        <w:jc w:val="left"/>
        <w:rPr>
          <w:rFonts w:ascii="黑体" w:hint="eastAsia"/>
          <w:color w:val="000000"/>
          <w:sz w:val="32"/>
          <w:szCs w:val="32"/>
          <w:lang w:eastAsia="zh-CN"/>
        </w:rPr>
      </w:pPr>
      <w:r>
        <w:rPr>
          <w:rFonts w:ascii="黑体" w:hint="eastAsia"/>
          <w:color w:val="000000"/>
          <w:sz w:val="32"/>
          <w:szCs w:val="32"/>
          <w:lang w:eastAsia="zh-CN"/>
        </w:rPr>
        <w:t>附件</w:t>
      </w:r>
    </w:p>
    <w:p>
      <w:pPr>
        <w:autoSpaceDE w:val="0"/>
        <w:autoSpaceDN w:val="0"/>
        <w:adjustRightInd w:val="0"/>
        <w:spacing w:line="600" w:lineRule="exact"/>
        <w:jc w:val="left"/>
        <w:rPr>
          <w:rFonts w:ascii="黑体" w:hint="eastAsia"/>
          <w:color w:val="000000"/>
          <w:sz w:val="32"/>
          <w:szCs w:val="32"/>
          <w:lang w:eastAsia="zh-CN"/>
        </w:rPr>
      </w:pPr>
    </w:p>
    <w:p>
      <w:pPr>
        <w:spacing w:line="600" w:lineRule="exact"/>
        <w:jc w:val="center"/>
        <w:rPr>
          <w:rFonts w:ascii="方正小标宋_GBK" w:eastAsia="方正小标宋_GBK" w:cs="方正小标宋_GBK" w:hint="eastAsia"/>
          <w:b w:val="0"/>
          <w:sz w:val="32"/>
          <w:szCs w:val="32"/>
          <w:lang w:eastAsia="zh-CN"/>
        </w:rPr>
      </w:pPr>
      <w:r>
        <w:rPr>
          <w:rFonts w:ascii="方正小标宋_GBK" w:eastAsia="方正小标宋_GBK" w:cs="方正小标宋_GBK" w:hint="eastAsia"/>
          <w:b w:val="0"/>
          <w:sz w:val="32"/>
          <w:szCs w:val="32"/>
          <w:lang w:eastAsia="zh-CN"/>
        </w:rPr>
        <w:t>金川县财政局</w:t>
      </w:r>
    </w:p>
    <w:p>
      <w:pPr>
        <w:spacing w:line="600" w:lineRule="exact"/>
        <w:jc w:val="center"/>
        <w:rPr>
          <w:rFonts w:ascii="仿宋_GB2312" w:eastAsia="仿宋_GB2312" w:hint="eastAsia"/>
          <w:b w:val="0"/>
          <w:sz w:val="32"/>
          <w:szCs w:val="32"/>
          <w:lang w:eastAsia="zh-CN"/>
        </w:rPr>
      </w:pPr>
      <w:r>
        <w:rPr>
          <w:rFonts w:ascii="方正小标宋_GBK" w:eastAsia="方正小标宋_GBK" w:cs="方正小标宋_GBK" w:hint="eastAsia"/>
          <w:b w:val="0"/>
          <w:sz w:val="32"/>
          <w:szCs w:val="32"/>
          <w:lang w:eastAsia="zh-CN"/>
        </w:rPr>
        <w:t>关于2022年部门整体支出绩效评价报告</w:t>
      </w:r>
    </w:p>
    <w:p>
      <w:pPr>
        <w:spacing w:line="600" w:lineRule="exact"/>
        <w:rPr>
          <w:rFonts w:ascii="仿宋_GB2312" w:eastAsia="仿宋_GB2312" w:hint="eastAsia"/>
          <w:b w:val="0"/>
          <w:sz w:val="32"/>
          <w:szCs w:val="32"/>
          <w:lang w:eastAsia="zh-CN"/>
        </w:rPr>
      </w:pPr>
      <w:r>
        <w:rPr>
          <w:rFonts w:ascii="仿宋_GB2312" w:eastAsia="仿宋_GB2312" w:hint="eastAsia"/>
          <w:b w:val="0"/>
          <w:sz w:val="32"/>
          <w:szCs w:val="32"/>
          <w:lang w:eastAsia="zh-CN"/>
        </w:rPr>
        <w:t>金川县财政局：</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根据《金川县财政局关于开展2023年部门、政策和项目支出绩效评价工作的通知》（金财监绩〔2023〕32号）文件要求，结合本单位的实际情况，我局庚及认真开展部门整体支出绩效自评工作，现将2022年部门预算支出绩效自评工作报告如下：</w:t>
      </w:r>
    </w:p>
    <w:p>
      <w:pPr>
        <w:spacing w:line="600" w:lineRule="exact"/>
        <w:ind w:firstLineChars="200" w:firstLine="640"/>
        <w:rPr>
          <w:rFonts w:ascii="黑体" w:eastAsia="黑体" w:cs="黑体" w:hint="eastAsia"/>
          <w:b w:val="0"/>
          <w:sz w:val="32"/>
          <w:szCs w:val="32"/>
          <w:lang w:val="zh-CN" w:eastAsia="zh-CN"/>
        </w:rPr>
      </w:pPr>
      <w:r>
        <w:rPr>
          <w:rFonts w:ascii="黑体" w:eastAsia="黑体" w:cs="黑体" w:hint="eastAsia"/>
          <w:b w:val="0"/>
          <w:sz w:val="32"/>
          <w:szCs w:val="32"/>
          <w:lang w:eastAsia="zh-CN"/>
        </w:rPr>
        <w:t>一、</w:t>
      </w:r>
      <w:r>
        <w:rPr>
          <w:rFonts w:ascii="黑体" w:eastAsia="黑体" w:cs="黑体" w:hint="eastAsia"/>
          <w:b w:val="0"/>
          <w:sz w:val="32"/>
          <w:szCs w:val="32"/>
          <w:lang w:val="zh-CN" w:eastAsia="zh-CN"/>
        </w:rPr>
        <w:t>单位概况</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val="zh-CN" w:eastAsia="zh-CN"/>
        </w:rPr>
        <w:t>（一）机构组成:</w:t>
      </w:r>
      <w:r>
        <w:rPr>
          <w:rFonts w:ascii="仿宋_GB2312" w:eastAsia="仿宋_GB2312" w:hint="eastAsia"/>
          <w:b w:val="0"/>
          <w:sz w:val="32"/>
          <w:szCs w:val="32"/>
          <w:lang w:eastAsia="zh-CN"/>
        </w:rPr>
        <w:t>行政单位1个。</w:t>
      </w:r>
    </w:p>
    <w:p>
      <w:pPr>
        <w:spacing w:line="600" w:lineRule="exact"/>
        <w:ind w:firstLineChars="200" w:firstLine="640"/>
        <w:rPr>
          <w:rFonts w:ascii="仿宋_GB2312" w:eastAsia="仿宋_GB2312" w:hint="eastAsia"/>
          <w:b w:val="0"/>
          <w:sz w:val="32"/>
          <w:szCs w:val="32"/>
          <w:lang w:val="zh-CN" w:eastAsia="zh-CN"/>
        </w:rPr>
      </w:pPr>
      <w:r>
        <w:rPr>
          <w:rFonts w:ascii="仿宋_GB2312" w:eastAsia="仿宋_GB2312" w:hint="eastAsia"/>
          <w:b w:val="0"/>
          <w:sz w:val="32"/>
          <w:szCs w:val="32"/>
          <w:lang w:val="zh-CN" w:eastAsia="zh-CN"/>
        </w:rPr>
        <w:t>（二）机构职能:</w:t>
      </w:r>
    </w:p>
    <w:p>
      <w:pPr>
        <w:spacing w:line="600" w:lineRule="exact"/>
        <w:rPr>
          <w:rFonts w:ascii="仿宋_GB2312" w:eastAsia="仿宋_GB2312" w:hint="eastAsia"/>
          <w:b w:val="0"/>
          <w:sz w:val="32"/>
          <w:szCs w:val="32"/>
          <w:lang w:val="zh-CN" w:eastAsia="zh-CN"/>
        </w:rPr>
      </w:pPr>
      <w:r>
        <w:rPr>
          <w:rFonts w:ascii="仿宋_GB2312" w:eastAsia="仿宋_GB2312" w:hint="eastAsia"/>
          <w:b w:val="0"/>
          <w:sz w:val="32"/>
          <w:szCs w:val="32"/>
          <w:lang w:eastAsia="zh-CN"/>
        </w:rPr>
        <w:t xml:space="preserve"> </w:t>
      </w:r>
      <w:r>
        <w:rPr>
          <w:rFonts w:ascii="仿宋_GB2312" w:eastAsia="仿宋_GB2312" w:hint="eastAsia"/>
          <w:b w:val="0"/>
          <w:sz w:val="32"/>
          <w:szCs w:val="32"/>
          <w:lang w:val="en-US" w:eastAsia="zh-CN"/>
        </w:rPr>
        <w:t xml:space="preserve">   </w:t>
      </w: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1</w:t>
      </w:r>
      <w:r>
        <w:rPr>
          <w:rFonts w:ascii="仿宋_GB2312" w:eastAsia="仿宋_GB2312" w:hint="eastAsia"/>
          <w:b w:val="0"/>
          <w:sz w:val="32"/>
          <w:szCs w:val="32"/>
          <w:lang w:eastAsia="zh-CN"/>
        </w:rPr>
        <w:t>）拟定和执行全县财政经济的发展战略、方针政策和中、长期财政规划；贯彻执行财政分配政策和财政改革方案；参与宏观经济分析预测和全县重大宏观经济政策的制定；提出运用财税政策实施宏观经济调控和综合平衡全县财力的建议；制定构建地方公共财政体系的政策、制度；指导全县财政工作。</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val="en-US" w:eastAsia="zh-CN"/>
        </w:rPr>
        <w:t>（2）</w:t>
      </w:r>
      <w:r>
        <w:rPr>
          <w:rFonts w:ascii="仿宋_GB2312" w:eastAsia="仿宋_GB2312" w:hint="eastAsia"/>
          <w:b w:val="0"/>
          <w:sz w:val="32"/>
          <w:szCs w:val="32"/>
          <w:lang w:eastAsia="zh-CN"/>
        </w:rPr>
        <w:t>贯彻执行国家财税方面的法律、法规和方针、政策，负责起草地方性财税法规草案、实施办法和规章制度并组织实施。管理中央转贷的特种国债。</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3</w:t>
      </w:r>
      <w:r>
        <w:rPr>
          <w:rFonts w:ascii="仿宋_GB2312" w:eastAsia="仿宋_GB2312" w:hint="eastAsia"/>
          <w:b w:val="0"/>
          <w:sz w:val="32"/>
          <w:szCs w:val="32"/>
          <w:lang w:eastAsia="zh-CN"/>
        </w:rPr>
        <w:t>）承担各项财政收支管理的责任。负责编制年度县级预算草案并组织执行；受县政府委托，向县人民代表大会报告全县及县本级财政预算及执行情况，向县人大常委会报告决算；组织制定经费开支标准、定额，负责审核批复部门（单位）的年度预算。完善转移支付制度。</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4</w:t>
      </w:r>
      <w:r>
        <w:rPr>
          <w:rFonts w:ascii="仿宋_GB2312" w:eastAsia="仿宋_GB2312" w:hint="eastAsia"/>
          <w:b w:val="0"/>
          <w:sz w:val="32"/>
          <w:szCs w:val="32"/>
          <w:lang w:eastAsia="zh-CN"/>
        </w:rPr>
        <w:t>）负责政府非税收入管理。负责政府性基金管理，按规定管理行政事业性收费。管理财政票据。制定并组织实施彩票管理政策和有关办法，管理彩票市场，按规定管理彩票基金。</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5</w:t>
      </w:r>
      <w:r>
        <w:rPr>
          <w:rFonts w:ascii="仿宋_GB2312" w:eastAsia="仿宋_GB2312" w:hint="eastAsia"/>
          <w:b w:val="0"/>
          <w:sz w:val="32"/>
          <w:szCs w:val="32"/>
          <w:lang w:eastAsia="zh-CN"/>
        </w:rPr>
        <w:t>）组织制定全县国库管理制度、国库集中收付制度，指导和监督国库业务，按规定开展国库现金管理工作。负责制定政府采购制度，监督管理全县政府采购工作。</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6</w:t>
      </w:r>
      <w:r>
        <w:rPr>
          <w:rFonts w:ascii="仿宋_GB2312" w:eastAsia="仿宋_GB2312" w:hint="eastAsia"/>
          <w:b w:val="0"/>
          <w:sz w:val="32"/>
          <w:szCs w:val="32"/>
          <w:lang w:eastAsia="zh-CN"/>
        </w:rPr>
        <w:t>）会同有关部门管理全县社会保障和就业及医疗卫生支出，会同有关部门拟订社会保障资金（基金）的财务管理制度，编制县级社会保障预决算草案。</w:t>
      </w:r>
    </w:p>
    <w:p>
      <w:pPr>
        <w:spacing w:line="600" w:lineRule="exact"/>
        <w:rPr>
          <w:rFonts w:ascii="仿宋_GB2312" w:eastAsia="仿宋_GB2312" w:hint="eastAsia"/>
          <w:b w:val="0"/>
          <w:sz w:val="32"/>
          <w:szCs w:val="32"/>
          <w:lang w:eastAsia="zh-CN"/>
        </w:rPr>
      </w:pPr>
      <w:r>
        <w:rPr>
          <w:rFonts w:ascii="仿宋_GB2312" w:eastAsia="仿宋_GB2312" w:hint="eastAsia"/>
          <w:b w:val="0"/>
          <w:sz w:val="32"/>
          <w:szCs w:val="32"/>
          <w:lang w:eastAsia="zh-CN"/>
        </w:rPr>
        <w:t xml:space="preserve"> </w:t>
      </w:r>
      <w:r>
        <w:rPr>
          <w:rFonts w:ascii="仿宋_GB2312" w:eastAsia="仿宋_GB2312" w:hint="eastAsia"/>
          <w:b w:val="0"/>
          <w:sz w:val="32"/>
          <w:szCs w:val="32"/>
          <w:lang w:val="en-US" w:eastAsia="zh-CN"/>
        </w:rPr>
        <w:t xml:space="preserve">   </w:t>
      </w: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7</w:t>
      </w:r>
      <w:r>
        <w:rPr>
          <w:rFonts w:ascii="仿宋_GB2312" w:eastAsia="仿宋_GB2312" w:hint="eastAsia"/>
          <w:b w:val="0"/>
          <w:sz w:val="32"/>
          <w:szCs w:val="32"/>
          <w:lang w:eastAsia="zh-CN"/>
        </w:rPr>
        <w:t>）负责组织执行政府债务管理制度和政策，制定具体管理办法，负责管理政府债务，防范财政风险。参与研究利用外资的有政策，管理外国政府和国际金融机构（赠）款项目的有关业务。</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8</w:t>
      </w:r>
      <w:r>
        <w:rPr>
          <w:rFonts w:ascii="仿宋_GB2312" w:eastAsia="仿宋_GB2312" w:hint="eastAsia"/>
          <w:b w:val="0"/>
          <w:sz w:val="32"/>
          <w:szCs w:val="32"/>
          <w:lang w:eastAsia="zh-CN"/>
        </w:rPr>
        <w:t>）负责审核和汇总编制全县国有资本经营预决算草案，制定国有资本经营预算的制度和办法，收取县本级企业国有资本收益，组织实施企业财务制度，按规定管理金融类国有资产，参与拟订企业国有资产管理相关制度，按规定管理资产评估工作。</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9）负责制定全县行政事业单位国有资产管理规章制度及县级机关事业单位国有资产收益管理办法并对执行情况进行监督检查，负责县级机关国有资产经营收益财政专户管理工作。制定需要全县统一规定的开支标准和支出政策。</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10</w:t>
      </w:r>
      <w:r>
        <w:rPr>
          <w:rFonts w:ascii="仿宋_GB2312" w:eastAsia="仿宋_GB2312" w:hint="eastAsia"/>
          <w:b w:val="0"/>
          <w:sz w:val="32"/>
          <w:szCs w:val="32"/>
          <w:lang w:eastAsia="zh-CN"/>
        </w:rPr>
        <w:t>）负责办理和监督财政性经济发展支出、政府性投资项目的财政拨款，负责投资评审工作，参与拟订政府性建设投资的有关政策，制定基本建设财务制度，负责有关政策性补贴和专项储备资金财务管理工作。负责全县农业综合开发管理工作。</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（11）负责管理全县会计工作，监督和规范会计行为，实施国家统一会计制度和补充规定；会同有关部门管理会计专业技术职称工作。</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（12）负责财政资金绩效评价；监督检查财税政策、法律法规的执行；反映财政收支中的重大问题；依法查处重点违反财经纪律的行为。</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13</w:t>
      </w:r>
      <w:r>
        <w:rPr>
          <w:rFonts w:ascii="仿宋_GB2312" w:eastAsia="仿宋_GB2312" w:hint="eastAsia"/>
          <w:b w:val="0"/>
          <w:sz w:val="32"/>
          <w:szCs w:val="32"/>
          <w:lang w:eastAsia="zh-CN"/>
        </w:rPr>
        <w:t>） 制定财政科研计划和教育培训规划；组织财政业务培训；负责财政信息和财政宣传工作；指导全县财政系统抓好精神文明建设和廉政建设，做好财政系统干部的思想政治工作。</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14</w:t>
      </w:r>
      <w:r>
        <w:rPr>
          <w:rFonts w:ascii="仿宋_GB2312" w:eastAsia="仿宋_GB2312" w:hint="eastAsia"/>
          <w:b w:val="0"/>
          <w:sz w:val="32"/>
          <w:szCs w:val="32"/>
          <w:lang w:eastAsia="zh-CN"/>
        </w:rPr>
        <w:t>）承担县政府公布的有关行政审批事项。</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w:t>
      </w:r>
      <w:r>
        <w:rPr>
          <w:rFonts w:ascii="仿宋_GB2312" w:eastAsia="仿宋_GB2312" w:hint="eastAsia"/>
          <w:b w:val="0"/>
          <w:sz w:val="32"/>
          <w:szCs w:val="32"/>
          <w:lang w:val="en-US" w:eastAsia="zh-CN"/>
        </w:rPr>
        <w:t>15</w:t>
      </w:r>
      <w:r>
        <w:rPr>
          <w:rFonts w:ascii="仿宋_GB2312" w:eastAsia="仿宋_GB2312" w:hint="eastAsia"/>
          <w:b w:val="0"/>
          <w:sz w:val="32"/>
          <w:szCs w:val="32"/>
          <w:lang w:eastAsia="zh-CN"/>
        </w:rPr>
        <w:t>）承办县政府交办的其他事项</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val="zh-CN" w:eastAsia="zh-CN"/>
        </w:rPr>
        <w:t>（三）人员概况:</w:t>
      </w:r>
      <w:r>
        <w:rPr>
          <w:rFonts w:ascii="仿宋_GB2312" w:eastAsia="仿宋_GB2312" w:hint="eastAsia"/>
          <w:b w:val="0"/>
          <w:sz w:val="32"/>
          <w:szCs w:val="32"/>
          <w:lang w:eastAsia="zh-CN"/>
        </w:rPr>
        <w:t xml:space="preserve"> </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单位编制数37个，其中：行政编制15人、行政工勤编制2人、事业编制19个、事业工勤编制1人；</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2022年年末在职34人（行政13人，行政工勤2人，参公人员19人）。</w:t>
      </w:r>
    </w:p>
    <w:p>
      <w:pPr>
        <w:spacing w:line="600" w:lineRule="exact"/>
        <w:ind w:firstLineChars="200" w:firstLine="640"/>
        <w:rPr>
          <w:rFonts w:ascii="仿宋_GB2312" w:eastAsia="仿宋_GB2312" w:hint="eastAsia"/>
          <w:b w:val="0"/>
          <w:sz w:val="32"/>
          <w:szCs w:val="32"/>
          <w:lang w:eastAsia="zh-CN"/>
        </w:rPr>
      </w:pPr>
      <w:r>
        <w:rPr>
          <w:rFonts w:ascii="黑体" w:eastAsia="黑体" w:cs="黑体" w:hint="eastAsia"/>
          <w:b w:val="0"/>
          <w:sz w:val="32"/>
          <w:szCs w:val="32"/>
          <w:lang w:eastAsia="zh-CN"/>
        </w:rPr>
        <w:t>二、预算编制</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2021年12月19日在县十五届人民代表大会一次会议上通过审议，2022年1月5日金川县财政局预算批复《关于下达2022年部门预算的通知》（金财预[2022]1号），要求预算单位应在收到财政部门批复20日内进行预算公开， 公开材料包括： 预算编制说明、 预算公开表、“三公”经费预算情况说明等。</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我单位2022年经公开的部门年初收入预算数为940.18万元，其中：基本支出462.18万元，占49.16%；项目支出478万元，占50.84%。</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我单位2022年总支出为1255.83万元。</w:t>
      </w:r>
    </w:p>
    <w:p>
      <w:pPr>
        <w:spacing w:line="600" w:lineRule="exact"/>
        <w:ind w:firstLineChars="200" w:firstLine="640"/>
        <w:rPr>
          <w:rFonts w:ascii="仿宋_GB2312" w:eastAsia="仿宋_GB2312" w:hint="eastAsia"/>
          <w:b w:val="0"/>
          <w:sz w:val="32"/>
          <w:szCs w:val="32"/>
          <w:lang w:eastAsia="zh-CN"/>
        </w:rPr>
      </w:pPr>
      <w:r>
        <w:rPr>
          <w:rFonts w:ascii="黑体" w:eastAsia="黑体" w:cs="黑体" w:hint="eastAsia"/>
          <w:b w:val="0"/>
          <w:sz w:val="32"/>
          <w:szCs w:val="32"/>
          <w:lang w:eastAsia="zh-CN"/>
        </w:rPr>
        <w:t>三、部门财政资金决算收支情况</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val="zh-CN" w:eastAsia="zh-CN"/>
        </w:rPr>
        <w:t>（一）部门财政资金收入</w:t>
      </w:r>
      <w:r>
        <w:rPr>
          <w:rFonts w:ascii="仿宋_GB2312" w:eastAsia="仿宋_GB2312" w:hint="eastAsia"/>
          <w:b w:val="0"/>
          <w:sz w:val="32"/>
          <w:szCs w:val="32"/>
          <w:lang w:eastAsia="zh-CN"/>
        </w:rPr>
        <w:t xml:space="preserve"> </w:t>
      </w:r>
    </w:p>
    <w:p>
      <w:pPr>
        <w:spacing w:line="600" w:lineRule="exact"/>
        <w:ind w:firstLineChars="200" w:firstLine="640"/>
        <w:rPr>
          <w:rFonts w:ascii="仿宋_GB2312" w:eastAsia="仿宋_GB2312" w:hint="eastAsia"/>
          <w:b w:val="0"/>
          <w:sz w:val="32"/>
          <w:szCs w:val="32"/>
          <w:lang w:val="zh-CN" w:eastAsia="zh-CN"/>
        </w:rPr>
      </w:pPr>
      <w:r>
        <w:rPr>
          <w:rFonts w:ascii="仿宋_GB2312" w:eastAsia="仿宋_GB2312" w:hint="eastAsia"/>
          <w:b w:val="0"/>
          <w:sz w:val="32"/>
          <w:szCs w:val="32"/>
          <w:lang w:eastAsia="zh-CN"/>
        </w:rPr>
        <w:t>2022年年初部门预算收入940.18万元：基本支出462.18万元，项目支出478万元；年终总收入1255.83万元：基本支出744.12万元，项目支出511.71万元</w:t>
      </w:r>
      <w:r>
        <w:rPr>
          <w:rFonts w:ascii="仿宋_GB2312" w:eastAsia="仿宋_GB2312" w:hint="eastAsia"/>
          <w:b w:val="0"/>
          <w:sz w:val="32"/>
          <w:szCs w:val="32"/>
          <w:lang w:val="zh-CN" w:eastAsia="zh-CN"/>
        </w:rPr>
        <w:t>；</w:t>
      </w:r>
      <w:r>
        <w:rPr>
          <w:rFonts w:ascii="仿宋_GB2312" w:eastAsia="仿宋_GB2312" w:hint="eastAsia"/>
          <w:b w:val="0"/>
          <w:sz w:val="32"/>
          <w:szCs w:val="32"/>
          <w:lang w:eastAsia="zh-CN"/>
        </w:rPr>
        <w:t>上年结转0万元。</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val="zh-CN" w:eastAsia="zh-CN"/>
        </w:rPr>
        <w:t>（二）部门财政资金支出情况</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2022年一般公共预算财政拨款基本支出744.12万元，其中：</w:t>
      </w:r>
    </w:p>
    <w:p>
      <w:pPr>
        <w:spacing w:line="600" w:lineRule="exact"/>
        <w:ind w:firstLineChars="200" w:firstLine="640"/>
        <w:rPr>
          <w:rFonts w:ascii="仿宋_GB2312" w:eastAsia="仿宋_GB2312" w:hint="eastAsia"/>
          <w:b w:val="0"/>
          <w:sz w:val="32"/>
          <w:szCs w:val="32"/>
          <w:lang w:eastAsia="zh-CN"/>
        </w:rPr>
      </w:pPr>
      <w:bookmarkStart w:id="0" w:name="_Toc23811"/>
      <w:r>
        <w:rPr>
          <w:rFonts w:ascii="仿宋_GB2312" w:eastAsia="仿宋_GB2312" w:hint="eastAsia"/>
          <w:b w:val="0"/>
          <w:sz w:val="32"/>
          <w:szCs w:val="32"/>
          <w:lang w:eastAsia="zh-CN"/>
        </w:rPr>
        <w:t>1.人员经费704.44万元，，主要包括：基本工资135.50万元、津贴补贴175.28元、奖金107.38万元、机关事业单位基本养老保险缴费55万元、职业年金缴费27.5万元、其他社会保障缴费（工伤失业保险）5.06万元、生活补助21.34万元、奖励金72.83万元、住房公积金47.63万元、基本医疗缴费26.15万元、公务员医疗补助9.61万元，抚恤金21.16万元。</w:t>
        <w:br/>
        <w:t xml:space="preserve">    2.公用经费39.68万元，主要包括：办公费9.54万元、水费0.76万元、电费3.4万元、差旅费8.66万元、维修（护）费1.50万元、福利费4.02万元、公务用车运行维护费11.80万元。</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3.2022年一般公共预算财政拨款项目支出511.71万元，其中：</w:t>
      </w:r>
      <w:bookmarkEnd w:id="0"/>
      <w:r>
        <w:rPr>
          <w:rFonts w:ascii="仿宋_GB2312" w:eastAsia="仿宋_GB2312" w:hint="eastAsia"/>
          <w:b w:val="0"/>
          <w:sz w:val="32"/>
          <w:szCs w:val="32"/>
          <w:lang w:eastAsia="zh-CN"/>
        </w:rPr>
        <w:t>财政委托业务支出357.11万元；其他财政事务支出154.60万元。</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财政拨款支出主要用于保障本部门机构正常运转、完成日常工作任务。基本人员支出，是用于财政局和支付中心单位工作人员工资和社保就业保障经费。日常公用支出包括办公费、印刷费、水电费、“三公经费”等日常公用经费。项目支出，是用于系统维护、绩效评价费及项目评审费等。</w:t>
      </w:r>
    </w:p>
    <w:p>
      <w:pPr>
        <w:spacing w:line="600" w:lineRule="exact"/>
        <w:ind w:firstLineChars="200" w:firstLine="640"/>
        <w:rPr>
          <w:rFonts w:ascii="黑体" w:eastAsia="黑体" w:cs="黑体" w:hint="eastAsia"/>
          <w:b w:val="0"/>
          <w:sz w:val="32"/>
          <w:szCs w:val="32"/>
          <w:lang w:eastAsia="zh-CN"/>
        </w:rPr>
      </w:pPr>
      <w:r>
        <w:rPr>
          <w:rFonts w:ascii="黑体" w:eastAsia="黑体" w:cs="黑体" w:hint="eastAsia"/>
          <w:b w:val="0"/>
          <w:sz w:val="32"/>
          <w:szCs w:val="32"/>
          <w:lang w:eastAsia="zh-CN"/>
        </w:rPr>
        <w:t>四、部门财政支出管理情况</w:t>
      </w:r>
    </w:p>
    <w:p>
      <w:pPr>
        <w:spacing w:line="600" w:lineRule="exact"/>
        <w:ind w:firstLineChars="200" w:firstLine="640"/>
        <w:rPr>
          <w:rFonts w:ascii="仿宋_GB2312" w:eastAsia="仿宋_GB2312" w:hint="eastAsia"/>
          <w:b w:val="0"/>
          <w:sz w:val="32"/>
          <w:szCs w:val="32"/>
          <w:lang w:val="zh-CN" w:eastAsia="zh-CN"/>
        </w:rPr>
      </w:pPr>
      <w:r>
        <w:rPr>
          <w:rFonts w:ascii="仿宋_GB2312" w:eastAsia="仿宋_GB2312" w:hint="eastAsia"/>
          <w:b w:val="0"/>
          <w:sz w:val="32"/>
          <w:szCs w:val="32"/>
          <w:lang w:val="zh-CN" w:eastAsia="zh-CN"/>
        </w:rPr>
        <w:t>（一）预算编制情况</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按照综合预算的编制原则，保证预算编制质量，我单位所有收入和支出均纳入财政预算管理，公用经费按人员数进行编制，其它经费严格按照有关预算法执行。</w:t>
      </w:r>
    </w:p>
    <w:p>
      <w:pPr>
        <w:spacing w:line="600" w:lineRule="exact"/>
        <w:ind w:firstLineChars="200" w:firstLine="640"/>
        <w:rPr>
          <w:rFonts w:ascii="仿宋_GB2312" w:eastAsia="仿宋_GB2312" w:hint="eastAsia"/>
          <w:b w:val="0"/>
          <w:sz w:val="32"/>
          <w:szCs w:val="32"/>
          <w:lang w:val="zh-CN" w:eastAsia="zh-CN"/>
        </w:rPr>
      </w:pPr>
      <w:r>
        <w:rPr>
          <w:rFonts w:ascii="仿宋_GB2312" w:eastAsia="仿宋_GB2312" w:hint="eastAsia"/>
          <w:b w:val="0"/>
          <w:sz w:val="32"/>
          <w:szCs w:val="32"/>
          <w:lang w:val="zh-CN" w:eastAsia="zh-CN"/>
        </w:rPr>
        <w:t>（二）执行预算情况。</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1、预算执行情况：严格按照县级部门预算编制通知和有关要求，按时完成基础库、项目库报送工作，预算编制中，特别注意对预算编制准确性的把握，并严格按照要求进行预算执行调整。按时完成待批复提前细化。</w:t>
      </w:r>
      <w:r>
        <w:rPr>
          <w:rFonts w:ascii="仿宋_GB2312" w:eastAsia="仿宋_GB2312" w:hint="eastAsia"/>
          <w:b w:val="0"/>
          <w:sz w:val="32"/>
          <w:szCs w:val="32"/>
          <w:lang w:val="zh-CN" w:eastAsia="zh-CN"/>
        </w:rPr>
        <w:t>部门预算在财政部门批复后及时填报预算公示报表报财政审核在政府信息公开网上公示。</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2、三公经费预算执行情况：</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2022年公务接待费预算0.89万元，（按2022年编制预算文件，公务接待费按总公务费比例2%计算），支出0万元；2022年公务用车维护费预算12万元，支出11.80万元。</w:t>
      </w:r>
    </w:p>
    <w:p>
      <w:pPr>
        <w:spacing w:line="600" w:lineRule="exact"/>
        <w:ind w:firstLineChars="200" w:firstLine="640"/>
        <w:rPr>
          <w:rFonts w:ascii="仿宋_GB2312" w:eastAsia="仿宋_GB2312" w:hint="eastAsia"/>
          <w:b w:val="0"/>
          <w:sz w:val="32"/>
          <w:szCs w:val="32"/>
          <w:lang w:val="zh-CN" w:eastAsia="zh-CN"/>
        </w:rPr>
      </w:pPr>
      <w:r>
        <w:rPr>
          <w:rFonts w:ascii="仿宋_GB2312" w:eastAsia="仿宋_GB2312" w:hint="eastAsia"/>
          <w:b w:val="0"/>
          <w:sz w:val="32"/>
          <w:szCs w:val="32"/>
          <w:lang w:val="zh-CN" w:eastAsia="zh-CN"/>
        </w:rPr>
        <w:t>（三）综合管理情况</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1、政府采购方面：进行政府采购的资产严格按采购程序采购并登记入账，零星采购严格按固定资产管理办法进行登记入账。2022年政府采购项目1个，支出22.67万元，其中办公设备购置17.07万元，服务支出5.6万元</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2、固定资产管理方面：本单位固定资产按科学合理、优化资产结构、勤俭节约的原则和专门的资产管理系统进行管理，截止2022年12月31日，年末总资产账面金额3270228.40元，其中固定资产3265988.40元，无形资产4240元，固定资产账面数据和固定资产管理系统数据一致。</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3、内控制度方面:为进一步做好行政事业单位内部控制基础性工作，结合我局实际，特制订预算管理、财务收支管理、政府采购及管理、资产管理、基本建设项目管理、合同管理、财务管理、差旅费报销、公务接待、工作岗位职责、考勤请销假、下乡和车辆管理、驾驶员管理工作、会务工作、内部联席工作、保密工作、办公室首问、公室印章管理使用、学习会议等制度草案。</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4、信息公开方面：预算决算公开按财政局的要求在收到财政批复后20个工作日在金川县政府中心的信息网站进行公开。</w:t>
      </w:r>
    </w:p>
    <w:p>
      <w:pPr>
        <w:spacing w:line="600" w:lineRule="exact"/>
        <w:ind w:firstLineChars="200" w:firstLine="640"/>
        <w:rPr>
          <w:rFonts w:ascii="仿宋_GB2312" w:eastAsia="仿宋_GB2312" w:hint="eastAsia"/>
          <w:b w:val="0"/>
          <w:sz w:val="32"/>
          <w:szCs w:val="32"/>
          <w:lang w:val="zh-CN" w:eastAsia="zh-CN"/>
        </w:rPr>
      </w:pPr>
      <w:r>
        <w:rPr>
          <w:rFonts w:ascii="仿宋_GB2312" w:eastAsia="仿宋_GB2312" w:hint="eastAsia"/>
          <w:b w:val="0"/>
          <w:sz w:val="32"/>
          <w:szCs w:val="32"/>
          <w:lang w:eastAsia="zh-CN"/>
        </w:rPr>
        <w:t>5、绩效评价及财政监督情况:按部门支出绩效评价指标体系进行单位自评，按财政要求收支并接受财政的监督管理。</w:t>
      </w:r>
    </w:p>
    <w:p>
      <w:pPr>
        <w:spacing w:line="600" w:lineRule="exact"/>
        <w:ind w:firstLineChars="200" w:firstLine="640"/>
        <w:rPr>
          <w:rFonts w:ascii="仿宋_GB2312" w:eastAsia="仿宋_GB2312" w:hint="eastAsia"/>
          <w:b w:val="0"/>
          <w:sz w:val="32"/>
          <w:szCs w:val="32"/>
          <w:lang w:val="zh-CN" w:eastAsia="zh-CN"/>
        </w:rPr>
      </w:pPr>
      <w:r>
        <w:rPr>
          <w:rFonts w:ascii="仿宋_GB2312" w:eastAsia="仿宋_GB2312" w:hint="eastAsia"/>
          <w:b w:val="0"/>
          <w:sz w:val="32"/>
          <w:szCs w:val="32"/>
          <w:lang w:val="zh-CN" w:eastAsia="zh-CN"/>
        </w:rPr>
        <w:t>（四）整体绩效</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val="zh-CN" w:eastAsia="zh-CN"/>
        </w:rPr>
        <w:t>我局严格履行部门职能职责，做好预算编制及绩效管理工作，花钱必问效，无效必问责，进一步强化预算绩效管理，着力提高财政资源配置效率和使用效益，为全县的经济发展提供有力的保障。我局的重点项目是全县项目绩效评价和财政评审，自评得分95分。</w:t>
      </w:r>
    </w:p>
    <w:p>
      <w:pPr>
        <w:spacing w:line="600" w:lineRule="exact"/>
        <w:ind w:firstLineChars="200" w:firstLine="640"/>
        <w:rPr>
          <w:rFonts w:ascii="仿宋_GB2312" w:eastAsia="仿宋_GB2312" w:hint="eastAsia"/>
          <w:b w:val="0"/>
          <w:sz w:val="32"/>
          <w:szCs w:val="32"/>
          <w:lang w:eastAsia="zh-CN"/>
        </w:rPr>
      </w:pPr>
      <w:r>
        <w:rPr>
          <w:rFonts w:ascii="黑体" w:eastAsia="黑体" w:cs="黑体" w:hint="eastAsia"/>
          <w:b w:val="0"/>
          <w:sz w:val="32"/>
          <w:szCs w:val="32"/>
          <w:lang w:eastAsia="zh-CN"/>
        </w:rPr>
        <w:t>五、评价结论及建议</w:t>
      </w:r>
    </w:p>
    <w:p>
      <w:pPr>
        <w:spacing w:line="600" w:lineRule="exact"/>
        <w:ind w:firstLineChars="200" w:firstLine="640"/>
        <w:rPr>
          <w:rFonts w:ascii="仿宋_GB2312" w:eastAsia="仿宋_GB2312" w:hint="eastAsia"/>
          <w:b w:val="0"/>
          <w:sz w:val="32"/>
          <w:szCs w:val="32"/>
          <w:lang w:val="zh-CN" w:eastAsia="zh-CN"/>
        </w:rPr>
      </w:pPr>
      <w:r>
        <w:rPr>
          <w:rFonts w:ascii="仿宋_GB2312" w:eastAsia="仿宋_GB2312" w:hint="eastAsia"/>
          <w:b w:val="0"/>
          <w:sz w:val="32"/>
          <w:szCs w:val="32"/>
          <w:lang w:val="zh-CN" w:eastAsia="zh-CN"/>
        </w:rPr>
        <w:t>（一）评价结论。</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根据部门支出绩效评价指标体系进行单位自评，圆满完成绩效自评工作，圆满完成中央、省、州委和县的重要工作、目标任务。我局2022年部门支出与年初预算基本一致，达到预期绩效目标。</w:t>
      </w:r>
    </w:p>
    <w:p>
      <w:pPr>
        <w:spacing w:line="600" w:lineRule="exact"/>
        <w:ind w:firstLineChars="200" w:firstLine="640"/>
        <w:rPr>
          <w:rFonts w:ascii="仿宋_GB2312" w:eastAsia="仿宋_GB2312" w:hint="eastAsia"/>
          <w:b w:val="0"/>
          <w:sz w:val="32"/>
          <w:szCs w:val="32"/>
          <w:lang w:val="zh-CN" w:eastAsia="zh-CN"/>
        </w:rPr>
      </w:pPr>
      <w:r>
        <w:rPr>
          <w:rFonts w:ascii="仿宋_GB2312" w:eastAsia="仿宋_GB2312" w:hint="eastAsia"/>
          <w:b w:val="0"/>
          <w:sz w:val="32"/>
          <w:szCs w:val="32"/>
          <w:lang w:val="zh-CN" w:eastAsia="zh-CN"/>
        </w:rPr>
        <w:t>（二）存在问题。</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eastAsia="zh-CN"/>
        </w:rPr>
        <w:t>我局在部门预算时涉及的经费支出，无法保障所需经费，存在调整预算；预算不精准。</w:t>
      </w:r>
    </w:p>
    <w:p>
      <w:pPr>
        <w:spacing w:line="600" w:lineRule="exact"/>
        <w:ind w:firstLineChars="200" w:firstLine="640"/>
        <w:rPr>
          <w:rFonts w:ascii="仿宋_GB2312" w:eastAsia="仿宋_GB2312" w:hint="eastAsia"/>
          <w:b w:val="0"/>
          <w:sz w:val="32"/>
          <w:szCs w:val="32"/>
          <w:lang w:val="zh-CN" w:eastAsia="zh-CN"/>
        </w:rPr>
      </w:pPr>
      <w:r>
        <w:rPr>
          <w:rFonts w:ascii="仿宋_GB2312" w:eastAsia="仿宋_GB2312" w:hint="eastAsia"/>
          <w:b w:val="0"/>
          <w:sz w:val="32"/>
          <w:szCs w:val="32"/>
          <w:lang w:val="zh-CN" w:eastAsia="zh-CN"/>
        </w:rPr>
        <w:t>（三）改进建议。</w:t>
      </w:r>
    </w:p>
    <w:p>
      <w:pPr>
        <w:spacing w:line="600" w:lineRule="exact"/>
        <w:ind w:firstLineChars="200" w:firstLine="640"/>
        <w:rPr>
          <w:rFonts w:ascii="仿宋_GB2312" w:eastAsia="仿宋_GB2312" w:hint="eastAsia"/>
          <w:b w:val="0"/>
          <w:sz w:val="32"/>
          <w:szCs w:val="32"/>
          <w:lang w:eastAsia="zh-CN"/>
        </w:rPr>
      </w:pPr>
      <w:r>
        <w:rPr>
          <w:rFonts w:ascii="仿宋_GB2312" w:eastAsia="仿宋_GB2312" w:hint="eastAsia"/>
          <w:b w:val="0"/>
          <w:sz w:val="32"/>
          <w:szCs w:val="32"/>
          <w:lang w:val="en-US" w:eastAsia="zh-CN"/>
        </w:rPr>
        <w:t>1、</w:t>
      </w:r>
      <w:r>
        <w:rPr>
          <w:rFonts w:ascii="仿宋_GB2312" w:eastAsia="仿宋_GB2312" w:hint="eastAsia"/>
          <w:b w:val="0"/>
          <w:sz w:val="32"/>
          <w:szCs w:val="32"/>
          <w:lang w:eastAsia="zh-CN"/>
        </w:rPr>
        <w:t xml:space="preserve">遵循先有预算、后有支出的原则，加强财务管理和内部控制监督制度。严禁超预算和无预算安排支出，严格开支范围和标准，严格支出报销审核，不报销任何超范围、超标准的费用。 </w:t>
        <w:br/>
        <w:t xml:space="preserve"> </w:t>
      </w:r>
      <w:r>
        <w:rPr>
          <w:rFonts w:ascii="仿宋_GB2312" w:eastAsia="仿宋_GB2312" w:hint="eastAsia"/>
          <w:b w:val="0"/>
          <w:sz w:val="32"/>
          <w:szCs w:val="32"/>
          <w:lang w:val="en-US" w:eastAsia="zh-CN"/>
        </w:rPr>
        <w:t xml:space="preserve">  </w:t>
      </w:r>
      <w:r>
        <w:rPr>
          <w:rFonts w:ascii="仿宋_GB2312" w:eastAsia="仿宋_GB2312" w:hint="eastAsia"/>
          <w:b w:val="0"/>
          <w:sz w:val="32"/>
          <w:szCs w:val="32"/>
          <w:lang w:eastAsia="zh-CN"/>
        </w:rPr>
        <w:t xml:space="preserve"> 2、严格控制“三公”经费。认真贯彻落实中央、省委省政府和县委县政府相关规定，严格“三公”经费支出的审核和审批，合理压缩“三公”经费支出</w:t>
      </w:r>
    </w:p>
    <w:p>
      <w:pPr>
        <w:spacing w:line="600" w:lineRule="exact"/>
        <w:rPr>
          <w:rFonts w:ascii="仿宋_GB2312" w:eastAsia="仿宋_GB2312" w:hint="eastAsia"/>
          <w:b w:val="0"/>
          <w:sz w:val="32"/>
          <w:szCs w:val="32"/>
          <w:lang w:eastAsia="zh-CN"/>
        </w:rPr>
      </w:pPr>
    </w:p>
    <w:p>
      <w:pPr>
        <w:spacing w:line="600" w:lineRule="exact"/>
        <w:rPr>
          <w:rFonts w:ascii="仿宋_GB2312" w:eastAsia="仿宋_GB2312" w:hint="eastAsia"/>
          <w:b w:val="0"/>
          <w:sz w:val="32"/>
          <w:szCs w:val="32"/>
          <w:lang w:eastAsia="zh-CN"/>
        </w:rPr>
      </w:pPr>
    </w:p>
    <w:p>
      <w:pPr>
        <w:spacing w:line="600" w:lineRule="exact"/>
        <w:rPr>
          <w:rFonts w:ascii="仿宋_GB2312" w:eastAsia="仿宋_GB2312" w:hint="eastAsia"/>
          <w:b w:val="0"/>
          <w:sz w:val="32"/>
          <w:szCs w:val="32"/>
          <w:lang w:eastAsia="zh-CN"/>
        </w:rPr>
      </w:pPr>
    </w:p>
    <w:p>
      <w:pPr>
        <w:spacing w:line="600" w:lineRule="exact"/>
        <w:rPr>
          <w:rFonts w:ascii="仿宋_GB2312" w:eastAsia="仿宋_GB2312" w:hint="eastAsia"/>
          <w:b w:val="0"/>
          <w:sz w:val="32"/>
          <w:szCs w:val="32"/>
          <w:lang w:eastAsia="zh-CN"/>
        </w:rPr>
      </w:pPr>
    </w:p>
    <w:p>
      <w:pPr>
        <w:spacing w:line="600" w:lineRule="exact"/>
        <w:ind w:firstLineChars="1500" w:firstLine="4800"/>
        <w:rPr>
          <w:rFonts w:ascii="仿宋_GB2312" w:eastAsia="仿宋_GB2312" w:hint="eastAsia"/>
          <w:b w:val="0"/>
          <w:sz w:val="32"/>
          <w:szCs w:val="32"/>
          <w:lang w:eastAsia="zh-CN"/>
        </w:rPr>
      </w:pPr>
      <w:r>
        <w:rPr>
          <w:rFonts w:ascii="仿宋_GB2312" w:eastAsia="仿宋_GB2312" w:hint="eastAsia"/>
          <w:b w:val="0"/>
          <w:sz w:val="32"/>
          <w:szCs w:val="32"/>
          <w:lang w:eastAsia="zh-CN"/>
        </w:rPr>
        <w:t>金川县财政局</w:t>
      </w:r>
    </w:p>
    <w:p>
      <w:pPr>
        <w:spacing w:line="600" w:lineRule="exact"/>
        <w:ind w:firstLineChars="1700" w:firstLine="5440"/>
        <w:rPr>
          <w:rFonts w:ascii="仿宋_GB2312" w:eastAsia="仿宋_GB2312" w:hint="eastAsia"/>
          <w:b w:val="0"/>
          <w:sz w:val="32"/>
          <w:szCs w:val="32"/>
          <w:lang w:eastAsia="zh-CN"/>
        </w:rPr>
      </w:pPr>
      <w:r>
        <w:rPr>
          <w:rFonts w:ascii="仿宋_GB2312" w:eastAsia="仿宋_GB2312" w:hint="eastAsia"/>
          <w:b w:val="0"/>
          <w:sz w:val="32"/>
          <w:szCs w:val="32"/>
          <w:lang w:eastAsia="zh-CN"/>
        </w:rPr>
        <w:t>2023年</w:t>
      </w:r>
      <w:r>
        <w:rPr>
          <w:rFonts w:ascii="仿宋_GB2312" w:eastAsia="仿宋_GB2312" w:hint="eastAsia"/>
          <w:b w:val="0"/>
          <w:sz w:val="32"/>
          <w:szCs w:val="32"/>
          <w:lang w:val="en-US" w:eastAsia="zh-CN"/>
        </w:rPr>
        <w:t>8</w:t>
      </w:r>
      <w:r>
        <w:rPr>
          <w:rFonts w:ascii="仿宋_GB2312" w:eastAsia="仿宋_GB2312" w:hint="eastAsia"/>
          <w:b w:val="0"/>
          <w:sz w:val="32"/>
          <w:szCs w:val="32"/>
          <w:lang w:eastAsia="zh-CN"/>
        </w:rPr>
        <w:t>月</w:t>
      </w:r>
      <w:r>
        <w:rPr>
          <w:rFonts w:ascii="仿宋_GB2312" w:eastAsia="仿宋_GB2312" w:hint="eastAsia"/>
          <w:b w:val="0"/>
          <w:sz w:val="32"/>
          <w:szCs w:val="32"/>
          <w:lang w:val="en-US" w:eastAsia="zh-CN"/>
        </w:rPr>
        <w:t>23</w:t>
      </w:r>
      <w:r>
        <w:rPr>
          <w:rFonts w:ascii="仿宋_GB2312" w:eastAsia="仿宋_GB2312" w:hint="eastAsia"/>
          <w:b w:val="0"/>
          <w:sz w:val="32"/>
          <w:szCs w:val="32"/>
          <w:lang w:eastAsia="zh-CN"/>
        </w:rPr>
        <w:t>日</w:t>
      </w:r>
    </w:p>
    <w:p>
      <w:pPr>
        <w:spacing w:line="600" w:lineRule="exact"/>
        <w:rPr>
          <w:rFonts w:ascii="仿宋_GB2312" w:eastAsia="仿宋_GB2312" w:hint="eastAsia"/>
          <w:b w:val="0"/>
          <w:sz w:val="32"/>
          <w:szCs w:val="32"/>
          <w:lang w:eastAsia="zh-CN"/>
        </w:rPr>
      </w:pPr>
    </w:p>
    <w:p>
      <w:pPr>
        <w:pStyle w:val="19"/>
        <w:spacing w:line="560" w:lineRule="exact"/>
        <w:ind w:firstLineChars="150" w:firstLine="480"/>
        <w:rPr>
          <w:rFonts w:ascii="仿宋_GB2312" w:eastAsia="仿宋_GB2312"/>
          <w:sz w:val="32"/>
          <w:szCs w:val="32"/>
        </w:rPr>
      </w:pPr>
    </w:p>
    <w:p>
      <w:pPr>
        <w:pStyle w:val="19"/>
        <w:spacing w:line="560" w:lineRule="exact"/>
        <w:ind w:firstLineChars="150" w:firstLine="480"/>
        <w:rPr>
          <w:rFonts w:ascii="仿宋_GB2312" w:eastAsia="仿宋_GB2312"/>
          <w:sz w:val="32"/>
          <w:szCs w:val="32"/>
        </w:rPr>
      </w:pPr>
    </w:p>
    <w:p>
      <w:pPr>
        <w:pStyle w:val="19"/>
        <w:spacing w:line="560" w:lineRule="exact"/>
        <w:ind w:firstLineChars="150" w:firstLine="480"/>
        <w:rPr>
          <w:rFonts w:ascii="仿宋_GB2312" w:eastAsia="仿宋_GB2312"/>
          <w:sz w:val="32"/>
          <w:szCs w:val="32"/>
        </w:rPr>
      </w:pPr>
    </w:p>
    <w:p>
      <w:pPr>
        <w:spacing w:line="600" w:lineRule="exact"/>
        <w:ind w:left="0" w:firstLineChars="300" w:firstLine="1440"/>
        <w:jc w:val="both"/>
        <w:rPr>
          <w:rFonts w:ascii="仿宋_GB2312" w:eastAsia="仿宋_GB2312" w:cs="仿宋_GB2312" w:hint="eastAsia"/>
          <w:b w:val="0"/>
          <w:color w:val="000000"/>
          <w:sz w:val="48"/>
          <w:szCs w:val="48"/>
          <w:lang w:val="en-US" w:eastAsia="zh-CN"/>
        </w:rPr>
      </w:pPr>
      <w:r>
        <w:rPr>
          <w:rFonts w:ascii="仿宋_GB2312" w:eastAsia="仿宋_GB2312" w:cs="仿宋_GB2312" w:hint="eastAsia"/>
          <w:b w:val="0"/>
          <w:color w:val="000000"/>
          <w:sz w:val="48"/>
          <w:szCs w:val="48"/>
          <w:lang w:val="en-US" w:eastAsia="zh-CN"/>
        </w:rPr>
        <w:t>十三、决算公开表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（一）收入支出决算总表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（二）收入决算表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（三）支出决算表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（四）财政拨款收入支出决算总表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（五）财政拨款收入支出决算总表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（六）一般公共预算财政拨款支出决算表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（七）一般公共预算财政拨款支出决算表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（八）一般公共预算财政拨款基本支出决算明细表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（九）一般公共预算财政拨款项目支出决算表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（十）政府性基金预算财政拨款收入支出决算表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（十一）国有资本经营预算财政拨款收入支出决算表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（十二）国有资本经营预算财政拨款支出决算表</w:t>
      </w:r>
    </w:p>
    <w:p>
      <w:pPr>
        <w:spacing w:line="600" w:lineRule="exact"/>
        <w:ind w:firstLineChars="200" w:firstLine="64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（十三）财政拨款“三公”经费支出决算表</w:t>
      </w:r>
    </w:p>
    <w:p>
      <w:pPr>
        <w:pStyle w:val="19"/>
        <w:spacing w:line="560" w:lineRule="exact"/>
        <w:ind w:firstLineChars="150" w:firstLine="480"/>
        <w:rPr>
          <w:rFonts w:ascii="仿宋_GB2312" w:eastAsia="仿宋_GB2312" w:hint="eastAsia"/>
          <w:sz w:val="32"/>
          <w:szCs w:val="32"/>
        </w:rPr>
      </w:pPr>
    </w:p>
    <w:sectPr>
      <w:headerReference w:type="default" r:id="rId2"/>
      <w:footerReference w:type="default" r:id="rId3"/>
      <w:pgSz w:w="11907" w:h="16840"/>
      <w:pgMar w:top="1440" w:right="1797" w:bottom="1440" w:left="1797" w:header="851" w:footer="992" w:gutter="0"/>
      <w:pgNumType/>
      <w:docGrid w:type="lines" w:linePitch="606" w:charSpace="0"/>
    </w:sectPr>
  </w:body>
</w:document>
</file>

<file path=word/fontTable.xml><?xml version="1.0" encoding="utf-8"?>
<w:fonts xmlns:w="http://schemas.openxmlformats.org/wordprocessingml/2006/main" xmlns:r="http://schemas.openxmlformats.org/officeDocument/2006/relationships">
  <w:font w:name="黑体">
    <w:altName w:val="方正黑体_GBK"/>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方正小标宋简体">
    <w:altName w:val="AR PL UKai CN"/>
    <w:panose1 w:val="03000509000000000000"/>
    <w:charset w:val="86"/>
    <w:family w:val="script"/>
    <w:pitch w:val="variable"/>
    <w:sig w:usb0="00000001" w:usb1="080E0000" w:usb2="0000000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方正小标宋_GBK">
    <w:panose1 w:val="03000509000000000000"/>
    <w:charset w:val="86"/>
    <w:family w:val="auto"/>
    <w:pitch w:val="variable"/>
    <w:sig w:usb0="00000001" w:usb1="080E0000" w:usb2="00000000" w:usb3="00000000" w:csb0="00040000" w:csb1="00000000"/>
  </w:font>
  <w:font w:name="Times New Roman">
    <w:altName w:val="DejaVu Sans"/>
    <w:panose1 w:val="02020603050405020304"/>
    <w:charset w:val="00"/>
    <w:family w:val="roman"/>
    <w:pitch w:val="variable"/>
    <w:sig w:usb0="20007A87" w:usb1="80000000" w:usb2="00000008" w:usb3="00000000" w:csb0="000001FF" w:csb1="00000000"/>
  </w:font>
  <w:font w:name="Luxi Sans">
    <w:altName w:val="DejaVu Sans"/>
    <w:panose1 w:val="00000000000000000000"/>
    <w:charset w:val="00"/>
    <w:family w:val="auto"/>
    <w:pitch w:val="variable"/>
    <w:sig w:usb0="00000000" w:usb1="00000000" w:usb2="00000000" w:usb3="00000000" w:csb0="00000000" w:csb1="00000000"/>
  </w:font>
  <w:font w:name="Calibri">
    <w:altName w:val="DejaVu Sans"/>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r>
      <w:rPr>
        <w:sz w:val="18"/>
      </w:rPr>
      <mc:AlternateContent>
        <mc:Choice Requires="wps">
          <w:drawing>
            <wp:anchor distT="0" distB="0" distL="114298" distR="114298" simplePos="0" relativeHeight="30" behindDoc="0" locked="0" layoutInCell="1" hidden="0" allowOverlap="1">
              <wp:simplePos x="0" y="0"/>
              <wp:positionH relativeFrom="margin">
                <wp:align>center</wp:align>
              </wp:positionH>
              <wp:positionV relativeFrom="paragraph">
                <wp:posOffset>0</wp:posOffset>
              </wp:positionV>
              <wp:extent cx="56920" cy="131557"/>
              <wp:effectExtent l="0" t="0" r="0" b="0"/>
              <wp:wrapNone/>
              <wp:docPr id="1" name="文本框 7"/>
              <wp:cNvGraphicFramePr>
                <a:graphicFrameLocks noChangeAspect="0"/>
              </wp:cNvGraphicFramePr>
              <a:graphic>
                <a:graphicData uri="http://schemas.microsoft.com/office/word/2010/wordprocessingShape">
                  <wps:wsp>
                    <wps:cNvSpPr/>
                    <wps:spPr>
                      <a:xfrm rot="0">
                        <a:off x="0" y="0"/>
                        <a:ext cx="56920" cy="131557"/>
                      </a:xfrm>
                      <a:prstGeom prst="rect"/>
                      <a:noFill/>
                      <a:ln w="6350" cmpd="sng" cap="flat">
                        <a:noFill/>
                        <a:prstDash val="solid"/>
                        <a:round/>
                      </a:ln>
                    </wps:spPr>
                    <wps:txbx id="2">
                      <w:txbxContent>
                        <w:p>
                          <w:pPr>
                            <w:pStyle w:val="16"/>
                            <w:tabs>
                              <w:tab w:val="center" w:pos="4153"/>
                              <w:tab w:val="right" w:pos="8306"/>
                            </w:tabs>
                            <w:rPr>
                              <w:rFonts w:eastAsia="黑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7 3" o:spid="_x0000_s3" filled="f" stroked="f" strokeweight="0.5pt" style="position:absolute;margin-left:0.0pt;margin-top:0.0pt;width:4.4819417pt;height:10.358851pt;z-index:30;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6"/>
                      <w:tabs>
                        <w:tab w:val="center" w:pos="4153"/>
                        <w:tab w:val="right" w:pos="8306"/>
                      </w:tabs>
                      <w:rPr>
                        <w:rFonts w:eastAsia="黑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4945BA9"/>
    <w:multiLevelType w:val="singleLevel"/>
    <w:tmpl w:val="84945BA9"/>
    <w:lvl w:ilvl="0">
      <w:start w:val="5"/>
      <w:numFmt w:val="chineseCounting"/>
      <w:lvlRestart w:val="0"/>
      <w:suff w:val="nothing"/>
      <w:lvlText w:val="%1、"/>
      <w:lvlJc w:val="left"/>
      <w:pPr>
        <w:tabs>
          <w:tab w:val="num" w:pos="0"/>
        </w:tabs>
        <w:ind w:left="0" w:hanging="0"/>
      </w:pPr>
      <w:rPr>
        <w:rFonts w:hint="eastAsia"/>
      </w:rPr>
    </w:lvl>
  </w:abstractNum>
  <w:abstractNum w:abstractNumId="1">
    <w:nsid w:val="686F7D73"/>
    <w:multiLevelType w:val="singleLevel"/>
    <w:tmpl w:val="686F7D73"/>
    <w:lvl w:ilvl="0">
      <w:start w:val="9"/>
      <w:numFmt w:val="chineseCounting"/>
      <w:lvlRestart w:val="0"/>
      <w:suff w:val="nothing"/>
      <w:lvlText w:val="%1、"/>
      <w:lvlJc w:val="left"/>
      <w:pPr>
        <w:tabs>
          <w:tab w:val="num" w:pos="0"/>
        </w:tabs>
        <w:ind w:left="0" w:hanging="0"/>
      </w:pPr>
      <w:rPr>
        <w:rFonts w:hint="eastAsia"/>
      </w:rPr>
    </w:lvl>
  </w:abstractNum>
  <w:abstractNum w:abstractNumId="2">
    <w:nsid w:val="A3370F62"/>
    <w:multiLevelType w:val="singleLevel"/>
    <w:tmpl w:val="A3370F62"/>
    <w:lvl w:ilvl="0">
      <w:start w:val="12"/>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val="0"/>
  <w:bordersDoNotSurroundFooter w:val="0"/>
  <w:documentProtection w:edit="readOnly" w:enforcement="0"/>
  <w:defaultTabStop w:val="420"/>
  <w:drawingGridHorizontalSpacing w:val="433"/>
  <w:drawingGridVerticalSpacing w:val="303"/>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黑体" w:cs="Times New Roman" w:hAnsi="Times New Roman"/>
      <w:b/>
      <w:kern w:val="2"/>
      <w:sz w:val="44"/>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ody Text"/>
    <w:basedOn w:val="0"/>
    <w:pPr>
      <w:spacing w:beforeLines="30" w:before="30"/>
    </w:pPr>
    <w:rPr>
      <w:rFonts w:ascii="仿宋_GB2312" w:eastAsia="仿宋_GB2312"/>
      <w:b w:val="0"/>
      <w:kern w:val="0"/>
      <w:sz w:val="30"/>
      <w:szCs w:val="24"/>
    </w:rPr>
  </w:style>
  <w:style w:type="paragraph" w:styleId="16">
    <w:name w:val="footer"/>
    <w:basedOn w:val="0"/>
    <w:pPr>
      <w:tabs>
        <w:tab w:val="center" w:pos="4153"/>
        <w:tab w:val="right" w:pos="8306"/>
      </w:tabs>
      <w:snapToGrid w:val="0"/>
      <w:jc w:val="left"/>
    </w:pPr>
    <w:rPr>
      <w:rFonts w:eastAsia="黑体"/>
      <w:kern w:val="2"/>
      <w:sz w:val="18"/>
      <w:szCs w:val="18"/>
    </w:rPr>
  </w:style>
  <w:style w:type="paragraph" w:styleId="17">
    <w:name w:val="header"/>
    <w:basedOn w:val="0"/>
    <w:pPr>
      <w:pBdr>
        <w:bottom w:val="single" w:sz="6" w:space="1" w:color="auto"/>
      </w:pBdr>
      <w:tabs>
        <w:tab w:val="center" w:pos="4153"/>
        <w:tab w:val="right" w:pos="8306"/>
      </w:tabs>
      <w:snapToGrid w:val="0"/>
      <w:jc w:val="center"/>
    </w:pPr>
    <w:rPr>
      <w:rFonts w:eastAsia="黑体"/>
      <w:kern w:val="2"/>
      <w:sz w:val="18"/>
      <w:szCs w:val="18"/>
    </w:rPr>
  </w:style>
  <w:style w:type="paragraph" w:styleId="18">
    <w:name w:val="Normal (Web)"/>
    <w:basedOn w:val="0"/>
    <w:pPr>
      <w:widowControl/>
      <w:spacing w:before="100" w:beforeAutospacing="1" w:after="100" w:afterAutospacing="1"/>
      <w:jc w:val="left"/>
    </w:pPr>
    <w:rPr>
      <w:rFonts w:ascii="宋体" w:eastAsia="宋体" w:cs="宋体"/>
      <w:b w:val="0"/>
      <w:kern w:val="0"/>
      <w:sz w:val="24"/>
      <w:szCs w:val="24"/>
    </w:rPr>
  </w:style>
  <w:style w:type="paragraph" w:customStyle="1" w:styleId="19">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20">
    <w:name w:val="15"/>
    <w:basedOn w:val="10"/>
    <w:rPr>
      <w:rFonts w:ascii="Calibri" w:hAnsi="Calibri"/>
      <w:b/>
      <w:bC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5.png"/><Relationship Id="rId5" Type="http://schemas.openxmlformats.org/officeDocument/2006/relationships/image" Target="media/8.emf"/><Relationship Id="rId6" Type="http://schemas.openxmlformats.org/officeDocument/2006/relationships/image" Target="media/11.emf"/><Relationship Id="rId7" Type="http://schemas.openxmlformats.org/officeDocument/2006/relationships/image" Target="media/14.emf"/><Relationship Id="rId8" Type="http://schemas.openxmlformats.org/officeDocument/2006/relationships/image" Target="media/17.emf"/><Relationship Id="rId9" Type="http://schemas.openxmlformats.org/officeDocument/2006/relationships/image" Target="media/20.emf"/><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docProps/app.xml><?xml version="1.0" encoding="utf-8"?>
<Properties xmlns="http://schemas.openxmlformats.org/officeDocument/2006/extended-properties">
  <Template>Normal.eit</Template>
  <TotalTime>19</TotalTime>
  <Application>Yozo_Office27021597764231179</Application>
  <Pages>1</Pages>
  <Words>6</Words>
  <Characters>6</Characters>
  <Lines>1</Lines>
  <Paragraphs>0</Paragraphs>
  <CharactersWithSpaces>6</CharactersWithSpaces>
  <Company>阿坝县财政局</Company>
</Properties>
</file>

<file path=docProps/core.xml><?xml version="1.0" encoding="utf-8"?>
<cp:coreProperties xmlns:cp="http://schemas.openxmlformats.org/package/2006/metadata/core-properties" xmlns:dc="http://purl.org/dc/elements/1.1/" xmlns:dcterms="http://purl.org/dc/terms/" xmlns:xsi="http://www.w3.org/2001/XMLSchema-instance">
  <dc:title>部门决算分析报告</dc:title>
  <dc:creator>lenovo</dc:creator>
  <cp:lastModifiedBy>Administrator</cp:lastModifiedBy>
  <cp:revision>214</cp:revision>
  <cp:lastPrinted>2021-09-14T07:22:00Z</cp:lastPrinted>
  <dcterms:created xsi:type="dcterms:W3CDTF">2015-12-28T03:53:00Z</dcterms:created>
  <dcterms:modified xsi:type="dcterms:W3CDTF">2023-08-30T07:01:10Z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2052-11.1.0.7832</vt:lpwstr>
  </property>
</Properties>
</file>