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4E861E">
      <w:pPr>
        <w:spacing w:line="56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金川县发展改革和经济商务信息化局</w:t>
      </w:r>
    </w:p>
    <w:p w14:paraId="40AB7461"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hint="eastAsia" w:ascii="方正小标宋_GBK" w:eastAsia="方正小标宋_GBK" w:cs="方正小标宋_GBK"/>
          <w:sz w:val="44"/>
          <w:szCs w:val="44"/>
        </w:rPr>
        <w:t>部门预算绩效目标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情况说明</w:t>
      </w:r>
    </w:p>
    <w:p w14:paraId="1FF08EC3">
      <w:pPr>
        <w:spacing w:line="560" w:lineRule="exact"/>
        <w:ind w:firstLine="880" w:firstLineChars="200"/>
        <w:rPr>
          <w:rFonts w:ascii="仿宋_GB2312" w:hAnsi="仿宋_GB2312" w:eastAsia="仿宋_GB2312" w:cs="仿宋_GB2312"/>
          <w:sz w:val="44"/>
          <w:szCs w:val="44"/>
        </w:rPr>
      </w:pPr>
    </w:p>
    <w:p w14:paraId="6436E04F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2026年，我单位部门预算510.41万元 ，均严格按绩效管理要求实现项目绩效目标管理，其中重点项目预算0个，现将情况说明如下：</w:t>
      </w:r>
    </w:p>
    <w:p w14:paraId="3C47EB9E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一、单位预算绩效管理工作开展情况。</w:t>
      </w:r>
    </w:p>
    <w:p w14:paraId="51992292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完成了2026年本级部门预算整体绩效目标申报和0个重点项目预算绩效目标申报，并编报0个重点项目预算事前绩效评估报告。</w:t>
      </w:r>
    </w:p>
    <w:p w14:paraId="2CE43A2C">
      <w:pPr>
        <w:numPr>
          <w:ilvl w:val="0"/>
          <w:numId w:val="1"/>
        </w:num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单位整体绩效目标。</w:t>
      </w:r>
    </w:p>
    <w:tbl>
      <w:tblPr>
        <w:tblStyle w:val="5"/>
        <w:tblW w:w="9229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848"/>
        <w:gridCol w:w="965"/>
        <w:gridCol w:w="1530"/>
        <w:gridCol w:w="1303"/>
        <w:gridCol w:w="577"/>
        <w:gridCol w:w="552"/>
        <w:gridCol w:w="506"/>
        <w:gridCol w:w="345"/>
        <w:gridCol w:w="555"/>
        <w:gridCol w:w="381"/>
        <w:gridCol w:w="594"/>
        <w:gridCol w:w="537"/>
      </w:tblGrid>
      <w:tr w14:paraId="43D476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</w:trPr>
        <w:tc>
          <w:tcPr>
            <w:tcW w:w="922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055AF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</w:rPr>
              <w:t>2026年度部门整体绩效目标</w:t>
            </w:r>
          </w:p>
        </w:tc>
      </w:tr>
      <w:tr w14:paraId="2C232A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4C75D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F8750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金川县发展改革和经济商务信息化局本级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345DA">
            <w:pPr>
              <w:widowControl/>
              <w:jc w:val="left"/>
              <w:rPr>
                <w:rFonts w:ascii="Courier New" w:hAnsi="Courier New" w:eastAsia="宋体" w:cs="Courier New"/>
                <w:color w:val="000000"/>
                <w:kern w:val="0"/>
                <w:sz w:val="18"/>
                <w:szCs w:val="18"/>
              </w:rPr>
            </w:pPr>
            <w:r>
              <w:rPr>
                <w:rFonts w:ascii="Courier New" w:hAnsi="Courier New" w:eastAsia="宋体" w:cs="Courier New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79920A">
            <w:pPr>
              <w:widowControl/>
              <w:jc w:val="left"/>
              <w:rPr>
                <w:rFonts w:ascii="Courier New" w:hAnsi="Courier New" w:eastAsia="宋体" w:cs="Courier New"/>
                <w:color w:val="000000"/>
                <w:kern w:val="0"/>
                <w:sz w:val="18"/>
                <w:szCs w:val="18"/>
              </w:rPr>
            </w:pPr>
            <w:r>
              <w:rPr>
                <w:rFonts w:ascii="Courier New" w:hAnsi="Courier New" w:eastAsia="宋体" w:cs="Courier New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B5588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单位：万元</w:t>
            </w:r>
          </w:p>
        </w:tc>
      </w:tr>
      <w:tr w14:paraId="50A064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3303C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年度部门整体预算</w:t>
            </w:r>
          </w:p>
        </w:tc>
        <w:tc>
          <w:tcPr>
            <w:tcW w:w="346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D8FB2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资金总额</w:t>
            </w:r>
          </w:p>
        </w:tc>
        <w:tc>
          <w:tcPr>
            <w:tcW w:w="196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99847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财政拨款</w:t>
            </w:r>
          </w:p>
        </w:tc>
        <w:tc>
          <w:tcPr>
            <w:tcW w:w="142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11862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其他资金</w:t>
            </w:r>
          </w:p>
        </w:tc>
      </w:tr>
      <w:tr w14:paraId="39C5F2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D2C8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收入预算</w:t>
            </w:r>
          </w:p>
        </w:tc>
        <w:tc>
          <w:tcPr>
            <w:tcW w:w="346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1E686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510.41</w:t>
            </w:r>
          </w:p>
        </w:tc>
        <w:tc>
          <w:tcPr>
            <w:tcW w:w="196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872F6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510.41</w:t>
            </w:r>
          </w:p>
        </w:tc>
        <w:tc>
          <w:tcPr>
            <w:tcW w:w="142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62DA4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0.00</w:t>
            </w:r>
          </w:p>
        </w:tc>
      </w:tr>
      <w:tr w14:paraId="63012C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DB0C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支出预算</w:t>
            </w:r>
          </w:p>
        </w:tc>
        <w:tc>
          <w:tcPr>
            <w:tcW w:w="346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29BD1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510.41</w:t>
            </w:r>
          </w:p>
        </w:tc>
        <w:tc>
          <w:tcPr>
            <w:tcW w:w="196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7D1B0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510.41</w:t>
            </w:r>
          </w:p>
        </w:tc>
        <w:tc>
          <w:tcPr>
            <w:tcW w:w="142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9C1CA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0.00</w:t>
            </w:r>
          </w:p>
        </w:tc>
      </w:tr>
      <w:tr w14:paraId="42F0F0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5" w:hRule="atLeast"/>
        </w:trPr>
        <w:tc>
          <w:tcPr>
            <w:tcW w:w="23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9137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年度总体目标</w:t>
            </w:r>
          </w:p>
        </w:tc>
        <w:tc>
          <w:tcPr>
            <w:tcW w:w="6849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A2B3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、统筹促进经济社会发展。确保同全州同步奔小康的经济发展，按照全县“夯实基础、增量提质、跨越发展”经济工作的总体取向，进一步采取有针对性的措施，确保各项工作进度和时间保持一致。一是继续做好经济和社会发展分析研判工作，二是完善各项规划，三是入库工作扎实推进。2、全面推进投资工作。（1）加强项目储备落地。（2）积极争取国家资金。（3）全力推进项目建设。（4）狠抓项目管理。3、抓好工业经济工作落地建设。4、力促小水电开发和电网建设。使全县人民生产生活用电得到保障，工业用电得以稳定，更好的助推金川经济的发展。5、贯彻执行国家有关商务领域的方针、政策和法律、法规，研究提出引导国内外资金投向市场体系建设的政策建议，促进城乡市场发展；负责商业网点规划、商业体系建设工作。5、其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  <w:t>县委县政府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交办的日常工作。</w:t>
            </w:r>
          </w:p>
        </w:tc>
      </w:tr>
      <w:tr w14:paraId="74C0EF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9229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7A66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管理效率</w:t>
            </w:r>
          </w:p>
        </w:tc>
      </w:tr>
      <w:tr w14:paraId="7371D2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C3EC6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86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4951A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98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E98B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156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3114F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132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770F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指标值</w:t>
            </w:r>
          </w:p>
        </w:tc>
        <w:tc>
          <w:tcPr>
            <w:tcW w:w="3969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7584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指标参考值</w:t>
            </w:r>
          </w:p>
        </w:tc>
      </w:tr>
      <w:tr w14:paraId="4DA976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F2F577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57CE53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351EC8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349801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2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57FAFB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261F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三年均值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12E6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2023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9259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2024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D4F5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2025</w:t>
            </w:r>
          </w:p>
        </w:tc>
      </w:tr>
      <w:tr w14:paraId="28BEA0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E72E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6659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4FB1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预算管理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EB06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财政拨款预算偏离度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6ECAE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1061%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F54D9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1061.74%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0E934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459.27%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92B3E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1553.36%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45548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1172.59%</w:t>
            </w:r>
          </w:p>
        </w:tc>
      </w:tr>
      <w:tr w14:paraId="7FE51F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E7FA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5EEC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5B80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预算管理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6900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单位收入统筹度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A424D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CA293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862B5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24AB2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D1EFE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3F330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48B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7BD5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09CC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预算管理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2236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预算年终结余率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DDEE1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23%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86B59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23.02%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70EF4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1.33%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C14EB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31.32%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9D075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36.4%</w:t>
            </w:r>
          </w:p>
        </w:tc>
      </w:tr>
      <w:tr w14:paraId="59E5BF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DEA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5C83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1A1B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预算管理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BEFA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一般性支出金额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7C757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20.28万元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C491E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20.28万元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40FF1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2ADFD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4E8DD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20.28万元</w:t>
            </w:r>
          </w:p>
        </w:tc>
      </w:tr>
      <w:tr w14:paraId="0ABD07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F565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C4CE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0D23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财务管理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7E56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财务管理规范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26414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优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66BAA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B747B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09E51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97696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43615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B573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405C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D856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资产管理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85E8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资产配置预算偏离度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BE2DB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279EA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60241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8484D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1594D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D759F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0863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0E25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9E83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采购管理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FEEF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采购执行率</w:t>
            </w:r>
          </w:p>
        </w:tc>
        <w:tc>
          <w:tcPr>
            <w:tcW w:w="13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A3A93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100%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9001A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6D94C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4BFD1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7A66A">
            <w:pPr>
              <w:widowControl/>
              <w:jc w:val="righ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13CE6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9229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DC53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</w:rPr>
              <w:t>履职效能</w:t>
            </w:r>
          </w:p>
        </w:tc>
      </w:tr>
      <w:tr w14:paraId="48AE31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B590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321A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A565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28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A912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969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9CC3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指标值（包括数字及文字描述）</w:t>
            </w:r>
          </w:p>
        </w:tc>
      </w:tr>
      <w:tr w14:paraId="4B7AF2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542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1048E">
            <w:pPr>
              <w:widowControl/>
              <w:jc w:val="left"/>
              <w:rPr>
                <w:rFonts w:ascii="Courier New" w:hAnsi="Courier New" w:eastAsia="宋体" w:cs="Courier New"/>
                <w:color w:val="000000"/>
                <w:kern w:val="0"/>
                <w:sz w:val="18"/>
                <w:szCs w:val="18"/>
              </w:rPr>
            </w:pPr>
            <w:r>
              <w:rPr>
                <w:rFonts w:ascii="Courier New" w:hAnsi="Courier New" w:eastAsia="宋体" w:cs="Courier New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0A02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28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363B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招商引资，推广本地特产，电子商务发展</w:t>
            </w:r>
          </w:p>
        </w:tc>
        <w:tc>
          <w:tcPr>
            <w:tcW w:w="3969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AD60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≥3次</w:t>
            </w:r>
          </w:p>
        </w:tc>
      </w:tr>
      <w:tr w14:paraId="453B02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3B35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62C35">
            <w:pPr>
              <w:widowControl/>
              <w:jc w:val="left"/>
              <w:rPr>
                <w:rFonts w:ascii="Courier New" w:hAnsi="Courier New" w:eastAsia="宋体" w:cs="Courier New"/>
                <w:color w:val="000000"/>
                <w:kern w:val="0"/>
                <w:sz w:val="18"/>
                <w:szCs w:val="18"/>
              </w:rPr>
            </w:pPr>
            <w:r>
              <w:rPr>
                <w:rFonts w:ascii="Courier New" w:hAnsi="Courier New" w:eastAsia="宋体" w:cs="Courier New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DD62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28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6CDE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综合协调事务</w:t>
            </w:r>
          </w:p>
        </w:tc>
        <w:tc>
          <w:tcPr>
            <w:tcW w:w="3969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DC0D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≥50次</w:t>
            </w:r>
          </w:p>
        </w:tc>
      </w:tr>
      <w:tr w14:paraId="1642B3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30A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7D209">
            <w:pPr>
              <w:widowControl/>
              <w:jc w:val="left"/>
              <w:rPr>
                <w:rFonts w:ascii="Courier New" w:hAnsi="Courier New" w:eastAsia="宋体" w:cs="Courier New"/>
                <w:color w:val="000000"/>
                <w:kern w:val="0"/>
                <w:sz w:val="18"/>
                <w:szCs w:val="18"/>
              </w:rPr>
            </w:pPr>
            <w:r>
              <w:rPr>
                <w:rFonts w:ascii="Courier New" w:hAnsi="Courier New" w:eastAsia="宋体" w:cs="Courier New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8C80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28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9B34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监管工业企业安全生产经营状况</w:t>
            </w:r>
          </w:p>
        </w:tc>
        <w:tc>
          <w:tcPr>
            <w:tcW w:w="3969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415A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≥5次</w:t>
            </w:r>
          </w:p>
        </w:tc>
      </w:tr>
      <w:tr w14:paraId="51266D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21C3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0C818">
            <w:pPr>
              <w:widowControl/>
              <w:jc w:val="left"/>
              <w:rPr>
                <w:rFonts w:ascii="Courier New" w:hAnsi="Courier New" w:eastAsia="宋体" w:cs="Courier New"/>
                <w:color w:val="000000"/>
                <w:kern w:val="0"/>
                <w:sz w:val="18"/>
                <w:szCs w:val="18"/>
              </w:rPr>
            </w:pPr>
            <w:r>
              <w:rPr>
                <w:rFonts w:ascii="Courier New" w:hAnsi="Courier New" w:eastAsia="宋体" w:cs="Courier New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C105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28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738A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全县综合规划制定完成率</w:t>
            </w:r>
          </w:p>
        </w:tc>
        <w:tc>
          <w:tcPr>
            <w:tcW w:w="3969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E4EB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≥100%</w:t>
            </w:r>
          </w:p>
        </w:tc>
      </w:tr>
      <w:tr w14:paraId="3716A0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B6B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40CA8">
            <w:pPr>
              <w:widowControl/>
              <w:jc w:val="left"/>
              <w:rPr>
                <w:rFonts w:ascii="Courier New" w:hAnsi="Courier New" w:eastAsia="宋体" w:cs="Courier New"/>
                <w:color w:val="000000"/>
                <w:kern w:val="0"/>
                <w:sz w:val="18"/>
                <w:szCs w:val="18"/>
              </w:rPr>
            </w:pPr>
            <w:r>
              <w:rPr>
                <w:rFonts w:ascii="Courier New" w:hAnsi="Courier New" w:eastAsia="宋体" w:cs="Courier New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1904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28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2D59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县内项目招投标及监督参与率</w:t>
            </w:r>
          </w:p>
        </w:tc>
        <w:tc>
          <w:tcPr>
            <w:tcW w:w="3969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FBCB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≥100%</w:t>
            </w:r>
          </w:p>
        </w:tc>
      </w:tr>
      <w:tr w14:paraId="10E8CC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03AC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A27E2">
            <w:pPr>
              <w:widowControl/>
              <w:jc w:val="left"/>
              <w:rPr>
                <w:rFonts w:ascii="Courier New" w:hAnsi="Courier New" w:eastAsia="宋体" w:cs="Courier New"/>
                <w:color w:val="000000"/>
                <w:kern w:val="0"/>
                <w:sz w:val="18"/>
                <w:szCs w:val="18"/>
              </w:rPr>
            </w:pPr>
            <w:r>
              <w:rPr>
                <w:rFonts w:ascii="Courier New" w:hAnsi="Courier New" w:eastAsia="宋体" w:cs="Courier New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501E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288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95D8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工业企业发展，带动全县经济发展</w:t>
            </w:r>
          </w:p>
        </w:tc>
        <w:tc>
          <w:tcPr>
            <w:tcW w:w="3969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7E4A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≥100%</w:t>
            </w:r>
          </w:p>
        </w:tc>
      </w:tr>
    </w:tbl>
    <w:p w14:paraId="43C0825B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三、重点项目绩效目标。无</w:t>
      </w:r>
    </w:p>
    <w:p w14:paraId="7F8D7FB0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36F0070A"/>
    <w:rsid w:val="000879F4"/>
    <w:rsid w:val="001171EB"/>
    <w:rsid w:val="0013474B"/>
    <w:rsid w:val="002E4660"/>
    <w:rsid w:val="003811A3"/>
    <w:rsid w:val="00387116"/>
    <w:rsid w:val="003B4F5C"/>
    <w:rsid w:val="00407A9A"/>
    <w:rsid w:val="004728B0"/>
    <w:rsid w:val="004878D4"/>
    <w:rsid w:val="0050140C"/>
    <w:rsid w:val="00514A4B"/>
    <w:rsid w:val="00517D3B"/>
    <w:rsid w:val="005340DA"/>
    <w:rsid w:val="005732B0"/>
    <w:rsid w:val="005D4350"/>
    <w:rsid w:val="005E71C0"/>
    <w:rsid w:val="006D291D"/>
    <w:rsid w:val="0073662F"/>
    <w:rsid w:val="007A768D"/>
    <w:rsid w:val="009773E4"/>
    <w:rsid w:val="009A0147"/>
    <w:rsid w:val="00A0270E"/>
    <w:rsid w:val="00AC70EF"/>
    <w:rsid w:val="00B33FE5"/>
    <w:rsid w:val="00BF5505"/>
    <w:rsid w:val="00CC56F7"/>
    <w:rsid w:val="00E12D9E"/>
    <w:rsid w:val="00E56C4D"/>
    <w:rsid w:val="00E917A8"/>
    <w:rsid w:val="00EC2F1D"/>
    <w:rsid w:val="00FA6696"/>
    <w:rsid w:val="00FC0735"/>
    <w:rsid w:val="11232FC8"/>
    <w:rsid w:val="36F0070A"/>
    <w:rsid w:val="539172A3"/>
    <w:rsid w:val="67EC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Char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947</Words>
  <Characters>1074</Characters>
  <Lines>8</Lines>
  <Paragraphs>2</Paragraphs>
  <TotalTime>93</TotalTime>
  <ScaleCrop>false</ScaleCrop>
  <LinksUpToDate>false</LinksUpToDate>
  <CharactersWithSpaces>1096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盐星星</cp:lastModifiedBy>
  <dcterms:modified xsi:type="dcterms:W3CDTF">2026-06-10T08:11:49Z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eyJoZGlkIjoiZDVjZjE1OTBmZTc4M2ZlNjdmNWM1MmQ5OThkMGU1NjEiLCJ1c2VySWQiOiIxMDYwOTQ0NDM1In0=</vt:lpwstr>
  </property>
  <property fmtid="{D5CDD505-2E9C-101B-9397-08002B2CF9AE}" pid="4" name="ICV">
    <vt:lpwstr>5E9FE671FD444D7FBA563A1FE5D8271F_12</vt:lpwstr>
  </property>
</Properties>
</file>