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金川县发展改革和经济商务信息化局</w:t>
      </w:r>
    </w:p>
    <w:p>
      <w:pPr>
        <w:spacing w:line="56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部门预算绩效目标情况说明</w:t>
      </w:r>
    </w:p>
    <w:p>
      <w:pPr>
        <w:spacing w:line="560" w:lineRule="exact"/>
        <w:ind w:firstLineChars="200" w:firstLine="880"/>
        <w:rPr>
          <w:rFonts w:ascii="仿宋_GB2312" w:eastAsia="仿宋_GB2312" w:cs="仿宋_GB2312"/>
          <w:sz w:val="44"/>
          <w:szCs w:val="44"/>
        </w:rPr>
      </w:pP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2024年，我单位部门预算400.66万元 ，均严格按绩效管理要求实现项目绩效目标管理，其中重点项目预算0个，现将情况说明如下：</w:t>
      </w:r>
    </w:p>
    <w:p>
      <w:pPr>
        <w:spacing w:line="560" w:lineRule="exact"/>
        <w:ind w:firstLineChars="200" w:firstLine="640"/>
        <w:rPr>
          <w:rFonts w:ascii="黑体" w:eastAsia="黑体" w:cs="黑体"/>
          <w:sz w:val="32"/>
          <w:szCs w:val="32"/>
        </w:rPr>
      </w:pPr>
      <w:r>
        <w:rPr>
          <w:rFonts w:ascii="黑体" w:eastAsia="黑体" w:cs="黑体" w:hint="eastAsia"/>
          <w:sz w:val="32"/>
          <w:szCs w:val="32"/>
        </w:rPr>
        <w:t>一、单位预算绩效管理工作开展情况。</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 xml:space="preserve"> 完成了2024年本级部门预算整体绩效目标申报和0个重点项目预算绩效目标申报，并编报0个重点项目预算事前绩效评估报告。</w:t>
      </w:r>
    </w:p>
    <w:p>
      <w:pPr>
        <w:numPr>
          <w:ilvl w:val="0"/>
          <w:numId w:val="1"/>
        </w:numPr>
        <w:spacing w:line="560" w:lineRule="exact"/>
        <w:ind w:left="0" w:firstLineChars="200" w:firstLine="640"/>
        <w:rPr>
          <w:rFonts w:ascii="黑体" w:eastAsia="黑体" w:cs="黑体"/>
          <w:sz w:val="32"/>
          <w:szCs w:val="32"/>
        </w:rPr>
      </w:pPr>
      <w:r>
        <w:rPr>
          <w:rFonts w:ascii="黑体" w:eastAsia="黑体" w:cs="黑体" w:hint="eastAsia"/>
          <w:sz w:val="32"/>
          <w:szCs w:val="32"/>
        </w:rPr>
        <w:t>单位整体绩效目标。</w:t>
      </w:r>
    </w:p>
    <w:tbl>
      <w:tblPr>
        <w:jc w:val="left"/>
        <w:tblInd w:w="93" w:type="dxa"/>
        <w:tblW w:w="904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60"/>
        <w:gridCol w:w="1000"/>
        <w:gridCol w:w="1260"/>
        <w:gridCol w:w="2840"/>
        <w:gridCol w:w="760"/>
        <w:gridCol w:w="780"/>
        <w:gridCol w:w="760"/>
        <w:gridCol w:w="580"/>
      </w:tblGrid>
      <w:tr>
        <w:trPr>
          <w:trHeight w:val="904"/>
        </w:trPr>
        <w:tc>
          <w:tcPr>
            <w:tcW w:w="9040" w:type="dxa"/>
            <w:gridSpan w:val="8"/>
            <w:tcBorders>
              <w:top w:val="nil"/>
              <w:left w:val="nil"/>
              <w:bottom w:val="nil"/>
              <w:right w:val="nil"/>
            </w:tcBorders>
            <w:shd w:val="clear" w:color="auto" w:fill="auto"/>
            <w:vAlign w:val="center"/>
          </w:tcPr>
          <w:p>
            <w:pPr>
              <w:widowControl/>
              <w:jc w:val="center"/>
              <w:rPr>
                <w:rFonts w:ascii="黑体" w:eastAsia="黑体" w:cs="宋体"/>
                <w:color w:val="000000"/>
                <w:kern w:val="0"/>
                <w:sz w:val="30"/>
                <w:szCs w:val="30"/>
              </w:rPr>
            </w:pPr>
            <w:r>
              <w:rPr>
                <w:rFonts w:ascii="黑体" w:eastAsia="黑体" w:cs="宋体" w:hint="eastAsia"/>
                <w:color w:val="000000"/>
                <w:kern w:val="0"/>
                <w:sz w:val="30"/>
                <w:szCs w:val="30"/>
              </w:rPr>
              <w:t>部门整体支出绩效目标表</w:t>
            </w:r>
          </w:p>
        </w:tc>
      </w:tr>
      <w:tr>
        <w:trPr>
          <w:trHeight w:val="285"/>
        </w:trPr>
        <w:tc>
          <w:tcPr>
            <w:tcW w:w="9040" w:type="dxa"/>
            <w:gridSpan w:val="8"/>
            <w:tcBorders>
              <w:top w:val="nil"/>
              <w:left w:val="nil"/>
              <w:bottom w:val="nil"/>
              <w:right w:val="nil"/>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（2024年度）</w:t>
            </w:r>
          </w:p>
        </w:tc>
      </w:tr>
      <w:tr>
        <w:trPr>
          <w:trHeight w:val="285"/>
        </w:trPr>
        <w:tc>
          <w:tcPr>
            <w:tcW w:w="9040" w:type="dxa"/>
            <w:gridSpan w:val="8"/>
            <w:tcBorders>
              <w:top w:val="nil"/>
              <w:left w:val="nil"/>
              <w:bottom w:val="single" w:sz="4" w:space="0" w:color="000000"/>
              <w:right w:val="nil"/>
            </w:tcBorders>
            <w:shd w:val="clear" w:color="auto" w:fill="auto"/>
            <w:vAlign w:val="center"/>
          </w:tcPr>
          <w:p>
            <w:pPr>
              <w:widowControl/>
              <w:jc w:val="right"/>
              <w:rPr>
                <w:rFonts w:ascii="宋体" w:eastAsia="宋体" w:cs="宋体"/>
                <w:color w:val="000000"/>
                <w:kern w:val="0"/>
                <w:sz w:val="18"/>
                <w:szCs w:val="18"/>
              </w:rPr>
            </w:pPr>
            <w:r>
              <w:rPr>
                <w:rFonts w:ascii="宋体" w:eastAsia="宋体" w:cs="宋体" w:hint="eastAsia"/>
                <w:color w:val="000000"/>
                <w:kern w:val="0"/>
                <w:sz w:val="18"/>
                <w:szCs w:val="18"/>
              </w:rPr>
              <w:t>单位：万元</w:t>
            </w:r>
          </w:p>
        </w:tc>
      </w:tr>
      <w:tr>
        <w:trPr>
          <w:trHeight w:val="570"/>
        </w:trPr>
        <w:tc>
          <w:tcPr>
            <w:tcW w:w="33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部门名称</w:t>
            </w:r>
          </w:p>
        </w:tc>
        <w:tc>
          <w:tcPr>
            <w:tcW w:w="5720"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金川县发展改革和经济商务信息化局本级</w:t>
            </w:r>
          </w:p>
        </w:tc>
      </w:tr>
      <w:tr>
        <w:trPr>
          <w:trHeight w:val="570"/>
        </w:trPr>
        <w:tc>
          <w:tcPr>
            <w:tcW w:w="106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年度部门整体支出预算</w:t>
            </w:r>
          </w:p>
        </w:tc>
        <w:tc>
          <w:tcPr>
            <w:tcW w:w="226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资金总额</w:t>
            </w:r>
          </w:p>
        </w:tc>
        <w:tc>
          <w:tcPr>
            <w:tcW w:w="360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财政拨款</w:t>
            </w:r>
          </w:p>
        </w:tc>
        <w:tc>
          <w:tcPr>
            <w:tcW w:w="2120" w:type="dxa"/>
            <w:gridSpan w:val="3"/>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其他资金</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226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right"/>
              <w:rPr>
                <w:rFonts w:ascii="宋体" w:eastAsia="宋体" w:cs="宋体"/>
                <w:color w:val="000000"/>
                <w:kern w:val="0"/>
                <w:sz w:val="18"/>
                <w:szCs w:val="18"/>
              </w:rPr>
            </w:pPr>
            <w:r>
              <w:rPr>
                <w:rFonts w:ascii="宋体" w:eastAsia="宋体" w:cs="宋体" w:hint="eastAsia"/>
                <w:color w:val="000000"/>
                <w:kern w:val="0"/>
                <w:sz w:val="18"/>
                <w:szCs w:val="18"/>
              </w:rPr>
              <w:t>400.66</w:t>
            </w:r>
          </w:p>
        </w:tc>
        <w:tc>
          <w:tcPr>
            <w:tcW w:w="360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right"/>
              <w:rPr>
                <w:rFonts w:ascii="宋体" w:eastAsia="宋体" w:cs="宋体"/>
                <w:color w:val="000000"/>
                <w:kern w:val="0"/>
                <w:sz w:val="18"/>
                <w:szCs w:val="18"/>
              </w:rPr>
            </w:pPr>
            <w:r>
              <w:rPr>
                <w:rFonts w:ascii="宋体" w:eastAsia="宋体" w:cs="宋体" w:hint="eastAsia"/>
                <w:color w:val="000000"/>
                <w:kern w:val="0"/>
                <w:sz w:val="18"/>
                <w:szCs w:val="18"/>
              </w:rPr>
              <w:t>400.66</w:t>
            </w:r>
          </w:p>
        </w:tc>
        <w:tc>
          <w:tcPr>
            <w:tcW w:w="2120" w:type="dxa"/>
            <w:gridSpan w:val="3"/>
            <w:tcBorders>
              <w:top w:val="single" w:sz="4" w:space="0" w:color="000000"/>
              <w:left w:val="nil"/>
              <w:bottom w:val="single" w:sz="4" w:space="0" w:color="000000"/>
              <w:right w:val="single" w:sz="4" w:space="0" w:color="000000"/>
            </w:tcBorders>
            <w:shd w:val="clear" w:color="auto" w:fill="auto"/>
            <w:vAlign w:val="center"/>
          </w:tcPr>
          <w:p>
            <w:pPr>
              <w:widowControl/>
              <w:jc w:val="right"/>
              <w:rPr>
                <w:rFonts w:ascii="宋体" w:eastAsia="宋体" w:cs="宋体"/>
                <w:color w:val="000000"/>
                <w:kern w:val="0"/>
                <w:sz w:val="18"/>
                <w:szCs w:val="18"/>
              </w:rPr>
            </w:pPr>
            <w:r>
              <w:rPr>
                <w:rFonts w:ascii="宋体" w:eastAsia="宋体" w:cs="宋体" w:hint="eastAsia"/>
                <w:color w:val="000000"/>
                <w:kern w:val="0"/>
                <w:sz w:val="18"/>
                <w:szCs w:val="18"/>
              </w:rPr>
              <w:t>0.00</w:t>
            </w:r>
          </w:p>
        </w:tc>
      </w:tr>
      <w:tr>
        <w:trPr>
          <w:trHeight w:val="2205"/>
        </w:trPr>
        <w:tc>
          <w:tcPr>
            <w:tcW w:w="1060" w:type="dxa"/>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年度总体目标</w:t>
            </w:r>
          </w:p>
        </w:tc>
        <w:tc>
          <w:tcPr>
            <w:tcW w:w="7980" w:type="dxa"/>
            <w:gridSpan w:val="7"/>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1、统筹</w:t>
            </w:r>
            <w:r>
              <w:rPr>
                <w:rFonts w:ascii="宋体" w:eastAsia="宋体" w:cs="宋体"/>
                <w:color w:val="000000"/>
                <w:kern w:val="0"/>
                <w:sz w:val="18"/>
                <w:szCs w:val="18"/>
              </w:rPr>
              <w:t>推</w:t>
            </w:r>
            <w:r>
              <w:rPr>
                <w:rFonts w:ascii="宋体" w:eastAsia="宋体" w:cs="宋体" w:hint="eastAsia"/>
                <w:color w:val="000000"/>
                <w:kern w:val="0"/>
                <w:sz w:val="18"/>
                <w:szCs w:val="18"/>
              </w:rPr>
              <w:t>进经济社会发展。确保同全州同步奔小康的经济发展，按照全县“夯实基础、增量提质、跨越发展”经济工作的总体取向，进一步采取有针对性的措施，确保各项工作进度和时间保持一致。一是继续做好经济和社会发展分析研判工作，二是完善各项规划，三是入库工作扎实推进。2、全面推进投资工作。（1）加强项目储备落地。（2）积极争取国家资金。（3）全力推进项目建设。（4）狠抓项目管理。3、抓好工业经济工作落地建设。4、力促小水电开发和电网建设。使全县人民生产生活用电得到保障，工业用电得以稳定，更好</w:t>
            </w:r>
            <w:r>
              <w:rPr>
                <w:rFonts w:ascii="宋体" w:eastAsia="宋体" w:cs="宋体"/>
                <w:color w:val="000000"/>
                <w:kern w:val="0"/>
                <w:sz w:val="18"/>
                <w:szCs w:val="18"/>
              </w:rPr>
              <w:t>地</w:t>
            </w:r>
            <w:r>
              <w:rPr>
                <w:rFonts w:ascii="宋体" w:eastAsia="宋体" w:cs="宋体" w:hint="eastAsia"/>
                <w:color w:val="000000"/>
                <w:kern w:val="0"/>
                <w:sz w:val="18"/>
                <w:szCs w:val="18"/>
              </w:rPr>
              <w:t>助推金川经济的发展。5、贯彻执行国家有关商务领域的方针、政策和法律、法规，研究提出引导国内外资金投向市场体系建设的政策建议，促进城乡市场发展；负责商业网点规划、商业体系建设工作。5、其他县委</w:t>
            </w:r>
            <w:r>
              <w:rPr>
                <w:rFonts w:ascii="宋体" w:eastAsia="宋体" w:cs="宋体"/>
                <w:color w:val="000000"/>
                <w:kern w:val="0"/>
                <w:sz w:val="18"/>
                <w:szCs w:val="18"/>
              </w:rPr>
              <w:t>县</w:t>
            </w:r>
            <w:bookmarkStart w:id="0" w:name="_GoBack"/>
            <w:bookmarkEnd w:id="0"/>
            <w:r>
              <w:rPr>
                <w:rFonts w:ascii="宋体" w:eastAsia="宋体" w:cs="宋体" w:hint="eastAsia"/>
                <w:color w:val="000000"/>
                <w:kern w:val="0"/>
                <w:sz w:val="18"/>
                <w:szCs w:val="18"/>
              </w:rPr>
              <w:t>政府交办的日常工作。</w:t>
            </w:r>
          </w:p>
        </w:tc>
      </w:tr>
      <w:tr>
        <w:trPr>
          <w:trHeight w:val="570"/>
        </w:trPr>
        <w:tc>
          <w:tcPr>
            <w:tcW w:w="106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年度主要任务</w:t>
            </w:r>
          </w:p>
        </w:tc>
        <w:tc>
          <w:tcPr>
            <w:tcW w:w="226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任务名称</w:t>
            </w:r>
          </w:p>
        </w:tc>
        <w:tc>
          <w:tcPr>
            <w:tcW w:w="5720"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主要内容</w:t>
            </w:r>
          </w:p>
        </w:tc>
      </w:tr>
      <w:tr>
        <w:trPr>
          <w:trHeight w:val="1545"/>
        </w:trPr>
        <w:tc>
          <w:tcPr>
            <w:tcW w:w="1060" w:type="dxa"/>
            <w:vMerge/>
            <w:tcBorders>
              <w:top w:val="nil"/>
              <w:left w:val="single" w:sz="4" w:space="0" w:color="000000"/>
              <w:bottom w:val="single" w:sz="4" w:space="0" w:color="000000"/>
              <w:right w:val="single" w:sz="4" w:space="0" w:color="000000"/>
            </w:tcBorders>
            <w:vAlign w:val="center"/>
          </w:tcPr>
          <w:p/>
        </w:tc>
        <w:tc>
          <w:tcPr>
            <w:tcW w:w="226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可持续发展</w:t>
            </w:r>
          </w:p>
        </w:tc>
        <w:tc>
          <w:tcPr>
            <w:tcW w:w="5720"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推进可持续发展。负责全县节能减排的综合协调工作；组织拟订并协调实施全县发展循环经济、能源资源节约和综合利用规划及政策措施；参与编制生态建设、环境保护规划，协调生态建设、能源资源节约和综合利用的重大问题；综合协调环保产业和清洁生产促进有关工作。负责全县工业和信息化领域的节能降耗、清洁生产和资源节约与综合利用工作，协调推进工业化与生态环境协调发展中的重大问题。</w:t>
            </w:r>
          </w:p>
        </w:tc>
      </w:tr>
      <w:tr>
        <w:trPr>
          <w:trHeight w:val="1155"/>
        </w:trPr>
        <w:tc>
          <w:tcPr>
            <w:tcW w:w="1060" w:type="dxa"/>
            <w:vMerge/>
            <w:tcBorders>
              <w:top w:val="nil"/>
              <w:left w:val="single" w:sz="4" w:space="0" w:color="000000"/>
              <w:bottom w:val="single" w:sz="4" w:space="0" w:color="000000"/>
              <w:right w:val="single" w:sz="4" w:space="0" w:color="000000"/>
            </w:tcBorders>
            <w:vAlign w:val="center"/>
          </w:tcPr>
          <w:p/>
        </w:tc>
        <w:tc>
          <w:tcPr>
            <w:tcW w:w="226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工业和信息化产业</w:t>
            </w:r>
          </w:p>
        </w:tc>
        <w:tc>
          <w:tcPr>
            <w:tcW w:w="5720"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拟订工业和信息化产业的高新技术发展规划、政策、标准并组织实施；指导工业和信息化产业的技术创新、技术进步，以先进适用技术优化提升传统产业；组织实施国家、省、州有关科技重大专项，推进相关科研成果产业化，编制产品年度创新项目计划。</w:t>
            </w:r>
          </w:p>
        </w:tc>
      </w:tr>
      <w:tr>
        <w:trPr>
          <w:trHeight w:val="2145"/>
        </w:trPr>
        <w:tc>
          <w:tcPr>
            <w:tcW w:w="1060" w:type="dxa"/>
            <w:vMerge/>
            <w:tcBorders>
              <w:top w:val="nil"/>
              <w:left w:val="single" w:sz="4" w:space="0" w:color="000000"/>
              <w:bottom w:val="single" w:sz="4" w:space="0" w:color="000000"/>
              <w:right w:val="single" w:sz="4" w:space="0" w:color="000000"/>
            </w:tcBorders>
            <w:vAlign w:val="center"/>
          </w:tcPr>
          <w:p/>
        </w:tc>
        <w:tc>
          <w:tcPr>
            <w:tcW w:w="226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商贸流通</w:t>
            </w:r>
          </w:p>
        </w:tc>
        <w:tc>
          <w:tcPr>
            <w:tcW w:w="5720"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贯彻执行国家进出口商品、加工贸易管理办法、进出口管理商品、技术目录和对外技术贸易政策；拟订并实施促进全县外贸增长方式转变及服务出口、服务贸易发展的政策措施；组织实施重要工业品、原材料和重要农产品进出口总量计划；会同有关部门协调大宗进出口商品，指导全县贸易促进活动和外贸促进体系建设；负责对外经济贸易协调工作，推动服务外包平台建设。承担组织协调反倾销、反补贴保障措施及其他与进出口公平贸易相关工作的责任；建立进出口公平贸易预警机制；依法实施对外贸易调查和产业损害调查；依法对经营者集中行为进行反垄断审查。</w:t>
            </w:r>
          </w:p>
        </w:tc>
      </w:tr>
      <w:tr>
        <w:trPr>
          <w:trHeight w:val="1305"/>
        </w:trPr>
        <w:tc>
          <w:tcPr>
            <w:tcW w:w="1060" w:type="dxa"/>
            <w:vMerge/>
            <w:tcBorders>
              <w:top w:val="nil"/>
              <w:left w:val="single" w:sz="4" w:space="0" w:color="000000"/>
              <w:bottom w:val="single" w:sz="4" w:space="0" w:color="000000"/>
              <w:right w:val="single" w:sz="4" w:space="0" w:color="000000"/>
            </w:tcBorders>
            <w:vAlign w:val="center"/>
          </w:tcPr>
          <w:p/>
        </w:tc>
        <w:tc>
          <w:tcPr>
            <w:tcW w:w="226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物价工作</w:t>
            </w:r>
          </w:p>
        </w:tc>
        <w:tc>
          <w:tcPr>
            <w:tcW w:w="5720"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负责编制全县价格改革、价格调整的年度计划和规划；草拟地方性价格法规规章，审定价格管理办法和规范性文件；负责研究列管商品和服务价格管理原则、范围和作价办法；引导和规范经营者自主定价行为，指导行业价格自律，当市场价格出现异常波动时，提出干预措施，待批准后组织实施。</w:t>
            </w:r>
          </w:p>
        </w:tc>
      </w:tr>
      <w:tr>
        <w:trPr>
          <w:trHeight w:val="1845"/>
        </w:trPr>
        <w:tc>
          <w:tcPr>
            <w:tcW w:w="1060" w:type="dxa"/>
            <w:vMerge/>
            <w:tcBorders>
              <w:top w:val="nil"/>
              <w:left w:val="single" w:sz="4" w:space="0" w:color="000000"/>
              <w:bottom w:val="single" w:sz="4" w:space="0" w:color="000000"/>
              <w:right w:val="single" w:sz="4" w:space="0" w:color="000000"/>
            </w:tcBorders>
            <w:vAlign w:val="center"/>
          </w:tcPr>
          <w:p/>
        </w:tc>
        <w:tc>
          <w:tcPr>
            <w:tcW w:w="226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国民经济和社会发展、经济体制改革</w:t>
            </w:r>
          </w:p>
        </w:tc>
        <w:tc>
          <w:tcPr>
            <w:tcW w:w="5720"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贯彻实施国家、省、州有关国民经济和社会发展、经济体制改革的方针、政策和法律、法规。拟订全县有关国民经济和社会发展、经济体制改革的地方规范性文件草案，负责本部门依法行政工作，落实行政执法责任制；负责拟订并组织实施全县国民经济和社会发展战略、中长期规划和年度计划；统筹协调全县经济社会发展，研究分析宏观经济形势，提出全县经济社会发展、经济结构优化、调控监测的政策建议。受县人民政府委托向县人大提交全县国民经济和社会发展计划及其执行情况的报告。</w:t>
            </w:r>
          </w:p>
        </w:tc>
      </w:tr>
      <w:tr>
        <w:trPr>
          <w:trHeight w:val="1065"/>
        </w:trPr>
        <w:tc>
          <w:tcPr>
            <w:tcW w:w="1060" w:type="dxa"/>
            <w:vMerge/>
            <w:tcBorders>
              <w:top w:val="nil"/>
              <w:left w:val="single" w:sz="4" w:space="0" w:color="000000"/>
              <w:bottom w:val="single" w:sz="4" w:space="0" w:color="000000"/>
              <w:right w:val="single" w:sz="4" w:space="0" w:color="000000"/>
            </w:tcBorders>
            <w:vAlign w:val="center"/>
          </w:tcPr>
          <w:p/>
        </w:tc>
        <w:tc>
          <w:tcPr>
            <w:tcW w:w="226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项目投资建设</w:t>
            </w:r>
          </w:p>
        </w:tc>
        <w:tc>
          <w:tcPr>
            <w:tcW w:w="5720"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负责全县投资宏观管理和协调推进重大项目建设。拟订全县全社会固定资产投资总规模和投资结构的调控目标、政策及措施；按规定权限审批、核准、备案或转报固定资产投资项目，利用资源开发引用外资、境外投资项目。</w:t>
            </w:r>
          </w:p>
        </w:tc>
      </w:tr>
      <w:tr>
        <w:trPr>
          <w:trHeight w:val="570"/>
        </w:trPr>
        <w:tc>
          <w:tcPr>
            <w:tcW w:w="106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年度绩效指标</w:t>
            </w:r>
          </w:p>
        </w:tc>
        <w:tc>
          <w:tcPr>
            <w:tcW w:w="1000"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一级指标</w:t>
            </w:r>
          </w:p>
        </w:tc>
        <w:tc>
          <w:tcPr>
            <w:tcW w:w="1260"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二级指标</w:t>
            </w:r>
          </w:p>
        </w:tc>
        <w:tc>
          <w:tcPr>
            <w:tcW w:w="2840"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三级指标</w:t>
            </w:r>
          </w:p>
        </w:tc>
        <w:tc>
          <w:tcPr>
            <w:tcW w:w="760"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绩效指标性质</w:t>
            </w:r>
          </w:p>
        </w:tc>
        <w:tc>
          <w:tcPr>
            <w:tcW w:w="780"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绩效指标值</w:t>
            </w:r>
          </w:p>
        </w:tc>
        <w:tc>
          <w:tcPr>
            <w:tcW w:w="760"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绩效度量单位</w:t>
            </w:r>
          </w:p>
        </w:tc>
        <w:tc>
          <w:tcPr>
            <w:tcW w:w="580"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kern w:val="0"/>
                <w:sz w:val="18"/>
                <w:szCs w:val="18"/>
              </w:rPr>
            </w:pPr>
            <w:r>
              <w:rPr>
                <w:rFonts w:ascii="宋体" w:eastAsia="宋体" w:cs="宋体" w:hint="eastAsia"/>
                <w:color w:val="000000"/>
                <w:kern w:val="0"/>
                <w:sz w:val="18"/>
                <w:szCs w:val="18"/>
              </w:rPr>
              <w:t>权重</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00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产出指标</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数量指标</w:t>
            </w:r>
          </w:p>
        </w:tc>
        <w:tc>
          <w:tcPr>
            <w:tcW w:w="284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监管工业企业安全生产经营状况</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w:t>
            </w:r>
          </w:p>
        </w:tc>
        <w:tc>
          <w:tcPr>
            <w:tcW w:w="7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5</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次</w:t>
            </w:r>
          </w:p>
        </w:tc>
        <w:tc>
          <w:tcPr>
            <w:tcW w:w="5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10</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000" w:type="dxa"/>
            <w:vMerge/>
            <w:tcBorders>
              <w:top w:val="nil"/>
              <w:left w:val="single" w:sz="4" w:space="0" w:color="000000"/>
              <w:bottom w:val="single" w:sz="4" w:space="0" w:color="000000"/>
              <w:right w:val="single" w:sz="4" w:space="0" w:color="000000"/>
            </w:tcBorders>
            <w:vAlign w:val="center"/>
          </w:tcPr>
          <w:p/>
        </w:tc>
        <w:tc>
          <w:tcPr>
            <w:tcW w:w="1260" w:type="dxa"/>
            <w:vMerge/>
            <w:tcBorders>
              <w:top w:val="nil"/>
              <w:left w:val="single" w:sz="4" w:space="0" w:color="000000"/>
              <w:bottom w:val="single" w:sz="4" w:space="0" w:color="000000"/>
              <w:right w:val="single" w:sz="4" w:space="0" w:color="000000"/>
            </w:tcBorders>
            <w:vAlign w:val="center"/>
          </w:tcPr>
          <w:p/>
        </w:tc>
        <w:tc>
          <w:tcPr>
            <w:tcW w:w="284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招商引资，推广本地特产，电子商务发展</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w:t>
            </w:r>
          </w:p>
        </w:tc>
        <w:tc>
          <w:tcPr>
            <w:tcW w:w="7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3</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次</w:t>
            </w:r>
          </w:p>
        </w:tc>
        <w:tc>
          <w:tcPr>
            <w:tcW w:w="5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10</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000" w:type="dxa"/>
            <w:vMerge/>
            <w:tcBorders>
              <w:top w:val="nil"/>
              <w:left w:val="single" w:sz="4" w:space="0" w:color="000000"/>
              <w:bottom w:val="single" w:sz="4" w:space="0" w:color="000000"/>
              <w:right w:val="single" w:sz="4" w:space="0" w:color="000000"/>
            </w:tcBorders>
            <w:vAlign w:val="center"/>
          </w:tcPr>
          <w:p/>
        </w:tc>
        <w:tc>
          <w:tcPr>
            <w:tcW w:w="1260" w:type="dxa"/>
            <w:vMerge/>
            <w:tcBorders>
              <w:top w:val="nil"/>
              <w:left w:val="single" w:sz="4" w:space="0" w:color="000000"/>
              <w:bottom w:val="single" w:sz="4" w:space="0" w:color="000000"/>
              <w:right w:val="single" w:sz="4" w:space="0" w:color="000000"/>
            </w:tcBorders>
            <w:vAlign w:val="center"/>
          </w:tcPr>
          <w:p/>
        </w:tc>
        <w:tc>
          <w:tcPr>
            <w:tcW w:w="284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制定全县综合规划</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w:t>
            </w:r>
          </w:p>
        </w:tc>
        <w:tc>
          <w:tcPr>
            <w:tcW w:w="7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次</w:t>
            </w:r>
          </w:p>
        </w:tc>
        <w:tc>
          <w:tcPr>
            <w:tcW w:w="5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10</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000" w:type="dxa"/>
            <w:vMerge/>
            <w:tcBorders>
              <w:top w:val="nil"/>
              <w:left w:val="single" w:sz="4" w:space="0" w:color="000000"/>
              <w:bottom w:val="single" w:sz="4" w:space="0" w:color="000000"/>
              <w:right w:val="single" w:sz="4" w:space="0" w:color="000000"/>
            </w:tcBorders>
            <w:vAlign w:val="center"/>
          </w:tcPr>
          <w:p/>
        </w:tc>
        <w:tc>
          <w:tcPr>
            <w:tcW w:w="1260" w:type="dxa"/>
            <w:vMerge/>
            <w:tcBorders>
              <w:top w:val="nil"/>
              <w:left w:val="single" w:sz="4" w:space="0" w:color="000000"/>
              <w:bottom w:val="single" w:sz="4" w:space="0" w:color="000000"/>
              <w:right w:val="single" w:sz="4" w:space="0" w:color="000000"/>
            </w:tcBorders>
            <w:vAlign w:val="center"/>
          </w:tcPr>
          <w:p/>
        </w:tc>
        <w:tc>
          <w:tcPr>
            <w:tcW w:w="284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综合协调事务</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w:t>
            </w:r>
          </w:p>
        </w:tc>
        <w:tc>
          <w:tcPr>
            <w:tcW w:w="7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50</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次</w:t>
            </w:r>
          </w:p>
        </w:tc>
        <w:tc>
          <w:tcPr>
            <w:tcW w:w="5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10</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000" w:type="dxa"/>
            <w:vMerge/>
            <w:tcBorders>
              <w:top w:val="nil"/>
              <w:left w:val="single" w:sz="4" w:space="0" w:color="000000"/>
              <w:bottom w:val="single" w:sz="4" w:space="0" w:color="000000"/>
              <w:right w:val="single" w:sz="4" w:space="0" w:color="000000"/>
            </w:tcBorders>
            <w:vAlign w:val="center"/>
          </w:tcP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质量指标</w:t>
            </w:r>
          </w:p>
        </w:tc>
        <w:tc>
          <w:tcPr>
            <w:tcW w:w="284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全县综合规划制定完成率</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w:t>
            </w:r>
          </w:p>
        </w:tc>
        <w:tc>
          <w:tcPr>
            <w:tcW w:w="7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100</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w:t>
            </w:r>
          </w:p>
        </w:tc>
        <w:tc>
          <w:tcPr>
            <w:tcW w:w="5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10</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000" w:type="dxa"/>
            <w:vMerge/>
            <w:tcBorders>
              <w:top w:val="nil"/>
              <w:left w:val="single" w:sz="4" w:space="0" w:color="000000"/>
              <w:bottom w:val="single" w:sz="4" w:space="0" w:color="000000"/>
              <w:right w:val="single" w:sz="4" w:space="0" w:color="000000"/>
            </w:tcBorders>
            <w:vAlign w:val="center"/>
          </w:tcPr>
          <w:p/>
        </w:tc>
        <w:tc>
          <w:tcPr>
            <w:tcW w:w="1260" w:type="dxa"/>
            <w:vMerge/>
            <w:tcBorders>
              <w:top w:val="nil"/>
              <w:left w:val="single" w:sz="4" w:space="0" w:color="000000"/>
              <w:bottom w:val="single" w:sz="4" w:space="0" w:color="000000"/>
              <w:right w:val="single" w:sz="4" w:space="0" w:color="000000"/>
            </w:tcBorders>
            <w:vAlign w:val="center"/>
          </w:tcPr>
          <w:p/>
        </w:tc>
        <w:tc>
          <w:tcPr>
            <w:tcW w:w="284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县内项目招投标及监督参与率</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w:t>
            </w:r>
          </w:p>
        </w:tc>
        <w:tc>
          <w:tcPr>
            <w:tcW w:w="7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100</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w:t>
            </w:r>
          </w:p>
        </w:tc>
        <w:tc>
          <w:tcPr>
            <w:tcW w:w="5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10</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000" w:type="dxa"/>
            <w:vMerge/>
            <w:tcBorders>
              <w:top w:val="nil"/>
              <w:left w:val="single" w:sz="4" w:space="0" w:color="000000"/>
              <w:bottom w:val="single" w:sz="4" w:space="0" w:color="000000"/>
              <w:right w:val="single" w:sz="4" w:space="0" w:color="000000"/>
            </w:tcBorders>
            <w:vAlign w:val="center"/>
          </w:tcPr>
          <w:p/>
        </w:tc>
        <w:tc>
          <w:tcPr>
            <w:tcW w:w="1260" w:type="dxa"/>
            <w:vMerge/>
            <w:tcBorders>
              <w:top w:val="nil"/>
              <w:left w:val="single" w:sz="4" w:space="0" w:color="000000"/>
              <w:bottom w:val="single" w:sz="4" w:space="0" w:color="000000"/>
              <w:right w:val="single" w:sz="4" w:space="0" w:color="000000"/>
            </w:tcBorders>
            <w:vAlign w:val="center"/>
          </w:tcPr>
          <w:p/>
        </w:tc>
        <w:tc>
          <w:tcPr>
            <w:tcW w:w="284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县内中高考无线电网络监测率</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w:t>
            </w:r>
          </w:p>
        </w:tc>
        <w:tc>
          <w:tcPr>
            <w:tcW w:w="7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100</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w:t>
            </w:r>
          </w:p>
        </w:tc>
        <w:tc>
          <w:tcPr>
            <w:tcW w:w="5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5</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000" w:type="dxa"/>
            <w:vMerge/>
            <w:tcBorders>
              <w:top w:val="nil"/>
              <w:left w:val="single" w:sz="4" w:space="0" w:color="000000"/>
              <w:bottom w:val="single" w:sz="4" w:space="0" w:color="000000"/>
              <w:right w:val="single" w:sz="4" w:space="0" w:color="000000"/>
            </w:tcBorders>
            <w:vAlign w:val="center"/>
          </w:tcPr>
          <w:p/>
        </w:tc>
        <w:tc>
          <w:tcPr>
            <w:tcW w:w="12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时效指标</w:t>
            </w:r>
          </w:p>
        </w:tc>
        <w:tc>
          <w:tcPr>
            <w:tcW w:w="284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资金拨付及时率</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w:t>
            </w:r>
          </w:p>
        </w:tc>
        <w:tc>
          <w:tcPr>
            <w:tcW w:w="7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100</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w:t>
            </w:r>
          </w:p>
        </w:tc>
        <w:tc>
          <w:tcPr>
            <w:tcW w:w="5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5</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00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效益指标</w:t>
            </w:r>
          </w:p>
        </w:tc>
        <w:tc>
          <w:tcPr>
            <w:tcW w:w="12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经济效益指标</w:t>
            </w:r>
          </w:p>
        </w:tc>
        <w:tc>
          <w:tcPr>
            <w:tcW w:w="284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工业企业发展，带动全县经济发展</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w:t>
            </w:r>
          </w:p>
        </w:tc>
        <w:tc>
          <w:tcPr>
            <w:tcW w:w="7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100</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w:t>
            </w:r>
          </w:p>
        </w:tc>
        <w:tc>
          <w:tcPr>
            <w:tcW w:w="5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10</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00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满意度指标</w:t>
            </w:r>
          </w:p>
        </w:tc>
        <w:tc>
          <w:tcPr>
            <w:tcW w:w="12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满意度指标</w:t>
            </w:r>
          </w:p>
        </w:tc>
        <w:tc>
          <w:tcPr>
            <w:tcW w:w="284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群众、受益企业满意度</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w:t>
            </w:r>
          </w:p>
        </w:tc>
        <w:tc>
          <w:tcPr>
            <w:tcW w:w="7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100</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w:t>
            </w:r>
          </w:p>
        </w:tc>
        <w:tc>
          <w:tcPr>
            <w:tcW w:w="5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10</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00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成本指标</w:t>
            </w:r>
          </w:p>
        </w:tc>
        <w:tc>
          <w:tcPr>
            <w:tcW w:w="12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经济成本指标</w:t>
            </w:r>
          </w:p>
        </w:tc>
        <w:tc>
          <w:tcPr>
            <w:tcW w:w="284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人员经费（工资、工作经费）</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w:t>
            </w:r>
          </w:p>
        </w:tc>
        <w:tc>
          <w:tcPr>
            <w:tcW w:w="7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10</w:t>
            </w:r>
          </w:p>
        </w:tc>
        <w:tc>
          <w:tcPr>
            <w:tcW w:w="76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万元</w:t>
            </w:r>
          </w:p>
        </w:tc>
        <w:tc>
          <w:tcPr>
            <w:tcW w:w="580" w:type="dxa"/>
            <w:tcBorders>
              <w:top w:val="nil"/>
              <w:left w:val="nil"/>
              <w:bottom w:val="single" w:sz="4" w:space="0" w:color="000000"/>
              <w:right w:val="single" w:sz="4" w:space="0" w:color="000000"/>
            </w:tcBorders>
            <w:shd w:val="clear" w:color="auto" w:fill="auto"/>
            <w:vAlign w:val="center"/>
          </w:tcPr>
          <w:p>
            <w:pPr>
              <w:widowControl/>
              <w:jc w:val="left"/>
              <w:rPr>
                <w:rFonts w:ascii="宋体" w:eastAsia="宋体" w:cs="宋体"/>
                <w:color w:val="000000"/>
                <w:kern w:val="0"/>
                <w:sz w:val="18"/>
                <w:szCs w:val="18"/>
              </w:rPr>
            </w:pPr>
            <w:r>
              <w:rPr>
                <w:rFonts w:ascii="宋体" w:eastAsia="宋体" w:cs="宋体" w:hint="eastAsia"/>
                <w:color w:val="000000"/>
                <w:kern w:val="0"/>
                <w:sz w:val="18"/>
                <w:szCs w:val="18"/>
              </w:rPr>
              <w:t>10</w:t>
            </w:r>
          </w:p>
        </w:tc>
      </w:tr>
    </w:tbl>
    <w:p>
      <w:pPr>
        <w:spacing w:line="560" w:lineRule="exact"/>
        <w:rPr>
          <w:rFonts w:ascii="黑体" w:eastAsia="黑体" w:cs="黑体"/>
          <w:sz w:val="32"/>
          <w:szCs w:val="32"/>
        </w:rPr>
      </w:pPr>
    </w:p>
    <w:p>
      <w:pPr>
        <w:spacing w:line="560" w:lineRule="exact"/>
        <w:ind w:firstLineChars="200" w:firstLine="640"/>
        <w:rPr>
          <w:rFonts w:ascii="黑体" w:eastAsia="黑体" w:cs="黑体"/>
          <w:sz w:val="32"/>
          <w:szCs w:val="32"/>
        </w:rPr>
      </w:pPr>
      <w:r>
        <w:rPr>
          <w:rFonts w:ascii="黑体" w:eastAsia="黑体" w:cs="黑体" w:hint="eastAsia"/>
          <w:sz w:val="32"/>
          <w:szCs w:val="32"/>
        </w:rPr>
        <w:t>三、重点项目绩效目标。无</w:t>
      </w:r>
    </w:p>
    <w:p>
      <w:pPr>
        <w:spacing w:line="560" w:lineRule="exact"/>
        <w:rPr>
          <w:rFonts w:ascii="仿宋_GB2312" w:eastAsia="仿宋_GB2312" w:cs="仿宋_GB2312"/>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0000000000000000000"/>
    <w:charset w:val="86"/>
    <w:family w:val="auto"/>
    <w:pitch w:val="variable"/>
    <w:sig w:usb0="00000000" w:usb1="080E0000" w:usb2="00000000" w:usb3="00000000" w:csb0="00040000" w:csb1="00000000"/>
  </w:font>
  <w:font w:name="仿宋_GB2312">
    <w:panose1 w:val="02010609030101010101"/>
    <w:charset w:val="86"/>
    <w:family w:val="modern"/>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auto"/>
    <w:pitch w:val="variable"/>
    <w:sig w:usb0="00007A87" w:usb1="80000000" w:usb2="00000008" w:usb3="00000000" w:csb0="400001FF" w:csb1="FFFF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5FD0A63"/>
    <w:multiLevelType w:val="singleLevel"/>
    <w:tmpl w:val="E5FD0A63"/>
    <w:lvl w:ilvl="0">
      <w:start w:val="2"/>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Normal (Web)"/>
    <w:basedOn w:val="0"/>
    <w:pPr>
      <w:spacing w:beforeAutospacing="1" w:afterAutospacing="1"/>
      <w:jc w:val="left"/>
    </w:pPr>
    <w:rPr>
      <w:rFonts w:cs="Times New Roman"/>
      <w:kern w:val="0"/>
      <w:sz w:val="24"/>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21</TotalTime>
  <Application>Yozo_Office27021597764231179</Application>
  <Pages>3</Pages>
  <Words>1903</Words>
  <Characters>1953</Characters>
  <Lines>165</Lines>
  <Paragraphs>109</Paragraphs>
  <CharactersWithSpaces>1955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Administrator</cp:lastModifiedBy>
  <cp:revision>10</cp:revision>
  <dcterms:created xsi:type="dcterms:W3CDTF">2023-02-06T06:46:00Z</dcterms:created>
  <dcterms:modified xsi:type="dcterms:W3CDTF">2024-03-11T07:53:29Z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2052-11.1.0.7832</vt:lpwstr>
  </property>
</Properties>
</file>