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800" w:lineRule="exact"/>
        <w:jc w:val="center"/>
        <w:rPr>
          <w:rFonts w:ascii="方正小标宋简体" w:eastAsia="方正小标宋简体"/>
          <w:sz w:val="72"/>
          <w:szCs w:val="72"/>
        </w:rPr>
      </w:pPr>
      <w:bookmarkStart w:id="1" w:name="_Toc15378441"/>
      <w:bookmarkStart w:id="2" w:name="_Toc15396475"/>
      <w:bookmarkStart w:id="3" w:name="_Toc15396597"/>
      <w:bookmarkStart w:id="4" w:name="_Toc15377193"/>
      <w:bookmarkStart w:id="5" w:name="_Toc15377425"/>
      <w:r>
        <w:rPr>
          <w:rFonts w:ascii="方正小标宋简体" w:eastAsia="方正小标宋简体" w:hint="eastAsia"/>
          <w:sz w:val="72"/>
          <w:szCs w:val="72"/>
        </w:rPr>
        <w:t>2022年度</w:t>
      </w:r>
      <w:bookmarkEnd w:id="1"/>
      <w:bookmarkEnd w:id="2"/>
      <w:bookmarkEnd w:id="3"/>
      <w:bookmarkEnd w:id="4"/>
      <w:bookmarkEnd w:id="5"/>
    </w:p>
    <w:p>
      <w:pPr>
        <w:spacing w:line="800" w:lineRule="exact"/>
        <w:jc w:val="center"/>
        <w:rPr>
          <w:rFonts w:ascii="方正小标宋简体" w:eastAsia="方正小标宋简体"/>
          <w:sz w:val="72"/>
          <w:szCs w:val="72"/>
        </w:rPr>
      </w:pPr>
      <w:bookmarkStart w:id="6" w:name="_Toc15396598"/>
      <w:bookmarkStart w:id="7" w:name="_Toc15377194"/>
      <w:bookmarkStart w:id="8" w:name="_Toc15378442"/>
      <w:bookmarkStart w:id="9" w:name="_Toc15396476"/>
      <w:bookmarkStart w:id="10" w:name="_Toc15377426"/>
      <w:r>
        <w:rPr>
          <w:rFonts w:ascii="方正小标宋简体" w:eastAsia="方正小标宋简体" w:hint="eastAsia"/>
          <w:sz w:val="72"/>
          <w:szCs w:val="72"/>
        </w:rPr>
        <w:t>四川省阿坝州</w:t>
      </w:r>
      <w:bookmarkStart w:id="11" w:name="_Toc15306268"/>
      <w:bookmarkEnd w:id="0"/>
      <w:r>
        <w:rPr>
          <w:rFonts w:ascii="方正小标宋简体" w:eastAsia="方正小标宋简体" w:hint="eastAsia"/>
          <w:sz w:val="72"/>
          <w:szCs w:val="72"/>
        </w:rPr>
        <w:t>金川县发展改革和经济商务信息化局</w:t>
      </w:r>
    </w:p>
    <w:p>
      <w:pPr>
        <w:spacing w:line="800" w:lineRule="exact"/>
        <w:jc w:val="center"/>
        <w:rPr>
          <w:rFonts w:ascii="方正小标宋简体" w:eastAsia="方正小标宋简体"/>
          <w:sz w:val="72"/>
          <w:szCs w:val="72"/>
        </w:rPr>
      </w:pPr>
      <w:r>
        <w:rPr>
          <w:rFonts w:ascii="方正小标宋简体" w:eastAsia="方正小标宋简体" w:hint="eastAsia"/>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widowControl/>
        <w:jc w:val="center"/>
        <w:rPr>
          <w:rFonts w:ascii="黑体" w:eastAsia="黑体"/>
          <w:color w:val="000000"/>
          <w:sz w:val="48"/>
          <w:szCs w:val="48"/>
        </w:rPr>
      </w:pPr>
      <w:r>
        <w:rPr>
          <w:rFonts w:ascii="方正小标宋简体" w:eastAsia="方正小标宋简体" w:hint="eastAsia"/>
          <w:sz w:val="36"/>
          <w:szCs w:val="36"/>
        </w:rPr>
        <w:br w:type="page"/>
      </w:r>
      <w:r>
        <w:rPr>
          <w:rFonts w:ascii="黑体" w:eastAsia="黑体" w:hint="eastAsia"/>
          <w:color w:val="000000"/>
          <w:sz w:val="48"/>
          <w:szCs w:val="48"/>
        </w:rPr>
        <w:t>目录</w:t>
      </w:r>
    </w:p>
    <w:p>
      <w:pPr>
        <w:pStyle w:val="16"/>
        <w:jc w:val="center"/>
        <w:rPr>
          <w:b w:val="0"/>
          <w:bCs w:val="0"/>
          <w:sz w:val="24"/>
          <w:szCs w:val="24"/>
        </w:rPr>
      </w:pPr>
      <w:r>
        <w:rPr>
          <w:rFonts w:hint="eastAsia"/>
          <w:b w:val="0"/>
          <w:bCs w:val="0"/>
          <w:sz w:val="24"/>
          <w:szCs w:val="24"/>
        </w:rPr>
        <w:t>公开时间：202</w:t>
      </w:r>
      <w:r>
        <w:rPr>
          <w:rFonts w:eastAsia="宋体" w:hint="eastAsia"/>
          <w:b w:val="0"/>
          <w:bCs w:val="0"/>
          <w:sz w:val="24"/>
          <w:szCs w:val="24"/>
        </w:rPr>
        <w:t>3</w:t>
      </w:r>
      <w:r>
        <w:rPr>
          <w:rFonts w:hint="eastAsia"/>
          <w:b w:val="0"/>
          <w:bCs w:val="0"/>
          <w:sz w:val="24"/>
          <w:szCs w:val="24"/>
        </w:rPr>
        <w:t>年</w:t>
      </w:r>
      <w:r>
        <w:rPr>
          <w:rFonts w:eastAsia="宋体" w:hint="eastAsia"/>
          <w:b w:val="0"/>
          <w:bCs w:val="0"/>
          <w:sz w:val="24"/>
          <w:szCs w:val="24"/>
        </w:rPr>
        <w:t>8</w:t>
      </w:r>
      <w:r>
        <w:rPr>
          <w:rFonts w:hint="eastAsia"/>
          <w:b w:val="0"/>
          <w:bCs w:val="0"/>
          <w:sz w:val="24"/>
          <w:szCs w:val="24"/>
        </w:rPr>
        <w:t>月</w:t>
      </w:r>
      <w:r>
        <w:rPr>
          <w:rFonts w:eastAsia="宋体" w:hint="eastAsia"/>
          <w:b w:val="0"/>
          <w:bCs w:val="0"/>
          <w:sz w:val="24"/>
          <w:szCs w:val="24"/>
        </w:rPr>
        <w:t>23</w:t>
      </w:r>
      <w:r>
        <w:rPr>
          <w:rFonts w:hint="eastAsia"/>
          <w:b w:val="0"/>
          <w:bCs w:val="0"/>
          <w:sz w:val="24"/>
          <w:szCs w:val="24"/>
        </w:rPr>
        <w:t>日</w:t>
      </w:r>
    </w:p>
    <w:p>
      <w:pPr>
        <w:pStyle w:val="16"/>
        <w:tabs>
          <w:tab w:val="right" w:leader="dot" w:pos="8296"/>
        </w:tabs>
        <w:rPr>
          <w:rFonts w:eastAsia="宋体" w:cs="Arial"/>
          <w:b w:val="0"/>
          <w:bCs w:val="0"/>
          <w:sz w:val="21"/>
          <w:szCs w:val="22"/>
        </w:rPr>
      </w:pPr>
      <w:r>
        <w:rPr>
          <w:b w:val="0"/>
          <w:bCs w:val="0"/>
        </w:rPr>
        <w:fldChar w:fldCharType="begin"/>
      </w:r>
      <w:r>
        <w:rPr>
          <w:b w:val="0"/>
          <w:bCs w:val="0"/>
        </w:rPr>
        <w:instrText xml:space="preserve"> TOC \o \u </w:instrText>
      </w:r>
      <w:r>
        <w:rPr>
          <w:b w:val="0"/>
          <w:bCs w:val="0"/>
        </w:rPr>
        <w:fldChar w:fldCharType="separate"/>
      </w:r>
      <w:r>
        <w:rPr>
          <w:rFonts w:ascii="黑体" w:eastAsia="黑体" w:hint="eastAsia"/>
          <w:b w:val="0"/>
        </w:rPr>
        <w:t xml:space="preserve">第一部分 </w:t>
      </w:r>
      <w:r>
        <w:rPr>
          <w:rFonts w:ascii="黑体" w:eastAsia="黑体" w:hint="eastAsia"/>
          <w:b w:val="0"/>
          <w:bCs w:val="0"/>
        </w:rPr>
        <w:t>部门概况</w:t>
      </w:r>
      <w:r>
        <w:rPr>
          <w:b w:val="0"/>
        </w:rPr>
        <w:tab/>
      </w:r>
      <w:r>
        <w:fldChar w:fldCharType="begin"/>
      </w:r>
      <w:r>
        <w:instrText xml:space="preserve"> PAGEREF _Toc79163851 \h </w:instrText>
      </w:r>
      <w:r>
        <w:fldChar w:fldCharType="separate"/>
      </w:r>
      <w:r>
        <w:rPr>
          <w:rFonts w:eastAsia="宋体" w:hint="eastAsia"/>
          <w:b w:val="0"/>
          <w:bCs w:val="0"/>
        </w:rPr>
        <w:t>错误！未定义书签。</w:t>
      </w:r>
      <w:r>
        <w:fldChar w:fldCharType="end"/>
      </w:r>
    </w:p>
    <w:p>
      <w:pPr>
        <w:pStyle w:val="22"/>
        <w:tabs>
          <w:tab w:val="right" w:leader="dot" w:pos="8296"/>
        </w:tabs>
        <w:rPr>
          <w:rFonts w:eastAsia="宋体" w:cs="Arial"/>
          <w:sz w:val="21"/>
          <w:szCs w:val="22"/>
        </w:rPr>
      </w:pPr>
      <w:r>
        <w:rPr>
          <w:rFonts w:ascii="黑体" w:eastAsia="黑体" w:hint="eastAsia"/>
          <w:color w:val="000000"/>
        </w:rPr>
        <w:t>一、基</w:t>
      </w:r>
      <w:r>
        <w:rPr>
          <w:rFonts w:ascii="黑体" w:eastAsia="黑体" w:hint="eastAsia"/>
        </w:rPr>
        <w:t>本职能及主要工作</w:t>
      </w:r>
      <w:r>
        <w:tab/>
      </w:r>
      <w:r>
        <w:fldChar w:fldCharType="begin"/>
      </w:r>
      <w:r>
        <w:instrText xml:space="preserve"> PAGEREF _Toc79163852 \h </w:instrText>
      </w:r>
      <w:r>
        <w:fldChar w:fldCharType="separate"/>
      </w:r>
      <w:r>
        <w:rPr>
          <w:rFonts w:eastAsia="宋体" w:hint="eastAsia"/>
          <w:b/>
          <w:bCs/>
        </w:rPr>
        <w:t>错误！未定义书签。</w:t>
      </w:r>
      <w:r>
        <w:fldChar w:fldCharType="end"/>
      </w:r>
    </w:p>
    <w:p>
      <w:pPr>
        <w:pStyle w:val="18"/>
        <w:tabs>
          <w:tab w:val="right" w:leader="dot" w:pos="8296"/>
        </w:tabs>
        <w:rPr>
          <w:rFonts w:eastAsia="宋体" w:cs="Arial"/>
          <w:i w:val="0"/>
          <w:iCs w:val="0"/>
          <w:sz w:val="21"/>
          <w:szCs w:val="22"/>
        </w:rPr>
      </w:pPr>
      <w:r>
        <w:rPr>
          <w:rFonts w:ascii="仿宋" w:eastAsia="仿宋" w:hint="eastAsia"/>
          <w:bCs/>
          <w:i w:val="0"/>
          <w:iCs w:val="0"/>
          <w:color w:val="000000"/>
        </w:rPr>
        <w:t>（一）主要职能。</w:t>
      </w:r>
      <w:r>
        <w:rPr>
          <w:i w:val="0"/>
          <w:iCs w:val="0"/>
        </w:rPr>
        <w:tab/>
      </w:r>
      <w:r>
        <w:rPr>
          <w:i w:val="0"/>
          <w:iCs w:val="0"/>
        </w:rPr>
        <w:fldChar w:fldCharType="begin"/>
      </w:r>
      <w:r>
        <w:rPr>
          <w:i w:val="0"/>
          <w:iCs w:val="0"/>
        </w:rPr>
        <w:instrText xml:space="preserve"> PAGEREF _Toc79163853 \h </w:instrText>
      </w:r>
      <w:r>
        <w:rPr>
          <w:i w:val="0"/>
          <w:iCs w:val="0"/>
        </w:rPr>
        <w:fldChar w:fldCharType="separate"/>
      </w:r>
      <w:r>
        <w:rPr>
          <w:rFonts w:eastAsia="宋体" w:hint="eastAsia"/>
          <w:b/>
          <w:bCs/>
          <w:i w:val="0"/>
          <w:iCs w:val="0"/>
        </w:rPr>
        <w:t>错误！未定义书签。</w:t>
      </w:r>
      <w:r>
        <w:rPr>
          <w:i w:val="0"/>
          <w:iCs w:val="0"/>
        </w:rPr>
        <w:fldChar w:fldCharType="end"/>
      </w:r>
    </w:p>
    <w:p>
      <w:pPr>
        <w:pStyle w:val="18"/>
        <w:tabs>
          <w:tab w:val="right" w:leader="dot" w:pos="8296"/>
        </w:tabs>
        <w:rPr>
          <w:rFonts w:eastAsia="宋体" w:cs="Arial"/>
          <w:i w:val="0"/>
          <w:iCs w:val="0"/>
          <w:sz w:val="21"/>
          <w:szCs w:val="22"/>
        </w:rPr>
      </w:pPr>
      <w:r>
        <w:rPr>
          <w:rFonts w:ascii="仿宋" w:eastAsia="仿宋" w:hint="eastAsia"/>
          <w:bCs/>
          <w:i w:val="0"/>
          <w:iCs w:val="0"/>
          <w:color w:val="000000"/>
        </w:rPr>
        <w:t>（二）2022年重点工作完成情况。</w:t>
      </w:r>
      <w:r>
        <w:rPr>
          <w:i w:val="0"/>
          <w:iCs w:val="0"/>
        </w:rPr>
        <w:tab/>
      </w:r>
      <w:r>
        <w:rPr>
          <w:i w:val="0"/>
          <w:iCs w:val="0"/>
        </w:rPr>
        <w:fldChar w:fldCharType="begin"/>
      </w:r>
      <w:r>
        <w:rPr>
          <w:i w:val="0"/>
          <w:iCs w:val="0"/>
        </w:rPr>
        <w:instrText xml:space="preserve"> PAGEREF _Toc79163854 \h </w:instrText>
      </w:r>
      <w:r>
        <w:rPr>
          <w:i w:val="0"/>
          <w:iCs w:val="0"/>
        </w:rPr>
        <w:fldChar w:fldCharType="separate"/>
      </w:r>
      <w:r>
        <w:rPr>
          <w:rFonts w:eastAsia="宋体" w:hint="eastAsia"/>
          <w:b/>
          <w:bCs/>
          <w:i w:val="0"/>
          <w:iCs w:val="0"/>
        </w:rPr>
        <w:t>错误！未定义书签。</w:t>
      </w:r>
      <w:r>
        <w:rPr>
          <w:i w:val="0"/>
          <w:iCs w:val="0"/>
        </w:rPr>
        <w:fldChar w:fldCharType="end"/>
      </w:r>
    </w:p>
    <w:p>
      <w:pPr>
        <w:pStyle w:val="22"/>
        <w:tabs>
          <w:tab w:val="right" w:leader="dot" w:pos="8296"/>
        </w:tabs>
        <w:rPr>
          <w:rFonts w:eastAsia="宋体" w:cs="Arial"/>
          <w:sz w:val="21"/>
          <w:szCs w:val="22"/>
        </w:rPr>
      </w:pPr>
      <w:r>
        <w:rPr>
          <w:rFonts w:ascii="黑体" w:eastAsia="黑体" w:hint="eastAsia"/>
          <w:color w:val="000000"/>
        </w:rPr>
        <w:t>二、机</w:t>
      </w:r>
      <w:r>
        <w:rPr>
          <w:rFonts w:ascii="黑体" w:eastAsia="黑体" w:hint="eastAsia"/>
        </w:rPr>
        <w:t>构设置</w:t>
      </w:r>
      <w:r>
        <w:tab/>
      </w:r>
      <w:r>
        <w:fldChar w:fldCharType="begin"/>
      </w:r>
      <w:r>
        <w:instrText xml:space="preserve"> PAGEREF _Toc79163855 \h </w:instrText>
      </w:r>
      <w:r>
        <w:fldChar w:fldCharType="separate"/>
      </w:r>
      <w:r>
        <w:rPr>
          <w:rFonts w:eastAsia="宋体" w:hint="eastAsia"/>
          <w:b/>
          <w:bCs/>
        </w:rPr>
        <w:t>错误！未定义书签。</w:t>
      </w:r>
      <w:r>
        <w:fldChar w:fldCharType="end"/>
      </w:r>
    </w:p>
    <w:p>
      <w:pPr>
        <w:pStyle w:val="16"/>
        <w:tabs>
          <w:tab w:val="right" w:leader="dot" w:pos="8296"/>
        </w:tabs>
        <w:rPr>
          <w:rFonts w:eastAsia="宋体" w:cs="Arial"/>
          <w:b w:val="0"/>
          <w:bCs w:val="0"/>
          <w:sz w:val="21"/>
          <w:szCs w:val="22"/>
        </w:rPr>
      </w:pPr>
      <w:r>
        <w:rPr>
          <w:rFonts w:ascii="黑体" w:eastAsia="黑体" w:hint="eastAsia"/>
          <w:b w:val="0"/>
          <w:color w:val="000000"/>
        </w:rPr>
        <w:t>第二部分</w:t>
      </w:r>
      <w:r>
        <w:rPr>
          <w:rFonts w:ascii="黑体" w:eastAsia="黑体" w:hint="eastAsia"/>
          <w:color w:val="000000"/>
        </w:rPr>
        <w:t xml:space="preserve"> </w:t>
      </w:r>
      <w:r>
        <w:rPr>
          <w:rFonts w:ascii="黑体" w:eastAsia="黑体" w:hint="eastAsia"/>
          <w:b w:val="0"/>
          <w:bCs w:val="0"/>
        </w:rPr>
        <w:t>2022年度部门决算情况说明</w:t>
      </w:r>
      <w:r>
        <w:rPr>
          <w:b w:val="0"/>
          <w:bCs w:val="0"/>
        </w:rPr>
        <w:tab/>
      </w:r>
      <w:r>
        <w:fldChar w:fldCharType="begin"/>
      </w:r>
      <w:r>
        <w:instrText xml:space="preserve"> PAGEREF _Toc79163859 \h </w:instrText>
      </w:r>
      <w:r>
        <w:fldChar w:fldCharType="separate"/>
      </w:r>
      <w:r>
        <w:rPr>
          <w:rFonts w:eastAsia="宋体" w:hint="eastAsia"/>
          <w:b w:val="0"/>
          <w:bCs w:val="0"/>
        </w:rPr>
        <w:t>错误！未定义书签。</w:t>
      </w:r>
      <w:r>
        <w:fldChar w:fldCharType="end"/>
      </w:r>
    </w:p>
    <w:p>
      <w:pPr>
        <w:pStyle w:val="22"/>
        <w:tabs>
          <w:tab w:val="left" w:pos="840"/>
          <w:tab w:val="right" w:leader="dot" w:pos="8296"/>
        </w:tabs>
        <w:rPr>
          <w:rFonts w:eastAsia="宋体" w:cs="Arial"/>
          <w:sz w:val="21"/>
          <w:szCs w:val="22"/>
        </w:rPr>
      </w:pPr>
      <w:r>
        <w:rPr>
          <w:rFonts w:ascii="黑体" w:eastAsia="黑体" w:hint="eastAsia"/>
          <w:bCs/>
        </w:rPr>
        <w:t>一、</w:t>
      </w:r>
      <w:r>
        <w:rPr>
          <w:rFonts w:eastAsia="宋体" w:cs="Arial"/>
          <w:sz w:val="21"/>
          <w:szCs w:val="22"/>
        </w:rPr>
        <w:tab/>
      </w:r>
      <w:r>
        <w:rPr>
          <w:rFonts w:ascii="黑体" w:eastAsia="黑体" w:hint="eastAsia"/>
          <w:color w:val="000000"/>
        </w:rPr>
        <w:t>收</w:t>
      </w:r>
      <w:r>
        <w:rPr>
          <w:rFonts w:ascii="黑体" w:eastAsia="黑体" w:hint="eastAsia"/>
          <w:bCs/>
        </w:rPr>
        <w:t>入支出决算总体情况说明</w:t>
      </w:r>
      <w:r>
        <w:tab/>
      </w:r>
      <w:r>
        <w:fldChar w:fldCharType="begin"/>
      </w:r>
      <w:r>
        <w:instrText xml:space="preserve"> PAGEREF _Toc79163860 \h </w:instrText>
      </w:r>
      <w:r>
        <w:fldChar w:fldCharType="separate"/>
      </w:r>
      <w:r>
        <w:rPr>
          <w:rFonts w:eastAsia="宋体" w:hint="eastAsia"/>
          <w:b/>
          <w:bCs/>
        </w:rPr>
        <w:t>错误！未定义书签。</w:t>
      </w:r>
      <w:r>
        <w:fldChar w:fldCharType="end"/>
      </w:r>
    </w:p>
    <w:p>
      <w:pPr>
        <w:pStyle w:val="22"/>
        <w:tabs>
          <w:tab w:val="left" w:pos="840"/>
          <w:tab w:val="right" w:leader="dot" w:pos="8296"/>
        </w:tabs>
        <w:rPr>
          <w:rFonts w:eastAsia="宋体" w:cs="Arial"/>
          <w:sz w:val="21"/>
          <w:szCs w:val="22"/>
        </w:rPr>
      </w:pPr>
      <w:r>
        <w:rPr>
          <w:rFonts w:ascii="黑体" w:eastAsia="黑体" w:hint="eastAsia"/>
          <w:bCs/>
        </w:rPr>
        <w:t>二、</w:t>
      </w:r>
      <w:r>
        <w:rPr>
          <w:rFonts w:eastAsia="宋体" w:cs="Arial"/>
          <w:sz w:val="21"/>
          <w:szCs w:val="22"/>
        </w:rPr>
        <w:tab/>
      </w:r>
      <w:r>
        <w:rPr>
          <w:rFonts w:ascii="黑体" w:eastAsia="黑体" w:hint="eastAsia"/>
          <w:color w:val="000000"/>
        </w:rPr>
        <w:t>收</w:t>
      </w:r>
      <w:r>
        <w:rPr>
          <w:rFonts w:ascii="黑体" w:eastAsia="黑体" w:hint="eastAsia"/>
          <w:bCs/>
        </w:rPr>
        <w:t>入决算情况说明</w:t>
      </w:r>
      <w:r>
        <w:tab/>
      </w:r>
      <w:r>
        <w:fldChar w:fldCharType="begin"/>
      </w:r>
      <w:r>
        <w:instrText xml:space="preserve"> PAGEREF _Toc79163861 \h </w:instrText>
      </w:r>
      <w:r>
        <w:fldChar w:fldCharType="separate"/>
      </w:r>
      <w:r>
        <w:rPr>
          <w:rFonts w:eastAsia="宋体" w:hint="eastAsia"/>
          <w:b/>
          <w:bCs/>
        </w:rPr>
        <w:t>错误！未定义书签。</w:t>
      </w:r>
      <w:r>
        <w:fldChar w:fldCharType="end"/>
      </w:r>
    </w:p>
    <w:p>
      <w:pPr>
        <w:pStyle w:val="22"/>
        <w:tabs>
          <w:tab w:val="left" w:pos="840"/>
          <w:tab w:val="right" w:leader="dot" w:pos="8296"/>
        </w:tabs>
        <w:rPr>
          <w:rFonts w:eastAsia="宋体" w:cs="Arial"/>
          <w:sz w:val="21"/>
          <w:szCs w:val="22"/>
        </w:rPr>
      </w:pPr>
      <w:r>
        <w:rPr>
          <w:rFonts w:ascii="黑体" w:eastAsia="黑体" w:hint="eastAsia"/>
          <w:bCs/>
        </w:rPr>
        <w:t>三、</w:t>
      </w:r>
      <w:r>
        <w:rPr>
          <w:rFonts w:eastAsia="宋体" w:cs="Arial"/>
          <w:sz w:val="21"/>
          <w:szCs w:val="22"/>
        </w:rPr>
        <w:tab/>
      </w:r>
      <w:r>
        <w:rPr>
          <w:rFonts w:ascii="黑体" w:eastAsia="黑体" w:hint="eastAsia"/>
          <w:color w:val="000000"/>
        </w:rPr>
        <w:t>支</w:t>
      </w:r>
      <w:r>
        <w:rPr>
          <w:rFonts w:ascii="黑体" w:eastAsia="黑体" w:hint="eastAsia"/>
          <w:bCs/>
        </w:rPr>
        <w:t>出决算情况说明</w:t>
      </w:r>
      <w:r>
        <w:tab/>
      </w:r>
      <w:r>
        <w:fldChar w:fldCharType="begin"/>
      </w:r>
      <w:r>
        <w:instrText xml:space="preserve"> PAGEREF _Toc79163862 \h </w:instrText>
      </w:r>
      <w:r>
        <w:fldChar w:fldCharType="separate"/>
      </w:r>
      <w:r>
        <w:rPr>
          <w:rFonts w:eastAsia="宋体" w:hint="eastAsia"/>
          <w:b/>
          <w:bCs/>
        </w:rPr>
        <w:t>错误！未定义书签。</w:t>
      </w:r>
      <w:r>
        <w:fldChar w:fldCharType="end"/>
      </w:r>
    </w:p>
    <w:p>
      <w:pPr>
        <w:pStyle w:val="22"/>
        <w:tabs>
          <w:tab w:val="right" w:leader="dot" w:pos="8296"/>
        </w:tabs>
        <w:rPr>
          <w:rFonts w:eastAsia="宋体" w:cs="Arial"/>
          <w:sz w:val="21"/>
          <w:szCs w:val="22"/>
        </w:rPr>
      </w:pPr>
      <w:r>
        <w:rPr>
          <w:rFonts w:ascii="黑体" w:eastAsia="黑体" w:hint="eastAsia"/>
          <w:color w:val="000000"/>
        </w:rPr>
        <w:t>四、财</w:t>
      </w:r>
      <w:r>
        <w:rPr>
          <w:rFonts w:ascii="黑体" w:eastAsia="黑体" w:hint="eastAsia"/>
          <w:bCs/>
        </w:rPr>
        <w:t>政拨款收入支出决算总体情况说明</w:t>
      </w:r>
      <w:r>
        <w:tab/>
      </w:r>
      <w:r>
        <w:fldChar w:fldCharType="begin"/>
      </w:r>
      <w:r>
        <w:instrText xml:space="preserve"> PAGEREF _Toc79163863 \h </w:instrText>
      </w:r>
      <w:r>
        <w:fldChar w:fldCharType="separate"/>
      </w:r>
      <w:r>
        <w:rPr>
          <w:rFonts w:eastAsia="宋体" w:hint="eastAsia"/>
          <w:b/>
          <w:bCs/>
        </w:rPr>
        <w:t>错误！未定义书签。</w:t>
      </w:r>
      <w:r>
        <w:fldChar w:fldCharType="end"/>
      </w:r>
    </w:p>
    <w:p>
      <w:pPr>
        <w:pStyle w:val="22"/>
        <w:tabs>
          <w:tab w:val="right" w:leader="dot" w:pos="8296"/>
        </w:tabs>
        <w:rPr>
          <w:rFonts w:eastAsia="宋体" w:cs="Arial"/>
          <w:sz w:val="21"/>
          <w:szCs w:val="22"/>
        </w:rPr>
      </w:pPr>
      <w:r>
        <w:rPr>
          <w:rFonts w:ascii="黑体" w:eastAsia="黑体" w:hint="eastAsia"/>
          <w:color w:val="000000"/>
        </w:rPr>
        <w:t>五、</w:t>
      </w:r>
      <w:r>
        <w:rPr>
          <w:rFonts w:ascii="黑体" w:eastAsia="黑体" w:hint="eastAsia"/>
          <w:b/>
          <w:color w:val="000000"/>
        </w:rPr>
        <w:t>一</w:t>
      </w:r>
      <w:r>
        <w:rPr>
          <w:rFonts w:ascii="黑体" w:eastAsia="黑体" w:hint="eastAsia"/>
          <w:bCs/>
        </w:rPr>
        <w:t>般公共预算财政拨款支出决算情况说明</w:t>
      </w:r>
      <w:r>
        <w:tab/>
      </w:r>
      <w:r>
        <w:fldChar w:fldCharType="begin"/>
      </w:r>
      <w:r>
        <w:instrText xml:space="preserve"> PAGEREF _Toc79163864 \h </w:instrText>
      </w:r>
      <w:r>
        <w:fldChar w:fldCharType="separate"/>
      </w:r>
      <w:r>
        <w:rPr>
          <w:rFonts w:eastAsia="宋体" w:hint="eastAsia"/>
          <w:b/>
          <w:bCs/>
        </w:rPr>
        <w:t>错误！未定义书签。</w:t>
      </w:r>
      <w:r>
        <w:fldChar w:fldCharType="end"/>
      </w:r>
    </w:p>
    <w:p>
      <w:pPr>
        <w:pStyle w:val="18"/>
        <w:tabs>
          <w:tab w:val="right" w:leader="dot" w:pos="8296"/>
        </w:tabs>
        <w:rPr>
          <w:rFonts w:eastAsia="宋体" w:cs="Arial"/>
          <w:i w:val="0"/>
          <w:iCs w:val="0"/>
          <w:sz w:val="21"/>
          <w:szCs w:val="22"/>
        </w:rPr>
      </w:pPr>
      <w:r>
        <w:rPr>
          <w:rFonts w:ascii="仿宋" w:eastAsia="仿宋" w:hint="eastAsia"/>
          <w:i w:val="0"/>
          <w:iCs w:val="0"/>
          <w:color w:val="000000"/>
        </w:rPr>
        <w:t>（一）一般公共预算财政拨款支出决算总体情况</w:t>
      </w:r>
      <w:r>
        <w:rPr>
          <w:i w:val="0"/>
          <w:iCs w:val="0"/>
        </w:rPr>
        <w:tab/>
      </w:r>
      <w:r>
        <w:rPr>
          <w:i w:val="0"/>
          <w:iCs w:val="0"/>
        </w:rPr>
        <w:fldChar w:fldCharType="begin"/>
      </w:r>
      <w:r>
        <w:rPr>
          <w:i w:val="0"/>
          <w:iCs w:val="0"/>
        </w:rPr>
        <w:instrText xml:space="preserve"> PAGEREF _Toc79163865 \h </w:instrText>
      </w:r>
      <w:r>
        <w:rPr>
          <w:i w:val="0"/>
          <w:iCs w:val="0"/>
        </w:rPr>
        <w:fldChar w:fldCharType="separate"/>
      </w:r>
      <w:r>
        <w:rPr>
          <w:rFonts w:eastAsia="宋体" w:hint="eastAsia"/>
          <w:b/>
          <w:bCs/>
          <w:i w:val="0"/>
          <w:iCs w:val="0"/>
        </w:rPr>
        <w:t>错误！未定义书签。</w:t>
      </w:r>
      <w:r>
        <w:rPr>
          <w:i w:val="0"/>
          <w:iCs w:val="0"/>
        </w:rPr>
        <w:fldChar w:fldCharType="end"/>
      </w:r>
    </w:p>
    <w:p>
      <w:pPr>
        <w:pStyle w:val="18"/>
        <w:tabs>
          <w:tab w:val="right" w:leader="dot" w:pos="8296"/>
        </w:tabs>
        <w:rPr>
          <w:rFonts w:eastAsia="宋体" w:cs="Arial"/>
          <w:i w:val="0"/>
          <w:iCs w:val="0"/>
          <w:sz w:val="21"/>
          <w:szCs w:val="22"/>
        </w:rPr>
      </w:pPr>
      <w:r>
        <w:rPr>
          <w:rFonts w:ascii="仿宋" w:eastAsia="仿宋" w:hint="eastAsia"/>
          <w:i w:val="0"/>
          <w:iCs w:val="0"/>
          <w:color w:val="000000"/>
        </w:rPr>
        <w:t>（二）一般公共预算财政拨款支出决算结构情况</w:t>
      </w:r>
      <w:r>
        <w:rPr>
          <w:i w:val="0"/>
          <w:iCs w:val="0"/>
        </w:rPr>
        <w:tab/>
      </w:r>
      <w:r>
        <w:rPr>
          <w:i w:val="0"/>
          <w:iCs w:val="0"/>
        </w:rPr>
        <w:fldChar w:fldCharType="begin"/>
      </w:r>
      <w:r>
        <w:rPr>
          <w:i w:val="0"/>
          <w:iCs w:val="0"/>
        </w:rPr>
        <w:instrText xml:space="preserve"> PAGEREF _Toc79163866 \h </w:instrText>
      </w:r>
      <w:r>
        <w:rPr>
          <w:i w:val="0"/>
          <w:iCs w:val="0"/>
        </w:rPr>
        <w:fldChar w:fldCharType="separate"/>
      </w:r>
      <w:r>
        <w:rPr>
          <w:rFonts w:eastAsia="宋体" w:hint="eastAsia"/>
          <w:b/>
          <w:bCs/>
          <w:i w:val="0"/>
          <w:iCs w:val="0"/>
        </w:rPr>
        <w:t>错误！未定义书签。</w:t>
      </w:r>
      <w:r>
        <w:rPr>
          <w:i w:val="0"/>
          <w:iCs w:val="0"/>
        </w:rPr>
        <w:fldChar w:fldCharType="end"/>
      </w:r>
    </w:p>
    <w:p>
      <w:pPr>
        <w:pStyle w:val="18"/>
        <w:tabs>
          <w:tab w:val="right" w:leader="dot" w:pos="8296"/>
        </w:tabs>
        <w:rPr>
          <w:rFonts w:eastAsia="宋体" w:cs="Arial"/>
          <w:i w:val="0"/>
          <w:iCs w:val="0"/>
          <w:sz w:val="21"/>
          <w:szCs w:val="22"/>
        </w:rPr>
      </w:pPr>
      <w:r>
        <w:rPr>
          <w:rFonts w:ascii="仿宋" w:eastAsia="仿宋" w:hint="eastAsia"/>
          <w:i w:val="0"/>
          <w:iCs w:val="0"/>
          <w:color w:val="000000"/>
        </w:rPr>
        <w:t>（三）一般公共预算财政拨款支出决算具体情况</w:t>
      </w:r>
      <w:r>
        <w:rPr>
          <w:i w:val="0"/>
          <w:iCs w:val="0"/>
        </w:rPr>
        <w:tab/>
      </w:r>
      <w:r>
        <w:rPr>
          <w:i w:val="0"/>
          <w:iCs w:val="0"/>
        </w:rPr>
        <w:fldChar w:fldCharType="begin"/>
      </w:r>
      <w:r>
        <w:rPr>
          <w:i w:val="0"/>
          <w:iCs w:val="0"/>
        </w:rPr>
        <w:instrText xml:space="preserve"> PAGEREF _Toc79163867 \h </w:instrText>
      </w:r>
      <w:r>
        <w:rPr>
          <w:i w:val="0"/>
          <w:iCs w:val="0"/>
        </w:rPr>
        <w:fldChar w:fldCharType="separate"/>
      </w:r>
      <w:r>
        <w:rPr>
          <w:rFonts w:eastAsia="宋体" w:hint="eastAsia"/>
          <w:b/>
          <w:bCs/>
          <w:i w:val="0"/>
          <w:iCs w:val="0"/>
        </w:rPr>
        <w:t>错误！未定义书签。</w:t>
      </w:r>
      <w:r>
        <w:rPr>
          <w:i w:val="0"/>
          <w:iCs w:val="0"/>
        </w:rPr>
        <w:fldChar w:fldCharType="end"/>
      </w:r>
    </w:p>
    <w:p>
      <w:pPr>
        <w:pStyle w:val="22"/>
        <w:tabs>
          <w:tab w:val="right" w:leader="dot" w:pos="8296"/>
        </w:tabs>
        <w:rPr>
          <w:rFonts w:eastAsia="宋体" w:cs="Arial"/>
          <w:sz w:val="21"/>
          <w:szCs w:val="22"/>
        </w:rPr>
      </w:pPr>
      <w:r>
        <w:rPr>
          <w:rFonts w:ascii="黑体" w:eastAsia="黑体" w:hint="eastAsia"/>
          <w:color w:val="000000"/>
        </w:rPr>
        <w:t>六</w:t>
      </w:r>
      <w:r>
        <w:rPr>
          <w:rFonts w:ascii="黑体" w:eastAsia="黑体" w:hint="eastAsia"/>
          <w:b/>
          <w:color w:val="000000"/>
        </w:rPr>
        <w:t>、一</w:t>
      </w:r>
      <w:r>
        <w:rPr>
          <w:rFonts w:ascii="黑体" w:eastAsia="黑体" w:hint="eastAsia"/>
          <w:bCs/>
        </w:rPr>
        <w:t>般公共预算财政拨款基本支出决算情况说明</w:t>
      </w:r>
      <w:r>
        <w:tab/>
      </w:r>
      <w:r>
        <w:fldChar w:fldCharType="begin"/>
      </w:r>
      <w:r>
        <w:instrText xml:space="preserve"> PAGEREF _Toc79163868 \h </w:instrText>
      </w:r>
      <w:r>
        <w:fldChar w:fldCharType="separate"/>
      </w:r>
      <w:r>
        <w:rPr>
          <w:rFonts w:eastAsia="宋体" w:hint="eastAsia"/>
          <w:b/>
          <w:bCs/>
        </w:rPr>
        <w:t>错误！未定义书签。</w:t>
      </w:r>
      <w:r>
        <w:fldChar w:fldCharType="end"/>
      </w:r>
    </w:p>
    <w:p>
      <w:pPr>
        <w:pStyle w:val="22"/>
        <w:tabs>
          <w:tab w:val="right" w:leader="dot" w:pos="8296"/>
        </w:tabs>
        <w:rPr>
          <w:rFonts w:eastAsia="宋体" w:cs="Arial"/>
          <w:sz w:val="21"/>
          <w:szCs w:val="22"/>
        </w:rPr>
      </w:pPr>
      <w:r>
        <w:rPr>
          <w:rFonts w:ascii="黑体" w:eastAsia="黑体" w:hint="eastAsia"/>
          <w:color w:val="000000"/>
        </w:rPr>
        <w:t>七、</w:t>
      </w:r>
      <w:r>
        <w:rPr>
          <w:rFonts w:ascii="黑体" w:eastAsia="黑体" w:hint="eastAsia"/>
          <w:b/>
          <w:bCs/>
        </w:rPr>
        <w:t>“</w:t>
      </w:r>
      <w:r>
        <w:rPr>
          <w:rFonts w:ascii="黑体" w:eastAsia="黑体" w:hint="eastAsia"/>
          <w:bCs/>
        </w:rPr>
        <w:t>三公”经费财政拨款支出决算情况说明</w:t>
      </w:r>
      <w:r>
        <w:tab/>
      </w:r>
      <w:r>
        <w:fldChar w:fldCharType="begin"/>
      </w:r>
      <w:r>
        <w:instrText xml:space="preserve"> PAGEREF _Toc79163869 \h </w:instrText>
      </w:r>
      <w:r>
        <w:fldChar w:fldCharType="separate"/>
      </w:r>
      <w:r>
        <w:rPr>
          <w:rFonts w:eastAsia="宋体" w:hint="eastAsia"/>
          <w:b/>
          <w:bCs/>
        </w:rPr>
        <w:t>错误！未定义书签。</w:t>
      </w:r>
      <w:r>
        <w:fldChar w:fldCharType="end"/>
      </w:r>
    </w:p>
    <w:p>
      <w:pPr>
        <w:pStyle w:val="18"/>
        <w:tabs>
          <w:tab w:val="right" w:leader="dot" w:pos="8296"/>
        </w:tabs>
        <w:rPr>
          <w:rFonts w:eastAsia="宋体" w:cs="Arial"/>
          <w:i w:val="0"/>
          <w:iCs w:val="0"/>
          <w:sz w:val="21"/>
          <w:szCs w:val="22"/>
        </w:rPr>
      </w:pPr>
      <w:r>
        <w:rPr>
          <w:rFonts w:ascii="仿宋" w:eastAsia="仿宋" w:hint="eastAsia"/>
          <w:i w:val="0"/>
          <w:iCs w:val="0"/>
          <w:color w:val="000000"/>
        </w:rPr>
        <w:t>（一）“三公”经费财政拨款支出决算总体情况说明</w:t>
      </w:r>
      <w:r>
        <w:rPr>
          <w:i w:val="0"/>
          <w:iCs w:val="0"/>
        </w:rPr>
        <w:tab/>
      </w:r>
      <w:r>
        <w:rPr>
          <w:i w:val="0"/>
          <w:iCs w:val="0"/>
        </w:rPr>
        <w:fldChar w:fldCharType="begin"/>
      </w:r>
      <w:r>
        <w:rPr>
          <w:i w:val="0"/>
          <w:iCs w:val="0"/>
        </w:rPr>
        <w:instrText xml:space="preserve"> PAGEREF _Toc79163870 \h </w:instrText>
      </w:r>
      <w:r>
        <w:rPr>
          <w:i w:val="0"/>
          <w:iCs w:val="0"/>
        </w:rPr>
        <w:fldChar w:fldCharType="separate"/>
      </w:r>
      <w:r>
        <w:rPr>
          <w:rFonts w:eastAsia="宋体" w:hint="eastAsia"/>
          <w:b/>
          <w:bCs/>
          <w:i w:val="0"/>
          <w:iCs w:val="0"/>
        </w:rPr>
        <w:t>错误！未定义书签。</w:t>
      </w:r>
      <w:r>
        <w:rPr>
          <w:i w:val="0"/>
          <w:iCs w:val="0"/>
        </w:rPr>
        <w:fldChar w:fldCharType="end"/>
      </w:r>
    </w:p>
    <w:p>
      <w:pPr>
        <w:pStyle w:val="18"/>
        <w:tabs>
          <w:tab w:val="right" w:leader="dot" w:pos="8296"/>
        </w:tabs>
        <w:rPr>
          <w:rFonts w:eastAsia="宋体" w:cs="Arial"/>
          <w:i w:val="0"/>
          <w:iCs w:val="0"/>
          <w:sz w:val="21"/>
          <w:szCs w:val="22"/>
        </w:rPr>
      </w:pPr>
      <w:r>
        <w:rPr>
          <w:rFonts w:ascii="仿宋" w:eastAsia="仿宋" w:hint="eastAsia"/>
          <w:i w:val="0"/>
          <w:iCs w:val="0"/>
          <w:color w:val="000000"/>
        </w:rPr>
        <w:t>（二）“三公”经费财政拨款支出决算具体情况说明</w:t>
      </w:r>
      <w:r>
        <w:rPr>
          <w:i w:val="0"/>
          <w:iCs w:val="0"/>
        </w:rPr>
        <w:tab/>
      </w:r>
      <w:r>
        <w:rPr>
          <w:i w:val="0"/>
          <w:iCs w:val="0"/>
        </w:rPr>
        <w:fldChar w:fldCharType="begin"/>
      </w:r>
      <w:r>
        <w:rPr>
          <w:i w:val="0"/>
          <w:iCs w:val="0"/>
        </w:rPr>
        <w:instrText xml:space="preserve"> PAGEREF _Toc79163871 \h </w:instrText>
      </w:r>
      <w:r>
        <w:rPr>
          <w:i w:val="0"/>
          <w:iCs w:val="0"/>
        </w:rPr>
        <w:fldChar w:fldCharType="separate"/>
      </w:r>
      <w:r>
        <w:rPr>
          <w:rFonts w:eastAsia="宋体" w:hint="eastAsia"/>
          <w:b/>
          <w:bCs/>
          <w:i w:val="0"/>
          <w:iCs w:val="0"/>
        </w:rPr>
        <w:t>错误！未定义书签。</w:t>
      </w:r>
      <w:r>
        <w:rPr>
          <w:i w:val="0"/>
          <w:iCs w:val="0"/>
        </w:rPr>
        <w:fldChar w:fldCharType="end"/>
      </w:r>
    </w:p>
    <w:p>
      <w:pPr>
        <w:pStyle w:val="22"/>
        <w:tabs>
          <w:tab w:val="right" w:leader="dot" w:pos="8296"/>
        </w:tabs>
        <w:rPr>
          <w:rFonts w:eastAsia="宋体" w:cs="Arial"/>
          <w:sz w:val="21"/>
          <w:szCs w:val="22"/>
        </w:rPr>
      </w:pPr>
      <w:r>
        <w:rPr>
          <w:rFonts w:ascii="黑体" w:eastAsia="黑体" w:hint="eastAsia"/>
          <w:color w:val="000000"/>
        </w:rPr>
        <w:t>八、</w:t>
      </w:r>
      <w:r>
        <w:rPr>
          <w:rFonts w:ascii="黑体" w:eastAsia="黑体" w:hint="eastAsia"/>
          <w:bCs/>
        </w:rPr>
        <w:t>政府性基金预算支出决算情况说明</w:t>
      </w:r>
      <w:r>
        <w:tab/>
      </w:r>
      <w:r>
        <w:fldChar w:fldCharType="begin"/>
      </w:r>
      <w:r>
        <w:instrText xml:space="preserve"> PAGEREF _Toc79163872 \h </w:instrText>
      </w:r>
      <w:r>
        <w:fldChar w:fldCharType="separate"/>
      </w:r>
      <w:r>
        <w:rPr>
          <w:rFonts w:eastAsia="宋体" w:hint="eastAsia"/>
          <w:b/>
          <w:bCs/>
        </w:rPr>
        <w:t>错误！未定义书签。</w:t>
      </w:r>
      <w:r>
        <w:fldChar w:fldCharType="end"/>
      </w:r>
    </w:p>
    <w:p>
      <w:pPr>
        <w:pStyle w:val="22"/>
        <w:tabs>
          <w:tab w:val="right" w:leader="dot" w:pos="8296"/>
        </w:tabs>
        <w:rPr>
          <w:rFonts w:eastAsia="宋体" w:cs="Arial"/>
          <w:sz w:val="21"/>
          <w:szCs w:val="22"/>
        </w:rPr>
      </w:pPr>
      <w:r>
        <w:rPr>
          <w:rFonts w:ascii="黑体" w:eastAsia="黑体" w:hint="eastAsia"/>
          <w:bCs/>
        </w:rPr>
        <w:t>九、 国有资本经营预算支出决算情况说明</w:t>
      </w:r>
      <w:r>
        <w:tab/>
      </w:r>
      <w:r>
        <w:fldChar w:fldCharType="begin"/>
      </w:r>
      <w:r>
        <w:instrText xml:space="preserve"> PAGEREF _Toc79163873 \h </w:instrText>
      </w:r>
      <w:r>
        <w:fldChar w:fldCharType="separate"/>
      </w:r>
      <w:r>
        <w:rPr>
          <w:rFonts w:eastAsia="宋体" w:hint="eastAsia"/>
          <w:b/>
          <w:bCs/>
        </w:rPr>
        <w:t>错误！未定义书签。</w:t>
      </w:r>
      <w:r>
        <w:fldChar w:fldCharType="end"/>
      </w:r>
    </w:p>
    <w:p>
      <w:pPr>
        <w:pStyle w:val="22"/>
        <w:tabs>
          <w:tab w:val="right" w:leader="dot" w:pos="8296"/>
        </w:tabs>
        <w:rPr>
          <w:rFonts w:eastAsia="宋体" w:cs="Arial"/>
          <w:sz w:val="21"/>
          <w:szCs w:val="22"/>
        </w:rPr>
      </w:pPr>
      <w:r>
        <w:rPr>
          <w:rFonts w:ascii="黑体" w:eastAsia="黑体" w:hint="eastAsia"/>
          <w:color w:val="000000"/>
        </w:rPr>
        <w:t>十</w:t>
      </w:r>
      <w:r>
        <w:rPr>
          <w:rFonts w:ascii="黑体" w:eastAsia="黑体" w:hint="eastAsia"/>
          <w:b/>
          <w:bCs/>
        </w:rPr>
        <w:t>、</w:t>
      </w:r>
      <w:r>
        <w:rPr>
          <w:rFonts w:ascii="黑体" w:eastAsia="黑体" w:hint="eastAsia"/>
          <w:bCs/>
        </w:rPr>
        <w:t>其他重要事项的情况说明</w:t>
      </w:r>
      <w:r>
        <w:tab/>
      </w:r>
      <w:r>
        <w:fldChar w:fldCharType="begin"/>
      </w:r>
      <w:r>
        <w:instrText xml:space="preserve"> PAGEREF _Toc79163874 \h </w:instrText>
      </w:r>
      <w:r>
        <w:fldChar w:fldCharType="separate"/>
      </w:r>
      <w:r>
        <w:rPr>
          <w:rFonts w:eastAsia="宋体" w:hint="eastAsia"/>
          <w:b/>
          <w:bCs/>
        </w:rPr>
        <w:t>错误！未定义书签。</w:t>
      </w:r>
      <w:r>
        <w:fldChar w:fldCharType="end"/>
      </w:r>
    </w:p>
    <w:p>
      <w:pPr>
        <w:pStyle w:val="18"/>
        <w:tabs>
          <w:tab w:val="right" w:leader="dot" w:pos="8296"/>
        </w:tabs>
        <w:rPr>
          <w:rFonts w:ascii="仿宋" w:eastAsia="仿宋"/>
          <w:bCs/>
          <w:i w:val="0"/>
          <w:iCs w:val="0"/>
          <w:color w:val="000000"/>
        </w:rPr>
      </w:pPr>
      <w:r>
        <w:rPr>
          <w:rFonts w:ascii="仿宋" w:eastAsia="仿宋" w:hint="eastAsia"/>
          <w:i w:val="0"/>
          <w:iCs w:val="0"/>
          <w:color w:val="000000"/>
        </w:rPr>
        <w:t>（一）机关运行经费支出情况</w:t>
      </w:r>
      <w:r>
        <w:tab/>
      </w:r>
      <w:r>
        <w:rPr>
          <w:rFonts w:eastAsia="宋体" w:hint="eastAsia"/>
        </w:rPr>
        <w:t>..</w:t>
      </w:r>
      <w:r>
        <w:rPr>
          <w:rFonts w:eastAsia="宋体"/>
        </w:rPr>
        <w:t>…</w:t>
      </w:r>
      <w:r>
        <w:rPr>
          <w:rFonts w:eastAsia="宋体" w:hint="eastAsia"/>
        </w:rPr>
        <w:t>.</w:t>
      </w:r>
      <w:r>
        <w:rPr>
          <w:rFonts w:ascii="仿宋" w:eastAsia="仿宋" w:hint="eastAsia"/>
          <w:bCs/>
          <w:i w:val="0"/>
          <w:iCs w:val="0"/>
          <w:color w:val="000000"/>
        </w:rPr>
        <w:fldChar w:fldCharType="begin"/>
      </w:r>
      <w:r>
        <w:rPr>
          <w:rFonts w:ascii="仿宋" w:eastAsia="仿宋" w:hint="eastAsia"/>
          <w:bCs/>
          <w:i w:val="0"/>
          <w:iCs w:val="0"/>
          <w:color w:val="000000"/>
        </w:rPr>
        <w:instrText xml:space="preserve"> PAGEREF _Toc79163876 \h </w:instrText>
      </w:r>
      <w:r>
        <w:rPr>
          <w:rFonts w:ascii="仿宋" w:eastAsia="仿宋" w:hint="eastAsia"/>
          <w:bCs/>
          <w:i w:val="0"/>
          <w:iCs w:val="0"/>
          <w:color w:val="000000"/>
        </w:rPr>
        <w:fldChar w:fldCharType="separate"/>
      </w:r>
      <w:r>
        <w:rPr>
          <w:rFonts w:ascii="仿宋" w:eastAsia="仿宋" w:hint="eastAsia"/>
          <w:b/>
          <w:i w:val="0"/>
          <w:iCs w:val="0"/>
          <w:color w:val="000000"/>
        </w:rPr>
        <w:t>错误！未定义书签。</w:t>
      </w:r>
      <w:r>
        <w:rPr>
          <w:rFonts w:ascii="仿宋" w:eastAsia="仿宋" w:hint="eastAsia"/>
          <w:bCs/>
          <w:i w:val="0"/>
          <w:iCs w:val="0"/>
          <w:color w:val="000000"/>
        </w:rPr>
        <w:fldChar w:fldCharType="end"/>
      </w:r>
    </w:p>
    <w:p>
      <w:pPr>
        <w:pStyle w:val="18"/>
        <w:tabs>
          <w:tab w:val="right" w:leader="dot" w:pos="8296"/>
        </w:tabs>
        <w:rPr>
          <w:rFonts w:ascii="仿宋" w:eastAsia="仿宋"/>
          <w:i w:val="0"/>
          <w:iCs w:val="0"/>
          <w:color w:val="000000"/>
        </w:rPr>
      </w:pPr>
      <w:r>
        <w:rPr>
          <w:rFonts w:ascii="仿宋" w:eastAsia="仿宋" w:hint="eastAsia"/>
          <w:i w:val="0"/>
          <w:iCs w:val="0"/>
          <w:color w:val="000000"/>
        </w:rPr>
        <w:t>（二）政府采购支出情况</w:t>
      </w:r>
      <w:r>
        <w:tab/>
      </w:r>
      <w:r>
        <w:rPr>
          <w:rFonts w:eastAsia="宋体" w:hint="eastAsia"/>
        </w:rPr>
        <w:t>..</w:t>
      </w:r>
      <w:r>
        <w:rPr>
          <w:rFonts w:eastAsia="宋体"/>
        </w:rPr>
        <w:t>…</w:t>
      </w:r>
      <w:r>
        <w:rPr>
          <w:rFonts w:eastAsia="宋体" w:hint="eastAsia"/>
        </w:rPr>
        <w:t>.</w:t>
      </w:r>
      <w:r>
        <w:rPr>
          <w:rFonts w:hint="eastAsia"/>
          <w:bCs/>
          <w:caps/>
          <w:smallCaps w:val="0"/>
        </w:rPr>
        <w:t>.</w:t>
      </w:r>
      <w:r>
        <w:rPr>
          <w:rFonts w:ascii="仿宋" w:eastAsia="仿宋" w:hint="eastAsia"/>
          <w:bCs/>
          <w:i w:val="0"/>
          <w:iCs w:val="0"/>
          <w:color w:val="000000"/>
        </w:rPr>
        <w:t>15</w:t>
      </w:r>
    </w:p>
    <w:p>
      <w:pPr>
        <w:pStyle w:val="18"/>
        <w:tabs>
          <w:tab w:val="right" w:leader="dot" w:pos="8296"/>
        </w:tabs>
        <w:rPr>
          <w:rFonts w:ascii="仿宋" w:eastAsia="仿宋"/>
          <w:i w:val="0"/>
          <w:iCs w:val="0"/>
          <w:color w:val="000000"/>
        </w:rPr>
      </w:pPr>
      <w:r>
        <w:rPr>
          <w:rFonts w:ascii="仿宋" w:eastAsia="仿宋" w:hint="eastAsia"/>
          <w:i w:val="0"/>
          <w:iCs w:val="0"/>
          <w:color w:val="000000"/>
        </w:rPr>
        <w:t>（三）国有资产占有使用情况</w:t>
      </w:r>
      <w:r>
        <w:tab/>
      </w:r>
      <w:r>
        <w:rPr>
          <w:rFonts w:eastAsia="宋体" w:hint="eastAsia"/>
        </w:rPr>
        <w:t>..</w:t>
      </w:r>
      <w:r>
        <w:rPr>
          <w:rFonts w:ascii="仿宋" w:eastAsia="仿宋" w:hint="eastAsia"/>
          <w:bCs/>
          <w:i w:val="0"/>
          <w:iCs w:val="0"/>
          <w:color w:val="000000"/>
        </w:rPr>
        <w:fldChar w:fldCharType="begin"/>
      </w:r>
      <w:r>
        <w:rPr>
          <w:rFonts w:ascii="仿宋" w:eastAsia="仿宋" w:hint="eastAsia"/>
          <w:bCs/>
          <w:i w:val="0"/>
          <w:iCs w:val="0"/>
          <w:color w:val="000000"/>
        </w:rPr>
        <w:instrText xml:space="preserve"> PAGEREF _Toc79163877 \h </w:instrText>
      </w:r>
      <w:r>
        <w:rPr>
          <w:rFonts w:ascii="仿宋" w:eastAsia="仿宋" w:hint="eastAsia"/>
          <w:bCs/>
          <w:i w:val="0"/>
          <w:iCs w:val="0"/>
          <w:color w:val="000000"/>
        </w:rPr>
        <w:fldChar w:fldCharType="separate"/>
      </w:r>
      <w:r>
        <w:rPr>
          <w:rFonts w:ascii="仿宋" w:eastAsia="仿宋" w:hint="eastAsia"/>
          <w:b/>
          <w:i w:val="0"/>
          <w:iCs w:val="0"/>
          <w:color w:val="000000"/>
        </w:rPr>
        <w:t>错误！未定义书签。</w:t>
      </w:r>
      <w:r>
        <w:rPr>
          <w:rFonts w:ascii="仿宋" w:eastAsia="仿宋" w:hint="eastAsia"/>
          <w:bCs/>
          <w:i w:val="0"/>
          <w:iCs w:val="0"/>
          <w:color w:val="000000"/>
        </w:rPr>
        <w:fldChar w:fldCharType="end"/>
      </w:r>
    </w:p>
    <w:p>
      <w:pPr>
        <w:pStyle w:val="18"/>
        <w:tabs>
          <w:tab w:val="right" w:leader="dot" w:pos="8296"/>
        </w:tabs>
        <w:rPr>
          <w:rFonts w:eastAsia="宋体" w:cs="Arial"/>
          <w:i w:val="0"/>
          <w:iCs w:val="0"/>
          <w:sz w:val="21"/>
          <w:szCs w:val="22"/>
        </w:rPr>
      </w:pPr>
      <w:r>
        <w:rPr>
          <w:rFonts w:ascii="仿宋" w:eastAsia="仿宋" w:hint="eastAsia"/>
          <w:i w:val="0"/>
          <w:iCs w:val="0"/>
          <w:color w:val="000000"/>
        </w:rPr>
        <w:t>（四）预算绩效管理情况。</w:t>
      </w:r>
      <w:r>
        <w:rPr>
          <w:i w:val="0"/>
          <w:iCs w:val="0"/>
        </w:rPr>
        <w:tab/>
      </w:r>
      <w:r>
        <w:rPr>
          <w:i w:val="0"/>
          <w:iCs w:val="0"/>
        </w:rPr>
        <w:fldChar w:fldCharType="begin"/>
      </w:r>
      <w:r>
        <w:rPr>
          <w:i w:val="0"/>
          <w:iCs w:val="0"/>
        </w:rPr>
        <w:instrText xml:space="preserve"> PAGEREF _Toc79163878 \h </w:instrText>
      </w:r>
      <w:r>
        <w:rPr>
          <w:i w:val="0"/>
          <w:iCs w:val="0"/>
        </w:rPr>
        <w:fldChar w:fldCharType="separate"/>
      </w:r>
      <w:r>
        <w:rPr>
          <w:rFonts w:eastAsia="宋体" w:hint="eastAsia"/>
          <w:b/>
          <w:bCs/>
          <w:i w:val="0"/>
          <w:iCs w:val="0"/>
        </w:rPr>
        <w:t>错误！未定义书签。</w:t>
      </w:r>
      <w:r>
        <w:rPr>
          <w:i w:val="0"/>
          <w:iCs w:val="0"/>
        </w:rPr>
        <w:fldChar w:fldCharType="end"/>
      </w:r>
    </w:p>
    <w:p>
      <w:pPr>
        <w:pStyle w:val="16"/>
        <w:tabs>
          <w:tab w:val="right" w:leader="dot" w:pos="8296"/>
        </w:tabs>
        <w:rPr>
          <w:b w:val="0"/>
          <w:bCs w:val="0"/>
        </w:rPr>
      </w:pPr>
      <w:r>
        <w:rPr>
          <w:rFonts w:ascii="黑体" w:eastAsia="黑体" w:hint="eastAsia"/>
          <w:b w:val="0"/>
          <w:bCs w:val="0"/>
          <w:kern w:val="44"/>
        </w:rPr>
        <w:t>第三部分</w:t>
      </w:r>
      <w:r>
        <w:rPr>
          <w:rFonts w:ascii="黑体" w:eastAsia="黑体" w:hint="eastAsia"/>
          <w:b w:val="0"/>
          <w:bCs w:val="0"/>
          <w:color w:val="000000"/>
        </w:rPr>
        <w:t xml:space="preserve"> 名</w:t>
      </w:r>
      <w:r>
        <w:rPr>
          <w:rFonts w:ascii="黑体" w:eastAsia="黑体" w:hint="eastAsia"/>
          <w:b w:val="0"/>
          <w:bCs w:val="0"/>
          <w:kern w:val="44"/>
        </w:rPr>
        <w:t>词解释</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rFonts w:eastAsia="宋体" w:hint="eastAsia"/>
        </w:rPr>
        <w:t>错误！未定义书签。</w:t>
      </w:r>
      <w:r>
        <w:rPr>
          <w:b w:val="0"/>
          <w:bCs w:val="0"/>
        </w:rPr>
        <w:fldChar w:fldCharType="end"/>
      </w:r>
    </w:p>
    <w:p>
      <w:pPr>
        <w:pStyle w:val="16"/>
        <w:tabs>
          <w:tab w:val="right" w:leader="dot" w:pos="8296"/>
        </w:tabs>
        <w:rPr>
          <w:rFonts w:ascii="黑体" w:eastAsia="黑体"/>
          <w:b w:val="0"/>
          <w:bCs w:val="0"/>
          <w:color w:val="000000"/>
        </w:rPr>
      </w:pPr>
      <w:r>
        <w:rPr>
          <w:rFonts w:ascii="黑体" w:eastAsia="黑体" w:hint="eastAsia"/>
          <w:b w:val="0"/>
          <w:bCs w:val="0"/>
          <w:color w:val="000000"/>
        </w:rPr>
        <w:t>第四部分 附件</w:t>
      </w:r>
      <w:r>
        <w:rPr>
          <w:b w:val="0"/>
        </w:rPr>
        <w:tab/>
      </w:r>
      <w:r>
        <w:rPr>
          <w:rFonts w:ascii="黑体" w:eastAsia="黑体"/>
          <w:b w:val="0"/>
          <w:bCs w:val="0"/>
          <w:color w:val="000000"/>
        </w:rPr>
        <w:t>…</w:t>
      </w:r>
      <w:r>
        <w:rPr>
          <w:rFonts w:ascii="黑体" w:eastAsia="黑体" w:hint="eastAsia"/>
          <w:b w:val="0"/>
          <w:bCs w:val="0"/>
          <w:color w:val="000000"/>
        </w:rPr>
        <w:t>...</w:t>
      </w:r>
      <w:r>
        <w:rPr>
          <w:rFonts w:ascii="黑体" w:eastAsia="黑体" w:hint="eastAsia"/>
          <w:b w:val="0"/>
          <w:bCs w:val="0"/>
          <w:color w:val="000000"/>
        </w:rPr>
        <w:fldChar w:fldCharType="begin"/>
      </w:r>
      <w:r>
        <w:rPr>
          <w:rFonts w:ascii="黑体" w:eastAsia="黑体" w:hint="eastAsia"/>
          <w:b w:val="0"/>
          <w:bCs w:val="0"/>
          <w:color w:val="000000"/>
        </w:rPr>
        <w:instrText xml:space="preserve"> PAGEREF _Toc79163880 \h </w:instrText>
      </w:r>
      <w:r>
        <w:rPr>
          <w:rFonts w:ascii="黑体" w:eastAsia="黑体" w:hint="eastAsia"/>
          <w:b w:val="0"/>
          <w:bCs w:val="0"/>
          <w:color w:val="000000"/>
        </w:rPr>
        <w:fldChar w:fldCharType="separate"/>
      </w:r>
      <w:r>
        <w:rPr>
          <w:rFonts w:ascii="黑体" w:eastAsia="黑体"/>
          <w:b w:val="0"/>
          <w:bCs w:val="0"/>
          <w:color w:val="000000"/>
        </w:rPr>
        <w:t>- 23 -</w:t>
      </w:r>
      <w:r>
        <w:rPr>
          <w:rFonts w:ascii="黑体" w:eastAsia="黑体" w:hint="eastAsia"/>
          <w:b w:val="0"/>
          <w:bCs w:val="0"/>
          <w:color w:val="000000"/>
        </w:rPr>
        <w:fldChar w:fldCharType="end"/>
      </w:r>
    </w:p>
    <w:p>
      <w:pPr>
        <w:pStyle w:val="16"/>
        <w:tabs>
          <w:tab w:val="right" w:leader="dot" w:pos="8296"/>
        </w:tabs>
        <w:spacing w:before="0" w:after="0"/>
        <w:ind w:firstLineChars="200" w:firstLine="400"/>
      </w:pPr>
      <w:r>
        <w:rPr>
          <w:rFonts w:ascii="仿宋_GB2312" w:eastAsia="仿宋_GB2312" w:cs="仿宋_GB2312" w:hint="eastAsia"/>
          <w:b w:val="0"/>
          <w:bCs w:val="0"/>
        </w:rPr>
        <w:t>金川县发展改革和经济商务信息化局2022年部门整体支出绩效评价告</w:t>
      </w:r>
      <w:r>
        <w:rPr>
          <w:rFonts w:ascii="Arial" w:eastAsia="黑体" w:cs="Arial" w:hAnsi="Arial"/>
          <w:b w:val="0"/>
          <w:bCs w:val="0"/>
        </w:rPr>
        <w:t>…………………</w:t>
      </w:r>
      <w:r>
        <w:fldChar w:fldCharType="begin"/>
      </w:r>
      <w:r>
        <w:instrText xml:space="preserve"> PAGEREF _Toc79163880 \h </w:instrText>
      </w:r>
      <w:r>
        <w:fldChar w:fldCharType="separate"/>
      </w:r>
      <w:r>
        <w:t>- 23 -</w:t>
      </w:r>
      <w:r>
        <w:fldChar w:fldCharType="end"/>
      </w:r>
    </w:p>
    <w:p>
      <w:pPr>
        <w:pStyle w:val="16"/>
        <w:tabs>
          <w:tab w:val="right" w:leader="dot" w:pos="8296"/>
        </w:tabs>
        <w:rPr>
          <w:rFonts w:eastAsia="宋体" w:cs="Arial"/>
          <w:b w:val="0"/>
          <w:bCs w:val="0"/>
          <w:sz w:val="21"/>
          <w:szCs w:val="22"/>
        </w:rPr>
      </w:pPr>
      <w:r>
        <w:rPr>
          <w:rFonts w:ascii="黑体" w:eastAsia="黑体" w:hint="eastAsia"/>
          <w:b w:val="0"/>
          <w:bCs w:val="0"/>
          <w:color w:val="000000"/>
        </w:rPr>
        <w:t>第</w:t>
      </w:r>
      <w:r>
        <w:rPr>
          <w:rFonts w:ascii="黑体" w:eastAsia="黑体" w:hint="eastAsia"/>
          <w:b w:val="0"/>
          <w:bCs w:val="0"/>
          <w:kern w:val="44"/>
        </w:rPr>
        <w:t>五部分 附表</w:t>
      </w:r>
      <w:r>
        <w:rPr>
          <w:b w:val="0"/>
          <w:bCs w:val="0"/>
        </w:rPr>
        <w:tab/>
      </w:r>
      <w:r>
        <w:rPr>
          <w:b w:val="0"/>
          <w:bCs w:val="0"/>
        </w:rPr>
        <w:fldChar w:fldCharType="begin"/>
      </w:r>
      <w:r>
        <w:rPr>
          <w:b w:val="0"/>
          <w:bCs w:val="0"/>
        </w:rPr>
        <w:instrText xml:space="preserve"> PAGEREF _Toc79163885 \h </w:instrText>
      </w:r>
      <w:r>
        <w:rPr>
          <w:b w:val="0"/>
          <w:bCs w:val="0"/>
        </w:rPr>
        <w:fldChar w:fldCharType="separate"/>
      </w:r>
      <w:r>
        <w:rPr>
          <w:rFonts w:eastAsia="宋体" w:hint="eastAsia"/>
        </w:rPr>
        <w:t>错误！未定义书签。</w:t>
      </w:r>
      <w:r>
        <w:rPr>
          <w:b w:val="0"/>
          <w:bCs w:val="0"/>
        </w:rPr>
        <w:fldChar w:fldCharType="end"/>
      </w:r>
    </w:p>
    <w:p>
      <w:pPr>
        <w:pStyle w:val="22"/>
        <w:tabs>
          <w:tab w:val="right" w:leader="dot" w:pos="8296"/>
        </w:tabs>
        <w:rPr>
          <w:rFonts w:eastAsia="宋体" w:cs="Arial"/>
          <w:sz w:val="21"/>
          <w:szCs w:val="22"/>
        </w:rPr>
      </w:pPr>
      <w:r>
        <w:rPr>
          <w:rFonts w:ascii="仿宋" w:eastAsia="仿宋" w:hint="eastAsia"/>
          <w:color w:val="000000"/>
        </w:rPr>
        <w:t>一、</w:t>
      </w:r>
      <w:r>
        <w:rPr>
          <w:rFonts w:ascii="仿宋" w:eastAsia="仿宋" w:hint="eastAsia"/>
        </w:rPr>
        <w:t>收入支出决算总表</w:t>
      </w:r>
      <w:r>
        <w:tab/>
      </w:r>
      <w:r>
        <w:fldChar w:fldCharType="begin"/>
      </w:r>
      <w:r>
        <w:instrText xml:space="preserve"> PAGEREF _Toc79163886 \h </w:instrText>
      </w:r>
      <w:r>
        <w:fldChar w:fldCharType="separate"/>
      </w:r>
      <w:r>
        <w:t>- 31 -</w:t>
      </w:r>
      <w:r>
        <w:fldChar w:fldCharType="end"/>
      </w:r>
    </w:p>
    <w:p>
      <w:pPr>
        <w:pStyle w:val="22"/>
        <w:tabs>
          <w:tab w:val="right" w:leader="dot" w:pos="8296"/>
        </w:tabs>
        <w:rPr>
          <w:rFonts w:ascii="仿宋" w:eastAsia="仿宋"/>
        </w:rPr>
      </w:pPr>
      <w:r>
        <w:rPr>
          <w:rFonts w:ascii="仿宋" w:eastAsia="仿宋" w:hint="eastAsia"/>
        </w:rPr>
        <w:t>二、</w:t>
      </w:r>
      <w:r>
        <w:rPr>
          <w:rFonts w:ascii="仿宋_GB2312" w:eastAsia="仿宋_GB2312" w:hint="eastAsia"/>
          <w:color w:val="000000"/>
        </w:rPr>
        <w:t>收</w:t>
      </w:r>
      <w:r>
        <w:rPr>
          <w:rFonts w:ascii="仿宋" w:eastAsia="仿宋" w:hint="eastAsia"/>
          <w:bCs/>
        </w:rPr>
        <w:t>入决算表</w:t>
      </w:r>
      <w:r>
        <w:tab/>
      </w:r>
      <w:r>
        <w:fldChar w:fldCharType="begin"/>
      </w:r>
      <w:r>
        <w:instrText xml:space="preserve"> PAGEREF _Toc79163887 \h </w:instrText>
      </w:r>
      <w:r>
        <w:fldChar w:fldCharType="separate"/>
      </w:r>
      <w:r>
        <w:t>- 31 -</w:t>
      </w:r>
      <w:r>
        <w:fldChar w:fldCharType="end"/>
      </w:r>
    </w:p>
    <w:p>
      <w:pPr>
        <w:pStyle w:val="22"/>
        <w:tabs>
          <w:tab w:val="right" w:leader="dot" w:pos="8296"/>
        </w:tabs>
        <w:rPr>
          <w:rFonts w:eastAsia="宋体" w:cs="Arial"/>
          <w:sz w:val="21"/>
          <w:szCs w:val="22"/>
        </w:rPr>
      </w:pPr>
      <w:r>
        <w:rPr>
          <w:rFonts w:ascii="仿宋" w:eastAsia="仿宋" w:hint="eastAsia"/>
        </w:rPr>
        <w:t>三、支出决算表</w:t>
      </w:r>
      <w:r>
        <w:tab/>
      </w:r>
      <w:r>
        <w:fldChar w:fldCharType="begin"/>
      </w:r>
      <w:r>
        <w:instrText xml:space="preserve"> PAGEREF _Toc79163888 \h </w:instrText>
      </w:r>
      <w:r>
        <w:fldChar w:fldCharType="separate"/>
      </w:r>
      <w:r>
        <w:t>- 31 -</w:t>
      </w:r>
      <w:r>
        <w:fldChar w:fldCharType="end"/>
      </w:r>
    </w:p>
    <w:p>
      <w:pPr>
        <w:pStyle w:val="22"/>
        <w:tabs>
          <w:tab w:val="right" w:leader="dot" w:pos="8296"/>
        </w:tabs>
        <w:rPr>
          <w:rFonts w:eastAsia="宋体" w:cs="Arial"/>
          <w:sz w:val="21"/>
          <w:szCs w:val="22"/>
        </w:rPr>
      </w:pPr>
      <w:r>
        <w:rPr>
          <w:rFonts w:ascii="仿宋" w:eastAsia="仿宋" w:hint="eastAsia"/>
        </w:rPr>
        <w:t>四、</w:t>
      </w:r>
      <w:r>
        <w:rPr>
          <w:rFonts w:ascii="仿宋" w:eastAsia="仿宋" w:hint="eastAsia"/>
          <w:bCs/>
        </w:rPr>
        <w:t>政拨款收入支出决算总表</w:t>
      </w:r>
      <w:r>
        <w:tab/>
      </w:r>
      <w:r>
        <w:fldChar w:fldCharType="begin"/>
      </w:r>
      <w:r>
        <w:instrText xml:space="preserve"> PAGEREF _Toc79163889 \h </w:instrText>
      </w:r>
      <w:r>
        <w:fldChar w:fldCharType="separate"/>
      </w:r>
      <w:r>
        <w:rPr>
          <w:rFonts w:eastAsia="宋体" w:hint="eastAsia"/>
          <w:b/>
          <w:bCs/>
        </w:rPr>
        <w:t>错误！未定义书签。</w:t>
      </w:r>
      <w:r>
        <w:fldChar w:fldCharType="end"/>
      </w:r>
    </w:p>
    <w:p>
      <w:pPr>
        <w:pStyle w:val="22"/>
        <w:tabs>
          <w:tab w:val="right" w:leader="dot" w:pos="8296"/>
        </w:tabs>
        <w:rPr>
          <w:rFonts w:ascii="仿宋" w:eastAsia="仿宋"/>
          <w:b/>
        </w:rPr>
      </w:pPr>
      <w:r>
        <w:rPr>
          <w:rFonts w:ascii="仿宋" w:eastAsia="仿宋" w:hint="eastAsia"/>
          <w:bCs/>
        </w:rPr>
        <w:t>五、</w:t>
      </w:r>
      <w:r>
        <w:rPr>
          <w:rFonts w:ascii="仿宋" w:eastAsia="仿宋" w:hint="eastAsia"/>
        </w:rPr>
        <w:t>财政拨款支出决算明细表</w:t>
      </w:r>
      <w:r>
        <w:tab/>
      </w:r>
      <w:r>
        <w:fldChar w:fldCharType="begin"/>
      </w:r>
      <w:r>
        <w:instrText xml:space="preserve"> PAGEREF _Toc79163890 \h </w:instrText>
      </w:r>
      <w:r>
        <w:fldChar w:fldCharType="separate"/>
      </w:r>
      <w:r>
        <w:rPr>
          <w:rFonts w:eastAsia="宋体" w:hint="eastAsia"/>
          <w:b/>
          <w:bCs/>
        </w:rPr>
        <w:t>错误！未定义书签。</w:t>
      </w:r>
      <w:r>
        <w:fldChar w:fldCharType="end"/>
      </w:r>
    </w:p>
    <w:p>
      <w:pPr>
        <w:pStyle w:val="22"/>
        <w:tabs>
          <w:tab w:val="right" w:leader="dot" w:pos="8296"/>
        </w:tabs>
        <w:rPr>
          <w:rFonts w:ascii="仿宋" w:eastAsia="仿宋"/>
        </w:rPr>
      </w:pPr>
      <w:r>
        <w:rPr>
          <w:rFonts w:ascii="仿宋" w:eastAsia="仿宋" w:hint="eastAsia"/>
        </w:rPr>
        <w:t>六、一</w:t>
      </w:r>
      <w:r>
        <w:rPr>
          <w:rFonts w:ascii="仿宋" w:eastAsia="仿宋" w:hint="eastAsia"/>
          <w:bCs/>
        </w:rPr>
        <w:t>般公共预算财政拨款支出决算表</w:t>
      </w:r>
      <w:r>
        <w:rPr>
          <w:rFonts w:ascii="仿宋" w:eastAsia="仿宋"/>
        </w:rPr>
        <w:tab/>
      </w:r>
      <w:r>
        <w:rPr>
          <w:rFonts w:ascii="仿宋" w:eastAsia="仿宋"/>
        </w:rPr>
        <w:fldChar w:fldCharType="begin"/>
      </w:r>
      <w:r>
        <w:rPr>
          <w:rFonts w:ascii="仿宋" w:eastAsia="仿宋"/>
        </w:rPr>
        <w:instrText xml:space="preserve"> PAGEREF _Toc79163891 \h </w:instrText>
      </w:r>
      <w:r>
        <w:rPr>
          <w:rFonts w:ascii="仿宋" w:eastAsia="仿宋"/>
        </w:rPr>
        <w:fldChar w:fldCharType="separate"/>
      </w:r>
      <w:r>
        <w:rPr>
          <w:rFonts w:ascii="仿宋" w:eastAsia="仿宋" w:hint="eastAsia"/>
          <w:b/>
          <w:bCs/>
        </w:rPr>
        <w:t>错误！未定义书签。</w:t>
      </w:r>
      <w:r>
        <w:rPr>
          <w:rFonts w:ascii="仿宋" w:eastAsia="仿宋"/>
        </w:rPr>
        <w:fldChar w:fldCharType="end"/>
      </w:r>
    </w:p>
    <w:p>
      <w:pPr>
        <w:pStyle w:val="22"/>
        <w:tabs>
          <w:tab w:val="right" w:leader="dot" w:pos="8296"/>
        </w:tabs>
        <w:rPr>
          <w:rFonts w:ascii="仿宋" w:eastAsia="仿宋"/>
        </w:rPr>
      </w:pPr>
      <w:r>
        <w:rPr>
          <w:rFonts w:ascii="仿宋" w:eastAsia="仿宋" w:hint="eastAsia"/>
        </w:rPr>
        <w:t>七、</w:t>
      </w:r>
      <w:r>
        <w:rPr>
          <w:rFonts w:ascii="仿宋" w:eastAsia="仿宋" w:hint="eastAsia"/>
          <w:bCs/>
        </w:rPr>
        <w:t>一般公共预算财政拨款支出决算明细表</w:t>
      </w:r>
      <w:r>
        <w:rPr>
          <w:rFonts w:ascii="仿宋" w:eastAsia="仿宋"/>
        </w:rPr>
        <w:tab/>
      </w:r>
      <w:r>
        <w:rPr>
          <w:rFonts w:ascii="仿宋" w:eastAsia="仿宋"/>
        </w:rPr>
        <w:fldChar w:fldCharType="begin"/>
      </w:r>
      <w:r>
        <w:rPr>
          <w:rFonts w:ascii="仿宋" w:eastAsia="仿宋"/>
        </w:rPr>
        <w:instrText xml:space="preserve"> PAGEREF _Toc79163892 \h </w:instrText>
      </w:r>
      <w:r>
        <w:rPr>
          <w:rFonts w:ascii="仿宋" w:eastAsia="仿宋"/>
        </w:rPr>
        <w:fldChar w:fldCharType="separate"/>
      </w:r>
      <w:r>
        <w:rPr>
          <w:rFonts w:ascii="仿宋" w:eastAsia="仿宋" w:hint="eastAsia"/>
          <w:b/>
          <w:bCs/>
        </w:rPr>
        <w:t>错误！未定义书签。</w:t>
      </w:r>
      <w:r>
        <w:rPr>
          <w:rFonts w:ascii="仿宋" w:eastAsia="仿宋"/>
        </w:rPr>
        <w:fldChar w:fldCharType="end"/>
      </w:r>
    </w:p>
    <w:p>
      <w:pPr>
        <w:pStyle w:val="22"/>
        <w:tabs>
          <w:tab w:val="right" w:leader="dot" w:pos="8296"/>
        </w:tabs>
        <w:rPr>
          <w:rFonts w:ascii="仿宋" w:eastAsia="仿宋"/>
        </w:rPr>
      </w:pPr>
      <w:r>
        <w:rPr>
          <w:rFonts w:ascii="仿宋" w:eastAsia="仿宋" w:hint="eastAsia"/>
        </w:rPr>
        <w:t>八、</w:t>
      </w:r>
      <w:r>
        <w:rPr>
          <w:rFonts w:ascii="仿宋" w:eastAsia="仿宋" w:hint="eastAsia"/>
          <w:bCs/>
        </w:rPr>
        <w:t>一般公共预算财政拨款基本支出决算明细表</w:t>
      </w:r>
      <w:r>
        <w:rPr>
          <w:rFonts w:ascii="仿宋" w:eastAsia="仿宋"/>
        </w:rPr>
        <w:tab/>
      </w:r>
      <w:r>
        <w:rPr>
          <w:rFonts w:ascii="仿宋" w:eastAsia="仿宋"/>
        </w:rPr>
        <w:fldChar w:fldCharType="begin"/>
      </w:r>
      <w:r>
        <w:rPr>
          <w:rFonts w:ascii="仿宋" w:eastAsia="仿宋"/>
        </w:rPr>
        <w:instrText xml:space="preserve"> PAGEREF _Toc79163893 \h </w:instrText>
      </w:r>
      <w:r>
        <w:rPr>
          <w:rFonts w:ascii="仿宋" w:eastAsia="仿宋"/>
        </w:rPr>
        <w:fldChar w:fldCharType="separate"/>
      </w:r>
      <w:r>
        <w:rPr>
          <w:rFonts w:ascii="仿宋" w:eastAsia="仿宋" w:hint="eastAsia"/>
          <w:b/>
          <w:bCs/>
        </w:rPr>
        <w:t>错误！未定义书签。</w:t>
      </w:r>
      <w:r>
        <w:rPr>
          <w:rFonts w:ascii="仿宋" w:eastAsia="仿宋"/>
        </w:rPr>
        <w:fldChar w:fldCharType="end"/>
      </w:r>
    </w:p>
    <w:p>
      <w:pPr>
        <w:pStyle w:val="22"/>
        <w:tabs>
          <w:tab w:val="right" w:leader="dot" w:pos="8296"/>
        </w:tabs>
        <w:rPr>
          <w:rFonts w:ascii="仿宋" w:eastAsia="仿宋"/>
        </w:rPr>
      </w:pPr>
      <w:r>
        <w:rPr>
          <w:rFonts w:ascii="仿宋" w:eastAsia="仿宋" w:hint="eastAsia"/>
        </w:rPr>
        <w:t>九、</w:t>
      </w:r>
      <w:r>
        <w:rPr>
          <w:rFonts w:ascii="仿宋" w:eastAsia="仿宋" w:hint="eastAsia"/>
          <w:bCs/>
        </w:rPr>
        <w:t>一般公共预算财政拨款项目支出决算表</w:t>
      </w:r>
      <w:r>
        <w:rPr>
          <w:rFonts w:ascii="仿宋" w:eastAsia="仿宋"/>
        </w:rPr>
        <w:tab/>
      </w:r>
      <w:r>
        <w:rPr>
          <w:rFonts w:ascii="仿宋" w:eastAsia="仿宋"/>
        </w:rPr>
        <w:fldChar w:fldCharType="begin"/>
      </w:r>
      <w:r>
        <w:rPr>
          <w:rFonts w:ascii="仿宋" w:eastAsia="仿宋"/>
        </w:rPr>
        <w:instrText xml:space="preserve"> PAGEREF _Toc79163894 \h </w:instrText>
      </w:r>
      <w:r>
        <w:rPr>
          <w:rFonts w:ascii="仿宋" w:eastAsia="仿宋"/>
        </w:rPr>
        <w:fldChar w:fldCharType="separate"/>
      </w:r>
      <w:r>
        <w:rPr>
          <w:rFonts w:ascii="仿宋" w:eastAsia="仿宋" w:hint="eastAsia"/>
          <w:b/>
          <w:bCs/>
        </w:rPr>
        <w:t>错误！未定义书签。</w:t>
      </w:r>
      <w:r>
        <w:rPr>
          <w:rFonts w:ascii="仿宋" w:eastAsia="仿宋"/>
        </w:rPr>
        <w:fldChar w:fldCharType="end"/>
      </w:r>
    </w:p>
    <w:p>
      <w:pPr>
        <w:pStyle w:val="22"/>
        <w:tabs>
          <w:tab w:val="right" w:leader="dot" w:pos="8296"/>
        </w:tabs>
        <w:rPr>
          <w:rFonts w:ascii="仿宋" w:eastAsia="仿宋"/>
        </w:rPr>
      </w:pPr>
      <w:r>
        <w:rPr>
          <w:rFonts w:ascii="仿宋" w:eastAsia="仿宋" w:hint="eastAsia"/>
        </w:rPr>
        <w:t>十、</w:t>
      </w:r>
      <w:r>
        <w:rPr>
          <w:rFonts w:ascii="仿宋" w:eastAsia="仿宋" w:hint="eastAsia"/>
          <w:bCs/>
        </w:rPr>
        <w:t>政府性基金预算财政拨款收入支出决算表</w:t>
      </w:r>
      <w:r>
        <w:rPr>
          <w:rFonts w:ascii="仿宋" w:eastAsia="仿宋"/>
        </w:rPr>
        <w:tab/>
      </w:r>
      <w:r>
        <w:rPr>
          <w:rFonts w:ascii="仿宋" w:eastAsia="仿宋"/>
        </w:rPr>
        <w:fldChar w:fldCharType="begin"/>
      </w:r>
      <w:r>
        <w:rPr>
          <w:rFonts w:ascii="仿宋" w:eastAsia="仿宋"/>
        </w:rPr>
        <w:instrText xml:space="preserve"> PAGEREF _Toc79163895 \h </w:instrText>
      </w:r>
      <w:r>
        <w:rPr>
          <w:rFonts w:ascii="仿宋" w:eastAsia="仿宋"/>
        </w:rPr>
        <w:fldChar w:fldCharType="separate"/>
      </w:r>
      <w:r>
        <w:rPr>
          <w:rFonts w:ascii="仿宋" w:eastAsia="仿宋" w:hint="eastAsia"/>
          <w:b/>
          <w:bCs/>
        </w:rPr>
        <w:t>错误！未定义书签。</w:t>
      </w:r>
      <w:r>
        <w:rPr>
          <w:rFonts w:ascii="仿宋" w:eastAsia="仿宋"/>
        </w:rPr>
        <w:fldChar w:fldCharType="end"/>
      </w:r>
    </w:p>
    <w:p>
      <w:pPr>
        <w:pStyle w:val="22"/>
        <w:tabs>
          <w:tab w:val="right" w:leader="dot" w:pos="8296"/>
        </w:tabs>
        <w:rPr>
          <w:rFonts w:ascii="仿宋" w:eastAsia="仿宋"/>
        </w:rPr>
      </w:pPr>
      <w:r>
        <w:rPr>
          <w:rFonts w:ascii="仿宋" w:eastAsia="仿宋" w:hint="eastAsia"/>
        </w:rPr>
        <w:t>十一、</w:t>
      </w:r>
      <w:r>
        <w:rPr>
          <w:rFonts w:ascii="仿宋" w:eastAsia="仿宋" w:hint="eastAsia"/>
          <w:bCs/>
        </w:rPr>
        <w:t>国有资本经营预算财政拨款收入支出决算表</w:t>
      </w:r>
      <w:r>
        <w:rPr>
          <w:rFonts w:ascii="仿宋" w:eastAsia="仿宋"/>
        </w:rPr>
        <w:tab/>
      </w:r>
      <w:r>
        <w:rPr>
          <w:rFonts w:ascii="仿宋" w:eastAsia="仿宋"/>
        </w:rPr>
        <w:fldChar w:fldCharType="begin"/>
      </w:r>
      <w:r>
        <w:rPr>
          <w:rFonts w:ascii="仿宋" w:eastAsia="仿宋"/>
        </w:rPr>
        <w:instrText xml:space="preserve"> PAGEREF _Toc79163896 \h </w:instrText>
      </w:r>
      <w:r>
        <w:rPr>
          <w:rFonts w:ascii="仿宋" w:eastAsia="仿宋"/>
        </w:rPr>
        <w:fldChar w:fldCharType="separate"/>
      </w:r>
      <w:r>
        <w:rPr>
          <w:rFonts w:ascii="仿宋" w:eastAsia="仿宋" w:hint="eastAsia"/>
          <w:b/>
          <w:bCs/>
        </w:rPr>
        <w:t>错误！未定义书签。</w:t>
      </w:r>
      <w:r>
        <w:rPr>
          <w:rFonts w:ascii="仿宋" w:eastAsia="仿宋"/>
        </w:rPr>
        <w:fldChar w:fldCharType="end"/>
      </w:r>
    </w:p>
    <w:p>
      <w:pPr>
        <w:pStyle w:val="22"/>
        <w:tabs>
          <w:tab w:val="right" w:leader="dot" w:pos="8296"/>
        </w:tabs>
        <w:rPr>
          <w:rFonts w:ascii="仿宋" w:eastAsia="仿宋"/>
        </w:rPr>
      </w:pPr>
      <w:r>
        <w:rPr>
          <w:rFonts w:ascii="仿宋" w:eastAsia="仿宋" w:hint="eastAsia"/>
        </w:rPr>
        <w:t>十</w:t>
      </w:r>
      <w:r>
        <w:rPr>
          <w:rFonts w:ascii="仿宋" w:eastAsia="仿宋"/>
        </w:rPr>
        <w:t>二</w:t>
      </w:r>
      <w:r>
        <w:rPr>
          <w:rFonts w:ascii="仿宋" w:eastAsia="仿宋" w:hint="eastAsia"/>
        </w:rPr>
        <w:t>、</w:t>
      </w:r>
      <w:r>
        <w:rPr>
          <w:rFonts w:ascii="仿宋" w:eastAsia="仿宋" w:hint="eastAsia"/>
          <w:bCs/>
        </w:rPr>
        <w:t>国有资本经营预算财政拨款支出决算表</w:t>
      </w:r>
      <w:r>
        <w:rPr>
          <w:rFonts w:ascii="仿宋" w:eastAsia="仿宋"/>
        </w:rPr>
        <w:tab/>
      </w:r>
      <w:r>
        <w:rPr>
          <w:rFonts w:ascii="仿宋" w:eastAsia="仿宋"/>
        </w:rPr>
        <w:fldChar w:fldCharType="begin"/>
      </w:r>
      <w:r>
        <w:rPr>
          <w:rFonts w:ascii="仿宋" w:eastAsia="仿宋"/>
        </w:rPr>
        <w:instrText xml:space="preserve"> PAGEREF _Toc79163896 \h </w:instrText>
      </w:r>
      <w:r>
        <w:rPr>
          <w:rFonts w:ascii="仿宋" w:eastAsia="仿宋"/>
        </w:rPr>
        <w:fldChar w:fldCharType="separate"/>
      </w:r>
      <w:r>
        <w:rPr>
          <w:rFonts w:ascii="仿宋" w:eastAsia="仿宋" w:hint="eastAsia"/>
          <w:b/>
          <w:bCs/>
        </w:rPr>
        <w:t>错误！未定义书签。</w:t>
      </w:r>
      <w:r>
        <w:rPr>
          <w:rFonts w:ascii="仿宋" w:eastAsia="仿宋"/>
        </w:rPr>
        <w:fldChar w:fldCharType="end"/>
      </w:r>
    </w:p>
    <w:p>
      <w:pPr>
        <w:pStyle w:val="22"/>
        <w:tabs>
          <w:tab w:val="right" w:leader="dot" w:pos="8296"/>
        </w:tabs>
        <w:rPr>
          <w:rFonts w:ascii="仿宋" w:eastAsia="仿宋"/>
        </w:rPr>
      </w:pPr>
      <w:r>
        <w:rPr>
          <w:rFonts w:ascii="仿宋" w:eastAsia="仿宋" w:hint="eastAsia"/>
        </w:rPr>
        <w:t>十三、</w:t>
      </w:r>
      <w:r>
        <w:rPr>
          <w:rFonts w:ascii="仿宋" w:eastAsia="仿宋" w:hint="eastAsia"/>
          <w:bCs/>
        </w:rPr>
        <w:t>财政拨款“三公”经费支出决算表</w:t>
      </w:r>
      <w:r>
        <w:rPr>
          <w:rFonts w:ascii="仿宋" w:eastAsia="仿宋"/>
        </w:rPr>
        <w:tab/>
      </w:r>
      <w:r>
        <w:rPr>
          <w:rFonts w:eastAsia="宋体"/>
        </w:rPr>
        <w:t>…</w:t>
      </w:r>
      <w:r>
        <w:rPr>
          <w:rFonts w:ascii="仿宋" w:eastAsia="仿宋"/>
        </w:rPr>
        <w:fldChar w:fldCharType="begin"/>
      </w:r>
      <w:r>
        <w:rPr>
          <w:rFonts w:ascii="仿宋" w:eastAsia="仿宋"/>
        </w:rPr>
        <w:instrText xml:space="preserve"> PAGEREF _Toc79163898 \h </w:instrText>
      </w:r>
      <w:r>
        <w:rPr>
          <w:rFonts w:ascii="仿宋" w:eastAsia="仿宋"/>
        </w:rPr>
        <w:fldChar w:fldCharType="separate"/>
      </w:r>
      <w:r>
        <w:rPr>
          <w:rFonts w:ascii="仿宋" w:eastAsia="仿宋" w:hint="eastAsia"/>
          <w:b/>
          <w:bCs/>
        </w:rPr>
        <w:t>错误！未定义书签。</w:t>
      </w:r>
      <w:r>
        <w:rPr>
          <w:rFonts w:ascii="仿宋" w:eastAsia="仿宋"/>
        </w:rPr>
        <w:fldChar w:fldCharType="end"/>
      </w:r>
    </w:p>
    <w:p>
      <w:pPr>
        <w:widowControl/>
        <w:adjustRightInd w:val="0"/>
        <w:snapToGrid w:val="0"/>
        <w:spacing w:line="440" w:lineRule="exact"/>
        <w:ind w:firstLineChars="550" w:firstLine="1100"/>
        <w:jc w:val="left"/>
        <w:rPr>
          <w:rFonts w:ascii="仿宋" w:eastAsia="仿宋"/>
          <w:color w:val="FF0000"/>
          <w:sz w:val="24"/>
        </w:rPr>
      </w:pPr>
      <w:r>
        <w:rPr>
          <w:rFonts w:ascii="Calibri" w:eastAsia="Calibri" w:hAnsi="Calibri"/>
          <w:b/>
          <w:bCs/>
          <w:caps/>
          <w:smallCaps w:val="0"/>
          <w:sz w:val="20"/>
          <w:szCs w:val="20"/>
        </w:rPr>
        <w:fldChar w:fldCharType="end"/>
      </w:r>
    </w:p>
    <w:p>
      <w:pPr>
        <w:widowControl/>
        <w:spacing w:line="440" w:lineRule="exact"/>
        <w:jc w:val="left"/>
        <w:rPr>
          <w:rFonts w:ascii="仿宋" w:eastAsia="仿宋"/>
          <w:b/>
          <w:sz w:val="24"/>
        </w:rPr>
      </w:pPr>
      <w:bookmarkStart w:id="12" w:name="_Toc15377196"/>
      <w:bookmarkStart w:id="13" w:name="_Toc15396599"/>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widowControl/>
        <w:spacing w:line="440" w:lineRule="exact"/>
        <w:jc w:val="left"/>
        <w:rPr>
          <w:rFonts w:ascii="仿宋" w:eastAsia="仿宋"/>
          <w:b/>
          <w:sz w:val="24"/>
        </w:rPr>
      </w:pPr>
    </w:p>
    <w:p>
      <w:pPr>
        <w:pStyle w:val="16"/>
        <w:jc w:val="center"/>
        <w:rPr>
          <w:rFonts w:ascii="黑体" w:eastAsia="黑体"/>
          <w:color w:val="000000"/>
          <w:sz w:val="32"/>
          <w:szCs w:val="32"/>
        </w:rPr>
      </w:pPr>
      <w:r>
        <w:rPr>
          <w:rStyle w:val="1Char"/>
          <w:rFonts w:ascii="黑体" w:eastAsia="黑体" w:hint="eastAsia"/>
        </w:rPr>
        <w:t>第一部分 部门概况</w:t>
      </w:r>
    </w:p>
    <w:p>
      <w:pPr>
        <w:pStyle w:val="2"/>
        <w:spacing w:before="0" w:after="0" w:line="240" w:lineRule="auto"/>
        <w:ind w:leftChars="200" w:left="420"/>
        <w:rPr>
          <w:rStyle w:val="2Char"/>
          <w:rFonts w:ascii="黑体" w:eastAsia="黑体"/>
          <w:color w:val="000000"/>
        </w:rPr>
      </w:pPr>
      <w:bookmarkStart w:id="14" w:name="_Toc15377197"/>
      <w:bookmarkStart w:id="15" w:name="_Toc15396600"/>
      <w:r>
        <w:rPr>
          <w:rFonts w:ascii="黑体" w:eastAsia="黑体" w:hint="eastAsia"/>
          <w:b w:val="0"/>
          <w:color w:val="000000"/>
        </w:rPr>
        <w:t>一、基</w:t>
      </w:r>
      <w:r>
        <w:rPr>
          <w:rStyle w:val="2Char"/>
          <w:rFonts w:ascii="黑体" w:eastAsia="黑体" w:hint="eastAsia"/>
          <w:color w:val="000000"/>
        </w:rPr>
        <w:t>本职能及主要工作</w:t>
      </w:r>
      <w:bookmarkStart w:id="16" w:name="_Toc15378445"/>
      <w:bookmarkStart w:id="17" w:name="_Toc15377198"/>
      <w:bookmarkEnd w:id="14"/>
      <w:bookmarkEnd w:id="15"/>
    </w:p>
    <w:p>
      <w:pPr>
        <w:pStyle w:val="2"/>
        <w:spacing w:before="0" w:after="0" w:line="240" w:lineRule="auto"/>
        <w:ind w:leftChars="153" w:left="641" w:hangingChars="100" w:hanging="320"/>
        <w:rPr>
          <w:rFonts w:ascii="仿宋_GB2312" w:eastAsia="仿宋_GB2312" w:cs="楷体"/>
          <w:color w:val="000000"/>
        </w:rPr>
      </w:pPr>
      <w:r>
        <w:rPr>
          <w:rFonts w:ascii="仿宋_GB2312" w:eastAsia="仿宋_GB2312" w:cs="楷体" w:hint="eastAsia"/>
          <w:color w:val="000000"/>
        </w:rPr>
        <w:t>（一）主要职能</w:t>
      </w:r>
      <w:bookmarkStart w:id="18" w:name="_Toc15377199"/>
      <w:bookmarkStart w:id="19" w:name="_Toc15378446"/>
      <w:bookmarkEnd w:id="16"/>
      <w:bookmarkEnd w:id="17"/>
    </w:p>
    <w:p>
      <w:pPr>
        <w:pStyle w:val="28"/>
        <w:spacing w:beforeAutospacing="0" w:afterAutospacing="0"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根据</w:t>
      </w:r>
      <w:r>
        <w:rPr>
          <w:rFonts w:ascii="仿宋_GB2312" w:eastAsia="仿宋_GB2312" w:hint="eastAsia"/>
          <w:color w:val="000000"/>
          <w:sz w:val="32"/>
          <w:szCs w:val="32"/>
          <w:u w:val="single"/>
        </w:rPr>
        <w:t xml:space="preserve"> 《金川县人民政府关于印发 &lt;金川县发展改革和经济商务信息化局职能职责内设机构人员编制方案&gt; 的通知》</w:t>
      </w:r>
      <w:r>
        <w:rPr>
          <w:rFonts w:ascii="仿宋_GB2312" w:eastAsia="仿宋_GB2312" w:hint="eastAsia"/>
          <w:color w:val="000000"/>
          <w:sz w:val="32"/>
          <w:szCs w:val="32"/>
        </w:rPr>
        <w:t>文件规定,主要职能:贯彻实施国家、省、州有关国民经济和社会发展、经济体制改革的方针、政策和法律、法规；负责拟订并组织实施全县国民经济和社会发展战略、中长期规划和年度计划；负责监测宏观经济和社会发展态势，承担相关预测预警和信息引导责任；负责全县投资宏观管理和协调推进重大项目建设。拟定全县全社会固定资产投资总规模和投资结构，编制年度投资计划；推进经济结构战略性调整；促进城乡区域协调发展；推进可持续发展，负责全县节能减排的综合协调工作；指导、协调并综合管理全县招标投标工作；负责组织贯彻国家、省、州有关工业经济、信息化和无线电管理、国内外贸易、外商投资和国际经济合作的有关工业经济的政策措施，拟定全县有关工业经济、信息化和无线电管理的地方法规、规章草案；负责监测、分析工业经济运行态势和质量；负责全县企业技术改造推进工作；负责全县工业和信息化领域的节能降耗、清洁生产和资源节约与综合利用工作；承担全县服务业发展工作中组织实施的协调职责，推进流通产业结构调整；指导全县外商促进和管理工作；负责全县招商项目策划、项目收集、项目分析、项目包装、项目发布、项目签约和重大项目的跟踪促进。负责编制全县价格改革、价格调整的年度计划和规划；草拟地方性价格法规规章，审定价格管理办法和规范性文件；负责研究列管商品和服务价格管理原则、范围和作价办法；引导和规范经营者自主定价行为，指导行业价格自律，当市场价格出现异常波动时，提出干预措施，待批准后组织实施。承办县政府交办的其他事项。</w:t>
      </w:r>
    </w:p>
    <w:p>
      <w:pPr>
        <w:pStyle w:val="2"/>
        <w:spacing w:before="0" w:after="0" w:line="240" w:lineRule="auto"/>
        <w:ind w:firstLineChars="100" w:firstLine="320"/>
        <w:rPr>
          <w:rFonts w:ascii="仿宋_GB2312" w:eastAsia="仿宋_GB2312" w:cs="楷体"/>
          <w:color w:val="000000"/>
        </w:rPr>
      </w:pPr>
      <w:r>
        <w:rPr>
          <w:rFonts w:ascii="仿宋_GB2312" w:eastAsia="仿宋_GB2312" w:cs="楷体" w:hint="eastAsia"/>
          <w:color w:val="000000"/>
        </w:rPr>
        <w:t>（二）2022年重点工作完成情况</w:t>
      </w:r>
      <w:bookmarkEnd w:id="18"/>
      <w:bookmarkEnd w:id="19"/>
    </w:p>
    <w:p>
      <w:pPr>
        <w:pStyle w:val="28"/>
        <w:spacing w:beforeAutospacing="0" w:afterAutospacing="0" w:line="560" w:lineRule="exact"/>
        <w:ind w:firstLineChars="200" w:firstLine="640"/>
        <w:jc w:val="both"/>
        <w:rPr>
          <w:rFonts w:ascii="仿宋_GB2312" w:eastAsia="仿宋_GB2312"/>
          <w:sz w:val="32"/>
          <w:szCs w:val="32"/>
        </w:rPr>
      </w:pPr>
      <w:bookmarkStart w:id="20" w:name="_Toc15396601"/>
      <w:bookmarkStart w:id="21" w:name="_Toc15377200"/>
      <w:r>
        <w:rPr>
          <w:rFonts w:ascii="仿宋_GB2312" w:eastAsia="仿宋_GB2312" w:hint="eastAsia"/>
          <w:sz w:val="32"/>
          <w:szCs w:val="32"/>
        </w:rPr>
        <w:t>2022年主要工作任务是：1、统筹促进经济社会发展。确保同全州同步奔小康的经济发展，按照全县“夯实基础、增量提质、跨越发展”经济工作的总体取向，进一步采取有针对性的措施，确保各项工作进度和时间保持一致。一是继续做好经济和社会发展分析研判工作，二是完善各项规划，三是入库工作扎实推进。2、全面推进投资工作。（1）加强项目储备落地。（2）积极争取国家资金。（3）全力推进项目建设。（4）狠抓项目管理。3、抓好工业经济工作落地建设。4、力促小水电开发和电网建设。使全县人民生产生活用电得到保障，工业用电得以稳定，更好的助推金川经济的发展。5、贯彻执行国家有关商务领域的方针、政策和法律、法规，研究提出引导国内外资金投向市场体系建设的政策建议，促进城乡市场发展；负责商业网点规划、商业体系建设工作。</w:t>
      </w:r>
    </w:p>
    <w:p>
      <w:pPr>
        <w:spacing w:line="578" w:lineRule="exact"/>
        <w:ind w:firstLineChars="200" w:firstLine="640"/>
        <w:rPr>
          <w:rFonts w:ascii="Cambria" w:hAnsi="Cambria"/>
          <w:b/>
          <w:sz w:val="32"/>
          <w:szCs w:val="32"/>
        </w:rPr>
      </w:pPr>
      <w:r>
        <w:rPr>
          <w:rStyle w:val="2Char"/>
          <w:rFonts w:ascii="黑体" w:eastAsia="黑体" w:hint="eastAsia"/>
          <w:b w:val="0"/>
        </w:rPr>
        <w:t>二、机构设置</w:t>
      </w:r>
      <w:bookmarkEnd w:id="20"/>
      <w:bookmarkEnd w:id="21"/>
    </w:p>
    <w:p>
      <w:pPr>
        <w:pStyle w:val="28"/>
        <w:spacing w:beforeAutospacing="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金川县发展改革和经济商务信息化局是政府组成部门，由金川县发展改革和经济商务信息化局（挂牌）、县发展改革和经济商务信息中心和县节能减排中心组成，设统一核算机构为1个，独立编制机构2个，其中:行政单位1个，事业单位1个。</w:t>
      </w:r>
    </w:p>
    <w:p>
      <w:pPr>
        <w:pStyle w:val="1"/>
        <w:spacing w:line="440" w:lineRule="exact"/>
        <w:ind w:right="440"/>
        <w:jc w:val="right"/>
        <w:rPr>
          <w:rStyle w:val="1Char"/>
          <w:rFonts w:ascii="黑体" w:eastAsia="黑体"/>
        </w:rPr>
      </w:pPr>
      <w:bookmarkStart w:id="22" w:name="_Toc15377204"/>
      <w:bookmarkStart w:id="23" w:name="_Toc15396602"/>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rPr>
        <w:t>2022年度部门决算情况说明</w:t>
      </w:r>
      <w:bookmarkStart w:id="24" w:name="_Toc15396603"/>
      <w:bookmarkStart w:id="25" w:name="_Toc15377205"/>
      <w:bookmarkEnd w:id="22"/>
      <w:bookmarkEnd w:id="23"/>
    </w:p>
    <w:p>
      <w:pPr>
        <w:pStyle w:val="1"/>
        <w:spacing w:line="440" w:lineRule="exact"/>
        <w:ind w:right="660" w:firstLineChars="200" w:firstLine="640"/>
        <w:jc w:val="left"/>
        <w:rPr>
          <w:rStyle w:val="2Char"/>
          <w:b/>
          <w:bCs/>
        </w:rPr>
      </w:pPr>
      <w:r>
        <w:rPr>
          <w:rStyle w:val="2Char"/>
          <w:rFonts w:ascii="黑体" w:eastAsia="黑体" w:hint="eastAsia"/>
        </w:rPr>
        <w:t>一、收入支出决算总体情况说明</w:t>
      </w:r>
      <w:bookmarkEnd w:id="24"/>
      <w:bookmarkEnd w:id="25"/>
    </w:p>
    <w:p>
      <w:pPr>
        <w:pStyle w:val="28"/>
        <w:spacing w:beforeAutospacing="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2022年收入合计1283.97万元，比2021减少641.97万元，减少33.33%，原因是：厉行节俭，各项费用减少，上级财政拨款减少。</w:t>
      </w:r>
    </w:p>
    <w:p>
      <w:pPr>
        <w:pStyle w:val="28"/>
        <w:spacing w:beforeAutospacing="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drawing>
          <wp:anchor distT="0" distB="0" distL="114300" distR="114300" simplePos="0" relativeHeight="23" behindDoc="0" locked="0" layoutInCell="1" hidden="0" allowOverlap="1">
            <wp:simplePos x="0" y="0"/>
            <wp:positionH relativeFrom="column">
              <wp:posOffset>1287145</wp:posOffset>
            </wp:positionH>
            <wp:positionV relativeFrom="paragraph">
              <wp:posOffset>950595</wp:posOffset>
            </wp:positionV>
            <wp:extent cx="2486025" cy="1828800"/>
            <wp:effectExtent l="0" t="0" r="38" b="28"/>
            <wp:wrapSquare wrapText="bothSides"/>
            <wp:docPr id="1" name="图片 2"/>
            <wp:cNvGraphicFramePr>
              <a:graphicFrameLocks noChangeAspect="1"/>
            </wp:cNvGraphicFramePr>
            <a:graphic>
              <a:graphicData uri="http://schemas.openxmlformats.org/drawingml/2006/picture">
                <pic:pic>
                  <pic:nvPicPr>
                    <pic:cNvPr id="3" name="图片 2 3"/>
                    <pic:cNvPicPr/>
                  </pic:nvPicPr>
                  <pic:blipFill>
                    <a:blip r:embed="rId5"/>
                    <a:stretch>
                      <a:fillRect/>
                    </a:stretch>
                  </pic:blipFill>
                  <pic:spPr>
                    <a:xfrm rot="0">
                      <a:off x="0" y="0"/>
                      <a:ext cx="2486025" cy="1828800"/>
                    </a:xfrm>
                    <a:prstGeom prst="rect"/>
                    <a:noFill/>
                    <a:ln w="9525" cmpd="sng" cap="flat">
                      <a:noFill/>
                      <a:prstDash val="solid"/>
                      <a:miter/>
                    </a:ln>
                  </pic:spPr>
                </pic:pic>
              </a:graphicData>
            </a:graphic>
          </wp:anchor>
        </w:drawing>
      </w:r>
      <w:r>
        <w:rPr>
          <w:rFonts w:ascii="仿宋_GB2312" w:eastAsia="仿宋_GB2312" w:hint="eastAsia"/>
          <w:sz w:val="32"/>
          <w:szCs w:val="32"/>
        </w:rPr>
        <w:t>2022年支出合计1283.97万元，与</w:t>
      </w:r>
      <w:r>
        <w:rPr>
          <w:rFonts w:ascii="仿宋_GB2312" w:eastAsia="仿宋_GB2312"/>
          <w:sz w:val="32"/>
          <w:szCs w:val="32"/>
        </w:rPr>
        <w:t>20</w:t>
      </w:r>
      <w:r>
        <w:rPr>
          <w:rFonts w:ascii="仿宋_GB2312" w:eastAsia="仿宋_GB2312" w:hint="eastAsia"/>
          <w:sz w:val="32"/>
          <w:szCs w:val="32"/>
        </w:rPr>
        <w:t>21年相比减少643.28万元，减少33.38</w:t>
      </w:r>
      <w:r>
        <w:rPr>
          <w:rFonts w:ascii="仿宋_GB2312" w:eastAsia="仿宋_GB2312"/>
          <w:sz w:val="32"/>
          <w:szCs w:val="32"/>
        </w:rPr>
        <w:t>%</w:t>
      </w:r>
      <w:r>
        <w:rPr>
          <w:rFonts w:ascii="仿宋_GB2312" w:eastAsia="仿宋_GB2312" w:hint="eastAsia"/>
          <w:sz w:val="32"/>
          <w:szCs w:val="32"/>
        </w:rPr>
        <w:t>，</w:t>
      </w:r>
      <w:bookmarkStart w:id="26" w:name="_Toc15396604"/>
      <w:bookmarkStart w:id="27" w:name="_Toc15377206"/>
      <w:r>
        <w:rPr>
          <w:rFonts w:ascii="仿宋_GB2312" w:eastAsia="仿宋_GB2312" w:hint="eastAsia"/>
          <w:sz w:val="32"/>
          <w:szCs w:val="32"/>
        </w:rPr>
        <w:t>厉行节俭，各项费用减少，上级财政拨款支出减少。</w:t>
      </w:r>
    </w:p>
    <w:p>
      <w:pPr>
        <w:pStyle w:val="28"/>
        <w:spacing w:beforeAutospacing="0" w:afterAutospacing="0" w:line="560" w:lineRule="exact"/>
        <w:ind w:firstLineChars="200" w:firstLine="640"/>
        <w:jc w:val="both"/>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ind w:firstLineChars="200" w:firstLine="640"/>
        <w:rPr>
          <w:rStyle w:val="2Char"/>
          <w:rFonts w:ascii="黑体" w:eastAsia="黑体"/>
        </w:rPr>
      </w:pPr>
      <w:r>
        <w:rPr>
          <w:rFonts w:ascii="黑体" w:eastAsia="黑体" w:hint="eastAsia"/>
          <w:color w:val="000000"/>
          <w:sz w:val="32"/>
          <w:szCs w:val="32"/>
        </w:rPr>
        <w:t>二、收入决</w:t>
      </w:r>
      <w:r>
        <w:rPr>
          <w:rStyle w:val="2Char"/>
          <w:rFonts w:ascii="黑体" w:eastAsia="黑体" w:hint="eastAsia"/>
          <w:b w:val="0"/>
        </w:rPr>
        <w:t>算情况说明</w:t>
      </w:r>
      <w:bookmarkEnd w:id="26"/>
      <w:bookmarkEnd w:id="27"/>
    </w:p>
    <w:p>
      <w:pPr>
        <w:pStyle w:val="28"/>
        <w:spacing w:beforeAutospacing="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2022年收入合计1283.97万元，其中：一般公共预算财政拨款收入1283.97万元，占100%；政府性基金预算财政拨款收入0万元，占0%；国有资本经营预算财政拨款收入0万元，占0%；事业收入0万元，占0%；经营收入0万元，占0%；附属单位上缴收入0万元，占0%；其他收入0万元，占0%。</w:t>
      </w:r>
    </w:p>
    <w:p>
      <w:pPr>
        <w:spacing w:line="600" w:lineRule="exact"/>
        <w:ind w:firstLineChars="200" w:firstLine="640"/>
        <w:outlineLvl w:val="1"/>
        <w:rPr>
          <w:rFonts w:ascii="黑体" w:eastAsia="黑体"/>
          <w:color w:val="000000"/>
          <w:sz w:val="32"/>
          <w:szCs w:val="32"/>
        </w:rPr>
      </w:pPr>
      <w:bookmarkStart w:id="28" w:name="_Toc15377207"/>
      <w:bookmarkStart w:id="29" w:name="_Toc15396605"/>
      <w:r>
        <w:rPr>
          <w:rFonts w:ascii="黑体" w:eastAsia="黑体"/>
          <w:color w:val="000000"/>
          <w:sz w:val="32"/>
          <w:szCs w:val="32"/>
        </w:rPr>
        <w:drawing>
          <wp:anchor distT="0" distB="0" distL="114300" distR="114300" simplePos="0" relativeHeight="27" behindDoc="0" locked="0" layoutInCell="1" hidden="0" allowOverlap="1">
            <wp:simplePos x="0" y="0"/>
            <wp:positionH relativeFrom="column">
              <wp:posOffset>1249045</wp:posOffset>
            </wp:positionH>
            <wp:positionV relativeFrom="paragraph">
              <wp:posOffset>194945</wp:posOffset>
            </wp:positionV>
            <wp:extent cx="2398395" cy="1590675"/>
            <wp:effectExtent l="0" t="0" r="37" b="24"/>
            <wp:wrapSquare wrapText="bothSides"/>
            <wp:docPr id="4" name="图片 4"/>
            <wp:cNvGraphicFramePr>
              <a:graphicFrameLocks noChangeAspect="1"/>
            </wp:cNvGraphicFramePr>
            <a:graphic>
              <a:graphicData uri="http://schemas.openxmlformats.org/drawingml/2006/picture">
                <pic:pic>
                  <pic:nvPicPr>
                    <pic:cNvPr id="6" name="图片 4 6"/>
                    <pic:cNvPicPr/>
                  </pic:nvPicPr>
                  <pic:blipFill>
                    <a:blip r:embed="rId6"/>
                    <a:stretch>
                      <a:fillRect/>
                    </a:stretch>
                  </pic:blipFill>
                  <pic:spPr>
                    <a:xfrm rot="0">
                      <a:off x="0" y="0"/>
                      <a:ext cx="2398395" cy="1590675"/>
                    </a:xfrm>
                    <a:prstGeom prst="rect"/>
                    <a:noFill/>
                    <a:ln w="9525" cmpd="sng" cap="flat">
                      <a:noFill/>
                      <a:prstDash val="solid"/>
                      <a:miter/>
                    </a:ln>
                  </pic:spPr>
                </pic:pic>
              </a:graphicData>
            </a:graphic>
          </wp:anchor>
        </w:drawing>
      </w: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三、支出决</w:t>
      </w:r>
      <w:r>
        <w:rPr>
          <w:rStyle w:val="2Char"/>
          <w:rFonts w:ascii="黑体" w:eastAsia="黑体" w:hint="eastAsia"/>
          <w:b w:val="0"/>
        </w:rPr>
        <w:t>算情况说明</w:t>
      </w:r>
      <w:bookmarkEnd w:id="28"/>
      <w:bookmarkEnd w:id="29"/>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2022年支出合计</w:t>
      </w:r>
      <w:r>
        <w:rPr>
          <w:rFonts w:ascii="仿宋_GB2312" w:eastAsia="仿宋_GB2312" w:hint="eastAsia"/>
          <w:sz w:val="32"/>
          <w:szCs w:val="32"/>
        </w:rPr>
        <w:t>1283.97</w:t>
      </w:r>
      <w:r>
        <w:rPr>
          <w:rFonts w:ascii="仿宋_GB2312" w:eastAsia="仿宋_GB2312" w:hint="eastAsia"/>
          <w:color w:val="000000"/>
          <w:sz w:val="32"/>
          <w:szCs w:val="32"/>
        </w:rPr>
        <w:t>万元，其中：基本支出530.8万元，占41.34%；项目支出753.18万元，占58.66%；经营支出0万元，占0%；对附属单位补助支出0万元，占0%。</w:t>
      </w:r>
    </w:p>
    <w:p>
      <w:pPr>
        <w:pStyle w:val="30"/>
        <w:ind w:left="420"/>
        <w:jc w:val="both"/>
        <w:rPr>
          <w:rFonts w:ascii="仿宋_GB2312"/>
          <w:sz w:val="32"/>
          <w:szCs w:val="32"/>
        </w:rPr>
      </w:pPr>
      <w:r>
        <w:rPr>
          <w:rFonts w:ascii="仿宋_GB2312"/>
          <w:sz w:val="32"/>
          <w:szCs w:val="32"/>
        </w:rPr>
        <w:drawing>
          <wp:anchor distT="0" distB="0" distL="114300" distR="114300" simplePos="0" relativeHeight="17" behindDoc="0" locked="0" layoutInCell="1" hidden="0" allowOverlap="1">
            <wp:simplePos x="0" y="0"/>
            <wp:positionH relativeFrom="column">
              <wp:posOffset>1249045</wp:posOffset>
            </wp:positionH>
            <wp:positionV relativeFrom="paragraph">
              <wp:posOffset>261620</wp:posOffset>
            </wp:positionV>
            <wp:extent cx="2869564" cy="1952625"/>
            <wp:effectExtent l="0" t="0" r="12" b="30"/>
            <wp:wrapSquare wrapText="bothSides"/>
            <wp:docPr id="7" name="图片 2"/>
            <wp:cNvGraphicFramePr>
              <a:graphicFrameLocks noChangeAspect="1"/>
            </wp:cNvGraphicFramePr>
            <a:graphic>
              <a:graphicData uri="http://schemas.openxmlformats.org/drawingml/2006/picture">
                <pic:pic>
                  <pic:nvPicPr>
                    <pic:cNvPr id="9" name="图片 2 9"/>
                    <pic:cNvPicPr/>
                  </pic:nvPicPr>
                  <pic:blipFill>
                    <a:blip r:embed="rId7"/>
                    <a:stretch>
                      <a:fillRect/>
                    </a:stretch>
                  </pic:blipFill>
                  <pic:spPr>
                    <a:xfrm rot="0">
                      <a:off x="0" y="0"/>
                      <a:ext cx="2869564" cy="1952625"/>
                    </a:xfrm>
                    <a:prstGeom prst="rect"/>
                    <a:noFill/>
                    <a:ln w="9525" cmpd="sng" cap="flat">
                      <a:noFill/>
                      <a:prstDash val="solid"/>
                      <a:miter/>
                    </a:ln>
                  </pic:spPr>
                </pic:pic>
              </a:graphicData>
            </a:graphic>
          </wp:anchor>
        </w:drawing>
      </w:r>
    </w:p>
    <w:p>
      <w:pPr>
        <w:spacing w:line="600" w:lineRule="exact"/>
        <w:outlineLvl w:val="1"/>
        <w:rPr>
          <w:rFonts w:ascii="黑体" w:eastAsia="黑体"/>
          <w:color w:val="000000"/>
          <w:sz w:val="32"/>
          <w:szCs w:val="32"/>
        </w:rPr>
      </w:pPr>
      <w:bookmarkStart w:id="30" w:name="_Toc15377208"/>
      <w:bookmarkStart w:id="31" w:name="_Toc15396606"/>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Fonts w:ascii="黑体" w:eastAsia="黑体"/>
          <w:color w:val="000000"/>
          <w:sz w:val="32"/>
          <w:szCs w:val="32"/>
        </w:rPr>
      </w:pP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0"/>
      <w:bookmarkEnd w:id="31"/>
    </w:p>
    <w:p>
      <w:pPr>
        <w:spacing w:line="560" w:lineRule="exact"/>
        <w:ind w:firstLineChars="200" w:firstLine="640"/>
        <w:rPr>
          <w:rFonts w:ascii="仿宋_GB2312" w:eastAsia="仿宋_GB2312"/>
          <w:sz w:val="32"/>
          <w:szCs w:val="32"/>
        </w:rPr>
      </w:pPr>
      <w:r>
        <w:rPr>
          <w:rFonts w:ascii="仿宋_GB2312" w:eastAsia="仿宋_GB2312" w:hint="eastAsia"/>
          <w:sz w:val="32"/>
          <w:szCs w:val="32"/>
        </w:rPr>
        <w:t>2022年总收入1283.97万元，总支出1283.97万元，与上年度对比，上年总收入</w:t>
      </w:r>
      <w:r>
        <w:rPr>
          <w:rFonts w:ascii="仿宋_GB2312" w:eastAsia="仿宋_GB2312" w:hint="eastAsia"/>
          <w:color w:val="000000"/>
          <w:sz w:val="32"/>
          <w:szCs w:val="32"/>
        </w:rPr>
        <w:t>1925.94</w:t>
      </w:r>
      <w:r>
        <w:rPr>
          <w:rFonts w:ascii="仿宋_GB2312" w:eastAsia="仿宋_GB2312" w:hint="eastAsia"/>
          <w:sz w:val="32"/>
          <w:szCs w:val="32"/>
        </w:rPr>
        <w:t>万元，比上年减少33.33%；上年总支出1927.26万元，比上年减少33.38%。收入减少主要是由于上级部门下达项目资金减少，支出减少是由于上级部门下达项目资金支出减少。</w:t>
      </w:r>
      <w:bookmarkStart w:id="32" w:name="_Toc15377209"/>
      <w:bookmarkStart w:id="33" w:name="_Toc15396607"/>
    </w:p>
    <w:p>
      <w:pPr>
        <w:spacing w:line="560" w:lineRule="exact"/>
        <w:ind w:firstLineChars="200" w:firstLine="640"/>
        <w:rPr>
          <w:rFonts w:ascii="仿宋_GB2312" w:eastAsia="仿宋_GB2312"/>
          <w:sz w:val="32"/>
          <w:szCs w:val="32"/>
        </w:rPr>
      </w:pPr>
      <w:r>
        <w:rPr>
          <w:rFonts w:ascii="仿宋_GB2312" w:eastAsia="仿宋_GB2312" w:hint="eastAsia"/>
          <w:sz w:val="32"/>
          <w:szCs w:val="32"/>
        </w:rPr>
        <w:drawing>
          <wp:anchor distT="0" distB="0" distL="114300" distR="114300" simplePos="0" relativeHeight="19" behindDoc="0" locked="0" layoutInCell="1" hidden="0" allowOverlap="1">
            <wp:simplePos x="0" y="0"/>
            <wp:positionH relativeFrom="column">
              <wp:posOffset>1306195</wp:posOffset>
            </wp:positionH>
            <wp:positionV relativeFrom="paragraph">
              <wp:posOffset>147320</wp:posOffset>
            </wp:positionV>
            <wp:extent cx="2677795" cy="1704975"/>
            <wp:effectExtent l="0" t="0" r="22" b="26"/>
            <wp:wrapSquare wrapText="bothSides"/>
            <wp:docPr id="10" name="图片 4"/>
            <wp:cNvGraphicFramePr>
              <a:graphicFrameLocks noChangeAspect="1"/>
            </wp:cNvGraphicFramePr>
            <a:graphic>
              <a:graphicData uri="http://schemas.openxmlformats.org/drawingml/2006/picture">
                <pic:pic>
                  <pic:nvPicPr>
                    <pic:cNvPr id="12" name="图片 4 12"/>
                    <pic:cNvPicPr/>
                  </pic:nvPicPr>
                  <pic:blipFill>
                    <a:blip r:embed="rId8"/>
                    <a:stretch>
                      <a:fillRect/>
                    </a:stretch>
                  </pic:blipFill>
                  <pic:spPr>
                    <a:xfrm rot="0">
                      <a:off x="0" y="0"/>
                      <a:ext cx="2677795" cy="1704975"/>
                    </a:xfrm>
                    <a:prstGeom prst="rect"/>
                    <a:noFill/>
                    <a:ln w="9525" cmpd="sng" cap="flat">
                      <a:noFill/>
                      <a:prstDash val="solid"/>
                      <a:miter/>
                    </a:ln>
                  </pic:spPr>
                </pic:pic>
              </a:graphicData>
            </a:graphic>
          </wp:anchor>
        </w:drawing>
      </w:r>
    </w:p>
    <w:p>
      <w:pPr>
        <w:spacing w:line="560" w:lineRule="exact"/>
        <w:ind w:firstLineChars="200" w:firstLine="640"/>
        <w:rPr>
          <w:rFonts w:ascii="仿宋_GB2312" w:eastAsia="仿宋_GB2312"/>
          <w:sz w:val="32"/>
          <w:szCs w:val="32"/>
        </w:rPr>
      </w:pPr>
    </w:p>
    <w:p>
      <w:pPr>
        <w:spacing w:line="560" w:lineRule="exact"/>
        <w:ind w:firstLineChars="200" w:firstLine="640"/>
        <w:rPr>
          <w:rFonts w:ascii="仿宋_GB2312" w:eastAsia="仿宋_GB2312"/>
          <w:sz w:val="32"/>
          <w:szCs w:val="32"/>
        </w:rPr>
      </w:pPr>
    </w:p>
    <w:p>
      <w:pPr>
        <w:spacing w:line="560" w:lineRule="exact"/>
        <w:ind w:firstLineChars="200" w:firstLine="640"/>
        <w:rPr>
          <w:rFonts w:ascii="仿宋_GB2312" w:eastAsia="仿宋_GB2312"/>
          <w:sz w:val="32"/>
          <w:szCs w:val="32"/>
        </w:rPr>
      </w:pPr>
    </w:p>
    <w:p>
      <w:pPr>
        <w:spacing w:line="560" w:lineRule="exact"/>
        <w:ind w:firstLineChars="200" w:firstLine="640"/>
        <w:rPr>
          <w:rFonts w:ascii="仿宋_GB2312" w:eastAsia="仿宋_GB2312"/>
          <w:sz w:val="32"/>
          <w:szCs w:val="32"/>
        </w:rPr>
      </w:pPr>
    </w:p>
    <w:p>
      <w:pPr>
        <w:spacing w:line="560" w:lineRule="exact"/>
        <w:rPr>
          <w:rFonts w:ascii="仿宋_GB2312" w:eastAsia="仿宋_GB2312"/>
          <w:sz w:val="32"/>
          <w:szCs w:val="32"/>
        </w:rPr>
      </w:pPr>
    </w:p>
    <w:p>
      <w:pPr>
        <w:spacing w:line="60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pPr>
        <w:snapToGrid w:val="0"/>
        <w:spacing w:line="520" w:lineRule="exact"/>
        <w:ind w:firstLineChars="200" w:firstLine="640"/>
        <w:rPr>
          <w:rFonts w:ascii="仿宋" w:eastAsia="仿宋"/>
          <w:color w:val="000000"/>
          <w:sz w:val="32"/>
          <w:szCs w:val="32"/>
        </w:rPr>
      </w:pPr>
      <w:r>
        <w:rPr>
          <w:rFonts w:ascii="仿宋_GB2312" w:eastAsia="仿宋_GB2312" w:hint="eastAsia"/>
          <w:sz w:val="32"/>
          <w:szCs w:val="32"/>
        </w:rPr>
        <w:t>2022年度一般公共预算财政拨款支出1283.97万元，占本年支出合计的</w:t>
      </w:r>
      <w:r>
        <w:rPr>
          <w:rFonts w:ascii="仿宋_GB2312" w:eastAsia="仿宋_GB2312" w:hint="eastAsia"/>
          <w:color w:val="000000"/>
          <w:sz w:val="32"/>
          <w:szCs w:val="32"/>
        </w:rPr>
        <w:t>100%，与</w:t>
      </w:r>
      <w:bookmarkStart w:id="35" w:name="_Toc15377211"/>
      <w:r>
        <w:rPr>
          <w:rFonts w:ascii="仿宋_GB2312" w:eastAsia="仿宋_GB2312" w:hint="eastAsia"/>
          <w:color w:val="000000"/>
          <w:sz w:val="32"/>
          <w:szCs w:val="32"/>
        </w:rPr>
        <w:t>2021年相比减少641.96万元，减少33.33%，主要</w:t>
      </w:r>
      <w:r>
        <w:rPr>
          <w:rFonts w:ascii="仿宋_GB2312" w:eastAsia="仿宋_GB2312" w:hint="eastAsia"/>
          <w:sz w:val="32"/>
          <w:szCs w:val="32"/>
        </w:rPr>
        <w:t>由于上级部门下达项目资金支出减少。</w:t>
      </w:r>
    </w:p>
    <w:p>
      <w:pPr>
        <w:snapToGrid w:val="0"/>
        <w:spacing w:line="520" w:lineRule="exact"/>
        <w:ind w:firstLineChars="200" w:firstLine="640"/>
        <w:rPr>
          <w:rFonts w:ascii="仿宋" w:eastAsia="仿宋"/>
          <w:color w:val="000000"/>
          <w:sz w:val="32"/>
          <w:szCs w:val="32"/>
        </w:rPr>
      </w:pPr>
      <w:r>
        <w:rPr>
          <w:rFonts w:ascii="仿宋" w:eastAsia="仿宋"/>
          <w:color w:val="000000"/>
          <w:sz w:val="32"/>
          <w:szCs w:val="32"/>
        </w:rPr>
        <w:drawing>
          <wp:anchor distT="0" distB="0" distL="114300" distR="114300" simplePos="0" relativeHeight="25" behindDoc="0" locked="0" layoutInCell="1" hidden="0" allowOverlap="1">
            <wp:simplePos x="0" y="0"/>
            <wp:positionH relativeFrom="column">
              <wp:posOffset>1439545</wp:posOffset>
            </wp:positionH>
            <wp:positionV relativeFrom="paragraph">
              <wp:posOffset>128270</wp:posOffset>
            </wp:positionV>
            <wp:extent cx="2505075" cy="1743075"/>
            <wp:effectExtent l="0" t="0" r="39" b="27"/>
            <wp:wrapSquare wrapText="bothSides"/>
            <wp:docPr id="13" name="图片 4"/>
            <wp:cNvGraphicFramePr>
              <a:graphicFrameLocks noChangeAspect="1"/>
            </wp:cNvGraphicFramePr>
            <a:graphic>
              <a:graphicData uri="http://schemas.openxmlformats.org/drawingml/2006/picture">
                <pic:pic>
                  <pic:nvPicPr>
                    <pic:cNvPr id="15" name="图片 4 15"/>
                    <pic:cNvPicPr/>
                  </pic:nvPicPr>
                  <pic:blipFill>
                    <a:blip r:embed="rId9"/>
                    <a:stretch>
                      <a:fillRect/>
                    </a:stretch>
                  </pic:blipFill>
                  <pic:spPr>
                    <a:xfrm rot="0">
                      <a:off x="0" y="0"/>
                      <a:ext cx="2505075" cy="1743075"/>
                    </a:xfrm>
                    <a:prstGeom prst="rect"/>
                    <a:noFill/>
                    <a:ln w="9525" cmpd="sng" cap="flat">
                      <a:noFill/>
                      <a:prstDash val="solid"/>
                      <a:miter/>
                    </a:ln>
                  </pic:spPr>
                </pic:pic>
              </a:graphicData>
            </a:graphic>
          </wp:anchor>
        </w:drawing>
      </w:r>
    </w:p>
    <w:p>
      <w:pPr>
        <w:snapToGrid w:val="0"/>
        <w:spacing w:line="520" w:lineRule="exact"/>
        <w:rPr>
          <w:rFonts w:ascii="仿宋" w:eastAsia="仿宋"/>
          <w:color w:val="000000"/>
          <w:sz w:val="32"/>
          <w:szCs w:val="32"/>
        </w:rPr>
      </w:pPr>
    </w:p>
    <w:p>
      <w:pPr>
        <w:snapToGrid w:val="0"/>
        <w:spacing w:line="520" w:lineRule="exact"/>
        <w:ind w:firstLineChars="200" w:firstLine="640"/>
        <w:rPr>
          <w:rFonts w:ascii="仿宋" w:eastAsia="仿宋"/>
          <w:color w:val="000000"/>
          <w:sz w:val="32"/>
          <w:szCs w:val="32"/>
        </w:rPr>
      </w:pPr>
    </w:p>
    <w:p>
      <w:pPr>
        <w:snapToGrid w:val="0"/>
        <w:spacing w:line="520" w:lineRule="exact"/>
        <w:ind w:firstLineChars="200" w:firstLine="640"/>
        <w:rPr>
          <w:rFonts w:ascii="仿宋" w:eastAsia="仿宋"/>
          <w:color w:val="000000"/>
          <w:sz w:val="32"/>
          <w:szCs w:val="32"/>
        </w:rPr>
      </w:pPr>
    </w:p>
    <w:p>
      <w:pPr>
        <w:snapToGrid w:val="0"/>
        <w:spacing w:line="520" w:lineRule="exact"/>
        <w:rPr>
          <w:rFonts w:ascii="仿宋" w:eastAsia="仿宋"/>
          <w:color w:val="000000"/>
          <w:sz w:val="32"/>
          <w:szCs w:val="32"/>
        </w:rPr>
      </w:pP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35"/>
    </w:p>
    <w:p>
      <w:pPr>
        <w:pStyle w:val="31"/>
        <w:ind w:left="420"/>
        <w:jc w:val="both"/>
        <w:rPr>
          <w:rFonts w:ascii="仿宋" w:eastAsia="仿宋"/>
          <w:b/>
          <w:sz w:val="32"/>
          <w:szCs w:val="32"/>
        </w:rPr>
      </w:pPr>
      <w:bookmarkStart w:id="36" w:name="_Toc15377213"/>
      <w:bookmarkStart w:id="37" w:name="_Toc15377444"/>
      <w:bookmarkStart w:id="38" w:name="_Toc15378460"/>
      <w:r>
        <w:rPr>
          <w:rFonts w:ascii="仿宋_GB2312"/>
          <w:sz w:val="32"/>
          <w:szCs w:val="32"/>
        </w:rPr>
        <w:t>20</w:t>
      </w:r>
      <w:r>
        <w:rPr>
          <w:rFonts w:ascii="仿宋_GB2312" w:hint="eastAsia"/>
          <w:sz w:val="32"/>
          <w:szCs w:val="32"/>
        </w:rPr>
        <w:t>22年一般公共预算财政拨款支出1283.97万元，主要用于以下方面</w:t>
      </w:r>
      <w:r>
        <w:rPr>
          <w:rFonts w:ascii="仿宋_GB2312"/>
          <w:sz w:val="32"/>
          <w:szCs w:val="32"/>
        </w:rPr>
        <w:t>:</w:t>
      </w:r>
      <w:r>
        <w:rPr>
          <w:rFonts w:ascii="仿宋_GB2312" w:hint="eastAsia"/>
          <w:color w:val="000000"/>
          <w:sz w:val="32"/>
          <w:szCs w:val="32"/>
        </w:rPr>
        <w:t xml:space="preserve"> 一般公共服务支出419.06万元，占32.63</w:t>
      </w:r>
      <w:r>
        <w:rPr>
          <w:rFonts w:ascii="仿宋_GB2312"/>
          <w:color w:val="000000"/>
          <w:sz w:val="32"/>
          <w:szCs w:val="32"/>
        </w:rPr>
        <w:t>%</w:t>
      </w:r>
      <w:r>
        <w:rPr>
          <w:rFonts w:ascii="仿宋_GB2312" w:hint="eastAsia"/>
          <w:color w:val="000000"/>
          <w:sz w:val="32"/>
          <w:szCs w:val="32"/>
        </w:rPr>
        <w:t>；社会保障和就业支出56.23万元，</w:t>
      </w:r>
      <w:r>
        <w:rPr>
          <w:rFonts w:ascii="仿宋_GB2312" w:hint="eastAsia"/>
          <w:sz w:val="32"/>
          <w:szCs w:val="32"/>
        </w:rPr>
        <w:t>占4.38</w:t>
      </w:r>
      <w:r>
        <w:rPr>
          <w:rFonts w:ascii="仿宋_GB2312"/>
          <w:sz w:val="32"/>
          <w:szCs w:val="32"/>
        </w:rPr>
        <w:t>%</w:t>
      </w:r>
      <w:r>
        <w:rPr>
          <w:rFonts w:ascii="仿宋_GB2312" w:hint="eastAsia"/>
          <w:color w:val="000000"/>
          <w:sz w:val="32"/>
          <w:szCs w:val="32"/>
        </w:rPr>
        <w:t>；农林水支出498万元</w:t>
      </w:r>
      <w:r>
        <w:rPr>
          <w:rFonts w:ascii="仿宋_GB2312" w:hint="eastAsia"/>
          <w:sz w:val="32"/>
          <w:szCs w:val="32"/>
        </w:rPr>
        <w:t>，占38.79</w:t>
      </w:r>
      <w:r>
        <w:rPr>
          <w:rFonts w:ascii="仿宋_GB2312"/>
          <w:sz w:val="32"/>
          <w:szCs w:val="32"/>
        </w:rPr>
        <w:t>%</w:t>
      </w:r>
      <w:r>
        <w:rPr>
          <w:rFonts w:ascii="仿宋_GB2312" w:hint="eastAsia"/>
          <w:sz w:val="32"/>
          <w:szCs w:val="32"/>
        </w:rPr>
        <w:t>；</w:t>
      </w:r>
      <w:r>
        <w:rPr>
          <w:rFonts w:ascii="仿宋_GB2312" w:hint="eastAsia"/>
          <w:color w:val="000000"/>
          <w:sz w:val="32"/>
          <w:szCs w:val="32"/>
        </w:rPr>
        <w:t>卫生健康支出23.82万元，</w:t>
      </w:r>
      <w:r>
        <w:rPr>
          <w:rFonts w:ascii="仿宋_GB2312" w:hint="eastAsia"/>
          <w:sz w:val="32"/>
          <w:szCs w:val="32"/>
        </w:rPr>
        <w:t>占1.86</w:t>
      </w:r>
      <w:r>
        <w:rPr>
          <w:rFonts w:ascii="仿宋_GB2312"/>
          <w:sz w:val="32"/>
          <w:szCs w:val="32"/>
        </w:rPr>
        <w:t>%</w:t>
      </w:r>
      <w:r>
        <w:rPr>
          <w:rFonts w:ascii="仿宋_GB2312" w:hint="eastAsia"/>
          <w:sz w:val="32"/>
          <w:szCs w:val="32"/>
        </w:rPr>
        <w:t>；</w:t>
      </w:r>
      <w:r>
        <w:rPr>
          <w:rFonts w:ascii="仿宋_GB2312" w:hint="eastAsia"/>
          <w:color w:val="000000"/>
          <w:sz w:val="32"/>
          <w:szCs w:val="32"/>
        </w:rPr>
        <w:t>资源勘探工业信息等支出91万元，占7.09</w:t>
      </w:r>
      <w:r>
        <w:rPr>
          <w:rFonts w:ascii="仿宋_GB2312"/>
          <w:sz w:val="32"/>
          <w:szCs w:val="32"/>
        </w:rPr>
        <w:t>%</w:t>
      </w:r>
      <w:r>
        <w:rPr>
          <w:rFonts w:ascii="仿宋_GB2312" w:hint="eastAsia"/>
          <w:sz w:val="32"/>
          <w:szCs w:val="32"/>
        </w:rPr>
        <w:t>；商业服务业等支出135.02万元，</w:t>
      </w:r>
      <w:r>
        <w:rPr>
          <w:rFonts w:ascii="仿宋_GB2312" w:hint="eastAsia"/>
          <w:color w:val="000000"/>
          <w:sz w:val="32"/>
          <w:szCs w:val="32"/>
        </w:rPr>
        <w:t>占10.52</w:t>
      </w:r>
      <w:r>
        <w:rPr>
          <w:rFonts w:ascii="仿宋_GB2312"/>
          <w:sz w:val="32"/>
          <w:szCs w:val="32"/>
        </w:rPr>
        <w:t>%</w:t>
      </w:r>
      <w:r>
        <w:rPr>
          <w:rFonts w:ascii="仿宋_GB2312" w:hint="eastAsia"/>
          <w:sz w:val="32"/>
          <w:szCs w:val="32"/>
        </w:rPr>
        <w:t>；</w:t>
      </w:r>
      <w:r>
        <w:rPr>
          <w:rFonts w:ascii="仿宋_GB2312" w:hint="eastAsia"/>
          <w:color w:val="000000"/>
          <w:sz w:val="32"/>
          <w:szCs w:val="32"/>
        </w:rPr>
        <w:t>住房保障支出31.68万元，占2.46</w:t>
      </w:r>
      <w:r>
        <w:rPr>
          <w:rFonts w:ascii="仿宋_GB2312"/>
          <w:color w:val="000000"/>
          <w:sz w:val="32"/>
          <w:szCs w:val="32"/>
        </w:rPr>
        <w:t>%</w:t>
      </w:r>
      <w:r>
        <w:rPr>
          <w:rFonts w:ascii="仿宋_GB2312" w:hint="eastAsia"/>
          <w:color w:val="000000"/>
          <w:sz w:val="32"/>
          <w:szCs w:val="32"/>
        </w:rPr>
        <w:t>；其他支出29.16万元，占2.27</w:t>
      </w:r>
      <w:r>
        <w:rPr>
          <w:rFonts w:ascii="仿宋_GB2312"/>
          <w:color w:val="000000"/>
          <w:sz w:val="32"/>
          <w:szCs w:val="32"/>
        </w:rPr>
        <w:t>%</w:t>
      </w:r>
      <w:r>
        <w:rPr>
          <w:rFonts w:ascii="仿宋_GB2312" w:hint="eastAsia"/>
          <w:color w:val="000000"/>
          <w:sz w:val="32"/>
          <w:szCs w:val="32"/>
        </w:rPr>
        <w:t>。</w:t>
      </w:r>
    </w:p>
    <w:p>
      <w:pPr>
        <w:spacing w:line="600" w:lineRule="exact"/>
        <w:outlineLvl w:val="2"/>
        <w:rPr>
          <w:rFonts w:ascii="仿宋" w:eastAsia="仿宋"/>
          <w:b/>
          <w:color w:val="000000"/>
          <w:sz w:val="32"/>
          <w:szCs w:val="32"/>
        </w:rPr>
      </w:pPr>
      <w:r>
        <w:rPr>
          <w:rFonts w:ascii="仿宋" w:eastAsia="仿宋"/>
          <w:b/>
          <w:color w:val="000000"/>
          <w:sz w:val="32"/>
          <w:szCs w:val="32"/>
        </w:rPr>
        <w:drawing>
          <wp:anchor distT="0" distB="0" distL="114300" distR="114300" simplePos="0" relativeHeight="21" behindDoc="0" locked="0" layoutInCell="1" hidden="0" allowOverlap="1">
            <wp:simplePos x="0" y="0"/>
            <wp:positionH relativeFrom="column">
              <wp:posOffset>791845</wp:posOffset>
            </wp:positionH>
            <wp:positionV relativeFrom="paragraph">
              <wp:posOffset>264160</wp:posOffset>
            </wp:positionV>
            <wp:extent cx="3838575" cy="1371600"/>
            <wp:effectExtent l="0" t="0" r="36" b="21"/>
            <wp:wrapSquare wrapText="bothSides"/>
            <wp:docPr id="16" name="图片 2"/>
            <wp:cNvGraphicFramePr>
              <a:graphicFrameLocks noChangeAspect="1"/>
            </wp:cNvGraphicFramePr>
            <a:graphic>
              <a:graphicData uri="http://schemas.openxmlformats.org/drawingml/2006/picture">
                <pic:pic>
                  <pic:nvPicPr>
                    <pic:cNvPr id="18" name="图片 2 18"/>
                    <pic:cNvPicPr/>
                  </pic:nvPicPr>
                  <pic:blipFill>
                    <a:blip r:embed="rId10"/>
                    <a:stretch>
                      <a:fillRect/>
                    </a:stretch>
                  </pic:blipFill>
                  <pic:spPr>
                    <a:xfrm rot="0">
                      <a:off x="0" y="0"/>
                      <a:ext cx="3838575" cy="1371600"/>
                    </a:xfrm>
                    <a:prstGeom prst="rect"/>
                    <a:noFill/>
                    <a:ln w="9525" cmpd="sng" cap="flat">
                      <a:noFill/>
                      <a:prstDash val="solid"/>
                      <a:miter/>
                    </a:ln>
                  </pic:spPr>
                </pic:pic>
              </a:graphicData>
            </a:graphic>
          </wp:anchor>
        </w:drawing>
      </w:r>
    </w:p>
    <w:p>
      <w:pPr>
        <w:spacing w:line="600" w:lineRule="exact"/>
        <w:ind w:firstLineChars="2600" w:firstLine="8320"/>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bookmarkStart w:id="39" w:name="_Toc15377212"/>
    </w:p>
    <w:p>
      <w:pPr>
        <w:spacing w:line="600" w:lineRule="exact"/>
        <w:outlineLvl w:val="2"/>
        <w:rPr>
          <w:rFonts w:ascii="仿宋" w:eastAsia="仿宋"/>
          <w:b/>
          <w:color w:val="000000"/>
          <w:sz w:val="32"/>
          <w:szCs w:val="32"/>
        </w:rPr>
      </w:pPr>
    </w:p>
    <w:p>
      <w:pPr>
        <w:spacing w:line="600" w:lineRule="exact"/>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r>
        <w:rPr>
          <w:rFonts w:ascii="仿宋" w:eastAsia="仿宋" w:hint="eastAsia"/>
          <w:b/>
          <w:color w:val="000000"/>
          <w:sz w:val="32"/>
          <w:szCs w:val="32"/>
        </w:rPr>
        <w:t>（三）一般公共预算财政拨款支出决算具体情况</w:t>
      </w:r>
      <w:bookmarkEnd w:id="39"/>
    </w:p>
    <w:p>
      <w:pPr>
        <w:spacing w:line="600" w:lineRule="exact"/>
        <w:outlineLvl w:val="2"/>
        <w:rPr>
          <w:rFonts w:ascii="仿宋_GB2312" w:eastAsia="仿宋_GB2312"/>
          <w:b/>
          <w:bCs/>
          <w:sz w:val="32"/>
          <w:szCs w:val="32"/>
        </w:rPr>
      </w:pPr>
      <w:r>
        <w:rPr>
          <w:rFonts w:ascii="仿宋" w:eastAsia="仿宋" w:hint="eastAsia"/>
          <w:bCs/>
          <w:sz w:val="32"/>
          <w:szCs w:val="32"/>
        </w:rPr>
        <w:t xml:space="preserve">    </w:t>
      </w:r>
      <w:r>
        <w:rPr>
          <w:rFonts w:ascii="仿宋_GB2312" w:eastAsia="仿宋_GB2312" w:hint="eastAsia"/>
          <w:bCs/>
          <w:sz w:val="32"/>
          <w:szCs w:val="32"/>
        </w:rPr>
        <w:t>2022年一般公共预算数为357.78万元，支出决算数为</w:t>
      </w:r>
      <w:r>
        <w:rPr>
          <w:rFonts w:ascii="仿宋_GB2312" w:hAnsi="仿宋_GB2312" w:hint="eastAsia"/>
          <w:color w:val="000000"/>
          <w:sz w:val="32"/>
          <w:szCs w:val="32"/>
        </w:rPr>
        <w:t>占1283.97</w:t>
      </w:r>
      <w:r>
        <w:rPr>
          <w:rFonts w:ascii="仿宋_GB2312" w:eastAsia="仿宋_GB2312" w:hint="eastAsia"/>
          <w:bCs/>
          <w:sz w:val="32"/>
          <w:szCs w:val="32"/>
        </w:rPr>
        <w:t>万元，完</w:t>
      </w:r>
      <w:r>
        <w:rPr>
          <w:rStyle w:val="23"/>
          <w:rFonts w:ascii="仿宋_GB2312" w:eastAsia="仿宋_GB2312" w:hint="eastAsia"/>
          <w:b w:val="0"/>
          <w:bCs/>
          <w:sz w:val="32"/>
          <w:szCs w:val="32"/>
        </w:rPr>
        <w:t>成预算358.87%，2021年结转结余0万元。其中：</w:t>
      </w:r>
      <w:bookmarkEnd w:id="36"/>
      <w:bookmarkEnd w:id="37"/>
      <w:bookmarkEnd w:id="38"/>
    </w:p>
    <w:p>
      <w:pPr>
        <w:spacing w:line="600" w:lineRule="exact"/>
        <w:ind w:firstLine="640"/>
        <w:rPr>
          <w:rFonts w:ascii="宋体"/>
          <w:sz w:val="32"/>
          <w:szCs w:val="32"/>
        </w:rPr>
      </w:pPr>
      <w:bookmarkStart w:id="40" w:name="_Toc15377214"/>
      <w:bookmarkStart w:id="41" w:name="_Toc15396608"/>
      <w:r>
        <w:rPr>
          <w:rStyle w:val="23"/>
          <w:rFonts w:ascii="宋体" w:hint="eastAsia"/>
          <w:sz w:val="32"/>
          <w:szCs w:val="32"/>
        </w:rPr>
        <w:t>1.一般公共服务:</w:t>
      </w:r>
    </w:p>
    <w:p>
      <w:pPr>
        <w:ind w:firstLineChars="200" w:firstLine="640"/>
        <w:rPr>
          <w:rFonts w:ascii="宋体" w:cs="Arial"/>
          <w:kern w:val="0"/>
          <w:sz w:val="22"/>
          <w:szCs w:val="22"/>
        </w:rPr>
      </w:pPr>
      <w:r>
        <w:rPr>
          <w:rFonts w:ascii="仿宋_GB2312" w:eastAsia="仿宋_GB2312" w:hint="eastAsia"/>
          <w:sz w:val="32"/>
          <w:szCs w:val="32"/>
        </w:rPr>
        <w:t>一般公共服务201（类）发展与改革事务04（款）行政运行01（项）：2022年决算数为277.48万元，比预算增加61.24%，决算数大于预算数的主要原因是人员工资调整。</w:t>
      </w:r>
    </w:p>
    <w:p>
      <w:pPr>
        <w:ind w:firstLineChars="200" w:firstLine="640"/>
        <w:rPr>
          <w:rFonts w:ascii="宋体" w:cs="Arial"/>
          <w:kern w:val="0"/>
          <w:sz w:val="22"/>
          <w:szCs w:val="22"/>
        </w:rPr>
      </w:pPr>
      <w:r>
        <w:rPr>
          <w:rFonts w:ascii="仿宋_GB2312" w:eastAsia="仿宋_GB2312" w:hint="eastAsia"/>
          <w:color w:val="000000"/>
          <w:sz w:val="32"/>
          <w:szCs w:val="32"/>
        </w:rPr>
        <w:t>一般公共服务201（类）发展与改革事务04（款）事业运行50（项）：2022年决算数为141.58万元，</w:t>
      </w:r>
      <w:r>
        <w:rPr>
          <w:rFonts w:ascii="仿宋_GB2312" w:eastAsia="仿宋_GB2312" w:hint="eastAsia"/>
          <w:sz w:val="32"/>
          <w:szCs w:val="32"/>
        </w:rPr>
        <w:t>比预算增加69.59%，决算数大于预算数的主要原因是人员工资调整。</w:t>
      </w:r>
    </w:p>
    <w:p>
      <w:pPr>
        <w:spacing w:line="600" w:lineRule="exact"/>
        <w:ind w:firstLineChars="200" w:firstLine="640"/>
        <w:rPr>
          <w:rStyle w:val="23"/>
          <w:rFonts w:ascii="宋体"/>
          <w:sz w:val="32"/>
          <w:szCs w:val="32"/>
        </w:rPr>
      </w:pPr>
      <w:r>
        <w:rPr>
          <w:rStyle w:val="23"/>
          <w:rFonts w:ascii="宋体" w:hint="eastAsia"/>
          <w:sz w:val="32"/>
          <w:szCs w:val="32"/>
        </w:rPr>
        <w:t>2.社会保障和就业:</w:t>
      </w:r>
    </w:p>
    <w:p>
      <w:pPr>
        <w:spacing w:line="600" w:lineRule="exact"/>
        <w:ind w:firstLine="640"/>
        <w:rPr>
          <w:rFonts w:ascii="仿宋_GB2312" w:eastAsia="仿宋_GB2312"/>
          <w:sz w:val="32"/>
          <w:szCs w:val="32"/>
        </w:rPr>
      </w:pPr>
      <w:r>
        <w:rPr>
          <w:rFonts w:ascii="仿宋_GB2312" w:eastAsia="仿宋_GB2312" w:hint="eastAsia"/>
          <w:color w:val="000000"/>
          <w:sz w:val="32"/>
          <w:szCs w:val="32"/>
        </w:rPr>
        <w:t>社会保障和就业208（类）行政事业单位离退休05（款）机关事业单位基本养老保险缴费支出05（项）：2022年决算数为37.48</w:t>
      </w:r>
      <w:r>
        <w:rPr>
          <w:rFonts w:ascii="仿宋_GB2312" w:eastAsia="仿宋_GB2312" w:hint="eastAsia"/>
          <w:sz w:val="32"/>
          <w:szCs w:val="32"/>
        </w:rPr>
        <w:t>万元，比预算增加6.67%；决算数大于预算数的主要原因是缴费基数调整增加。</w:t>
      </w:r>
    </w:p>
    <w:p>
      <w:pPr>
        <w:spacing w:line="600" w:lineRule="exact"/>
        <w:ind w:firstLine="640"/>
        <w:rPr>
          <w:rFonts w:ascii="仿宋_GB2312" w:eastAsia="仿宋_GB2312"/>
          <w:color w:val="FF0000"/>
          <w:sz w:val="32"/>
          <w:szCs w:val="32"/>
        </w:rPr>
      </w:pPr>
      <w:r>
        <w:rPr>
          <w:rFonts w:ascii="仿宋_GB2312" w:eastAsia="仿宋_GB2312" w:hint="eastAsia"/>
          <w:color w:val="000000"/>
          <w:sz w:val="32"/>
          <w:szCs w:val="32"/>
        </w:rPr>
        <w:t>社会保障和就业208（类）行政事业单位离退休05（款）机关事业单位职业年金缴费支出06（项）：2022年决算数为</w:t>
      </w:r>
      <w:r>
        <w:rPr>
          <w:rFonts w:ascii="仿宋_GB2312" w:eastAsia="仿宋_GB2312" w:hint="eastAsia"/>
          <w:sz w:val="32"/>
          <w:szCs w:val="32"/>
        </w:rPr>
        <w:t>18.74万元，比预算增加6.84%，决算数大于预算数的主要原因是缴费基数调整。</w:t>
      </w:r>
    </w:p>
    <w:p>
      <w:pPr>
        <w:spacing w:line="600" w:lineRule="exact"/>
        <w:ind w:firstLineChars="200" w:firstLine="640"/>
        <w:rPr>
          <w:rStyle w:val="23"/>
          <w:rFonts w:ascii="宋体"/>
          <w:color w:val="000000"/>
          <w:sz w:val="32"/>
          <w:szCs w:val="32"/>
        </w:rPr>
      </w:pPr>
      <w:r>
        <w:rPr>
          <w:rStyle w:val="23"/>
          <w:rFonts w:ascii="宋体" w:hint="eastAsia"/>
          <w:color w:val="000000"/>
          <w:sz w:val="32"/>
          <w:szCs w:val="32"/>
        </w:rPr>
        <w:t>3. 卫生健康支出：</w:t>
      </w:r>
    </w:p>
    <w:p>
      <w:pPr>
        <w:spacing w:line="600" w:lineRule="exact"/>
        <w:ind w:firstLine="640"/>
        <w:rPr>
          <w:rFonts w:ascii="仿宋_GB2312" w:eastAsia="仿宋_GB2312"/>
          <w:color w:val="FF0000"/>
          <w:sz w:val="32"/>
          <w:szCs w:val="32"/>
        </w:rPr>
      </w:pPr>
      <w:r>
        <w:rPr>
          <w:rFonts w:ascii="仿宋_GB2312" w:eastAsia="仿宋_GB2312" w:hint="eastAsia"/>
          <w:color w:val="000000"/>
          <w:sz w:val="32"/>
          <w:szCs w:val="32"/>
        </w:rPr>
        <w:t>卫生健康支出210（类）医疗保障11（款）行政单位医疗01</w:t>
      </w:r>
      <w:r>
        <w:rPr>
          <w:rFonts w:ascii="仿宋_GB2312" w:eastAsia="仿宋_GB2312" w:hint="eastAsia"/>
          <w:sz w:val="32"/>
          <w:szCs w:val="32"/>
        </w:rPr>
        <w:t>（项）：2022年决算数为10.92万元，比预算增加6.01%，决算数大于预算数的主要原因是缴费基数调整。</w:t>
      </w:r>
    </w:p>
    <w:p>
      <w:pPr>
        <w:spacing w:line="600" w:lineRule="exact"/>
        <w:ind w:firstLine="640"/>
        <w:rPr>
          <w:rFonts w:ascii="仿宋_GB2312" w:eastAsia="仿宋_GB2312"/>
          <w:color w:val="FF0000"/>
          <w:sz w:val="32"/>
          <w:szCs w:val="32"/>
        </w:rPr>
      </w:pPr>
      <w:r>
        <w:rPr>
          <w:rFonts w:ascii="仿宋_GB2312" w:eastAsia="仿宋_GB2312" w:hint="eastAsia"/>
          <w:color w:val="000000"/>
          <w:sz w:val="32"/>
          <w:szCs w:val="32"/>
        </w:rPr>
        <w:t>卫生健康支出210（类）医疗保障11（款）事业单位医疗02（项）：2022年决算数为5.42万元，</w:t>
      </w:r>
      <w:r>
        <w:rPr>
          <w:rFonts w:ascii="仿宋_GB2312" w:eastAsia="仿宋_GB2312" w:hint="eastAsia"/>
          <w:sz w:val="32"/>
          <w:szCs w:val="32"/>
        </w:rPr>
        <w:t>比预算增加7.11%，决算数大于预算数的主要原因是缴费基数调整。</w:t>
      </w:r>
    </w:p>
    <w:p>
      <w:pPr>
        <w:spacing w:line="600" w:lineRule="exact"/>
        <w:ind w:firstLine="640"/>
        <w:rPr>
          <w:rFonts w:ascii="仿宋_GB2312" w:eastAsia="仿宋_GB2312"/>
          <w:sz w:val="32"/>
          <w:szCs w:val="32"/>
        </w:rPr>
      </w:pPr>
      <w:r>
        <w:rPr>
          <w:rFonts w:ascii="仿宋_GB2312" w:eastAsia="仿宋_GB2312" w:hint="eastAsia"/>
          <w:color w:val="000000"/>
          <w:sz w:val="32"/>
          <w:szCs w:val="32"/>
        </w:rPr>
        <w:t>卫生健康支出210（类）医疗保障11（款）公务员医疗补助03（项）：2022年决</w:t>
      </w:r>
      <w:r>
        <w:rPr>
          <w:rFonts w:ascii="仿宋_GB2312" w:eastAsia="仿宋_GB2312" w:hint="eastAsia"/>
          <w:sz w:val="32"/>
          <w:szCs w:val="32"/>
        </w:rPr>
        <w:t>算数为5.93万元，比预算增加53.09%，决算数大于预算数的主要原因是缴费基数调整。</w:t>
      </w:r>
    </w:p>
    <w:p>
      <w:pPr>
        <w:spacing w:line="600" w:lineRule="exact"/>
        <w:ind w:firstLine="640"/>
        <w:rPr>
          <w:rFonts w:ascii="仿宋_GB2312" w:eastAsia="仿宋_GB2312"/>
          <w:sz w:val="32"/>
          <w:szCs w:val="32"/>
        </w:rPr>
      </w:pPr>
      <w:r>
        <w:rPr>
          <w:rFonts w:ascii="仿宋_GB2312" w:eastAsia="仿宋_GB2312" w:hint="eastAsia"/>
          <w:color w:val="000000"/>
          <w:sz w:val="32"/>
          <w:szCs w:val="32"/>
        </w:rPr>
        <w:t>卫生健康支出210（类）医疗保障11（款）其他行政事业单位医疗支出99（项）：2022年决算数为1.52万元，</w:t>
      </w:r>
      <w:r>
        <w:rPr>
          <w:rFonts w:ascii="仿宋_GB2312" w:eastAsia="仿宋_GB2312" w:hint="eastAsia"/>
          <w:sz w:val="32"/>
          <w:szCs w:val="32"/>
        </w:rPr>
        <w:t>比预算减少7.87%，决算数小于预算数的主要原因是缴费基数调整。</w:t>
      </w:r>
    </w:p>
    <w:p>
      <w:pPr>
        <w:spacing w:line="600" w:lineRule="exact"/>
        <w:ind w:firstLine="640"/>
        <w:rPr>
          <w:rFonts w:ascii="仿宋" w:eastAsia="仿宋"/>
          <w:color w:val="000000"/>
          <w:sz w:val="32"/>
          <w:szCs w:val="32"/>
        </w:rPr>
      </w:pPr>
      <w:r>
        <w:rPr>
          <w:rFonts w:ascii="宋体" w:hint="eastAsia"/>
          <w:b/>
          <w:color w:val="000000"/>
          <w:sz w:val="32"/>
          <w:szCs w:val="32"/>
        </w:rPr>
        <w:t>4.农林水支出：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农林水支出213（类）扶贫05（款）农村基础设施建设04（项）：2022年决算数为498万元，本年无预算数，决算数大于预算数的主要原因是此项资金属于本年上级财政安排项目资金，未纳入部门预算。</w:t>
      </w:r>
    </w:p>
    <w:p>
      <w:pPr>
        <w:spacing w:line="600" w:lineRule="exact"/>
        <w:ind w:firstLineChars="200" w:firstLine="640"/>
        <w:rPr>
          <w:rStyle w:val="23"/>
          <w:rFonts w:ascii="宋体"/>
          <w:color w:val="000000"/>
          <w:sz w:val="32"/>
          <w:szCs w:val="32"/>
        </w:rPr>
      </w:pPr>
      <w:r>
        <w:rPr>
          <w:rStyle w:val="23"/>
          <w:rFonts w:ascii="宋体" w:hint="eastAsia"/>
          <w:color w:val="000000"/>
          <w:sz w:val="32"/>
          <w:szCs w:val="32"/>
        </w:rPr>
        <w:t>5.</w:t>
      </w:r>
      <w:r>
        <w:rPr>
          <w:rFonts w:hint="eastAsia"/>
        </w:rPr>
        <w:t xml:space="preserve"> </w:t>
      </w:r>
      <w:r>
        <w:rPr>
          <w:rStyle w:val="23"/>
          <w:rFonts w:ascii="宋体" w:hint="eastAsia"/>
          <w:color w:val="000000"/>
          <w:sz w:val="32"/>
          <w:szCs w:val="32"/>
        </w:rPr>
        <w:t>资源勘探工业信息等支出：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资源勘探工业信息等支出215（类）制造业02（款）其他制造业支出99（项）：2022年决算数为63万元，本年无预算数，决算数大于预算数的主要原因是此项资金属于上级财政安排项目资金，未纳入部门预算。</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资源勘探工业信息等支出215（类）工业和信息产业监管05（款）无线电及信息通信监管99（项）：2021年决算数为3万元，本年无预算数，决算数大于预算数的主要原因是此项资金属于上级财政安排项目资金，未纳入部门预算。</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资源勘探工业信息等支出215（类）其他资源勘探工业信息等支出99（款）其他资源勘探业支出99（项）：2022年决算数为25万元，本年无预算数，决算数大于预算数的主要原因是此项资金属于上级财政安排项目资金，未纳入部门预算。</w:t>
      </w:r>
    </w:p>
    <w:p>
      <w:pPr>
        <w:spacing w:line="600" w:lineRule="exact"/>
        <w:ind w:firstLineChars="200" w:firstLine="640"/>
        <w:rPr>
          <w:rStyle w:val="23"/>
          <w:rFonts w:ascii="宋体"/>
          <w:color w:val="000000"/>
          <w:sz w:val="32"/>
          <w:szCs w:val="32"/>
        </w:rPr>
      </w:pPr>
      <w:r>
        <w:rPr>
          <w:rStyle w:val="23"/>
          <w:rFonts w:ascii="宋体" w:hint="eastAsia"/>
          <w:color w:val="000000"/>
          <w:sz w:val="32"/>
          <w:szCs w:val="32"/>
        </w:rPr>
        <w:t>6.</w:t>
      </w:r>
      <w:r>
        <w:rPr>
          <w:rFonts w:hint="eastAsia"/>
        </w:rPr>
        <w:t xml:space="preserve"> </w:t>
      </w:r>
      <w:r>
        <w:rPr>
          <w:rStyle w:val="23"/>
          <w:rFonts w:ascii="宋体" w:hint="eastAsia"/>
          <w:color w:val="000000"/>
          <w:sz w:val="32"/>
          <w:szCs w:val="32"/>
        </w:rPr>
        <w:t>商业服务业等支出：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商业服务业等支出215（类）商业流通事务02（款）其他商业流通事务支出99（项）：2022年决算数为130.02万元，本年无预算数，决算数大于预算数的主要原因是此项资金属于上级财政安排项目资金，未纳入部门预算。</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商业服务业等支出215（类）其他商业服务业等支出99（款）  其他商业流通事务支出99（项）：2022年决算数为130.02万元，本年无预算数，决算数大于预算数的主要原因是此项资金属于上级财政安排项目资金，未纳入部门预算。</w:t>
      </w:r>
    </w:p>
    <w:p>
      <w:pPr>
        <w:spacing w:line="600" w:lineRule="exact"/>
        <w:ind w:firstLineChars="200" w:firstLine="640"/>
        <w:rPr>
          <w:rStyle w:val="23"/>
          <w:rFonts w:ascii="宋体"/>
          <w:color w:val="000000"/>
          <w:sz w:val="32"/>
          <w:szCs w:val="32"/>
        </w:rPr>
      </w:pPr>
      <w:r>
        <w:rPr>
          <w:rStyle w:val="23"/>
          <w:rFonts w:ascii="宋体" w:hint="eastAsia"/>
          <w:color w:val="000000"/>
          <w:sz w:val="32"/>
          <w:szCs w:val="32"/>
        </w:rPr>
        <w:t>7.住房保障支出:</w:t>
      </w:r>
    </w:p>
    <w:p>
      <w:pPr>
        <w:spacing w:line="600" w:lineRule="exact"/>
        <w:ind w:firstLine="640"/>
        <w:rPr>
          <w:rFonts w:ascii="仿宋_GB2312" w:eastAsia="仿宋_GB2312"/>
          <w:sz w:val="32"/>
          <w:szCs w:val="32"/>
        </w:rPr>
      </w:pPr>
      <w:r>
        <w:rPr>
          <w:rFonts w:ascii="仿宋_GB2312" w:eastAsia="仿宋_GB2312" w:hint="eastAsia"/>
          <w:color w:val="000000"/>
          <w:sz w:val="32"/>
          <w:szCs w:val="32"/>
        </w:rPr>
        <w:t>住房保障支出221（类）住房改革支出02（款）住房公</w:t>
      </w:r>
      <w:r>
        <w:rPr>
          <w:rFonts w:ascii="仿宋_GB2312" w:eastAsia="仿宋_GB2312" w:hint="eastAsia"/>
          <w:sz w:val="32"/>
          <w:szCs w:val="32"/>
        </w:rPr>
        <w:t>积金01（项）：2022年决算数为31.68万元，比预算增加22.85%，决算数大于预算数的主要原因是住房公积金基数调整。</w:t>
      </w:r>
    </w:p>
    <w:p>
      <w:pPr>
        <w:spacing w:line="600" w:lineRule="exact"/>
        <w:ind w:firstLineChars="200" w:firstLine="640"/>
        <w:rPr>
          <w:rStyle w:val="23"/>
          <w:rFonts w:ascii="宋体"/>
          <w:color w:val="000000"/>
          <w:sz w:val="32"/>
          <w:szCs w:val="32"/>
        </w:rPr>
      </w:pPr>
      <w:r>
        <w:rPr>
          <w:rStyle w:val="23"/>
          <w:rFonts w:ascii="宋体" w:hint="eastAsia"/>
          <w:color w:val="000000"/>
          <w:sz w:val="32"/>
          <w:szCs w:val="32"/>
        </w:rPr>
        <w:t>8.其他支出：</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其他支出229（类）其他支出99（款）其他支出01（项）： 2022年决算数为29.16万元，本年无预算数，决算数大于预算数的主要原因是此资金属于本级财政追加资金，未纳入部门预算。</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rPr>
        <w:t>般公共预算财政拨款基本支出决算情况说明</w:t>
      </w:r>
      <w:bookmarkEnd w:id="40"/>
      <w:bookmarkEnd w:id="41"/>
      <w:r>
        <w:rPr>
          <w:rStyle w:val="2Char"/>
          <w:rFonts w:ascii="黑体" w:eastAsia="黑体"/>
        </w:rPr>
        <w:tab/>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2022年度一般公共预算财政拨款基本支出530.79万元，其中：</w:t>
      </w:r>
    </w:p>
    <w:p>
      <w:pPr>
        <w:spacing w:line="600" w:lineRule="exact"/>
        <w:ind w:firstLine="645"/>
        <w:rPr>
          <w:rFonts w:ascii="仿宋_GB2312" w:eastAsia="仿宋_GB2312"/>
          <w:color w:val="000000"/>
          <w:sz w:val="32"/>
          <w:szCs w:val="32"/>
        </w:rPr>
      </w:pPr>
      <w:r>
        <w:rPr>
          <w:rFonts w:ascii="仿宋_GB2312" w:eastAsia="仿宋_GB2312" w:hint="eastAsia"/>
          <w:color w:val="000000"/>
          <w:sz w:val="32"/>
          <w:szCs w:val="32"/>
        </w:rPr>
        <w:t>人员经费484.03万元，主要包括：基本工资102.49万元、津贴补贴82.74万元、绩效工资24.91万元、奖金81.42万元、机关事业单位基本养老保险缴费37.48万元、职业年金缴费18.74万元、其他社会保障缴费2.46万元、职工基本医疗保险缴费16.35万元、公务员医疗补助5.94万元、奖励金57.54万元、住房公积金31.68万元、生活补助22.28万元。</w:t>
      </w:r>
    </w:p>
    <w:p>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公用经费46.76万元，主要包括：办公费14.99万元、电费1.5万元、邮电费4.1万元、差旅费17.68万元、公务用车运行维护费8.49万元。</w:t>
      </w:r>
    </w:p>
    <w:p>
      <w:pPr>
        <w:spacing w:line="600" w:lineRule="exact"/>
        <w:ind w:firstLineChars="200" w:firstLine="640"/>
        <w:outlineLvl w:val="1"/>
        <w:rPr>
          <w:rStyle w:val="2Char"/>
          <w:rFonts w:ascii="黑体" w:eastAsia="黑体"/>
          <w:b w:val="0"/>
        </w:rPr>
      </w:pPr>
      <w:bookmarkStart w:id="42" w:name="_Toc15377215"/>
      <w:bookmarkStart w:id="43" w:name="_Toc15396609"/>
      <w:r>
        <w:rPr>
          <w:rFonts w:ascii="黑体" w:eastAsia="黑体" w:hint="eastAsia"/>
          <w:color w:val="000000"/>
          <w:sz w:val="32"/>
          <w:szCs w:val="32"/>
        </w:rPr>
        <w:t>七、</w:t>
      </w:r>
      <w:r>
        <w:rPr>
          <w:rStyle w:val="2Char"/>
          <w:rFonts w:ascii="黑体" w:eastAsia="黑体" w:hint="eastAsia"/>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_GB2312" w:cs="Arial" w:hAnsi="仿宋_GB2312"/>
          <w:sz w:val="32"/>
          <w:szCs w:val="32"/>
        </w:rPr>
      </w:pPr>
      <w:bookmarkStart w:id="45" w:name="_Toc15377217"/>
      <w:r>
        <w:rPr>
          <w:rFonts w:ascii="仿宋_GB2312" w:eastAsia="仿宋_GB2312" w:hint="eastAsia"/>
          <w:sz w:val="32"/>
          <w:szCs w:val="32"/>
        </w:rPr>
        <w:t>2022年度“三公”经费财政拨款支出决算为8.5万元，完成预算的100%，预算数8.5万元，决算数8.5万元，决算数与预算数一致，原因是厉行节俭，各项费用减少。</w:t>
      </w:r>
    </w:p>
    <w:p>
      <w:pPr>
        <w:spacing w:line="600" w:lineRule="exact"/>
        <w:ind w:firstLine="640"/>
        <w:outlineLvl w:val="2"/>
        <w:rPr>
          <w:rFonts w:ascii="仿宋" w:eastAsia="仿宋"/>
          <w:b/>
          <w:color w:val="000000"/>
          <w:sz w:val="32"/>
          <w:szCs w:val="32"/>
        </w:rPr>
      </w:pPr>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2022年度“三公”经费财政拨款支出决算中，因公出国（境）费支出决算0万元，占0%；公务用车购置及运行维护费支出决算8.5万元，占100%；公务接待费支出决算0万元，占0%。具体情况如下：</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1.因公出国（境）经费支出0万元</w:t>
      </w:r>
      <w:r>
        <w:rPr>
          <w:rFonts w:ascii="仿宋_GB2312" w:eastAsia="仿宋_GB2312" w:hint="eastAsia"/>
          <w:color w:val="000000"/>
          <w:sz w:val="32"/>
          <w:szCs w:val="32"/>
        </w:rPr>
        <w:t>。全年安排因公出国（境）团组0次，出国（境）0人。开支内容包括：无（团组名称、出访地点、取得成效）等。</w:t>
      </w:r>
    </w:p>
    <w:p>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因公出国（境）支出决算比2021年增加/减少0万元，增长/下降0%，预算数与决算数一致，主要原因是我单位无人员因公出国（境）。</w:t>
      </w:r>
    </w:p>
    <w:p>
      <w:pPr>
        <w:spacing w:line="600" w:lineRule="exact"/>
        <w:ind w:firstLineChars="200" w:firstLine="640"/>
        <w:rPr>
          <w:rFonts w:ascii="仿宋_GB2312" w:eastAsia="仿宋_GB2312"/>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公务用车购置及运行维护费支出0万元</w:t>
      </w:r>
      <w:r>
        <w:rPr>
          <w:rFonts w:ascii="仿宋_GB2312" w:eastAsia="仿宋_GB2312" w:hint="eastAsia"/>
          <w:color w:val="000000"/>
          <w:sz w:val="32"/>
          <w:szCs w:val="32"/>
        </w:rPr>
        <w:t>。其中：</w:t>
      </w:r>
    </w:p>
    <w:p>
      <w:pPr>
        <w:spacing w:line="600" w:lineRule="exact"/>
        <w:ind w:firstLineChars="200" w:firstLine="640"/>
        <w:rPr>
          <w:rFonts w:ascii="仿宋_GB2312" w:eastAsia="仿宋_GB2312"/>
          <w:b/>
          <w:color w:val="000000"/>
          <w:sz w:val="32"/>
          <w:szCs w:val="32"/>
        </w:rPr>
      </w:pPr>
      <w:r>
        <w:rPr>
          <w:rFonts w:ascii="仿宋_GB2312" w:eastAsia="仿宋_GB2312" w:hint="eastAsia"/>
          <w:b/>
          <w:color w:val="000000"/>
          <w:sz w:val="32"/>
          <w:szCs w:val="32"/>
        </w:rPr>
        <w:t>公务用车购置支出0万元。</w:t>
      </w:r>
      <w:r>
        <w:rPr>
          <w:rFonts w:ascii="仿宋_GB2312" w:eastAsia="仿宋_GB2312" w:hint="eastAsia"/>
          <w:color w:val="000000"/>
          <w:sz w:val="32"/>
          <w:szCs w:val="32"/>
        </w:rPr>
        <w:t>全年按规定更新购置公务用车0辆，其中：轿车0辆、金额0万元，越野车0辆、金额0万元，载客汽车0辆、金额0万元。截至2022年12月底，单位共有公务用车1辆，其中：轿车0辆、越野车1辆、载客汽车0辆。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公务用车运行维护费支出8.5万元。</w:t>
      </w:r>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rPr>
        <w:t>公务用车购置及运行维护费支出决算数比2021年增加8.5万元。主要原因是上年借用其他单位车辆1辆，将公务用车运行维护费调到其他交通费用支出；预算数为8.5万元，决算数与预算数一致。</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3.公务接待费支出0万元。</w:t>
      </w:r>
      <w:r>
        <w:rPr>
          <w:rFonts w:ascii="仿宋_GB2312" w:eastAsia="仿宋_GB2312" w:hint="eastAsia"/>
          <w:color w:val="000000"/>
          <w:sz w:val="32"/>
          <w:szCs w:val="32"/>
        </w:rPr>
        <w:t>主要用于执行公务、开展业务活动开支的交通费、住宿费、用餐费等。国内公务接待0批次，0人次（不包括陪同人员），共计支出0万元，具体内容包括：无（接待具体项目、金额）。其中：外事接待0批次，0人，共计支出0万元，主要用于接待无。</w:t>
      </w:r>
    </w:p>
    <w:p>
      <w:pPr>
        <w:ind w:firstLine="709"/>
        <w:rPr>
          <w:rFonts w:ascii="仿宋_GB2312" w:eastAsia="仿宋_GB2312" w:cs="仿宋"/>
          <w:color w:val="FF0000"/>
          <w:sz w:val="32"/>
          <w:szCs w:val="32"/>
        </w:rPr>
      </w:pPr>
      <w:r>
        <w:rPr>
          <w:rFonts w:ascii="仿宋_GB2312" w:eastAsia="仿宋_GB2312" w:hint="eastAsia"/>
          <w:color w:val="000000"/>
          <w:sz w:val="32"/>
          <w:szCs w:val="32"/>
        </w:rPr>
        <w:t>公务接待费0万元，支出决算与2021年一致，无增加减少，预算数为0万元，预决算数一致，主要原因是坚持厉行节约，努力降低行政成本，减少了开支。</w:t>
      </w:r>
    </w:p>
    <w:p>
      <w:pPr>
        <w:spacing w:line="600" w:lineRule="exact"/>
        <w:ind w:firstLine="640"/>
        <w:outlineLvl w:val="1"/>
        <w:rPr>
          <w:rStyle w:val="2Char"/>
          <w:rFonts w:ascii="黑体" w:eastAsia="黑体"/>
        </w:rPr>
      </w:pPr>
      <w:bookmarkStart w:id="46" w:name="_Toc15377218"/>
      <w:bookmarkStart w:id="47" w:name="_Toc15396610"/>
      <w:r>
        <w:rPr>
          <w:rFonts w:ascii="黑体" w:eastAsia="黑体" w:hint="eastAsia"/>
          <w:color w:val="000000"/>
          <w:sz w:val="32"/>
          <w:szCs w:val="32"/>
        </w:rPr>
        <w:t>八、</w:t>
      </w:r>
      <w:r>
        <w:rPr>
          <w:rStyle w:val="2Char"/>
          <w:rFonts w:ascii="黑体" w:eastAsia="黑体" w:hint="eastAsia"/>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22年政府性基金预算拨款支出0万元。</w:t>
      </w:r>
    </w:p>
    <w:p>
      <w:pPr>
        <w:numPr>
          <w:ilvl w:val="0"/>
          <w:numId w:val="1"/>
        </w:numPr>
        <w:tabs>
          <w:tab w:val="left" w:pos="0"/>
        </w:tabs>
        <w:spacing w:line="600" w:lineRule="exact"/>
        <w:ind w:left="0" w:firstLine="640"/>
        <w:outlineLvl w:val="1"/>
        <w:rPr>
          <w:rStyle w:val="2Char"/>
          <w:rFonts w:ascii="黑体" w:eastAsia="黑体"/>
          <w:b w:val="0"/>
        </w:rPr>
      </w:pPr>
      <w:bookmarkStart w:id="48" w:name="_Toc15396611"/>
      <w:bookmarkStart w:id="49" w:name="_Toc15377219"/>
      <w:r>
        <w:rPr>
          <w:rStyle w:val="2Char"/>
          <w:rFonts w:ascii="黑体" w:eastAsia="黑体" w:hint="eastAsia"/>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22年国有资本经营预算拨款支出0万元。</w:t>
      </w:r>
    </w:p>
    <w:p>
      <w:pPr>
        <w:spacing w:line="600" w:lineRule="exact"/>
        <w:ind w:firstLineChars="200" w:firstLine="640"/>
        <w:outlineLvl w:val="1"/>
        <w:rPr>
          <w:rStyle w:val="2Char"/>
          <w:rFonts w:ascii="黑体" w:eastAsia="黑体"/>
        </w:rPr>
      </w:pPr>
      <w:r>
        <w:rPr>
          <w:rFonts w:ascii="黑体" w:eastAsia="黑体" w:hint="eastAsia"/>
          <w:color w:val="000000"/>
          <w:sz w:val="32"/>
          <w:szCs w:val="32"/>
        </w:rPr>
        <w:t>十</w:t>
      </w:r>
      <w:r>
        <w:rPr>
          <w:rStyle w:val="2Char"/>
          <w:rFonts w:ascii="黑体" w:eastAsia="黑体" w:hint="eastAsia"/>
        </w:rPr>
        <w:t>、其他重要事项的情况说明</w:t>
      </w:r>
    </w:p>
    <w:p>
      <w:pPr>
        <w:spacing w:line="600" w:lineRule="exact"/>
        <w:ind w:firstLineChars="200" w:firstLine="640"/>
        <w:outlineLvl w:val="2"/>
        <w:rPr>
          <w:rFonts w:ascii="仿宋" w:eastAsia="仿宋"/>
          <w:color w:val="000000"/>
          <w:sz w:val="32"/>
          <w:szCs w:val="32"/>
        </w:rPr>
      </w:pPr>
      <w:bookmarkStart w:id="50" w:name="_Toc15377222"/>
      <w:r>
        <w:rPr>
          <w:rFonts w:ascii="仿宋" w:eastAsia="仿宋" w:hint="eastAsia"/>
          <w:b/>
          <w:color w:val="000000"/>
          <w:sz w:val="32"/>
          <w:szCs w:val="32"/>
        </w:rPr>
        <w:t>（一）机关运行经费支出情况</w:t>
      </w:r>
      <w:bookmarkEnd w:id="50"/>
    </w:p>
    <w:p>
      <w:pPr>
        <w:spacing w:line="600" w:lineRule="exact"/>
        <w:ind w:firstLine="640"/>
        <w:rPr>
          <w:rFonts w:ascii="仿宋_GB2312" w:eastAsia="仿宋_GB2312"/>
          <w:color w:val="000000"/>
          <w:sz w:val="32"/>
          <w:szCs w:val="32"/>
        </w:rPr>
      </w:pPr>
      <w:bookmarkStart w:id="51" w:name="_Toc15377223"/>
      <w:r>
        <w:rPr>
          <w:rFonts w:ascii="仿宋_GB2312" w:eastAsia="仿宋_GB2312" w:hint="eastAsia"/>
          <w:color w:val="000000"/>
          <w:sz w:val="32"/>
          <w:szCs w:val="32"/>
        </w:rPr>
        <w:t>2022年度，行政单位机关运行经费支出36.2万元，比2021年增加14.79万元，增加69.05%，主要原因是本年业务繁重，工作量增加，各项费用增加。</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（二）政府采购支出情况</w:t>
      </w:r>
      <w:bookmarkEnd w:id="51"/>
    </w:p>
    <w:p>
      <w:pPr>
        <w:spacing w:line="600" w:lineRule="exact"/>
        <w:ind w:firstLineChars="200" w:firstLine="640"/>
        <w:rPr>
          <w:rFonts w:ascii="仿宋_GB2312" w:eastAsia="仿宋_GB2312"/>
          <w:color w:val="000000"/>
          <w:sz w:val="32"/>
          <w:szCs w:val="32"/>
        </w:rPr>
      </w:pPr>
      <w:bookmarkStart w:id="52" w:name="_Toc15377224"/>
      <w:r>
        <w:rPr>
          <w:rFonts w:ascii="仿宋_GB2312" w:eastAsia="仿宋_GB2312" w:hint="eastAsia"/>
          <w:color w:val="000000"/>
          <w:sz w:val="32"/>
          <w:szCs w:val="32"/>
        </w:rPr>
        <w:t>2022年度，行政单位政府采购支出总额0万元，其中：政府采购货物支出0万元、政府采购工程支出0万元、政府采购服务支出0万元</w:t>
      </w:r>
      <w:r>
        <w:rPr>
          <w:rFonts w:ascii="仿宋_GB2312" w:eastAsia="仿宋_GB2312" w:hint="eastAsia"/>
          <w:sz w:val="32"/>
          <w:szCs w:val="32"/>
        </w:rPr>
        <w:t>。</w:t>
      </w:r>
      <w:r>
        <w:rPr>
          <w:rFonts w:ascii="仿宋_GB2312" w:eastAsia="仿宋_GB2312" w:hint="eastAsia"/>
          <w:color w:val="000000"/>
          <w:sz w:val="32"/>
          <w:szCs w:val="32"/>
        </w:rPr>
        <w:t>授予中小企业合同金额0万元，占政府采购支出总额的0%，其中：授予小微企业合同金额0万元，占政府采购支出总额的0%。</w:t>
      </w:r>
    </w:p>
    <w:p>
      <w:pPr>
        <w:autoSpaceDE w:val="0"/>
        <w:autoSpaceDN w:val="0"/>
        <w:adjustRightInd w:val="0"/>
        <w:spacing w:line="600" w:lineRule="exact"/>
        <w:ind w:firstLineChars="200" w:firstLine="640"/>
        <w:jc w:val="left"/>
        <w:outlineLvl w:val="2"/>
        <w:rPr>
          <w:rFonts w:ascii="仿宋" w:eastAsia="仿宋"/>
          <w:b/>
          <w:color w:val="000000"/>
          <w:sz w:val="32"/>
          <w:szCs w:val="32"/>
        </w:rPr>
      </w:pPr>
      <w:r>
        <w:rPr>
          <w:rFonts w:ascii="仿宋" w:eastAsia="仿宋" w:hint="eastAsia"/>
          <w:b/>
          <w:color w:val="000000"/>
          <w:sz w:val="32"/>
          <w:szCs w:val="32"/>
        </w:rPr>
        <w:t>（三）国有资产占有使用情况</w:t>
      </w:r>
      <w:bookmarkEnd w:id="52"/>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2022年12月31日，我单位共有车辆1辆，其中：部级领导干部用车0辆、一般公务用车0辆、一般执法执勤用车0辆、特种专业技术用车0辆、其他用车1辆；单价50万元以上通用设备0台（套），单价100万元以上专用设备0台（套），其他固定资产31.61万元。</w:t>
      </w:r>
    </w:p>
    <w:p>
      <w:pPr>
        <w:spacing w:line="580" w:lineRule="exact"/>
        <w:ind w:firstLineChars="200" w:firstLine="640"/>
        <w:rPr>
          <w:rFonts w:ascii="仿宋" w:eastAsia="仿宋" w:cs="楷体_GB2312"/>
          <w:b/>
          <w:bCs/>
          <w:sz w:val="32"/>
          <w:szCs w:val="32"/>
        </w:rPr>
      </w:pPr>
      <w:bookmarkStart w:id="53" w:name="_Toc15377221"/>
      <w:bookmarkStart w:id="54" w:name="_Toc15396612"/>
      <w:r>
        <w:rPr>
          <w:rFonts w:ascii="仿宋" w:eastAsia="仿宋" w:cs="楷体_GB2312" w:hint="eastAsia"/>
          <w:b/>
          <w:bCs/>
          <w:sz w:val="32"/>
          <w:szCs w:val="32"/>
        </w:rPr>
        <w:t>（四）预算绩效管理工作开展情况。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根据预算绩效管理要求，我单位在年初预算编制阶段，组织对项目开展了预算事前绩效评估，对2022年项目编制了绩效目标，本部门按要求对2022年部门整体支出开展绩效自评，</w:t>
      </w:r>
      <w:r>
        <w:rPr>
          <w:rFonts w:ascii="仿宋_GB2312" w:eastAsia="仿宋_GB2312" w:hint="eastAsia"/>
          <w:sz w:val="32"/>
          <w:szCs w:val="32"/>
        </w:rPr>
        <w:t>经全面综合评价，我单位预算支出绩效自评合格。我单位努力提升本单位绩效预算管理业务水平。主动公开绩效结果，加大资金使用效率，提升政府管理水平。及时告知各股室部门预算及项目支出进度</w:t>
      </w:r>
      <w:r>
        <w:rPr>
          <w:rFonts w:ascii="仿宋_GB2312" w:eastAsia="仿宋_GB2312" w:cs="仿宋_GB2312" w:hint="eastAsia"/>
          <w:sz w:val="32"/>
          <w:szCs w:val="32"/>
        </w:rPr>
        <w:t>。</w:t>
      </w:r>
    </w:p>
    <w:p>
      <w:pPr>
        <w:spacing w:line="580" w:lineRule="exact"/>
        <w:ind w:firstLineChars="200" w:firstLine="640"/>
        <w:rPr>
          <w:rFonts w:ascii="仿宋" w:eastAsia="仿宋" w:cs="楷体_GB2312"/>
          <w:b/>
          <w:bCs/>
          <w:sz w:val="32"/>
          <w:szCs w:val="32"/>
        </w:rPr>
      </w:pPr>
      <w:r>
        <w:rPr>
          <w:rFonts w:ascii="仿宋" w:eastAsia="仿宋" w:cs="楷体_GB2312" w:hint="eastAsia"/>
          <w:b/>
          <w:bCs/>
          <w:sz w:val="32"/>
          <w:szCs w:val="32"/>
        </w:rPr>
        <w:t>1.执行管理情况。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按照县财政的要求，及时分月、分季度上报相应计划，待财政审核通过后，严格按计划执行，各季度执行情况良好。</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（1）行政运转保障。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我局财政拨款支出主要用于保障部门机构正常运转、完成日常工作任务以及承担本乡发展相关工作。基本支出，是用于保障单位正常运转的日常支出，包括基本工资、津贴补贴等人员经费以及办公费、印刷费、水电费、公务用车运行维护费等日常公用经费。</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（2）机关厉行节约。</w:t>
      </w:r>
    </w:p>
    <w:p>
      <w:pPr>
        <w:spacing w:line="580" w:lineRule="exact"/>
        <w:ind w:firstLineChars="200" w:firstLine="640"/>
        <w:rPr>
          <w:rFonts w:ascii="仿宋_GB2312" w:hAnsi="仿宋_GB2312"/>
          <w:sz w:val="32"/>
          <w:szCs w:val="32"/>
        </w:rPr>
      </w:pPr>
      <w:r>
        <w:rPr>
          <w:rFonts w:ascii="仿宋_GB2312" w:eastAsia="仿宋_GB2312" w:cs="仿宋_GB2312" w:hint="eastAsia"/>
          <w:sz w:val="32"/>
          <w:szCs w:val="32"/>
        </w:rPr>
        <w:t>2022年预算安排因公出国（境）经费0万元,公务接待费安排0万元；安排公务用车运行维护费8.5万元</w:t>
      </w:r>
      <w:r>
        <w:rPr>
          <w:rFonts w:ascii="仿宋_GB2312" w:eastAsia="仿宋_GB2312" w:hint="eastAsia"/>
          <w:color w:val="000000"/>
          <w:sz w:val="32"/>
          <w:szCs w:val="32"/>
        </w:rPr>
        <w:t>。</w:t>
      </w:r>
      <w:r>
        <w:rPr>
          <w:rFonts w:ascii="仿宋_GB2312" w:eastAsia="仿宋_GB2312" w:cs="仿宋_GB2312" w:hint="eastAsia"/>
          <w:sz w:val="32"/>
          <w:szCs w:val="32"/>
        </w:rPr>
        <w:t>“三公经费”严格执行厉行节约的</w:t>
      </w:r>
      <w:r>
        <w:rPr>
          <w:rFonts w:ascii="仿宋_GB2312" w:hAnsi="仿宋_GB2312" w:hint="eastAsia"/>
          <w:sz w:val="32"/>
          <w:szCs w:val="32"/>
        </w:rPr>
        <w:t>要求。</w:t>
      </w:r>
    </w:p>
    <w:p>
      <w:pPr>
        <w:pStyle w:val="30"/>
        <w:spacing w:line="520" w:lineRule="exact"/>
        <w:jc w:val="both"/>
        <w:rPr>
          <w:rFonts w:ascii="仿宋_GB2312"/>
          <w:sz w:val="32"/>
          <w:szCs w:val="32"/>
        </w:rPr>
      </w:pPr>
      <w:r>
        <w:rPr>
          <w:rFonts w:ascii="仿宋_GB2312" w:hint="eastAsia"/>
          <w:sz w:val="32"/>
          <w:szCs w:val="32"/>
        </w:rPr>
        <w:t>（3）机关节能降耗。</w:t>
      </w:r>
    </w:p>
    <w:p>
      <w:pPr>
        <w:pStyle w:val="30"/>
        <w:spacing w:line="520" w:lineRule="exact"/>
        <w:jc w:val="both"/>
        <w:rPr>
          <w:rFonts w:ascii="仿宋_GB2312"/>
          <w:color w:val="000000"/>
          <w:sz w:val="32"/>
          <w:szCs w:val="32"/>
        </w:rPr>
      </w:pPr>
      <w:r>
        <w:rPr>
          <w:rFonts w:ascii="仿宋_GB2312" w:hint="eastAsia"/>
          <w:sz w:val="32"/>
          <w:szCs w:val="32"/>
        </w:rPr>
        <w:t>严格按照勤俭节约的原则，节约用水用电，严格控制水、电、气、燃油费用支出，</w:t>
      </w:r>
      <w:r>
        <w:rPr>
          <w:rFonts w:ascii="仿宋_GB2312" w:hint="eastAsia"/>
          <w:color w:val="000000"/>
          <w:sz w:val="32"/>
          <w:szCs w:val="32"/>
        </w:rPr>
        <w:t>2022年电费1.5万元、取暖费0万元，与上年一致。</w:t>
      </w:r>
    </w:p>
    <w:p>
      <w:pPr>
        <w:spacing w:line="580" w:lineRule="exact"/>
        <w:ind w:firstLineChars="200" w:firstLine="640"/>
        <w:rPr>
          <w:rFonts w:ascii="仿宋" w:eastAsia="仿宋" w:cs="楷体_GB2312"/>
          <w:b/>
          <w:bCs/>
          <w:sz w:val="32"/>
          <w:szCs w:val="32"/>
        </w:rPr>
      </w:pPr>
      <w:r>
        <w:rPr>
          <w:rFonts w:ascii="仿宋" w:eastAsia="仿宋" w:cs="楷体_GB2312" w:hint="eastAsia"/>
          <w:b/>
          <w:bCs/>
          <w:sz w:val="32"/>
          <w:szCs w:val="32"/>
        </w:rPr>
        <w:t>2.综合管理情况。</w:t>
      </w:r>
    </w:p>
    <w:p>
      <w:pPr>
        <w:pStyle w:val="30"/>
        <w:spacing w:line="520" w:lineRule="exact"/>
        <w:jc w:val="both"/>
        <w:rPr>
          <w:rFonts w:ascii="仿宋_GB2312"/>
          <w:sz w:val="32"/>
          <w:szCs w:val="32"/>
        </w:rPr>
      </w:pPr>
      <w:r>
        <w:rPr>
          <w:rFonts w:ascii="仿宋_GB2312"/>
          <w:sz w:val="32"/>
          <w:szCs w:val="32"/>
        </w:rPr>
        <w:t>建立健全了资金分配规程和各项财务管理制度，成立了财务审核中心，制定了财务报账审批制度，修订完善了会议费、公务接待费、差旅报销管理办法。由专人进行会计核算和财务管理，严格执行政府采购制度，做到先申报后采购，按流程办理。严格执行因公出国（境）、公务接待和公务用车购置及运行维护政策规定</w:t>
      </w:r>
      <w:r>
        <w:rPr>
          <w:rFonts w:ascii="仿宋_GB2312" w:hint="eastAsia"/>
          <w:sz w:val="32"/>
          <w:szCs w:val="32"/>
        </w:rPr>
        <w:t>，</w:t>
      </w:r>
      <w:r>
        <w:rPr>
          <w:rFonts w:ascii="仿宋_GB2312"/>
          <w:sz w:val="32"/>
          <w:szCs w:val="32"/>
        </w:rPr>
        <w:t>较好地完成了部门预决算工作，严格按照进度执行预算，各项指标完成较好，实现了良好的社会效益，达到了预期目标</w:t>
      </w:r>
      <w:r>
        <w:rPr>
          <w:rFonts w:ascii="仿宋_GB2312" w:hint="eastAsia"/>
          <w:sz w:val="32"/>
          <w:szCs w:val="32"/>
        </w:rPr>
        <w:t>。</w:t>
      </w:r>
    </w:p>
    <w:p>
      <w:pPr>
        <w:pStyle w:val="30"/>
        <w:spacing w:line="520" w:lineRule="exact"/>
        <w:jc w:val="both"/>
        <w:rPr>
          <w:rFonts w:ascii="仿宋_GB2312"/>
          <w:sz w:val="32"/>
          <w:szCs w:val="32"/>
        </w:rPr>
      </w:pPr>
      <w:r>
        <w:rPr>
          <w:rFonts w:ascii="仿宋_GB2312" w:hint="eastAsia"/>
          <w:sz w:val="32"/>
          <w:szCs w:val="32"/>
        </w:rPr>
        <w:t>（1）内部控制建设和实施情况。我单位成立了行政事业单位内部控制规范实施、协调领导小组，负责贯彻实施内控工作方案、协调解决重大事项、监督指导工作开展。合理保证经济活动合规合法，有效规范单位预算管理、收支管理、政府采购、资产管理、建设项目、合同控制等各类经济活动；合理保证资产安全和使用有效，坚持所有权与使用权相分离的原则，确保资产的安全完整和有效使用；合理保证财务信息真实完整，强化财务信息分析和结果运用，为外部监管和内部管理提供信息支持；有效防范舞弊和预防腐败，科学运用内部控制的原理和方法，强化内部监督，建立反腐败、反舞弊的长效机制；有效提高公共服务的效率和效果。</w:t>
      </w:r>
    </w:p>
    <w:p>
      <w:pPr>
        <w:pStyle w:val="30"/>
        <w:spacing w:line="520" w:lineRule="exact"/>
        <w:jc w:val="both"/>
        <w:rPr>
          <w:rFonts w:ascii="仿宋_GB2312"/>
          <w:sz w:val="32"/>
          <w:szCs w:val="32"/>
        </w:rPr>
      </w:pPr>
      <w:r>
        <w:rPr>
          <w:rFonts w:ascii="仿宋_GB2312" w:hint="eastAsia"/>
          <w:sz w:val="32"/>
          <w:szCs w:val="32"/>
        </w:rPr>
        <w:t>（2）财务票据管理情况。我局票据由专门的报账员（出纳）管理，未出现转账、出借票据的情况，无擅自销毁票据及代开票据的现象，无票据串用、混用或伪造、变造的情况；督促本单位职工办理公务卡，并严格执行公务卡消费相关规定。</w:t>
      </w:r>
    </w:p>
    <w:p>
      <w:pPr>
        <w:pStyle w:val="30"/>
        <w:spacing w:line="520" w:lineRule="exact"/>
        <w:jc w:val="both"/>
        <w:rPr>
          <w:rFonts w:ascii="仿宋_GB2312"/>
          <w:sz w:val="32"/>
          <w:szCs w:val="32"/>
        </w:rPr>
      </w:pPr>
      <w:r>
        <w:rPr>
          <w:rFonts w:ascii="仿宋_GB2312" w:hint="eastAsia"/>
          <w:sz w:val="32"/>
          <w:szCs w:val="32"/>
        </w:rPr>
        <w:t>（3）信息公开情况。严格按照上级要求，提供真实有效的预决算资料，并在政府门户网进行预决算公开。</w:t>
      </w:r>
    </w:p>
    <w:p>
      <w:pPr>
        <w:pStyle w:val="30"/>
        <w:spacing w:line="520" w:lineRule="exact"/>
        <w:jc w:val="both"/>
        <w:rPr>
          <w:rFonts w:ascii="仿宋_GB2312"/>
          <w:sz w:val="32"/>
          <w:szCs w:val="32"/>
        </w:rPr>
      </w:pPr>
      <w:r>
        <w:rPr>
          <w:rFonts w:ascii="仿宋_GB2312" w:hint="eastAsia"/>
          <w:sz w:val="32"/>
          <w:szCs w:val="32"/>
        </w:rPr>
        <w:t>（4）行政事业单位国有资产管理、使用和处置情况。严格按照资产管理规定，对资产进行登记，无违规进行购置、处置的情况。</w:t>
      </w:r>
    </w:p>
    <w:p>
      <w:pPr>
        <w:pStyle w:val="30"/>
        <w:spacing w:line="520" w:lineRule="exact"/>
        <w:jc w:val="both"/>
        <w:rPr>
          <w:rFonts w:ascii="仿宋_GB2312"/>
          <w:sz w:val="32"/>
          <w:szCs w:val="32"/>
        </w:rPr>
      </w:pPr>
      <w:r>
        <w:rPr>
          <w:rFonts w:ascii="仿宋_GB2312" w:hint="eastAsia"/>
          <w:sz w:val="32"/>
          <w:szCs w:val="32"/>
        </w:rPr>
        <w:t>（5）政府采购管理情况。严格按照政府采购管理规定，不存在无预算采购及超预算采购。</w:t>
      </w:r>
    </w:p>
    <w:p>
      <w:pPr>
        <w:pStyle w:val="30"/>
        <w:spacing w:line="440" w:lineRule="exact"/>
        <w:jc w:val="both"/>
        <w:rPr>
          <w:rFonts w:ascii="仿宋_GB2312"/>
          <w:sz w:val="32"/>
          <w:szCs w:val="32"/>
        </w:rPr>
      </w:pPr>
      <w:r>
        <w:rPr>
          <w:rFonts w:ascii="仿宋_GB2312" w:hint="eastAsia"/>
          <w:sz w:val="32"/>
          <w:szCs w:val="32"/>
        </w:rPr>
        <w:t>（6）</w:t>
      </w:r>
      <w:r>
        <w:rPr>
          <w:rFonts w:ascii="仿宋_GB2312" w:hint="eastAsia"/>
          <w:sz w:val="32"/>
          <w:szCs w:val="32"/>
        </w:rPr>
        <w:fldChar w:fldCharType="begin"/>
      </w:r>
      <w:r>
        <w:instrText>HYPERLINK "http://www.gwyoo.com/lunwen/jjgl/caiwu/"</w:instrText>
      </w:r>
      <w:r>
        <w:rPr>
          <w:rFonts w:ascii="仿宋_GB2312" w:hint="eastAsia"/>
          <w:sz w:val="32"/>
          <w:szCs w:val="32"/>
        </w:rPr>
        <w:fldChar w:fldCharType="separate"/>
      </w:r>
      <w:r>
        <w:rPr>
          <w:rFonts w:ascii="仿宋_GB2312" w:hint="eastAsia"/>
          <w:sz w:val="32"/>
          <w:szCs w:val="32"/>
        </w:rPr>
        <w:t>财务</w:t>
      </w:r>
      <w:r>
        <w:rPr>
          <w:rFonts w:ascii="仿宋_GB2312" w:hint="eastAsia"/>
          <w:sz w:val="32"/>
          <w:szCs w:val="32"/>
        </w:rPr>
        <w:fldChar w:fldCharType="end"/>
      </w:r>
      <w:r>
        <w:rPr>
          <w:rFonts w:ascii="仿宋_GB2312" w:hint="eastAsia"/>
          <w:sz w:val="32"/>
          <w:szCs w:val="32"/>
        </w:rPr>
        <w:fldChar w:fldCharType="begin"/>
      </w:r>
      <w:r>
        <w:instrText>HYPERLINK "http://www.gwyoo.com/lunwen/jxztlw/kjjxlw/"</w:instrText>
      </w:r>
      <w:r>
        <w:rPr>
          <w:rFonts w:ascii="仿宋_GB2312" w:hint="eastAsia"/>
          <w:sz w:val="32"/>
          <w:szCs w:val="32"/>
        </w:rPr>
        <w:fldChar w:fldCharType="separate"/>
      </w:r>
      <w:r>
        <w:rPr>
          <w:rFonts w:ascii="仿宋_GB2312" w:hint="eastAsia"/>
          <w:sz w:val="32"/>
          <w:szCs w:val="32"/>
        </w:rPr>
        <w:t>会计</w:t>
      </w:r>
      <w:r>
        <w:rPr>
          <w:rFonts w:ascii="仿宋_GB2312" w:hint="eastAsia"/>
          <w:sz w:val="32"/>
          <w:szCs w:val="32"/>
        </w:rPr>
        <w:fldChar w:fldCharType="end"/>
      </w:r>
      <w:r>
        <w:rPr>
          <w:rFonts w:ascii="仿宋_GB2312" w:hint="eastAsia"/>
          <w:sz w:val="32"/>
          <w:szCs w:val="32"/>
        </w:rPr>
        <w:t>管理情况。严格执行“收支两条线”的财务管理规定，严格执行“双签”</w:t>
      </w:r>
      <w:r>
        <w:rPr>
          <w:rFonts w:ascii="仿宋_GB2312" w:hint="eastAsia"/>
          <w:sz w:val="32"/>
          <w:szCs w:val="32"/>
        </w:rPr>
        <w:fldChar w:fldCharType="begin"/>
      </w:r>
      <w:r>
        <w:instrText>HYPERLINK "http://www.gwyoo.com/article/shijicailiao/gzzd/"</w:instrText>
      </w:r>
      <w:r>
        <w:rPr>
          <w:rFonts w:ascii="仿宋_GB2312" w:hint="eastAsia"/>
          <w:sz w:val="32"/>
          <w:szCs w:val="32"/>
        </w:rPr>
        <w:fldChar w:fldCharType="separate"/>
      </w:r>
      <w:r>
        <w:rPr>
          <w:rFonts w:ascii="仿宋_GB2312" w:hint="eastAsia"/>
          <w:sz w:val="32"/>
          <w:szCs w:val="32"/>
        </w:rPr>
        <w:t>制度</w:t>
      </w:r>
      <w:r>
        <w:rPr>
          <w:rFonts w:ascii="仿宋_GB2312" w:hint="eastAsia"/>
          <w:sz w:val="32"/>
          <w:szCs w:val="32"/>
        </w:rPr>
        <w:fldChar w:fldCharType="end"/>
      </w:r>
      <w:r>
        <w:rPr>
          <w:rFonts w:ascii="仿宋_GB2312" w:hint="eastAsia"/>
          <w:sz w:val="32"/>
          <w:szCs w:val="32"/>
        </w:rPr>
        <w:t>，即分管领导和部门负责人双签，严把财务程序，要求财务人员对于不合理、不规范的票据坚决不予入账，会计资料真实完整，会计核算合格。</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3.</w:t>
      </w:r>
      <w:r>
        <w:rPr>
          <w:rFonts w:ascii="仿宋" w:eastAsia="仿宋" w:cs="楷体_GB2312" w:hint="eastAsia"/>
          <w:b/>
          <w:bCs/>
          <w:sz w:val="32"/>
          <w:szCs w:val="32"/>
        </w:rPr>
        <w:t>项目绩效目标完成情况。</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本部门在2022年度部门决算中反映以2022年工代赈项目等项目绩效目标实际完成情况。</w:t>
      </w:r>
    </w:p>
    <w:p>
      <w:pPr>
        <w:spacing w:line="576" w:lineRule="exact"/>
        <w:ind w:firstLineChars="200" w:firstLine="640"/>
        <w:jc w:val="left"/>
        <w:rPr>
          <w:rFonts w:ascii="仿宋_GB2312" w:eastAsia="仿宋_GB2312" w:cs="仿宋_GB2312"/>
          <w:sz w:val="32"/>
          <w:szCs w:val="32"/>
        </w:rPr>
      </w:pPr>
      <w:r>
        <w:rPr>
          <w:rFonts w:ascii="仿宋_GB2312" w:eastAsia="仿宋_GB2312" w:cs="仿宋_GB2312"/>
          <w:sz w:val="32"/>
          <w:szCs w:val="32"/>
        </w:rPr>
        <w:t xml:space="preserve"> “</w:t>
      </w:r>
      <w:r>
        <w:rPr>
          <w:rFonts w:ascii="仿宋_GB2312" w:eastAsia="仿宋_GB2312" w:cs="仿宋_GB2312" w:hint="eastAsia"/>
          <w:sz w:val="32"/>
          <w:szCs w:val="32"/>
        </w:rPr>
        <w:t>2022年以工代赈示范工程</w:t>
      </w:r>
      <w:r>
        <w:rPr>
          <w:rFonts w:ascii="仿宋_GB2312" w:eastAsia="仿宋_GB2312" w:cs="仿宋_GB2312"/>
          <w:sz w:val="32"/>
          <w:szCs w:val="32"/>
        </w:rPr>
        <w:t>”</w:t>
      </w:r>
      <w:r>
        <w:rPr>
          <w:rFonts w:ascii="仿宋_GB2312" w:eastAsia="仿宋_GB2312" w:cs="仿宋_GB2312" w:hint="eastAsia"/>
          <w:sz w:val="32"/>
          <w:szCs w:val="32"/>
        </w:rPr>
        <w:t>项目绩效目标完成情况综述。项目全年预算数3980000元，执行数为3980000元，完成预算的100%。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29"/>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(2022年度)</w:t>
            </w:r>
          </w:p>
        </w:tc>
      </w:tr>
      <w:tr>
        <w:trPr>
          <w:trHeight w:val="407"/>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仿宋_GB2312" w:hint="eastAsia"/>
                <w:sz w:val="24"/>
              </w:rPr>
              <w:t>2021年以工代赈示范工程</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金川县发改经信局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398万元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398万元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398万元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398万元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spacing w:line="576" w:lineRule="exact"/>
              <w:ind w:firstLineChars="200" w:firstLine="560"/>
              <w:jc w:val="left"/>
              <w:rPr>
                <w:rFonts w:ascii="宋体" w:eastAsia="宋体" w:cs="仿宋_GB2312"/>
                <w:sz w:val="32"/>
                <w:szCs w:val="32"/>
              </w:rPr>
            </w:pPr>
            <w:r>
              <w:rPr>
                <w:rFonts w:ascii="宋体" w:eastAsia="宋体" w:cs="仿宋_GB2312" w:hint="eastAsia"/>
                <w:sz w:val="28"/>
                <w:szCs w:val="28"/>
              </w:rPr>
              <w:t>曾达乡以工代赈项目建设</w:t>
            </w:r>
            <w:r>
              <w:rPr>
                <w:rFonts w:ascii="宋体" w:eastAsia="宋体" w:cs="仿宋_GB2312" w:hint="eastAsia"/>
                <w:sz w:val="32"/>
                <w:szCs w:val="32"/>
              </w:rPr>
              <w:t>。</w:t>
            </w:r>
          </w:p>
          <w:p>
            <w:pPr>
              <w:widowControl/>
              <w:jc w:val="left"/>
              <w:textAlignment w:val="center"/>
              <w:rPr>
                <w:rFonts w:ascii="宋体" w:eastAsia="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仿宋_GB2312" w:hint="eastAsia"/>
                <w:sz w:val="24"/>
              </w:rPr>
              <w:t>以工代赈示范工程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1个乡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1个乡</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rPr>
            </w:pPr>
            <w:r>
              <w:rPr>
                <w:rFonts w:ascii="宋体" w:eastAsia="宋体" w:cs="宋体" w:hint="eastAsia"/>
                <w:color w:val="000000"/>
                <w:sz w:val="24"/>
              </w:rPr>
              <w:t>2022年12月31日前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spacing w:line="576" w:lineRule="exact"/>
              <w:ind w:firstLineChars="200" w:firstLine="560"/>
              <w:jc w:val="left"/>
              <w:rPr>
                <w:rFonts w:ascii="宋体" w:eastAsia="宋体" w:cs="仿宋_GB2312"/>
                <w:sz w:val="32"/>
                <w:szCs w:val="32"/>
              </w:rPr>
            </w:pPr>
            <w:r>
              <w:rPr>
                <w:rFonts w:ascii="宋体" w:eastAsia="宋体" w:cs="仿宋_GB2312" w:hint="eastAsia"/>
                <w:sz w:val="28"/>
                <w:szCs w:val="28"/>
              </w:rPr>
              <w:t>曾达乡以工代赈项目建设</w:t>
            </w:r>
            <w:r>
              <w:rPr>
                <w:rFonts w:ascii="宋体" w:eastAsia="宋体" w:cs="仿宋_GB2312" w:hint="eastAsia"/>
                <w:sz w:val="32"/>
                <w:szCs w:val="32"/>
              </w:rPr>
              <w:t>。</w:t>
            </w:r>
          </w:p>
          <w:p>
            <w:pPr>
              <w:widowControl/>
              <w:jc w:val="center"/>
              <w:textAlignment w:val="center"/>
              <w:rPr>
                <w:rFonts w:ascii="宋体" w:eastAsia="宋体" w:cs="宋体"/>
                <w:color w:val="000000"/>
                <w:sz w:val="24"/>
              </w:rPr>
            </w:pP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各类等费用控制在398万元以内</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398万元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76" w:lineRule="exact"/>
        <w:ind w:firstLineChars="200" w:firstLine="640"/>
        <w:jc w:val="left"/>
        <w:rPr>
          <w:rFonts w:ascii="仿宋" w:eastAsia="仿宋" w:cs="仿宋_GB2312"/>
          <w:sz w:val="32"/>
          <w:szCs w:val="32"/>
        </w:rPr>
      </w:pPr>
      <w:r>
        <w:rPr>
          <w:rFonts w:ascii="仿宋" w:eastAsia="仿宋" w:cs="楷体_GB2312" w:hint="eastAsia"/>
          <w:b/>
          <w:bCs/>
          <w:sz w:val="32"/>
          <w:szCs w:val="32"/>
        </w:rPr>
        <w:t>4.部门开展绩效评价结果。</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本部门按要求对2022年部门整体支出绩效评价情况开展自评，自评结果合格。</w:t>
      </w:r>
    </w:p>
    <w:p>
      <w:pPr>
        <w:autoSpaceDE w:val="0"/>
        <w:autoSpaceDN w:val="0"/>
        <w:adjustRightInd w:val="0"/>
        <w:spacing w:line="600" w:lineRule="exact"/>
        <w:ind w:firstLineChars="200" w:firstLine="640"/>
        <w:jc w:val="left"/>
        <w:rPr>
          <w:rFonts w:ascii="仿宋" w:eastAsia="仿宋"/>
          <w:color w:val="000000"/>
          <w:sz w:val="32"/>
          <w:szCs w:val="32"/>
        </w:rPr>
      </w:pPr>
      <w:bookmarkEnd w:id="53"/>
      <w:bookmarkEnd w:id="54"/>
      <w:r>
        <w:rPr>
          <w:rFonts w:ascii="仿宋_GB2312" w:eastAsia="仿宋_GB2312" w:hint="eastAsia"/>
          <w:b/>
          <w:color w:val="000000"/>
          <w:sz w:val="32"/>
          <w:szCs w:val="32"/>
        </w:rPr>
        <w:t xml:space="preserve">  </w:t>
      </w:r>
    </w:p>
    <w:p>
      <w:pPr>
        <w:numPr>
          <w:ilvl w:val="0"/>
          <w:numId w:val="2"/>
        </w:numPr>
        <w:spacing w:line="600" w:lineRule="exact"/>
        <w:ind w:left="284" w:firstLineChars="150" w:firstLine="660"/>
        <w:jc w:val="center"/>
        <w:outlineLvl w:val="0"/>
        <w:rPr>
          <w:rStyle w:val="1Char"/>
          <w:rFonts w:ascii="黑体" w:eastAsia="黑体"/>
        </w:rPr>
      </w:pPr>
      <w:bookmarkStart w:id="55" w:name="_Toc15377225"/>
      <w:bookmarkStart w:id="56" w:name="_Toc15396613"/>
      <w:r>
        <w:rPr>
          <w:rStyle w:val="1Char"/>
          <w:rFonts w:ascii="黑体" w:eastAsia="黑体" w:hint="eastAsia"/>
        </w:rPr>
        <w:t>名词解释</w:t>
      </w:r>
      <w:bookmarkStart w:id="57" w:name="_Toc15396614"/>
      <w:bookmarkStart w:id="58" w:name="_Toc15377226"/>
      <w:bookmarkEnd w:id="55"/>
      <w:bookmarkEnd w:id="56"/>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1.财政拨款收入：指单位从同级财政部门取得的财政预算资金。</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 xml:space="preserve">2.其他收入：指除上述“财政拨款收入”、“事业收入”、“经营收入”等以外的收入。主要是利息收入。 </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 xml:space="preserve">3.年初结转和结余：指以前年度尚未完成、结转到本年按有关规定继续使用的资金。 </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4.一般公共服务201发展与改革事务04行政运行01：指反映行政单位（包括实行公务员管理的事业支出）。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5.一般公共服务201发展与改革事务04事业运行50：反映事业单位的基本支出，不包括行政单位（包括实行公务员管理的事业单位）后勤服务中心、医务室等附属事业单位。</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6.社会保障和就业208行政事业单位离退休05机关事业单位基本养老保险缴费支出05：指机关事业单位实施养老保险制度由单位缴纳的基本养老保险费支出。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7.社会保障和就业208行政事业单位离退休05机关事业单位职业年金缴费支出06：指机关事业单位实施养老保险制度由单位缴纳的职业年金支出。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8.</w:t>
      </w:r>
      <w:r>
        <w:rPr>
          <w:rFonts w:hint="eastAsia"/>
        </w:rPr>
        <w:t xml:space="preserve"> </w:t>
      </w:r>
      <w:r>
        <w:rPr>
          <w:rFonts w:ascii="仿宋" w:eastAsia="仿宋" w:hint="eastAsia"/>
          <w:color w:val="000000"/>
          <w:sz w:val="32"/>
          <w:szCs w:val="32"/>
        </w:rPr>
        <w:t>卫生健康支出210行政事业单位医疗11行政单位医疗01：指反映财政部门集中安排的行政单位基本医疗保险缴费经费，未参加医疗保险的行政单位的公费医疗经费，按国家规定享受离休人员、红军老战士待遇人员的医疗经费。</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7.</w:t>
      </w:r>
      <w:r>
        <w:rPr>
          <w:rFonts w:hint="eastAsia"/>
        </w:rPr>
        <w:t xml:space="preserve"> </w:t>
      </w:r>
      <w:r>
        <w:rPr>
          <w:rFonts w:ascii="仿宋" w:eastAsia="仿宋" w:hint="eastAsia"/>
          <w:color w:val="000000"/>
          <w:sz w:val="32"/>
          <w:szCs w:val="32"/>
        </w:rPr>
        <w:t>卫生健康支出210行政事业单位医疗11事业单位医疗02：反映财政部门安排的事业单位基本医疗保险缴费，未参加医疗保险的事业单位的公费医疗经费，按国家规定享受离休人员待遇的医疗经费。</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8. 卫生健康支出210行政事业单位医疗11事业单位医疗03：反映财政部门安排的公务员医疗补助经费。</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9. 卫生健康支出210行政事业单位医疗11其他行政事业单位医疗支出99：反映除上述项目以外的其他用于行政事业单位医疗方面的支出。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10.农林水支出213扶贫05农村基础设施建设04：反映其他用于扶贫方面的支出。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11.资源勘探信息等支出215其他制造业支出02其他资源勘探信息等支出99：反映其他用于制造业方面的支出。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12. 资源勘探信息等支出215工业和信息产业监管05无线电监管08：反映无线电监管方方面的支出。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13.资源勘探信息等支出215其他资源勘探信息等支出99其他资源勘探信息等支出99：反映其他用于资源勘探信息等方面的支出。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14.商业服务业等支出216其他商业服务业等支出99其他商业服务业等支出99：反映其他商业服务业等支出中的其他支出。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15.商业服务业等支出216商业流通事务02其他商业流通事务支出99：反映其他用于商流通事务方面的支出。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16.住房保障支出221住房改革支出02住房公积金01：指反映行政事业单位按人力资源和社会保障部、财政部规定的基本工资和津贴补贴以及规定比例为职工缴纳的住房公积金。</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17.其他支出229其他支出99其他支出01：指其他不能划分到具体功能科目中的支出项目。</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18.其他支出229其他政府性基金及对应专项债务收入安排的支出04其他政府性基金及对应专项债务收入安排的支出99：指其他不能划分到政府性基金及对应专项债务收入安排功能科目中的支出项目。</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19.年末结转和结余：指本年度或以前年度预算安排、因客观条件发生变化无法按原计划实施，需延迟到以后年度按有关规定继续使用的资金。</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20.基本支出：指为保障机构正常运转、完成日常工作任务而发生的人员支出和公用支出。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21.项目支出：指在基本支出之外为完成特定行政任务和事业发展目标所发生的支出。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22.经营支出：指事业单位在专业业务活动及其辅助活动之外开展非独立核算经营活动发生的支出。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23.“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autoSpaceDE w:val="0"/>
        <w:autoSpaceDN w:val="0"/>
        <w:adjustRightInd w:val="0"/>
        <w:spacing w:line="600" w:lineRule="exact"/>
        <w:ind w:firstLineChars="200" w:firstLine="640"/>
        <w:jc w:val="left"/>
        <w:rPr>
          <w:rFonts w:ascii="仿宋" w:eastAsia="仿宋"/>
          <w:color w:val="000000"/>
          <w:sz w:val="32"/>
          <w:szCs w:val="32"/>
        </w:rPr>
      </w:pPr>
      <w:r>
        <w:rPr>
          <w:rFonts w:ascii="仿宋" w:eastAsia="仿宋" w:hint="eastAsia"/>
          <w:color w:val="000000"/>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9" w:name="_Toc15396618"/>
      <w:bookmarkStart w:id="60" w:name="_Toc15396619"/>
      <w:bookmarkEnd w:id="57"/>
      <w:bookmarkEnd w:id="58"/>
    </w:p>
    <w:p>
      <w:pPr>
        <w:widowControl/>
        <w:adjustRightInd w:val="0"/>
        <w:snapToGrid w:val="0"/>
        <w:spacing w:line="480" w:lineRule="exact"/>
        <w:ind w:firstLine="720"/>
        <w:jc w:val="center"/>
        <w:rPr>
          <w:rFonts w:ascii="方正小标宋简体" w:eastAsia="方正小标宋简体"/>
          <w:sz w:val="44"/>
          <w:szCs w:val="44"/>
        </w:rPr>
      </w:pPr>
    </w:p>
    <w:p>
      <w:pPr>
        <w:widowControl/>
        <w:adjustRightInd w:val="0"/>
        <w:snapToGrid w:val="0"/>
        <w:spacing w:line="480" w:lineRule="exact"/>
        <w:ind w:firstLine="720"/>
        <w:jc w:val="center"/>
        <w:rPr>
          <w:rStyle w:val="1Char"/>
          <w:rFonts w:ascii="方正小标宋简体" w:eastAsia="方正小标宋简体"/>
          <w:b w:val="0"/>
        </w:rPr>
      </w:pPr>
      <w:bookmarkStart w:id="61" w:name="_Toc79163630"/>
      <w:bookmarkStart w:id="62" w:name="_Toc79163880"/>
      <w:r>
        <w:rPr>
          <w:rFonts w:ascii="方正小标宋简体" w:eastAsia="方正小标宋简体" w:hint="eastAsia"/>
          <w:color w:val="000000"/>
          <w:sz w:val="44"/>
          <w:szCs w:val="44"/>
        </w:rPr>
        <w:t>第</w:t>
      </w:r>
      <w:r>
        <w:rPr>
          <w:rStyle w:val="1Char"/>
          <w:rFonts w:ascii="方正小标宋简体" w:eastAsia="方正小标宋简体" w:hint="eastAsia"/>
          <w:b w:val="0"/>
        </w:rPr>
        <w:t>四部分 附件</w:t>
      </w:r>
      <w:bookmarkEnd w:id="61"/>
      <w:bookmarkEnd w:id="62"/>
    </w:p>
    <w:p>
      <w:pPr>
        <w:widowControl/>
        <w:adjustRightInd w:val="0"/>
        <w:snapToGrid w:val="0"/>
        <w:spacing w:line="480" w:lineRule="exact"/>
        <w:ind w:firstLine="720"/>
        <w:jc w:val="center"/>
        <w:rPr>
          <w:rFonts w:ascii="方正小标宋简体" w:eastAsia="方正小标宋简体"/>
          <w:sz w:val="44"/>
          <w:szCs w:val="44"/>
        </w:rPr>
      </w:pPr>
    </w:p>
    <w:p>
      <w:pPr>
        <w:widowControl/>
        <w:adjustRightInd w:val="0"/>
        <w:snapToGrid w:val="0"/>
        <w:spacing w:line="480" w:lineRule="exact"/>
        <w:ind w:firstLine="720"/>
        <w:jc w:val="center"/>
        <w:rPr>
          <w:rFonts w:ascii="方正小标宋简体" w:eastAsia="方正小标宋简体"/>
          <w:sz w:val="44"/>
          <w:szCs w:val="44"/>
        </w:rPr>
      </w:pPr>
      <w:r>
        <w:rPr>
          <w:rFonts w:ascii="方正小标宋简体" w:eastAsia="方正小标宋简体" w:hint="eastAsia"/>
          <w:sz w:val="44"/>
          <w:szCs w:val="44"/>
        </w:rPr>
        <w:t>金川县发展改革和经济商务信息化局</w:t>
      </w:r>
    </w:p>
    <w:p>
      <w:pPr>
        <w:widowControl/>
        <w:adjustRightInd w:val="0"/>
        <w:snapToGrid w:val="0"/>
        <w:spacing w:line="480" w:lineRule="exact"/>
        <w:jc w:val="center"/>
        <w:rPr>
          <w:rFonts w:ascii="方正小标宋简体" w:eastAsia="方正小标宋简体"/>
          <w:sz w:val="44"/>
          <w:szCs w:val="44"/>
        </w:rPr>
      </w:pPr>
      <w:r>
        <w:rPr>
          <w:rFonts w:ascii="方正小标宋简体" w:eastAsia="方正小标宋简体" w:hint="eastAsia"/>
          <w:sz w:val="44"/>
          <w:szCs w:val="44"/>
        </w:rPr>
        <w:t xml:space="preserve">    2022年部门整体支出绩效报告</w:t>
      </w:r>
    </w:p>
    <w:p>
      <w:pPr>
        <w:widowControl/>
        <w:adjustRightInd w:val="0"/>
        <w:snapToGrid w:val="0"/>
        <w:spacing w:line="520" w:lineRule="exact"/>
        <w:ind w:firstLine="720"/>
        <w:jc w:val="left"/>
        <w:rPr>
          <w:rFonts w:ascii="黑体" w:eastAsia="黑体" w:cs="宋体"/>
          <w:color w:val="000000"/>
          <w:kern w:val="0"/>
          <w:sz w:val="32"/>
          <w:szCs w:val="32"/>
          <w:lang w:val="zh-CN"/>
        </w:rPr>
      </w:pPr>
      <w:r>
        <w:rPr>
          <w:rFonts w:ascii="黑体" w:eastAsia="黑体" w:cs="宋体" w:hint="eastAsia"/>
          <w:color w:val="000000"/>
          <w:kern w:val="0"/>
          <w:sz w:val="32"/>
          <w:szCs w:val="32"/>
        </w:rPr>
        <w:t>一、</w:t>
      </w:r>
      <w:r>
        <w:rPr>
          <w:rFonts w:ascii="黑体" w:eastAsia="黑体" w:cs="宋体" w:hint="eastAsia"/>
          <w:color w:val="000000"/>
          <w:kern w:val="0"/>
          <w:sz w:val="32"/>
          <w:szCs w:val="32"/>
          <w:lang w:val="zh-CN"/>
        </w:rPr>
        <w:t>部门（单位）概况</w:t>
      </w:r>
    </w:p>
    <w:p>
      <w:pPr>
        <w:widowControl/>
        <w:adjustRightInd w:val="0"/>
        <w:snapToGrid w:val="0"/>
        <w:spacing w:line="520" w:lineRule="exact"/>
        <w:ind w:firstLine="720"/>
        <w:jc w:val="left"/>
        <w:rPr>
          <w:rFonts w:ascii="仿宋_GB2312" w:eastAsia="仿宋_GB2312" w:cs="宋体"/>
          <w:b/>
          <w:color w:val="000000"/>
          <w:kern w:val="0"/>
          <w:sz w:val="32"/>
          <w:szCs w:val="32"/>
          <w:lang w:val="zh-CN"/>
        </w:rPr>
      </w:pPr>
      <w:r>
        <w:rPr>
          <w:rFonts w:ascii="仿宋_GB2312" w:eastAsia="仿宋_GB2312" w:cs="宋体" w:hint="eastAsia"/>
          <w:b/>
          <w:color w:val="000000"/>
          <w:kern w:val="0"/>
          <w:sz w:val="32"/>
          <w:szCs w:val="32"/>
          <w:lang w:val="zh-CN"/>
        </w:rPr>
        <w:t>（一）机构组成。</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金川县发展改革和经济商务信息化局下属行政单位1个，事业单位1个。</w:t>
      </w:r>
    </w:p>
    <w:p>
      <w:pPr>
        <w:widowControl/>
        <w:adjustRightInd w:val="0"/>
        <w:snapToGrid w:val="0"/>
        <w:spacing w:line="520" w:lineRule="exact"/>
        <w:ind w:firstLine="720"/>
        <w:jc w:val="left"/>
        <w:rPr>
          <w:rFonts w:ascii="仿宋_GB2312" w:eastAsia="仿宋_GB2312" w:cs="宋体"/>
          <w:b/>
          <w:color w:val="000000"/>
          <w:kern w:val="0"/>
          <w:sz w:val="32"/>
          <w:szCs w:val="32"/>
          <w:lang w:val="zh-CN"/>
        </w:rPr>
      </w:pPr>
      <w:r>
        <w:rPr>
          <w:rFonts w:ascii="仿宋_GB2312" w:eastAsia="仿宋_GB2312" w:cs="宋体" w:hint="eastAsia"/>
          <w:b/>
          <w:color w:val="000000"/>
          <w:kern w:val="0"/>
          <w:sz w:val="32"/>
          <w:szCs w:val="32"/>
          <w:lang w:val="zh-CN"/>
        </w:rPr>
        <w:t>（二）机构职能。</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主要负责拟订并组织实施全县国民经济和社会发展战略、中长期规划和年度计划；负责监测宏观经济和社会发展态势，承担相关预测预警和信息引导责任；负责全县投资宏观管理和协调推进重大项目建设。拟定全县全社会固定资产投资总规模和投资结构，编制年度投资计划；推进可持续发展，负责全县节能减排的综合协调工作；指导、协调并综合管理全县招标投标工作；承担县政府公布的有关行政审批等事项。组织贯彻国家、省、州有关工业经济、信息化和无线电管理、国内外贸易、外商投资和国际经济合作的有关工业经济的政策措施，拟定全县有关工业经济、信息化和无线电管理的地方法规、规章草案；承担全县服务业发展工作中组织实施的协调职责，推进流通产业结构调整；指导全县外商促进和管理工作；负责全县招商项目策划、项目收集、项目分析、项目包装、项目发布、项目签约和重大项目的跟踪促进。承担县政府公布的有关行政审批等事项；负责编制全县价格改革、价格调整的年度计划和规划；草拟地方性价格法规规章，审定价格管理办法和规范性文件；负责贯彻执行国家行政事业性收费政策法规，组织实施全县行政事业性收费、公益服务收费、公用事业收费、中介服务收费、经营性收费、房地产价格和旅游价格管理的原则、范围和作价办法；负责审批调整列管的收费项目和收费标准；组织实施收费年审，依法清理整顿收费。负责承办或实施列入听证目录商品价格和服务价格听证工作；负责仲裁相关价格和收费的纠纷和争议。</w:t>
      </w:r>
    </w:p>
    <w:p>
      <w:pPr>
        <w:widowControl/>
        <w:adjustRightInd w:val="0"/>
        <w:snapToGrid w:val="0"/>
        <w:spacing w:line="520" w:lineRule="exact"/>
        <w:ind w:firstLine="720"/>
        <w:jc w:val="left"/>
        <w:rPr>
          <w:rFonts w:ascii="仿宋_GB2312" w:eastAsia="仿宋_GB2312" w:cs="宋体"/>
          <w:b/>
          <w:color w:val="000000"/>
          <w:kern w:val="0"/>
          <w:sz w:val="32"/>
          <w:szCs w:val="32"/>
          <w:lang w:val="zh-CN"/>
        </w:rPr>
      </w:pPr>
      <w:r>
        <w:rPr>
          <w:rFonts w:ascii="仿宋_GB2312" w:eastAsia="仿宋_GB2312" w:cs="宋体" w:hint="eastAsia"/>
          <w:b/>
          <w:color w:val="000000"/>
          <w:kern w:val="0"/>
          <w:sz w:val="32"/>
          <w:szCs w:val="32"/>
          <w:lang w:val="zh-CN"/>
        </w:rPr>
        <w:t>（三）人员概况。</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2022年由编办核定编制总编25名（其中:行政编制14名，事业编制11名），年末实际在职20个，其中：行政11个，事业9个；退休人员为0个，遗属3人。</w:t>
      </w:r>
    </w:p>
    <w:p>
      <w:pPr>
        <w:widowControl/>
        <w:adjustRightInd w:val="0"/>
        <w:snapToGrid w:val="0"/>
        <w:spacing w:line="520" w:lineRule="exact"/>
        <w:ind w:firstLine="720"/>
        <w:jc w:val="left"/>
        <w:rPr>
          <w:rFonts w:ascii="黑体" w:eastAsia="黑体" w:cs="宋体"/>
          <w:color w:val="000000"/>
          <w:kern w:val="0"/>
          <w:sz w:val="32"/>
          <w:szCs w:val="32"/>
        </w:rPr>
      </w:pPr>
      <w:r>
        <w:rPr>
          <w:rFonts w:ascii="黑体" w:eastAsia="黑体" w:cs="宋体" w:hint="eastAsia"/>
          <w:color w:val="000000"/>
          <w:kern w:val="0"/>
          <w:sz w:val="32"/>
          <w:szCs w:val="32"/>
        </w:rPr>
        <w:t>二、部门财政资金收支情况</w:t>
      </w:r>
    </w:p>
    <w:p>
      <w:pPr>
        <w:widowControl/>
        <w:adjustRightInd w:val="0"/>
        <w:snapToGrid w:val="0"/>
        <w:spacing w:line="520" w:lineRule="exact"/>
        <w:ind w:firstLine="720"/>
        <w:jc w:val="left"/>
        <w:rPr>
          <w:rFonts w:ascii="仿宋_GB2312" w:eastAsia="仿宋_GB2312" w:cs="宋体"/>
          <w:b/>
          <w:color w:val="000000"/>
          <w:kern w:val="0"/>
          <w:sz w:val="32"/>
          <w:szCs w:val="32"/>
          <w:lang w:val="zh-CN"/>
        </w:rPr>
      </w:pPr>
      <w:r>
        <w:rPr>
          <w:rFonts w:ascii="仿宋_GB2312" w:eastAsia="仿宋_GB2312" w:cs="宋体" w:hint="eastAsia"/>
          <w:b/>
          <w:color w:val="000000"/>
          <w:kern w:val="0"/>
          <w:sz w:val="32"/>
          <w:szCs w:val="32"/>
          <w:lang w:val="zh-CN"/>
        </w:rPr>
        <w:t>（一）部门财政资金收入情况。</w:t>
      </w:r>
    </w:p>
    <w:p>
      <w:pPr>
        <w:autoSpaceDE w:val="0"/>
        <w:autoSpaceDN w:val="0"/>
        <w:adjustRightInd w:val="0"/>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2022年收入</w:t>
      </w:r>
      <w:r>
        <w:rPr>
          <w:rFonts w:ascii="仿宋_GB2312" w:eastAsia="仿宋_GB2312"/>
          <w:color w:val="000000"/>
          <w:sz w:val="32"/>
          <w:szCs w:val="32"/>
        </w:rPr>
        <w:t>3577808.97</w:t>
      </w:r>
      <w:r>
        <w:rPr>
          <w:rFonts w:ascii="仿宋_GB2312" w:eastAsia="仿宋_GB2312" w:hint="eastAsia"/>
          <w:color w:val="000000"/>
          <w:sz w:val="32"/>
          <w:szCs w:val="32"/>
        </w:rPr>
        <w:t>元，其中：财政拨款收入</w:t>
      </w:r>
      <w:r>
        <w:rPr>
          <w:rFonts w:ascii="仿宋_GB2312" w:eastAsia="仿宋_GB2312"/>
          <w:color w:val="000000"/>
          <w:sz w:val="32"/>
          <w:szCs w:val="32"/>
        </w:rPr>
        <w:t>3577808.97</w:t>
      </w:r>
      <w:r>
        <w:rPr>
          <w:rFonts w:ascii="仿宋_GB2312" w:eastAsia="仿宋_GB2312" w:hint="eastAsia"/>
          <w:color w:val="000000"/>
          <w:sz w:val="32"/>
          <w:szCs w:val="32"/>
        </w:rPr>
        <w:t>元。</w:t>
      </w:r>
    </w:p>
    <w:p>
      <w:pPr>
        <w:widowControl/>
        <w:adjustRightInd w:val="0"/>
        <w:snapToGrid w:val="0"/>
        <w:spacing w:line="520" w:lineRule="exact"/>
        <w:ind w:firstLine="720"/>
        <w:jc w:val="left"/>
        <w:rPr>
          <w:rFonts w:ascii="仿宋_GB2312" w:eastAsia="仿宋_GB2312" w:cs="宋体"/>
          <w:b/>
          <w:color w:val="000000"/>
          <w:kern w:val="0"/>
          <w:sz w:val="32"/>
          <w:szCs w:val="32"/>
          <w:lang w:val="zh-CN"/>
        </w:rPr>
      </w:pPr>
      <w:r>
        <w:rPr>
          <w:rFonts w:ascii="仿宋_GB2312" w:eastAsia="仿宋_GB2312" w:cs="宋体" w:hint="eastAsia"/>
          <w:b/>
          <w:kern w:val="0"/>
          <w:sz w:val="32"/>
          <w:szCs w:val="32"/>
          <w:lang w:val="zh-CN"/>
        </w:rPr>
        <w:t>（二）部门财政资</w:t>
      </w:r>
      <w:r>
        <w:rPr>
          <w:rFonts w:ascii="仿宋_GB2312" w:eastAsia="仿宋_GB2312" w:cs="宋体" w:hint="eastAsia"/>
          <w:b/>
          <w:color w:val="000000"/>
          <w:kern w:val="0"/>
          <w:sz w:val="32"/>
          <w:szCs w:val="32"/>
          <w:lang w:val="zh-CN"/>
        </w:rPr>
        <w:t>金支出情况。</w:t>
      </w:r>
    </w:p>
    <w:p>
      <w:pPr>
        <w:autoSpaceDE w:val="0"/>
        <w:autoSpaceDN w:val="0"/>
        <w:adjustRightInd w:val="0"/>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2022年部门支出预算总额</w:t>
      </w:r>
      <w:r>
        <w:rPr>
          <w:rFonts w:ascii="仿宋_GB2312" w:eastAsia="仿宋_GB2312"/>
          <w:color w:val="000000"/>
          <w:sz w:val="32"/>
          <w:szCs w:val="32"/>
        </w:rPr>
        <w:t>3577808.97</w:t>
      </w:r>
      <w:r>
        <w:rPr>
          <w:rFonts w:ascii="仿宋_GB2312" w:eastAsia="仿宋_GB2312" w:hint="eastAsia"/>
          <w:color w:val="000000"/>
          <w:sz w:val="32"/>
          <w:szCs w:val="32"/>
        </w:rPr>
        <w:t>元，其中：一般公共服务支出</w:t>
      </w:r>
      <w:r>
        <w:rPr>
          <w:rFonts w:ascii="仿宋_GB2312" w:eastAsia="仿宋_GB2312"/>
          <w:color w:val="000000"/>
          <w:sz w:val="32"/>
          <w:szCs w:val="32"/>
        </w:rPr>
        <w:t>2555772.66</w:t>
      </w:r>
      <w:r>
        <w:rPr>
          <w:rFonts w:ascii="仿宋_GB2312" w:eastAsia="仿宋_GB2312" w:hint="eastAsia"/>
          <w:color w:val="000000"/>
          <w:sz w:val="32"/>
          <w:szCs w:val="32"/>
        </w:rPr>
        <w:t>元，卫生健康支出</w:t>
      </w:r>
      <w:r>
        <w:rPr>
          <w:rFonts w:ascii="仿宋_GB2312" w:eastAsia="仿宋_GB2312"/>
          <w:color w:val="000000"/>
          <w:sz w:val="32"/>
          <w:szCs w:val="32"/>
        </w:rPr>
        <w:t>232650.99</w:t>
      </w:r>
      <w:r>
        <w:rPr>
          <w:rFonts w:ascii="仿宋_GB2312" w:eastAsia="仿宋_GB2312" w:hint="eastAsia"/>
          <w:color w:val="000000"/>
          <w:sz w:val="32"/>
          <w:szCs w:val="32"/>
        </w:rPr>
        <w:t>元，住房保障支出</w:t>
      </w:r>
      <w:r>
        <w:rPr>
          <w:rFonts w:ascii="仿宋_GB2312" w:eastAsia="仿宋_GB2312"/>
          <w:color w:val="000000"/>
          <w:sz w:val="32"/>
          <w:szCs w:val="32"/>
        </w:rPr>
        <w:t>263128.44</w:t>
      </w:r>
      <w:r>
        <w:rPr>
          <w:rFonts w:ascii="仿宋_GB2312" w:eastAsia="仿宋_GB2312" w:hint="eastAsia"/>
          <w:color w:val="000000"/>
          <w:sz w:val="32"/>
          <w:szCs w:val="32"/>
        </w:rPr>
        <w:t>元，社会保障和就业支出</w:t>
      </w:r>
      <w:r>
        <w:rPr>
          <w:rFonts w:ascii="仿宋_GB2312" w:eastAsia="仿宋_GB2312"/>
          <w:color w:val="000000"/>
          <w:sz w:val="32"/>
          <w:szCs w:val="32"/>
        </w:rPr>
        <w:t>526256.88</w:t>
      </w:r>
      <w:r>
        <w:rPr>
          <w:rFonts w:ascii="仿宋_GB2312" w:eastAsia="仿宋_GB2312" w:hint="eastAsia"/>
          <w:color w:val="000000"/>
          <w:sz w:val="32"/>
          <w:szCs w:val="32"/>
        </w:rPr>
        <w:t>元。</w:t>
      </w:r>
    </w:p>
    <w:p>
      <w:pPr>
        <w:widowControl/>
        <w:adjustRightInd w:val="0"/>
        <w:snapToGrid w:val="0"/>
        <w:spacing w:line="520" w:lineRule="exact"/>
        <w:ind w:firstLine="720"/>
        <w:jc w:val="left"/>
        <w:rPr>
          <w:rFonts w:ascii="仿宋_GB2312" w:eastAsia="仿宋_GB2312" w:cs="宋体"/>
          <w:b/>
          <w:color w:val="000000"/>
          <w:kern w:val="0"/>
          <w:sz w:val="32"/>
          <w:szCs w:val="32"/>
          <w:lang w:val="zh-CN"/>
        </w:rPr>
      </w:pPr>
      <w:r>
        <w:rPr>
          <w:rFonts w:ascii="仿宋_GB2312" w:eastAsia="仿宋_GB2312" w:cs="宋体" w:hint="eastAsia"/>
          <w:b/>
          <w:color w:val="000000"/>
          <w:kern w:val="0"/>
          <w:sz w:val="32"/>
          <w:szCs w:val="32"/>
          <w:lang w:val="zh-CN"/>
        </w:rPr>
        <w:t>（三）结转结余情况</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2022年年初财政拨款结转和结余0元，年末财政拨款结转和结余0元。</w:t>
      </w:r>
    </w:p>
    <w:p>
      <w:pPr>
        <w:widowControl/>
        <w:adjustRightInd w:val="0"/>
        <w:snapToGrid w:val="0"/>
        <w:spacing w:line="520" w:lineRule="exact"/>
        <w:ind w:firstLine="720"/>
        <w:jc w:val="left"/>
        <w:rPr>
          <w:rFonts w:ascii="黑体" w:eastAsia="黑体" w:cs="宋体"/>
          <w:color w:val="000000"/>
          <w:kern w:val="0"/>
          <w:sz w:val="32"/>
          <w:szCs w:val="32"/>
        </w:rPr>
      </w:pPr>
      <w:r>
        <w:rPr>
          <w:rFonts w:ascii="黑体" w:eastAsia="黑体" w:cs="宋体" w:hint="eastAsia"/>
          <w:color w:val="000000"/>
          <w:kern w:val="0"/>
          <w:sz w:val="32"/>
          <w:szCs w:val="32"/>
        </w:rPr>
        <w:t>三、部门财政支出管理情况</w:t>
      </w:r>
    </w:p>
    <w:p>
      <w:pPr>
        <w:spacing w:line="560" w:lineRule="exact"/>
        <w:ind w:firstLineChars="200" w:firstLine="640"/>
        <w:outlineLvl w:val="0"/>
        <w:rPr>
          <w:rFonts w:ascii="仿宋" w:eastAsia="仿宋" w:cs="仿宋"/>
          <w:b/>
          <w:bCs/>
          <w:sz w:val="32"/>
          <w:szCs w:val="32"/>
        </w:rPr>
      </w:pPr>
      <w:r>
        <w:rPr>
          <w:rFonts w:ascii="仿宋" w:eastAsia="仿宋" w:cs="仿宋" w:hint="eastAsia"/>
          <w:b/>
          <w:bCs/>
          <w:sz w:val="32"/>
          <w:szCs w:val="32"/>
        </w:rPr>
        <w:t>（一）部门预算管理</w:t>
      </w:r>
    </w:p>
    <w:p>
      <w:pPr>
        <w:spacing w:line="560" w:lineRule="exact"/>
        <w:ind w:firstLineChars="200" w:firstLine="640"/>
        <w:outlineLvl w:val="0"/>
        <w:rPr>
          <w:rFonts w:ascii="仿宋_GB2312" w:eastAsia="仿宋_GB2312" w:cs="仿宋"/>
          <w:b/>
          <w:bCs/>
          <w:sz w:val="32"/>
          <w:szCs w:val="32"/>
        </w:rPr>
      </w:pPr>
      <w:r>
        <w:rPr>
          <w:rFonts w:ascii="仿宋_GB2312" w:eastAsia="仿宋_GB2312" w:cs="仿宋" w:hint="eastAsia"/>
          <w:b/>
          <w:bCs/>
          <w:sz w:val="32"/>
          <w:szCs w:val="32"/>
        </w:rPr>
        <w:t>1.预算编制</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（1）目标制定</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按照预决算法要求在收到财政部门批复20日内进行预算公开，公开材料包括：预算编制说明、预算公开表、“三公”经费预算情况说明等。</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2022年经公开的部门年初收入预算数为</w:t>
      </w:r>
      <w:r>
        <w:rPr>
          <w:rFonts w:ascii="仿宋_GB2312" w:eastAsia="仿宋_GB2312"/>
          <w:color w:val="000000"/>
          <w:sz w:val="32"/>
          <w:szCs w:val="32"/>
        </w:rPr>
        <w:t>3577808.97</w:t>
      </w:r>
      <w:r>
        <w:rPr>
          <w:rFonts w:ascii="仿宋_GB2312" w:eastAsia="仿宋_GB2312" w:hint="eastAsia"/>
          <w:color w:val="000000"/>
          <w:sz w:val="32"/>
          <w:szCs w:val="32"/>
        </w:rPr>
        <w:t>元，其中：一般公共服务支出</w:t>
      </w:r>
      <w:r>
        <w:rPr>
          <w:rFonts w:ascii="仿宋_GB2312" w:eastAsia="仿宋_GB2312"/>
          <w:color w:val="000000"/>
          <w:sz w:val="32"/>
          <w:szCs w:val="32"/>
        </w:rPr>
        <w:t>2555772.66</w:t>
      </w:r>
      <w:r>
        <w:rPr>
          <w:rFonts w:ascii="仿宋_GB2312" w:eastAsia="仿宋_GB2312" w:hint="eastAsia"/>
          <w:color w:val="000000"/>
          <w:sz w:val="32"/>
          <w:szCs w:val="32"/>
        </w:rPr>
        <w:t>元，社会保障和就业支</w:t>
      </w:r>
      <w:r>
        <w:rPr>
          <w:rFonts w:ascii="仿宋_GB2312" w:eastAsia="仿宋_GB2312"/>
          <w:color w:val="000000"/>
          <w:sz w:val="32"/>
          <w:szCs w:val="32"/>
        </w:rPr>
        <w:t>526256.88</w:t>
      </w:r>
      <w:r>
        <w:rPr>
          <w:rFonts w:ascii="仿宋_GB2312" w:eastAsia="仿宋_GB2312" w:hint="eastAsia"/>
          <w:color w:val="000000"/>
          <w:sz w:val="32"/>
          <w:szCs w:val="32"/>
        </w:rPr>
        <w:t>元，卫生健康支出</w:t>
      </w:r>
      <w:r>
        <w:rPr>
          <w:rFonts w:ascii="仿宋_GB2312" w:eastAsia="仿宋_GB2312"/>
          <w:color w:val="000000"/>
          <w:sz w:val="32"/>
          <w:szCs w:val="32"/>
        </w:rPr>
        <w:t>232650.99</w:t>
      </w:r>
      <w:r>
        <w:rPr>
          <w:rFonts w:ascii="仿宋_GB2312" w:eastAsia="仿宋_GB2312" w:hint="eastAsia"/>
          <w:color w:val="000000"/>
          <w:sz w:val="32"/>
          <w:szCs w:val="32"/>
        </w:rPr>
        <w:t>元，住房保障支出</w:t>
      </w:r>
      <w:r>
        <w:rPr>
          <w:rFonts w:ascii="仿宋_GB2312" w:eastAsia="仿宋_GB2312"/>
          <w:color w:val="000000"/>
          <w:sz w:val="32"/>
          <w:szCs w:val="32"/>
        </w:rPr>
        <w:t>263128.44</w:t>
      </w:r>
      <w:r>
        <w:rPr>
          <w:rFonts w:ascii="仿宋_GB2312" w:eastAsia="仿宋_GB2312" w:hint="eastAsia"/>
          <w:color w:val="000000"/>
          <w:sz w:val="32"/>
          <w:szCs w:val="32"/>
        </w:rPr>
        <w:t>元；无项目预算支出。</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（2）目标实现</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严格按照年初预算进行支出。</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（3）编制准确</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2022年年初预算金额</w:t>
      </w:r>
      <w:r>
        <w:rPr>
          <w:rFonts w:ascii="仿宋_GB2312" w:eastAsia="仿宋_GB2312"/>
          <w:color w:val="000000"/>
          <w:sz w:val="32"/>
          <w:szCs w:val="32"/>
        </w:rPr>
        <w:t>3577808.97</w:t>
      </w:r>
      <w:r>
        <w:rPr>
          <w:rFonts w:ascii="仿宋_GB2312" w:eastAsia="仿宋_GB2312" w:hint="eastAsia"/>
          <w:color w:val="000000"/>
          <w:sz w:val="32"/>
          <w:szCs w:val="32"/>
        </w:rPr>
        <w:t>元，本单位预算编制严格按照《</w:t>
      </w:r>
      <w:r>
        <w:rPr>
          <w:rFonts w:ascii="仿宋_GB2312" w:eastAsia="仿宋_GB2312"/>
          <w:color w:val="000000"/>
          <w:sz w:val="32"/>
          <w:szCs w:val="32"/>
        </w:rPr>
        <w:t>中华人民共和国</w:t>
      </w:r>
      <w:bookmarkStart w:id="63" w:name="_GoBack"/>
      <w:bookmarkEnd w:id="63"/>
      <w:r>
        <w:rPr>
          <w:rFonts w:ascii="仿宋_GB2312" w:eastAsia="仿宋_GB2312" w:hint="eastAsia"/>
          <w:color w:val="000000"/>
          <w:sz w:val="32"/>
          <w:szCs w:val="32"/>
        </w:rPr>
        <w:t>预算法》和财政相关规定执行，确定绩效目标。及时组织财务人员进行预决算的编制，对本年度相应用款进行及时清理和处理，做到账账相符、账实相符、账证相符,按先有预算再有支出的原则，及时处理相关事务，及时上报相关报表；提前细化，分科目上报，做到收支平衡。预算绩效目标按实际填报，保证预算编制质量。</w:t>
      </w:r>
    </w:p>
    <w:p>
      <w:pPr>
        <w:widowControl/>
        <w:adjustRightInd w:val="0"/>
        <w:snapToGrid w:val="0"/>
        <w:spacing w:line="520" w:lineRule="exact"/>
        <w:ind w:firstLine="720"/>
        <w:jc w:val="left"/>
        <w:rPr>
          <w:rFonts w:ascii="仿宋_GB2312" w:eastAsia="仿宋_GB2312" w:cs="宋体"/>
          <w:b/>
          <w:color w:val="000000"/>
          <w:kern w:val="0"/>
          <w:sz w:val="32"/>
          <w:szCs w:val="32"/>
          <w:lang w:val="zh-CN"/>
        </w:rPr>
      </w:pPr>
      <w:r>
        <w:rPr>
          <w:rFonts w:ascii="仿宋_GB2312" w:eastAsia="仿宋_GB2312" w:cs="宋体" w:hint="eastAsia"/>
          <w:b/>
          <w:color w:val="000000"/>
          <w:kern w:val="0"/>
          <w:sz w:val="32"/>
          <w:szCs w:val="32"/>
          <w:lang w:val="zh-CN"/>
        </w:rPr>
        <w:t>2.执行管理情况</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按照县财政的要求，及时分月、分季度上报相应计划，待财政审核通过后，严格按计划执行，各季度执行情况良好。</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（1）行政运转保障。</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我局财政拨款支出主要用于保障部门机构正常运转、完成日常工作任务以及承担本乡发展相关工作。基本支出，是用于保障单位正常运转的日常支出，包括基本工资、津贴补贴等人员经费以及办公费、印刷费、水电费、公务用车运行维护费等日常公用经费。</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（2）机关厉行节约。</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2022年预算安排因公出国（境）经费0元，与2021年预算持平；公务接待费安排0元，与2021年预算持平，安排公务用车运行维护费8.5万元（公务用车编制数2辆）, 与2021年预算持平，原因是厉行节俭。</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（3）机关节能降耗。</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严格按照勤俭节约的原则，节约用水用电，严格控制水、电、气、燃油费用支出，2022年电费1.5万元、取暖费0万元，与上年一致。</w:t>
      </w:r>
    </w:p>
    <w:p>
      <w:pPr>
        <w:pStyle w:val="30"/>
        <w:spacing w:line="520" w:lineRule="exact"/>
        <w:jc w:val="both"/>
        <w:rPr>
          <w:rFonts w:ascii="仿宋_GB2312" w:cs="宋体"/>
          <w:b/>
          <w:color w:val="000000"/>
          <w:sz w:val="32"/>
          <w:szCs w:val="32"/>
          <w:lang w:val="zh-CN"/>
        </w:rPr>
      </w:pPr>
      <w:r>
        <w:rPr>
          <w:rFonts w:ascii="仿宋_GB2312" w:hint="eastAsia"/>
          <w:b/>
          <w:sz w:val="32"/>
          <w:szCs w:val="32"/>
        </w:rPr>
        <w:t>3.综合管理情况</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建立健全了资金分配规程和各项财务管理制度，成立了财务审核中心，制定了财务报账审批制度，修订完善了会议费、公务接待费、差旅报销管理办法。由专人进行会计核算和财务管理，严格执行政府采购制度，做到先申报后采购，按流程办理。严格执行因公出国（境）、公务接待和公务用车购置及运行维护政策规定，较好地完成了部门预决算工作，严格按照进度执行预算，各项指标完成较好，实现了良好的社会效益，达到了预期目标。</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1）内部控制建设和实施情况。我单位成立了行政事业单位内部控制规范实施、协调领导小组，负责贯彻实施内控工作方案、协调解决重大事项、监督指导工作开展。合理保证经济活动合规合法，有效规范单位预算管理、收支管理、政府采购、资产管理、建设项目、合同控制等各类经济活动；合理保证资产安全和使用有效，坚持所有权与使用权相分离的原则，确保资产的安全完整和有效使用；合理保证财务信息真实完整，强化财务信息分析和结果运用，为外部监管和内部管理提供信息支持；有效防范舞弊和预防腐败，科学运用内部控制的原理和方法，强化内部监督，建立反腐败、反舞弊的长效机制；有效提高公共服务的效率和效果。</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2）财务票据管理情况。我局票据由专门的报账员（出纳）管理，未出现转账、出借票据的情况，无擅自销毁票据及代开票据的现象，无票据串用、混用或伪造、变造的情况；督促本单位职工办理公务卡，并严格执行公务卡消费相关规定。</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（3）信息公开情况。严格按照上级要求，提供真实有效的预决算资料，并在政府门户网进行预决算公开。</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（4）行政事业单位国有资产管理、使用和处置情况。严格按照资产管理规定，对资产进行登记，无违规进行购置、处置的情况。</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（5）政府采购管理情况。严格按照政府采购管理规定，不存在无预算采购及超预算采购。</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（6）</w:t>
      </w:r>
      <w:r>
        <w:rPr>
          <w:rFonts w:ascii="仿宋_GB2312" w:eastAsia="仿宋_GB2312" w:hint="eastAsia"/>
          <w:color w:val="000000"/>
          <w:sz w:val="32"/>
          <w:szCs w:val="32"/>
        </w:rPr>
        <w:fldChar w:fldCharType="begin"/>
      </w:r>
      <w:r>
        <w:instrText>HYPERLINK "http://www.gwyoo.com/lunwen/jjgl/caiwu/"</w:instrText>
      </w:r>
      <w:r>
        <w:rPr>
          <w:rFonts w:ascii="仿宋_GB2312" w:eastAsia="仿宋_GB2312" w:hint="eastAsia"/>
          <w:color w:val="000000"/>
          <w:sz w:val="32"/>
          <w:szCs w:val="32"/>
        </w:rPr>
        <w:fldChar w:fldCharType="separate"/>
      </w:r>
      <w:r>
        <w:rPr>
          <w:rFonts w:ascii="仿宋_GB2312" w:eastAsia="仿宋_GB2312" w:hint="eastAsia"/>
          <w:color w:val="000000"/>
          <w:sz w:val="32"/>
          <w:szCs w:val="32"/>
        </w:rPr>
        <w:t>财务</w:t>
      </w:r>
      <w:r>
        <w:rPr>
          <w:rFonts w:ascii="仿宋_GB2312" w:eastAsia="仿宋_GB2312" w:hint="eastAsia"/>
          <w:color w:val="000000"/>
          <w:sz w:val="32"/>
          <w:szCs w:val="32"/>
        </w:rPr>
        <w:fldChar w:fldCharType="end"/>
      </w:r>
      <w:r>
        <w:rPr>
          <w:rFonts w:ascii="仿宋_GB2312" w:eastAsia="仿宋_GB2312" w:hint="eastAsia"/>
          <w:color w:val="000000"/>
          <w:sz w:val="32"/>
          <w:szCs w:val="32"/>
        </w:rPr>
        <w:fldChar w:fldCharType="begin"/>
      </w:r>
      <w:r>
        <w:instrText>HYPERLINK "http://www.gwyoo.com/lunwen/jxztlw/kjjxlw/"</w:instrText>
      </w:r>
      <w:r>
        <w:rPr>
          <w:rFonts w:ascii="仿宋_GB2312" w:eastAsia="仿宋_GB2312" w:hint="eastAsia"/>
          <w:color w:val="000000"/>
          <w:sz w:val="32"/>
          <w:szCs w:val="32"/>
        </w:rPr>
        <w:fldChar w:fldCharType="separate"/>
      </w:r>
      <w:r>
        <w:rPr>
          <w:rFonts w:ascii="仿宋_GB2312" w:eastAsia="仿宋_GB2312" w:hint="eastAsia"/>
          <w:color w:val="000000"/>
          <w:sz w:val="32"/>
          <w:szCs w:val="32"/>
        </w:rPr>
        <w:t>会计</w:t>
      </w:r>
      <w:r>
        <w:rPr>
          <w:rFonts w:ascii="仿宋_GB2312" w:eastAsia="仿宋_GB2312" w:hint="eastAsia"/>
          <w:color w:val="000000"/>
          <w:sz w:val="32"/>
          <w:szCs w:val="32"/>
        </w:rPr>
        <w:fldChar w:fldCharType="end"/>
      </w:r>
      <w:r>
        <w:rPr>
          <w:rFonts w:ascii="仿宋_GB2312" w:eastAsia="仿宋_GB2312" w:hint="eastAsia"/>
          <w:color w:val="000000"/>
          <w:sz w:val="32"/>
          <w:szCs w:val="32"/>
        </w:rPr>
        <w:t>管理情况。严格执行“收支两条线”的财务管理规定，严格执行“双签”</w:t>
      </w:r>
      <w:r>
        <w:rPr>
          <w:rFonts w:ascii="仿宋_GB2312" w:eastAsia="仿宋_GB2312" w:hint="eastAsia"/>
          <w:color w:val="000000"/>
          <w:sz w:val="32"/>
          <w:szCs w:val="32"/>
        </w:rPr>
        <w:fldChar w:fldCharType="begin"/>
      </w:r>
      <w:r>
        <w:instrText>HYPERLINK "http://www.gwyoo.com/article/shijicailiao/gzzd/"</w:instrText>
      </w:r>
      <w:r>
        <w:rPr>
          <w:rFonts w:ascii="仿宋_GB2312" w:eastAsia="仿宋_GB2312" w:hint="eastAsia"/>
          <w:color w:val="000000"/>
          <w:sz w:val="32"/>
          <w:szCs w:val="32"/>
        </w:rPr>
        <w:fldChar w:fldCharType="separate"/>
      </w:r>
      <w:r>
        <w:rPr>
          <w:rFonts w:ascii="仿宋_GB2312" w:eastAsia="仿宋_GB2312" w:hint="eastAsia"/>
          <w:color w:val="000000"/>
          <w:sz w:val="32"/>
          <w:szCs w:val="32"/>
        </w:rPr>
        <w:t>制度</w:t>
      </w:r>
      <w:r>
        <w:rPr>
          <w:rFonts w:ascii="仿宋_GB2312" w:eastAsia="仿宋_GB2312" w:hint="eastAsia"/>
          <w:color w:val="000000"/>
          <w:sz w:val="32"/>
          <w:szCs w:val="32"/>
        </w:rPr>
        <w:fldChar w:fldCharType="end"/>
      </w:r>
      <w:r>
        <w:rPr>
          <w:rFonts w:ascii="仿宋_GB2312" w:eastAsia="仿宋_GB2312" w:hint="eastAsia"/>
          <w:color w:val="000000"/>
          <w:sz w:val="32"/>
          <w:szCs w:val="32"/>
        </w:rPr>
        <w:t>，即分管领导和部门负责人双签，严把财务程序，要求财务人员对于不合理、不规范的票据坚决不予入账，会计资料真实完整，会计核算合格。</w:t>
      </w:r>
    </w:p>
    <w:p>
      <w:pPr>
        <w:widowControl/>
        <w:adjustRightInd w:val="0"/>
        <w:snapToGrid w:val="0"/>
        <w:spacing w:line="480" w:lineRule="exact"/>
        <w:ind w:firstLine="720"/>
        <w:jc w:val="left"/>
        <w:rPr>
          <w:rFonts w:ascii="仿宋_GB2312" w:eastAsia="仿宋_GB2312" w:cs="宋体"/>
          <w:b/>
          <w:color w:val="000000"/>
          <w:kern w:val="0"/>
          <w:sz w:val="32"/>
          <w:szCs w:val="32"/>
          <w:lang w:val="zh-CN"/>
        </w:rPr>
      </w:pPr>
      <w:r>
        <w:rPr>
          <w:rFonts w:ascii="仿宋_GB2312" w:eastAsia="仿宋_GB2312" w:cs="宋体" w:hint="eastAsia"/>
          <w:b/>
          <w:color w:val="000000"/>
          <w:kern w:val="0"/>
          <w:sz w:val="32"/>
          <w:szCs w:val="32"/>
          <w:lang w:val="zh-CN"/>
        </w:rPr>
        <w:t>4.整体绩效。</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（1）绩效目标管理情况。</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财政资金按进度有序执行，切实有效地保障了我局各项工作的正常运行，确保了我局很好地履行职能，财政资金的科学有效管理，保障了经信局各项工作目标的实现。一是全面完成完成了县委、市政府下达目标任务；二是按照预算绩效管理要求，本部门对2022年一般公共预算项目支出开展了绩效目标管理，覆盖率达到100%，并按要求在收到财政部门批复20日内进行了预决算公开。</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（2）部门整体支出绩效自评开展情况。</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按照预算绩效管理要求，本部门对2022年的整体支出开展绩效自评。2022年我局不存在部门预算管理方面违纪违规问题，部门整体支出依据符合规定，专款专用，开支标准符合合规，会计核算规范。</w:t>
      </w:r>
    </w:p>
    <w:p>
      <w:pPr>
        <w:spacing w:line="560" w:lineRule="exact"/>
        <w:ind w:firstLineChars="200" w:firstLine="640"/>
        <w:outlineLvl w:val="0"/>
        <w:rPr>
          <w:rFonts w:ascii="仿宋_GB2312" w:eastAsia="仿宋_GB2312" w:cs="仿宋"/>
          <w:b/>
          <w:bCs/>
          <w:sz w:val="32"/>
          <w:szCs w:val="32"/>
        </w:rPr>
      </w:pPr>
      <w:r>
        <w:rPr>
          <w:rFonts w:ascii="仿宋_GB2312" w:eastAsia="仿宋_GB2312" w:cs="仿宋" w:hint="eastAsia"/>
          <w:b/>
          <w:bCs/>
          <w:sz w:val="32"/>
          <w:szCs w:val="32"/>
        </w:rPr>
        <w:t>（二）结果应用情况</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我局深入贯彻落实“全面实施绩效管理”的要求，努力提升本单位绩效预算管理业务水平。主动公开绩效结果，加大资金使用效率，提升绩效管理水平。</w:t>
      </w:r>
    </w:p>
    <w:p>
      <w:pPr>
        <w:widowControl/>
        <w:adjustRightInd w:val="0"/>
        <w:snapToGrid w:val="0"/>
        <w:spacing w:line="480" w:lineRule="exact"/>
        <w:ind w:firstLine="720"/>
        <w:jc w:val="left"/>
        <w:rPr>
          <w:rFonts w:ascii="黑体" w:eastAsia="黑体" w:cs="宋体"/>
          <w:color w:val="000000"/>
          <w:kern w:val="0"/>
        </w:rPr>
      </w:pPr>
      <w:r>
        <w:rPr>
          <w:rFonts w:ascii="黑体" w:eastAsia="黑体" w:cs="宋体" w:hint="eastAsia"/>
          <w:color w:val="000000"/>
          <w:kern w:val="0"/>
          <w:sz w:val="32"/>
          <w:szCs w:val="32"/>
        </w:rPr>
        <w:t>四、评价结论及建议</w:t>
      </w:r>
    </w:p>
    <w:p>
      <w:pPr>
        <w:spacing w:line="560" w:lineRule="exact"/>
        <w:ind w:firstLineChars="200" w:firstLine="640"/>
        <w:outlineLvl w:val="0"/>
        <w:rPr>
          <w:rFonts w:ascii="仿宋_GB2312" w:eastAsia="仿宋_GB2312" w:cs="仿宋"/>
          <w:b/>
          <w:bCs/>
          <w:sz w:val="32"/>
          <w:szCs w:val="32"/>
        </w:rPr>
      </w:pPr>
      <w:r>
        <w:rPr>
          <w:rFonts w:ascii="仿宋_GB2312" w:eastAsia="仿宋_GB2312" w:cs="仿宋" w:hint="eastAsia"/>
          <w:b/>
          <w:bCs/>
          <w:sz w:val="32"/>
          <w:szCs w:val="32"/>
        </w:rPr>
        <w:t>（一）评价结论。</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自评合格。</w:t>
      </w:r>
    </w:p>
    <w:p>
      <w:pPr>
        <w:spacing w:line="560" w:lineRule="exact"/>
        <w:ind w:firstLineChars="200" w:firstLine="640"/>
        <w:outlineLvl w:val="0"/>
        <w:rPr>
          <w:rFonts w:ascii="仿宋_GB2312" w:eastAsia="仿宋_GB2312" w:cs="仿宋"/>
          <w:b/>
          <w:bCs/>
          <w:sz w:val="32"/>
          <w:szCs w:val="32"/>
        </w:rPr>
      </w:pPr>
      <w:r>
        <w:rPr>
          <w:rFonts w:ascii="仿宋_GB2312" w:eastAsia="仿宋_GB2312" w:cs="仿宋" w:hint="eastAsia"/>
          <w:b/>
          <w:bCs/>
          <w:sz w:val="32"/>
          <w:szCs w:val="32"/>
        </w:rPr>
        <w:t>（二）存在问题。</w:t>
      </w:r>
    </w:p>
    <w:p>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一是项目支出进度较缓；二是部门预算调整较大</w:t>
      </w:r>
    </w:p>
    <w:p>
      <w:pPr>
        <w:spacing w:line="560" w:lineRule="exact"/>
        <w:ind w:firstLineChars="200" w:firstLine="640"/>
        <w:outlineLvl w:val="0"/>
        <w:rPr>
          <w:rFonts w:ascii="仿宋_GB2312" w:eastAsia="仿宋_GB2312" w:cs="仿宋"/>
          <w:b/>
          <w:bCs/>
          <w:sz w:val="32"/>
          <w:szCs w:val="32"/>
        </w:rPr>
      </w:pPr>
      <w:r>
        <w:rPr>
          <w:rFonts w:ascii="仿宋_GB2312" w:eastAsia="仿宋_GB2312" w:cs="仿宋" w:hint="eastAsia"/>
          <w:b/>
          <w:bCs/>
          <w:sz w:val="32"/>
          <w:szCs w:val="32"/>
        </w:rPr>
        <w:t>（三）改进建议。</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在今后的工作中，我局将采取有效措施，切实加强财务管理，加快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w:t>
      </w:r>
    </w:p>
    <w:p>
      <w:pPr>
        <w:spacing w:line="600" w:lineRule="exact"/>
        <w:outlineLvl w:val="0"/>
        <w:rPr>
          <w:rFonts w:ascii="仿宋_GB2312" w:eastAsia="仿宋_GB2312"/>
          <w:kern w:val="0"/>
          <w:sz w:val="32"/>
          <w:szCs w:val="32"/>
        </w:rPr>
      </w:pPr>
    </w:p>
    <w:p>
      <w:pPr>
        <w:spacing w:line="600" w:lineRule="exact"/>
        <w:outlineLvl w:val="0"/>
        <w:rPr>
          <w:rFonts w:ascii="黑体" w:eastAsia="黑体"/>
          <w:color w:val="000000"/>
          <w:sz w:val="44"/>
          <w:szCs w:val="44"/>
        </w:rPr>
      </w:pPr>
    </w:p>
    <w:p>
      <w:pPr>
        <w:spacing w:line="600" w:lineRule="exact"/>
        <w:jc w:val="center"/>
        <w:outlineLvl w:val="0"/>
        <w:rPr>
          <w:rFonts w:ascii="方正小标宋简体" w:eastAsia="方正小标宋简体"/>
          <w:color w:val="000000"/>
          <w:sz w:val="44"/>
          <w:szCs w:val="44"/>
        </w:rPr>
      </w:pPr>
      <w:bookmarkEnd w:id="59"/>
      <w:bookmarkEnd w:id="60"/>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Style w:val="1Char"/>
          <w:rFonts w:ascii="方正小标宋简体" w:eastAsia="方正小标宋简体"/>
          <w:b w:val="0"/>
        </w:rPr>
      </w:pPr>
      <w:r>
        <w:rPr>
          <w:rFonts w:ascii="方正小标宋简体" w:eastAsia="方正小标宋简体" w:hint="eastAsia"/>
          <w:color w:val="000000"/>
          <w:sz w:val="44"/>
          <w:szCs w:val="44"/>
        </w:rPr>
        <w:t>第五</w:t>
      </w:r>
      <w:r>
        <w:rPr>
          <w:rStyle w:val="1Char"/>
          <w:rFonts w:ascii="方正小标宋简体" w:eastAsia="方正小标宋简体" w:hint="eastAsia"/>
          <w:b w:val="0"/>
        </w:rPr>
        <w:t>部分 附表</w:t>
      </w:r>
    </w:p>
    <w:p>
      <w:pPr>
        <w:pStyle w:val="2"/>
        <w:spacing w:before="0" w:after="0" w:line="560" w:lineRule="exact"/>
        <w:rPr>
          <w:rFonts w:ascii="仿宋_GB2312" w:eastAsia="仿宋_GB2312"/>
          <w:b w:val="0"/>
          <w:color w:val="000000"/>
        </w:rPr>
      </w:pPr>
      <w:bookmarkStart w:id="64" w:name="_Toc79163886"/>
      <w:bookmarkStart w:id="65" w:name="_Toc79163636"/>
      <w:r>
        <w:rPr>
          <w:rFonts w:ascii="仿宋_GB2312" w:eastAsia="仿宋_GB2312" w:hint="eastAsia"/>
          <w:b w:val="0"/>
          <w:color w:val="000000"/>
        </w:rPr>
        <w:t>一、收</w:t>
      </w:r>
      <w:r>
        <w:rPr>
          <w:rStyle w:val="2Char"/>
          <w:rFonts w:ascii="仿宋_GB2312" w:eastAsia="仿宋_GB2312" w:hint="eastAsia"/>
          <w:bCs/>
        </w:rPr>
        <w:t>入支出决算总表</w:t>
      </w:r>
      <w:bookmarkEnd w:id="64"/>
      <w:bookmarkEnd w:id="65"/>
    </w:p>
    <w:p>
      <w:pPr>
        <w:pStyle w:val="2"/>
        <w:spacing w:before="0" w:after="0" w:line="560" w:lineRule="exact"/>
        <w:rPr>
          <w:rFonts w:ascii="仿宋_GB2312" w:eastAsia="仿宋_GB2312"/>
          <w:b w:val="0"/>
          <w:color w:val="000000"/>
        </w:rPr>
      </w:pPr>
      <w:bookmarkStart w:id="66" w:name="_Toc79163887"/>
      <w:bookmarkStart w:id="67" w:name="_Toc15396620"/>
      <w:bookmarkStart w:id="68" w:name="_Toc79163637"/>
      <w:r>
        <w:rPr>
          <w:rFonts w:ascii="仿宋_GB2312" w:eastAsia="仿宋_GB2312" w:hint="eastAsia"/>
          <w:b w:val="0"/>
          <w:color w:val="000000"/>
        </w:rPr>
        <w:t>二、收</w:t>
      </w:r>
      <w:r>
        <w:rPr>
          <w:rStyle w:val="2Char"/>
          <w:rFonts w:ascii="仿宋_GB2312" w:eastAsia="仿宋_GB2312" w:hint="eastAsia"/>
          <w:bCs/>
        </w:rPr>
        <w:t>入决算表</w:t>
      </w:r>
    </w:p>
    <w:p>
      <w:pPr>
        <w:pStyle w:val="2"/>
        <w:spacing w:before="0" w:after="0" w:line="560" w:lineRule="exact"/>
        <w:rPr>
          <w:rFonts w:ascii="仿宋_GB2312" w:eastAsia="仿宋_GB2312"/>
          <w:b w:val="0"/>
          <w:color w:val="000000"/>
        </w:rPr>
      </w:pPr>
      <w:r>
        <w:rPr>
          <w:rFonts w:ascii="仿宋_GB2312" w:eastAsia="仿宋_GB2312" w:hint="eastAsia"/>
          <w:b w:val="0"/>
          <w:color w:val="000000"/>
        </w:rPr>
        <w:t>三、</w:t>
      </w:r>
      <w:bookmarkEnd w:id="66"/>
      <w:bookmarkEnd w:id="67"/>
      <w:bookmarkEnd w:id="68"/>
      <w:r>
        <w:rPr>
          <w:rStyle w:val="2Char"/>
          <w:rFonts w:ascii="仿宋_GB2312" w:eastAsia="仿宋_GB2312" w:hint="eastAsia"/>
        </w:rPr>
        <w:t>支</w:t>
      </w:r>
      <w:r>
        <w:rPr>
          <w:rStyle w:val="2Char"/>
          <w:rFonts w:ascii="仿宋_GB2312" w:eastAsia="仿宋_GB2312" w:hint="eastAsia"/>
          <w:bCs/>
        </w:rPr>
        <w:t>出决算表</w:t>
      </w:r>
    </w:p>
    <w:p>
      <w:pPr>
        <w:pStyle w:val="2"/>
        <w:spacing w:before="0" w:after="0" w:line="560" w:lineRule="exact"/>
        <w:rPr>
          <w:rStyle w:val="2Char"/>
          <w:rFonts w:ascii="仿宋_GB2312" w:eastAsia="仿宋_GB2312"/>
        </w:rPr>
      </w:pPr>
      <w:bookmarkStart w:id="69" w:name="_Toc79163888"/>
      <w:bookmarkStart w:id="70" w:name="_Toc15396621"/>
      <w:bookmarkStart w:id="71" w:name="_Toc79163638"/>
      <w:r>
        <w:rPr>
          <w:rStyle w:val="2Char"/>
          <w:rFonts w:ascii="仿宋_GB2312" w:eastAsia="仿宋_GB2312" w:hint="eastAsia"/>
          <w:bCs/>
        </w:rPr>
        <w:t>四、</w:t>
      </w:r>
      <w:bookmarkEnd w:id="69"/>
      <w:bookmarkEnd w:id="70"/>
      <w:bookmarkEnd w:id="71"/>
      <w:r>
        <w:rPr>
          <w:rStyle w:val="2Char"/>
          <w:rFonts w:ascii="仿宋_GB2312" w:eastAsia="仿宋_GB2312" w:hint="eastAsia"/>
          <w:bCs/>
        </w:rPr>
        <w:t>政拨款收入支出决算总表</w:t>
      </w:r>
    </w:p>
    <w:p>
      <w:pPr>
        <w:pStyle w:val="2"/>
        <w:spacing w:before="0" w:after="0" w:line="560" w:lineRule="exact"/>
        <w:rPr>
          <w:rStyle w:val="2Char"/>
          <w:rFonts w:ascii="仿宋_GB2312" w:eastAsia="仿宋_GB2312"/>
        </w:rPr>
      </w:pPr>
      <w:r>
        <w:rPr>
          <w:rStyle w:val="2Char"/>
          <w:rFonts w:ascii="仿宋_GB2312" w:eastAsia="仿宋_GB2312" w:hint="eastAsia"/>
        </w:rPr>
        <w:t>五、财政拨款支</w:t>
      </w:r>
      <w:r>
        <w:rPr>
          <w:rStyle w:val="2Char"/>
          <w:rFonts w:ascii="仿宋_GB2312" w:eastAsia="仿宋_GB2312" w:hint="eastAsia"/>
          <w:bCs/>
        </w:rPr>
        <w:t>出决算明细表</w:t>
      </w:r>
    </w:p>
    <w:p>
      <w:pPr>
        <w:pStyle w:val="2"/>
        <w:spacing w:before="0" w:after="0" w:line="560" w:lineRule="exact"/>
        <w:rPr>
          <w:rFonts w:ascii="仿宋_GB2312" w:eastAsia="仿宋_GB2312"/>
          <w:b w:val="0"/>
          <w:color w:val="000000"/>
        </w:rPr>
      </w:pPr>
      <w:r>
        <w:rPr>
          <w:rFonts w:ascii="仿宋_GB2312" w:eastAsia="仿宋_GB2312" w:hint="eastAsia"/>
          <w:b w:val="0"/>
          <w:color w:val="000000"/>
        </w:rPr>
        <w:t>六、一</w:t>
      </w:r>
      <w:r>
        <w:rPr>
          <w:rStyle w:val="2Char"/>
          <w:rFonts w:ascii="仿宋_GB2312" w:eastAsia="仿宋_GB2312" w:hint="eastAsia"/>
          <w:bCs/>
        </w:rPr>
        <w:t>般公共预算财政拨款支出决算表</w:t>
      </w:r>
    </w:p>
    <w:p>
      <w:pPr>
        <w:pStyle w:val="2"/>
        <w:spacing w:before="0" w:after="0" w:line="560" w:lineRule="exact"/>
        <w:rPr>
          <w:rStyle w:val="2Char"/>
          <w:rFonts w:ascii="仿宋_GB2312" w:eastAsia="仿宋_GB2312"/>
          <w:b/>
        </w:rPr>
      </w:pPr>
      <w:r>
        <w:rPr>
          <w:rStyle w:val="2Char"/>
          <w:rFonts w:ascii="仿宋_GB2312" w:eastAsia="仿宋_GB2312" w:hint="eastAsia"/>
        </w:rPr>
        <w:t>七、一</w:t>
      </w:r>
      <w:r>
        <w:rPr>
          <w:rStyle w:val="2Char"/>
          <w:rFonts w:ascii="仿宋_GB2312" w:eastAsia="仿宋_GB2312" w:hint="eastAsia"/>
          <w:bCs/>
        </w:rPr>
        <w:t>般公共预算财政拨款支出决算明细表</w:t>
      </w:r>
    </w:p>
    <w:p>
      <w:pPr>
        <w:pStyle w:val="2"/>
        <w:spacing w:before="0" w:after="0" w:line="560" w:lineRule="exact"/>
        <w:rPr>
          <w:rStyle w:val="2Char"/>
          <w:rFonts w:ascii="仿宋_GB2312" w:eastAsia="仿宋_GB2312"/>
          <w:bCs/>
        </w:rPr>
      </w:pPr>
      <w:r>
        <w:rPr>
          <w:rStyle w:val="2Char"/>
          <w:rFonts w:ascii="仿宋_GB2312" w:eastAsia="仿宋_GB2312" w:hint="eastAsia"/>
        </w:rPr>
        <w:t>八、一</w:t>
      </w:r>
      <w:r>
        <w:rPr>
          <w:rStyle w:val="2Char"/>
          <w:rFonts w:ascii="仿宋_GB2312" w:eastAsia="仿宋_GB2312" w:hint="eastAsia"/>
          <w:bCs/>
        </w:rPr>
        <w:t>般公共预算财政拨款基本支出决算明细表</w:t>
      </w:r>
    </w:p>
    <w:p>
      <w:pPr>
        <w:pStyle w:val="2"/>
        <w:spacing w:before="0" w:after="0" w:line="560" w:lineRule="exact"/>
        <w:rPr>
          <w:rFonts w:ascii="仿宋_GB2312" w:eastAsia="仿宋_GB2312"/>
          <w:b w:val="0"/>
        </w:rPr>
      </w:pPr>
      <w:r>
        <w:rPr>
          <w:rStyle w:val="2Char"/>
          <w:rFonts w:ascii="仿宋_GB2312" w:eastAsia="仿宋_GB2312" w:hint="eastAsia"/>
        </w:rPr>
        <w:t>九、</w:t>
      </w:r>
      <w:r>
        <w:rPr>
          <w:rStyle w:val="2Char"/>
          <w:rFonts w:ascii="仿宋_GB2312" w:eastAsia="仿宋_GB2312" w:hint="eastAsia"/>
          <w:b/>
        </w:rPr>
        <w:t>一</w:t>
      </w:r>
      <w:r>
        <w:rPr>
          <w:rStyle w:val="2Char"/>
          <w:rFonts w:ascii="仿宋_GB2312" w:eastAsia="仿宋_GB2312" w:hint="eastAsia"/>
          <w:bCs/>
        </w:rPr>
        <w:t>般公共预算财政拨款项目支出决算表</w:t>
      </w:r>
    </w:p>
    <w:p>
      <w:pPr>
        <w:pStyle w:val="2"/>
        <w:spacing w:before="0" w:after="0" w:line="560" w:lineRule="exact"/>
        <w:rPr>
          <w:rStyle w:val="2Char"/>
          <w:rFonts w:ascii="仿宋_GB2312" w:eastAsia="仿宋_GB2312"/>
          <w:bCs/>
        </w:rPr>
      </w:pPr>
      <w:r>
        <w:rPr>
          <w:rStyle w:val="2Char"/>
          <w:rFonts w:ascii="仿宋_GB2312" w:eastAsia="仿宋_GB2312" w:hint="eastAsia"/>
          <w:bCs/>
        </w:rPr>
        <w:t>十、政府性基金预算财政拨款收入支出决算表</w:t>
      </w:r>
    </w:p>
    <w:p>
      <w:pPr>
        <w:pStyle w:val="2"/>
        <w:spacing w:before="0" w:after="0" w:line="560" w:lineRule="exact"/>
        <w:rPr>
          <w:rStyle w:val="2Char"/>
          <w:rFonts w:ascii="仿宋_GB2312" w:eastAsia="仿宋_GB2312"/>
          <w:bCs/>
        </w:rPr>
      </w:pPr>
      <w:r>
        <w:rPr>
          <w:rStyle w:val="2Char"/>
          <w:rFonts w:ascii="仿宋_GB2312" w:eastAsia="仿宋_GB2312" w:hint="eastAsia"/>
        </w:rPr>
        <w:t>十一、国有资本经营</w:t>
      </w:r>
      <w:r>
        <w:rPr>
          <w:rStyle w:val="2Char"/>
          <w:rFonts w:ascii="仿宋_GB2312" w:eastAsia="仿宋_GB2312" w:hint="eastAsia"/>
          <w:bCs/>
        </w:rPr>
        <w:t>预算财政拨款收入支出决算表</w:t>
      </w:r>
    </w:p>
    <w:p>
      <w:pPr>
        <w:pStyle w:val="2"/>
        <w:spacing w:before="0" w:after="0" w:line="560" w:lineRule="exact"/>
        <w:rPr>
          <w:rStyle w:val="2Char"/>
          <w:rFonts w:ascii="仿宋_GB2312" w:eastAsia="仿宋_GB2312"/>
        </w:rPr>
      </w:pPr>
      <w:r>
        <w:rPr>
          <w:rStyle w:val="2Char"/>
          <w:rFonts w:ascii="仿宋_GB2312" w:eastAsia="仿宋_GB2312" w:hint="eastAsia"/>
        </w:rPr>
        <w:t>十二、国有资本经营</w:t>
      </w:r>
      <w:r>
        <w:rPr>
          <w:rStyle w:val="2Char"/>
          <w:rFonts w:ascii="仿宋_GB2312" w:eastAsia="仿宋_GB2312" w:hint="eastAsia"/>
          <w:bCs/>
        </w:rPr>
        <w:t>预算财政拨款支出决算表</w:t>
      </w:r>
    </w:p>
    <w:p>
      <w:pPr>
        <w:pStyle w:val="2"/>
        <w:spacing w:before="0" w:after="0" w:line="560" w:lineRule="exact"/>
        <w:rPr>
          <w:rStyle w:val="2Char"/>
          <w:rFonts w:ascii="仿宋_GB2312" w:eastAsia="仿宋_GB2312"/>
        </w:rPr>
      </w:pPr>
      <w:r>
        <w:rPr>
          <w:rStyle w:val="2Char"/>
          <w:rFonts w:ascii="仿宋_GB2312" w:eastAsia="仿宋_GB2312" w:hint="eastAsia"/>
        </w:rPr>
        <w:t>十三、财政拨款“三公”经费支出决算表</w:t>
      </w:r>
    </w:p>
    <w:p>
      <w:pPr>
        <w:pStyle w:val="2"/>
        <w:spacing w:before="0" w:after="0" w:line="560" w:lineRule="exact"/>
        <w:rPr>
          <w:rStyle w:val="2Char"/>
          <w:rFonts w:ascii="仿宋_GB2312" w:eastAsia="仿宋_GB2312"/>
          <w:bCs/>
        </w:rPr>
      </w:pPr>
      <w:bookmarkEnd w:id="12"/>
      <w:bookmarkEnd w:id="13"/>
    </w:p>
    <w:sectPr>
      <w:headerReference w:type="default" r:id="rId2"/>
      <w:footerReference w:type="default" r:id="rId3"/>
      <w:footerReference w:type="even" r:id="rId4"/>
      <w:pgSz w:w="11907" w:h="16840"/>
      <w:pgMar w:top="2098" w:right="1474" w:bottom="1985" w:left="1588"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AR PL UKai CN"/>
    <w:panose1 w:val="02010600030101010101"/>
    <w:charset w:val="86"/>
    <w:family w:val="auto"/>
    <w:pitch w:val="variable"/>
    <w:sig w:usb0="00000003" w:usb1="288F0000" w:usb2="00000016" w:usb3="00000000" w:csb0="00040001" w:csb1="00000000"/>
  </w:font>
  <w:font w:name="方正小标宋简体">
    <w:altName w:val="方正小标宋_GBK"/>
    <w:panose1 w:val="02010601030101010101"/>
    <w:charset w:val="86"/>
    <w:family w:val="auto"/>
    <w:pitch w:val="variable"/>
    <w:sig w:usb0="00000001" w:usb1="080E0000" w:usb2="00000010" w:usb3="00000000" w:csb0="00040000" w:csb1="00000000"/>
  </w:font>
  <w:font w:name="黑体">
    <w:altName w:val="AR PL UKai CN"/>
    <w:panose1 w:val="02010609060101010101"/>
    <w:charset w:val="86"/>
    <w:family w:val="modern"/>
    <w:pitch w:val="variable"/>
    <w:sig w:usb0="800002BF" w:usb1="38CF7CFA" w:usb2="00000016" w:usb3="00000000" w:csb0="00040001" w:csb1="00000000"/>
  </w:font>
  <w:font w:name="Arial">
    <w:altName w:val="DejaVu Sans"/>
    <w:panose1 w:val="020B0604020202020204"/>
    <w:charset w:val="00"/>
    <w:family w:val="swiss"/>
    <w:pitch w:val="variable"/>
    <w:sig w:usb0="E0002AFF" w:usb1="C0007843" w:usb2="00000009" w:usb3="00000000" w:csb0="000001FF" w:csb1="00000000"/>
  </w:font>
  <w:font w:name="仿宋">
    <w:altName w:val="仿宋_GB2312"/>
    <w:panose1 w:val="02010609060101010101"/>
    <w:charset w:val="86"/>
    <w:family w:val="modern"/>
    <w:pitch w:val="variable"/>
    <w:sig w:usb0="800002BF" w:usb1="38CF7CFA"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Calibri">
    <w:altName w:val="DejaVu Sans"/>
    <w:panose1 w:val="020F0502020204030204"/>
    <w:charset w:val="00"/>
    <w:family w:val="swiss"/>
    <w:pitch w:val="variable"/>
    <w:sig w:usb0="E00002FF" w:usb1="4000ACFF" w:usb2="00000001" w:usb3="00000000" w:csb0="0000019F" w:csb1="00000000"/>
  </w:font>
  <w:font w:name="楷体">
    <w:altName w:val="楷体_GB2312"/>
    <w:panose1 w:val="02010609060101010101"/>
    <w:charset w:val="86"/>
    <w:family w:val="modern"/>
    <w:pitch w:val="variable"/>
    <w:sig w:usb0="800002BF" w:usb1="38CF7CFA" w:usb2="00000016" w:usb3="00000000" w:csb0="00040001" w:csb1="00000000"/>
  </w:font>
  <w:font w:name="Cambria">
    <w:altName w:val="DejaVu Sans"/>
    <w:panose1 w:val="02040503050406030204"/>
    <w:charset w:val="00"/>
    <w:family w:val="roman"/>
    <w:pitch w:val="variable"/>
    <w:sig w:usb0="E00002FF" w:usb1="400004FF" w:usb2="00000000" w:usb3="00000000" w:csb0="0000019F" w:csb1="00000000"/>
  </w:font>
  <w:font w:name="楷体_GB2312">
    <w:panose1 w:val="02010609030101010101"/>
    <w:charset w:val="86"/>
    <w:family w:val="modern"/>
    <w:pitch w:val="variable"/>
    <w:sig w:usb0="00000001" w:usb1="080E0000" w:usb2="00000010" w:usb3="00000000" w:csb0="00040000" w:csb1="00000000"/>
  </w:font>
  <w:font w:name="Times New Roman">
    <w:altName w:val="DejaVu Sans"/>
    <w:panose1 w:val="02020603050405020304"/>
    <w:charset w:val="00"/>
    <w:family w:val="roman"/>
    <w:pitch w:val="variable"/>
    <w:sig w:usb0="E0002AFF" w:usb1="C0007841"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framePr w:w="0" w:hRule="auto" w:wrap="around" w:vAnchor="text" w:hAnchor="margin" w:xAlign="center" w:y="1" w:anchorLock="0"/>
      <w:tabs>
        <w:tab w:val="center" w:pos="4153"/>
        <w:tab w:val="right" w:pos="8306"/>
      </w:tabs>
      <w:rPr>
        <w:rFonts w:ascii="宋体"/>
        <w:sz w:val="28"/>
        <w:szCs w:val="28"/>
      </w:rPr>
    </w:pPr>
    <w:r>
      <w:rPr>
        <w:rStyle w:val="24"/>
        <w:rFonts w:ascii="宋体" w:hint="eastAsia"/>
        <w:sz w:val="28"/>
        <w:szCs w:val="28"/>
      </w:rPr>
      <w:fldChar w:fldCharType="begin"/>
    </w:r>
    <w:r>
      <w:rPr>
        <w:rStyle w:val="24"/>
        <w:rFonts w:ascii="宋体" w:hint="eastAsia"/>
        <w:sz w:val="28"/>
        <w:szCs w:val="28"/>
      </w:rPr>
      <w:instrText>Page</w:instrText>
    </w:r>
    <w:r>
      <w:rPr>
        <w:rStyle w:val="24"/>
        <w:rFonts w:ascii="宋体" w:hint="eastAsia"/>
        <w:sz w:val="28"/>
        <w:szCs w:val="28"/>
      </w:rPr>
      <w:fldChar w:fldCharType="separate"/>
    </w:r>
    <w:r>
      <w:rPr>
        <w:rStyle w:val="24"/>
        <w:rFonts w:ascii="宋体"/>
        <w:sz w:val="28"/>
        <w:szCs w:val="28"/>
      </w:rPr>
      <w:t>- 15 -</w:t>
    </w:r>
    <w:r>
      <w:rPr>
        <w:rStyle w:val="24"/>
        <w:rFonts w:ascii="宋体" w:hint="eastAsia"/>
        <w:sz w:val="28"/>
        <w:szCs w:val="28"/>
      </w:rPr>
      <w:fldChar w:fldCharType="end"/>
    </w:r>
  </w:p>
  <w:p>
    <w:pPr>
      <w:pStyle w:val="19"/>
      <w:tabs>
        <w:tab w:val="center" w:pos="4153"/>
        <w:tab w:val="right" w:pos="8306"/>
      </w:tabs>
      <w:ind w:right="360"/>
      <w:rPr>
        <w:rFonts w:ascii="宋体"/>
        <w:sz w:val="28"/>
        <w:szCs w:val="28"/>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framePr w:w="0" w:hRule="auto" w:wrap="around" w:vAnchor="text" w:hAnchor="margin" w:xAlign="center" w:y="1" w:anchorLock="0"/>
      <w:tabs>
        <w:tab w:val="center" w:pos="4153"/>
        <w:tab w:val="right" w:pos="8306"/>
      </w:tabs>
      <w:rPr>
        <w:sz w:val="28"/>
        <w:szCs w:val="28"/>
      </w:rPr>
    </w:pPr>
    <w:r>
      <w:rPr>
        <w:rStyle w:val="24"/>
        <w:sz w:val="28"/>
        <w:szCs w:val="28"/>
      </w:rPr>
      <w:fldChar w:fldCharType="begin"/>
    </w:r>
    <w:r>
      <w:rPr>
        <w:rStyle w:val="24"/>
        <w:sz w:val="28"/>
        <w:szCs w:val="28"/>
      </w:rPr>
      <w:instrText>Page</w:instrText>
    </w:r>
    <w:r>
      <w:rPr>
        <w:rStyle w:val="24"/>
        <w:sz w:val="28"/>
        <w:szCs w:val="28"/>
      </w:rPr>
      <w:fldChar w:fldCharType="separate"/>
    </w:r>
    <w:r>
      <w:rPr>
        <w:rStyle w:val="24"/>
        <w:sz w:val="28"/>
        <w:szCs w:val="28"/>
      </w:rPr>
      <w:t>- 1 -</w:t>
    </w:r>
    <w:r>
      <w:rPr>
        <w:rStyle w:val="24"/>
        <w:sz w:val="28"/>
        <w:szCs w:val="28"/>
      </w:rPr>
      <w:fldChar w:fldCharType="end"/>
    </w:r>
  </w:p>
  <w:p>
    <w:pPr>
      <w:pStyle w:val="19"/>
      <w:tabs>
        <w:tab w:val="center" w:pos="4153"/>
        <w:tab w:val="right" w:pos="8306"/>
      </w:tabs>
      <w:ind w:right="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r>
      <w:rPr>
        <w:rFonts w:hint="eastAsia"/>
      </w:rPr>
      <w:t>·</w:t>
    </w: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F652CEC"/>
    <w:multiLevelType w:val="singleLevel"/>
    <w:tmpl w:val="CF652CEC"/>
    <w:lvl w:ilvl="0">
      <w:start w:val="9"/>
      <w:numFmt w:val="chineseCounting"/>
      <w:lvlRestart w:val="0"/>
      <w:suff w:val="nothing"/>
      <w:lvlText w:val="%1、"/>
      <w:lvlJc w:val="left"/>
      <w:pPr>
        <w:tabs>
          <w:tab w:val="num" w:pos="0"/>
        </w:tabs>
        <w:ind w:left="0" w:hanging="0"/>
      </w:pPr>
      <w:rPr>
        <w:rFonts w:cs="Times New Roman" w:hint="eastAsia"/>
      </w:rPr>
    </w:lvl>
  </w:abstractNum>
  <w:abstractNum w:abstractNumId="1">
    <w:nsid w:val="E2FA047D"/>
    <w:multiLevelType w:val="singleLevel"/>
    <w:tmpl w:val="E2FA047D"/>
    <w:lvl w:ilvl="0">
      <w:start w:val="3"/>
      <w:numFmt w:val="chineseCounting"/>
      <w:lvlRestart w:val="0"/>
      <w:suff w:val="space"/>
      <w:lvlText w:val="第%1部分"/>
      <w:lvlJc w:val="left"/>
      <w:pPr>
        <w:tabs>
          <w:tab w:val="num" w:pos="284"/>
        </w:tabs>
        <w:ind w:left="284"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next w:val="0"/>
    <w:link w:val="1Char"/>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next w:val="0"/>
    <w:link w:val="2Char"/>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ody Text"/>
    <w:next w:val="16"/>
    <w:pPr>
      <w:widowControl w:val="0"/>
      <w:spacing w:beforeLines="30" w:before="30"/>
      <w:jc w:val="both"/>
    </w:pPr>
    <w:rPr>
      <w:rFonts w:ascii="仿宋_GB2312" w:eastAsia="仿宋_GB2312" w:cs="Times New Roman"/>
      <w:sz w:val="24"/>
      <w:szCs w:val="20"/>
      <w:lang w:val="zh-CN" w:eastAsia="zh-CN" w:bidi="ar-SA"/>
    </w:rPr>
  </w:style>
  <w:style w:type="paragraph" w:styleId="16">
    <w:name w:val="toc 1"/>
    <w:next w:val="0"/>
    <w:pPr>
      <w:widowControl w:val="0"/>
      <w:spacing w:before="120" w:after="120"/>
    </w:pPr>
    <w:rPr>
      <w:rFonts w:ascii="Calibri" w:eastAsia="Calibri" w:cs="Times New Roman" w:hAnsi="Calibri"/>
      <w:b/>
      <w:bCs/>
      <w:caps/>
      <w:smallCaps w:val="0"/>
      <w:kern w:val="2"/>
      <w:sz w:val="20"/>
      <w:szCs w:val="20"/>
      <w:lang w:val="en-US" w:eastAsia="zh-CN" w:bidi="ar-SA"/>
    </w:rPr>
  </w:style>
  <w:style w:type="paragraph" w:styleId="17">
    <w:name w:val="toc 5"/>
    <w:basedOn w:val="0"/>
    <w:next w:val="0"/>
    <w:pPr>
      <w:ind w:left="1680"/>
    </w:pPr>
  </w:style>
  <w:style w:type="paragraph" w:styleId="18">
    <w:name w:val="toc 3"/>
    <w:next w:val="0"/>
    <w:pPr>
      <w:widowControl w:val="0"/>
      <w:ind w:left="420"/>
    </w:pPr>
    <w:rPr>
      <w:rFonts w:ascii="Calibri" w:eastAsia="Calibri" w:cs="Times New Roman" w:hAnsi="Calibri"/>
      <w:i/>
      <w:iCs/>
      <w:kern w:val="2"/>
      <w:sz w:val="20"/>
      <w:szCs w:val="20"/>
      <w:lang w:val="en-US" w:eastAsia="zh-CN" w:bidi="ar-SA"/>
    </w:rPr>
  </w:style>
  <w:style w:type="paragraph" w:styleId="19">
    <w:name w:val="footer"/>
    <w:next w:val="18"/>
    <w:pPr>
      <w:widowControl w:val="0"/>
      <w:tabs>
        <w:tab w:val="center" w:pos="4153"/>
        <w:tab w:val="right" w:pos="8306"/>
      </w:tabs>
      <w:snapToGrid w:val="0"/>
    </w:pPr>
    <w:rPr>
      <w:rFonts w:ascii="Calibri" w:eastAsia="宋体" w:cs="Times New Roman" w:hAnsi="Calibri"/>
      <w:sz w:val="18"/>
      <w:szCs w:val="20"/>
      <w:lang w:val="zh-CN" w:eastAsia="zh-CN" w:bidi="ar-SA"/>
    </w:rPr>
  </w:style>
  <w:style w:type="paragraph" w:styleId="20">
    <w:name w:val="header"/>
    <w:next w:val="21"/>
    <w:pPr>
      <w:widowControl w:val="0"/>
      <w:pBdr>
        <w:bottom w:val="single" w:sz="6" w:space="1" w:color="auto"/>
      </w:pBdr>
      <w:tabs>
        <w:tab w:val="center" w:pos="4153"/>
        <w:tab w:val="right" w:pos="8306"/>
      </w:tabs>
      <w:snapToGrid w:val="0"/>
      <w:jc w:val="center"/>
    </w:pPr>
    <w:rPr>
      <w:rFonts w:ascii="Calibri" w:eastAsia="宋体" w:cs="Times New Roman" w:hAnsi="Calibri"/>
      <w:sz w:val="18"/>
      <w:szCs w:val="20"/>
      <w:lang w:val="zh-CN" w:eastAsia="zh-CN" w:bidi="ar-SA"/>
    </w:rPr>
  </w:style>
  <w:style w:type="paragraph" w:styleId="21">
    <w:name w:val="toc 4"/>
    <w:basedOn w:val="0"/>
    <w:next w:val="0"/>
    <w:pPr>
      <w:ind w:left="1260"/>
    </w:pPr>
  </w:style>
  <w:style w:type="paragraph" w:styleId="22">
    <w:name w:val="toc 2"/>
    <w:next w:val="0"/>
    <w:pPr>
      <w:widowControl w:val="0"/>
      <w:ind w:left="210"/>
    </w:pPr>
    <w:rPr>
      <w:rFonts w:ascii="Calibri" w:eastAsia="Calibri" w:cs="Times New Roman" w:hAnsi="Calibri"/>
      <w:caps w:val="0"/>
      <w:smallCaps/>
      <w:kern w:val="2"/>
      <w:sz w:val="20"/>
      <w:szCs w:val="20"/>
      <w:lang w:val="en-US" w:eastAsia="zh-CN" w:bidi="ar-SA"/>
    </w:rPr>
  </w:style>
  <w:style w:type="character" w:styleId="23">
    <w:name w:val="Strong"/>
    <w:rPr>
      <w:rFonts w:cs="Times New Roman"/>
      <w:b/>
      <w:lang w:bidi="ar-SA"/>
    </w:rPr>
  </w:style>
  <w:style w:type="character" w:styleId="24">
    <w:name w:val="page number"/>
  </w:style>
  <w:style w:type="paragraph" w:customStyle="1" w:styleId="25">
    <w:name w:val="列表段落1"/>
    <w:next w:val="2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6">
    <w:name w:val="浅色列表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7">
    <w:name w:val="Default"/>
    <w:next w:val="17"/>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8">
    <w:name w:val="p0"/>
    <w:pPr>
      <w:spacing w:beforeAutospacing="1" w:afterAutospacing="1"/>
    </w:pPr>
    <w:rPr>
      <w:rFonts w:ascii="宋体" w:eastAsia="宋体" w:cs="宋体"/>
      <w:sz w:val="24"/>
      <w:szCs w:val="24"/>
      <w:lang w:val="en-US" w:eastAsia="zh-CN" w:bidi="ar-SA"/>
    </w:rPr>
  </w:style>
  <w:style w:type="paragraph" w:styleId="29">
    <w:name w:val="List Paragraph"/>
    <w:basedOn w:val="0"/>
    <w:pPr>
      <w:ind w:firstLineChars="200" w:firstLine="200"/>
    </w:pPr>
  </w:style>
  <w:style w:type="paragraph" w:customStyle="1" w:styleId="30">
    <w:name w:val="无间隔1,文字正文"/>
    <w:pPr>
      <w:ind w:firstLineChars="200" w:firstLine="200"/>
    </w:pPr>
    <w:rPr>
      <w:rFonts w:ascii="Calibri" w:eastAsia="仿宋_GB2312" w:cs="Arial" w:hAnsi="Calibri"/>
      <w:sz w:val="22"/>
      <w:szCs w:val="22"/>
      <w:lang w:val="en-US" w:eastAsia="zh-CN" w:bidi="ar-SA"/>
    </w:rPr>
  </w:style>
  <w:style w:type="paragraph" w:customStyle="1" w:styleId="31">
    <w:name w:val="无间隔2"/>
    <w:pPr>
      <w:ind w:firstLineChars="200" w:firstLine="200"/>
    </w:pPr>
    <w:rPr>
      <w:rFonts w:ascii="Times New Roman" w:eastAsia="仿宋_GB2312" w:cs="Times New Roman" w:hAnsi="Times New Roman"/>
      <w:sz w:val="22"/>
      <w:szCs w:val="22"/>
      <w:lang w:val="en-US" w:eastAsia="zh-CN" w:bidi="ar-SA"/>
    </w:rPr>
  </w:style>
  <w:style w:type="paragraph" w:styleId="32">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image" Target="media/2.png"/><Relationship Id="rId6" Type="http://schemas.openxmlformats.org/officeDocument/2006/relationships/image" Target="media/5.png"/><Relationship Id="rId7" Type="http://schemas.openxmlformats.org/officeDocument/2006/relationships/image" Target="media/8.png"/><Relationship Id="rId8" Type="http://schemas.openxmlformats.org/officeDocument/2006/relationships/image" Target="media/11.png"/><Relationship Id="rId9" Type="http://schemas.openxmlformats.org/officeDocument/2006/relationships/image" Target="media/14.png"/><Relationship Id="rId10" Type="http://schemas.openxmlformats.org/officeDocument/2006/relationships/image" Target="media/17.png"/><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docProps/app.xml><?xml version="1.0" encoding="utf-8"?>
<Properties xmlns="http://schemas.openxmlformats.org/officeDocument/2006/extended-properties">
  <Template>Normal.eit</Template>
  <TotalTime>258</TotalTime>
  <Application>Yozo_Office27021597764231179</Application>
  <Pages>31</Pages>
  <Words>12429</Words>
  <Characters>13469</Characters>
  <Lines>732</Lines>
  <Paragraphs>293</Paragraphs>
  <CharactersWithSpaces>13565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d</dc:creator>
  <cp:lastModifiedBy>Administrator</cp:lastModifiedBy>
  <cp:revision>116</cp:revision>
  <cp:lastPrinted>2023-08-28T07:17:00Z</cp:lastPrinted>
  <dcterms:created xsi:type="dcterms:W3CDTF">2018-07-11T15:11:00Z</dcterms:created>
  <dcterms:modified xsi:type="dcterms:W3CDTF">2023-08-30T07:34:48Z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2052-11.1.0.10702</vt:lpwstr>
  </property>
</Properties>
</file>