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金川县发展改革和经济商务信息化局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spacing w:line="560" w:lineRule="exact"/>
        <w:ind w:firstLine="880" w:firstLineChars="200"/>
        <w:rPr>
          <w:rFonts w:hint="eastAsia" w:ascii="仿宋_GB2312" w:eastAsia="仿宋_GB2312" w:cs="仿宋_GB2312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2023年，我单位部门预算418.13万元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单位整体绩效目标。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、统筹促进经济社会发展。确保同全州同步奔小康的经济发展，按照全县“夯实基础、增量提质、跨越发展”经济工作的总体取向，进一步采取有针对性的措施，确保各项工作进度和时间保持一致。一是继续做好经济和社会发展分析研判工作，二是完善各项规划，三是入库工作扎实推进。2、全面推进投资工作。（1）加强项目储备落地。（2）积极争取国家资金。（3）全力推进项目建设。（4）狠抓项目管理。3、抓好工业经济工作落地建设。4、力促小水电开发和电网建设。使全县人民生产生活用电得到保障，工业用电得以稳定，更好的助推金川经济的发展。5、贯彻执行国家有关商务领域的方针、政策和法律、法规，研究提出引导国内外资金投向市场体系建设的政策建议，促进城乡市场发展；负责商业网点规划、商业体系建设工作。5、其他县委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县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政府交办的日常工作。</w:t>
      </w:r>
    </w:p>
    <w:p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三、重点项目绩效目标。无</w:t>
      </w:r>
    </w:p>
    <w:p>
      <w:pPr>
        <w:spacing w:line="560" w:lineRule="exact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jZjE1OTBmZTc4M2ZlNjdmNWM1MmQ5OThkMGU1NjEifQ=="/>
  </w:docVars>
  <w:rsids>
    <w:rsidRoot w:val="00000000"/>
    <w:rsid w:val="203549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529</Words>
  <Characters>540</Characters>
  <Lines>26</Lines>
  <Paragraphs>8</Paragraphs>
  <TotalTime>17</TotalTime>
  <ScaleCrop>false</ScaleCrop>
  <LinksUpToDate>false</LinksUpToDate>
  <CharactersWithSpaces>542</CharactersWithSpaces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平淡无奇</cp:lastModifiedBy>
  <dcterms:modified xsi:type="dcterms:W3CDTF">2023-07-26T01:14:16Z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DAAB0D233AD64556B0828C9A11E62D8F_12</vt:lpwstr>
  </property>
</Properties>
</file>