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5377193"/>
      <w:bookmarkStart w:id="3" w:name="_Toc15378441"/>
      <w:bookmarkStart w:id="4" w:name="_Toc15396597"/>
      <w:bookmarkStart w:id="5" w:name="_Toc15396475"/>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96598"/>
      <w:bookmarkStart w:id="7" w:name="_Toc15377194"/>
      <w:bookmarkStart w:id="8" w:name="_Toc15377426"/>
      <w:bookmarkStart w:id="9" w:name="_Toc15396476"/>
      <w:bookmarkStart w:id="10" w:name="_Toc15378442"/>
      <w:r>
        <w:rPr>
          <w:rFonts w:hint="eastAsia" w:ascii="方正小标宋简体" w:eastAsia="方正小标宋简体"/>
          <w:color w:val="000000"/>
          <w:sz w:val="72"/>
          <w:szCs w:val="72"/>
        </w:rPr>
        <w:t>四川省阿坝州</w:t>
      </w:r>
      <w:bookmarkEnd w:id="0"/>
      <w:bookmarkStart w:id="11" w:name="_Toc15306268"/>
      <w:r>
        <w:rPr>
          <w:rFonts w:hint="eastAsia" w:ascii="方正小标宋简体" w:eastAsia="方正小标宋简体"/>
          <w:color w:val="000000"/>
          <w:sz w:val="72"/>
          <w:szCs w:val="72"/>
        </w:rPr>
        <w:t>金川县发展改革和经济商务信息化局部门决算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公开时间：2020年8月3日</w:t>
      </w:r>
    </w:p>
    <w:p/>
    <w:p/>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6</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rPr>
          <w:rStyle w:val="16"/>
          <w:rFonts w:hint="eastAsia" w:ascii="仿宋" w:eastAsia="仿宋"/>
          <w:bCs/>
          <w:sz w:val="28"/>
          <w:szCs w:val="28"/>
        </w:rPr>
        <w:t xml:space="preserve"> 十、预算绩效情况说明..................................15</w:t>
      </w:r>
    </w:p>
    <w:p/>
    <w:p>
      <w:pPr>
        <w:pStyle w:val="12"/>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18</w:t>
      </w:r>
      <w:r>
        <w:rPr>
          <w:rFonts w:hint="eastAsia" w:ascii="仿宋" w:eastAsia="仿宋"/>
          <w:sz w:val="28"/>
          <w:szCs w:val="28"/>
        </w:rPr>
        <w:fldChar w:fldCharType="end"/>
      </w:r>
    </w:p>
    <w:p>
      <w:pPr>
        <w:pStyle w:val="11"/>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w:t>
      </w:r>
      <w:r>
        <w:rPr>
          <w:rFonts w:hint="eastAsia"/>
        </w:rPr>
        <w:fldChar w:fldCharType="end"/>
      </w:r>
      <w:r>
        <w:rPr>
          <w:rFonts w:hint="eastAsia"/>
        </w:rPr>
        <w:t>8</w:t>
      </w:r>
    </w:p>
    <w:p>
      <w:pPr>
        <w:pStyle w:val="11"/>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2</w:t>
      </w:r>
    </w:p>
    <w:p>
      <w:pPr>
        <w:pStyle w:val="12"/>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2</w:t>
      </w:r>
    </w:p>
    <w:p>
      <w:pPr>
        <w:pStyle w:val="11"/>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9</w:t>
      </w:r>
    </w:p>
    <w:p>
      <w:pPr>
        <w:pStyle w:val="12"/>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2"/>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3"/>
        <w:spacing w:before="0" w:after="0" w:line="240" w:lineRule="auto"/>
        <w:ind w:left="420" w:leftChars="200"/>
        <w:rPr>
          <w:rStyle w:val="18"/>
          <w:rFonts w:ascii="黑体" w:eastAsia="黑体"/>
          <w:b w:val="0"/>
          <w:bCs w:val="0"/>
          <w:color w:val="000000" w:themeColor="text1"/>
        </w:rPr>
      </w:pPr>
      <w:bookmarkStart w:id="14" w:name="_Toc15396600"/>
      <w:bookmarkStart w:id="15" w:name="_Toc15377197"/>
      <w:r>
        <w:rPr>
          <w:rFonts w:hint="eastAsia" w:ascii="黑体" w:eastAsia="黑体"/>
          <w:b w:val="0"/>
          <w:color w:val="000000" w:themeColor="text1"/>
        </w:rPr>
        <w:t>一、基</w:t>
      </w:r>
      <w:r>
        <w:rPr>
          <w:rStyle w:val="18"/>
          <w:rFonts w:hint="eastAsia" w:ascii="黑体" w:eastAsia="黑体"/>
          <w:b w:val="0"/>
          <w:bCs w:val="0"/>
          <w:color w:val="000000" w:themeColor="text1"/>
        </w:rPr>
        <w:t>本职能及主要工作</w:t>
      </w:r>
      <w:bookmarkEnd w:id="14"/>
      <w:bookmarkEnd w:id="15"/>
      <w:bookmarkStart w:id="16" w:name="_Toc15377198"/>
      <w:bookmarkStart w:id="17" w:name="_Toc15378445"/>
    </w:p>
    <w:p>
      <w:pPr>
        <w:pStyle w:val="3"/>
        <w:spacing w:before="0" w:after="0" w:line="240" w:lineRule="auto"/>
        <w:ind w:left="642" w:leftChars="153" w:hanging="321" w:hangingChars="100"/>
        <w:rPr>
          <w:rFonts w:ascii="楷体" w:eastAsia="楷体" w:cs="楷体"/>
          <w:color w:val="000000" w:themeColor="text1"/>
        </w:rPr>
      </w:pPr>
      <w:r>
        <w:rPr>
          <w:rFonts w:hint="eastAsia" w:ascii="楷体" w:eastAsia="楷体" w:cs="楷体"/>
          <w:color w:val="000000" w:themeColor="text1"/>
        </w:rPr>
        <w:t>（一）主要职能</w:t>
      </w:r>
      <w:bookmarkEnd w:id="16"/>
      <w:bookmarkEnd w:id="17"/>
      <w:bookmarkStart w:id="18" w:name="_Toc15377199"/>
      <w:bookmarkStart w:id="19" w:name="_Toc15378446"/>
    </w:p>
    <w:p>
      <w:pPr>
        <w:pStyle w:val="25"/>
        <w:spacing w:beforeAutospacing="0" w:afterAutospacing="0" w:line="560" w:lineRule="exact"/>
        <w:ind w:firstLine="640" w:firstLineChars="200"/>
        <w:rPr>
          <w:rFonts w:ascii="仿宋_GB2312" w:eastAsia="仿宋_GB2312"/>
          <w:color w:val="000000" w:themeColor="text1"/>
          <w:sz w:val="32"/>
          <w:szCs w:val="32"/>
        </w:rPr>
      </w:pPr>
      <w:r>
        <w:rPr>
          <w:rFonts w:ascii="仿宋" w:hAnsi="仿宋" w:eastAsia="仿宋"/>
          <w:color w:val="000000" w:themeColor="text1"/>
          <w:sz w:val="32"/>
          <w:szCs w:val="32"/>
        </w:rPr>
        <w:t>根据</w:t>
      </w:r>
      <w:r>
        <w:rPr>
          <w:rFonts w:ascii="仿宋" w:hAnsi="仿宋" w:eastAsia="仿宋"/>
          <w:color w:val="000000" w:themeColor="text1"/>
          <w:sz w:val="32"/>
          <w:szCs w:val="32"/>
          <w:u w:val="single"/>
        </w:rPr>
        <w:t xml:space="preserve"> 《金川县人民政府关于印发 &lt;金川县发展改革和经济商务信息化局职能职责内设机构人员编制方案&gt; 的通知》</w:t>
      </w:r>
      <w:r>
        <w:rPr>
          <w:rFonts w:ascii="仿宋" w:hAnsi="仿宋" w:eastAsia="仿宋"/>
          <w:color w:val="000000" w:themeColor="text1"/>
          <w:sz w:val="32"/>
          <w:szCs w:val="32"/>
        </w:rPr>
        <w:t>文件规定,主要职能:贯彻实施国家、省、州有关国民经济和社会发展、经济体制改革的方针、政策和法律、法规；负责拟订并组织实施全县国民经济和社会发展战略、中长期规划和年度计划；负责监测宏观经济和社会发展态势，承担相关预测预警和信息引导责任；负责全县投资宏观管理和协调推进重大项目建设。拟定全县全社会固定资产投资总规模和投资结构，编制年度投资计划；推进经济结构战略性调整；促进城乡区域协调发展；推进可持续发展，负责全县节能减排的综合协调工作；指导、协调并综合管理全县招标投标工作；负责组织贯彻国家、省、州有关工业经济、信息化和无线电管理、国内外贸易、外商投资和国际经济合作的有关工业经济的政策措施，拟定全县有关工业经济、信息化和无线电管理的</w:t>
      </w:r>
      <w:r>
        <w:rPr>
          <w:rFonts w:hint="eastAsia" w:ascii="仿宋" w:hAnsi="仿宋" w:eastAsia="仿宋"/>
          <w:color w:val="000000" w:themeColor="text1"/>
          <w:sz w:val="32"/>
          <w:szCs w:val="32"/>
          <w:lang w:eastAsia="zh-CN"/>
        </w:rPr>
        <w:t>地方性法规</w:t>
      </w:r>
      <w:r>
        <w:rPr>
          <w:rFonts w:ascii="仿宋" w:hAnsi="仿宋" w:eastAsia="仿宋"/>
          <w:color w:val="000000" w:themeColor="text1"/>
          <w:sz w:val="32"/>
          <w:szCs w:val="32"/>
        </w:rPr>
        <w:t>、规章草案；负责监测、分析工业经济运行态势和质量；负责全县企业技术改造推进工作；负责全县工业和信息化领域的节能降耗、清洁生产和资源节约与综合利用工作；承担全县服务业发展工作中组织实施的协调职责，推进流通产业结构调整；指导全县外商促进和管理工作；负责全县招商项目策划、项目收集、项目分析、项目包装、项目发布、项目签约和重大项目的跟踪促进。</w:t>
      </w:r>
      <w:r>
        <w:rPr>
          <w:rFonts w:hint="eastAsia" w:ascii="仿宋_GB2312" w:eastAsia="仿宋_GB2312"/>
          <w:color w:val="000000" w:themeColor="text1"/>
          <w:sz w:val="32"/>
          <w:szCs w:val="32"/>
        </w:rPr>
        <w:t>负责编制全县价格改革、价格调整的年度计划和规划；草拟地方性价格法规规章，审定价格管理办法和规范性文件；负责研究列管商品和服务价格管理原则、范围和作价办法；引导和规范经营者自主定价行为，指导行业价格自律，当市场价格出现异常波动时，提出干预措施，待批准后组织实施。</w:t>
      </w:r>
      <w:r>
        <w:rPr>
          <w:rFonts w:ascii="仿宋" w:hAnsi="仿宋" w:eastAsia="仿宋"/>
          <w:color w:val="000000" w:themeColor="text1"/>
          <w:sz w:val="32"/>
          <w:szCs w:val="32"/>
        </w:rPr>
        <w:t>承办县政府交办的其他事项。</w:t>
      </w:r>
    </w:p>
    <w:p>
      <w:pPr>
        <w:pStyle w:val="3"/>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pStyle w:val="25"/>
        <w:spacing w:beforeAutospacing="0" w:afterAutospacing="0" w:line="560" w:lineRule="exact"/>
        <w:ind w:firstLine="640" w:firstLineChars="200"/>
        <w:jc w:val="both"/>
        <w:rPr>
          <w:rFonts w:ascii="仿宋_GB2312" w:hAnsi="仿宋" w:eastAsia="仿宋_GB2312"/>
          <w:sz w:val="32"/>
          <w:szCs w:val="32"/>
        </w:rPr>
      </w:pPr>
      <w:bookmarkStart w:id="20" w:name="_Toc15377200"/>
      <w:bookmarkStart w:id="21" w:name="_Toc15396601"/>
      <w:r>
        <w:rPr>
          <w:rFonts w:hint="eastAsia" w:ascii="仿宋_GB2312" w:hAnsi="仿宋" w:eastAsia="仿宋_GB2312"/>
          <w:sz w:val="32"/>
          <w:szCs w:val="32"/>
        </w:rPr>
        <w:t>2020年主要工作任务是：1、统筹促进经济社会发展。确保同全州同步奔小康的经济发展，按照全县“夯实基础、增量提质、跨越发展”经济工作的总体取向，进一步采取有针对性的措施，确保各项工作进度和时间保持一致。一是继续做好经济和社会发展分析研判工作，二是完善各项规划，三是入库工作扎实推进。2、全面推进投资工作。（1）加强项目储备落地。（2）积极争取国家资金。（3）全力推进项目建设。（4）狠抓项目管理。3、抓好工业经济工作落地建设。4、力促小水电开发和电网建设。使全县人民生产生活用电得到保障，工业用电得以稳定，更好的助推金川经济的发展。5、贯彻执行国家有关商务领域的方针、政策和法律、法规，研究提出引导国内外资金投向市场体系建设的政策建议，促进城乡市场发展；负责商业网点规划、商业体系建设工作。</w:t>
      </w:r>
    </w:p>
    <w:p>
      <w:pPr>
        <w:spacing w:line="578" w:lineRule="exact"/>
        <w:ind w:firstLine="640" w:firstLineChars="200"/>
        <w:rPr>
          <w:rFonts w:ascii="Cambria" w:hAnsi="Cambria"/>
          <w:sz w:val="32"/>
          <w:szCs w:val="32"/>
        </w:rPr>
      </w:pPr>
      <w:r>
        <w:rPr>
          <w:rStyle w:val="18"/>
          <w:rFonts w:hint="eastAsia" w:ascii="黑体" w:eastAsia="黑体"/>
          <w:b w:val="0"/>
          <w:bCs w:val="0"/>
        </w:rPr>
        <w:t>二、机构设置</w:t>
      </w:r>
      <w:bookmarkEnd w:id="20"/>
      <w:bookmarkEnd w:id="21"/>
    </w:p>
    <w:p>
      <w:pPr>
        <w:spacing w:line="578" w:lineRule="exact"/>
        <w:ind w:firstLine="640" w:firstLineChars="200"/>
        <w:rPr>
          <w:rFonts w:ascii="Cambria" w:hAnsi="Cambria"/>
          <w:sz w:val="32"/>
          <w:szCs w:val="32"/>
        </w:rPr>
      </w:pPr>
      <w:r>
        <w:rPr>
          <w:rFonts w:hint="eastAsia" w:ascii="仿宋_GB2312" w:eastAsia="仿宋_GB2312"/>
          <w:color w:val="000000"/>
          <w:sz w:val="32"/>
          <w:szCs w:val="32"/>
        </w:rPr>
        <w:t>金川县发展改革和经济商务信息化局是</w:t>
      </w:r>
      <w:r>
        <w:rPr>
          <w:rFonts w:hint="eastAsia" w:ascii="仿宋_GB2312" w:eastAsia="仿宋_GB2312"/>
          <w:bCs/>
          <w:color w:val="000000"/>
          <w:sz w:val="32"/>
          <w:szCs w:val="32"/>
        </w:rPr>
        <w:t>政府组成部门，由金川县发展改革和经济商务信息化局（挂牌）、县发展改革和经济商务信息中心、县节能减排中心组成，设</w:t>
      </w:r>
      <w:r>
        <w:rPr>
          <w:rFonts w:hint="eastAsia" w:ascii="仿宋_GB2312" w:eastAsia="仿宋_GB2312"/>
          <w:color w:val="000000"/>
          <w:sz w:val="32"/>
          <w:szCs w:val="32"/>
        </w:rPr>
        <w:t>统一核算机构为1个，独立编制机构3个，其中:行政单位1个，事业单位2个。</w:t>
      </w:r>
    </w:p>
    <w:p>
      <w:pPr>
        <w:pStyle w:val="2"/>
        <w:ind w:right="440"/>
        <w:jc w:val="right"/>
        <w:rPr>
          <w:rStyle w:val="17"/>
          <w:rFonts w:ascii="黑体" w:eastAsia="黑体"/>
          <w:b w:val="0"/>
          <w:bCs w:val="0"/>
        </w:rPr>
      </w:pPr>
      <w:bookmarkStart w:id="22" w:name="_Toc15396602"/>
      <w:bookmarkStart w:id="23" w:name="_Toc15377204"/>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2020年度部门决算情况说明</w:t>
      </w:r>
      <w:bookmarkEnd w:id="22"/>
      <w:bookmarkEnd w:id="23"/>
      <w:bookmarkStart w:id="24" w:name="_Toc15396603"/>
      <w:bookmarkStart w:id="25" w:name="_Toc15377205"/>
    </w:p>
    <w:p>
      <w:pPr>
        <w:pStyle w:val="2"/>
        <w:ind w:right="660" w:firstLine="640" w:firstLineChars="200"/>
        <w:jc w:val="left"/>
        <w:rPr>
          <w:rStyle w:val="18"/>
          <w:rFonts w:ascii="Times New Roman" w:hAnsi="Times New Roman"/>
          <w:b/>
          <w:bCs/>
          <w:kern w:val="44"/>
          <w:sz w:val="44"/>
          <w:szCs w:val="44"/>
        </w:rPr>
      </w:pPr>
      <w:r>
        <w:rPr>
          <w:rStyle w:val="18"/>
          <w:rFonts w:hint="eastAsia" w:ascii="黑体" w:eastAsia="黑体"/>
          <w:b w:val="0"/>
          <w:bCs w:val="0"/>
        </w:rPr>
        <w:t>一、收入支出决算总体情况说明</w:t>
      </w:r>
      <w:bookmarkEnd w:id="24"/>
      <w:bookmarkEnd w:id="25"/>
    </w:p>
    <w:p>
      <w:pPr>
        <w:snapToGrid w:val="0"/>
        <w:spacing w:line="52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2020年收入合计3004.63万元，比上年减少66.36万元，原因是：厉行节俭，各项费用减少。</w:t>
      </w:r>
    </w:p>
    <w:p>
      <w:pPr>
        <w:snapToGrid w:val="0"/>
        <w:spacing w:line="52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2020年支出合计1658.21万元，与</w:t>
      </w:r>
      <w:r>
        <w:rPr>
          <w:rFonts w:ascii="仿宋" w:hAnsi="仿宋" w:eastAsia="仿宋"/>
          <w:color w:val="000000"/>
          <w:sz w:val="32"/>
          <w:szCs w:val="32"/>
        </w:rPr>
        <w:t>201</w:t>
      </w:r>
      <w:r>
        <w:rPr>
          <w:rFonts w:hint="eastAsia" w:ascii="仿宋" w:hAnsi="仿宋" w:eastAsia="仿宋"/>
          <w:color w:val="000000"/>
          <w:sz w:val="32"/>
          <w:szCs w:val="32"/>
        </w:rPr>
        <w:t>9年相比减少1441.88万元，减少46.51</w:t>
      </w:r>
      <w:r>
        <w:rPr>
          <w:rFonts w:ascii="仿宋" w:hAnsi="仿宋" w:eastAsia="仿宋"/>
          <w:color w:val="000000"/>
          <w:sz w:val="32"/>
          <w:szCs w:val="32"/>
        </w:rPr>
        <w:t>%</w:t>
      </w:r>
      <w:r>
        <w:rPr>
          <w:rFonts w:hint="eastAsia" w:ascii="仿宋" w:hAnsi="仿宋" w:eastAsia="仿宋"/>
          <w:color w:val="000000"/>
          <w:sz w:val="32"/>
          <w:szCs w:val="32"/>
        </w:rPr>
        <w:t>，主要原因一是当年部门预算安排经费较上年有所减少；二是本年支出包含了上年结转项目。</w:t>
      </w:r>
      <w:bookmarkStart w:id="26" w:name="_Toc15396604"/>
      <w:bookmarkStart w:id="27" w:name="_Toc15377206"/>
    </w:p>
    <w:p>
      <w:pPr>
        <w:spacing w:line="600" w:lineRule="exact"/>
        <w:rPr>
          <w:rFonts w:ascii="黑体" w:eastAsia="黑体"/>
          <w:color w:val="000000"/>
          <w:sz w:val="32"/>
          <w:szCs w:val="32"/>
        </w:rPr>
      </w:pPr>
      <w:r>
        <w:rPr>
          <w:rFonts w:hint="eastAsia" w:ascii="黑体" w:eastAsia="黑体"/>
          <w:color w:val="000000"/>
          <w:sz w:val="32"/>
          <w:szCs w:val="32"/>
        </w:rPr>
        <w:drawing>
          <wp:anchor distT="0" distB="0" distL="114300" distR="114300" simplePos="0" relativeHeight="251662336" behindDoc="0" locked="0" layoutInCell="1" allowOverlap="1">
            <wp:simplePos x="0" y="0"/>
            <wp:positionH relativeFrom="column">
              <wp:posOffset>752475</wp:posOffset>
            </wp:positionH>
            <wp:positionV relativeFrom="paragraph">
              <wp:posOffset>162560</wp:posOffset>
            </wp:positionV>
            <wp:extent cx="3304540" cy="2393315"/>
            <wp:effectExtent l="19050" t="0" r="0" b="0"/>
            <wp:wrapSquare wrapText="bothSides"/>
            <wp:docPr id="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2"/>
                    <pic:cNvPicPr>
                      <a:picLocks noChangeAspect="1" noChangeArrowheads="1"/>
                    </pic:cNvPicPr>
                  </pic:nvPicPr>
                  <pic:blipFill>
                    <a:blip r:embed="rId6" cstate="print"/>
                    <a:srcRect/>
                    <a:stretch>
                      <a:fillRect/>
                    </a:stretch>
                  </pic:blipFill>
                  <pic:spPr>
                    <a:xfrm>
                      <a:off x="0" y="0"/>
                      <a:ext cx="3304540" cy="2393315"/>
                    </a:xfrm>
                    <a:prstGeom prst="rect">
                      <a:avLst/>
                    </a:prstGeom>
                    <a:noFill/>
                  </pic:spPr>
                </pic:pic>
              </a:graphicData>
            </a:graphic>
          </wp:anchor>
        </w:drawing>
      </w: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ind w:firstLine="640" w:firstLineChars="200"/>
        <w:rPr>
          <w:rStyle w:val="18"/>
          <w:rFonts w:ascii="黑体" w:eastAsia="黑体"/>
          <w:b w:val="0"/>
        </w:rPr>
      </w:pPr>
      <w:r>
        <w:rPr>
          <w:rFonts w:hint="eastAsia" w:ascii="黑体" w:eastAsia="黑体"/>
          <w:color w:val="000000"/>
          <w:sz w:val="32"/>
          <w:szCs w:val="32"/>
        </w:rPr>
        <w:t>二、收入决</w:t>
      </w:r>
      <w:r>
        <w:rPr>
          <w:rStyle w:val="18"/>
          <w:rFonts w:hint="eastAsia" w:ascii="黑体" w:eastAsia="黑体"/>
          <w:b w:val="0"/>
        </w:rPr>
        <w:t>算情况说明</w:t>
      </w:r>
      <w:bookmarkEnd w:id="26"/>
      <w:bookmarkEnd w:id="27"/>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2020年收入合计</w:t>
      </w:r>
      <w:r>
        <w:rPr>
          <w:rFonts w:hint="eastAsia" w:ascii="仿宋_GB2312" w:hAnsi="仿宋" w:eastAsia="仿宋_GB2312"/>
          <w:color w:val="000000"/>
          <w:sz w:val="32"/>
          <w:szCs w:val="32"/>
        </w:rPr>
        <w:t>3004.63</w:t>
      </w:r>
      <w:r>
        <w:rPr>
          <w:rFonts w:hint="eastAsia" w:ascii="仿宋" w:hAnsi="仿宋" w:eastAsia="仿宋"/>
          <w:color w:val="000000"/>
          <w:sz w:val="32"/>
          <w:szCs w:val="32"/>
        </w:rPr>
        <w:t>万元，其中：一般公共预算财政拨款收入</w:t>
      </w:r>
      <w:r>
        <w:rPr>
          <w:rFonts w:hint="eastAsia" w:ascii="仿宋_GB2312" w:hAnsi="仿宋" w:eastAsia="仿宋_GB2312"/>
          <w:color w:val="000000"/>
          <w:sz w:val="32"/>
          <w:szCs w:val="32"/>
        </w:rPr>
        <w:t>3004.63</w:t>
      </w:r>
      <w:r>
        <w:rPr>
          <w:rFonts w:hint="eastAsia" w:ascii="仿宋" w:hAnsi="仿宋" w:eastAsia="仿宋"/>
          <w:color w:val="000000"/>
          <w:sz w:val="32"/>
          <w:szCs w:val="32"/>
        </w:rPr>
        <w:t>万元，占100%；政府性基金预算财政拨款收入0万元，占0%；国有资本经营预算财政拨款收入0万元，占0%；事业收入0万元，占0%；经营收入0万元，占0%；附属单位上缴收入0万元，占0%；其他收入0万元，占0%。</w:t>
      </w:r>
    </w:p>
    <w:p>
      <w:pPr>
        <w:spacing w:line="600" w:lineRule="exact"/>
        <w:ind w:firstLine="640" w:firstLineChars="200"/>
        <w:outlineLvl w:val="1"/>
        <w:rPr>
          <w:rFonts w:ascii="黑体" w:eastAsia="黑体"/>
          <w:color w:val="000000"/>
          <w:sz w:val="32"/>
          <w:szCs w:val="32"/>
        </w:rPr>
      </w:pPr>
      <w:bookmarkStart w:id="28" w:name="_Toc15396605"/>
      <w:bookmarkStart w:id="29" w:name="_Toc15377207"/>
      <w:r>
        <w:rPr>
          <w:rFonts w:ascii="黑体" w:eastAsia="黑体"/>
          <w:color w:val="000000"/>
          <w:sz w:val="32"/>
          <w:szCs w:val="32"/>
        </w:rPr>
        <w:pict>
          <v:shape id="对象 4" o:spid="_x0000_s1026" o:spt="75" type="#_x0000_t75" style="position:absolute;left:0pt;margin-left:75.4pt;margin-top:-41.95pt;height:171.75pt;width:251.25pt;z-index:251660288;mso-width-relative:page;mso-height-relative:page;" filled="f" o:preferrelative="t" stroked="f" coordsize="21600,21600">
            <v:path/>
            <v:fill on="f" focussize="0,0"/>
            <v:stroke on="f" joinstyle="miter"/>
            <v:imagedata r:id="rId7" o:title=""/>
            <o:lock v:ext="edit" aspectratio="t"/>
          </v:shape>
        </w:pict>
      </w: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18"/>
          <w:rFonts w:ascii="黑体" w:eastAsia="黑体"/>
          <w:b w:val="0"/>
        </w:rPr>
      </w:pPr>
      <w:r>
        <w:rPr>
          <w:rFonts w:hint="eastAsia" w:ascii="黑体" w:eastAsia="黑体"/>
          <w:color w:val="000000"/>
          <w:sz w:val="32"/>
          <w:szCs w:val="32"/>
        </w:rPr>
        <w:t>三、支出决</w:t>
      </w:r>
      <w:r>
        <w:rPr>
          <w:rStyle w:val="18"/>
          <w:rFonts w:hint="eastAsia" w:ascii="黑体" w:eastAsia="黑体"/>
          <w:b w:val="0"/>
        </w:rPr>
        <w:t>算情况说明</w:t>
      </w:r>
      <w:bookmarkEnd w:id="28"/>
      <w:bookmarkEnd w:id="29"/>
    </w:p>
    <w:p>
      <w:pPr>
        <w:spacing w:line="600" w:lineRule="exact"/>
        <w:ind w:firstLine="640" w:firstLineChars="200"/>
        <w:rPr>
          <w:rFonts w:ascii="仿宋" w:hAnsi="仿宋" w:eastAsia="仿宋"/>
          <w:color w:val="000000"/>
          <w:sz w:val="32"/>
          <w:szCs w:val="32"/>
        </w:rPr>
      </w:pPr>
      <w:r>
        <w:rPr>
          <w:rFonts w:ascii="仿宋_GB2312" w:eastAsia="仿宋_GB2312"/>
          <w:color w:val="FF0000"/>
          <w:sz w:val="32"/>
          <w:szCs w:val="32"/>
        </w:rPr>
        <w:pict>
          <v:shape id="对象 2" o:spid="_x0000_s1027" o:spt="75" type="#_x0000_t75" style="position:absolute;left:0pt;margin-left:158.5pt;margin-top:411.2pt;height:162.75pt;width:244.05pt;mso-position-horizontal-relative:page;mso-position-vertical-relative:page;z-index:251661312;mso-width-relative:page;mso-height-relative:page;" filled="f" o:preferrelative="t" stroked="f" coordsize="21600,21600">
            <v:path/>
            <v:fill on="f" focussize="0,0"/>
            <v:stroke on="f" joinstyle="miter"/>
            <v:imagedata r:id="rId8" o:title=""/>
            <o:lock v:ext="edit" aspectratio="t"/>
          </v:shape>
        </w:pict>
      </w:r>
      <w:r>
        <w:rPr>
          <w:rFonts w:hint="eastAsia" w:ascii="仿宋" w:hAnsi="仿宋" w:eastAsia="仿宋"/>
          <w:color w:val="000000"/>
          <w:sz w:val="32"/>
          <w:szCs w:val="32"/>
        </w:rPr>
        <w:t>2020年支出合计1658.21万元，其中：基本支出467.27万元，占28.17%；项目支出1190.94万元，占71.83%；经营支出0万元，占0%；对附属单位补助支出0万元，占0%。</w:t>
      </w:r>
    </w:p>
    <w:p>
      <w:pPr>
        <w:pStyle w:val="27"/>
        <w:ind w:left="420" w:firstLine="640"/>
        <w:jc w:val="both"/>
        <w:rPr>
          <w:rFonts w:ascii="仿宋_GB2312"/>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ind w:firstLine="640" w:firstLineChars="200"/>
        <w:outlineLvl w:val="1"/>
        <w:rPr>
          <w:rStyle w:val="18"/>
          <w:rFonts w:ascii="黑体" w:eastAsia="黑体"/>
          <w:b w:val="0"/>
        </w:rPr>
      </w:pPr>
      <w:bookmarkStart w:id="30" w:name="_Toc15377208"/>
      <w:bookmarkStart w:id="31" w:name="_Toc15396606"/>
      <w:r>
        <w:rPr>
          <w:rFonts w:hint="eastAsia" w:ascii="黑体" w:eastAsia="黑体"/>
          <w:color w:val="000000"/>
          <w:sz w:val="32"/>
          <w:szCs w:val="32"/>
        </w:rPr>
        <w:t>四、财</w:t>
      </w:r>
      <w:r>
        <w:rPr>
          <w:rStyle w:val="18"/>
          <w:rFonts w:hint="eastAsia" w:ascii="黑体" w:eastAsia="黑体"/>
          <w:b w:val="0"/>
        </w:rPr>
        <w:t>政拨款收入支出决算总体情况说明</w:t>
      </w:r>
      <w:bookmarkEnd w:id="30"/>
      <w:bookmarkEnd w:id="31"/>
    </w:p>
    <w:p>
      <w:pPr>
        <w:spacing w:line="560" w:lineRule="exact"/>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20</w:t>
      </w:r>
      <w:r>
        <w:rPr>
          <w:rFonts w:ascii="仿宋" w:hAnsi="仿宋" w:eastAsia="仿宋"/>
          <w:sz w:val="32"/>
          <w:szCs w:val="32"/>
        </w:rPr>
        <w:t>年总收入</w:t>
      </w:r>
      <w:r>
        <w:rPr>
          <w:rFonts w:hint="eastAsia" w:ascii="仿宋_GB2312" w:hAnsi="仿宋" w:eastAsia="仿宋_GB2312"/>
          <w:color w:val="000000"/>
          <w:sz w:val="32"/>
          <w:szCs w:val="32"/>
        </w:rPr>
        <w:t>3004.63</w:t>
      </w:r>
      <w:r>
        <w:rPr>
          <w:rFonts w:ascii="仿宋" w:hAnsi="仿宋" w:eastAsia="仿宋"/>
          <w:sz w:val="32"/>
          <w:szCs w:val="32"/>
        </w:rPr>
        <w:t>万元，总支出</w:t>
      </w:r>
      <w:r>
        <w:rPr>
          <w:rFonts w:hint="eastAsia" w:ascii="仿宋" w:hAnsi="仿宋" w:eastAsia="仿宋"/>
          <w:color w:val="000000"/>
          <w:sz w:val="32"/>
          <w:szCs w:val="32"/>
        </w:rPr>
        <w:t>1658.21</w:t>
      </w:r>
      <w:r>
        <w:rPr>
          <w:rFonts w:ascii="仿宋" w:hAnsi="仿宋" w:eastAsia="仿宋"/>
          <w:sz w:val="32"/>
          <w:szCs w:val="32"/>
        </w:rPr>
        <w:t>万元，与上年度对比，上年总收入</w:t>
      </w:r>
      <w:r>
        <w:rPr>
          <w:rFonts w:hint="eastAsia" w:ascii="仿宋" w:hAnsi="仿宋" w:eastAsia="仿宋"/>
          <w:color w:val="000000"/>
          <w:sz w:val="32"/>
          <w:szCs w:val="32"/>
        </w:rPr>
        <w:t>3070.99</w:t>
      </w:r>
      <w:r>
        <w:rPr>
          <w:rFonts w:ascii="仿宋" w:hAnsi="仿宋" w:eastAsia="仿宋"/>
          <w:sz w:val="32"/>
          <w:szCs w:val="32"/>
        </w:rPr>
        <w:t>万元，比</w:t>
      </w:r>
      <w:r>
        <w:rPr>
          <w:rFonts w:hint="eastAsia" w:ascii="仿宋" w:hAnsi="仿宋" w:eastAsia="仿宋"/>
          <w:sz w:val="32"/>
          <w:szCs w:val="32"/>
        </w:rPr>
        <w:t>上年减少2.16</w:t>
      </w:r>
      <w:r>
        <w:rPr>
          <w:rFonts w:ascii="仿宋" w:hAnsi="仿宋" w:eastAsia="仿宋"/>
          <w:sz w:val="32"/>
          <w:szCs w:val="32"/>
        </w:rPr>
        <w:t>%</w:t>
      </w:r>
      <w:r>
        <w:rPr>
          <w:rFonts w:hint="eastAsia" w:ascii="仿宋" w:hAnsi="仿宋" w:eastAsia="仿宋"/>
          <w:sz w:val="32"/>
          <w:szCs w:val="32"/>
        </w:rPr>
        <w:t>；上年</w:t>
      </w:r>
      <w:r>
        <w:rPr>
          <w:rFonts w:ascii="仿宋" w:hAnsi="仿宋" w:eastAsia="仿宋"/>
          <w:sz w:val="32"/>
          <w:szCs w:val="32"/>
        </w:rPr>
        <w:t>总支出</w:t>
      </w:r>
      <w:r>
        <w:rPr>
          <w:rFonts w:hint="eastAsia" w:ascii="仿宋" w:hAnsi="仿宋" w:eastAsia="仿宋"/>
          <w:sz w:val="32"/>
          <w:szCs w:val="32"/>
        </w:rPr>
        <w:t>3</w:t>
      </w:r>
      <w:r>
        <w:rPr>
          <w:rFonts w:hint="eastAsia" w:ascii="仿宋" w:hAnsi="仿宋" w:eastAsia="仿宋"/>
          <w:color w:val="000000"/>
          <w:sz w:val="32"/>
          <w:szCs w:val="32"/>
        </w:rPr>
        <w:t>100.1</w:t>
      </w:r>
      <w:r>
        <w:rPr>
          <w:rFonts w:ascii="仿宋" w:hAnsi="仿宋" w:eastAsia="仿宋"/>
          <w:sz w:val="32"/>
          <w:szCs w:val="32"/>
        </w:rPr>
        <w:t>万元，</w:t>
      </w:r>
      <w:r>
        <w:rPr>
          <w:rFonts w:hint="eastAsia" w:ascii="仿宋" w:hAnsi="仿宋" w:eastAsia="仿宋"/>
          <w:sz w:val="32"/>
          <w:szCs w:val="32"/>
        </w:rPr>
        <w:t>比上年减少46.51</w:t>
      </w:r>
      <w:r>
        <w:rPr>
          <w:rFonts w:ascii="仿宋" w:hAnsi="仿宋" w:eastAsia="仿宋"/>
          <w:sz w:val="32"/>
          <w:szCs w:val="32"/>
        </w:rPr>
        <w:t>%。收入</w:t>
      </w:r>
      <w:r>
        <w:rPr>
          <w:rFonts w:hint="eastAsia" w:ascii="仿宋" w:hAnsi="仿宋" w:eastAsia="仿宋"/>
          <w:sz w:val="32"/>
          <w:szCs w:val="32"/>
        </w:rPr>
        <w:t>减少</w:t>
      </w:r>
      <w:r>
        <w:rPr>
          <w:rFonts w:ascii="仿宋" w:hAnsi="仿宋" w:eastAsia="仿宋"/>
          <w:sz w:val="32"/>
          <w:szCs w:val="32"/>
        </w:rPr>
        <w:t>主要</w:t>
      </w:r>
      <w:r>
        <w:rPr>
          <w:rFonts w:hint="eastAsia" w:ascii="仿宋" w:hAnsi="仿宋" w:eastAsia="仿宋"/>
          <w:sz w:val="32"/>
          <w:szCs w:val="32"/>
        </w:rPr>
        <w:t>是</w:t>
      </w:r>
      <w:r>
        <w:rPr>
          <w:rFonts w:ascii="仿宋" w:hAnsi="仿宋" w:eastAsia="仿宋"/>
          <w:sz w:val="32"/>
          <w:szCs w:val="32"/>
        </w:rPr>
        <w:t>由于</w:t>
      </w:r>
      <w:r>
        <w:rPr>
          <w:rFonts w:hint="eastAsia" w:ascii="仿宋" w:hAnsi="仿宋" w:eastAsia="仿宋"/>
          <w:sz w:val="32"/>
          <w:szCs w:val="32"/>
        </w:rPr>
        <w:t>上级部门下达项目资金减少</w:t>
      </w:r>
      <w:r>
        <w:rPr>
          <w:rFonts w:ascii="仿宋" w:hAnsi="仿宋" w:eastAsia="仿宋"/>
          <w:sz w:val="32"/>
          <w:szCs w:val="32"/>
        </w:rPr>
        <w:t>，</w:t>
      </w:r>
      <w:r>
        <w:rPr>
          <w:rFonts w:hint="eastAsia" w:ascii="仿宋" w:hAnsi="仿宋" w:eastAsia="仿宋"/>
          <w:sz w:val="32"/>
          <w:szCs w:val="32"/>
        </w:rPr>
        <w:t>支出减少主要是由于上级部门下达项目资金减少，基建项目资金减少。</w:t>
      </w:r>
    </w:p>
    <w:p>
      <w:pPr>
        <w:spacing w:line="560" w:lineRule="exact"/>
        <w:rPr>
          <w:rFonts w:ascii="仿宋" w:hAnsi="仿宋" w:eastAsia="仿宋"/>
          <w:sz w:val="32"/>
          <w:szCs w:val="32"/>
        </w:rPr>
      </w:pPr>
      <w:r>
        <w:rPr>
          <w:rFonts w:hint="eastAsia" w:ascii="仿宋" w:hAnsi="仿宋" w:eastAsia="仿宋"/>
          <w:sz w:val="32"/>
          <w:szCs w:val="32"/>
        </w:rPr>
        <w:drawing>
          <wp:anchor distT="0" distB="0" distL="114300" distR="114300" simplePos="0" relativeHeight="251663360" behindDoc="0" locked="0" layoutInCell="1" allowOverlap="1">
            <wp:simplePos x="0" y="0"/>
            <wp:positionH relativeFrom="column">
              <wp:posOffset>235585</wp:posOffset>
            </wp:positionH>
            <wp:positionV relativeFrom="paragraph">
              <wp:posOffset>230505</wp:posOffset>
            </wp:positionV>
            <wp:extent cx="4783455" cy="2679065"/>
            <wp:effectExtent l="19050" t="0" r="0" b="0"/>
            <wp:wrapSquare wrapText="bothSides"/>
            <wp:docPr id="3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3"/>
                    <pic:cNvPicPr>
                      <a:picLocks noChangeAspect="1" noChangeArrowheads="1"/>
                    </pic:cNvPicPr>
                  </pic:nvPicPr>
                  <pic:blipFill>
                    <a:blip r:embed="rId9" cstate="print"/>
                    <a:srcRect/>
                    <a:stretch>
                      <a:fillRect/>
                    </a:stretch>
                  </pic:blipFill>
                  <pic:spPr>
                    <a:xfrm>
                      <a:off x="0" y="0"/>
                      <a:ext cx="4783455" cy="2679065"/>
                    </a:xfrm>
                    <a:prstGeom prst="rect">
                      <a:avLst/>
                    </a:prstGeom>
                    <a:noFill/>
                  </pic:spPr>
                </pic:pic>
              </a:graphicData>
            </a:graphic>
          </wp:anchor>
        </w:drawing>
      </w:r>
      <w:bookmarkStart w:id="32" w:name="_Toc15377209"/>
      <w:bookmarkStart w:id="33" w:name="_Toc15396607"/>
    </w:p>
    <w:p>
      <w:pPr>
        <w:spacing w:line="600" w:lineRule="exact"/>
        <w:ind w:firstLine="640" w:firstLineChars="200"/>
        <w:rPr>
          <w:rStyle w:val="18"/>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pacing w:line="560" w:lineRule="exact"/>
        <w:ind w:firstLine="640" w:firstLineChars="200"/>
        <w:rPr>
          <w:rFonts w:ascii="仿宋" w:hAnsi="仿宋" w:eastAsia="仿宋"/>
          <w:sz w:val="32"/>
          <w:szCs w:val="32"/>
        </w:rPr>
      </w:pPr>
      <w:r>
        <w:rPr>
          <w:rFonts w:hint="eastAsia" w:ascii="仿宋" w:hAnsi="仿宋" w:eastAsia="仿宋"/>
          <w:sz w:val="32"/>
          <w:szCs w:val="32"/>
        </w:rPr>
        <w:t>2020年度一般公共预算财政拨款支出</w:t>
      </w:r>
      <w:r>
        <w:rPr>
          <w:rFonts w:hint="eastAsia" w:ascii="仿宋_GB2312" w:hAnsi="仿宋" w:eastAsia="仿宋_GB2312"/>
          <w:color w:val="000000"/>
          <w:sz w:val="32"/>
          <w:szCs w:val="32"/>
        </w:rPr>
        <w:t>1658.21</w:t>
      </w:r>
      <w:r>
        <w:rPr>
          <w:rFonts w:hint="eastAsia" w:ascii="仿宋" w:hAnsi="仿宋" w:eastAsia="仿宋"/>
          <w:sz w:val="32"/>
          <w:szCs w:val="32"/>
        </w:rPr>
        <w:t>万元，占本年支出合计的</w:t>
      </w:r>
      <w:r>
        <w:rPr>
          <w:rFonts w:hint="eastAsia" w:ascii="仿宋" w:hAnsi="仿宋" w:eastAsia="仿宋"/>
          <w:color w:val="000000"/>
          <w:sz w:val="32"/>
          <w:szCs w:val="32"/>
        </w:rPr>
        <w:t>100</w:t>
      </w:r>
      <w:r>
        <w:rPr>
          <w:rFonts w:hint="eastAsia" w:ascii="仿宋" w:hAnsi="仿宋" w:eastAsia="仿宋"/>
          <w:color w:val="000000" w:themeColor="text1"/>
          <w:sz w:val="32"/>
          <w:szCs w:val="32"/>
        </w:rPr>
        <w:t>%，与2019年相比减少1441.88万元，支出</w:t>
      </w:r>
      <w:r>
        <w:rPr>
          <w:rFonts w:hint="eastAsia" w:ascii="仿宋" w:hAnsi="仿宋" w:eastAsia="仿宋"/>
          <w:sz w:val="32"/>
          <w:szCs w:val="32"/>
        </w:rPr>
        <w:t>减少主要是由于上级部门下达项目资金减少，基建项目资金减少。</w:t>
      </w:r>
      <w:bookmarkStart w:id="35" w:name="_Toc15377211"/>
    </w:p>
    <w:p>
      <w:pPr>
        <w:snapToGrid w:val="0"/>
        <w:spacing w:line="520" w:lineRule="exact"/>
        <w:ind w:firstLine="640" w:firstLineChars="200"/>
        <w:rPr>
          <w:rFonts w:ascii="仿宋" w:eastAsia="仿宋"/>
          <w:color w:val="000000"/>
          <w:sz w:val="32"/>
          <w:szCs w:val="32"/>
        </w:rPr>
      </w:pPr>
    </w:p>
    <w:p>
      <w:pPr>
        <w:snapToGrid w:val="0"/>
        <w:spacing w:line="520" w:lineRule="exact"/>
        <w:ind w:firstLine="640" w:firstLineChars="200"/>
        <w:rPr>
          <w:rFonts w:ascii="仿宋" w:eastAsia="仿宋"/>
          <w:color w:val="000000"/>
          <w:sz w:val="32"/>
          <w:szCs w:val="32"/>
        </w:rPr>
      </w:pPr>
    </w:p>
    <w:p>
      <w:pPr>
        <w:snapToGrid w:val="0"/>
        <w:spacing w:line="520" w:lineRule="exact"/>
        <w:ind w:firstLine="640" w:firstLineChars="200"/>
        <w:rPr>
          <w:rFonts w:ascii="仿宋" w:eastAsia="仿宋"/>
          <w:color w:val="000000"/>
          <w:sz w:val="32"/>
          <w:szCs w:val="32"/>
        </w:rPr>
      </w:pPr>
    </w:p>
    <w:p>
      <w:pPr>
        <w:snapToGrid w:val="0"/>
        <w:spacing w:line="520" w:lineRule="exact"/>
        <w:ind w:firstLine="640" w:firstLineChars="200"/>
        <w:rPr>
          <w:rFonts w:ascii="仿宋" w:eastAsia="仿宋"/>
          <w:color w:val="000000"/>
          <w:sz w:val="32"/>
          <w:szCs w:val="32"/>
        </w:rPr>
      </w:pPr>
    </w:p>
    <w:p>
      <w:pPr>
        <w:snapToGrid w:val="0"/>
        <w:spacing w:line="520" w:lineRule="exact"/>
        <w:ind w:firstLine="640" w:firstLineChars="200"/>
        <w:rPr>
          <w:rFonts w:ascii="仿宋" w:eastAsia="仿宋"/>
          <w:color w:val="000000"/>
          <w:sz w:val="32"/>
          <w:szCs w:val="32"/>
        </w:rPr>
      </w:pPr>
    </w:p>
    <w:p>
      <w:pPr>
        <w:snapToGrid w:val="0"/>
        <w:spacing w:line="520" w:lineRule="exact"/>
        <w:ind w:firstLine="640" w:firstLineChars="200"/>
        <w:rPr>
          <w:rFonts w:ascii="仿宋" w:eastAsia="仿宋"/>
          <w:color w:val="000000"/>
          <w:sz w:val="32"/>
          <w:szCs w:val="32"/>
        </w:rPr>
      </w:pPr>
    </w:p>
    <w:p>
      <w:pPr>
        <w:snapToGrid w:val="0"/>
        <w:spacing w:line="520" w:lineRule="exact"/>
        <w:ind w:firstLine="640" w:firstLineChars="200"/>
        <w:rPr>
          <w:rFonts w:ascii="仿宋" w:eastAsia="仿宋"/>
          <w:color w:val="000000"/>
          <w:sz w:val="32"/>
          <w:szCs w:val="32"/>
        </w:rPr>
      </w:pPr>
      <w:r>
        <w:rPr>
          <w:rFonts w:ascii="仿宋" w:eastAsia="仿宋"/>
          <w:color w:val="000000"/>
          <w:sz w:val="32"/>
          <w:szCs w:val="32"/>
        </w:rPr>
        <w:drawing>
          <wp:anchor distT="0" distB="0" distL="114300" distR="114300" simplePos="0" relativeHeight="251664384" behindDoc="0" locked="0" layoutInCell="1" allowOverlap="1">
            <wp:simplePos x="0" y="0"/>
            <wp:positionH relativeFrom="column">
              <wp:posOffset>426085</wp:posOffset>
            </wp:positionH>
            <wp:positionV relativeFrom="paragraph">
              <wp:posOffset>-1821180</wp:posOffset>
            </wp:positionV>
            <wp:extent cx="4179570" cy="2083435"/>
            <wp:effectExtent l="19050" t="0" r="0" b="0"/>
            <wp:wrapSquare wrapText="bothSides"/>
            <wp:docPr id="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4"/>
                    <pic:cNvPicPr>
                      <a:picLocks noChangeAspect="1" noChangeArrowheads="1"/>
                    </pic:cNvPicPr>
                  </pic:nvPicPr>
                  <pic:blipFill>
                    <a:blip r:embed="rId10" cstate="print"/>
                    <a:srcRect/>
                    <a:stretch>
                      <a:fillRect/>
                    </a:stretch>
                  </pic:blipFill>
                  <pic:spPr>
                    <a:xfrm>
                      <a:off x="0" y="0"/>
                      <a:ext cx="4179570" cy="2083242"/>
                    </a:xfrm>
                    <a:prstGeom prst="rect">
                      <a:avLst/>
                    </a:prstGeom>
                    <a:noFill/>
                  </pic:spPr>
                </pic:pic>
              </a:graphicData>
            </a:graphic>
          </wp:anchor>
        </w:drawing>
      </w:r>
    </w:p>
    <w:p>
      <w:pPr>
        <w:snapToGrid w:val="0"/>
        <w:spacing w:line="520" w:lineRule="exact"/>
        <w:ind w:firstLine="643" w:firstLineChars="200"/>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35"/>
    </w:p>
    <w:p>
      <w:pPr>
        <w:pStyle w:val="28"/>
        <w:ind w:left="420" w:firstLine="640"/>
        <w:jc w:val="both"/>
        <w:rPr>
          <w:rFonts w:ascii="仿宋" w:hAnsi="仿宋" w:eastAsia="仿宋"/>
          <w:b/>
          <w:sz w:val="32"/>
          <w:szCs w:val="32"/>
        </w:rPr>
      </w:pPr>
      <w:bookmarkStart w:id="36" w:name="_Toc15377444"/>
      <w:bookmarkStart w:id="37" w:name="_Toc15377213"/>
      <w:bookmarkStart w:id="38" w:name="_Toc15378460"/>
      <w:r>
        <w:rPr>
          <w:rFonts w:ascii="仿宋_GB2312"/>
          <w:sz w:val="32"/>
          <w:szCs w:val="32"/>
        </w:rPr>
        <w:t>20</w:t>
      </w:r>
      <w:r>
        <w:rPr>
          <w:rFonts w:hint="eastAsia" w:ascii="仿宋_GB2312"/>
          <w:sz w:val="32"/>
          <w:szCs w:val="32"/>
        </w:rPr>
        <w:t>20年一般公共预算财政拨款支出</w:t>
      </w:r>
      <w:r>
        <w:rPr>
          <w:rFonts w:hint="eastAsia" w:ascii="仿宋_GB2312" w:hAnsi="仿宋"/>
          <w:color w:val="000000"/>
          <w:sz w:val="32"/>
          <w:szCs w:val="32"/>
        </w:rPr>
        <w:t>1658.21</w:t>
      </w:r>
      <w:r>
        <w:rPr>
          <w:rFonts w:hint="eastAsia" w:ascii="仿宋_GB2312"/>
          <w:sz w:val="32"/>
          <w:szCs w:val="32"/>
        </w:rPr>
        <w:t>万元，主要用于以下方面</w:t>
      </w:r>
      <w:r>
        <w:rPr>
          <w:rFonts w:ascii="仿宋_GB2312"/>
          <w:sz w:val="32"/>
          <w:szCs w:val="32"/>
        </w:rPr>
        <w:t>:</w:t>
      </w:r>
      <w:r>
        <w:rPr>
          <w:rFonts w:hint="eastAsia" w:ascii="仿宋_GB2312"/>
          <w:color w:val="000000"/>
          <w:sz w:val="32"/>
          <w:szCs w:val="32"/>
        </w:rPr>
        <w:t xml:space="preserve"> 一般公共服务支出380.32万元，占22.94</w:t>
      </w:r>
      <w:r>
        <w:rPr>
          <w:rFonts w:ascii="仿宋_GB2312"/>
          <w:color w:val="000000"/>
          <w:sz w:val="32"/>
          <w:szCs w:val="32"/>
        </w:rPr>
        <w:t>%</w:t>
      </w:r>
      <w:r>
        <w:rPr>
          <w:rFonts w:hint="eastAsia" w:ascii="仿宋_GB2312"/>
          <w:color w:val="000000"/>
          <w:sz w:val="32"/>
          <w:szCs w:val="32"/>
        </w:rPr>
        <w:t>；社会保障和就业支出54.17万元，占3.28</w:t>
      </w:r>
      <w:r>
        <w:rPr>
          <w:rFonts w:ascii="仿宋_GB2312"/>
          <w:color w:val="000000"/>
          <w:sz w:val="32"/>
          <w:szCs w:val="32"/>
        </w:rPr>
        <w:t>%</w:t>
      </w:r>
      <w:r>
        <w:rPr>
          <w:rFonts w:hint="eastAsia" w:ascii="仿宋_GB2312"/>
          <w:color w:val="000000"/>
          <w:sz w:val="32"/>
          <w:szCs w:val="32"/>
        </w:rPr>
        <w:t>；农林水支出582.11万元，占35.1</w:t>
      </w:r>
      <w:r>
        <w:rPr>
          <w:rFonts w:ascii="仿宋_GB2312"/>
          <w:color w:val="000000"/>
          <w:sz w:val="32"/>
          <w:szCs w:val="32"/>
        </w:rPr>
        <w:t>%</w:t>
      </w:r>
      <w:r>
        <w:rPr>
          <w:rFonts w:hint="eastAsia" w:ascii="仿宋_GB2312"/>
          <w:color w:val="000000"/>
          <w:sz w:val="32"/>
          <w:szCs w:val="32"/>
        </w:rPr>
        <w:t>；卫生健康支出24.72万元，占1.49</w:t>
      </w:r>
      <w:r>
        <w:rPr>
          <w:rFonts w:ascii="仿宋_GB2312"/>
          <w:color w:val="000000"/>
          <w:sz w:val="32"/>
          <w:szCs w:val="32"/>
        </w:rPr>
        <w:t>%</w:t>
      </w:r>
      <w:r>
        <w:rPr>
          <w:rFonts w:hint="eastAsia" w:ascii="仿宋_GB2312"/>
          <w:color w:val="000000"/>
          <w:sz w:val="32"/>
          <w:szCs w:val="32"/>
        </w:rPr>
        <w:t>；商业服务业等支出12万元，占0.73</w:t>
      </w:r>
      <w:r>
        <w:rPr>
          <w:rFonts w:ascii="仿宋_GB2312"/>
          <w:color w:val="000000"/>
          <w:sz w:val="32"/>
          <w:szCs w:val="32"/>
        </w:rPr>
        <w:t>%</w:t>
      </w:r>
      <w:r>
        <w:rPr>
          <w:rFonts w:hint="eastAsia" w:ascii="仿宋_GB2312"/>
          <w:color w:val="000000"/>
          <w:sz w:val="32"/>
          <w:szCs w:val="32"/>
        </w:rPr>
        <w:t>；资源勘探工业信息等支出376万元，占22.68</w:t>
      </w:r>
      <w:r>
        <w:rPr>
          <w:rFonts w:ascii="仿宋_GB2312"/>
          <w:color w:val="000000"/>
          <w:sz w:val="32"/>
          <w:szCs w:val="32"/>
        </w:rPr>
        <w:t>%</w:t>
      </w:r>
      <w:r>
        <w:rPr>
          <w:rFonts w:hint="eastAsia" w:ascii="仿宋_GB2312"/>
          <w:color w:val="000000"/>
          <w:sz w:val="32"/>
          <w:szCs w:val="32"/>
        </w:rPr>
        <w:t>；住房保障支出35.29万元，占2.12</w:t>
      </w:r>
      <w:r>
        <w:rPr>
          <w:rFonts w:ascii="仿宋_GB2312"/>
          <w:color w:val="000000"/>
          <w:sz w:val="32"/>
          <w:szCs w:val="32"/>
        </w:rPr>
        <w:t>%</w:t>
      </w:r>
      <w:r>
        <w:rPr>
          <w:rFonts w:hint="eastAsia" w:ascii="仿宋_GB2312"/>
          <w:color w:val="000000"/>
          <w:sz w:val="32"/>
          <w:szCs w:val="32"/>
        </w:rPr>
        <w:t>；其他支出143.07万元，占8.62</w:t>
      </w:r>
      <w:r>
        <w:rPr>
          <w:rFonts w:ascii="仿宋_GB2312"/>
          <w:color w:val="000000"/>
          <w:sz w:val="32"/>
          <w:szCs w:val="32"/>
        </w:rPr>
        <w:t>%</w:t>
      </w:r>
      <w:r>
        <w:rPr>
          <w:rFonts w:hint="eastAsia" w:ascii="仿宋_GB2312"/>
          <w:color w:val="000000"/>
          <w:sz w:val="32"/>
          <w:szCs w:val="32"/>
        </w:rPr>
        <w:t>，城乡社区支出50.53万元，占3.04</w:t>
      </w:r>
      <w:r>
        <w:rPr>
          <w:rFonts w:ascii="仿宋_GB2312"/>
          <w:color w:val="000000"/>
          <w:sz w:val="32"/>
          <w:szCs w:val="32"/>
        </w:rPr>
        <w:t>%</w:t>
      </w:r>
      <w:r>
        <w:rPr>
          <w:rFonts w:hint="eastAsia" w:ascii="仿宋_GB2312"/>
          <w:color w:val="000000"/>
          <w:sz w:val="32"/>
          <w:szCs w:val="32"/>
        </w:rPr>
        <w:t>。</w:t>
      </w:r>
    </w:p>
    <w:p>
      <w:pPr>
        <w:spacing w:line="600" w:lineRule="exact"/>
        <w:outlineLvl w:val="2"/>
        <w:rPr>
          <w:rFonts w:ascii="仿宋" w:eastAsia="仿宋"/>
          <w:b/>
          <w:color w:val="000000"/>
          <w:sz w:val="32"/>
          <w:szCs w:val="32"/>
        </w:rPr>
      </w:pPr>
      <w:r>
        <w:rPr>
          <w:rFonts w:ascii="仿宋" w:eastAsia="仿宋"/>
          <w:b/>
          <w:color w:val="000000"/>
          <w:sz w:val="32"/>
          <w:szCs w:val="32"/>
        </w:rPr>
        <w:drawing>
          <wp:anchor distT="0" distB="0" distL="114300" distR="114300" simplePos="0" relativeHeight="251665408" behindDoc="0" locked="0" layoutInCell="1" allowOverlap="1">
            <wp:simplePos x="0" y="0"/>
            <wp:positionH relativeFrom="column">
              <wp:posOffset>847725</wp:posOffset>
            </wp:positionH>
            <wp:positionV relativeFrom="paragraph">
              <wp:posOffset>349250</wp:posOffset>
            </wp:positionV>
            <wp:extent cx="3510915" cy="2114550"/>
            <wp:effectExtent l="19050" t="0" r="0" b="0"/>
            <wp:wrapSquare wrapText="bothSides"/>
            <wp:docPr id="3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6"/>
                    <pic:cNvPicPr>
                      <a:picLocks noChangeAspect="1" noChangeArrowheads="1"/>
                    </pic:cNvPicPr>
                  </pic:nvPicPr>
                  <pic:blipFill>
                    <a:blip r:embed="rId11" cstate="print"/>
                    <a:srcRect/>
                    <a:stretch>
                      <a:fillRect/>
                    </a:stretch>
                  </pic:blipFill>
                  <pic:spPr>
                    <a:xfrm>
                      <a:off x="0" y="0"/>
                      <a:ext cx="3510915" cy="2114550"/>
                    </a:xfrm>
                    <a:prstGeom prst="rect">
                      <a:avLst/>
                    </a:prstGeom>
                    <a:noFill/>
                  </pic:spPr>
                </pic:pic>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39" w:name="_Toc15377212"/>
    </w:p>
    <w:p>
      <w:pPr>
        <w:spacing w:line="600" w:lineRule="exact"/>
        <w:ind w:firstLine="643" w:firstLineChars="2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sz w:val="32"/>
          <w:szCs w:val="32"/>
        </w:rPr>
      </w:pPr>
      <w:r>
        <w:rPr>
          <w:rFonts w:hint="eastAsia" w:ascii="仿宋" w:eastAsia="仿宋"/>
          <w:bCs/>
          <w:sz w:val="32"/>
          <w:szCs w:val="32"/>
        </w:rPr>
        <w:t xml:space="preserve">    2020年一般公共预算数为383.18万元，支出决算数为1658.21万元，完</w:t>
      </w:r>
      <w:r>
        <w:rPr>
          <w:rStyle w:val="15"/>
          <w:rFonts w:hint="eastAsia" w:ascii="仿宋" w:eastAsia="仿宋"/>
          <w:b w:val="0"/>
          <w:bCs/>
          <w:sz w:val="32"/>
          <w:szCs w:val="32"/>
        </w:rPr>
        <w:t>成预算432.74</w:t>
      </w:r>
      <w:r>
        <w:rPr>
          <w:rStyle w:val="15"/>
          <w:rFonts w:ascii="仿宋" w:eastAsia="仿宋"/>
          <w:b w:val="0"/>
          <w:bCs/>
          <w:sz w:val="32"/>
          <w:szCs w:val="32"/>
        </w:rPr>
        <w:t>%</w:t>
      </w:r>
      <w:r>
        <w:rPr>
          <w:rStyle w:val="15"/>
          <w:rFonts w:hint="eastAsia" w:ascii="仿宋" w:eastAsia="仿宋"/>
          <w:b w:val="0"/>
          <w:bCs/>
          <w:sz w:val="32"/>
          <w:szCs w:val="32"/>
        </w:rPr>
        <w:t>，2019年结转结余169万元，2020年结转结余1515.41万元。其中：</w:t>
      </w:r>
      <w:bookmarkEnd w:id="36"/>
      <w:bookmarkEnd w:id="37"/>
      <w:bookmarkEnd w:id="38"/>
    </w:p>
    <w:p>
      <w:pPr>
        <w:spacing w:line="600" w:lineRule="exact"/>
        <w:ind w:firstLine="640"/>
        <w:rPr>
          <w:rFonts w:ascii="宋体" w:hAnsi="宋体"/>
          <w:sz w:val="32"/>
          <w:szCs w:val="32"/>
        </w:rPr>
      </w:pPr>
      <w:bookmarkStart w:id="40" w:name="_Toc15377214"/>
      <w:bookmarkStart w:id="41" w:name="_Toc15396608"/>
      <w:r>
        <w:rPr>
          <w:rStyle w:val="15"/>
          <w:rFonts w:hint="eastAsia" w:ascii="宋体" w:hAnsi="宋体"/>
          <w:sz w:val="32"/>
          <w:szCs w:val="32"/>
        </w:rPr>
        <w:t>1.一般公共服务:</w:t>
      </w:r>
    </w:p>
    <w:p>
      <w:pPr>
        <w:spacing w:line="600" w:lineRule="exact"/>
        <w:ind w:firstLine="640"/>
        <w:rPr>
          <w:rFonts w:ascii="仿宋" w:hAnsi="仿宋" w:eastAsia="仿宋"/>
          <w:color w:val="000000" w:themeColor="text1"/>
          <w:sz w:val="32"/>
          <w:szCs w:val="32"/>
        </w:rPr>
      </w:pPr>
      <w:r>
        <w:rPr>
          <w:rFonts w:hint="eastAsia" w:ascii="仿宋" w:hAnsi="仿宋" w:eastAsia="仿宋"/>
          <w:sz w:val="32"/>
          <w:szCs w:val="32"/>
        </w:rPr>
        <w:t>一般公共服务201（类）发展与改革事务04（款）行政运行01（项）：2020年决算数为268.47万元</w:t>
      </w:r>
      <w:r>
        <w:rPr>
          <w:rFonts w:hint="eastAsia" w:ascii="仿宋" w:hAnsi="仿宋" w:eastAsia="仿宋"/>
          <w:color w:val="000000" w:themeColor="text1"/>
          <w:sz w:val="32"/>
          <w:szCs w:val="32"/>
        </w:rPr>
        <w:t>，比预算增加50.83%，决算数大于预算数的主要原因是人员工资调整。</w:t>
      </w:r>
    </w:p>
    <w:p>
      <w:pPr>
        <w:spacing w:line="600" w:lineRule="exact"/>
        <w:ind w:firstLine="640"/>
        <w:rPr>
          <w:rFonts w:ascii="仿宋" w:hAnsi="仿宋" w:eastAsia="仿宋"/>
          <w:color w:val="000000" w:themeColor="text1"/>
          <w:sz w:val="32"/>
          <w:szCs w:val="32"/>
        </w:rPr>
      </w:pPr>
      <w:r>
        <w:rPr>
          <w:rFonts w:hint="eastAsia" w:ascii="仿宋" w:hAnsi="仿宋" w:eastAsia="仿宋"/>
          <w:color w:val="000000" w:themeColor="text1"/>
          <w:sz w:val="32"/>
          <w:szCs w:val="32"/>
        </w:rPr>
        <w:t>一般公共服务201（类）发展与改革事务04（款）事业运行50（项）：2020年决算数为85.85万元，本年预算与决算一致。</w:t>
      </w:r>
    </w:p>
    <w:p>
      <w:pPr>
        <w:ind w:firstLine="640" w:firstLineChars="200"/>
        <w:rPr>
          <w:rFonts w:ascii="仿宋" w:hAnsi="仿宋" w:eastAsia="仿宋"/>
          <w:color w:val="000000" w:themeColor="text1"/>
          <w:sz w:val="32"/>
          <w:szCs w:val="32"/>
        </w:rPr>
      </w:pPr>
      <w:r>
        <w:rPr>
          <w:rFonts w:hint="eastAsia" w:ascii="仿宋" w:hAnsi="仿宋" w:eastAsia="仿宋"/>
          <w:sz w:val="32"/>
          <w:szCs w:val="32"/>
        </w:rPr>
        <w:t>一般公共服务201（类）发展与改革事务04（款）其他发展与改革事务99（项）：2020年决算数为25万元</w:t>
      </w:r>
      <w:r>
        <w:rPr>
          <w:rFonts w:hint="eastAsia" w:ascii="仿宋" w:hAnsi="仿宋" w:eastAsia="仿宋"/>
          <w:color w:val="000000" w:themeColor="text1"/>
          <w:sz w:val="32"/>
          <w:szCs w:val="32"/>
        </w:rPr>
        <w:t>，</w:t>
      </w:r>
      <w:r>
        <w:rPr>
          <w:rFonts w:hint="eastAsia" w:ascii="仿宋" w:hAnsi="仿宋" w:eastAsia="仿宋"/>
          <w:sz w:val="32"/>
          <w:szCs w:val="32"/>
        </w:rPr>
        <w:t>本年无预算数，决算数大于预算数的主要原因是本年本级追加资金，未纳入部门预算。</w:t>
      </w:r>
    </w:p>
    <w:p>
      <w:pPr>
        <w:spacing w:line="600" w:lineRule="exact"/>
        <w:ind w:firstLine="640"/>
        <w:rPr>
          <w:rFonts w:ascii="仿宋" w:hAnsi="仿宋" w:eastAsia="仿宋"/>
          <w:color w:val="000000" w:themeColor="text1"/>
          <w:sz w:val="32"/>
          <w:szCs w:val="32"/>
        </w:rPr>
      </w:pPr>
      <w:r>
        <w:rPr>
          <w:rFonts w:hint="eastAsia" w:ascii="仿宋" w:hAnsi="仿宋" w:eastAsia="仿宋"/>
          <w:color w:val="000000" w:themeColor="text1"/>
          <w:sz w:val="32"/>
          <w:szCs w:val="32"/>
        </w:rPr>
        <w:t>一般公共服务201（类）商贸事务13（款）招商引资08（项）：2020年决算数为1万元，本年无预算数，决算数大于预算数的主要原因是本年本级安排招商引资支出，未纳入部门预算。</w:t>
      </w:r>
    </w:p>
    <w:p>
      <w:pPr>
        <w:spacing w:line="600" w:lineRule="exact"/>
        <w:ind w:firstLine="643" w:firstLineChars="200"/>
        <w:rPr>
          <w:rStyle w:val="15"/>
          <w:rFonts w:ascii="宋体" w:hAnsi="宋体"/>
          <w:sz w:val="32"/>
          <w:szCs w:val="32"/>
        </w:rPr>
      </w:pPr>
      <w:r>
        <w:rPr>
          <w:rStyle w:val="15"/>
          <w:rFonts w:hint="eastAsia" w:ascii="宋体" w:hAnsi="宋体"/>
          <w:sz w:val="32"/>
          <w:szCs w:val="32"/>
        </w:rPr>
        <w:t>2.社会保障和就业:</w:t>
      </w:r>
    </w:p>
    <w:p>
      <w:pPr>
        <w:spacing w:line="600" w:lineRule="exact"/>
        <w:ind w:firstLine="640"/>
        <w:rPr>
          <w:rFonts w:ascii="仿宋" w:hAnsi="仿宋" w:eastAsia="仿宋"/>
          <w:color w:val="FF0000"/>
          <w:sz w:val="32"/>
          <w:szCs w:val="32"/>
        </w:rPr>
      </w:pPr>
      <w:r>
        <w:rPr>
          <w:rFonts w:hint="eastAsia" w:ascii="仿宋" w:hAnsi="仿宋" w:eastAsia="仿宋"/>
          <w:color w:val="000000" w:themeColor="text1"/>
          <w:sz w:val="32"/>
          <w:szCs w:val="32"/>
        </w:rPr>
        <w:t>社会保障和就业208（类）行政事业单位离退休05（款）机关事业单位基本养老保险缴费支出05（项）：2020年决算数为3</w:t>
      </w:r>
      <w:r>
        <w:rPr>
          <w:rFonts w:hint="eastAsia" w:ascii="仿宋" w:hAnsi="仿宋" w:eastAsia="仿宋"/>
          <w:sz w:val="32"/>
          <w:szCs w:val="32"/>
        </w:rPr>
        <w:t>6.12万元，比预算减少1.8%；决算数小于预算数的主要原因是年初缴费基数调整减少。</w:t>
      </w:r>
    </w:p>
    <w:p>
      <w:pPr>
        <w:spacing w:line="600" w:lineRule="exact"/>
        <w:ind w:firstLine="640"/>
        <w:rPr>
          <w:rFonts w:ascii="仿宋" w:hAnsi="仿宋" w:eastAsia="仿宋"/>
          <w:color w:val="FF0000"/>
          <w:sz w:val="32"/>
          <w:szCs w:val="32"/>
        </w:rPr>
      </w:pPr>
      <w:r>
        <w:rPr>
          <w:rFonts w:hint="eastAsia" w:ascii="仿宋" w:hAnsi="仿宋" w:eastAsia="仿宋"/>
          <w:color w:val="000000" w:themeColor="text1"/>
          <w:sz w:val="32"/>
          <w:szCs w:val="32"/>
        </w:rPr>
        <w:t>社会保障和就业208（类）行政事业单位离退休05（款）机关事业单位职业年金缴费支出06（项）：2019年决算数为</w:t>
      </w:r>
      <w:r>
        <w:rPr>
          <w:rFonts w:hint="eastAsia" w:ascii="仿宋" w:hAnsi="仿宋" w:eastAsia="仿宋"/>
          <w:sz w:val="32"/>
          <w:szCs w:val="32"/>
        </w:rPr>
        <w:t>18.05万元，比预算减少1.9%，决算数大于预算数的主要原因是年初缴费基数调整。</w:t>
      </w:r>
    </w:p>
    <w:p>
      <w:pPr>
        <w:spacing w:line="600" w:lineRule="exact"/>
        <w:ind w:firstLine="643" w:firstLineChars="200"/>
        <w:rPr>
          <w:rStyle w:val="15"/>
          <w:rFonts w:ascii="宋体" w:hAnsi="宋体"/>
          <w:color w:val="000000" w:themeColor="text1"/>
          <w:sz w:val="32"/>
          <w:szCs w:val="32"/>
        </w:rPr>
      </w:pPr>
      <w:r>
        <w:rPr>
          <w:rStyle w:val="15"/>
          <w:rFonts w:hint="eastAsia" w:ascii="宋体" w:hAnsi="宋体"/>
          <w:color w:val="000000" w:themeColor="text1"/>
          <w:sz w:val="32"/>
          <w:szCs w:val="32"/>
        </w:rPr>
        <w:t>3. 卫生健康支出：</w:t>
      </w:r>
    </w:p>
    <w:p>
      <w:pPr>
        <w:spacing w:line="600" w:lineRule="exact"/>
        <w:ind w:firstLine="640"/>
        <w:rPr>
          <w:rFonts w:ascii="仿宋" w:hAnsi="仿宋" w:eastAsia="仿宋"/>
          <w:color w:val="000000" w:themeColor="text1"/>
          <w:sz w:val="32"/>
          <w:szCs w:val="32"/>
        </w:rPr>
      </w:pPr>
      <w:r>
        <w:rPr>
          <w:rFonts w:hint="eastAsia" w:ascii="仿宋" w:hAnsi="仿宋" w:eastAsia="仿宋"/>
          <w:color w:val="000000" w:themeColor="text1"/>
          <w:sz w:val="32"/>
          <w:szCs w:val="32"/>
        </w:rPr>
        <w:t>卫生健康支出210（类）公共卫生11（款）突发公共卫生事件应急处理02（项）：2020年决算数为1.22万元，本年无预算数，决算数大于预算数的主要原因是本年本级安排支出，未纳入部门预算.</w:t>
      </w:r>
    </w:p>
    <w:p>
      <w:pPr>
        <w:spacing w:line="600" w:lineRule="exact"/>
        <w:ind w:firstLine="640"/>
        <w:rPr>
          <w:rFonts w:ascii="仿宋" w:hAnsi="仿宋" w:eastAsia="仿宋"/>
          <w:color w:val="FF0000"/>
          <w:sz w:val="32"/>
          <w:szCs w:val="32"/>
        </w:rPr>
      </w:pPr>
      <w:r>
        <w:rPr>
          <w:rFonts w:hint="eastAsia" w:ascii="仿宋" w:hAnsi="仿宋" w:eastAsia="仿宋"/>
          <w:color w:val="000000" w:themeColor="text1"/>
          <w:sz w:val="32"/>
          <w:szCs w:val="32"/>
        </w:rPr>
        <w:t>卫生健康支出210（类）医疗保障11（款）行政单位医疗01</w:t>
      </w:r>
      <w:r>
        <w:rPr>
          <w:rFonts w:hint="eastAsia" w:ascii="仿宋" w:hAnsi="仿宋" w:eastAsia="仿宋"/>
          <w:sz w:val="32"/>
          <w:szCs w:val="32"/>
        </w:rPr>
        <w:t>（项）：2020年决算数为9.04万元，比预算减少43.85%，决算数小于预算数的主要原因是年初缴费基数调整。</w:t>
      </w:r>
    </w:p>
    <w:p>
      <w:pPr>
        <w:spacing w:line="600" w:lineRule="exact"/>
        <w:ind w:firstLine="640"/>
        <w:rPr>
          <w:rFonts w:ascii="仿宋" w:hAnsi="仿宋" w:eastAsia="仿宋"/>
          <w:color w:val="FF0000"/>
          <w:sz w:val="32"/>
          <w:szCs w:val="32"/>
        </w:rPr>
      </w:pPr>
      <w:r>
        <w:rPr>
          <w:rFonts w:hint="eastAsia" w:ascii="仿宋" w:hAnsi="仿宋" w:eastAsia="仿宋"/>
          <w:color w:val="000000" w:themeColor="text1"/>
          <w:sz w:val="32"/>
          <w:szCs w:val="32"/>
        </w:rPr>
        <w:t>卫生健康支出210（类）医疗保障11（款）事业单位医疗02（项）：2020年决算数为6.78万元，本年预算与决算一致。</w:t>
      </w:r>
    </w:p>
    <w:p>
      <w:pPr>
        <w:spacing w:line="600" w:lineRule="exact"/>
        <w:ind w:firstLine="640"/>
        <w:rPr>
          <w:rFonts w:ascii="仿宋" w:hAnsi="仿宋" w:eastAsia="仿宋"/>
          <w:sz w:val="32"/>
          <w:szCs w:val="32"/>
        </w:rPr>
      </w:pPr>
      <w:r>
        <w:rPr>
          <w:rFonts w:hint="eastAsia" w:ascii="仿宋" w:hAnsi="仿宋" w:eastAsia="仿宋"/>
          <w:color w:val="000000" w:themeColor="text1"/>
          <w:sz w:val="32"/>
          <w:szCs w:val="32"/>
        </w:rPr>
        <w:t>卫生健康支出210（类）医疗保障11（款）公务员医疗补助03（项）：2020年决</w:t>
      </w:r>
      <w:r>
        <w:rPr>
          <w:rFonts w:hint="eastAsia" w:ascii="仿宋" w:hAnsi="仿宋" w:eastAsia="仿宋"/>
          <w:sz w:val="32"/>
          <w:szCs w:val="32"/>
        </w:rPr>
        <w:t>算数为3.39万元，比预算减少55.62%，决算数小于预算数的主要原因基数调整。</w:t>
      </w:r>
    </w:p>
    <w:p>
      <w:pPr>
        <w:spacing w:line="600" w:lineRule="exact"/>
        <w:ind w:firstLine="640"/>
        <w:rPr>
          <w:rFonts w:ascii="仿宋" w:hAnsi="仿宋" w:eastAsia="仿宋"/>
          <w:color w:val="000000" w:themeColor="text1"/>
          <w:sz w:val="32"/>
          <w:szCs w:val="32"/>
        </w:rPr>
      </w:pPr>
      <w:r>
        <w:rPr>
          <w:rFonts w:hint="eastAsia" w:ascii="仿宋" w:hAnsi="仿宋" w:eastAsia="仿宋"/>
          <w:color w:val="000000" w:themeColor="text1"/>
          <w:sz w:val="32"/>
          <w:szCs w:val="32"/>
        </w:rPr>
        <w:t>卫生健康支出210（类）医疗保障11（款）其他行政事业单位医疗支出99（项）：2020年决算数为4.27万元，本年预算与决算一致。</w:t>
      </w:r>
    </w:p>
    <w:p>
      <w:pPr>
        <w:spacing w:line="600" w:lineRule="exact"/>
        <w:ind w:firstLine="640"/>
        <w:rPr>
          <w:rFonts w:ascii="宋体" w:hAnsi="宋体"/>
          <w:b/>
          <w:sz w:val="32"/>
          <w:szCs w:val="32"/>
        </w:rPr>
      </w:pPr>
      <w:r>
        <w:rPr>
          <w:rFonts w:hint="eastAsia" w:ascii="宋体" w:hAnsi="宋体"/>
          <w:b/>
          <w:sz w:val="32"/>
          <w:szCs w:val="32"/>
        </w:rPr>
        <w:t>4.</w:t>
      </w:r>
      <w:r>
        <w:rPr>
          <w:rFonts w:hint="eastAsia"/>
        </w:rPr>
        <w:t xml:space="preserve"> </w:t>
      </w:r>
      <w:r>
        <w:rPr>
          <w:rFonts w:hint="eastAsia" w:ascii="宋体" w:hAnsi="宋体"/>
          <w:b/>
          <w:sz w:val="32"/>
          <w:szCs w:val="32"/>
        </w:rPr>
        <w:t>城乡社区支出：</w:t>
      </w:r>
    </w:p>
    <w:p>
      <w:pPr>
        <w:spacing w:line="600" w:lineRule="exact"/>
        <w:ind w:firstLine="640"/>
        <w:rPr>
          <w:rFonts w:ascii="仿宋" w:hAnsi="仿宋" w:eastAsia="仿宋"/>
          <w:color w:val="000000" w:themeColor="text1"/>
          <w:sz w:val="32"/>
          <w:szCs w:val="32"/>
        </w:rPr>
      </w:pPr>
      <w:r>
        <w:rPr>
          <w:rFonts w:hint="eastAsia" w:ascii="仿宋" w:hAnsi="仿宋" w:eastAsia="仿宋"/>
          <w:color w:val="000000" w:themeColor="text1"/>
          <w:sz w:val="32"/>
          <w:szCs w:val="32"/>
        </w:rPr>
        <w:t>城乡社区支出212（类）其他城乡社区支出99（款）其他城乡社区支出01（项）：2020年决算数为50.53万元，本年本级安排支出，未纳入部门预算.</w:t>
      </w:r>
    </w:p>
    <w:p>
      <w:pPr>
        <w:spacing w:line="600" w:lineRule="exact"/>
        <w:ind w:firstLine="640"/>
        <w:rPr>
          <w:rFonts w:ascii="仿宋" w:hAnsi="仿宋" w:eastAsia="仿宋"/>
          <w:color w:val="000000" w:themeColor="text1"/>
          <w:sz w:val="32"/>
          <w:szCs w:val="32"/>
        </w:rPr>
      </w:pPr>
      <w:r>
        <w:rPr>
          <w:rFonts w:hint="eastAsia" w:ascii="宋体" w:hAnsi="宋体"/>
          <w:b/>
          <w:color w:val="000000" w:themeColor="text1"/>
          <w:sz w:val="32"/>
          <w:szCs w:val="32"/>
        </w:rPr>
        <w:t>5.农林水支出：</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农林水支出213（类）扶贫05（款）农村基础设施建设04（项）：2020年决算数为582.11万元，本年无预算数，决算数大于预算数的主要原因是此项资金属于本年上级财政安排项目资金，未纳入部门预算。</w:t>
      </w:r>
    </w:p>
    <w:p>
      <w:pPr>
        <w:spacing w:line="600" w:lineRule="exact"/>
        <w:ind w:firstLine="643" w:firstLineChars="200"/>
        <w:rPr>
          <w:rStyle w:val="15"/>
          <w:rFonts w:ascii="宋体" w:hAnsi="宋体"/>
          <w:color w:val="000000" w:themeColor="text1"/>
          <w:sz w:val="32"/>
          <w:szCs w:val="32"/>
        </w:rPr>
      </w:pPr>
      <w:r>
        <w:rPr>
          <w:rStyle w:val="15"/>
          <w:rFonts w:hint="eastAsia" w:ascii="宋体" w:hAnsi="宋体"/>
          <w:color w:val="000000" w:themeColor="text1"/>
          <w:sz w:val="32"/>
          <w:szCs w:val="32"/>
        </w:rPr>
        <w:t>6.</w:t>
      </w:r>
      <w:r>
        <w:rPr>
          <w:rFonts w:hint="eastAsia"/>
        </w:rPr>
        <w:t xml:space="preserve"> </w:t>
      </w:r>
      <w:r>
        <w:rPr>
          <w:rStyle w:val="15"/>
          <w:rFonts w:hint="eastAsia" w:ascii="宋体" w:hAnsi="宋体"/>
          <w:color w:val="000000" w:themeColor="text1"/>
          <w:sz w:val="32"/>
          <w:szCs w:val="32"/>
        </w:rPr>
        <w:t>资源勘探工业信息等支出：</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资源勘探工业信息等支出215 （类）制造业02（款）其他制造业支出99（项）：2020年决算数为376万元，本年无预算数，决算数大于预算数的主要原因是此项资金属于上级财政安排项目资金，未纳入部门预算。</w:t>
      </w:r>
    </w:p>
    <w:p>
      <w:pPr>
        <w:spacing w:line="600" w:lineRule="exact"/>
        <w:ind w:firstLine="643" w:firstLineChars="200"/>
        <w:rPr>
          <w:rFonts w:ascii="宋体" w:hAnsi="宋体"/>
          <w:b/>
          <w:color w:val="000000" w:themeColor="text1"/>
          <w:sz w:val="32"/>
          <w:szCs w:val="32"/>
        </w:rPr>
      </w:pPr>
      <w:r>
        <w:rPr>
          <w:rFonts w:hint="eastAsia" w:ascii="宋体" w:hAnsi="宋体"/>
          <w:b/>
          <w:color w:val="000000" w:themeColor="text1"/>
          <w:sz w:val="32"/>
          <w:szCs w:val="32"/>
        </w:rPr>
        <w:t>7.</w:t>
      </w:r>
      <w:r>
        <w:rPr>
          <w:rFonts w:hint="eastAsia"/>
          <w:color w:val="000000" w:themeColor="text1"/>
        </w:rPr>
        <w:t xml:space="preserve"> </w:t>
      </w:r>
      <w:r>
        <w:rPr>
          <w:rStyle w:val="15"/>
          <w:rFonts w:hint="eastAsia" w:ascii="宋体" w:hAnsi="宋体"/>
          <w:color w:val="000000" w:themeColor="text1"/>
          <w:sz w:val="32"/>
          <w:szCs w:val="32"/>
        </w:rPr>
        <w:t>商业服务业等支出</w:t>
      </w:r>
      <w:r>
        <w:rPr>
          <w:rStyle w:val="15"/>
          <w:rFonts w:hint="eastAsia"/>
          <w:color w:val="000000" w:themeColor="text1"/>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商业服务业等支出216（类）商业流通事务02（款）其他商业流通事务支出99（项）：2020年决算数为12万元，本年无预算数，决算数大于预算数的主要原因是此资金属于上级财政安排项目资金，未纳入部门预算。</w:t>
      </w:r>
    </w:p>
    <w:p>
      <w:pPr>
        <w:spacing w:line="600" w:lineRule="exact"/>
        <w:ind w:firstLine="643" w:firstLineChars="200"/>
        <w:rPr>
          <w:rStyle w:val="15"/>
          <w:rFonts w:ascii="宋体" w:hAnsi="宋体"/>
          <w:color w:val="000000" w:themeColor="text1"/>
          <w:sz w:val="32"/>
          <w:szCs w:val="32"/>
        </w:rPr>
      </w:pPr>
      <w:r>
        <w:rPr>
          <w:rStyle w:val="15"/>
          <w:rFonts w:hint="eastAsia" w:ascii="宋体" w:hAnsi="宋体"/>
          <w:color w:val="000000" w:themeColor="text1"/>
          <w:sz w:val="32"/>
          <w:szCs w:val="32"/>
        </w:rPr>
        <w:t>8.住房保障支出:</w:t>
      </w:r>
    </w:p>
    <w:p>
      <w:pPr>
        <w:spacing w:line="600" w:lineRule="exact"/>
        <w:ind w:firstLine="640"/>
        <w:rPr>
          <w:rFonts w:ascii="仿宋" w:hAnsi="仿宋" w:eastAsia="仿宋"/>
          <w:sz w:val="32"/>
          <w:szCs w:val="32"/>
        </w:rPr>
      </w:pPr>
      <w:r>
        <w:rPr>
          <w:rFonts w:hint="eastAsia" w:ascii="仿宋" w:hAnsi="仿宋" w:eastAsia="仿宋"/>
          <w:color w:val="000000" w:themeColor="text1"/>
          <w:sz w:val="32"/>
          <w:szCs w:val="32"/>
        </w:rPr>
        <w:t>住房保障支出221（类）住房改革支出02（款）住房公积金01（项）：2020年决算数为</w:t>
      </w:r>
      <w:r>
        <w:rPr>
          <w:rFonts w:hint="eastAsia" w:ascii="仿宋" w:hAnsi="仿宋" w:eastAsia="仿宋"/>
          <w:sz w:val="32"/>
          <w:szCs w:val="32"/>
        </w:rPr>
        <w:t>35.29万元，比预算增加27.86%，决算数大于预算数的主要原因是住房公积金基数调整。</w:t>
      </w:r>
    </w:p>
    <w:p>
      <w:pPr>
        <w:spacing w:line="600" w:lineRule="exact"/>
        <w:ind w:firstLine="643" w:firstLineChars="200"/>
        <w:rPr>
          <w:rStyle w:val="15"/>
          <w:rFonts w:ascii="宋体" w:hAnsi="宋体"/>
          <w:color w:val="000000" w:themeColor="text1"/>
          <w:sz w:val="32"/>
          <w:szCs w:val="32"/>
        </w:rPr>
      </w:pPr>
      <w:r>
        <w:rPr>
          <w:rStyle w:val="15"/>
          <w:rFonts w:hint="eastAsia" w:ascii="宋体" w:hAnsi="宋体"/>
          <w:color w:val="000000" w:themeColor="text1"/>
          <w:sz w:val="32"/>
          <w:szCs w:val="32"/>
        </w:rPr>
        <w:t>9.其他支出：</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其他支出229（类）其他支出99（款）其他支出01（项）： 2020年决算数为143.08万元，本年无预算数，决算数大于预算数的主要原因是此资金属于上级财政安排项目资金，未纳入部门预算。</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5"/>
        <w:rPr>
          <w:rFonts w:ascii="仿宋" w:hAnsi="仿宋" w:eastAsia="仿宋"/>
          <w:color w:val="000000" w:themeColor="text1"/>
          <w:sz w:val="32"/>
          <w:szCs w:val="32"/>
        </w:rPr>
      </w:pPr>
      <w:r>
        <w:rPr>
          <w:rFonts w:hint="eastAsia" w:ascii="仿宋" w:hAnsi="仿宋" w:eastAsia="仿宋"/>
          <w:color w:val="000000" w:themeColor="text1"/>
          <w:sz w:val="32"/>
          <w:szCs w:val="32"/>
        </w:rPr>
        <w:t>2020年度一般公共预算财政拨款基本支出492.27万元，其中：</w:t>
      </w:r>
    </w:p>
    <w:p>
      <w:pPr>
        <w:spacing w:line="600" w:lineRule="exact"/>
        <w:ind w:firstLine="645"/>
        <w:rPr>
          <w:rFonts w:ascii="仿宋" w:hAnsi="仿宋" w:eastAsia="仿宋"/>
          <w:color w:val="000000" w:themeColor="text1"/>
          <w:sz w:val="32"/>
          <w:szCs w:val="32"/>
        </w:rPr>
      </w:pPr>
      <w:r>
        <w:rPr>
          <w:rFonts w:hint="eastAsia" w:ascii="仿宋" w:hAnsi="仿宋" w:eastAsia="仿宋"/>
          <w:color w:val="000000" w:themeColor="text1"/>
          <w:sz w:val="32"/>
          <w:szCs w:val="32"/>
        </w:rPr>
        <w:t>人员经费433.98万元，主要包括：基本工资101.67万元、津贴补贴96.98万元、绩效工资29.18万元、奖金7.26万元、机关事业单位基本养老保险缴费36.12万元、职业年金缴费18.05万元、其他社会保障缴费1.05万元、职工基本医疗保险缴费15.83万元、公务员医疗补助7.65万元、奖励金81.02万元、住房公积金35.29万元、生活补助3.88万元。</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公用经费33.29万元，主要包括：办公费8.71万元、电费1.5万元、邮电费3万元、差旅费11.24万元、福利费0.3万元、公务用车运行维护费8.54万元。</w:t>
      </w:r>
    </w:p>
    <w:p>
      <w:pPr>
        <w:spacing w:line="600" w:lineRule="exact"/>
        <w:ind w:firstLine="640" w:firstLineChars="200"/>
        <w:outlineLvl w:val="1"/>
        <w:rPr>
          <w:rStyle w:val="18"/>
          <w:rFonts w:ascii="黑体" w:eastAsia="黑体"/>
          <w:b w:val="0"/>
        </w:rPr>
      </w:pPr>
      <w:bookmarkStart w:id="42" w:name="_Toc15396609"/>
      <w:bookmarkStart w:id="43" w:name="_Toc15377215"/>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_GB2312" w:hAnsi="仿宋" w:cs="Arial"/>
          <w:sz w:val="32"/>
          <w:szCs w:val="32"/>
        </w:rPr>
      </w:pPr>
      <w:bookmarkStart w:id="45" w:name="_Toc15377217"/>
      <w:r>
        <w:rPr>
          <w:rFonts w:hint="eastAsia" w:ascii="仿宋_GB2312" w:hAnsi="仿宋" w:eastAsia="仿宋_GB2312"/>
          <w:color w:val="000000"/>
          <w:sz w:val="32"/>
          <w:szCs w:val="32"/>
        </w:rPr>
        <w:t>2020年度“三公”经费财政拨款支出决算为8.54万元，完成预算的99.88%，决算数比预算数减少的主要原因是</w:t>
      </w:r>
      <w:r>
        <w:rPr>
          <w:rFonts w:hint="eastAsia" w:ascii="仿宋_GB2312"/>
          <w:sz w:val="32"/>
          <w:szCs w:val="32"/>
        </w:rPr>
        <w:t>比预算减</w:t>
      </w:r>
      <w:r>
        <w:rPr>
          <w:rFonts w:hint="eastAsia" w:ascii="仿宋_GB2312" w:hAnsi="仿宋" w:eastAsia="仿宋_GB2312"/>
          <w:color w:val="000000"/>
          <w:sz w:val="32"/>
          <w:szCs w:val="32"/>
        </w:rPr>
        <w:t>少0.001</w:t>
      </w:r>
      <w:r>
        <w:rPr>
          <w:rFonts w:ascii="仿宋_GB2312" w:hAnsi="仿宋" w:eastAsia="仿宋_GB2312"/>
          <w:color w:val="000000"/>
          <w:sz w:val="32"/>
          <w:szCs w:val="32"/>
        </w:rPr>
        <w:t>%</w:t>
      </w:r>
      <w:r>
        <w:rPr>
          <w:rFonts w:hint="eastAsia" w:ascii="仿宋_GB2312" w:hAnsi="仿宋" w:eastAsia="仿宋_GB2312"/>
          <w:color w:val="000000"/>
          <w:sz w:val="32"/>
          <w:szCs w:val="32"/>
        </w:rPr>
        <w:t>，原因是厉行节俭，各项费用减少。</w:t>
      </w:r>
    </w:p>
    <w:p>
      <w:pPr>
        <w:spacing w:line="600" w:lineRule="exact"/>
        <w:ind w:firstLine="640"/>
        <w:outlineLvl w:val="2"/>
        <w:rPr>
          <w:rFonts w:ascii="仿宋" w:eastAsia="仿宋"/>
          <w:b/>
          <w:color w:val="000000"/>
          <w:sz w:val="32"/>
          <w:szCs w:val="32"/>
        </w:rPr>
      </w:pPr>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_GB2312" w:hAnsi="仿宋" w:eastAsia="仿宋_GB2312"/>
          <w:color w:val="000000" w:themeColor="text1"/>
          <w:sz w:val="32"/>
          <w:szCs w:val="32"/>
        </w:rPr>
      </w:pPr>
      <w:r>
        <w:rPr>
          <w:rFonts w:hint="eastAsia" w:ascii="仿宋_GB2312" w:hAnsi="宋体" w:eastAsia="仿宋_GB2312"/>
          <w:color w:val="000000" w:themeColor="text1"/>
          <w:sz w:val="32"/>
          <w:szCs w:val="32"/>
        </w:rPr>
        <w:t>2020年度“三公”经费财政拨款支出决算中，因公出国（境）</w:t>
      </w:r>
      <w:r>
        <w:rPr>
          <w:rFonts w:hint="eastAsia" w:ascii="仿宋_GB2312" w:hAnsi="仿宋" w:eastAsia="仿宋_GB2312"/>
          <w:color w:val="000000" w:themeColor="text1"/>
          <w:sz w:val="32"/>
          <w:szCs w:val="32"/>
        </w:rPr>
        <w:t>费支出决算0万元，占0%；公务用车购置及运行维护费支出决算8.54万元，占100%；公务接待费支出决算0万元，占0%。具体情况如下：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hAnsi="仿宋" w:eastAsia="仿宋_GB2312"/>
          <w:color w:val="000000" w:themeColor="text1"/>
          <w:sz w:val="32"/>
          <w:szCs w:val="32"/>
        </w:rPr>
      </w:pPr>
      <w:r>
        <w:rPr>
          <w:rFonts w:hint="eastAsia" w:ascii="仿宋_GB2312" w:eastAsia="仿宋_GB2312"/>
          <w:b/>
          <w:color w:val="000000"/>
          <w:sz w:val="32"/>
          <w:szCs w:val="32"/>
        </w:rPr>
        <w:t>1.</w:t>
      </w:r>
      <w:r>
        <w:rPr>
          <w:rFonts w:hint="eastAsia" w:ascii="仿宋_GB2312" w:hAnsi="仿宋" w:eastAsia="仿宋_GB2312"/>
          <w:b/>
          <w:color w:val="000000" w:themeColor="text1"/>
          <w:sz w:val="32"/>
          <w:szCs w:val="32"/>
        </w:rPr>
        <w:t>因公出国（境）经费支出0万元</w:t>
      </w:r>
      <w:r>
        <w:rPr>
          <w:rFonts w:hint="eastAsia" w:ascii="仿宋_GB2312" w:eastAsia="仿宋_GB2312"/>
          <w:color w:val="000000" w:themeColor="text1"/>
          <w:sz w:val="32"/>
          <w:szCs w:val="32"/>
        </w:rPr>
        <w:t>。</w:t>
      </w:r>
      <w:r>
        <w:rPr>
          <w:rFonts w:hint="eastAsia" w:ascii="仿宋_GB2312" w:hAnsi="仿宋" w:eastAsia="仿宋_GB2312"/>
          <w:color w:val="000000" w:themeColor="text1"/>
          <w:sz w:val="32"/>
          <w:szCs w:val="32"/>
        </w:rPr>
        <w:t>全年安排因公出国（境）团组0次，出国（境）0人。开支内容包括：无（团组名称、出访地点、取得成效）等。</w:t>
      </w:r>
    </w:p>
    <w:p>
      <w:pPr>
        <w:spacing w:line="600" w:lineRule="exact"/>
        <w:ind w:firstLine="640"/>
        <w:rPr>
          <w:rFonts w:ascii="仿宋_GB2312" w:hAnsi="仿宋" w:eastAsia="仿宋_GB2312"/>
          <w:b/>
          <w:color w:val="000000" w:themeColor="text1"/>
          <w:sz w:val="32"/>
          <w:szCs w:val="32"/>
        </w:rPr>
      </w:pPr>
      <w:r>
        <w:rPr>
          <w:rFonts w:hint="eastAsia" w:ascii="仿宋_GB2312" w:hAnsi="仿宋" w:eastAsia="仿宋_GB2312"/>
          <w:color w:val="000000" w:themeColor="text1"/>
          <w:sz w:val="32"/>
          <w:szCs w:val="32"/>
        </w:rPr>
        <w:t>因公出国（境）支出决算比2019年增加/减少0万元，增长/下降0%。主要原因是我单位无人员因公出国（境）。</w:t>
      </w:r>
    </w:p>
    <w:p>
      <w:pPr>
        <w:spacing w:line="600" w:lineRule="exact"/>
        <w:ind w:firstLine="643" w:firstLineChars="200"/>
        <w:rPr>
          <w:rFonts w:ascii="仿宋_GB2312" w:eastAsia="仿宋_GB2312"/>
          <w:color w:val="000000" w:themeColor="text1"/>
          <w:sz w:val="32"/>
          <w:szCs w:val="32"/>
        </w:rPr>
      </w:pPr>
      <w:r>
        <w:rPr>
          <w:rFonts w:ascii="仿宋_GB2312" w:eastAsia="仿宋_GB2312"/>
          <w:b/>
          <w:color w:val="000000"/>
          <w:sz w:val="32"/>
          <w:szCs w:val="32"/>
        </w:rPr>
        <w:t>2.</w:t>
      </w:r>
      <w:r>
        <w:rPr>
          <w:rFonts w:hint="eastAsia" w:ascii="仿宋_GB2312" w:hAnsi="宋体" w:eastAsia="仿宋_GB2312"/>
          <w:b/>
          <w:color w:val="000000" w:themeColor="text1"/>
          <w:sz w:val="32"/>
          <w:szCs w:val="32"/>
        </w:rPr>
        <w:t>公务用车购置及运行维护费支出</w:t>
      </w:r>
      <w:r>
        <w:rPr>
          <w:rFonts w:hint="eastAsia" w:ascii="仿宋_GB2312" w:hAnsi="仿宋" w:eastAsia="仿宋_GB2312"/>
          <w:b/>
          <w:color w:val="000000" w:themeColor="text1"/>
          <w:sz w:val="32"/>
          <w:szCs w:val="32"/>
        </w:rPr>
        <w:t>8.54万元</w:t>
      </w:r>
      <w:r>
        <w:rPr>
          <w:rFonts w:hint="eastAsia" w:ascii="仿宋_GB2312" w:hAnsi="仿宋" w:eastAsia="仿宋_GB2312"/>
          <w:color w:val="000000" w:themeColor="text1"/>
          <w:sz w:val="32"/>
          <w:szCs w:val="32"/>
        </w:rPr>
        <w:t>。其中：</w:t>
      </w:r>
    </w:p>
    <w:p>
      <w:pPr>
        <w:spacing w:line="600" w:lineRule="exact"/>
        <w:ind w:firstLine="643" w:firstLineChars="200"/>
        <w:rPr>
          <w:rFonts w:ascii="仿宋_GB2312" w:hAnsi="仿宋" w:eastAsia="仿宋_GB2312"/>
          <w:b/>
          <w:color w:val="000000" w:themeColor="text1"/>
          <w:sz w:val="32"/>
          <w:szCs w:val="32"/>
        </w:rPr>
      </w:pPr>
      <w:r>
        <w:rPr>
          <w:rFonts w:hint="eastAsia" w:ascii="仿宋_GB2312" w:hAnsi="仿宋" w:eastAsia="仿宋_GB2312"/>
          <w:b/>
          <w:color w:val="000000" w:themeColor="text1"/>
          <w:sz w:val="32"/>
          <w:szCs w:val="32"/>
        </w:rPr>
        <w:t>公务用车购置支出0万元。</w:t>
      </w:r>
      <w:r>
        <w:rPr>
          <w:rFonts w:hint="eastAsia" w:ascii="仿宋_GB2312" w:hAnsi="仿宋" w:eastAsia="仿宋_GB2312"/>
          <w:color w:val="000000" w:themeColor="text1"/>
          <w:sz w:val="32"/>
          <w:szCs w:val="32"/>
        </w:rPr>
        <w:t>全年按规定更新购置公务用车0辆，其中：轿车0辆、金额0万元，越野车0辆、金额0万元，载客汽车0辆、金额0万元。截至2019年12月底，单位共有公务用车1辆，其中：轿车0辆、越野车1辆、载客汽车0辆。</w:t>
      </w:r>
    </w:p>
    <w:p>
      <w:pPr>
        <w:spacing w:line="600" w:lineRule="exact"/>
        <w:ind w:firstLine="640"/>
        <w:rPr>
          <w:rFonts w:ascii="仿宋_GB2312" w:hAnsi="仿宋" w:eastAsia="仿宋_GB2312"/>
          <w:color w:val="000000" w:themeColor="text1"/>
          <w:sz w:val="32"/>
          <w:szCs w:val="32"/>
        </w:rPr>
      </w:pPr>
      <w:r>
        <w:rPr>
          <w:rFonts w:hint="eastAsia" w:ascii="仿宋_GB2312" w:hAnsi="宋体" w:eastAsia="仿宋_GB2312"/>
          <w:b/>
          <w:color w:val="000000" w:themeColor="text1"/>
          <w:sz w:val="32"/>
          <w:szCs w:val="32"/>
        </w:rPr>
        <w:t>公务用车运行维护费支出</w:t>
      </w:r>
      <w:r>
        <w:rPr>
          <w:rFonts w:hint="eastAsia" w:ascii="仿宋_GB2312" w:hAnsi="仿宋" w:eastAsia="仿宋_GB2312"/>
          <w:b/>
          <w:color w:val="000000" w:themeColor="text1"/>
          <w:sz w:val="32"/>
          <w:szCs w:val="32"/>
        </w:rPr>
        <w:t>8.54万元。</w:t>
      </w:r>
      <w:r>
        <w:rPr>
          <w:rFonts w:hint="eastAsia" w:ascii="仿宋_GB2312" w:hAnsi="仿宋" w:eastAsia="仿宋_GB2312"/>
          <w:color w:val="000000" w:themeColor="text1"/>
          <w:sz w:val="32"/>
          <w:szCs w:val="32"/>
        </w:rPr>
        <w:t>主要用于我局开展各项工作所需的公务用车燃料费、维修费、过路过桥费、保险费、车辆维修维护等支出。</w:t>
      </w:r>
    </w:p>
    <w:p>
      <w:pPr>
        <w:spacing w:line="600" w:lineRule="exact"/>
        <w:ind w:firstLine="64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公务用车购置及运行维护费支出决算比2019年增加7.61万元。主要原因是</w:t>
      </w:r>
      <w:r>
        <w:rPr>
          <w:rFonts w:hint="eastAsia" w:ascii="仿宋_GB2312" w:hAnsi="仿宋" w:eastAsia="仿宋_GB2312" w:cs="Arial"/>
          <w:color w:val="000000" w:themeColor="text1"/>
          <w:kern w:val="0"/>
          <w:sz w:val="32"/>
          <w:szCs w:val="32"/>
        </w:rPr>
        <w:t>项目年参加招投标等业务增加，出差增加，车辆使用年限久，维修维护费增加，致公务用车运行维护费增加</w:t>
      </w:r>
      <w:r>
        <w:rPr>
          <w:rFonts w:hint="eastAsia" w:ascii="仿宋_GB2312" w:hAnsi="仿宋" w:eastAsia="仿宋_GB2312"/>
          <w:color w:val="000000" w:themeColor="text1"/>
          <w:sz w:val="32"/>
          <w:szCs w:val="32"/>
        </w:rPr>
        <w:t>。</w:t>
      </w:r>
    </w:p>
    <w:p>
      <w:pPr>
        <w:spacing w:line="600" w:lineRule="exact"/>
        <w:ind w:firstLine="640"/>
        <w:rPr>
          <w:rFonts w:ascii="仿宋_GB2312" w:hAnsi="仿宋" w:eastAsia="仿宋_GB2312"/>
          <w:color w:val="000000" w:themeColor="text1"/>
          <w:sz w:val="32"/>
          <w:szCs w:val="32"/>
        </w:rPr>
      </w:pPr>
      <w:r>
        <w:rPr>
          <w:rFonts w:hint="eastAsia" w:ascii="仿宋_GB2312" w:hAnsi="宋体" w:eastAsia="仿宋_GB2312"/>
          <w:b/>
          <w:color w:val="000000" w:themeColor="text1"/>
          <w:sz w:val="32"/>
          <w:szCs w:val="32"/>
        </w:rPr>
        <w:t>3.公务接待费支出</w:t>
      </w:r>
      <w:r>
        <w:rPr>
          <w:rFonts w:hint="eastAsia" w:ascii="仿宋_GB2312" w:hAnsi="仿宋" w:eastAsia="仿宋_GB2312"/>
          <w:b/>
          <w:color w:val="000000" w:themeColor="text1"/>
          <w:sz w:val="32"/>
          <w:szCs w:val="32"/>
        </w:rPr>
        <w:t>0万元。</w:t>
      </w:r>
      <w:r>
        <w:rPr>
          <w:rFonts w:hint="eastAsia" w:ascii="仿宋_GB2312" w:hAnsi="仿宋" w:eastAsia="仿宋_GB2312"/>
          <w:color w:val="000000" w:themeColor="text1"/>
          <w:sz w:val="32"/>
          <w:szCs w:val="32"/>
        </w:rPr>
        <w:t>主要用于执行公务、开展业务活动开支的交通费、住宿费、用餐费等。国内公务接待0批次，0人次（不包括陪同人员），共计支出0万元，具体内容包括：无（接待具体项目、金额）。其中：外事接待0批次，0人，共计支出0万元，主要用于接待无。</w:t>
      </w:r>
    </w:p>
    <w:p>
      <w:pPr>
        <w:ind w:firstLine="709"/>
        <w:rPr>
          <w:rFonts w:ascii="仿宋_GB2312" w:hAnsi="仿宋" w:eastAsia="仿宋_GB2312" w:cs="仿宋"/>
          <w:color w:val="FF0000"/>
          <w:sz w:val="32"/>
          <w:szCs w:val="32"/>
        </w:rPr>
      </w:pPr>
      <w:r>
        <w:rPr>
          <w:rFonts w:hint="eastAsia" w:ascii="仿宋_GB2312" w:hAnsi="仿宋" w:eastAsia="仿宋_GB2312"/>
          <w:color w:val="000000" w:themeColor="text1"/>
          <w:sz w:val="32"/>
          <w:szCs w:val="32"/>
        </w:rPr>
        <w:t>公务接待费0万元，支出决算与2019年一致，无增加减少。主要原因是坚持厉行节约，努力降低行政成本，减少了开支。</w:t>
      </w:r>
    </w:p>
    <w:p>
      <w:pPr>
        <w:spacing w:line="600" w:lineRule="exact"/>
        <w:ind w:firstLine="640"/>
        <w:outlineLvl w:val="1"/>
        <w:rPr>
          <w:rStyle w:val="18"/>
          <w:rFonts w:ascii="黑体" w:eastAsia="黑体"/>
        </w:rPr>
      </w:pPr>
      <w:bookmarkStart w:id="46" w:name="_Toc15377218"/>
      <w:bookmarkStart w:id="47" w:name="_Toc15396610"/>
      <w:r>
        <w:rPr>
          <w:rFonts w:hint="eastAsia" w:ascii="黑体" w:eastAsia="黑体"/>
          <w:color w:val="000000"/>
          <w:sz w:val="32"/>
          <w:szCs w:val="32"/>
        </w:rPr>
        <w:t>八、</w:t>
      </w:r>
      <w:r>
        <w:rPr>
          <w:rStyle w:val="18"/>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1"/>
        </w:numPr>
        <w:spacing w:line="600" w:lineRule="exact"/>
        <w:ind w:firstLine="640"/>
        <w:outlineLvl w:val="1"/>
        <w:rPr>
          <w:rStyle w:val="18"/>
          <w:rFonts w:ascii="黑体" w:eastAsia="黑体"/>
          <w:b w:val="0"/>
        </w:rPr>
      </w:pPr>
      <w:bookmarkStart w:id="48" w:name="_Toc15396611"/>
      <w:bookmarkStart w:id="49" w:name="_Toc15377219"/>
      <w:r>
        <w:rPr>
          <w:rStyle w:val="18"/>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3"/>
        <w:numPr>
          <w:ilvl w:val="0"/>
          <w:numId w:val="2"/>
        </w:numPr>
        <w:spacing w:line="580" w:lineRule="exact"/>
        <w:ind w:firstLineChars="0"/>
        <w:rPr>
          <w:rStyle w:val="18"/>
          <w:rFonts w:ascii="黑体" w:eastAsia="黑体"/>
          <w:b w:val="0"/>
        </w:rPr>
      </w:pPr>
      <w:r>
        <w:rPr>
          <w:rStyle w:val="18"/>
          <w:rFonts w:hint="eastAsia" w:ascii="黑体" w:eastAsia="黑体"/>
          <w:b w:val="0"/>
        </w:rPr>
        <w:t>预算绩效情况说明</w:t>
      </w:r>
    </w:p>
    <w:p>
      <w:pPr>
        <w:numPr>
          <w:ilvl w:val="0"/>
          <w:numId w:val="3"/>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2020年项目编制了绩效目标，预算执行过程中，选取2个项目开展绩效监控，年终执行完毕后，对2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经全面综合评价，我单位预算支出绩效自评得分87</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总分为87分）。我单位深入贯彻落实十九大关于“全面实施绩效管理”的要求，努力提升本单位绩效预算管理业务水平。主动公开绩效结果，加大资金使用效率，提升政府管理水平。及时告知各股室部门预算及项目支出进度</w:t>
      </w:r>
      <w:r>
        <w:rPr>
          <w:rFonts w:hint="eastAsia" w:ascii="仿宋_GB2312" w:eastAsia="仿宋_GB2312" w:cs="仿宋_GB2312"/>
          <w:sz w:val="32"/>
          <w:szCs w:val="32"/>
        </w:rPr>
        <w:t>。本单位还自行组织了项目绩效评价，从评价情况来看我单位年初预算项目基本按照绩效目标完成支付，有部分项目结转质保金在下年质保期后进行支付。</w:t>
      </w:r>
    </w:p>
    <w:p>
      <w:pPr>
        <w:numPr>
          <w:ilvl w:val="0"/>
          <w:numId w:val="3"/>
        </w:numPr>
        <w:spacing w:line="580" w:lineRule="exact"/>
        <w:ind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numPr>
          <w:ilvl w:val="0"/>
          <w:numId w:val="3"/>
        </w:numPr>
        <w:spacing w:line="58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本部门在2020年度部门决算中反映以2020年工代赈项目等项目绩效目标实际完成情况。</w:t>
      </w:r>
    </w:p>
    <w:p>
      <w:pPr>
        <w:spacing w:line="576" w:lineRule="exact"/>
        <w:ind w:firstLine="640" w:firstLineChars="200"/>
        <w:jc w:val="left"/>
        <w:rPr>
          <w:rFonts w:ascii="仿宋_GB2312" w:eastAsia="仿宋_GB2312" w:cs="仿宋_GB2312"/>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2020年以工代赈示范工程</w:t>
      </w:r>
      <w:r>
        <w:rPr>
          <w:rFonts w:ascii="仿宋_GB2312" w:eastAsia="仿宋_GB2312" w:cs="仿宋_GB2312"/>
          <w:sz w:val="32"/>
          <w:szCs w:val="32"/>
        </w:rPr>
        <w:t>”</w:t>
      </w:r>
      <w:r>
        <w:rPr>
          <w:rFonts w:hint="eastAsia" w:ascii="仿宋_GB2312" w:eastAsia="仿宋_GB2312" w:cs="仿宋_GB2312"/>
          <w:sz w:val="32"/>
          <w:szCs w:val="32"/>
        </w:rPr>
        <w:t>项目绩效目标完成情况综述。项目全年预算数12000000元，执行数为5821141.5元，完成预算的48.5%。为俄热乡、曾达乡新建道路2.08公里，新建产业路6公里、新建牧道12公里、新建桥梁2座40延米、新建河堤堡坎1.5公里；通组路提升改造15公里、人居环境整治190户垃圾池5个。</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3"/>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p>
        </w:tc>
      </w:tr>
      <w:tr>
        <w:tblPrEx>
          <w:tblCellMar>
            <w:top w:w="0" w:type="dxa"/>
            <w:left w:w="0" w:type="dxa"/>
            <w:bottom w:w="0" w:type="dxa"/>
            <w:right w:w="0" w:type="dxa"/>
          </w:tblCellMar>
        </w:tblPrEx>
        <w:trPr>
          <w:trHeight w:val="407"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rPr>
            </w:pPr>
            <w:r>
              <w:rPr>
                <w:rFonts w:hint="eastAsia" w:cs="仿宋_GB2312" w:asciiTheme="minorEastAsia" w:hAnsiTheme="minorEastAsia" w:eastAsiaTheme="minorEastAsia"/>
                <w:sz w:val="24"/>
              </w:rPr>
              <w:t>2020年以工代赈示范工程</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阿坝州人民政府办公室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120万元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5821141.5元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120万元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5821141.5元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rPr>
            </w:pPr>
            <w:r>
              <w:rPr>
                <w:rFonts w:hint="eastAsia" w:cs="仿宋_GB2312" w:asciiTheme="minorEastAsia" w:hAnsiTheme="minorEastAsia" w:eastAsiaTheme="minorEastAsia"/>
                <w:sz w:val="24"/>
              </w:rPr>
              <w:t>俄热乡、曾达乡新建道路2.08公里，新建产业路6公里、新建牧道12公里、新建桥梁2座40延米、新建河堤堡坎1.5公里；通组路提升改造15公里、人居环境整治190户垃圾池5个</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rPr>
            </w:pPr>
            <w:r>
              <w:rPr>
                <w:rFonts w:hint="eastAsia" w:cs="仿宋_GB2312" w:asciiTheme="minorEastAsia" w:hAnsiTheme="minorEastAsia" w:eastAsiaTheme="minorEastAsia"/>
                <w:sz w:val="24"/>
              </w:rPr>
              <w:t>以工代赈示范工程</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2个乡</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2个乡</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rPr>
            </w:pPr>
            <w:r>
              <w:rPr>
                <w:rFonts w:hint="eastAsia" w:cs="宋体" w:asciiTheme="minorEastAsia" w:hAnsiTheme="minorEastAsia" w:eastAsiaTheme="minorEastAsia"/>
                <w:color w:val="000000"/>
                <w:sz w:val="24"/>
              </w:rPr>
              <w:t>2021年12月31日前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rPr>
            </w:pPr>
            <w:r>
              <w:rPr>
                <w:rFonts w:hint="eastAsia" w:cs="仿宋_GB2312" w:asciiTheme="minorEastAsia" w:hAnsiTheme="minorEastAsia" w:eastAsiaTheme="minorEastAsia"/>
                <w:sz w:val="24"/>
              </w:rPr>
              <w:t>俄热乡、曾达乡新建道路2.08公里，新建产业路6公里、新建牧道12公里、新建桥梁2座40延米、新建河堤堡坎1.5公里；通组路提升改造15公里、人居环境整治190户垃圾池5个。完成进度80%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各类等费用控制在120万元以内</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5821141.5元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76" w:lineRule="exact"/>
        <w:ind w:firstLine="643" w:firstLineChars="200"/>
        <w:jc w:val="left"/>
        <w:rPr>
          <w:rFonts w:ascii="仿宋" w:eastAsia="仿宋" w:cs="仿宋_GB2312"/>
          <w:sz w:val="32"/>
          <w:szCs w:val="32"/>
        </w:rPr>
      </w:pPr>
      <w:r>
        <w:rPr>
          <w:rFonts w:hint="eastAsia" w:ascii="仿宋" w:eastAsia="仿宋" w:cs="楷体_GB2312"/>
          <w:b/>
          <w:bCs/>
          <w:sz w:val="32"/>
          <w:szCs w:val="32"/>
        </w:rPr>
        <w:t>（三）部门开展绩效评价结果。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本部门按要求对2020年部门整体支出绩效评价情况开展自评，</w:t>
      </w:r>
      <w:r>
        <w:rPr>
          <w:rFonts w:hint="eastAsia" w:ascii="仿宋_GB2312" w:eastAsia="仿宋_GB2312"/>
          <w:sz w:val="32"/>
          <w:szCs w:val="32"/>
        </w:rPr>
        <w:t>《金川县发展改革和经济商务信息化局2020年部门预算整体支出绩效评价报告》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18"/>
          <w:rFonts w:ascii="黑体" w:eastAsia="黑体"/>
        </w:rPr>
      </w:pPr>
      <w:bookmarkStart w:id="50" w:name="_Toc15396612"/>
      <w:bookmarkStart w:id="51" w:name="_Toc15377221"/>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rPr>
          <w:rFonts w:ascii="仿宋" w:hAnsi="仿宋" w:eastAsia="仿宋"/>
          <w:color w:val="000000" w:themeColor="text1"/>
          <w:sz w:val="32"/>
          <w:szCs w:val="32"/>
        </w:rPr>
      </w:pPr>
      <w:bookmarkStart w:id="53" w:name="_Toc15377223"/>
      <w:r>
        <w:rPr>
          <w:rFonts w:hint="eastAsia" w:ascii="仿宋" w:hAnsi="仿宋" w:eastAsia="仿宋"/>
          <w:color w:val="000000" w:themeColor="text1"/>
          <w:sz w:val="32"/>
          <w:szCs w:val="32"/>
        </w:rPr>
        <w:t>2020年度，行政单位机关运行经费支出27.8万元，比2019年</w:t>
      </w:r>
      <w:r>
        <w:rPr>
          <w:rFonts w:ascii="仿宋" w:hAnsi="仿宋" w:eastAsia="仿宋"/>
          <w:color w:val="000000" w:themeColor="text1"/>
          <w:sz w:val="32"/>
          <w:szCs w:val="32"/>
        </w:rPr>
        <w:t>162.44</w:t>
      </w:r>
      <w:r>
        <w:rPr>
          <w:rFonts w:hint="eastAsia" w:ascii="仿宋" w:hAnsi="仿宋" w:eastAsia="仿宋"/>
          <w:color w:val="000000" w:themeColor="text1"/>
          <w:sz w:val="32"/>
          <w:szCs w:val="32"/>
        </w:rPr>
        <w:t>万元，减少134.64万元，减少483.32%。主要原因是我局十三五项目年，十三五纲要中评，乡村振兴等项目业务工作增加，</w:t>
      </w:r>
      <w:r>
        <w:rPr>
          <w:rFonts w:ascii="仿宋" w:hAnsi="仿宋" w:eastAsia="仿宋" w:cs="Arial"/>
          <w:color w:val="000000" w:themeColor="text1"/>
          <w:kern w:val="0"/>
          <w:sz w:val="32"/>
          <w:szCs w:val="32"/>
        </w:rPr>
        <w:t>出差增加，</w:t>
      </w:r>
      <w:r>
        <w:rPr>
          <w:rFonts w:hint="eastAsia" w:ascii="仿宋" w:hAnsi="仿宋" w:eastAsia="仿宋" w:cs="Arial"/>
          <w:color w:val="000000" w:themeColor="text1"/>
          <w:kern w:val="0"/>
          <w:sz w:val="32"/>
          <w:szCs w:val="32"/>
        </w:rPr>
        <w:t>车辆使用年限久，维修维护费增加，致</w:t>
      </w:r>
      <w:r>
        <w:rPr>
          <w:rFonts w:ascii="仿宋" w:hAnsi="仿宋" w:eastAsia="仿宋" w:cs="Arial"/>
          <w:color w:val="000000" w:themeColor="text1"/>
          <w:kern w:val="0"/>
          <w:sz w:val="32"/>
          <w:szCs w:val="32"/>
        </w:rPr>
        <w:t>公务用车运行维护费比</w:t>
      </w:r>
      <w:r>
        <w:rPr>
          <w:rFonts w:hint="eastAsia" w:ascii="仿宋" w:hAnsi="仿宋" w:eastAsia="仿宋" w:cs="Arial"/>
          <w:color w:val="000000" w:themeColor="text1"/>
          <w:kern w:val="0"/>
          <w:sz w:val="32"/>
          <w:szCs w:val="32"/>
        </w:rPr>
        <w:t>上年</w:t>
      </w:r>
      <w:r>
        <w:rPr>
          <w:rFonts w:ascii="仿宋" w:hAnsi="仿宋" w:eastAsia="仿宋" w:cs="Arial"/>
          <w:color w:val="000000" w:themeColor="text1"/>
          <w:kern w:val="0"/>
          <w:sz w:val="32"/>
          <w:szCs w:val="32"/>
        </w:rPr>
        <w:t>增加</w:t>
      </w:r>
      <w:r>
        <w:rPr>
          <w:rFonts w:hint="eastAsia" w:ascii="仿宋" w:hAnsi="仿宋" w:eastAsia="仿宋"/>
          <w:color w:val="000000" w:themeColor="text1"/>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bookmarkEnd w:id="53"/>
    </w:p>
    <w:p>
      <w:pPr>
        <w:spacing w:line="600" w:lineRule="exact"/>
        <w:ind w:firstLine="640" w:firstLineChars="200"/>
        <w:rPr>
          <w:rFonts w:ascii="仿宋" w:hAnsi="仿宋" w:eastAsia="仿宋"/>
          <w:color w:val="000000"/>
          <w:sz w:val="32"/>
          <w:szCs w:val="32"/>
        </w:rPr>
      </w:pPr>
      <w:bookmarkStart w:id="54" w:name="_Toc15377224"/>
      <w:r>
        <w:rPr>
          <w:rFonts w:hint="eastAsia" w:ascii="仿宋" w:hAnsi="仿宋" w:eastAsia="仿宋"/>
          <w:color w:val="000000"/>
          <w:sz w:val="32"/>
          <w:szCs w:val="32"/>
        </w:rPr>
        <w:t>2020年度，行政单位政府采购支出总额25万元，其中：政府采购货物支出0万元、政府采购工程支出0万元、政府采购服务支出25万元，其中：</w:t>
      </w:r>
      <w:r>
        <w:rPr>
          <w:rFonts w:hint="eastAsia" w:ascii="仿宋" w:hAnsi="仿宋" w:eastAsia="仿宋"/>
          <w:sz w:val="32"/>
          <w:szCs w:val="32"/>
        </w:rPr>
        <w:t>金川县国民经济和社会发展第十四个五年规划纲要编制委托业务费25万元。</w:t>
      </w:r>
      <w:r>
        <w:rPr>
          <w:rFonts w:hint="eastAsia" w:ascii="仿宋" w:hAnsi="仿宋" w:eastAsia="仿宋"/>
          <w:color w:val="000000"/>
          <w:sz w:val="32"/>
          <w:szCs w:val="32"/>
        </w:rPr>
        <w:t>授予中小企业合同金额25万元，占政府采购支出总额的0%，其中：授予小微企业合同金额0万元，占政府采购支出总额的0%。</w:t>
      </w:r>
    </w:p>
    <w:p>
      <w:pPr>
        <w:autoSpaceDE w:val="0"/>
        <w:autoSpaceDN w:val="0"/>
        <w:adjustRightInd w:val="0"/>
        <w:spacing w:line="600" w:lineRule="exact"/>
        <w:ind w:firstLine="643" w:firstLineChars="200"/>
        <w:jc w:val="left"/>
        <w:outlineLvl w:val="2"/>
        <w:rPr>
          <w:rFonts w:ascii="仿宋" w:eastAsia="仿宋"/>
          <w:b/>
          <w:color w:val="000000"/>
          <w:sz w:val="32"/>
          <w:szCs w:val="32"/>
        </w:rPr>
      </w:pPr>
      <w:r>
        <w:rPr>
          <w:rFonts w:hint="eastAsia" w:asci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截至2020年12月31日，我单位共有车辆1辆，其中：部级领导干部用车0辆、一般公务用车1辆、一般执法执勤用车0辆、特种专业技术用车0辆、其他用车0辆；单价50万元以上通用设备0台（套），单价100万元以上专用设备0台（套），其他固定资产</w:t>
      </w:r>
      <w:r>
        <w:rPr>
          <w:rFonts w:ascii="仿宋" w:hAnsi="仿宋" w:eastAsia="仿宋"/>
          <w:color w:val="000000" w:themeColor="text1"/>
          <w:sz w:val="32"/>
          <w:szCs w:val="32"/>
        </w:rPr>
        <w:t>40</w:t>
      </w:r>
      <w:r>
        <w:rPr>
          <w:rFonts w:hint="eastAsia" w:ascii="仿宋" w:hAnsi="仿宋" w:eastAsia="仿宋"/>
          <w:color w:val="000000" w:themeColor="text1"/>
          <w:sz w:val="32"/>
          <w:szCs w:val="32"/>
        </w:rPr>
        <w:t>.</w:t>
      </w:r>
      <w:r>
        <w:rPr>
          <w:rFonts w:ascii="仿宋" w:hAnsi="仿宋" w:eastAsia="仿宋"/>
          <w:color w:val="000000" w:themeColor="text1"/>
          <w:sz w:val="32"/>
          <w:szCs w:val="32"/>
        </w:rPr>
        <w:t>8</w:t>
      </w:r>
      <w:r>
        <w:rPr>
          <w:rFonts w:hint="eastAsia" w:ascii="仿宋" w:hAnsi="仿宋" w:eastAsia="仿宋"/>
          <w:color w:val="000000" w:themeColor="text1"/>
          <w:sz w:val="32"/>
          <w:szCs w:val="32"/>
        </w:rPr>
        <w:t>1万元。</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pPr>
        <w:numPr>
          <w:ilvl w:val="0"/>
          <w:numId w:val="4"/>
        </w:numPr>
        <w:spacing w:line="600" w:lineRule="exact"/>
        <w:ind w:firstLine="663" w:firstLineChars="150"/>
        <w:jc w:val="center"/>
        <w:outlineLvl w:val="0"/>
        <w:rPr>
          <w:rStyle w:val="17"/>
          <w:rFonts w:ascii="黑体" w:eastAsia="黑体"/>
        </w:rPr>
      </w:pPr>
      <w:bookmarkStart w:id="55" w:name="_Toc15377225"/>
      <w:bookmarkStart w:id="56" w:name="_Toc15396613"/>
      <w:r>
        <w:rPr>
          <w:rStyle w:val="17"/>
          <w:rFonts w:hint="eastAsia" w:ascii="黑体" w:eastAsia="黑体"/>
        </w:rPr>
        <w:t>名</w:t>
      </w:r>
      <w:r>
        <w:rPr>
          <w:rStyle w:val="17"/>
          <w:rFonts w:hint="eastAsia" w:ascii="黑体" w:eastAsia="黑体"/>
          <w:b w:val="0"/>
        </w:rPr>
        <w:t>词解释</w:t>
      </w:r>
      <w:bookmarkEnd w:id="55"/>
      <w:bookmarkEnd w:id="56"/>
      <w:bookmarkStart w:id="57" w:name="_Toc15396614"/>
      <w:bookmarkStart w:id="58" w:name="_Toc15377226"/>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1.财政拨款收入：指单位从同级财政部门取得的财政预算资金。</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 xml:space="preserve">2.其他收入：指除上述“财政拨款收入”、“事业收入”、“经营收入”等以外的收入。主要是利息收入。 </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 xml:space="preserve">3.年初结转和结余：指以前年度尚未完成、结转到本年按有关规定继续使用的资金。 </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4.一般公共服务201发展与改革事务04行政运行01：指反映行政单位（包括实行公务员管理的事业支出）。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5.一般公共服务201发展与改革事务04其他发展与改革事务支出99：其他发展与改革事务支出。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6.社会保障和就业208行政事业单位离退休05机关事业单位基本养老保险缴费支出05：指机关事业单位实施养老保险制度由单位缴纳的基本养老保险费支出。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7.社会保障和就业208行政事业单位离退休05机关事业单位职业年金缴费支出06：指机关事业单位实施养老保险制度由单位缴纳的职业年金支出。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8.医疗卫生与计划生育支出210医疗保障11行政单位医疗01：指反映财政部门集中安排的行政单位基本医疗保险缴费经费，未参加医疗保险的行政单位的公费医疗经费，按国家规定享受离休人员、红军老战士待遇人员的医疗经费。</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9.农林水支出213扶贫05农村基础设施建设04：反映其他用于扶贫方面的支出。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10.农林水支出213扶贫05其他扶贫支出99：反映用于农村贫困地区乡村道路、住房、基本农田、水利设施、人畜饮水、生态环境保护等生产生活条件改善方面的支出。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11.交通运输支出214邮政业支出05邮政普遍服务与特殊服务05：反映其他用于邮政业方面的支出。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12.资源勘探信息等支出215制造业02其他制造业支出99：反映其他用于制造业方面的支出。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13. 资源勘探信息等支出215工业和信息产业监管05无线电监管08：反映无线电监管方方面的支出。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14.资源勘探信息等支出215其他资源勘探信息等支出99技术改造支出04：反映国家安排的预算内技术改造支出和国债技术改造专项支出。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15.资源勘探信息等支出215其他资源勘探信息等支出99其他资源勘探信息等支出99：反映其他用于资源勘探信息等方面的支出。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16.商业服务业等支出216其他商业服务业等支出99其他商业服务业等支出99：反映其他商业服务业等支出中的其他支出。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17.商业服务业等支出216商业流通事务02其他商业流通事务支出99：反映其他用于商流通事务方面的支出。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18.住房保障支出221住房改革支出02住房公积金01：指反映行政事业单位按人力资源和社会保障部、财政部规定的基本工资和津贴补贴以及规定比例为职工缴纳的住房公积金。</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19.其他支出229其他支出99其他支出01：指其他不能划分到具体功能科目中的支出项目。</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20.其他支出229其他政府性基金及对应专项债务收入安排的支出04其他政府性基金及对应专项债务收入安排的支出99：指其他不能划分到政府性基金及对应专项债务收入安排功能科目中的支出项目。</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21.年末结转和结余：指本年度或以前年度预算安排、因客观条件发生变化无法按原计划实施，需延迟到以后年度按有关规定继续使用的资金。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22.基本支出：指为保障机构正常运转、完成日常工作任务而发生的人员支出和公用支出。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23.项目支出：指在基本支出之外为完成特定行政任务和事业发展目标所发生的支出。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24.经营支出：指事业单位在专业业务活动及其辅助活动之外开展非独立核算经营活动发生的支出。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25.“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640" w:firstLineChars="200"/>
        <w:jc w:val="left"/>
        <w:rPr>
          <w:rFonts w:ascii="仿宋" w:hAnsi="仿宋" w:eastAsia="仿宋"/>
          <w:color w:val="000000" w:themeColor="text1"/>
          <w:sz w:val="32"/>
          <w:szCs w:val="32"/>
        </w:rPr>
      </w:pPr>
      <w:r>
        <w:rPr>
          <w:rFonts w:hint="eastAsia" w:ascii="仿宋" w:hAnsi="仿宋" w:eastAsia="仿宋"/>
          <w:color w:val="000000" w:themeColor="text1"/>
          <w:sz w:val="32"/>
          <w:szCs w:val="32"/>
        </w:rPr>
        <w:t>26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
        <w:rPr>
          <w:rStyle w:val="17"/>
          <w:rFonts w:ascii="仿宋" w:eastAsia="仿宋"/>
          <w:b w:val="0"/>
          <w:bCs w:val="0"/>
          <w:sz w:val="32"/>
          <w:szCs w:val="32"/>
        </w:rPr>
      </w:pPr>
      <w:bookmarkStart w:id="59" w:name="_Toc15396615"/>
      <w:r>
        <w:rPr>
          <w:rStyle w:val="17"/>
          <w:rFonts w:hint="eastAsia" w:ascii="仿宋" w:eastAsia="仿宋"/>
          <w:b w:val="0"/>
          <w:bCs w:val="0"/>
          <w:sz w:val="32"/>
          <w:szCs w:val="32"/>
        </w:rPr>
        <w:t>附件1</w:t>
      </w:r>
      <w:bookmarkEnd w:id="59"/>
    </w:p>
    <w:p>
      <w:pPr>
        <w:numPr>
          <w:ilvl w:val="0"/>
          <w:numId w:val="4"/>
        </w:numPr>
        <w:spacing w:line="600" w:lineRule="exact"/>
        <w:ind w:firstLine="660" w:firstLineChars="150"/>
        <w:jc w:val="center"/>
        <w:outlineLvl w:val="0"/>
        <w:rPr>
          <w:rStyle w:val="17"/>
          <w:rFonts w:ascii="黑体" w:eastAsia="黑体"/>
          <w:b w:val="0"/>
        </w:rPr>
      </w:pPr>
      <w:r>
        <w:rPr>
          <w:rStyle w:val="17"/>
          <w:rFonts w:hint="eastAsia" w:ascii="黑体" w:eastAsia="黑体"/>
          <w:b w:val="0"/>
        </w:rPr>
        <w:t>附件</w:t>
      </w:r>
      <w:bookmarkEnd w:id="57"/>
    </w:p>
    <w:p>
      <w:pPr>
        <w:outlineLvl w:val="0"/>
        <w:rPr>
          <w:rStyle w:val="17"/>
          <w:rFonts w:ascii="黑体" w:eastAsia="黑体"/>
          <w:b w:val="0"/>
        </w:rPr>
      </w:pPr>
    </w:p>
    <w:bookmarkEnd w:id="58"/>
    <w:p>
      <w:pPr>
        <w:widowControl/>
        <w:adjustRightInd w:val="0"/>
        <w:snapToGrid w:val="0"/>
        <w:spacing w:line="480" w:lineRule="exact"/>
        <w:ind w:firstLine="720"/>
        <w:jc w:val="center"/>
        <w:rPr>
          <w:rFonts w:ascii="方正小标宋简体" w:hAnsi="宋体" w:eastAsia="方正小标宋简体"/>
          <w:sz w:val="44"/>
          <w:szCs w:val="44"/>
        </w:rPr>
      </w:pPr>
      <w:r>
        <w:rPr>
          <w:rFonts w:hint="eastAsia" w:ascii="方正小标宋简体" w:hAnsi="宋体" w:eastAsia="方正小标宋简体"/>
          <w:sz w:val="44"/>
          <w:szCs w:val="44"/>
        </w:rPr>
        <w:t>金川县发展改革和经济商务信息化局</w:t>
      </w:r>
    </w:p>
    <w:p>
      <w:pPr>
        <w:widowControl/>
        <w:adjustRightInd w:val="0"/>
        <w:snapToGrid w:val="0"/>
        <w:spacing w:line="48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 xml:space="preserve">    2020年及2021年1-6部门整体支出</w:t>
      </w:r>
    </w:p>
    <w:p>
      <w:pPr>
        <w:widowControl/>
        <w:adjustRightInd w:val="0"/>
        <w:snapToGrid w:val="0"/>
        <w:spacing w:line="48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绩效报告</w:t>
      </w:r>
    </w:p>
    <w:p>
      <w:pPr>
        <w:widowControl/>
        <w:adjustRightInd w:val="0"/>
        <w:snapToGrid w:val="0"/>
        <w:spacing w:line="520" w:lineRule="exact"/>
        <w:ind w:firstLine="640" w:firstLineChars="200"/>
        <w:jc w:val="left"/>
        <w:rPr>
          <w:rFonts w:ascii="黑体" w:hAnsi="宋体" w:eastAsia="黑体" w:cs="宋体"/>
          <w:color w:val="000000"/>
          <w:kern w:val="0"/>
          <w:sz w:val="32"/>
          <w:szCs w:val="32"/>
        </w:rPr>
      </w:pPr>
    </w:p>
    <w:p>
      <w:pPr>
        <w:widowControl/>
        <w:adjustRightInd w:val="0"/>
        <w:snapToGrid w:val="0"/>
        <w:spacing w:line="560" w:lineRule="exact"/>
        <w:ind w:firstLine="640" w:firstLineChars="200"/>
        <w:jc w:val="left"/>
        <w:rPr>
          <w:rFonts w:ascii="黑体" w:hAnsi="宋体" w:eastAsia="黑体" w:cs="宋体"/>
          <w:color w:val="000000"/>
          <w:kern w:val="0"/>
          <w:sz w:val="32"/>
          <w:szCs w:val="32"/>
          <w:lang w:val="zh-CN"/>
        </w:rPr>
      </w:pPr>
      <w:r>
        <w:rPr>
          <w:rFonts w:hint="eastAsia" w:ascii="黑体" w:hAnsi="宋体" w:eastAsia="黑体" w:cs="宋体"/>
          <w:color w:val="000000"/>
          <w:kern w:val="0"/>
          <w:sz w:val="32"/>
          <w:szCs w:val="32"/>
        </w:rPr>
        <w:t>一、</w:t>
      </w:r>
      <w:r>
        <w:rPr>
          <w:rFonts w:hint="eastAsia" w:ascii="黑体" w:hAnsi="宋体" w:eastAsia="黑体" w:cs="宋体"/>
          <w:color w:val="000000"/>
          <w:kern w:val="0"/>
          <w:sz w:val="32"/>
          <w:szCs w:val="32"/>
          <w:lang w:val="zh-CN"/>
        </w:rPr>
        <w:t>部门（单位）概况</w:t>
      </w:r>
    </w:p>
    <w:p>
      <w:pPr>
        <w:widowControl/>
        <w:adjustRightInd w:val="0"/>
        <w:snapToGrid w:val="0"/>
        <w:spacing w:line="560" w:lineRule="exact"/>
        <w:ind w:firstLine="643" w:firstLineChars="200"/>
        <w:jc w:val="left"/>
        <w:rPr>
          <w:rFonts w:ascii="仿宋_GB2312" w:hAnsi="宋体" w:eastAsia="仿宋_GB2312" w:cs="宋体"/>
          <w:b/>
          <w:color w:val="000000"/>
          <w:kern w:val="0"/>
          <w:sz w:val="32"/>
          <w:szCs w:val="32"/>
          <w:lang w:val="zh-CN"/>
        </w:rPr>
      </w:pPr>
      <w:r>
        <w:rPr>
          <w:rFonts w:hint="eastAsia" w:ascii="仿宋_GB2312" w:hAnsi="宋体" w:eastAsia="仿宋_GB2312" w:cs="宋体"/>
          <w:b/>
          <w:color w:val="000000"/>
          <w:kern w:val="0"/>
          <w:sz w:val="32"/>
          <w:szCs w:val="32"/>
          <w:lang w:val="zh-CN"/>
        </w:rPr>
        <w:t>（一）机构组成。</w:t>
      </w:r>
    </w:p>
    <w:p>
      <w:pPr>
        <w:widowControl/>
        <w:adjustRightInd w:val="0"/>
        <w:snapToGrid w:val="0"/>
        <w:spacing w:line="56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金川县发展改革和经济商务信息化局下属行政单位1个，事业单位1个。</w:t>
      </w:r>
    </w:p>
    <w:p>
      <w:pPr>
        <w:widowControl/>
        <w:adjustRightInd w:val="0"/>
        <w:snapToGrid w:val="0"/>
        <w:spacing w:line="560" w:lineRule="exact"/>
        <w:ind w:firstLine="720"/>
        <w:jc w:val="left"/>
        <w:rPr>
          <w:rFonts w:ascii="仿宋_GB2312" w:hAnsi="宋体" w:eastAsia="仿宋_GB2312" w:cs="宋体"/>
          <w:b/>
          <w:color w:val="000000"/>
          <w:kern w:val="0"/>
          <w:sz w:val="32"/>
          <w:szCs w:val="32"/>
          <w:lang w:val="zh-CN"/>
        </w:rPr>
      </w:pPr>
      <w:r>
        <w:rPr>
          <w:rFonts w:hint="eastAsia" w:ascii="仿宋_GB2312" w:hAnsi="宋体" w:eastAsia="仿宋_GB2312" w:cs="宋体"/>
          <w:b/>
          <w:color w:val="000000"/>
          <w:kern w:val="0"/>
          <w:sz w:val="32"/>
          <w:szCs w:val="32"/>
          <w:lang w:val="zh-CN"/>
        </w:rPr>
        <w:t>（二）机构职能。</w:t>
      </w:r>
    </w:p>
    <w:p>
      <w:pPr>
        <w:widowControl/>
        <w:adjustRightInd w:val="0"/>
        <w:snapToGrid w:val="0"/>
        <w:spacing w:line="56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主要负责拟订并组织实施全县国民经济和社会发展战略、中长期规划和年度计划；负责监测宏观经济和社会发展态势，承担相关预测预警和信息引导责任；负责全县投资宏观管理和协调推进重大项目建设。拟定全县全社会固定资产投资总规模和投资结构，编制年度投资计划；推进可持续发展，负责全县节能减排的综合协调工作；指导、协调并综合管理全县招标投标工作；承担县政府公布的有关行政审批等事项。组织贯彻国家、省、州有关工业经济、信息化和无线电管理、国内外贸易、外商投资和国际经济合作的有关工业经济的政策措施，拟定全县有关工业经济、信息化和无线电管理的地方性法规、规章草案；承担全县服务业发展工作中组织实施的协调职责，推进流通产业结构调整；指导全县外商促进和管理工作；负责全县招商项目策划、项目收集、项目分析、项目包装、项目发布、项目签约和重大项目的跟踪促进。承担县政府公布的有关行政审批等事项；</w:t>
      </w:r>
      <w:r>
        <w:rPr>
          <w:rFonts w:hint="eastAsia" w:ascii="仿宋_GB2312" w:eastAsia="仿宋_GB2312"/>
          <w:sz w:val="32"/>
          <w:szCs w:val="32"/>
        </w:rPr>
        <w:t>负责编制全县价格改革、价格调整的年度计划和规划；草拟地方性价格法规规章，审定价格管理办法和规范性文件；负责贯彻执行国家行政事业性收费政策法规，组织实施全县行政事业性收费、公益服务收费、公用事业收费、中介服务收费、经营性收费、房地产价格和旅游价格管理的原则、范围和作价办法；负责审批调整列管的收费项目和收费标准；组织实施收费年审，依法清理整顿收费。负责承办或实施列入听证目录商品价格和服务价格听证工作；负责仲裁相关价格和收费的纠纷和争议</w:t>
      </w:r>
    </w:p>
    <w:p>
      <w:pPr>
        <w:widowControl/>
        <w:adjustRightInd w:val="0"/>
        <w:snapToGrid w:val="0"/>
        <w:spacing w:line="560" w:lineRule="exact"/>
        <w:ind w:firstLine="720"/>
        <w:jc w:val="left"/>
        <w:rPr>
          <w:rFonts w:ascii="仿宋_GB2312" w:hAnsi="宋体" w:eastAsia="仿宋_GB2312" w:cs="宋体"/>
          <w:b/>
          <w:color w:val="000000"/>
          <w:kern w:val="0"/>
          <w:sz w:val="32"/>
          <w:szCs w:val="32"/>
          <w:lang w:val="zh-CN"/>
        </w:rPr>
      </w:pPr>
      <w:r>
        <w:rPr>
          <w:rFonts w:hint="eastAsia" w:ascii="仿宋_GB2312" w:hAnsi="宋体" w:eastAsia="仿宋_GB2312" w:cs="宋体"/>
          <w:b/>
          <w:color w:val="000000"/>
          <w:kern w:val="0"/>
          <w:sz w:val="32"/>
          <w:szCs w:val="32"/>
          <w:lang w:val="zh-CN"/>
        </w:rPr>
        <w:t>（三）人员概况。</w:t>
      </w:r>
    </w:p>
    <w:p>
      <w:pPr>
        <w:widowControl/>
        <w:adjustRightInd w:val="0"/>
        <w:snapToGrid w:val="0"/>
        <w:spacing w:line="56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2020年由编办核定编制总编24名（其中:行政编制14名，事业编制11名），年末实际在职25个，其中：行政15个，事业10个；退休人员为0个，遗属2人，编外长期聘用的人员 1 名。2021年1-6月在职人员总数25名，其中：行政人员15名，事业人员10名；退休人员0个，遗属3人，编外长期聘用的人员 1 名。</w:t>
      </w:r>
    </w:p>
    <w:p>
      <w:pPr>
        <w:widowControl/>
        <w:adjustRightInd w:val="0"/>
        <w:snapToGrid w:val="0"/>
        <w:spacing w:line="560"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二、部门财政资金收支情况</w:t>
      </w:r>
    </w:p>
    <w:p>
      <w:pPr>
        <w:widowControl/>
        <w:adjustRightInd w:val="0"/>
        <w:snapToGrid w:val="0"/>
        <w:spacing w:line="560" w:lineRule="exact"/>
        <w:ind w:firstLine="720"/>
        <w:jc w:val="left"/>
        <w:rPr>
          <w:rFonts w:ascii="仿宋_GB2312" w:hAnsi="宋体" w:eastAsia="仿宋_GB2312" w:cs="宋体"/>
          <w:b/>
          <w:color w:val="000000"/>
          <w:kern w:val="0"/>
          <w:sz w:val="32"/>
          <w:szCs w:val="32"/>
          <w:lang w:val="zh-CN"/>
        </w:rPr>
      </w:pPr>
      <w:r>
        <w:rPr>
          <w:rFonts w:hint="eastAsia" w:ascii="仿宋_GB2312" w:hAnsi="宋体" w:eastAsia="仿宋_GB2312" w:cs="宋体"/>
          <w:b/>
          <w:color w:val="000000"/>
          <w:kern w:val="0"/>
          <w:sz w:val="32"/>
          <w:szCs w:val="32"/>
          <w:lang w:val="zh-CN"/>
        </w:rPr>
        <w:t>（一）部门财政资金收入情况。</w:t>
      </w:r>
    </w:p>
    <w:p>
      <w:pPr>
        <w:widowControl/>
        <w:adjustRightInd w:val="0"/>
        <w:snapToGrid w:val="0"/>
        <w:spacing w:line="56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2020年收入3004.63万元，其中财政拨款收入3004.63万元。</w:t>
      </w:r>
    </w:p>
    <w:p>
      <w:pPr>
        <w:widowControl/>
        <w:adjustRightInd w:val="0"/>
        <w:snapToGrid w:val="0"/>
        <w:spacing w:line="560" w:lineRule="exact"/>
        <w:ind w:firstLine="72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2021年1-6月收入3068.62万元，其中财政拨款收入3023.55万元。</w:t>
      </w:r>
    </w:p>
    <w:p>
      <w:pPr>
        <w:widowControl/>
        <w:adjustRightInd w:val="0"/>
        <w:snapToGrid w:val="0"/>
        <w:spacing w:line="560" w:lineRule="exact"/>
        <w:ind w:firstLine="720"/>
        <w:jc w:val="left"/>
        <w:rPr>
          <w:rFonts w:ascii="仿宋_GB2312" w:hAnsi="宋体" w:eastAsia="仿宋_GB2312" w:cs="宋体"/>
          <w:b/>
          <w:color w:val="000000"/>
          <w:kern w:val="0"/>
          <w:sz w:val="32"/>
          <w:szCs w:val="32"/>
          <w:lang w:val="zh-CN"/>
        </w:rPr>
      </w:pPr>
      <w:r>
        <w:rPr>
          <w:rFonts w:hint="eastAsia" w:ascii="仿宋_GB2312" w:hAnsi="宋体" w:eastAsia="仿宋_GB2312" w:cs="宋体"/>
          <w:b/>
          <w:kern w:val="0"/>
          <w:sz w:val="32"/>
          <w:szCs w:val="32"/>
          <w:lang w:val="zh-CN"/>
        </w:rPr>
        <w:t>（二）部门财政资</w:t>
      </w:r>
      <w:r>
        <w:rPr>
          <w:rFonts w:hint="eastAsia" w:ascii="仿宋_GB2312" w:hAnsi="宋体" w:eastAsia="仿宋_GB2312" w:cs="宋体"/>
          <w:b/>
          <w:color w:val="000000"/>
          <w:kern w:val="0"/>
          <w:sz w:val="32"/>
          <w:szCs w:val="32"/>
          <w:lang w:val="zh-CN"/>
        </w:rPr>
        <w:t>金支出情况。</w:t>
      </w:r>
    </w:p>
    <w:p>
      <w:pPr>
        <w:widowControl/>
        <w:adjustRightInd w:val="0"/>
        <w:snapToGrid w:val="0"/>
        <w:spacing w:line="560" w:lineRule="exact"/>
        <w:ind w:firstLine="720"/>
        <w:jc w:val="left"/>
        <w:rPr>
          <w:rFonts w:ascii="仿宋_GB2312" w:hAnsi="宋体" w:eastAsia="仿宋_GB2312" w:cs="宋体"/>
          <w:color w:val="000000" w:themeColor="text1"/>
          <w:kern w:val="0"/>
          <w:sz w:val="32"/>
          <w:szCs w:val="32"/>
          <w:lang w:val="zh-CN"/>
        </w:rPr>
      </w:pPr>
      <w:r>
        <w:rPr>
          <w:rFonts w:hint="eastAsia" w:ascii="仿宋_GB2312" w:hAnsi="宋体" w:eastAsia="仿宋_GB2312" w:cs="宋体"/>
          <w:color w:val="000000"/>
          <w:kern w:val="0"/>
          <w:sz w:val="32"/>
          <w:szCs w:val="32"/>
          <w:lang w:val="zh-CN"/>
        </w:rPr>
        <w:t>2020年，</w:t>
      </w:r>
      <w:r>
        <w:rPr>
          <w:rFonts w:hint="eastAsia" w:ascii="仿宋_GB2312" w:hAnsi="宋体" w:eastAsia="仿宋_GB2312" w:cs="宋体"/>
          <w:color w:val="000000" w:themeColor="text1"/>
          <w:kern w:val="0"/>
          <w:sz w:val="32"/>
          <w:szCs w:val="32"/>
          <w:lang w:val="zh-CN"/>
        </w:rPr>
        <w:t>部门支出预算总额1658.22万元，其中：一般公共服务支出380.33万元，卫生健康支出24.71万元，住房保障支出35.29万元，商业服务业等支出12万元，社会保障和就业支出54.17万元，其他支出143.08万元，城乡社区支出50.53万元，农林水支出582.11万元，资源勘探工业信息等支出376万元。</w:t>
      </w:r>
    </w:p>
    <w:p>
      <w:pPr>
        <w:widowControl/>
        <w:adjustRightInd w:val="0"/>
        <w:snapToGrid w:val="0"/>
        <w:spacing w:line="560" w:lineRule="exact"/>
        <w:ind w:firstLine="720"/>
        <w:jc w:val="left"/>
        <w:rPr>
          <w:rFonts w:ascii="仿宋_GB2312" w:hAnsi="宋体" w:eastAsia="仿宋_GB2312" w:cs="宋体"/>
          <w:color w:val="000000" w:themeColor="text1"/>
          <w:kern w:val="0"/>
          <w:sz w:val="32"/>
          <w:szCs w:val="32"/>
          <w:lang w:val="zh-CN"/>
        </w:rPr>
      </w:pPr>
      <w:r>
        <w:rPr>
          <w:rFonts w:hint="eastAsia" w:ascii="仿宋_GB2312" w:hAnsi="宋体" w:eastAsia="仿宋_GB2312" w:cs="宋体"/>
          <w:color w:val="000000" w:themeColor="text1"/>
          <w:kern w:val="0"/>
          <w:sz w:val="32"/>
          <w:szCs w:val="32"/>
          <w:lang w:val="zh-CN"/>
        </w:rPr>
        <w:t>2021年1-6月，部门支出预算总额960.09万元，其中：一般公共服务支出246.49万元，医疗卫生支出11.56万元，住房保障支出16.5万元，其他制造业支出120.19万元，社会保障和就业支出26.17万元，战略规划与实施支出54.5万元，农村基础设施建设223.28万元，其他商业流通事务支出23.6万元，其他支出237.8万元。</w:t>
      </w:r>
    </w:p>
    <w:p>
      <w:pPr>
        <w:widowControl/>
        <w:adjustRightInd w:val="0"/>
        <w:snapToGrid w:val="0"/>
        <w:spacing w:line="560"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三、部门财政支出管理情况</w:t>
      </w:r>
    </w:p>
    <w:p>
      <w:pPr>
        <w:widowControl/>
        <w:adjustRightInd w:val="0"/>
        <w:snapToGrid w:val="0"/>
        <w:spacing w:line="560" w:lineRule="exact"/>
        <w:ind w:firstLine="720"/>
        <w:jc w:val="left"/>
        <w:rPr>
          <w:rFonts w:ascii="仿宋_GB2312" w:hAnsi="宋体" w:eastAsia="仿宋_GB2312" w:cs="宋体"/>
          <w:b/>
          <w:color w:val="000000"/>
          <w:kern w:val="0"/>
          <w:sz w:val="32"/>
          <w:szCs w:val="32"/>
          <w:lang w:val="zh-CN"/>
        </w:rPr>
      </w:pPr>
      <w:r>
        <w:rPr>
          <w:rFonts w:hint="eastAsia" w:ascii="仿宋_GB2312" w:hAnsi="宋体" w:eastAsia="仿宋_GB2312" w:cs="宋体"/>
          <w:b/>
          <w:color w:val="000000"/>
          <w:kern w:val="0"/>
          <w:sz w:val="32"/>
          <w:szCs w:val="32"/>
          <w:lang w:val="zh-CN"/>
        </w:rPr>
        <w:t>（一）预算编制情况。</w:t>
      </w:r>
    </w:p>
    <w:p>
      <w:pPr>
        <w:widowControl/>
        <w:adjustRightInd w:val="0"/>
        <w:snapToGrid w:val="0"/>
        <w:spacing w:line="56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本单位预算编制严格按照《预算法》和财政相关规定执行，确定绩效目标。及时组织财务人员进行预决算的编制，对本年度相应用款进行及时清理和处理，做到账账相符、账实相符、账证相符,按先有预算再有支出的原则，及时处理相关事务，及时上报相关报表；提前细化，分科目上报，做到收支平衡。预算绩效目标按实际填报，保证预算编制质量。</w:t>
      </w:r>
    </w:p>
    <w:p>
      <w:pPr>
        <w:widowControl/>
        <w:adjustRightInd w:val="0"/>
        <w:snapToGrid w:val="0"/>
        <w:spacing w:line="560" w:lineRule="exact"/>
        <w:ind w:firstLine="720"/>
        <w:jc w:val="left"/>
        <w:rPr>
          <w:rFonts w:ascii="仿宋_GB2312" w:hAnsi="宋体" w:eastAsia="仿宋_GB2312" w:cs="宋体"/>
          <w:b/>
          <w:color w:val="000000"/>
          <w:kern w:val="0"/>
          <w:sz w:val="32"/>
          <w:szCs w:val="32"/>
          <w:lang w:val="zh-CN"/>
        </w:rPr>
      </w:pPr>
      <w:r>
        <w:rPr>
          <w:rFonts w:hint="eastAsia" w:ascii="仿宋_GB2312" w:hAnsi="宋体" w:eastAsia="仿宋_GB2312" w:cs="宋体"/>
          <w:b/>
          <w:color w:val="000000"/>
          <w:kern w:val="0"/>
          <w:sz w:val="32"/>
          <w:szCs w:val="32"/>
          <w:lang w:val="zh-CN"/>
        </w:rPr>
        <w:t>（二）执行管理情况。</w:t>
      </w:r>
    </w:p>
    <w:p>
      <w:pPr>
        <w:widowControl/>
        <w:adjustRightInd w:val="0"/>
        <w:snapToGrid w:val="0"/>
        <w:spacing w:line="56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按照县财政的要求，及时分月、分季度上报相应计划，待财政审核通过后，严格按计划执行，各季度执行情况良好。</w:t>
      </w:r>
    </w:p>
    <w:p>
      <w:pPr>
        <w:widowControl/>
        <w:adjustRightInd w:val="0"/>
        <w:snapToGrid w:val="0"/>
        <w:spacing w:line="56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1、行政运转保障。</w:t>
      </w:r>
    </w:p>
    <w:p>
      <w:pPr>
        <w:widowControl/>
        <w:adjustRightInd w:val="0"/>
        <w:snapToGrid w:val="0"/>
        <w:spacing w:line="56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我局财政拨款支出主要用于保障部门机构正常运转、完成日常工作任务以及承担本乡发展相关工作。基本支出，是用于保障单位正常运转的日常支出，包括基本工资、津贴补贴等人员经费以及办公费、印刷费、水电费、公务用车运行维护费等日常公用经费。</w:t>
      </w:r>
    </w:p>
    <w:p>
      <w:pPr>
        <w:widowControl/>
        <w:adjustRightInd w:val="0"/>
        <w:snapToGrid w:val="0"/>
        <w:spacing w:line="560" w:lineRule="exact"/>
        <w:ind w:firstLine="720"/>
        <w:jc w:val="left"/>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2、机关厉行节约。</w:t>
      </w:r>
    </w:p>
    <w:p>
      <w:pPr>
        <w:pStyle w:val="27"/>
        <w:spacing w:line="560" w:lineRule="exact"/>
        <w:ind w:firstLine="640"/>
        <w:jc w:val="both"/>
        <w:rPr>
          <w:rFonts w:ascii="仿宋_GB2312" w:hAnsi="仿宋" w:cs="Arial"/>
          <w:color w:val="000000" w:themeColor="text1"/>
          <w:sz w:val="32"/>
          <w:szCs w:val="32"/>
        </w:rPr>
      </w:pPr>
      <w:r>
        <w:rPr>
          <w:rFonts w:hint="eastAsia" w:ascii="仿宋_GB2312" w:hAnsi="仿宋" w:cs="Arial"/>
          <w:color w:val="000000" w:themeColor="text1"/>
          <w:sz w:val="32"/>
          <w:szCs w:val="32"/>
        </w:rPr>
        <w:t>2020年预算安排因公出国（境）经费0万元，与2019年预算持平；公务接待费安排0.19万元，未使用财政收回，较2019年减少0.01万元，安排公务用车运行维护费8.5万元（公务用车1辆），较2019年预算有所减少，经费主要用于车燃油、维修、保险等方面支出，保障发改经信局的各项业务工作有序开展。“三公经费”严格执行厉行节约的要求。</w:t>
      </w:r>
    </w:p>
    <w:p>
      <w:pPr>
        <w:pStyle w:val="27"/>
        <w:spacing w:line="560" w:lineRule="exact"/>
        <w:ind w:firstLine="640"/>
        <w:jc w:val="both"/>
        <w:rPr>
          <w:rFonts w:ascii="仿宋_GB2312"/>
          <w:sz w:val="32"/>
          <w:szCs w:val="32"/>
        </w:rPr>
      </w:pPr>
      <w:r>
        <w:rPr>
          <w:rFonts w:hint="eastAsia" w:ascii="仿宋_GB2312"/>
          <w:color w:val="000000" w:themeColor="text1"/>
          <w:sz w:val="32"/>
          <w:szCs w:val="32"/>
        </w:rPr>
        <w:t>2021年1-6月，预算安排因公出国（境）经费0万元，与2020年预算持平；公务接待费安排0万元，安排公务用车运行维护费8.5万元（公务用车1辆），目前已支付5.64万元，因项目招投标多，出</w:t>
      </w:r>
      <w:r>
        <w:rPr>
          <w:rFonts w:hint="eastAsia" w:ascii="仿宋_GB2312"/>
          <w:sz w:val="32"/>
          <w:szCs w:val="32"/>
        </w:rPr>
        <w:t>差较多，车辆年久失修，经费主要用于车燃油、维修、保险等方面支出，保障发改经信局的各项业务工作有序开展。“三公经费”严格执行厉行节约的要求。</w:t>
      </w:r>
    </w:p>
    <w:p>
      <w:pPr>
        <w:pStyle w:val="27"/>
        <w:spacing w:line="560" w:lineRule="exact"/>
        <w:ind w:firstLine="640"/>
        <w:jc w:val="both"/>
        <w:rPr>
          <w:rFonts w:ascii="仿宋_GB2312"/>
          <w:sz w:val="32"/>
          <w:szCs w:val="32"/>
        </w:rPr>
      </w:pPr>
      <w:r>
        <w:rPr>
          <w:rFonts w:hint="eastAsia" w:ascii="仿宋_GB2312"/>
          <w:sz w:val="32"/>
          <w:szCs w:val="32"/>
        </w:rPr>
        <w:t>3、机关节能降耗。</w:t>
      </w:r>
    </w:p>
    <w:p>
      <w:pPr>
        <w:pStyle w:val="27"/>
        <w:spacing w:line="560" w:lineRule="exact"/>
        <w:ind w:firstLine="640"/>
        <w:jc w:val="both"/>
        <w:rPr>
          <w:rFonts w:ascii="仿宋_GB2312"/>
          <w:color w:val="000000" w:themeColor="text1"/>
          <w:sz w:val="32"/>
          <w:szCs w:val="32"/>
        </w:rPr>
      </w:pPr>
      <w:r>
        <w:rPr>
          <w:rFonts w:hint="eastAsia" w:ascii="仿宋_GB2312"/>
          <w:sz w:val="32"/>
          <w:szCs w:val="32"/>
        </w:rPr>
        <w:t>严格按照勤俭节约的原则，节约用水用电，严格控制水、电、气、燃油费用支出，</w:t>
      </w:r>
      <w:r>
        <w:rPr>
          <w:rFonts w:hint="eastAsia" w:ascii="仿宋_GB2312"/>
          <w:color w:val="000000" w:themeColor="text1"/>
          <w:sz w:val="32"/>
          <w:szCs w:val="32"/>
        </w:rPr>
        <w:t>2020年电费1.5万元、取暖费0万元，比上年支出有所增加。2021年1-6月电费1.5万元、取暖费0万元。</w:t>
      </w:r>
    </w:p>
    <w:p>
      <w:pPr>
        <w:widowControl/>
        <w:adjustRightInd w:val="0"/>
        <w:snapToGrid w:val="0"/>
        <w:spacing w:line="560" w:lineRule="exact"/>
        <w:ind w:firstLine="720"/>
        <w:jc w:val="left"/>
        <w:rPr>
          <w:rFonts w:ascii="仿宋_GB2312" w:hAnsi="楷体" w:eastAsia="仿宋_GB2312" w:cs="宋体"/>
          <w:b/>
          <w:color w:val="000000" w:themeColor="text1"/>
          <w:kern w:val="0"/>
          <w:sz w:val="32"/>
          <w:szCs w:val="32"/>
          <w:lang w:val="zh-CN"/>
        </w:rPr>
      </w:pPr>
      <w:r>
        <w:rPr>
          <w:rFonts w:hint="eastAsia" w:ascii="仿宋_GB2312" w:hAnsi="楷体" w:eastAsia="仿宋_GB2312" w:cs="宋体"/>
          <w:b/>
          <w:color w:val="000000" w:themeColor="text1"/>
          <w:kern w:val="0"/>
          <w:sz w:val="32"/>
          <w:szCs w:val="32"/>
          <w:lang w:val="zh-CN"/>
        </w:rPr>
        <w:t>（三）综合管理情况。</w:t>
      </w:r>
    </w:p>
    <w:p>
      <w:pPr>
        <w:pStyle w:val="27"/>
        <w:spacing w:line="560" w:lineRule="exact"/>
        <w:ind w:firstLine="640"/>
        <w:jc w:val="both"/>
        <w:rPr>
          <w:rFonts w:ascii="仿宋_GB2312"/>
          <w:sz w:val="32"/>
          <w:szCs w:val="32"/>
        </w:rPr>
      </w:pPr>
      <w:r>
        <w:rPr>
          <w:rFonts w:hint="eastAsia" w:ascii="仿宋_GB2312"/>
          <w:sz w:val="32"/>
          <w:szCs w:val="32"/>
        </w:rPr>
        <w:t>建立健全了资金分配规程和各项财务管理制度，成立了财务审核中心，制定了财务报账审批制度，修订完善了会议费、公务接待费、差旅报销管理办法。由专人进行会计核算和财务管理，严格执行政府采购制度，做到先申报后采购，按流程办理。严格执行因公出国（境）、公务接待和公务用车购置及运行维护政策规定，较好地完成了部门预决算工作，严格按照进度执行预算，各项指标完成较好，实现了良好的社会效益，达到了预期目标。</w:t>
      </w:r>
    </w:p>
    <w:p>
      <w:pPr>
        <w:pStyle w:val="27"/>
        <w:spacing w:line="560" w:lineRule="exact"/>
        <w:ind w:firstLine="640"/>
        <w:jc w:val="both"/>
        <w:rPr>
          <w:rFonts w:ascii="仿宋_GB2312"/>
          <w:sz w:val="32"/>
          <w:szCs w:val="32"/>
        </w:rPr>
      </w:pPr>
      <w:r>
        <w:rPr>
          <w:rFonts w:hint="eastAsia" w:ascii="仿宋_GB2312"/>
          <w:sz w:val="32"/>
          <w:szCs w:val="32"/>
        </w:rPr>
        <w:t>1、内部控制建设和实施情况。我单位成立了行政事业单位内部控制规范实施、协调领导小组，负责贯彻实施内控工作方案、协调解决重大事项、监督指导工作开展。合理保证经济活动合规合法，有效规范单位预算管理、收支管理、政府采购、资产管理、建设项目、合同控制等各类经济活动；合理保证资产安全和使用有效，坚持所有权与使用权相分离的原则，确保资产的安全完整和有效使用；合理保证财务信息真实完整，强化财务信息分析和结果运用，为外部监管和内部管理提供信息支持；有效防范舞弊和预防腐败，科学运用内部控制的原理和方法，强化内部监督，建立反腐败、反舞弊的长效机制；有效提高公共服务的效率和效果。</w:t>
      </w:r>
    </w:p>
    <w:p>
      <w:pPr>
        <w:pStyle w:val="27"/>
        <w:spacing w:line="560" w:lineRule="exact"/>
        <w:ind w:firstLine="640"/>
        <w:jc w:val="both"/>
        <w:rPr>
          <w:rFonts w:ascii="仿宋_GB2312"/>
          <w:sz w:val="32"/>
          <w:szCs w:val="32"/>
        </w:rPr>
      </w:pPr>
      <w:r>
        <w:rPr>
          <w:rFonts w:hint="eastAsia" w:ascii="仿宋_GB2312"/>
          <w:sz w:val="32"/>
          <w:szCs w:val="32"/>
        </w:rPr>
        <w:t>2、财务票据管理情况。我局票据由专门的报账员（出纳）管理，未出现转账、出借票据的情况，无擅自销毁票据及代开票据的现象，无票据串用、混用或伪造、变造的情况；督促本单位职工办理公务卡，并严格执行公务卡消费相关规定。</w:t>
      </w:r>
    </w:p>
    <w:p>
      <w:pPr>
        <w:pStyle w:val="27"/>
        <w:spacing w:line="560" w:lineRule="exact"/>
        <w:ind w:firstLine="640"/>
        <w:jc w:val="both"/>
        <w:rPr>
          <w:rFonts w:ascii="仿宋_GB2312"/>
          <w:sz w:val="32"/>
          <w:szCs w:val="32"/>
        </w:rPr>
      </w:pPr>
      <w:r>
        <w:rPr>
          <w:rFonts w:hint="eastAsia" w:ascii="仿宋_GB2312"/>
          <w:sz w:val="32"/>
          <w:szCs w:val="32"/>
        </w:rPr>
        <w:t>3、信息公开情况。严格按照上级要求，提供真实有效的预决算资料，并在政府门户网进行预决算公开。</w:t>
      </w:r>
    </w:p>
    <w:p>
      <w:pPr>
        <w:pStyle w:val="27"/>
        <w:spacing w:line="560" w:lineRule="exact"/>
        <w:ind w:firstLine="640"/>
        <w:jc w:val="both"/>
        <w:rPr>
          <w:rFonts w:ascii="仿宋_GB2312"/>
          <w:sz w:val="32"/>
          <w:szCs w:val="32"/>
        </w:rPr>
      </w:pPr>
      <w:r>
        <w:rPr>
          <w:rFonts w:hint="eastAsia" w:ascii="仿宋_GB2312"/>
          <w:sz w:val="32"/>
          <w:szCs w:val="32"/>
        </w:rPr>
        <w:t>4、行政事业单位国有</w:t>
      </w:r>
      <w:r>
        <w:rPr>
          <w:rFonts w:hint="eastAsia" w:ascii="仿宋_GB2312"/>
          <w:sz w:val="32"/>
          <w:szCs w:val="32"/>
          <w:lang w:eastAsia="zh-CN"/>
        </w:rPr>
        <w:t>资产</w:t>
      </w:r>
      <w:r>
        <w:rPr>
          <w:rFonts w:hint="eastAsia" w:ascii="仿宋_GB2312"/>
          <w:sz w:val="32"/>
          <w:szCs w:val="32"/>
        </w:rPr>
        <w:t>管理、使用和处置情况。严格按照资产管理规定，对资产进行登记，无违规进行购置、处置的情况。</w:t>
      </w:r>
    </w:p>
    <w:p>
      <w:pPr>
        <w:pStyle w:val="27"/>
        <w:spacing w:line="560" w:lineRule="exact"/>
        <w:ind w:firstLine="640"/>
        <w:jc w:val="both"/>
        <w:rPr>
          <w:rFonts w:ascii="仿宋_GB2312"/>
          <w:sz w:val="32"/>
          <w:szCs w:val="32"/>
        </w:rPr>
      </w:pPr>
      <w:r>
        <w:rPr>
          <w:rFonts w:hint="eastAsia" w:ascii="仿宋_GB2312"/>
          <w:sz w:val="32"/>
          <w:szCs w:val="32"/>
        </w:rPr>
        <w:t>5、政府采购管理情况。严格按照政府采购管理规定，不存在无预算采购及超预算采购。</w:t>
      </w:r>
    </w:p>
    <w:p>
      <w:pPr>
        <w:pStyle w:val="27"/>
        <w:spacing w:line="560" w:lineRule="exact"/>
        <w:ind w:firstLine="640"/>
        <w:jc w:val="both"/>
        <w:rPr>
          <w:rFonts w:ascii="仿宋_GB2312"/>
          <w:sz w:val="32"/>
          <w:szCs w:val="32"/>
        </w:rPr>
      </w:pPr>
      <w:r>
        <w:rPr>
          <w:rFonts w:hint="eastAsia" w:ascii="仿宋_GB2312"/>
          <w:sz w:val="32"/>
          <w:szCs w:val="32"/>
        </w:rPr>
        <w:t>6、</w:t>
      </w:r>
      <w:r>
        <w:fldChar w:fldCharType="begin"/>
      </w:r>
      <w:r>
        <w:instrText xml:space="preserve"> HYPERLINK "http://www.gwyoo.com/lunwen/jjgl/caiwu/" </w:instrText>
      </w:r>
      <w:r>
        <w:fldChar w:fldCharType="separate"/>
      </w:r>
      <w:r>
        <w:rPr>
          <w:rFonts w:hint="eastAsia" w:ascii="仿宋_GB2312"/>
          <w:sz w:val="32"/>
          <w:szCs w:val="32"/>
        </w:rPr>
        <w:t>财务</w:t>
      </w:r>
      <w:r>
        <w:rPr>
          <w:rFonts w:hint="eastAsia" w:ascii="仿宋_GB2312"/>
          <w:sz w:val="32"/>
          <w:szCs w:val="32"/>
        </w:rPr>
        <w:fldChar w:fldCharType="end"/>
      </w:r>
      <w:r>
        <w:fldChar w:fldCharType="begin"/>
      </w:r>
      <w:r>
        <w:instrText xml:space="preserve"> HYPERLINK "http://www.gwyoo.com/lunwen/jxztlw/kjjxlw/" </w:instrText>
      </w:r>
      <w:r>
        <w:fldChar w:fldCharType="separate"/>
      </w:r>
      <w:r>
        <w:rPr>
          <w:rFonts w:hint="eastAsia" w:ascii="仿宋_GB2312"/>
          <w:sz w:val="32"/>
          <w:szCs w:val="32"/>
        </w:rPr>
        <w:t>会计</w:t>
      </w:r>
      <w:r>
        <w:rPr>
          <w:rFonts w:hint="eastAsia" w:ascii="仿宋_GB2312"/>
          <w:sz w:val="32"/>
          <w:szCs w:val="32"/>
        </w:rPr>
        <w:fldChar w:fldCharType="end"/>
      </w:r>
      <w:r>
        <w:rPr>
          <w:rFonts w:hint="eastAsia" w:ascii="仿宋_GB2312"/>
          <w:sz w:val="32"/>
          <w:szCs w:val="32"/>
        </w:rPr>
        <w:t>管理情况。严格执行“收支两条线”的财务管理规定，严格执行“双签”</w:t>
      </w:r>
      <w:r>
        <w:fldChar w:fldCharType="begin"/>
      </w:r>
      <w:r>
        <w:instrText xml:space="preserve"> HYPERLINK "http://www.gwyoo.com/article/shijicailiao/gzzd/" </w:instrText>
      </w:r>
      <w:r>
        <w:fldChar w:fldCharType="separate"/>
      </w:r>
      <w:r>
        <w:rPr>
          <w:rFonts w:hint="eastAsia" w:ascii="仿宋_GB2312"/>
          <w:sz w:val="32"/>
          <w:szCs w:val="32"/>
        </w:rPr>
        <w:t>制度</w:t>
      </w:r>
      <w:r>
        <w:rPr>
          <w:rFonts w:hint="eastAsia" w:ascii="仿宋_GB2312"/>
          <w:sz w:val="32"/>
          <w:szCs w:val="32"/>
        </w:rPr>
        <w:fldChar w:fldCharType="end"/>
      </w:r>
      <w:r>
        <w:rPr>
          <w:rFonts w:hint="eastAsia" w:ascii="仿宋_GB2312"/>
          <w:sz w:val="32"/>
          <w:szCs w:val="32"/>
        </w:rPr>
        <w:t>，即分管领导和部门负责人双签，严把财务程序，要求财务人员对于不合理、不规范的票据坚决不予入账，会计资料真实完整，会计核算合格。</w:t>
      </w:r>
    </w:p>
    <w:p>
      <w:pPr>
        <w:widowControl/>
        <w:adjustRightInd w:val="0"/>
        <w:snapToGrid w:val="0"/>
        <w:spacing w:line="560" w:lineRule="exact"/>
        <w:ind w:firstLine="720"/>
        <w:jc w:val="left"/>
        <w:rPr>
          <w:rFonts w:ascii="仿宋_GB2312" w:hAnsi="楷体" w:eastAsia="仿宋_GB2312" w:cs="宋体"/>
          <w:b/>
          <w:color w:val="000000"/>
          <w:kern w:val="0"/>
          <w:sz w:val="32"/>
          <w:szCs w:val="32"/>
          <w:lang w:val="zh-CN"/>
        </w:rPr>
      </w:pPr>
      <w:r>
        <w:rPr>
          <w:rFonts w:hint="eastAsia" w:ascii="仿宋_GB2312" w:hAnsi="楷体" w:eastAsia="仿宋_GB2312" w:cs="宋体"/>
          <w:b/>
          <w:color w:val="000000"/>
          <w:kern w:val="0"/>
          <w:sz w:val="32"/>
          <w:szCs w:val="32"/>
          <w:lang w:val="zh-CN"/>
        </w:rPr>
        <w:t>（四）整体绩效。</w:t>
      </w:r>
    </w:p>
    <w:p>
      <w:pPr>
        <w:pStyle w:val="27"/>
        <w:spacing w:line="560" w:lineRule="exact"/>
        <w:ind w:firstLine="640"/>
        <w:jc w:val="both"/>
        <w:rPr>
          <w:rFonts w:ascii="仿宋_GB2312"/>
          <w:color w:val="FF0000"/>
          <w:sz w:val="32"/>
          <w:szCs w:val="32"/>
        </w:rPr>
      </w:pPr>
      <w:r>
        <w:rPr>
          <w:rFonts w:hint="eastAsia" w:ascii="仿宋_GB2312"/>
          <w:sz w:val="32"/>
          <w:szCs w:val="32"/>
        </w:rPr>
        <w:t>1、绩效目标管理情况。财政资金按进度有序执行，切实有效地保障了我局各项工作</w:t>
      </w:r>
      <w:r>
        <w:rPr>
          <w:rFonts w:ascii="仿宋_GB2312"/>
          <w:sz w:val="32"/>
          <w:szCs w:val="32"/>
        </w:rPr>
        <w:t>的正常运行，确保了</w:t>
      </w:r>
      <w:r>
        <w:rPr>
          <w:rFonts w:hint="eastAsia" w:ascii="仿宋_GB2312"/>
          <w:sz w:val="32"/>
          <w:szCs w:val="32"/>
        </w:rPr>
        <w:t>我局</w:t>
      </w:r>
      <w:r>
        <w:rPr>
          <w:rFonts w:ascii="仿宋_GB2312"/>
          <w:sz w:val="32"/>
          <w:szCs w:val="32"/>
        </w:rPr>
        <w:t>很好地履行职能，财政资金的科学有效管理，保障了</w:t>
      </w:r>
      <w:r>
        <w:rPr>
          <w:rFonts w:hint="eastAsia" w:ascii="仿宋_GB2312"/>
          <w:sz w:val="32"/>
          <w:szCs w:val="32"/>
        </w:rPr>
        <w:t>经信</w:t>
      </w:r>
      <w:r>
        <w:rPr>
          <w:rFonts w:ascii="仿宋_GB2312"/>
          <w:sz w:val="32"/>
          <w:szCs w:val="32"/>
        </w:rPr>
        <w:t>局各项工作目标的实现。一是全面</w:t>
      </w:r>
      <w:r>
        <w:rPr>
          <w:rFonts w:hint="eastAsia" w:ascii="仿宋_GB2312"/>
          <w:sz w:val="32"/>
          <w:szCs w:val="32"/>
          <w:lang w:eastAsia="zh-CN"/>
        </w:rPr>
        <w:t>完成</w:t>
      </w:r>
      <w:r>
        <w:rPr>
          <w:rFonts w:ascii="仿宋_GB2312"/>
          <w:sz w:val="32"/>
          <w:szCs w:val="32"/>
        </w:rPr>
        <w:t>了</w:t>
      </w:r>
      <w:r>
        <w:rPr>
          <w:rFonts w:hint="eastAsia" w:ascii="仿宋_GB2312"/>
          <w:sz w:val="32"/>
          <w:szCs w:val="32"/>
        </w:rPr>
        <w:t>县</w:t>
      </w:r>
      <w:r>
        <w:rPr>
          <w:rFonts w:ascii="仿宋_GB2312"/>
          <w:sz w:val="32"/>
          <w:szCs w:val="32"/>
        </w:rPr>
        <w:t>委、</w:t>
      </w:r>
      <w:r>
        <w:rPr>
          <w:rFonts w:hint="eastAsia" w:ascii="仿宋_GB2312"/>
          <w:sz w:val="32"/>
          <w:szCs w:val="32"/>
          <w:lang w:val="en-US" w:eastAsia="zh-CN"/>
        </w:rPr>
        <w:t>县</w:t>
      </w:r>
      <w:r>
        <w:rPr>
          <w:rFonts w:ascii="仿宋_GB2312"/>
          <w:sz w:val="32"/>
          <w:szCs w:val="32"/>
        </w:rPr>
        <w:t>政府下达目标任务</w:t>
      </w:r>
      <w:r>
        <w:rPr>
          <w:rFonts w:hint="eastAsia" w:ascii="仿宋_GB2312"/>
          <w:sz w:val="32"/>
          <w:szCs w:val="32"/>
        </w:rPr>
        <w:t>；二是按照预算绩效管理要求，本</w:t>
      </w:r>
      <w:r>
        <w:rPr>
          <w:rFonts w:hint="eastAsia" w:ascii="仿宋_GB2312"/>
          <w:color w:val="000000" w:themeColor="text1"/>
          <w:sz w:val="32"/>
          <w:szCs w:val="32"/>
        </w:rPr>
        <w:t>部门对2020年一般公共预算项目支出开展了绩效目标管理</w:t>
      </w:r>
      <w:r>
        <w:rPr>
          <w:rFonts w:hint="eastAsia" w:ascii="仿宋_GB2312"/>
          <w:sz w:val="32"/>
          <w:szCs w:val="32"/>
        </w:rPr>
        <w:t>，2020年共编制绩效目标10个，涉及财政资金3004.63万元，覆盖率达到100%，</w:t>
      </w:r>
      <w:r>
        <w:rPr>
          <w:rFonts w:hint="eastAsia" w:ascii="仿宋_GB2312"/>
          <w:color w:val="000000" w:themeColor="text1"/>
          <w:sz w:val="32"/>
          <w:szCs w:val="32"/>
        </w:rPr>
        <w:t>2021年1-6</w:t>
      </w:r>
      <w:r>
        <w:rPr>
          <w:rFonts w:hint="eastAsia" w:ascii="仿宋_GB2312"/>
          <w:sz w:val="32"/>
          <w:szCs w:val="32"/>
        </w:rPr>
        <w:t>月编制部门绩效5个。</w:t>
      </w:r>
    </w:p>
    <w:p>
      <w:pPr>
        <w:pStyle w:val="27"/>
        <w:spacing w:line="560" w:lineRule="exact"/>
        <w:ind w:firstLine="640"/>
        <w:jc w:val="both"/>
        <w:rPr>
          <w:rFonts w:ascii="仿宋_GB2312"/>
          <w:sz w:val="32"/>
          <w:szCs w:val="32"/>
        </w:rPr>
      </w:pPr>
      <w:r>
        <w:rPr>
          <w:rFonts w:hint="eastAsia" w:ascii="仿宋_GB2312"/>
          <w:sz w:val="32"/>
          <w:szCs w:val="32"/>
        </w:rPr>
        <w:t>2.部门整体支出绩效自评开展情况。</w:t>
      </w:r>
      <w:bookmarkStart w:id="72" w:name="_GoBack"/>
      <w:bookmarkEnd w:id="72"/>
    </w:p>
    <w:p>
      <w:pPr>
        <w:pStyle w:val="27"/>
        <w:spacing w:line="560" w:lineRule="exact"/>
        <w:ind w:firstLine="640"/>
        <w:jc w:val="both"/>
        <w:rPr>
          <w:rFonts w:ascii="仿宋_GB2312"/>
          <w:sz w:val="32"/>
          <w:szCs w:val="32"/>
        </w:rPr>
      </w:pPr>
      <w:r>
        <w:rPr>
          <w:rFonts w:hint="eastAsia" w:ascii="仿宋_GB2312"/>
          <w:sz w:val="32"/>
          <w:szCs w:val="32"/>
        </w:rPr>
        <w:t>按照预算绩效管理要求，本部门对2020年及2021年1-6月的整体支出开展绩效自评。</w:t>
      </w:r>
    </w:p>
    <w:p>
      <w:pPr>
        <w:pStyle w:val="27"/>
        <w:spacing w:line="560" w:lineRule="exact"/>
        <w:ind w:firstLine="640"/>
        <w:jc w:val="both"/>
        <w:rPr>
          <w:rFonts w:ascii="仿宋_GB2312"/>
          <w:sz w:val="32"/>
          <w:szCs w:val="32"/>
        </w:rPr>
      </w:pPr>
      <w:r>
        <w:rPr>
          <w:rFonts w:hint="eastAsia" w:ascii="仿宋_GB2312"/>
          <w:sz w:val="32"/>
          <w:szCs w:val="32"/>
        </w:rPr>
        <w:t>存在的问题：一是项目支出进度较缓；二是部门预算调整较大。</w:t>
      </w:r>
    </w:p>
    <w:p>
      <w:pPr>
        <w:pStyle w:val="27"/>
        <w:spacing w:line="560" w:lineRule="exact"/>
        <w:ind w:firstLine="640"/>
        <w:jc w:val="both"/>
        <w:rPr>
          <w:rFonts w:ascii="仿宋_GB2312"/>
          <w:sz w:val="32"/>
          <w:szCs w:val="32"/>
        </w:rPr>
      </w:pPr>
      <w:r>
        <w:rPr>
          <w:rFonts w:hint="eastAsia" w:ascii="仿宋_GB2312"/>
          <w:sz w:val="32"/>
          <w:szCs w:val="32"/>
        </w:rPr>
        <w:t>下一步改进措施：加快完成机关财务管理规章制度建设、加强会计核算和财务管理能力。</w:t>
      </w:r>
    </w:p>
    <w:p>
      <w:pPr>
        <w:widowControl/>
        <w:adjustRightInd w:val="0"/>
        <w:snapToGrid w:val="0"/>
        <w:spacing w:line="560"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四、评价结论及建议</w:t>
      </w:r>
    </w:p>
    <w:p>
      <w:pPr>
        <w:pStyle w:val="27"/>
        <w:spacing w:line="560" w:lineRule="exact"/>
        <w:ind w:firstLine="640"/>
        <w:jc w:val="both"/>
        <w:rPr>
          <w:rFonts w:ascii="仿宋_GB2312"/>
          <w:b/>
          <w:sz w:val="32"/>
          <w:szCs w:val="32"/>
        </w:rPr>
      </w:pPr>
      <w:r>
        <w:rPr>
          <w:rFonts w:hint="eastAsia" w:ascii="仿宋_GB2312"/>
          <w:b/>
          <w:sz w:val="32"/>
          <w:szCs w:val="32"/>
        </w:rPr>
        <w:t>（一）评价结论。</w:t>
      </w:r>
    </w:p>
    <w:p>
      <w:pPr>
        <w:pStyle w:val="27"/>
        <w:spacing w:line="560" w:lineRule="exact"/>
        <w:ind w:firstLine="640"/>
        <w:jc w:val="both"/>
        <w:rPr>
          <w:rFonts w:ascii="仿宋_GB2312"/>
          <w:sz w:val="32"/>
          <w:szCs w:val="32"/>
        </w:rPr>
      </w:pPr>
      <w:r>
        <w:rPr>
          <w:rFonts w:ascii="仿宋_GB2312"/>
          <w:sz w:val="32"/>
          <w:szCs w:val="32"/>
        </w:rPr>
        <w:t>自评</w:t>
      </w:r>
      <w:r>
        <w:rPr>
          <w:rFonts w:hint="eastAsia" w:ascii="仿宋_GB2312"/>
          <w:sz w:val="32"/>
          <w:szCs w:val="32"/>
        </w:rPr>
        <w:t>合格</w:t>
      </w:r>
      <w:r>
        <w:rPr>
          <w:rFonts w:ascii="仿宋_GB2312"/>
          <w:sz w:val="32"/>
          <w:szCs w:val="32"/>
        </w:rPr>
        <w:t>。</w:t>
      </w:r>
    </w:p>
    <w:p>
      <w:pPr>
        <w:pStyle w:val="27"/>
        <w:spacing w:line="560" w:lineRule="exact"/>
        <w:ind w:firstLine="640"/>
        <w:jc w:val="both"/>
        <w:rPr>
          <w:rFonts w:ascii="仿宋_GB2312"/>
          <w:b/>
          <w:sz w:val="32"/>
          <w:szCs w:val="32"/>
        </w:rPr>
      </w:pPr>
      <w:r>
        <w:rPr>
          <w:rFonts w:hint="eastAsia" w:ascii="仿宋_GB2312"/>
          <w:b/>
          <w:sz w:val="32"/>
          <w:szCs w:val="32"/>
        </w:rPr>
        <w:t>（二）存在问题。</w:t>
      </w:r>
    </w:p>
    <w:p>
      <w:pPr>
        <w:pStyle w:val="27"/>
        <w:spacing w:line="560" w:lineRule="exact"/>
        <w:ind w:firstLine="640"/>
        <w:jc w:val="both"/>
        <w:rPr>
          <w:rFonts w:ascii="仿宋_GB2312"/>
          <w:sz w:val="32"/>
          <w:szCs w:val="32"/>
        </w:rPr>
      </w:pPr>
      <w:r>
        <w:rPr>
          <w:rFonts w:hint="eastAsia" w:ascii="仿宋_GB2312"/>
          <w:sz w:val="32"/>
          <w:szCs w:val="32"/>
        </w:rPr>
        <w:t>无</w:t>
      </w:r>
    </w:p>
    <w:p>
      <w:pPr>
        <w:pStyle w:val="27"/>
        <w:spacing w:line="560" w:lineRule="exact"/>
        <w:ind w:firstLine="640"/>
        <w:jc w:val="both"/>
        <w:rPr>
          <w:rFonts w:ascii="仿宋_GB2312"/>
          <w:b/>
          <w:sz w:val="32"/>
          <w:szCs w:val="32"/>
        </w:rPr>
      </w:pPr>
      <w:r>
        <w:rPr>
          <w:rFonts w:hint="eastAsia" w:ascii="仿宋_GB2312"/>
          <w:b/>
          <w:sz w:val="32"/>
          <w:szCs w:val="32"/>
        </w:rPr>
        <w:t>（三）改进建议。</w:t>
      </w:r>
    </w:p>
    <w:p>
      <w:pPr>
        <w:pStyle w:val="27"/>
        <w:spacing w:line="560" w:lineRule="exact"/>
        <w:ind w:firstLine="640"/>
        <w:jc w:val="both"/>
        <w:rPr>
          <w:rFonts w:ascii="仿宋_GB2312"/>
          <w:sz w:val="32"/>
          <w:szCs w:val="32"/>
        </w:rPr>
      </w:pPr>
      <w:r>
        <w:rPr>
          <w:rFonts w:ascii="仿宋_GB2312"/>
          <w:sz w:val="32"/>
          <w:szCs w:val="32"/>
        </w:rPr>
        <w:t>切实加强项目预算编制前期调研、论证，做好市场价格调查，仔细测算项目资金需求，努力使预算资金合理</w:t>
      </w:r>
      <w:r>
        <w:rPr>
          <w:rFonts w:hint="eastAsia" w:ascii="仿宋_GB2312"/>
          <w:sz w:val="32"/>
          <w:szCs w:val="32"/>
        </w:rPr>
        <w:t>。</w:t>
      </w:r>
      <w:bookmarkStart w:id="60" w:name="_Toc15396618"/>
      <w:bookmarkStart w:id="61" w:name="_Toc15396619"/>
    </w:p>
    <w:p>
      <w:pPr>
        <w:spacing w:line="600" w:lineRule="exact"/>
        <w:jc w:val="center"/>
        <w:outlineLvl w:val="0"/>
        <w:rPr>
          <w:rStyle w:val="17"/>
          <w:rFonts w:ascii="黑体" w:eastAsia="黑体"/>
          <w:b w:val="0"/>
        </w:rPr>
      </w:pPr>
      <w:r>
        <w:rPr>
          <w:rFonts w:hint="eastAsia" w:ascii="黑体" w:eastAsia="黑体"/>
          <w:color w:val="000000"/>
          <w:sz w:val="44"/>
          <w:szCs w:val="44"/>
        </w:rPr>
        <w:t>第</w:t>
      </w:r>
      <w:r>
        <w:rPr>
          <w:rStyle w:val="17"/>
          <w:rFonts w:hint="eastAsia" w:ascii="黑体" w:eastAsia="黑体"/>
          <w:b w:val="0"/>
        </w:rPr>
        <w:t>五部分 附表</w:t>
      </w:r>
      <w:bookmarkEnd w:id="60"/>
    </w:p>
    <w:p>
      <w:pPr>
        <w:pStyle w:val="3"/>
        <w:rPr>
          <w:rFonts w:ascii="仿宋" w:eastAsia="仿宋"/>
          <w:color w:val="000000"/>
        </w:rPr>
      </w:pPr>
      <w:r>
        <w:rPr>
          <w:rFonts w:hint="eastAsia" w:ascii="仿宋" w:eastAsia="仿宋"/>
          <w:b w:val="0"/>
          <w:color w:val="000000"/>
        </w:rPr>
        <w:t>一、收</w:t>
      </w:r>
      <w:r>
        <w:rPr>
          <w:rStyle w:val="18"/>
          <w:rFonts w:hint="eastAsia" w:ascii="仿宋" w:eastAsia="仿宋"/>
          <w:b w:val="0"/>
          <w:bCs w:val="0"/>
        </w:rPr>
        <w:t>入支出决算总表</w:t>
      </w:r>
      <w:bookmarkEnd w:id="61"/>
    </w:p>
    <w:p>
      <w:pPr>
        <w:pStyle w:val="3"/>
        <w:rPr>
          <w:rFonts w:ascii="仿宋" w:eastAsia="仿宋"/>
          <w:color w:val="000000"/>
        </w:rPr>
      </w:pPr>
      <w:bookmarkStart w:id="62" w:name="_Toc15396620"/>
      <w:r>
        <w:rPr>
          <w:rFonts w:hint="eastAsia" w:ascii="仿宋" w:eastAsia="仿宋"/>
          <w:b w:val="0"/>
          <w:color w:val="000000"/>
        </w:rPr>
        <w:t>二、收</w:t>
      </w:r>
      <w:r>
        <w:rPr>
          <w:rStyle w:val="18"/>
          <w:rFonts w:hint="eastAsia" w:ascii="仿宋" w:eastAsia="仿宋"/>
          <w:b w:val="0"/>
          <w:bCs w:val="0"/>
        </w:rPr>
        <w:t>入总表</w:t>
      </w:r>
      <w:bookmarkEnd w:id="62"/>
    </w:p>
    <w:p>
      <w:pPr>
        <w:pStyle w:val="3"/>
        <w:rPr>
          <w:rFonts w:ascii="仿宋" w:eastAsia="仿宋"/>
          <w:color w:val="000000"/>
        </w:rPr>
      </w:pPr>
      <w:bookmarkStart w:id="63"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出总表</w:t>
      </w:r>
      <w:bookmarkEnd w:id="63"/>
    </w:p>
    <w:p>
      <w:pPr>
        <w:pStyle w:val="3"/>
        <w:rPr>
          <w:rFonts w:ascii="仿宋" w:eastAsia="仿宋"/>
          <w:b w:val="0"/>
          <w:color w:val="000000"/>
        </w:rPr>
      </w:pPr>
      <w:bookmarkStart w:id="64" w:name="_Toc15396622"/>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4"/>
    </w:p>
    <w:p>
      <w:pPr>
        <w:pStyle w:val="3"/>
        <w:rPr>
          <w:rFonts w:ascii="仿宋" w:eastAsia="仿宋"/>
          <w:color w:val="000000"/>
        </w:rPr>
      </w:pPr>
      <w:bookmarkStart w:id="65" w:name="_Toc15396623"/>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政拨款支出决算明细表（政府经济分类科目）</w:t>
      </w:r>
      <w:bookmarkEnd w:id="65"/>
    </w:p>
    <w:p>
      <w:pPr>
        <w:pStyle w:val="3"/>
        <w:rPr>
          <w:rFonts w:ascii="仿宋" w:eastAsia="仿宋"/>
          <w:color w:val="000000"/>
        </w:rPr>
      </w:pPr>
      <w:bookmarkStart w:id="66" w:name="_Toc15396624"/>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66"/>
    </w:p>
    <w:p>
      <w:pPr>
        <w:pStyle w:val="3"/>
        <w:rPr>
          <w:rFonts w:ascii="仿宋" w:eastAsia="仿宋"/>
          <w:color w:val="000000"/>
        </w:rPr>
      </w:pPr>
      <w:bookmarkStart w:id="67"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67"/>
    </w:p>
    <w:p>
      <w:pPr>
        <w:pStyle w:val="3"/>
        <w:rPr>
          <w:rFonts w:ascii="仿宋" w:eastAsia="仿宋"/>
          <w:color w:val="000000"/>
        </w:rPr>
      </w:pPr>
      <w:bookmarkStart w:id="68" w:name="_Toc15396626"/>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68"/>
    </w:p>
    <w:p>
      <w:pPr>
        <w:pStyle w:val="3"/>
        <w:rPr>
          <w:rFonts w:ascii="仿宋" w:eastAsia="仿宋"/>
          <w:color w:val="000000"/>
        </w:rPr>
      </w:pPr>
      <w:bookmarkStart w:id="69" w:name="_Toc15396627"/>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69"/>
    </w:p>
    <w:p>
      <w:pPr>
        <w:pStyle w:val="3"/>
        <w:rPr>
          <w:rFonts w:ascii="仿宋" w:eastAsia="仿宋"/>
          <w:color w:val="000000"/>
        </w:rPr>
      </w:pPr>
      <w:bookmarkStart w:id="70" w:name="_Toc15396628"/>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70"/>
    </w:p>
    <w:p>
      <w:pPr>
        <w:pStyle w:val="3"/>
        <w:rPr>
          <w:rFonts w:ascii="仿宋" w:eastAsia="仿宋"/>
          <w:color w:val="000000"/>
        </w:rPr>
      </w:pPr>
      <w:bookmarkStart w:id="71" w:name="_Toc15396629"/>
      <w:r>
        <w:rPr>
          <w:rStyle w:val="18"/>
          <w:rFonts w:hint="eastAsia" w:ascii="仿宋" w:eastAsia="仿宋"/>
          <w:b w:val="0"/>
          <w:bCs w:val="0"/>
        </w:rPr>
        <w:t>十一、</w:t>
      </w:r>
      <w:bookmarkEnd w:id="71"/>
      <w:r>
        <w:rPr>
          <w:rStyle w:val="18"/>
          <w:rFonts w:hint="eastAsia" w:ascii="仿宋" w:eastAsia="仿宋"/>
          <w:b w:val="0"/>
          <w:bCs w:val="0"/>
        </w:rPr>
        <w:t>封面代码</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18</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284"/>
        </w:tabs>
        <w:ind w:left="284"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6E4A76"/>
    <w:rsid w:val="00010CB4"/>
    <w:rsid w:val="00035DF5"/>
    <w:rsid w:val="000573FF"/>
    <w:rsid w:val="000A3191"/>
    <w:rsid w:val="001244E6"/>
    <w:rsid w:val="00135F55"/>
    <w:rsid w:val="001B1684"/>
    <w:rsid w:val="001D3085"/>
    <w:rsid w:val="001D5525"/>
    <w:rsid w:val="001F2779"/>
    <w:rsid w:val="00203FB1"/>
    <w:rsid w:val="0022419E"/>
    <w:rsid w:val="00233119"/>
    <w:rsid w:val="00263B11"/>
    <w:rsid w:val="002C2BCE"/>
    <w:rsid w:val="002C7DE7"/>
    <w:rsid w:val="002E190B"/>
    <w:rsid w:val="00306899"/>
    <w:rsid w:val="003B55BE"/>
    <w:rsid w:val="003E0B64"/>
    <w:rsid w:val="0046468D"/>
    <w:rsid w:val="004B4B33"/>
    <w:rsid w:val="004C2823"/>
    <w:rsid w:val="00502BEA"/>
    <w:rsid w:val="00513B29"/>
    <w:rsid w:val="0051400D"/>
    <w:rsid w:val="0057789E"/>
    <w:rsid w:val="005C7F1F"/>
    <w:rsid w:val="005E47F7"/>
    <w:rsid w:val="00601315"/>
    <w:rsid w:val="00604DF6"/>
    <w:rsid w:val="00624476"/>
    <w:rsid w:val="00624A5B"/>
    <w:rsid w:val="006250D8"/>
    <w:rsid w:val="00635504"/>
    <w:rsid w:val="00635DEC"/>
    <w:rsid w:val="0064069B"/>
    <w:rsid w:val="006524B6"/>
    <w:rsid w:val="006710DA"/>
    <w:rsid w:val="00685663"/>
    <w:rsid w:val="00687D7E"/>
    <w:rsid w:val="006E4A76"/>
    <w:rsid w:val="00721075"/>
    <w:rsid w:val="007237DA"/>
    <w:rsid w:val="00736BFC"/>
    <w:rsid w:val="00744633"/>
    <w:rsid w:val="00764FC5"/>
    <w:rsid w:val="00783345"/>
    <w:rsid w:val="00785966"/>
    <w:rsid w:val="007944E9"/>
    <w:rsid w:val="007B229E"/>
    <w:rsid w:val="007E2CAC"/>
    <w:rsid w:val="0083485E"/>
    <w:rsid w:val="008455C4"/>
    <w:rsid w:val="00850444"/>
    <w:rsid w:val="0085603D"/>
    <w:rsid w:val="008A5CF5"/>
    <w:rsid w:val="00914B15"/>
    <w:rsid w:val="00936D3A"/>
    <w:rsid w:val="009635B6"/>
    <w:rsid w:val="009C1E9C"/>
    <w:rsid w:val="009D03CD"/>
    <w:rsid w:val="00A12CFA"/>
    <w:rsid w:val="00AB7D6C"/>
    <w:rsid w:val="00AE24D0"/>
    <w:rsid w:val="00AE2BE4"/>
    <w:rsid w:val="00AE6A33"/>
    <w:rsid w:val="00AF62B9"/>
    <w:rsid w:val="00B50773"/>
    <w:rsid w:val="00BA1372"/>
    <w:rsid w:val="00BE4CA2"/>
    <w:rsid w:val="00C67D47"/>
    <w:rsid w:val="00CB1E02"/>
    <w:rsid w:val="00CC1B9B"/>
    <w:rsid w:val="00CC79B0"/>
    <w:rsid w:val="00D40556"/>
    <w:rsid w:val="00D454A8"/>
    <w:rsid w:val="00DD02E1"/>
    <w:rsid w:val="00E15D82"/>
    <w:rsid w:val="00E321A9"/>
    <w:rsid w:val="00E643A8"/>
    <w:rsid w:val="00E7705F"/>
    <w:rsid w:val="00ED11CE"/>
    <w:rsid w:val="00EE0F99"/>
    <w:rsid w:val="00F6120F"/>
    <w:rsid w:val="00F81752"/>
    <w:rsid w:val="00FB7E51"/>
    <w:rsid w:val="00FE7F70"/>
    <w:rsid w:val="079F7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qFormat="1" w:unhideWhenUsed="0" w:uiPriority="0" w:semiHidden="0"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uiPriority w:val="0"/>
    <w:pPr>
      <w:keepNext/>
      <w:keepLines/>
      <w:spacing w:before="340" w:after="330" w:line="578" w:lineRule="auto"/>
      <w:outlineLvl w:val="0"/>
    </w:pPr>
    <w:rPr>
      <w:b/>
      <w:bCs/>
      <w:kern w:val="44"/>
      <w:sz w:val="44"/>
      <w:szCs w:val="44"/>
    </w:rPr>
  </w:style>
  <w:style w:type="paragraph" w:styleId="3">
    <w:name w:val="heading 2"/>
    <w:basedOn w:val="1"/>
    <w:next w:val="1"/>
    <w:link w:val="18"/>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eastAsia="黑体" w:asciiTheme="majorHAnsi" w:hAnsiTheme="majorHAnsi" w:cstheme="majorBidi"/>
      <w:sz w:val="20"/>
      <w:szCs w:val="20"/>
    </w:rPr>
  </w:style>
  <w:style w:type="paragraph" w:styleId="6">
    <w:name w:val="Body Text"/>
    <w:basedOn w:val="1"/>
    <w:uiPriority w:val="0"/>
    <w:pPr>
      <w:spacing w:beforeLines="30"/>
    </w:pPr>
    <w:rPr>
      <w:rFonts w:ascii="仿宋_GB2312" w:eastAsia="仿宋_GB2312"/>
      <w:kern w:val="0"/>
      <w:sz w:val="30"/>
    </w:rPr>
  </w:style>
  <w:style w:type="paragraph" w:styleId="7">
    <w:name w:val="toc 3"/>
    <w:basedOn w:val="1"/>
    <w:next w:val="1"/>
    <w:uiPriority w:val="0"/>
    <w:pPr>
      <w:tabs>
        <w:tab w:val="right" w:leader="dot" w:pos="8296"/>
      </w:tabs>
      <w:ind w:left="400" w:leftChars="400"/>
    </w:pPr>
  </w:style>
  <w:style w:type="paragraph" w:styleId="8">
    <w:name w:val="Balloon Text"/>
    <w:basedOn w:val="1"/>
    <w:uiPriority w:val="0"/>
    <w:rPr>
      <w:sz w:val="18"/>
      <w:szCs w:val="18"/>
    </w:rPr>
  </w:style>
  <w:style w:type="paragraph" w:styleId="9">
    <w:name w:val="footer"/>
    <w:basedOn w:val="1"/>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22"/>
    <w:rPr>
      <w:b/>
    </w:rPr>
  </w:style>
  <w:style w:type="character" w:styleId="16">
    <w:name w:val="Hyperlink"/>
    <w:basedOn w:val="14"/>
    <w:qFormat/>
    <w:uiPriority w:val="0"/>
    <w:rPr>
      <w:color w:val="0000FF"/>
      <w:u w:val="single"/>
    </w:rPr>
  </w:style>
  <w:style w:type="character" w:customStyle="1" w:styleId="17">
    <w:name w:val="标题 1 Char"/>
    <w:basedOn w:val="14"/>
    <w:link w:val="2"/>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3"/>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uiPriority w:val="0"/>
    <w:rPr>
      <w:rFonts w:ascii="Times New Roman" w:hAnsi="Times New Roman"/>
      <w:szCs w:val="24"/>
    </w:rPr>
  </w:style>
  <w:style w:type="paragraph" w:customStyle="1" w:styleId="22">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uiPriority w:val="0"/>
    <w:pPr>
      <w:ind w:firstLine="200" w:firstLineChars="200"/>
    </w:pPr>
  </w:style>
  <w:style w:type="paragraph" w:customStyle="1" w:styleId="24">
    <w:name w:val="TOC 标题1"/>
    <w:basedOn w:val="2"/>
    <w:next w:val="1"/>
    <w:uiPriority w:val="0"/>
    <w:pPr>
      <w:widowControl/>
      <w:spacing w:before="480" w:after="0" w:line="276" w:lineRule="auto"/>
      <w:jc w:val="left"/>
      <w:outlineLvl w:val="9"/>
    </w:pPr>
    <w:rPr>
      <w:rFonts w:ascii="Cambria" w:hAnsi="Cambria"/>
      <w:color w:val="376092"/>
      <w:kern w:val="0"/>
      <w:sz w:val="28"/>
      <w:szCs w:val="28"/>
    </w:rPr>
  </w:style>
  <w:style w:type="paragraph" w:customStyle="1" w:styleId="25">
    <w:name w:val="p0"/>
    <w:qFormat/>
    <w:uiPriority w:val="0"/>
    <w:pPr>
      <w:spacing w:beforeAutospacing="1" w:afterAutospacing="1"/>
    </w:pPr>
    <w:rPr>
      <w:rFonts w:ascii="宋体" w:hAnsi="Times New Roman" w:eastAsia="宋体" w:cs="宋体"/>
      <w:sz w:val="24"/>
      <w:szCs w:val="24"/>
      <w:lang w:val="en-US" w:eastAsia="zh-CN" w:bidi="ar-SA"/>
    </w:rPr>
  </w:style>
  <w:style w:type="character" w:customStyle="1" w:styleId="26">
    <w:name w:val="No Spacing Char"/>
    <w:link w:val="27"/>
    <w:qFormat/>
    <w:locked/>
    <w:uiPriority w:val="0"/>
    <w:rPr>
      <w:rFonts w:eastAsia="仿宋_GB2312"/>
      <w:sz w:val="22"/>
      <w:szCs w:val="22"/>
    </w:rPr>
  </w:style>
  <w:style w:type="paragraph" w:customStyle="1" w:styleId="27">
    <w:name w:val="无间隔1"/>
    <w:link w:val="26"/>
    <w:uiPriority w:val="0"/>
    <w:pPr>
      <w:ind w:firstLine="200" w:firstLineChars="200"/>
    </w:pPr>
    <w:rPr>
      <w:rFonts w:ascii="Times New Roman" w:hAnsi="Times New Roman" w:eastAsia="仿宋_GB2312" w:cs="Times New Roman"/>
      <w:sz w:val="22"/>
      <w:szCs w:val="22"/>
      <w:lang w:val="en-US" w:eastAsia="zh-CN" w:bidi="ar-SA"/>
    </w:rPr>
  </w:style>
  <w:style w:type="paragraph" w:customStyle="1" w:styleId="28">
    <w:name w:val="无间隔2"/>
    <w:qFormat/>
    <w:uiPriority w:val="0"/>
    <w:pPr>
      <w:ind w:firstLine="200" w:firstLineChars="200"/>
    </w:pPr>
    <w:rPr>
      <w:rFonts w:ascii="Times New Roman" w:hAnsi="Times New Roman" w:eastAsia="仿宋_GB2312"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00000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8.54</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34C63F-4C82-4107-80C0-03D8B92A0775}">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2074</Words>
  <Characters>11827</Characters>
  <Lines>98</Lines>
  <Paragraphs>27</Paragraphs>
  <TotalTime>2</TotalTime>
  <ScaleCrop>false</ScaleCrop>
  <LinksUpToDate>false</LinksUpToDate>
  <CharactersWithSpaces>13874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2021-09-16T08:22:00Z</dcterms:created>
  <dc:creator>张彬茜</dc:creator>
  <cp:lastModifiedBy>平淡无奇</cp:lastModifiedBy>
  <cp:lastPrinted>2021-09-15T01:30:00Z</cp:lastPrinted>
  <dcterms:modified xsi:type="dcterms:W3CDTF">2021-09-27T02:45:28Z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