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黑体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黑体" w:hint="eastAsia"/>
          <w:sz w:val="44"/>
          <w:szCs w:val="44"/>
          <w:lang w:val="en-US" w:eastAsia="zh-CN"/>
        </w:rPr>
        <w:t>金川县2026年金川县司法局</w:t>
      </w:r>
    </w:p>
    <w:p>
      <w:pPr>
        <w:spacing w:line="560" w:lineRule="exact"/>
        <w:jc w:val="center"/>
        <w:rPr>
          <w:rFonts w:ascii="方正小标宋_GBK" w:eastAsia="方正小标宋_GBK" w:cs="黑体" w:hint="eastAsia"/>
          <w:sz w:val="44"/>
          <w:szCs w:val="44"/>
          <w:lang w:eastAsia="zh-CN"/>
        </w:rPr>
      </w:pPr>
      <w:r>
        <w:rPr>
          <w:rFonts w:ascii="方正小标宋_GBK" w:eastAsia="方正小标宋_GBK" w:cs="黑体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黑体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2026年，我单位部门预算1190.58万元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根据法律援助服务管理职能职责，在全县范围内积极开展法律援助，主动帮助困难群众解决法律纠纷，化解社会矛盾，切实维护人民群众合法权益，法律咨询、代书满意度达到90%以上，切实履行好法律援助工作。做到“应援尽援”年度总体目标：负责组织、指导、协调全县刑释解教人员安置帮教工作和社区矫正工作，监督管理所属社团组织；拟订全县公共法律服务体系建设规划并指导实施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重点项目绩效目标。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  特定项目1：法律援助配套资金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法律援助服务管理职能职责，在全县范围内积极开展法律援助，主动帮助困难群众解决法律纠纷，化解社会矛盾，切实维护人民群众合法权益，法律咨询、代书满意度达到90%以上，切实履行好法律援助工作。做到“应援尽援”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2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19</TotalTime>
  <Application>Yozo_Office27021597764231179</Application>
  <Pages>2</Pages>
  <Words>505</Words>
  <Characters>524</Characters>
  <Lines>27</Lines>
  <Paragraphs>11</Paragraphs>
  <CharactersWithSpaces>527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2026-03-17T08:05:38Z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eyJoZGlkIjoiNGI2ZGM5ZWU4MzVmNzMyNWVhM2I3MzQxZmZjZWFhZTQiLCJ1c2VySWQiOiIyODQwNzkxNzUifQ==</vt:lpwstr>
  </property>
  <property fmtid="{D5CDD505-2E9C-101B-9397-08002B2CF9AE}" pid="4" name="ICV">
    <vt:lpwstr>CBC950B0F3414BD6AB06ACB6FCD22A95_12</vt:lpwstr>
  </property>
</Properties>
</file>