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B7754">
      <w:pPr>
        <w:pStyle w:val="5"/>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77425"/>
      <w:bookmarkStart w:id="2" w:name="_Toc15396597"/>
      <w:bookmarkStart w:id="3" w:name="_Toc15396475"/>
      <w:bookmarkStart w:id="4" w:name="_Toc15377193"/>
      <w:bookmarkStart w:id="5" w:name="_Toc15306267"/>
    </w:p>
    <w:p w14:paraId="7133144D">
      <w:pPr>
        <w:pStyle w:val="5"/>
        <w:rPr>
          <w:rFonts w:hint="eastAsia" w:ascii="Times New Roman" w:hAnsi="Times New Roman" w:eastAsia="方正小标宋简体" w:cs="Times New Roman"/>
          <w:color w:val="auto"/>
          <w:kern w:val="2"/>
          <w:sz w:val="72"/>
          <w:szCs w:val="72"/>
          <w:highlight w:val="none"/>
          <w:lang w:val="en-US" w:eastAsia="zh-CN" w:bidi="ar-SA"/>
        </w:rPr>
      </w:pPr>
    </w:p>
    <w:bookmarkEnd w:id="0"/>
    <w:bookmarkEnd w:id="1"/>
    <w:bookmarkEnd w:id="2"/>
    <w:bookmarkEnd w:id="3"/>
    <w:bookmarkEnd w:id="4"/>
    <w:bookmarkEnd w:id="5"/>
    <w:p w14:paraId="4938FE2E">
      <w:pPr>
        <w:adjustRightInd w:val="0"/>
        <w:snapToGrid w:val="0"/>
        <w:spacing w:line="360" w:lineRule="auto"/>
        <w:jc w:val="center"/>
        <w:outlineLvl w:val="0"/>
        <w:rPr>
          <w:rFonts w:ascii="方正小标宋简体" w:eastAsia="方正小标宋简体"/>
          <w:color w:val="000000"/>
          <w:sz w:val="72"/>
          <w:szCs w:val="72"/>
        </w:rPr>
      </w:pPr>
      <w:r>
        <w:rPr>
          <w:rFonts w:ascii="黑体" w:eastAsia="黑体"/>
          <w:color w:val="000000"/>
          <w:sz w:val="72"/>
          <w:szCs w:val="72"/>
        </w:rPr>
        <w:t>2024</w:t>
      </w:r>
      <w:r>
        <w:rPr>
          <w:rFonts w:hint="eastAsia" w:ascii="方正小标宋简体" w:eastAsia="方正小标宋简体"/>
          <w:color w:val="000000"/>
          <w:sz w:val="72"/>
          <w:szCs w:val="72"/>
        </w:rPr>
        <w:t>年度</w:t>
      </w:r>
    </w:p>
    <w:p w14:paraId="5A96F8EE">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96476"/>
      <w:bookmarkStart w:id="8" w:name="_Toc15377194"/>
      <w:bookmarkStart w:id="9" w:name="_Toc15377426"/>
      <w:bookmarkStart w:id="10" w:name="_Toc15378442"/>
      <w:bookmarkStart w:id="11" w:name="_Toc15306268"/>
      <w:r>
        <w:rPr>
          <w:rFonts w:hint="eastAsia" w:ascii="方正小标宋简体" w:eastAsia="方正小标宋简体"/>
          <w:color w:val="000000"/>
          <w:sz w:val="72"/>
          <w:szCs w:val="72"/>
        </w:rPr>
        <w:t>金川县司法局部门决算</w:t>
      </w:r>
      <w:bookmarkEnd w:id="6"/>
      <w:bookmarkEnd w:id="7"/>
      <w:bookmarkEnd w:id="8"/>
      <w:bookmarkEnd w:id="9"/>
      <w:bookmarkEnd w:id="10"/>
      <w:bookmarkEnd w:id="11"/>
    </w:p>
    <w:p w14:paraId="5041FCDA">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分析报告</w:t>
      </w:r>
    </w:p>
    <w:p w14:paraId="6164779F">
      <w:pPr>
        <w:widowControl/>
        <w:jc w:val="center"/>
        <w:rPr>
          <w:rFonts w:ascii="方正小标宋简体" w:eastAsia="方正小标宋简体"/>
          <w:color w:val="000000"/>
          <w:sz w:val="36"/>
          <w:szCs w:val="36"/>
        </w:rPr>
      </w:pPr>
    </w:p>
    <w:p w14:paraId="7096931C">
      <w:pPr>
        <w:widowControl/>
        <w:jc w:val="center"/>
        <w:rPr>
          <w:rFonts w:ascii="方正小标宋简体" w:eastAsia="方正小标宋简体"/>
          <w:color w:val="000000"/>
          <w:sz w:val="36"/>
          <w:szCs w:val="36"/>
        </w:rPr>
      </w:pPr>
    </w:p>
    <w:p w14:paraId="0731F01D">
      <w:pPr>
        <w:widowControl/>
        <w:jc w:val="center"/>
        <w:rPr>
          <w:rFonts w:ascii="方正小标宋简体" w:eastAsia="方正小标宋简体"/>
          <w:color w:val="000000"/>
          <w:sz w:val="36"/>
          <w:szCs w:val="36"/>
        </w:rPr>
      </w:pPr>
    </w:p>
    <w:p w14:paraId="536F443B">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5ECCDEB2">
      <w:pPr>
        <w:widowControl/>
        <w:tabs>
          <w:tab w:val="center" w:pos="4213"/>
          <w:tab w:val="left" w:pos="5211"/>
        </w:tabs>
        <w:jc w:val="left"/>
      </w:pPr>
      <w:r>
        <w:rPr>
          <w:rFonts w:hint="eastAsia" w:ascii="黑体" w:eastAsia="黑体"/>
          <w:color w:val="000000"/>
          <w:sz w:val="48"/>
          <w:szCs w:val="48"/>
        </w:rPr>
        <w:tab/>
      </w:r>
      <w:r>
        <w:rPr>
          <w:rFonts w:hint="eastAsia" w:ascii="黑体" w:eastAsia="黑体"/>
          <w:color w:val="000000"/>
          <w:sz w:val="48"/>
          <w:szCs w:val="48"/>
        </w:rPr>
        <w:tab/>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7BD48A71">
      <w:pPr>
        <w:jc w:val="center"/>
      </w:pPr>
      <w:r>
        <w:t>公开时间：2025年8月27日</w:t>
      </w:r>
    </w:p>
    <w:p w14:paraId="594C8F14"/>
    <w:p w14:paraId="4899D66A"/>
    <w:p w14:paraId="08F68930">
      <w:pPr>
        <w:pStyle w:val="11"/>
        <w:rPr>
          <w:rFonts w:cs="Arial"/>
        </w:rPr>
      </w:pPr>
      <w:r>
        <w:fldChar w:fldCharType="begin"/>
      </w:r>
      <w:r>
        <w:instrText xml:space="preserve"> HYPERLINK \l "_Toc15396599" </w:instrText>
      </w:r>
      <w:r>
        <w:fldChar w:fldCharType="separate"/>
      </w:r>
      <w:r>
        <w:rPr>
          <w:rFonts w:hint="eastAsia" w:ascii="Times New Roman" w:hAnsi="Times New Roman" w:eastAsia="黑体" w:cs="黑体"/>
          <w:color w:val="auto"/>
          <w:sz w:val="32"/>
          <w:szCs w:val="32"/>
          <w:highlight w:val="none"/>
          <w:lang w:val="en-US" w:eastAsia="zh-CN"/>
        </w:rPr>
        <w:t>第</w:t>
      </w:r>
      <w:r>
        <w:rPr>
          <w:rFonts w:hint="eastAsia" w:ascii="Times New Roman" w:hAnsi="Times New Roman" w:eastAsia="黑体" w:cs="黑体"/>
          <w:color w:val="auto"/>
          <w:sz w:val="32"/>
          <w:szCs w:val="32"/>
          <w:highlight w:val="none"/>
        </w:rPr>
        <w:t>一部分部门概况</w:t>
      </w:r>
      <w:r>
        <w:tab/>
      </w:r>
      <w:r>
        <w:rPr>
          <w:rFonts w:hint="eastAsia"/>
        </w:rPr>
        <w:t>3</w:t>
      </w:r>
      <w:r>
        <w:rPr>
          <w:rFonts w:hint="eastAsia"/>
        </w:rPr>
        <w:fldChar w:fldCharType="end"/>
      </w:r>
    </w:p>
    <w:p w14:paraId="19B4AF92">
      <w:pPr>
        <w:pStyle w:val="14"/>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p>
    <w:p w14:paraId="226F5CE4">
      <w:pPr>
        <w:pStyle w:val="14"/>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14:paraId="521C341D">
      <w:pPr>
        <w:pStyle w:val="11"/>
      </w:pPr>
      <w:r>
        <w:fldChar w:fldCharType="begin"/>
      </w:r>
      <w:r>
        <w:instrText xml:space="preserve"> HYPERLINK \l "_Toc15396602" </w:instrText>
      </w:r>
      <w:r>
        <w:fldChar w:fldCharType="separate"/>
      </w:r>
      <w:r>
        <w:rPr>
          <w:rFonts w:hint="eastAsia" w:ascii="Times New Roman" w:hAnsi="Times New Roman" w:eastAsia="黑体" w:cs="黑体"/>
          <w:color w:val="auto"/>
          <w:sz w:val="32"/>
          <w:szCs w:val="32"/>
          <w:highlight w:val="none"/>
          <w:lang w:val="en-US" w:eastAsia="zh-CN"/>
        </w:rPr>
        <w:t>第二部分部门决算情况说明</w:t>
      </w:r>
      <w:r>
        <w:tab/>
      </w:r>
      <w:r>
        <w:rPr>
          <w:rFonts w:hint="eastAsia"/>
        </w:rPr>
        <w:t>6</w:t>
      </w:r>
      <w:r>
        <w:rPr>
          <w:rFonts w:hint="eastAsia"/>
        </w:rPr>
        <w:fldChar w:fldCharType="end"/>
      </w:r>
    </w:p>
    <w:p w14:paraId="654CA114">
      <w:pPr>
        <w:pStyle w:val="14"/>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14:paraId="5BDA1530">
      <w:pPr>
        <w:pStyle w:val="14"/>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14:paraId="1E629687">
      <w:pPr>
        <w:pStyle w:val="14"/>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14:paraId="1C93D669">
      <w:pPr>
        <w:pStyle w:val="14"/>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14:paraId="68409BF7">
      <w:pPr>
        <w:pStyle w:val="14"/>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14:paraId="323A1B07">
      <w:pPr>
        <w:pStyle w:val="14"/>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14:paraId="602CA75C">
      <w:pPr>
        <w:pStyle w:val="14"/>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14:paraId="0DAD2656">
      <w:pPr>
        <w:pStyle w:val="14"/>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14:paraId="2957B40D">
      <w:pPr>
        <w:pStyle w:val="14"/>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14:paraId="42FBD1F2">
      <w:pPr>
        <w:pStyle w:val="14"/>
        <w:rPr>
          <w:rStyle w:val="18"/>
          <w:rFonts w:ascii="仿宋" w:eastAsia="仿宋"/>
          <w:bCs/>
          <w:sz w:val="28"/>
          <w:szCs w:val="28"/>
        </w:rPr>
      </w:pPr>
      <w:r>
        <w:rPr>
          <w:rStyle w:val="18"/>
          <w:rFonts w:hint="eastAsia" w:ascii="仿宋" w:eastAsia="仿宋"/>
          <w:bCs/>
          <w:sz w:val="28"/>
          <w:szCs w:val="28"/>
        </w:rPr>
        <w:t xml:space="preserve"> </w:t>
      </w:r>
      <w:r>
        <w:rPr>
          <w:rStyle w:val="18"/>
          <w:rFonts w:hint="eastAsia" w:ascii="仿宋" w:eastAsia="仿宋"/>
          <w:bCs/>
          <w:sz w:val="28"/>
          <w:szCs w:val="28"/>
          <w:lang w:val="en-US" w:eastAsia="zh-CN"/>
        </w:rPr>
        <w:t>十、</w:t>
      </w:r>
      <w:r>
        <w:rPr>
          <w:rStyle w:val="18"/>
          <w:rFonts w:hint="eastAsia" w:ascii="仿宋" w:eastAsia="仿宋"/>
          <w:bCs/>
          <w:sz w:val="28"/>
          <w:szCs w:val="28"/>
        </w:rPr>
        <w:t>预算绩效情况说明.............................................................13</w:t>
      </w:r>
    </w:p>
    <w:p w14:paraId="541C487F">
      <w:pPr>
        <w:pStyle w:val="14"/>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6</w:t>
      </w:r>
    </w:p>
    <w:p w14:paraId="175C537C">
      <w:pPr>
        <w:pStyle w:val="11"/>
        <w:rPr>
          <w:rFonts w:cs="Arial"/>
        </w:rPr>
      </w:pPr>
      <w:r>
        <w:fldChar w:fldCharType="begin"/>
      </w:r>
      <w:r>
        <w:instrText xml:space="preserve"> HYPERLINK \l "_Toc15396613" </w:instrText>
      </w:r>
      <w:r>
        <w:fldChar w:fldCharType="separate"/>
      </w:r>
      <w:r>
        <w:rPr>
          <w:rFonts w:hint="eastAsia" w:ascii="Times New Roman" w:hAnsi="Times New Roman" w:eastAsia="黑体" w:cs="黑体"/>
          <w:color w:val="auto"/>
          <w:sz w:val="32"/>
          <w:szCs w:val="32"/>
          <w:highlight w:val="none"/>
        </w:rPr>
        <w:t>第三部分 名词解释</w:t>
      </w:r>
      <w:r>
        <w:tab/>
      </w:r>
      <w:r>
        <w:rPr>
          <w:rFonts w:hint="eastAsia"/>
        </w:rPr>
        <w:t>1</w:t>
      </w:r>
      <w:r>
        <w:rPr>
          <w:rFonts w:hint="eastAsia"/>
        </w:rPr>
        <w:fldChar w:fldCharType="end"/>
      </w:r>
      <w:r>
        <w:rPr>
          <w:rFonts w:hint="eastAsia"/>
        </w:rPr>
        <w:t>7</w:t>
      </w:r>
    </w:p>
    <w:p w14:paraId="06657E6B">
      <w:pPr>
        <w:pStyle w:val="14"/>
        <w:ind w:left="0" w:leftChars="0"/>
        <w:rPr>
          <w:rFonts w:ascii="仿宋" w:eastAsia="仿宋" w:cs="Arial"/>
          <w:sz w:val="28"/>
          <w:szCs w:val="28"/>
        </w:rPr>
      </w:pPr>
    </w:p>
    <w:p w14:paraId="0B626F24">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ascii="仿宋" w:eastAsia="仿宋"/>
          <w:color w:val="000000"/>
          <w:sz w:val="24"/>
        </w:rPr>
        <w:fldChar w:fldCharType="end"/>
      </w:r>
      <w:r>
        <w:rPr>
          <w:rFonts w:hint="eastAsia" w:ascii="Times New Roman" w:hAnsi="Times New Roman" w:eastAsia="黑体" w:cs="黑体"/>
          <w:color w:val="auto"/>
          <w:sz w:val="32"/>
          <w:szCs w:val="32"/>
          <w:highlight w:val="none"/>
        </w:rPr>
        <w:t>第四部分 附件</w:t>
      </w:r>
    </w:p>
    <w:p w14:paraId="1DBF7508">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63449B2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7EE68EE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50B1ABE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5F5D0A4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3994110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42A8D77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1F18398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333439F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0D09165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4944BF5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22FA539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2954B0B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3BE5435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76D63DF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2785F521">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bookmarkEnd w:id="12"/>
    <w:bookmarkEnd w:id="13"/>
    <w:p w14:paraId="46AB346D">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bookmarkStart w:id="14" w:name="_Toc15377226"/>
    </w:p>
    <w:p w14:paraId="0FF59481">
      <w:pPr>
        <w:pStyle w:val="2"/>
        <w:ind w:right="440"/>
        <w:jc w:val="left"/>
        <w:rPr>
          <w:rFonts w:hint="eastAsia" w:ascii="黑体" w:hAnsi="Times New Roman" w:eastAsia="黑体" w:cs="Times New Roman"/>
          <w:b w:val="0"/>
          <w:color w:val="000000"/>
          <w:lang w:val="en-US" w:eastAsia="zh-CN"/>
        </w:rPr>
      </w:pPr>
      <w:r>
        <w:rPr>
          <w:rFonts w:hint="eastAsia" w:ascii="黑体" w:hAnsi="Times New Roman" w:eastAsia="黑体" w:cs="Times New Roman"/>
          <w:b w:val="0"/>
          <w:color w:val="000000"/>
        </w:rPr>
        <w:t>附件</w:t>
      </w:r>
      <w:r>
        <w:rPr>
          <w:rFonts w:hint="eastAsia" w:ascii="黑体" w:hAnsi="Times New Roman" w:eastAsia="黑体" w:cs="Times New Roman"/>
          <w:b w:val="0"/>
          <w:color w:val="000000"/>
          <w:lang w:val="en-US" w:eastAsia="zh-CN"/>
        </w:rPr>
        <w:t>1</w:t>
      </w:r>
    </w:p>
    <w:p w14:paraId="3745BA3E">
      <w:pPr>
        <w:pStyle w:val="2"/>
        <w:ind w:firstLine="1760" w:firstLineChars="400"/>
        <w:rPr>
          <w:rFonts w:ascii="黑体" w:eastAsia="黑体"/>
          <w:color w:val="000000"/>
          <w:sz w:val="32"/>
          <w:szCs w:val="32"/>
        </w:rPr>
      </w:pPr>
      <w:r>
        <w:rPr>
          <w:rFonts w:hint="eastAsia" w:ascii="黑体" w:eastAsia="黑体"/>
          <w:b w:val="0"/>
        </w:rPr>
        <w:t xml:space="preserve">第一部分 </w:t>
      </w:r>
      <w:r>
        <w:rPr>
          <w:rStyle w:val="35"/>
          <w:rFonts w:hint="eastAsia" w:ascii="黑体" w:eastAsia="黑体"/>
          <w:b w:val="0"/>
          <w:bCs w:val="0"/>
        </w:rPr>
        <w:t>部门概况</w:t>
      </w:r>
    </w:p>
    <w:p w14:paraId="6E06B395">
      <w:pPr>
        <w:pStyle w:val="3"/>
        <w:spacing w:before="0" w:after="0" w:line="240" w:lineRule="auto"/>
        <w:ind w:left="640" w:hanging="640" w:hangingChars="200"/>
        <w:rPr>
          <w:rStyle w:val="36"/>
          <w:rFonts w:ascii="黑体" w:eastAsia="黑体"/>
          <w:b w:val="0"/>
          <w:bCs w:val="0"/>
        </w:rPr>
      </w:pPr>
      <w:bookmarkStart w:id="15" w:name="_Toc15377197"/>
      <w:bookmarkStart w:id="16" w:name="_Toc15396600"/>
      <w:r>
        <w:rPr>
          <w:rFonts w:hint="eastAsia" w:ascii="黑体" w:eastAsia="黑体"/>
          <w:b w:val="0"/>
          <w:color w:val="000000"/>
        </w:rPr>
        <w:t>一、基</w:t>
      </w:r>
      <w:r>
        <w:rPr>
          <w:rStyle w:val="36"/>
          <w:rFonts w:hint="eastAsia" w:ascii="黑体" w:eastAsia="黑体"/>
          <w:b w:val="0"/>
          <w:bCs w:val="0"/>
        </w:rPr>
        <w:t>本职能及主要工作</w:t>
      </w:r>
      <w:bookmarkEnd w:id="15"/>
      <w:bookmarkEnd w:id="16"/>
      <w:bookmarkStart w:id="17" w:name="_Toc15377198"/>
      <w:bookmarkStart w:id="18" w:name="_Toc15378445"/>
    </w:p>
    <w:p w14:paraId="5BA11A2F">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7"/>
      <w:bookmarkEnd w:id="18"/>
      <w:bookmarkStart w:id="19" w:name="_Toc15378446"/>
      <w:bookmarkStart w:id="20" w:name="_Toc15377199"/>
    </w:p>
    <w:p w14:paraId="73EAA86C">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1.承担全面依法治县重大问题的政策研究，协调有关方面提出全面依法治县规划建议，负责有关行政决策部署督察工作。</w:t>
      </w:r>
    </w:p>
    <w:p w14:paraId="363036B0">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14:paraId="4B015678">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14:paraId="22B2D775">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14:paraId="7CEEF254">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5.指导管理社区矫正工作。指导刑满释放人员安置帮教安置工作能力。</w:t>
      </w:r>
    </w:p>
    <w:p w14:paraId="5A376B68">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6.负责拟订全县公共法律服务体系建设规划并指导实施，统筹和布局全县法律服务资源。指导监督律师、法律援助、司法鉴定、公正、仲裁和基层法律服务管理工作。</w:t>
      </w:r>
    </w:p>
    <w:p w14:paraId="31B4A833">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7.负责本系统服装和警车管理工作。指导监督本系统财务、装备、设施、场所等保障工作。</w:t>
      </w:r>
    </w:p>
    <w:p w14:paraId="08E2FA7B">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8、、协调、指导法治人才队伍建设相关工作，指导监督本系统队伍建设。负责本系统警务管理和警务督察工作。</w:t>
      </w:r>
    </w:p>
    <w:p w14:paraId="6295AA91">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9.负责并指导本系统行政审批工作。负责全县外来企业投诉处理和民营企业法律服务工作。</w:t>
      </w:r>
    </w:p>
    <w:p w14:paraId="2FF17794">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10.承担司法所建设和管理工作。负责县司法派出机构司法所基础设施建设及队伍建设，管理指导司法所开展各项职能工作。</w:t>
      </w:r>
    </w:p>
    <w:p w14:paraId="2C4E13EF">
      <w:pPr>
        <w:snapToGrid w:val="0"/>
        <w:spacing w:line="360" w:lineRule="auto"/>
        <w:ind w:firstLine="640" w:firstLineChars="200"/>
        <w:rPr>
          <w:rFonts w:ascii="仿宋" w:eastAsia="仿宋" w:cs="仿宋"/>
          <w:sz w:val="32"/>
          <w:szCs w:val="32"/>
        </w:rPr>
      </w:pPr>
      <w:r>
        <w:rPr>
          <w:rFonts w:hint="eastAsia" w:ascii="仿宋" w:eastAsia="仿宋" w:cs="仿宋"/>
          <w:sz w:val="32"/>
          <w:szCs w:val="32"/>
        </w:rPr>
        <w:t>11.完成县委、县政府交办的其他任务。</w:t>
      </w:r>
    </w:p>
    <w:bookmarkEnd w:id="19"/>
    <w:bookmarkEnd w:id="20"/>
    <w:p w14:paraId="6D7DED01">
      <w:pPr>
        <w:spacing w:line="578" w:lineRule="exact"/>
        <w:ind w:firstLine="640" w:firstLineChars="200"/>
        <w:rPr>
          <w:rStyle w:val="36"/>
          <w:b w:val="0"/>
          <w:bCs w:val="0"/>
        </w:rPr>
      </w:pPr>
      <w:bookmarkStart w:id="21" w:name="_Toc15377200"/>
      <w:bookmarkStart w:id="22" w:name="_Toc15396601"/>
      <w:r>
        <w:rPr>
          <w:rStyle w:val="36"/>
          <w:rFonts w:hint="eastAsia" w:ascii="黑体" w:eastAsia="黑体"/>
          <w:b w:val="0"/>
          <w:bCs w:val="0"/>
        </w:rPr>
        <w:t>二、机构设置</w:t>
      </w:r>
      <w:bookmarkEnd w:id="21"/>
      <w:bookmarkEnd w:id="22"/>
    </w:p>
    <w:p w14:paraId="215038E6">
      <w:pPr>
        <w:snapToGrid w:val="0"/>
        <w:spacing w:line="360" w:lineRule="auto"/>
        <w:rPr>
          <w:rFonts w:ascii="仿宋_GB2312" w:eastAsia="仿宋_GB2312"/>
          <w:sz w:val="30"/>
          <w:szCs w:val="30"/>
        </w:rPr>
      </w:pPr>
      <w:bookmarkStart w:id="23" w:name="_Toc15396602"/>
      <w:bookmarkStart w:id="24" w:name="_Toc15377204"/>
      <w:r>
        <w:rPr>
          <w:rFonts w:hint="eastAsia" w:ascii="仿宋_GB2312" w:eastAsia="仿宋_GB2312"/>
          <w:sz w:val="30"/>
          <w:szCs w:val="30"/>
        </w:rPr>
        <w:t xml:space="preserve">  1、机构情况：</w:t>
      </w:r>
      <w:r>
        <w:rPr>
          <w:rFonts w:hint="eastAsia" w:ascii="仿宋_GB2312" w:eastAsia="仿宋_GB2312" w:cs="仿宋_GB2312"/>
          <w:sz w:val="30"/>
          <w:szCs w:val="30"/>
        </w:rPr>
        <w:t>县司法局为政府工作部门，独立编制机构数1个，独立核算机构数1个</w:t>
      </w:r>
      <w:r>
        <w:rPr>
          <w:rFonts w:hint="eastAsia" w:ascii="仿宋_GB2312" w:eastAsia="仿宋_GB2312"/>
          <w:sz w:val="30"/>
          <w:szCs w:val="30"/>
        </w:rPr>
        <w:t>。</w:t>
      </w:r>
    </w:p>
    <w:p w14:paraId="2791E67C">
      <w:pPr>
        <w:snapToGrid w:val="0"/>
        <w:spacing w:line="360" w:lineRule="auto"/>
        <w:ind w:firstLine="300" w:firstLineChars="100"/>
        <w:rPr>
          <w:rFonts w:ascii="楷体" w:eastAsia="楷体" w:cs="楷体"/>
          <w:b/>
          <w:bCs/>
          <w:sz w:val="30"/>
          <w:szCs w:val="30"/>
        </w:rPr>
      </w:pPr>
      <w:r>
        <w:rPr>
          <w:rFonts w:hint="eastAsia" w:ascii="仿宋_GB2312" w:eastAsia="仿宋_GB2312"/>
          <w:sz w:val="30"/>
          <w:szCs w:val="30"/>
        </w:rPr>
        <w:t>2.人员情况：</w:t>
      </w:r>
      <w:r>
        <w:rPr>
          <w:rFonts w:hint="eastAsia" w:ascii="仿宋_GB2312" w:eastAsia="仿宋_GB2312" w:cs="仿宋_GB2312"/>
          <w:sz w:val="30"/>
          <w:szCs w:val="30"/>
        </w:rPr>
        <w:t>单位编制数44个，其中：公务员编制43个；行政工勤编制2个；事业0个；截止2024年末，单位实有人数44人，其中：在职41人（公务员38人；行政工勤3人；事业人员0人），退休16人（退休人员工资转由社保部门发放）。</w:t>
      </w:r>
    </w:p>
    <w:p w14:paraId="026DF248">
      <w:pPr>
        <w:pStyle w:val="2"/>
        <w:ind w:right="440"/>
        <w:jc w:val="right"/>
      </w:pPr>
      <w:r>
        <w:rPr>
          <w:rFonts w:hint="eastAsia" w:ascii="黑体" w:eastAsia="黑体"/>
          <w:b w:val="0"/>
          <w:color w:val="000000"/>
        </w:rPr>
        <w:t>第二部分</w:t>
      </w:r>
      <w:r>
        <w:rPr>
          <w:rStyle w:val="35"/>
          <w:rFonts w:hint="eastAsia" w:ascii="黑体" w:eastAsia="黑体"/>
          <w:b w:val="0"/>
          <w:bCs w:val="0"/>
        </w:rPr>
        <w:t>2024年度部门决算情况说明</w:t>
      </w:r>
      <w:bookmarkEnd w:id="23"/>
      <w:bookmarkEnd w:id="24"/>
    </w:p>
    <w:p w14:paraId="60F8DA07">
      <w:pPr>
        <w:pStyle w:val="27"/>
        <w:numPr>
          <w:ilvl w:val="0"/>
          <w:numId w:val="1"/>
        </w:numPr>
        <w:ind w:left="0" w:firstLine="0" w:firstLineChars="0"/>
        <w:outlineLvl w:val="1"/>
        <w:rPr>
          <w:rStyle w:val="36"/>
          <w:rFonts w:ascii="黑体" w:eastAsia="黑体"/>
          <w:b w:val="0"/>
        </w:rPr>
      </w:pPr>
      <w:bookmarkStart w:id="25" w:name="_Toc15396603"/>
      <w:bookmarkStart w:id="26" w:name="_Toc15377205"/>
      <w:r>
        <w:rPr>
          <w:rFonts w:hint="eastAsia" w:ascii="黑体" w:eastAsia="黑体"/>
          <w:color w:val="000000"/>
          <w:sz w:val="32"/>
          <w:szCs w:val="32"/>
        </w:rPr>
        <w:t>收</w:t>
      </w:r>
      <w:r>
        <w:rPr>
          <w:rStyle w:val="36"/>
          <w:rFonts w:hint="eastAsia" w:ascii="黑体" w:eastAsia="黑体"/>
          <w:b w:val="0"/>
        </w:rPr>
        <w:t>入支出决算总体情况说明</w:t>
      </w:r>
      <w:bookmarkEnd w:id="25"/>
      <w:bookmarkEnd w:id="26"/>
    </w:p>
    <w:p w14:paraId="6C4F797C">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2024年度总收入</w:t>
      </w:r>
      <w:r>
        <w:rPr>
          <w:rFonts w:ascii="仿宋_GB2312" w:eastAsia="仿宋_GB2312"/>
          <w:color w:val="000000"/>
          <w:spacing w:val="-2"/>
          <w:sz w:val="32"/>
          <w:szCs w:val="32"/>
        </w:rPr>
        <w:t>1,322.88</w:t>
      </w:r>
      <w:r>
        <w:rPr>
          <w:rFonts w:hint="eastAsia" w:ascii="仿宋_GB2312" w:eastAsia="仿宋_GB2312"/>
          <w:color w:val="000000"/>
          <w:spacing w:val="-2"/>
          <w:sz w:val="32"/>
          <w:szCs w:val="32"/>
        </w:rPr>
        <w:t>万元，较上年收入增加</w:t>
      </w:r>
      <w:r>
        <w:rPr>
          <w:rFonts w:ascii="仿宋_GB2312" w:eastAsia="仿宋_GB2312"/>
          <w:color w:val="000000"/>
          <w:spacing w:val="-2"/>
          <w:sz w:val="32"/>
          <w:szCs w:val="32"/>
        </w:rPr>
        <w:t>50.54</w:t>
      </w:r>
      <w:r>
        <w:rPr>
          <w:rFonts w:hint="eastAsia" w:ascii="仿宋_GB2312" w:eastAsia="仿宋_GB2312"/>
          <w:color w:val="000000"/>
          <w:spacing w:val="-2"/>
          <w:sz w:val="32"/>
          <w:szCs w:val="32"/>
        </w:rPr>
        <w:t>万元，增加3.97%。增加的主要原因是调资。</w:t>
      </w:r>
    </w:p>
    <w:p w14:paraId="50E44867">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2024年总支出</w:t>
      </w:r>
      <w:r>
        <w:rPr>
          <w:rFonts w:ascii="仿宋_GB2312" w:eastAsia="仿宋_GB2312"/>
          <w:color w:val="000000"/>
          <w:spacing w:val="-2"/>
          <w:sz w:val="32"/>
          <w:szCs w:val="32"/>
        </w:rPr>
        <w:t>1,322.88</w:t>
      </w:r>
      <w:r>
        <w:rPr>
          <w:rFonts w:hint="eastAsia" w:ascii="仿宋_GB2312" w:eastAsia="仿宋_GB2312"/>
          <w:color w:val="000000"/>
          <w:spacing w:val="-2"/>
          <w:sz w:val="32"/>
          <w:szCs w:val="32"/>
        </w:rPr>
        <w:t>万元，较上年支出增加</w:t>
      </w:r>
      <w:r>
        <w:rPr>
          <w:rFonts w:ascii="仿宋_GB2312" w:eastAsia="仿宋_GB2312"/>
          <w:color w:val="000000"/>
          <w:spacing w:val="-2"/>
          <w:sz w:val="32"/>
          <w:szCs w:val="32"/>
        </w:rPr>
        <w:t>50.54</w:t>
      </w:r>
      <w:r>
        <w:rPr>
          <w:rFonts w:hint="eastAsia" w:ascii="仿宋_GB2312" w:eastAsia="仿宋_GB2312"/>
          <w:color w:val="000000"/>
          <w:spacing w:val="-2"/>
          <w:sz w:val="32"/>
          <w:szCs w:val="32"/>
        </w:rPr>
        <w:t>万元，增加3.97%。增加的主要原因是调资。</w:t>
      </w:r>
    </w:p>
    <w:p w14:paraId="70EDD59F">
      <w:pPr>
        <w:snapToGrid w:val="0"/>
        <w:spacing w:line="520" w:lineRule="exact"/>
        <w:ind w:firstLine="640" w:firstLineChars="200"/>
        <w:rPr>
          <w:rStyle w:val="36"/>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295910</wp:posOffset>
            </wp:positionH>
            <wp:positionV relativeFrom="paragraph">
              <wp:posOffset>45720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7" w:name="_Toc15396604"/>
      <w:bookmarkStart w:id="28" w:name="_Toc15377206"/>
      <w:r>
        <w:rPr>
          <w:rFonts w:hint="eastAsia" w:ascii="黑体" w:eastAsia="黑体"/>
          <w:color w:val="000000"/>
          <w:sz w:val="32"/>
          <w:szCs w:val="32"/>
        </w:rPr>
        <w:t>二、收入决</w:t>
      </w:r>
      <w:r>
        <w:rPr>
          <w:rStyle w:val="36"/>
          <w:rFonts w:hint="eastAsia" w:ascii="黑体" w:eastAsia="黑体"/>
          <w:b w:val="0"/>
        </w:rPr>
        <w:t>算情况说明</w:t>
      </w:r>
      <w:bookmarkEnd w:id="27"/>
      <w:bookmarkEnd w:id="28"/>
    </w:p>
    <w:p w14:paraId="371CB765">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年总收入</w:t>
      </w:r>
      <w:r>
        <w:rPr>
          <w:rFonts w:ascii="仿宋_GB2312" w:eastAsia="仿宋_GB2312"/>
          <w:color w:val="000000"/>
          <w:spacing w:val="-2"/>
          <w:sz w:val="32"/>
          <w:szCs w:val="32"/>
        </w:rPr>
        <w:t>1,322.88</w:t>
      </w:r>
      <w:r>
        <w:rPr>
          <w:rFonts w:hint="eastAsia" w:ascii="仿宋" w:eastAsia="仿宋"/>
          <w:color w:val="000000"/>
          <w:sz w:val="32"/>
          <w:szCs w:val="32"/>
        </w:rPr>
        <w:t>万元，其中：一般公共预算财政拨款收入</w:t>
      </w:r>
      <w:r>
        <w:rPr>
          <w:rFonts w:ascii="仿宋_GB2312" w:eastAsia="仿宋_GB2312"/>
          <w:color w:val="000000"/>
          <w:spacing w:val="-2"/>
          <w:sz w:val="32"/>
          <w:szCs w:val="32"/>
        </w:rPr>
        <w:t>1,322.88</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；其他收入0万元，占0%（上年结转）。</w:t>
      </w:r>
    </w:p>
    <w:p w14:paraId="71090ECF">
      <w:pPr>
        <w:spacing w:line="600" w:lineRule="exact"/>
        <w:ind w:firstLine="640" w:firstLineChars="200"/>
        <w:outlineLvl w:val="1"/>
        <w:rPr>
          <w:rStyle w:val="36"/>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9" w:name="_Toc15396605"/>
      <w:bookmarkStart w:id="30" w:name="_Toc15377207"/>
      <w:r>
        <w:rPr>
          <w:rFonts w:hint="eastAsia" w:ascii="黑体" w:eastAsia="黑体"/>
          <w:color w:val="000000"/>
          <w:sz w:val="32"/>
          <w:szCs w:val="32"/>
        </w:rPr>
        <w:t>三、支出决</w:t>
      </w:r>
      <w:r>
        <w:rPr>
          <w:rStyle w:val="36"/>
          <w:rFonts w:hint="eastAsia" w:ascii="黑体" w:eastAsia="黑体"/>
          <w:b w:val="0"/>
        </w:rPr>
        <w:t>算情况说明</w:t>
      </w:r>
      <w:bookmarkEnd w:id="29"/>
      <w:bookmarkEnd w:id="30"/>
    </w:p>
    <w:p w14:paraId="5093DB42">
      <w:pPr>
        <w:spacing w:line="600" w:lineRule="exact"/>
        <w:ind w:firstLine="640"/>
        <w:rPr>
          <w:rFonts w:ascii="仿宋" w:eastAsia="仿宋"/>
          <w:color w:val="000000"/>
          <w:sz w:val="32"/>
          <w:szCs w:val="32"/>
        </w:rPr>
      </w:pPr>
      <w:r>
        <w:rPr>
          <w:rFonts w:hint="eastAsia" w:ascii="仿宋" w:eastAsia="仿宋"/>
          <w:color w:val="000000"/>
          <w:sz w:val="32"/>
          <w:szCs w:val="32"/>
        </w:rPr>
        <w:t>2024年本年总支出</w:t>
      </w:r>
      <w:r>
        <w:rPr>
          <w:rFonts w:ascii="仿宋_GB2312" w:eastAsia="仿宋_GB2312"/>
          <w:color w:val="000000"/>
          <w:spacing w:val="-2"/>
          <w:sz w:val="32"/>
          <w:szCs w:val="32"/>
        </w:rPr>
        <w:t>1,322.88</w:t>
      </w:r>
      <w:r>
        <w:rPr>
          <w:rFonts w:hint="eastAsia" w:ascii="仿宋" w:eastAsia="仿宋"/>
          <w:color w:val="000000"/>
          <w:sz w:val="32"/>
          <w:szCs w:val="32"/>
        </w:rPr>
        <w:t>万元，其中：基本支出</w:t>
      </w:r>
      <w:r>
        <w:rPr>
          <w:rFonts w:ascii="仿宋" w:eastAsia="仿宋"/>
          <w:color w:val="000000"/>
          <w:sz w:val="32"/>
          <w:szCs w:val="32"/>
        </w:rPr>
        <w:t>1,064.43</w:t>
      </w:r>
      <w:r>
        <w:rPr>
          <w:rFonts w:hint="eastAsia" w:ascii="仿宋" w:eastAsia="仿宋"/>
          <w:color w:val="000000"/>
          <w:sz w:val="32"/>
          <w:szCs w:val="32"/>
        </w:rPr>
        <w:t>万元，占86%；项目支出</w:t>
      </w:r>
      <w:r>
        <w:rPr>
          <w:rFonts w:ascii="仿宋" w:eastAsia="仿宋"/>
          <w:color w:val="000000"/>
          <w:sz w:val="32"/>
          <w:szCs w:val="32"/>
        </w:rPr>
        <w:t>258.45</w:t>
      </w:r>
      <w:r>
        <w:rPr>
          <w:rFonts w:hint="eastAsia" w:ascii="仿宋" w:eastAsia="仿宋"/>
          <w:color w:val="000000"/>
          <w:sz w:val="32"/>
          <w:szCs w:val="32"/>
        </w:rPr>
        <w:t>万元，占14%；上缴上级支出0万元，占0%；经营支出0万元，占0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14:paraId="41BE40C2">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810DAA1">
      <w:pPr>
        <w:spacing w:line="600" w:lineRule="exact"/>
        <w:ind w:firstLine="640" w:firstLineChars="200"/>
        <w:outlineLvl w:val="1"/>
        <w:rPr>
          <w:rStyle w:val="36"/>
          <w:rFonts w:ascii="黑体" w:eastAsia="黑体"/>
          <w:b w:val="0"/>
        </w:rPr>
      </w:pPr>
      <w:bookmarkStart w:id="31" w:name="_Toc15377208"/>
      <w:bookmarkStart w:id="32" w:name="_Toc15396606"/>
      <w:r>
        <w:rPr>
          <w:rFonts w:hint="eastAsia" w:ascii="黑体" w:eastAsia="黑体"/>
          <w:color w:val="000000"/>
          <w:sz w:val="32"/>
          <w:szCs w:val="32"/>
        </w:rPr>
        <w:t>四、财</w:t>
      </w:r>
      <w:r>
        <w:rPr>
          <w:rStyle w:val="36"/>
          <w:rFonts w:hint="eastAsia" w:ascii="黑体" w:eastAsia="黑体"/>
          <w:b w:val="0"/>
        </w:rPr>
        <w:t>政拨款收入支出决算总体情况说明</w:t>
      </w:r>
      <w:bookmarkEnd w:id="31"/>
      <w:bookmarkEnd w:id="32"/>
    </w:p>
    <w:p w14:paraId="26112A88">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2024年财政拨款收入1322.88万元。与2023年相比，一般公共预算财政拨款收入较上年增加50.54万元，</w:t>
      </w:r>
      <w:r>
        <w:rPr>
          <w:rFonts w:hint="eastAsia" w:ascii="仿宋_GB2312" w:eastAsia="仿宋_GB2312"/>
          <w:color w:val="000000"/>
          <w:spacing w:val="-2"/>
          <w:sz w:val="32"/>
          <w:szCs w:val="32"/>
        </w:rPr>
        <w:t>增加3.97%。增加的主要原因是调资。</w:t>
      </w:r>
    </w:p>
    <w:p w14:paraId="60122665">
      <w:pPr>
        <w:spacing w:line="600" w:lineRule="exact"/>
        <w:ind w:firstLine="640" w:firstLineChars="200"/>
        <w:rPr>
          <w:rStyle w:val="36"/>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96607"/>
      <w:bookmarkStart w:id="34" w:name="_Toc15377209"/>
      <w:r>
        <w:rPr>
          <w:rFonts w:hint="eastAsia" w:ascii="黑体" w:eastAsia="黑体"/>
          <w:color w:val="000000"/>
          <w:sz w:val="32"/>
          <w:szCs w:val="32"/>
        </w:rPr>
        <w:t>五、</w:t>
      </w:r>
      <w:r>
        <w:rPr>
          <w:rFonts w:hint="eastAsia" w:ascii="黑体" w:eastAsia="黑体"/>
          <w:b/>
          <w:color w:val="000000"/>
          <w:sz w:val="32"/>
          <w:szCs w:val="32"/>
        </w:rPr>
        <w:t>一</w:t>
      </w:r>
      <w:r>
        <w:rPr>
          <w:rStyle w:val="36"/>
          <w:rFonts w:hint="eastAsia" w:ascii="黑体" w:eastAsia="黑体"/>
          <w:b w:val="0"/>
        </w:rPr>
        <w:t>般公共预算财政拨款支出决算情况说明</w:t>
      </w:r>
      <w:bookmarkEnd w:id="33"/>
      <w:bookmarkEnd w:id="34"/>
    </w:p>
    <w:p w14:paraId="71E45DEE">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14:paraId="3A6B59BE">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2024</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ascii="仿宋_GB2312" w:eastAsia="仿宋_GB2312"/>
          <w:spacing w:val="-2"/>
          <w:sz w:val="32"/>
          <w:szCs w:val="32"/>
        </w:rPr>
        <w:t>1,322.88</w:t>
      </w:r>
      <w:r>
        <w:rPr>
          <w:rFonts w:hint="eastAsia" w:ascii="仿宋_GB2312" w:eastAsia="仿宋_GB2312"/>
          <w:spacing w:val="-2"/>
          <w:sz w:val="32"/>
          <w:szCs w:val="32"/>
        </w:rPr>
        <w:t>万元，占本年总支出的100</w:t>
      </w:r>
      <w:r>
        <w:rPr>
          <w:rFonts w:ascii="仿宋_GB2312" w:eastAsia="仿宋_GB2312"/>
          <w:spacing w:val="-2"/>
          <w:sz w:val="32"/>
          <w:szCs w:val="32"/>
        </w:rPr>
        <w:t>%</w:t>
      </w:r>
      <w:r>
        <w:rPr>
          <w:rFonts w:hint="eastAsia" w:ascii="仿宋_GB2312" w:eastAsia="仿宋_GB2312"/>
          <w:spacing w:val="-2"/>
          <w:sz w:val="32"/>
          <w:szCs w:val="32"/>
        </w:rPr>
        <w:t>。与</w:t>
      </w:r>
      <w:r>
        <w:rPr>
          <w:rFonts w:ascii="仿宋_GB2312" w:eastAsia="仿宋_GB2312"/>
          <w:spacing w:val="-2"/>
          <w:sz w:val="32"/>
          <w:szCs w:val="32"/>
        </w:rPr>
        <w:t>2023</w:t>
      </w:r>
      <w:r>
        <w:rPr>
          <w:rFonts w:hint="eastAsia" w:ascii="仿宋_GB2312" w:eastAsia="仿宋_GB2312"/>
          <w:spacing w:val="-2"/>
          <w:sz w:val="32"/>
          <w:szCs w:val="32"/>
        </w:rPr>
        <w:t>年相比，一般公共预算财政拨款支出增加50.54万元，增加3.97%。主要原因是调资。</w:t>
      </w:r>
    </w:p>
    <w:p w14:paraId="11D4A25C">
      <w:pPr>
        <w:snapToGrid w:val="0"/>
        <w:spacing w:line="520" w:lineRule="exact"/>
        <w:ind w:firstLine="632" w:firstLineChars="200"/>
        <w:rPr>
          <w:rFonts w:ascii="仿宋_GB2312" w:eastAsia="仿宋_GB2312"/>
          <w:spacing w:val="-2"/>
          <w:sz w:val="32"/>
          <w:szCs w:val="32"/>
        </w:rPr>
      </w:pPr>
    </w:p>
    <w:p w14:paraId="693B11D7">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4445" t="4445" r="17145" b="571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6" w:name="_Toc15377211"/>
      <w:r>
        <w:rPr>
          <w:rFonts w:hint="eastAsia" w:ascii="仿宋" w:eastAsia="仿宋"/>
          <w:b/>
          <w:color w:val="000000"/>
          <w:sz w:val="32"/>
          <w:szCs w:val="32"/>
        </w:rPr>
        <w:t>（二）一般公共预算财政拨款支出决算结构情况</w:t>
      </w:r>
      <w:bookmarkEnd w:id="36"/>
    </w:p>
    <w:p w14:paraId="21C38430">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年一般公共预算财政拨款支出1322.88万元，主要用于以下方面</w:t>
      </w:r>
      <w:r>
        <w:rPr>
          <w:rFonts w:ascii="仿宋" w:eastAsia="仿宋"/>
          <w:color w:val="000000"/>
          <w:sz w:val="32"/>
          <w:szCs w:val="32"/>
        </w:rPr>
        <w:t>:</w:t>
      </w:r>
      <w:r>
        <w:rPr>
          <w:rFonts w:hint="eastAsia" w:ascii="仿宋" w:eastAsia="仿宋"/>
          <w:color w:val="000000"/>
          <w:sz w:val="32"/>
          <w:szCs w:val="32"/>
        </w:rPr>
        <w:t>人员经费支出</w:t>
      </w:r>
      <w:r>
        <w:rPr>
          <w:rFonts w:ascii="仿宋" w:eastAsia="仿宋"/>
          <w:color w:val="000000"/>
          <w:sz w:val="32"/>
          <w:szCs w:val="32"/>
        </w:rPr>
        <w:t>1,064.43</w:t>
      </w:r>
      <w:r>
        <w:rPr>
          <w:rFonts w:hint="eastAsia" w:ascii="仿宋" w:eastAsia="仿宋"/>
          <w:color w:val="000000"/>
          <w:sz w:val="32"/>
          <w:szCs w:val="32"/>
        </w:rPr>
        <w:t>万元，占96.21%；日常公用经费支出</w:t>
      </w:r>
      <w:r>
        <w:rPr>
          <w:rFonts w:ascii="仿宋" w:eastAsia="仿宋"/>
          <w:color w:val="000000"/>
          <w:sz w:val="32"/>
          <w:szCs w:val="32"/>
        </w:rPr>
        <w:t>258.45</w:t>
      </w:r>
      <w:r>
        <w:rPr>
          <w:rFonts w:hint="eastAsia" w:ascii="仿宋" w:eastAsia="仿宋"/>
          <w:color w:val="000000"/>
          <w:sz w:val="32"/>
          <w:szCs w:val="32"/>
        </w:rPr>
        <w:t>万元，占3.79</w:t>
      </w:r>
      <w:r>
        <w:rPr>
          <w:rFonts w:ascii="仿宋" w:eastAsia="仿宋"/>
          <w:color w:val="000000"/>
          <w:sz w:val="32"/>
          <w:szCs w:val="32"/>
        </w:rPr>
        <w:t>%</w:t>
      </w:r>
      <w:r>
        <w:rPr>
          <w:rFonts w:hint="eastAsia" w:ascii="仿宋" w:eastAsia="仿宋"/>
          <w:color w:val="000000"/>
          <w:sz w:val="32"/>
          <w:szCs w:val="32"/>
        </w:rPr>
        <w:t>。</w:t>
      </w:r>
    </w:p>
    <w:p w14:paraId="1BC6262D">
      <w:pPr>
        <w:spacing w:line="600" w:lineRule="exact"/>
        <w:ind w:firstLine="8320" w:firstLineChars="2600"/>
        <w:outlineLvl w:val="2"/>
        <w:rPr>
          <w:rFonts w:ascii="仿宋" w:eastAsia="仿宋"/>
          <w:b/>
          <w:color w:val="000000"/>
          <w:sz w:val="32"/>
          <w:szCs w:val="32"/>
        </w:rPr>
      </w:pPr>
      <w:bookmarkStart w:id="37" w:name="_Toc15378460"/>
      <w:bookmarkStart w:id="38" w:name="_Toc15377213"/>
      <w:bookmarkStart w:id="39" w:name="_Toc15377444"/>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520700</wp:posOffset>
            </wp:positionH>
            <wp:positionV relativeFrom="paragraph">
              <wp:posOffset>299720</wp:posOffset>
            </wp:positionV>
            <wp:extent cx="4572000" cy="2341245"/>
            <wp:effectExtent l="4445" t="4445" r="14605" b="1651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525A3D5">
      <w:pPr>
        <w:spacing w:line="600" w:lineRule="exact"/>
        <w:ind w:firstLine="8353" w:firstLineChars="2600"/>
        <w:outlineLvl w:val="2"/>
        <w:rPr>
          <w:rFonts w:ascii="仿宋" w:eastAsia="仿宋"/>
          <w:b/>
          <w:color w:val="000000"/>
          <w:sz w:val="32"/>
          <w:szCs w:val="32"/>
        </w:rPr>
      </w:pPr>
    </w:p>
    <w:bookmarkEnd w:id="37"/>
    <w:bookmarkEnd w:id="38"/>
    <w:bookmarkEnd w:id="39"/>
    <w:p w14:paraId="17FB8FAB">
      <w:pPr>
        <w:spacing w:line="600" w:lineRule="exact"/>
        <w:ind w:firstLine="640" w:firstLineChars="200"/>
        <w:outlineLvl w:val="1"/>
        <w:rPr>
          <w:rStyle w:val="36"/>
          <w:rFonts w:ascii="黑体" w:eastAsia="黑体"/>
          <w:b w:val="0"/>
        </w:rPr>
      </w:pPr>
      <w:bookmarkStart w:id="40" w:name="_Toc15377215"/>
      <w:bookmarkStart w:id="41" w:name="_Toc15396609"/>
      <w:r>
        <w:rPr>
          <w:rFonts w:hint="eastAsia" w:ascii="黑体" w:eastAsia="黑体"/>
          <w:color w:val="000000"/>
          <w:sz w:val="32"/>
          <w:szCs w:val="32"/>
        </w:rPr>
        <w:t>七、</w:t>
      </w:r>
      <w:r>
        <w:rPr>
          <w:rStyle w:val="36"/>
          <w:rFonts w:hint="eastAsia" w:ascii="黑体" w:eastAsia="黑体"/>
        </w:rPr>
        <w:t>“</w:t>
      </w:r>
      <w:r>
        <w:rPr>
          <w:rStyle w:val="36"/>
          <w:rFonts w:hint="eastAsia" w:ascii="黑体" w:eastAsia="黑体"/>
          <w:b w:val="0"/>
        </w:rPr>
        <w:t>三公”经费财政拨款支出决算情况说明</w:t>
      </w:r>
      <w:bookmarkEnd w:id="40"/>
      <w:bookmarkEnd w:id="41"/>
    </w:p>
    <w:p w14:paraId="0B2DBABD">
      <w:pPr>
        <w:spacing w:line="600" w:lineRule="exact"/>
        <w:ind w:firstLine="640"/>
        <w:outlineLvl w:val="2"/>
        <w:rPr>
          <w:rFonts w:ascii="仿宋" w:eastAsia="仿宋"/>
          <w:b/>
          <w:color w:val="000000"/>
          <w:sz w:val="32"/>
          <w:szCs w:val="32"/>
        </w:rPr>
      </w:pPr>
      <w:bookmarkStart w:id="42" w:name="_Toc15377216"/>
      <w:r>
        <w:rPr>
          <w:rFonts w:hint="eastAsia" w:ascii="仿宋" w:eastAsia="仿宋"/>
          <w:b/>
          <w:color w:val="000000"/>
          <w:sz w:val="32"/>
          <w:szCs w:val="32"/>
        </w:rPr>
        <w:t>（一）“三公”经费财政拨款支出决算总体情况说明</w:t>
      </w:r>
      <w:bookmarkEnd w:id="42"/>
    </w:p>
    <w:p w14:paraId="4410A105">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年“三公”经费财政拨款支出决算为17.13万元，完成预算100</w:t>
      </w:r>
      <w:r>
        <w:rPr>
          <w:rFonts w:ascii="仿宋" w:eastAsia="仿宋"/>
          <w:color w:val="000000"/>
          <w:sz w:val="32"/>
          <w:szCs w:val="32"/>
        </w:rPr>
        <w:t>%</w:t>
      </w:r>
      <w:r>
        <w:rPr>
          <w:rFonts w:hint="eastAsia" w:ascii="仿宋" w:eastAsia="仿宋"/>
          <w:color w:val="000000"/>
          <w:sz w:val="32"/>
          <w:szCs w:val="32"/>
        </w:rPr>
        <w:t>。</w:t>
      </w:r>
    </w:p>
    <w:p w14:paraId="78D32E3C">
      <w:pPr>
        <w:spacing w:line="600" w:lineRule="exact"/>
        <w:ind w:firstLine="640"/>
        <w:outlineLvl w:val="2"/>
        <w:rPr>
          <w:rFonts w:ascii="仿宋" w:eastAsia="仿宋"/>
          <w:b/>
          <w:color w:val="000000"/>
          <w:sz w:val="32"/>
          <w:szCs w:val="32"/>
        </w:rPr>
      </w:pPr>
      <w:bookmarkStart w:id="43" w:name="_Toc15377217"/>
      <w:r>
        <w:rPr>
          <w:rFonts w:hint="eastAsia" w:ascii="仿宋" w:eastAsia="仿宋"/>
          <w:b/>
          <w:color w:val="000000"/>
          <w:sz w:val="32"/>
          <w:szCs w:val="32"/>
        </w:rPr>
        <w:t>（二）“三公”经费财政拨款支出决算具体情况说明</w:t>
      </w:r>
      <w:bookmarkEnd w:id="43"/>
    </w:p>
    <w:p w14:paraId="2CDBCED1">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年“三公”经费财政拨款支出</w:t>
      </w:r>
      <w:r>
        <w:rPr>
          <w:rFonts w:hint="eastAsia" w:ascii="仿宋" w:eastAsia="仿宋"/>
          <w:sz w:val="32"/>
          <w:szCs w:val="32"/>
        </w:rPr>
        <w:t>决算16.84万元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；公务用车购置0万元，占0</w:t>
      </w:r>
      <w:r>
        <w:rPr>
          <w:rFonts w:ascii="仿宋" w:eastAsia="仿宋"/>
          <w:color w:val="000000"/>
          <w:sz w:val="32"/>
          <w:szCs w:val="32"/>
        </w:rPr>
        <w:t>%</w:t>
      </w:r>
      <w:r>
        <w:rPr>
          <w:rFonts w:hint="eastAsia" w:ascii="仿宋" w:eastAsia="仿宋"/>
          <w:color w:val="000000"/>
          <w:sz w:val="32"/>
          <w:szCs w:val="32"/>
        </w:rPr>
        <w:t>，公务用车运行维护费支出决算16.75万元，占99.95</w:t>
      </w:r>
      <w:r>
        <w:rPr>
          <w:rFonts w:ascii="仿宋" w:eastAsia="仿宋"/>
          <w:color w:val="000000"/>
          <w:sz w:val="32"/>
          <w:szCs w:val="32"/>
        </w:rPr>
        <w:t>%</w:t>
      </w:r>
      <w:r>
        <w:rPr>
          <w:rFonts w:hint="eastAsia" w:ascii="仿宋" w:eastAsia="仿宋"/>
          <w:color w:val="000000"/>
          <w:sz w:val="32"/>
          <w:szCs w:val="32"/>
        </w:rPr>
        <w:t>；公务接待费支出决算0.09万元，占0.05</w:t>
      </w:r>
      <w:r>
        <w:rPr>
          <w:rFonts w:ascii="仿宋" w:eastAsia="仿宋"/>
          <w:color w:val="000000"/>
          <w:sz w:val="32"/>
          <w:szCs w:val="32"/>
        </w:rPr>
        <w:t>%</w:t>
      </w:r>
      <w:r>
        <w:rPr>
          <w:rFonts w:hint="eastAsia" w:ascii="仿宋" w:eastAsia="仿宋"/>
          <w:color w:val="000000"/>
          <w:sz w:val="32"/>
          <w:szCs w:val="32"/>
        </w:rPr>
        <w:t>。具体情况如下：</w:t>
      </w:r>
    </w:p>
    <w:p w14:paraId="0DF88D31">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210820</wp:posOffset>
            </wp:positionH>
            <wp:positionV relativeFrom="paragraph">
              <wp:posOffset>-7853680</wp:posOffset>
            </wp:positionV>
            <wp:extent cx="5071110" cy="2591435"/>
            <wp:effectExtent l="4445" t="4445" r="10795" b="1397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51357B6">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w:t>
      </w:r>
      <w:r>
        <w:rPr>
          <w:rFonts w:hint="eastAsia" w:ascii="仿宋_GB2312" w:eastAsia="仿宋_GB2312"/>
          <w:sz w:val="32"/>
          <w:szCs w:val="32"/>
        </w:rPr>
        <w:t>全年安排因公出国（境）团组0次，出国（境）0人。</w:t>
      </w:r>
    </w:p>
    <w:p w14:paraId="03552BFD">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16.75万元,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2023</w:t>
      </w:r>
      <w:r>
        <w:rPr>
          <w:rFonts w:hint="eastAsia" w:ascii="仿宋_GB2312" w:eastAsia="仿宋_GB2312"/>
          <w:color w:val="000000"/>
          <w:sz w:val="32"/>
          <w:szCs w:val="32"/>
        </w:rPr>
        <w:t>年增加0.01万元，增加的原因为下乡次数增加</w:t>
      </w:r>
      <w:r>
        <w:rPr>
          <w:rFonts w:hint="eastAsia" w:ascii="仿宋_GB2312" w:eastAsia="仿宋_GB2312"/>
          <w:sz w:val="32"/>
          <w:szCs w:val="32"/>
        </w:rPr>
        <w:t>。</w:t>
      </w:r>
    </w:p>
    <w:p w14:paraId="569B971C">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0万元。全年按规定处置报废公务用车0辆。截至</w:t>
      </w:r>
      <w:r>
        <w:rPr>
          <w:rFonts w:ascii="仿宋_GB2312" w:eastAsia="仿宋_GB2312"/>
          <w:color w:val="000000"/>
          <w:sz w:val="32"/>
          <w:szCs w:val="32"/>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日，共有车辆5辆，其中：部级领导干部用车0辆、主要领导干部用车0辆、机要通信用车0辆、应急保障用车0辆、执法执勤用车5辆、特种专业技术用车0辆、离退休干部用车0辆、其他用车0辆；</w:t>
      </w:r>
    </w:p>
    <w:p w14:paraId="234DA4AD">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16.75万元。</w:t>
      </w:r>
      <w:r>
        <w:rPr>
          <w:rFonts w:hint="eastAsia" w:ascii="仿宋_GB2312" w:eastAsia="仿宋_GB2312"/>
          <w:color w:val="000000"/>
          <w:sz w:val="32"/>
          <w:szCs w:val="32"/>
        </w:rPr>
        <w:t>主要用我单位所需的公务用车燃料费、维修费、过路过桥费、保险费等支出。</w:t>
      </w:r>
    </w:p>
    <w:p w14:paraId="47A6AFBC">
      <w:pPr>
        <w:spacing w:line="600" w:lineRule="exact"/>
        <w:ind w:firstLine="643" w:firstLineChars="200"/>
        <w:rPr>
          <w:rFonts w:ascii="仿宋_GB2312" w:eastAsia="仿宋_GB2312" w:cs="仿宋"/>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0.09万元，</w:t>
      </w:r>
      <w:r>
        <w:rPr>
          <w:rStyle w:val="17"/>
          <w:rFonts w:hint="eastAsia" w:ascii="仿宋" w:eastAsia="仿宋"/>
          <w:b w:val="0"/>
          <w:bCs/>
          <w:color w:val="000000"/>
          <w:sz w:val="32"/>
          <w:szCs w:val="32"/>
        </w:rPr>
        <w:t>完成预算100.00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s="仿宋"/>
          <w:color w:val="000000"/>
          <w:sz w:val="32"/>
          <w:szCs w:val="32"/>
        </w:rPr>
        <w:t>公务接待费0.39万元，较上年增加0.1万元，增加0.05%.</w:t>
      </w:r>
    </w:p>
    <w:p w14:paraId="674A2545">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主要用于执行公务、开展业务活动开支的交通费、住宿费、用餐费等。国内公务接待3批次，30人次，共计支出0.09万元。</w:t>
      </w:r>
    </w:p>
    <w:p w14:paraId="75ECE62D">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4" w:name="_Toc15377218"/>
      <w:bookmarkStart w:id="45" w:name="_Toc15396610"/>
    </w:p>
    <w:p w14:paraId="1D18B6B3">
      <w:pPr>
        <w:spacing w:line="600" w:lineRule="exact"/>
        <w:ind w:firstLine="640"/>
        <w:outlineLvl w:val="1"/>
        <w:rPr>
          <w:rStyle w:val="36"/>
          <w:rFonts w:ascii="黑体" w:eastAsia="黑体"/>
        </w:rPr>
      </w:pPr>
      <w:r>
        <w:rPr>
          <w:rFonts w:hint="eastAsia" w:ascii="黑体" w:eastAsia="黑体"/>
          <w:color w:val="000000"/>
          <w:sz w:val="32"/>
          <w:szCs w:val="32"/>
        </w:rPr>
        <w:t>八、</w:t>
      </w:r>
      <w:r>
        <w:rPr>
          <w:rStyle w:val="36"/>
          <w:rFonts w:hint="eastAsia" w:ascii="黑体" w:eastAsia="黑体"/>
          <w:b w:val="0"/>
        </w:rPr>
        <w:t>政府性基金预算支出决算情况说明</w:t>
      </w:r>
      <w:bookmarkEnd w:id="44"/>
      <w:bookmarkEnd w:id="45"/>
    </w:p>
    <w:p w14:paraId="621DB269">
      <w:pPr>
        <w:spacing w:line="600" w:lineRule="exact"/>
        <w:ind w:firstLine="640"/>
        <w:rPr>
          <w:rFonts w:ascii="仿宋_GB2312" w:eastAsia="仿宋_GB2312"/>
          <w:color w:val="000000"/>
          <w:sz w:val="32"/>
          <w:szCs w:val="32"/>
        </w:rPr>
      </w:pPr>
      <w:r>
        <w:rPr>
          <w:rFonts w:ascii="仿宋_GB2312" w:eastAsia="仿宋_GB2312"/>
          <w:color w:val="000000"/>
          <w:sz w:val="32"/>
          <w:szCs w:val="32"/>
        </w:rPr>
        <w:t>2024</w:t>
      </w:r>
      <w:r>
        <w:rPr>
          <w:rFonts w:hint="eastAsia" w:ascii="仿宋_GB2312" w:eastAsia="仿宋_GB2312"/>
          <w:color w:val="000000"/>
          <w:sz w:val="32"/>
          <w:szCs w:val="32"/>
        </w:rPr>
        <w:t>年政府性基金预算拨款支出0万元。</w:t>
      </w:r>
    </w:p>
    <w:p w14:paraId="2D9161C5">
      <w:pPr>
        <w:numPr>
          <w:ilvl w:val="0"/>
          <w:numId w:val="2"/>
        </w:numPr>
        <w:spacing w:line="600" w:lineRule="exact"/>
        <w:ind w:left="0" w:firstLine="640"/>
        <w:outlineLvl w:val="1"/>
        <w:rPr>
          <w:rStyle w:val="36"/>
          <w:rFonts w:ascii="黑体" w:eastAsia="黑体"/>
          <w:b w:val="0"/>
        </w:rPr>
      </w:pPr>
      <w:bookmarkStart w:id="46" w:name="_Toc15396611"/>
      <w:bookmarkStart w:id="47" w:name="_Toc15377219"/>
      <w:r>
        <w:rPr>
          <w:rStyle w:val="36"/>
          <w:rFonts w:hint="eastAsia" w:ascii="黑体" w:eastAsia="黑体"/>
          <w:b w:val="0"/>
        </w:rPr>
        <w:t>国有资本经营预算支出决算情况说明</w:t>
      </w:r>
      <w:bookmarkEnd w:id="46"/>
      <w:bookmarkEnd w:id="47"/>
    </w:p>
    <w:p w14:paraId="06927516">
      <w:pPr>
        <w:spacing w:line="600" w:lineRule="exact"/>
        <w:ind w:firstLine="640"/>
        <w:rPr>
          <w:rFonts w:ascii="仿宋_GB2312" w:eastAsia="仿宋_GB2312"/>
          <w:color w:val="000000"/>
          <w:sz w:val="32"/>
          <w:szCs w:val="32"/>
        </w:rPr>
      </w:pPr>
      <w:r>
        <w:rPr>
          <w:rFonts w:ascii="仿宋_GB2312" w:eastAsia="仿宋_GB2312"/>
          <w:color w:val="000000"/>
          <w:sz w:val="32"/>
          <w:szCs w:val="32"/>
        </w:rPr>
        <w:t>2024</w:t>
      </w:r>
      <w:r>
        <w:rPr>
          <w:rFonts w:hint="eastAsia" w:ascii="仿宋_GB2312" w:eastAsia="仿宋_GB2312"/>
          <w:color w:val="000000"/>
          <w:sz w:val="32"/>
          <w:szCs w:val="32"/>
        </w:rPr>
        <w:t>年国有资本经营预算拨款支出0万元。</w:t>
      </w:r>
    </w:p>
    <w:p w14:paraId="5F02F67A">
      <w:pPr>
        <w:pStyle w:val="27"/>
        <w:numPr>
          <w:ilvl w:val="0"/>
          <w:numId w:val="3"/>
        </w:numPr>
        <w:spacing w:line="580" w:lineRule="exact"/>
        <w:ind w:firstLineChars="0"/>
        <w:rPr>
          <w:rStyle w:val="36"/>
          <w:rFonts w:ascii="黑体" w:eastAsia="黑体"/>
          <w:b w:val="0"/>
        </w:rPr>
      </w:pPr>
      <w:r>
        <w:rPr>
          <w:rStyle w:val="36"/>
          <w:rFonts w:hint="eastAsia" w:ascii="黑体" w:eastAsia="黑体"/>
          <w:b w:val="0"/>
        </w:rPr>
        <w:t>预算绩效情况说明</w:t>
      </w:r>
    </w:p>
    <w:p w14:paraId="52C8CDE8">
      <w:pPr>
        <w:spacing w:line="600" w:lineRule="exact"/>
        <w:ind w:firstLine="643" w:firstLineChars="200"/>
        <w:outlineLvl w:val="2"/>
        <w:rPr>
          <w:rFonts w:ascii="仿宋" w:eastAsia="仿宋"/>
          <w:color w:val="000000"/>
          <w:sz w:val="32"/>
          <w:szCs w:val="32"/>
        </w:rPr>
      </w:pPr>
      <w:bookmarkStart w:id="48" w:name="_Toc15377222"/>
      <w:r>
        <w:rPr>
          <w:rFonts w:hint="eastAsia" w:ascii="仿宋" w:eastAsia="仿宋"/>
          <w:b/>
          <w:color w:val="000000"/>
          <w:sz w:val="32"/>
          <w:szCs w:val="32"/>
        </w:rPr>
        <w:t>（一）机关运行经费支出情况</w:t>
      </w:r>
      <w:bookmarkEnd w:id="48"/>
    </w:p>
    <w:p w14:paraId="32CF9E00">
      <w:pPr>
        <w:spacing w:line="600" w:lineRule="exact"/>
        <w:ind w:firstLine="640" w:firstLineChars="200"/>
        <w:rPr>
          <w:rFonts w:ascii="仿宋_GB2312" w:eastAsia="仿宋_GB2312"/>
          <w:sz w:val="32"/>
          <w:szCs w:val="32"/>
        </w:rPr>
      </w:pPr>
      <w:r>
        <w:rPr>
          <w:rFonts w:ascii="仿宋_GB2312" w:eastAsia="仿宋_GB2312"/>
          <w:color w:val="000000"/>
          <w:sz w:val="32"/>
          <w:szCs w:val="32"/>
        </w:rPr>
        <w:t>2024</w:t>
      </w:r>
      <w:r>
        <w:rPr>
          <w:rFonts w:hint="eastAsia" w:ascii="仿宋_GB2312" w:eastAsia="仿宋_GB2312"/>
          <w:color w:val="000000"/>
          <w:sz w:val="32"/>
          <w:szCs w:val="32"/>
        </w:rPr>
        <w:t>年，金川县司法局运行经费支出41.05万元，比</w:t>
      </w:r>
      <w:r>
        <w:rPr>
          <w:rFonts w:ascii="仿宋_GB2312" w:eastAsia="仿宋_GB2312"/>
          <w:color w:val="000000"/>
          <w:sz w:val="32"/>
          <w:szCs w:val="32"/>
        </w:rPr>
        <w:t>2023</w:t>
      </w:r>
      <w:r>
        <w:rPr>
          <w:rFonts w:hint="eastAsia" w:ascii="仿宋_GB2312" w:eastAsia="仿宋_GB2312"/>
          <w:color w:val="000000"/>
          <w:sz w:val="32"/>
          <w:szCs w:val="32"/>
        </w:rPr>
        <w:t>年减少0.42万元，减少1%。原因是厉行节约</w:t>
      </w:r>
      <w:r>
        <w:rPr>
          <w:rFonts w:hint="eastAsia" w:ascii="仿宋_GB2312" w:eastAsia="仿宋_GB2312"/>
          <w:spacing w:val="-2"/>
          <w:sz w:val="32"/>
          <w:szCs w:val="32"/>
        </w:rPr>
        <w:t>。</w:t>
      </w:r>
    </w:p>
    <w:p w14:paraId="1143F5C5">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9" w:name="_Toc15377223"/>
      <w:r>
        <w:rPr>
          <w:rFonts w:hint="eastAsia" w:ascii="仿宋" w:eastAsia="仿宋"/>
          <w:b/>
          <w:color w:val="000000"/>
          <w:sz w:val="32"/>
          <w:szCs w:val="32"/>
        </w:rPr>
        <w:t>（二）政府采购支出情况</w:t>
      </w:r>
      <w:bookmarkEnd w:id="49"/>
    </w:p>
    <w:p w14:paraId="280089CB">
      <w:pPr>
        <w:spacing w:line="600" w:lineRule="exact"/>
        <w:ind w:firstLine="640" w:firstLineChars="200"/>
        <w:rPr>
          <w:rFonts w:ascii="仿宋" w:eastAsia="仿宋"/>
          <w:b/>
          <w:sz w:val="32"/>
          <w:szCs w:val="32"/>
        </w:rPr>
      </w:pPr>
      <w:r>
        <w:rPr>
          <w:rFonts w:ascii="仿宋_GB2312" w:eastAsia="仿宋_GB2312"/>
          <w:color w:val="000000"/>
          <w:sz w:val="32"/>
          <w:szCs w:val="32"/>
        </w:rPr>
        <w:t>2024</w:t>
      </w:r>
      <w:r>
        <w:rPr>
          <w:rFonts w:hint="eastAsia" w:ascii="仿宋_GB2312" w:eastAsia="仿宋_GB2312"/>
          <w:color w:val="000000"/>
          <w:sz w:val="32"/>
          <w:szCs w:val="32"/>
        </w:rPr>
        <w:t>年，政府采购支出总额0万元，其中：政府采购货物支出0万元、政府采购服务支出0万元。</w:t>
      </w:r>
    </w:p>
    <w:p w14:paraId="44C6C5F4">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0" w:name="_Toc15377224"/>
      <w:r>
        <w:rPr>
          <w:rFonts w:hint="eastAsia" w:ascii="仿宋" w:eastAsia="仿宋"/>
          <w:b/>
          <w:color w:val="000000"/>
          <w:sz w:val="32"/>
          <w:szCs w:val="32"/>
        </w:rPr>
        <w:t>（三）国有资产占有使用情况</w:t>
      </w:r>
      <w:bookmarkEnd w:id="50"/>
    </w:p>
    <w:p w14:paraId="074A3E60">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日，共有车辆5辆，为日常工作及执法执勤用车。</w:t>
      </w:r>
    </w:p>
    <w:p w14:paraId="3C402951">
      <w:pPr>
        <w:numPr>
          <w:ilvl w:val="0"/>
          <w:numId w:val="4"/>
        </w:numPr>
        <w:spacing w:line="600" w:lineRule="exact"/>
        <w:ind w:left="0" w:firstLine="663" w:firstLineChars="150"/>
        <w:jc w:val="center"/>
        <w:outlineLvl w:val="0"/>
        <w:rPr>
          <w:rStyle w:val="35"/>
          <w:rFonts w:ascii="黑体" w:eastAsia="黑体"/>
          <w:b w:val="0"/>
        </w:rPr>
      </w:pPr>
      <w:bookmarkStart w:id="51" w:name="_Toc15396613"/>
      <w:bookmarkStart w:id="52" w:name="_Toc15377225"/>
      <w:r>
        <w:rPr>
          <w:rFonts w:hint="eastAsia" w:ascii="黑体" w:eastAsia="黑体"/>
          <w:b/>
          <w:color w:val="000000"/>
          <w:sz w:val="44"/>
          <w:szCs w:val="44"/>
        </w:rPr>
        <w:t>名</w:t>
      </w:r>
      <w:r>
        <w:rPr>
          <w:rStyle w:val="35"/>
          <w:rFonts w:hint="eastAsia" w:ascii="黑体" w:eastAsia="黑体"/>
          <w:b w:val="0"/>
        </w:rPr>
        <w:t>词解释</w:t>
      </w:r>
      <w:bookmarkEnd w:id="51"/>
      <w:bookmarkEnd w:id="52"/>
    </w:p>
    <w:p w14:paraId="34D08553">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0C7C090">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59E1A3C">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04D2A18">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14:paraId="30B21434">
      <w:pPr>
        <w:pStyle w:val="2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14:paraId="3D4A6938">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301F453B">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6E67638B">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549B8647">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55006E46">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38C9D3A8">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5C5A42B8">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71C26D2F">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62038CC8">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1D8DCE11">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5D58C247">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0B70CD7">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347F8118">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1319357">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8519B40">
      <w:pPr>
        <w:spacing w:line="600" w:lineRule="exact"/>
        <w:jc w:val="center"/>
        <w:rPr>
          <w:rStyle w:val="35"/>
          <w:rFonts w:eastAsia="黑体"/>
          <w:b w:val="0"/>
        </w:rPr>
      </w:pPr>
      <w:r>
        <w:rPr>
          <w:rFonts w:hint="eastAsia" w:eastAsia="黑体"/>
          <w:sz w:val="44"/>
          <w:szCs w:val="44"/>
        </w:rPr>
        <w:t>第四部分 附件</w:t>
      </w:r>
    </w:p>
    <w:p w14:paraId="41226E7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p>
    <w:p w14:paraId="7AFC006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343FF091">
      <w:pPr>
        <w:widowControl/>
        <w:spacing w:line="578" w:lineRule="exact"/>
        <w:contextualSpacing/>
        <w:jc w:val="center"/>
        <w:rPr>
          <w:rFonts w:hint="default" w:eastAsia="方正小标宋简体"/>
          <w:bCs/>
          <w:sz w:val="44"/>
          <w:szCs w:val="44"/>
          <w:shd w:val="clear" w:color="auto" w:fill="FFFFFF"/>
          <w:lang w:val="en-US" w:eastAsia="zh-CN"/>
        </w:rPr>
      </w:pPr>
      <w:r>
        <w:rPr>
          <w:rFonts w:hint="eastAsia" w:eastAsia="方正小标宋简体"/>
          <w:bCs/>
          <w:sz w:val="44"/>
          <w:szCs w:val="44"/>
          <w:shd w:val="clear" w:color="auto" w:fill="FFFFFF"/>
        </w:rPr>
        <w:t>金川县</w:t>
      </w:r>
      <w:r>
        <w:rPr>
          <w:rFonts w:hint="eastAsia" w:eastAsia="方正小标宋简体"/>
          <w:bCs/>
          <w:sz w:val="44"/>
          <w:szCs w:val="44"/>
          <w:shd w:val="clear" w:color="auto" w:fill="FFFFFF"/>
          <w:lang w:val="en-US" w:eastAsia="zh-CN"/>
        </w:rPr>
        <w:t>司法局</w:t>
      </w:r>
    </w:p>
    <w:p w14:paraId="519F7F4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cs="Times New Roman"/>
          <w:szCs w:val="32"/>
          <w:highlight w:val="none"/>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26EFB31D">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2389DE0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一、部门（单位）基本情况</w:t>
      </w:r>
    </w:p>
    <w:p w14:paraId="340C44F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（一）机构组成。</w:t>
      </w:r>
    </w:p>
    <w:p w14:paraId="7F303F7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金川县司法局为政府工作部门，独立编制机构数1个，独立核算机构数1个。下设2个二级预算单位：金川县司法局和金川县法律援助中心。</w:t>
      </w:r>
    </w:p>
    <w:p w14:paraId="4C2C261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（二）机构职能。</w:t>
      </w:r>
    </w:p>
    <w:p w14:paraId="3F08806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1.承担全面依法治县重大问题的政策研究，协调有关方面提出全面依法治县规划建议，负责有关行政决策部署督察工作。</w:t>
      </w:r>
    </w:p>
    <w:p w14:paraId="55815AB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14:paraId="21A97B6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14:paraId="78D47A1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14:paraId="6B242EC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5.指导管理社区矫正工作。指导刑满释放人员安置帮教安置工作能力。</w:t>
      </w:r>
    </w:p>
    <w:p w14:paraId="6CA01C2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6.负责拟订全县公共法律服务体系建设规划并指导实施，统筹和布局全县法律服务资源。指导监督律师、法律援助、司法鉴定、公正、仲裁和基层法律服务管理工作。</w:t>
      </w:r>
    </w:p>
    <w:p w14:paraId="3325D04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7.负责本系统服装和警车管理工作。指导监督本系统财务、装备、设施、场所等保障工作。</w:t>
      </w:r>
    </w:p>
    <w:p w14:paraId="517A127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eastAsia="zh-CN"/>
        </w:rPr>
        <w:t>协调、指导法治人才队伍建设相关工作，指导监督本系统队伍建设。负责本系统警务管理和警务督察工作。</w:t>
      </w:r>
    </w:p>
    <w:p w14:paraId="0F63A01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9.负责并指导本系统行政审批工作。负责全县外来企业投诉处理和民营企业法律服务工作。</w:t>
      </w:r>
    </w:p>
    <w:p w14:paraId="6DB7779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10.承担司法所建设和管理工作。负责县司法派出机构司法所基础设施建设及队伍建设，管理指导司法所开展各项职能工作。</w:t>
      </w:r>
    </w:p>
    <w:p w14:paraId="6CAB7CF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11.完成县委、县政府交办的其他任务。</w:t>
      </w:r>
    </w:p>
    <w:p w14:paraId="764339B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（三）人员概况。</w:t>
      </w:r>
    </w:p>
    <w:p w14:paraId="1E3975B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截至202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eastAsia="zh-CN"/>
        </w:rPr>
        <w:t>年末，</w:t>
      </w:r>
      <w:r>
        <w:rPr>
          <w:rFonts w:hint="default" w:ascii="仿宋_GB2312" w:hAnsi="仿宋_GB2312" w:eastAsia="仿宋_GB2312" w:cs="仿宋_GB2312"/>
          <w:sz w:val="32"/>
          <w:szCs w:val="32"/>
          <w:lang w:val="en-US" w:eastAsia="zh-CN"/>
        </w:rPr>
        <w:t>单位编制数44个，其中：公务员编制43个；行政工勤编制2个；事业0个；截止2024年末，单位实有人数44人，其中：在职41人（公务员38人；行政工勤3人；事业人员0人），退休16人（退休人员工资转由社保部门发放）。</w:t>
      </w:r>
    </w:p>
    <w:p w14:paraId="52AA5F4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二、部门资金收支情况</w:t>
      </w:r>
    </w:p>
    <w:p w14:paraId="5CD349B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（一）收入情况。</w:t>
      </w:r>
    </w:p>
    <w:p w14:paraId="7E79011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金川县司法局部门2024年年初预算收入批复数为1,154.82万元，其中：一般公共预算拨款收入1,154.82万元，占100.00%，上年结转收入0万元，占0%。</w:t>
      </w:r>
    </w:p>
    <w:p w14:paraId="46AD8BB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决算报表收入总计1,487.86万元，其中：一般公共预算财政拨款收入为1,487.86万元，占100.00%；政府性基金预算财政拨款收入为0万元，占0%；国有资本经营预算财政拨款收入为0万元，占0%；事业收入为0万元，占0%；其他收入为0万元，占0%。</w:t>
      </w:r>
    </w:p>
    <w:p w14:paraId="56B7729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支出情况。</w:t>
      </w:r>
    </w:p>
    <w:p w14:paraId="19C1B2E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2024年年初预算支出为1,154.82万元，其中：其中：基本支出1,152.82万元，占99.83%；项目支出2.00万元，占0.17%。</w:t>
      </w:r>
    </w:p>
    <w:p w14:paraId="3DC7A7B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决算报表本年支出合计1,487.86万元，其中公共安全支出1,172.85万元，社会保障和就业支出150.71万元，卫生健康支出68.62万元,住房保障支出95.67万元。其中：基本支出1,219.40万元，占81.96%；项目支出268.45万元，占18.04%。</w:t>
      </w:r>
    </w:p>
    <w:p w14:paraId="16EE354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结余分配和结转结余情况。</w:t>
      </w:r>
    </w:p>
    <w:p w14:paraId="6966A86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2024年年末结转和结余资金0万元，整体预算结余率0%。</w:t>
      </w:r>
    </w:p>
    <w:p w14:paraId="11BEEA2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三、部门预算绩效分析</w:t>
      </w:r>
    </w:p>
    <w:p w14:paraId="6E90B1B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（一）部门预算总体绩效分析。</w:t>
      </w:r>
    </w:p>
    <w:p w14:paraId="61745EA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zh-CN" w:eastAsia="zh-CN"/>
        </w:rPr>
        <w:t>履职效能</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总分15分，得15分</w:t>
      </w:r>
      <w:r>
        <w:rPr>
          <w:rFonts w:hint="eastAsia" w:ascii="仿宋_GB2312" w:hAnsi="仿宋_GB2312" w:eastAsia="仿宋_GB2312" w:cs="仿宋_GB2312"/>
          <w:sz w:val="32"/>
          <w:szCs w:val="32"/>
          <w:lang w:val="zh-CN" w:eastAsia="zh-CN"/>
        </w:rPr>
        <w:t>）</w:t>
      </w:r>
    </w:p>
    <w:p w14:paraId="5AD5484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普法宣传，提高群众法律意识(5分，得5分）。承担县政府常务会议会前学法工作。统筹指导各乡镇、各部门、各行业依法治理和法治创建工作，在全县开展普法宣传工作30余次，普法宣传资料10万份、普法宣传用品0.5万件。普法宣传覆盖率100%，通过开展法律知识普及宣传，提高群众法律意识，有利化解矛盾纠纷，创造安全稳定的社会环境，提升民众法律意识，达到让群众满意的效果。</w:t>
      </w:r>
    </w:p>
    <w:p w14:paraId="09C216C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公共法律服务</w:t>
      </w:r>
      <w:r>
        <w:rPr>
          <w:rFonts w:hint="eastAsia" w:ascii="仿宋_GB2312" w:hAnsi="仿宋_GB2312" w:eastAsia="仿宋_GB2312" w:cs="仿宋_GB2312"/>
          <w:sz w:val="32"/>
          <w:szCs w:val="32"/>
          <w:lang w:val="en-US" w:eastAsia="zh-CN"/>
        </w:rPr>
        <w:t>(5分，得5分）</w:t>
      </w:r>
      <w:r>
        <w:rPr>
          <w:rFonts w:hint="default" w:ascii="仿宋_GB2312" w:hAnsi="仿宋_GB2312" w:eastAsia="仿宋_GB2312" w:cs="仿宋_GB2312"/>
          <w:sz w:val="32"/>
          <w:szCs w:val="32"/>
          <w:lang w:val="zh-CN" w:eastAsia="zh-CN"/>
        </w:rPr>
        <w:t>。法律援助案件办理</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法律援助咨询、代书，依法公正、司法鉴定案件</w:t>
      </w:r>
      <w:r>
        <w:rPr>
          <w:rFonts w:hint="eastAsia" w:ascii="仿宋_GB2312" w:hAnsi="仿宋_GB2312" w:eastAsia="仿宋_GB2312" w:cs="仿宋_GB2312"/>
          <w:sz w:val="32"/>
          <w:szCs w:val="32"/>
          <w:lang w:val="en-US" w:eastAsia="zh-CN"/>
        </w:rPr>
        <w:t>450余件</w:t>
      </w:r>
      <w:r>
        <w:rPr>
          <w:rFonts w:hint="default" w:ascii="仿宋_GB2312" w:hAnsi="仿宋_GB2312" w:eastAsia="仿宋_GB2312" w:cs="仿宋_GB2312"/>
          <w:sz w:val="32"/>
          <w:szCs w:val="32"/>
          <w:lang w:val="zh-CN" w:eastAsia="zh-CN"/>
        </w:rPr>
        <w:t>，为所有符合条件的困难群众和农民工提供及时、高效的法律援助，保障弱势群体平等的享有司法保护权。做到“能援尽援”、“尽援优援”，满足弱势群体的法律援助需求，法律援助知晓率达</w:t>
      </w:r>
      <w:r>
        <w:rPr>
          <w:rFonts w:hint="eastAsia" w:ascii="仿宋_GB2312" w:hAnsi="仿宋_GB2312" w:eastAsia="仿宋_GB2312" w:cs="仿宋_GB2312"/>
          <w:sz w:val="32"/>
          <w:szCs w:val="32"/>
          <w:lang w:val="en-US" w:eastAsia="zh-CN"/>
        </w:rPr>
        <w:t>90</w:t>
      </w:r>
      <w:r>
        <w:rPr>
          <w:rFonts w:hint="default"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通过规范法律援助案件的办理程序、公正、司法鉴定程序，提高办结率。</w:t>
      </w:r>
    </w:p>
    <w:p w14:paraId="6024260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社区矫正与安置帮教</w:t>
      </w:r>
      <w:r>
        <w:rPr>
          <w:rFonts w:hint="eastAsia" w:ascii="仿宋_GB2312" w:hAnsi="仿宋_GB2312" w:eastAsia="仿宋_GB2312" w:cs="仿宋_GB2312"/>
          <w:sz w:val="32"/>
          <w:szCs w:val="32"/>
          <w:lang w:val="en-US" w:eastAsia="zh-CN"/>
        </w:rPr>
        <w:t>(5分，得5分）</w:t>
      </w:r>
      <w:r>
        <w:rPr>
          <w:rFonts w:hint="default" w:ascii="仿宋_GB2312" w:hAnsi="仿宋_GB2312" w:eastAsia="仿宋_GB2312" w:cs="仿宋_GB2312"/>
          <w:sz w:val="32"/>
          <w:szCs w:val="32"/>
          <w:lang w:val="zh-CN" w:eastAsia="zh-CN"/>
        </w:rPr>
        <w:t>。通过开展社区矫正、安置帮教工作，管理矫正对象44人，提升帮扶对象学习能力，矫正对象回归率</w:t>
      </w:r>
      <w:r>
        <w:rPr>
          <w:rFonts w:hint="eastAsia" w:ascii="仿宋_GB2312" w:hAnsi="仿宋_GB2312" w:eastAsia="仿宋_GB2312" w:cs="仿宋_GB2312"/>
          <w:sz w:val="32"/>
          <w:szCs w:val="32"/>
          <w:lang w:val="en-US" w:eastAsia="zh-CN"/>
        </w:rPr>
        <w:t>达到</w:t>
      </w:r>
      <w:r>
        <w:rPr>
          <w:rFonts w:hint="default" w:ascii="仿宋_GB2312" w:hAnsi="仿宋_GB2312" w:eastAsia="仿宋_GB2312" w:cs="仿宋_GB2312"/>
          <w:sz w:val="32"/>
          <w:szCs w:val="32"/>
          <w:lang w:val="zh-CN" w:eastAsia="zh-CN"/>
        </w:rPr>
        <w:t>100%。刑满释放人员就业帮扶措施落地，衔接管理率达标</w:t>
      </w:r>
      <w:r>
        <w:rPr>
          <w:rFonts w:hint="eastAsia" w:ascii="仿宋_GB2312" w:hAnsi="仿宋_GB2312" w:eastAsia="仿宋_GB2312" w:cs="仿宋_GB2312"/>
          <w:sz w:val="32"/>
          <w:szCs w:val="32"/>
          <w:lang w:val="zh-CN" w:eastAsia="zh-CN"/>
        </w:rPr>
        <w:t>，充分发挥社区矫正在教育改造罪犯、维护社会和谐稳定、推进平安金川建设</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lang w:val="zh-CN" w:eastAsia="zh-CN"/>
        </w:rPr>
        <w:t>的</w:t>
      </w:r>
      <w:r>
        <w:rPr>
          <w:rFonts w:hint="eastAsia" w:ascii="仿宋_GB2312" w:hAnsi="仿宋_GB2312" w:eastAsia="仿宋_GB2312" w:cs="仿宋_GB2312"/>
          <w:sz w:val="32"/>
          <w:szCs w:val="32"/>
          <w:lang w:val="en-US" w:eastAsia="zh-CN"/>
        </w:rPr>
        <w:t>积极作用</w:t>
      </w:r>
      <w:r>
        <w:rPr>
          <w:rFonts w:hint="eastAsia" w:ascii="仿宋_GB2312" w:hAnsi="仿宋_GB2312" w:eastAsia="仿宋_GB2312" w:cs="仿宋_GB2312"/>
          <w:sz w:val="32"/>
          <w:szCs w:val="32"/>
          <w:lang w:val="zh-CN" w:eastAsia="zh-CN"/>
        </w:rPr>
        <w:t>。</w:t>
      </w:r>
    </w:p>
    <w:p w14:paraId="7B2DB64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预算管理</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总分25分，得20.27</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val="zh-CN" w:eastAsia="zh-CN"/>
        </w:rPr>
        <w:t>）</w:t>
      </w:r>
    </w:p>
    <w:p w14:paraId="465344E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zh-CN" w:eastAsia="zh-CN"/>
        </w:rPr>
        <w:t>预算编制质量</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8分，得6</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val="zh-CN" w:eastAsia="zh-CN"/>
        </w:rPr>
        <w:t>）</w:t>
      </w:r>
    </w:p>
    <w:p w14:paraId="0514326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预算编制严格按照《中华人民共和国预算法实施条例》相关规定，按照财政批复的部门预算和绩效目标的项目和用途使用资金，不擅自调剂使用。在预算金额内严格控制费用的支出，控制超支现象的发生。</w:t>
      </w:r>
    </w:p>
    <w:p w14:paraId="4ACEE57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w:t>
      </w:r>
      <w:r>
        <w:rPr>
          <w:rFonts w:hint="default" w:ascii="仿宋_GB2312" w:hAnsi="仿宋_GB2312" w:eastAsia="仿宋_GB2312" w:cs="仿宋_GB2312"/>
          <w:sz w:val="32"/>
          <w:szCs w:val="32"/>
          <w:lang w:val="en-US" w:eastAsia="zh-CN"/>
        </w:rPr>
        <w:t>财政拨款预算偏离度</w:t>
      </w:r>
      <w:r>
        <w:rPr>
          <w:rFonts w:hint="eastAsia" w:ascii="仿宋_GB2312" w:hAnsi="仿宋_GB2312" w:eastAsia="仿宋_GB2312" w:cs="仿宋_GB2312"/>
          <w:sz w:val="32"/>
          <w:szCs w:val="32"/>
          <w:lang w:val="en-US" w:eastAsia="zh-CN"/>
        </w:rPr>
        <w:t>：0.28。</w:t>
      </w:r>
    </w:p>
    <w:p w14:paraId="1305EB8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w:t>
      </w:r>
      <w:r>
        <w:rPr>
          <w:rFonts w:hint="default" w:ascii="仿宋_GB2312" w:hAnsi="仿宋_GB2312" w:eastAsia="仿宋_GB2312" w:cs="仿宋_GB2312"/>
          <w:sz w:val="32"/>
          <w:szCs w:val="32"/>
          <w:lang w:val="en-US" w:eastAsia="zh-CN"/>
        </w:rPr>
        <w:t>资产配置预算偏离度：</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w:t>
      </w:r>
    </w:p>
    <w:p w14:paraId="224E2FA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w:t>
      </w:r>
      <w:r>
        <w:rPr>
          <w:rFonts w:hint="default" w:ascii="仿宋_GB2312" w:hAnsi="仿宋_GB2312" w:eastAsia="仿宋_GB2312" w:cs="仿宋_GB2312"/>
          <w:sz w:val="32"/>
          <w:szCs w:val="32"/>
          <w:lang w:val="en-US" w:eastAsia="zh-CN"/>
        </w:rPr>
        <w:t>政府采购预算偏离度：</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w:t>
      </w:r>
    </w:p>
    <w:p w14:paraId="5676BE5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zh-CN" w:eastAsia="zh-CN"/>
        </w:rPr>
        <w:t>预算编制质量</w:t>
      </w:r>
      <w:r>
        <w:rPr>
          <w:rFonts w:hint="eastAsia" w:ascii="仿宋_GB2312" w:hAnsi="仿宋_GB2312" w:eastAsia="仿宋_GB2312" w:cs="仿宋_GB2312"/>
          <w:sz w:val="32"/>
          <w:szCs w:val="32"/>
          <w:lang w:val="en-US" w:eastAsia="zh-CN"/>
        </w:rPr>
        <w:t>得分：6</w:t>
      </w:r>
      <w:r>
        <w:rPr>
          <w:rFonts w:hint="eastAsia" w:ascii="仿宋_GB2312" w:hAnsi="仿宋_GB2312" w:eastAsia="仿宋_GB2312" w:cs="仿宋_GB2312"/>
          <w:sz w:val="32"/>
          <w:szCs w:val="32"/>
          <w:lang w:val="en-US" w:eastAsia="zh-CN"/>
        </w:rPr>
        <w:t>分。</w:t>
      </w:r>
    </w:p>
    <w:p w14:paraId="35C76CE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单位收入统筹</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01A7246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金川县司法局已建立自有收入统筹机制，2024年度无自有收入。得4分。</w:t>
      </w:r>
    </w:p>
    <w:p w14:paraId="6119F74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支出执行进度</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6分，得3.77分</w:t>
      </w:r>
      <w:r>
        <w:rPr>
          <w:rFonts w:hint="eastAsia" w:ascii="仿宋_GB2312" w:hAnsi="仿宋_GB2312" w:eastAsia="仿宋_GB2312" w:cs="仿宋_GB2312"/>
          <w:sz w:val="32"/>
          <w:szCs w:val="32"/>
          <w:lang w:val="zh-CN" w:eastAsia="zh-CN"/>
        </w:rPr>
        <w:t>）</w:t>
      </w:r>
    </w:p>
    <w:p w14:paraId="4D8144B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本单位1-6月预算执行数为644.51万元，1-10月预算执行数为1166.6万元，全年预算数为1,154.82万元。1至6月和10月份资金支出均按照预算执行，未发生支出预警和支出违规的情况。</w:t>
      </w:r>
      <w:r>
        <w:rPr>
          <w:rFonts w:hint="default" w:ascii="仿宋_GB2312" w:hAnsi="仿宋_GB2312" w:eastAsia="仿宋_GB2312" w:cs="仿宋_GB2312"/>
          <w:sz w:val="32"/>
          <w:szCs w:val="32"/>
          <w:lang w:val="zh-CN" w:eastAsia="zh-CN"/>
        </w:rPr>
        <w:t>支出执行进度</w:t>
      </w:r>
      <w:r>
        <w:rPr>
          <w:rFonts w:hint="eastAsia" w:ascii="仿宋_GB2312" w:hAnsi="仿宋_GB2312" w:eastAsia="仿宋_GB2312" w:cs="仿宋_GB2312"/>
          <w:sz w:val="32"/>
          <w:szCs w:val="32"/>
          <w:lang w:val="en-US" w:eastAsia="zh-CN"/>
        </w:rPr>
        <w:t>得分3.77分。</w:t>
      </w:r>
    </w:p>
    <w:p w14:paraId="4D64654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zh-CN" w:eastAsia="zh-CN"/>
        </w:rPr>
        <w:t>预算年终结余</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2分，得2分</w:t>
      </w:r>
      <w:r>
        <w:rPr>
          <w:rFonts w:hint="eastAsia" w:ascii="仿宋_GB2312" w:hAnsi="仿宋_GB2312" w:eastAsia="仿宋_GB2312" w:cs="仿宋_GB2312"/>
          <w:sz w:val="32"/>
          <w:szCs w:val="32"/>
          <w:lang w:val="zh-CN" w:eastAsia="zh-CN"/>
        </w:rPr>
        <w:t>）</w:t>
      </w:r>
    </w:p>
    <w:p w14:paraId="14A7B75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2024年底部金川县司法局预算年终结余资金0万元，预算年终结余率与上年持平。该项指标得分2分。</w:t>
      </w:r>
    </w:p>
    <w:p w14:paraId="3394A54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严控一般性支出</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5分，得4.5分</w:t>
      </w:r>
      <w:r>
        <w:rPr>
          <w:rFonts w:hint="eastAsia" w:ascii="仿宋_GB2312" w:hAnsi="仿宋_GB2312" w:eastAsia="仿宋_GB2312" w:cs="仿宋_GB2312"/>
          <w:sz w:val="32"/>
          <w:szCs w:val="32"/>
          <w:lang w:val="zh-CN" w:eastAsia="zh-CN"/>
        </w:rPr>
        <w:t>）</w:t>
      </w:r>
    </w:p>
    <w:p w14:paraId="05738BB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本单位2024年“三公”经费、会议、培训、差旅、办节办展、办公设备购置、信息网络及软件购置更新、课题经费等8项</w:t>
      </w:r>
      <w:r>
        <w:rPr>
          <w:rFonts w:hint="default" w:ascii="仿宋_GB2312" w:hAnsi="仿宋_GB2312" w:eastAsia="仿宋_GB2312" w:cs="仿宋_GB2312"/>
          <w:sz w:val="32"/>
          <w:szCs w:val="32"/>
          <w:lang w:val="zh-CN" w:eastAsia="zh-CN"/>
        </w:rPr>
        <w:t>。</w:t>
      </w:r>
    </w:p>
    <w:p w14:paraId="021705F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2024年“三公</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经费支出为16.85万元，较2023年减少1.66%。</w:t>
      </w:r>
    </w:p>
    <w:p w14:paraId="651B071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2024年会议费支出0万元，与上年持平。</w:t>
      </w:r>
    </w:p>
    <w:p w14:paraId="2225AC7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2024年培训费支出1.9万元，较上年减少77.23%。</w:t>
      </w:r>
    </w:p>
    <w:p w14:paraId="6869A42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此项得分4.5分。</w:t>
      </w:r>
    </w:p>
    <w:p w14:paraId="3EB0F10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zh-CN" w:eastAsia="zh-CN"/>
        </w:rPr>
        <w:t>财务管理</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总分10分，得10分</w:t>
      </w:r>
      <w:r>
        <w:rPr>
          <w:rFonts w:hint="eastAsia" w:ascii="仿宋_GB2312" w:hAnsi="仿宋_GB2312" w:eastAsia="仿宋_GB2312" w:cs="仿宋_GB2312"/>
          <w:sz w:val="32"/>
          <w:szCs w:val="32"/>
          <w:lang w:val="zh-CN" w:eastAsia="zh-CN"/>
        </w:rPr>
        <w:t>）</w:t>
      </w:r>
    </w:p>
    <w:p w14:paraId="1D4E00B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（1）财务管理制度（4分，得4分）</w:t>
      </w:r>
    </w:p>
    <w:p w14:paraId="7D89965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本单位制定了</w:t>
      </w:r>
      <w:r>
        <w:rPr>
          <w:rFonts w:hint="eastAsia" w:ascii="仿宋_GB2312" w:hAnsi="仿宋_GB2312" w:eastAsia="仿宋_GB2312" w:cs="仿宋_GB2312"/>
          <w:sz w:val="32"/>
          <w:szCs w:val="32"/>
          <w:lang w:val="zh-CN" w:eastAsia="zh-CN"/>
        </w:rPr>
        <w:t>财务管理制度，</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lang w:val="zh-CN" w:eastAsia="zh-CN"/>
        </w:rPr>
        <w:t>得到</w:t>
      </w:r>
      <w:r>
        <w:rPr>
          <w:rFonts w:hint="eastAsia" w:ascii="仿宋_GB2312" w:hAnsi="仿宋_GB2312" w:eastAsia="仿宋_GB2312" w:cs="仿宋_GB2312"/>
          <w:sz w:val="32"/>
          <w:szCs w:val="32"/>
          <w:lang w:val="en-US" w:eastAsia="zh-CN"/>
        </w:rPr>
        <w:t>有效</w:t>
      </w:r>
      <w:r>
        <w:rPr>
          <w:rFonts w:hint="eastAsia" w:ascii="仿宋_GB2312" w:hAnsi="仿宋_GB2312" w:eastAsia="仿宋_GB2312" w:cs="仿宋_GB2312"/>
          <w:sz w:val="32"/>
          <w:szCs w:val="32"/>
          <w:lang w:val="zh-CN" w:eastAsia="zh-CN"/>
        </w:rPr>
        <w:t>落实，</w:t>
      </w:r>
      <w:r>
        <w:rPr>
          <w:rFonts w:hint="eastAsia" w:ascii="仿宋_GB2312" w:hAnsi="仿宋_GB2312" w:eastAsia="仿宋_GB2312" w:cs="仿宋_GB2312"/>
          <w:sz w:val="32"/>
          <w:szCs w:val="32"/>
          <w:lang w:val="en-US" w:eastAsia="zh-CN"/>
        </w:rPr>
        <w:t>该项得4分。</w:t>
      </w:r>
    </w:p>
    <w:p w14:paraId="7B94652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（2）财务岗位设置（2分，得2分）</w:t>
      </w:r>
    </w:p>
    <w:p w14:paraId="71FD2A9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设置财务会计和出纳工作岗位，明确职责权限，严格实行不相容岗位分离，同时确定了岗位考核标准，</w:t>
      </w:r>
      <w:r>
        <w:rPr>
          <w:rFonts w:hint="eastAsia" w:ascii="仿宋_GB2312" w:hAnsi="仿宋_GB2312" w:eastAsia="仿宋_GB2312" w:cs="仿宋_GB2312"/>
          <w:sz w:val="32"/>
          <w:szCs w:val="32"/>
          <w:lang w:val="en-US" w:eastAsia="zh-CN"/>
        </w:rPr>
        <w:t>该项得2分</w:t>
      </w:r>
      <w:r>
        <w:rPr>
          <w:rFonts w:hint="eastAsia" w:ascii="仿宋_GB2312" w:hAnsi="仿宋_GB2312" w:eastAsia="仿宋_GB2312" w:cs="仿宋_GB2312"/>
          <w:sz w:val="32"/>
          <w:szCs w:val="32"/>
          <w:lang w:val="zh-CN" w:eastAsia="zh-CN"/>
        </w:rPr>
        <w:t>。</w:t>
      </w:r>
    </w:p>
    <w:p w14:paraId="461E9DF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（3）资金使用规范（4分，得4分）</w:t>
      </w:r>
    </w:p>
    <w:p w14:paraId="086EEBA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资金支付遵照</w:t>
      </w:r>
      <w:r>
        <w:rPr>
          <w:rFonts w:hint="eastAsia" w:ascii="仿宋_GB2312" w:hAnsi="仿宋_GB2312" w:eastAsia="仿宋_GB2312" w:cs="仿宋_GB2312"/>
          <w:sz w:val="32"/>
          <w:szCs w:val="32"/>
          <w:lang w:val="zh-CN" w:eastAsia="zh-CN"/>
        </w:rPr>
        <w:t>财务管理制度</w:t>
      </w:r>
      <w:r>
        <w:rPr>
          <w:rFonts w:hint="eastAsia" w:ascii="仿宋_GB2312" w:hAnsi="仿宋_GB2312" w:eastAsia="仿宋_GB2312" w:cs="仿宋_GB2312"/>
          <w:sz w:val="32"/>
          <w:szCs w:val="32"/>
          <w:lang w:val="en-US" w:eastAsia="zh-CN"/>
        </w:rPr>
        <w:t>执行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严格控制资金支付审核</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项目资金</w:t>
      </w:r>
      <w:r>
        <w:rPr>
          <w:rFonts w:hint="eastAsia" w:ascii="仿宋_GB2312" w:hAnsi="仿宋_GB2312" w:eastAsia="仿宋_GB2312" w:cs="仿宋_GB2312"/>
          <w:sz w:val="32"/>
          <w:szCs w:val="32"/>
          <w:lang w:val="zh-CN" w:eastAsia="zh-CN"/>
        </w:rPr>
        <w:t>会计核算及账务处理根据项目资金管理办法，</w:t>
      </w:r>
      <w:r>
        <w:rPr>
          <w:rFonts w:hint="eastAsia" w:ascii="仿宋_GB2312" w:hAnsi="仿宋_GB2312" w:eastAsia="仿宋_GB2312" w:cs="仿宋_GB2312"/>
          <w:sz w:val="32"/>
          <w:szCs w:val="32"/>
          <w:lang w:val="en-US" w:eastAsia="zh-CN"/>
        </w:rPr>
        <w:t>做到</w:t>
      </w:r>
      <w:r>
        <w:rPr>
          <w:rFonts w:hint="eastAsia" w:ascii="仿宋_GB2312" w:hAnsi="仿宋_GB2312" w:eastAsia="仿宋_GB2312" w:cs="仿宋_GB2312"/>
          <w:sz w:val="32"/>
          <w:szCs w:val="32"/>
          <w:lang w:val="zh-CN" w:eastAsia="zh-CN"/>
        </w:rPr>
        <w:t>财务处理及时、会计核算规范、流程完整规范，</w:t>
      </w:r>
      <w:r>
        <w:rPr>
          <w:rFonts w:hint="eastAsia" w:ascii="仿宋_GB2312" w:hAnsi="仿宋_GB2312" w:eastAsia="仿宋_GB2312" w:cs="仿宋_GB2312"/>
          <w:sz w:val="32"/>
          <w:szCs w:val="32"/>
          <w:lang w:val="en-US" w:eastAsia="zh-CN"/>
        </w:rPr>
        <w:t>该项得4分</w:t>
      </w:r>
      <w:r>
        <w:rPr>
          <w:rFonts w:hint="default" w:ascii="仿宋_GB2312" w:hAnsi="仿宋_GB2312" w:eastAsia="仿宋_GB2312" w:cs="仿宋_GB2312"/>
          <w:sz w:val="32"/>
          <w:szCs w:val="32"/>
          <w:lang w:val="zh-CN" w:eastAsia="zh-CN"/>
        </w:rPr>
        <w:t>。</w:t>
      </w:r>
    </w:p>
    <w:p w14:paraId="69E4B04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zh-CN" w:eastAsia="zh-CN"/>
        </w:rPr>
        <w:t>资产管理</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总分9分，得8</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val="zh-CN" w:eastAsia="zh-CN"/>
        </w:rPr>
        <w:t>）</w:t>
      </w:r>
    </w:p>
    <w:p w14:paraId="1989A2B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（1）人均资产变化率（3分，得2分）</w:t>
      </w:r>
    </w:p>
    <w:p w14:paraId="16FC95E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末，本单位实有人数48人，固定资产净值与无形资产净值合计为86.78万元，2024年单位人均占有资产1.81万元；2024年末，本单位实有人数48人，固定资产净值与无形资产净值合计为279.48万元，2024年单位人均占有资产5.82万元。该项得2分。</w:t>
      </w:r>
    </w:p>
    <w:p w14:paraId="1BC3CA2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（2）资产利用率（3分，得3分）</w:t>
      </w:r>
    </w:p>
    <w:p w14:paraId="6BDA8B0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设置财务会计和出纳工作岗位，明确职责权限，严格实行不相容岗位分离，同时确定了岗位考核标准，</w:t>
      </w:r>
      <w:r>
        <w:rPr>
          <w:rFonts w:hint="eastAsia" w:ascii="仿宋_GB2312" w:hAnsi="仿宋_GB2312" w:eastAsia="仿宋_GB2312" w:cs="仿宋_GB2312"/>
          <w:sz w:val="32"/>
          <w:szCs w:val="32"/>
          <w:lang w:val="en-US" w:eastAsia="zh-CN"/>
        </w:rPr>
        <w:t>该项得3分</w:t>
      </w:r>
      <w:r>
        <w:rPr>
          <w:rFonts w:hint="eastAsia" w:ascii="仿宋_GB2312" w:hAnsi="仿宋_GB2312" w:eastAsia="仿宋_GB2312" w:cs="仿宋_GB2312"/>
          <w:sz w:val="32"/>
          <w:szCs w:val="32"/>
          <w:lang w:val="zh-CN" w:eastAsia="zh-CN"/>
        </w:rPr>
        <w:t>。</w:t>
      </w:r>
    </w:p>
    <w:p w14:paraId="7E23E8F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（3）资产盘活率（3分，得3分）</w:t>
      </w:r>
    </w:p>
    <w:p w14:paraId="71461FD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本单位不存在闲置资产，资产配置合理，使用充分</w:t>
      </w:r>
      <w:r>
        <w:rPr>
          <w:rFonts w:hint="eastAsia" w:ascii="仿宋_GB2312" w:hAnsi="仿宋_GB2312" w:eastAsia="仿宋_GB2312" w:cs="仿宋_GB2312"/>
          <w:sz w:val="32"/>
          <w:szCs w:val="32"/>
          <w:lang w:val="zh-CN" w:eastAsia="zh-CN"/>
        </w:rPr>
        <w:t>，闲置资产占比变化率</w:t>
      </w:r>
      <w:r>
        <w:rPr>
          <w:rFonts w:hint="eastAsia" w:ascii="仿宋_GB2312" w:hAnsi="仿宋_GB2312" w:eastAsia="仿宋_GB2312" w:cs="仿宋_GB2312"/>
          <w:sz w:val="32"/>
          <w:szCs w:val="32"/>
          <w:lang w:val="en-US" w:eastAsia="zh-CN"/>
        </w:rPr>
        <w:t>不适用，该项不扣分</w:t>
      </w:r>
      <w:r>
        <w:rPr>
          <w:rFonts w:hint="default" w:ascii="仿宋_GB2312" w:hAnsi="仿宋_GB2312" w:eastAsia="仿宋_GB2312" w:cs="仿宋_GB2312"/>
          <w:sz w:val="32"/>
          <w:szCs w:val="32"/>
          <w:lang w:val="zh-CN" w:eastAsia="zh-CN"/>
        </w:rPr>
        <w:t>。</w:t>
      </w:r>
    </w:p>
    <w:p w14:paraId="3605EA2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zh-CN" w:eastAsia="zh-CN"/>
        </w:rPr>
        <w:t>采购管理</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总分6分，得6分</w:t>
      </w:r>
      <w:r>
        <w:rPr>
          <w:rFonts w:hint="eastAsia" w:ascii="仿宋_GB2312" w:hAnsi="仿宋_GB2312" w:eastAsia="仿宋_GB2312" w:cs="仿宋_GB2312"/>
          <w:sz w:val="32"/>
          <w:szCs w:val="32"/>
          <w:lang w:val="zh-CN" w:eastAsia="zh-CN"/>
        </w:rPr>
        <w:t>）</w:t>
      </w:r>
    </w:p>
    <w:p w14:paraId="3E663DD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）支持中小企业发展</w:t>
      </w:r>
      <w:r>
        <w:rPr>
          <w:rFonts w:hint="eastAsia" w:ascii="仿宋_GB2312" w:hAnsi="仿宋_GB2312" w:eastAsia="仿宋_GB2312" w:cs="仿宋_GB2312"/>
          <w:sz w:val="32"/>
          <w:szCs w:val="32"/>
          <w:lang w:val="en-US" w:eastAsia="zh-CN"/>
        </w:rPr>
        <w:t>（3分，得3分）</w:t>
      </w:r>
    </w:p>
    <w:p w14:paraId="0200095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本单位2024年度政府采购支出0万元，政府采购授予中小企业合同金额0万元，该项得3分</w:t>
      </w:r>
      <w:r>
        <w:rPr>
          <w:rFonts w:hint="default" w:ascii="仿宋_GB2312" w:hAnsi="仿宋_GB2312" w:eastAsia="仿宋_GB2312" w:cs="仿宋_GB2312"/>
          <w:sz w:val="32"/>
          <w:szCs w:val="32"/>
          <w:lang w:val="zh-CN" w:eastAsia="zh-CN"/>
        </w:rPr>
        <w:t>。</w:t>
      </w:r>
    </w:p>
    <w:p w14:paraId="50BDACC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）采购执行率（</w:t>
      </w:r>
      <w:r>
        <w:rPr>
          <w:rFonts w:hint="eastAsia" w:ascii="仿宋_GB2312" w:hAnsi="仿宋_GB2312" w:eastAsia="仿宋_GB2312" w:cs="仿宋_GB2312"/>
          <w:sz w:val="32"/>
          <w:szCs w:val="32"/>
          <w:lang w:val="en-US" w:eastAsia="zh-CN"/>
        </w:rPr>
        <w:t>3分，得3分</w:t>
      </w:r>
      <w:r>
        <w:rPr>
          <w:rFonts w:hint="eastAsia" w:ascii="仿宋_GB2312" w:hAnsi="仿宋_GB2312" w:eastAsia="仿宋_GB2312" w:cs="仿宋_GB2312"/>
          <w:sz w:val="32"/>
          <w:szCs w:val="32"/>
          <w:lang w:val="zh-CN" w:eastAsia="zh-CN"/>
        </w:rPr>
        <w:t>）</w:t>
      </w:r>
    </w:p>
    <w:p w14:paraId="4C44949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本单位2024年度政府采购预算0万元，采购预算项目实际执0万元。该项得3分</w:t>
      </w:r>
      <w:r>
        <w:rPr>
          <w:rFonts w:hint="default" w:ascii="仿宋_GB2312" w:hAnsi="仿宋_GB2312" w:eastAsia="仿宋_GB2312" w:cs="仿宋_GB2312"/>
          <w:sz w:val="32"/>
          <w:szCs w:val="32"/>
          <w:lang w:val="zh-CN" w:eastAsia="zh-CN"/>
        </w:rPr>
        <w:t>。</w:t>
      </w:r>
    </w:p>
    <w:p w14:paraId="30D7237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部门预算项目绩效分析。</w:t>
      </w:r>
    </w:p>
    <w:p w14:paraId="0B0791F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常年项目绩效分析。</w:t>
      </w:r>
      <w:r>
        <w:rPr>
          <w:rFonts w:hint="default"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30</w:t>
      </w:r>
      <w:r>
        <w:rPr>
          <w:rFonts w:hint="default"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1,219.50</w:t>
      </w:r>
      <w:r>
        <w:rPr>
          <w:rFonts w:hint="default" w:ascii="仿宋_GB2312" w:hAnsi="仿宋_GB2312" w:eastAsia="仿宋_GB2312" w:cs="仿宋_GB2312"/>
          <w:sz w:val="32"/>
          <w:szCs w:val="32"/>
          <w:lang w:val="zh-CN" w:eastAsia="zh-CN"/>
        </w:rPr>
        <w:t>万元，1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99.05</w:t>
      </w:r>
      <w:r>
        <w:rPr>
          <w:rFonts w:hint="default" w:ascii="仿宋_GB2312" w:hAnsi="仿宋_GB2312" w:eastAsia="仿宋_GB2312" w:cs="仿宋_GB2312"/>
          <w:sz w:val="32"/>
          <w:szCs w:val="32"/>
          <w:lang w:val="zh-CN" w:eastAsia="zh-CN"/>
        </w:rPr>
        <w:t>%，其中：预算结余率大于</w:t>
      </w:r>
      <w:r>
        <w:rPr>
          <w:rFonts w:hint="default"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个。</w:t>
      </w:r>
    </w:p>
    <w:p w14:paraId="1BAA6B1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阶段（</w:t>
      </w:r>
      <w:r>
        <w:rPr>
          <w:rFonts w:hint="eastAsia" w:ascii="仿宋_GB2312" w:hAnsi="仿宋_GB2312" w:eastAsia="仿宋_GB2312" w:cs="仿宋_GB2312"/>
          <w:sz w:val="32"/>
          <w:szCs w:val="32"/>
          <w:lang w:val="en-US" w:eastAsia="zh-CN"/>
        </w:rPr>
        <w:t>含</w:t>
      </w:r>
      <w:r>
        <w:rPr>
          <w:rFonts w:hint="default" w:ascii="仿宋_GB2312" w:hAnsi="仿宋_GB2312" w:eastAsia="仿宋_GB2312" w:cs="仿宋_GB2312"/>
          <w:sz w:val="32"/>
          <w:szCs w:val="32"/>
          <w:lang w:val="en-US" w:eastAsia="zh-CN"/>
        </w:rPr>
        <w:t>一次性）项目绩效分析。</w:t>
      </w:r>
      <w:r>
        <w:rPr>
          <w:rFonts w:hint="default"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268.44</w:t>
      </w:r>
      <w:r>
        <w:rPr>
          <w:rFonts w:hint="default" w:ascii="仿宋_GB2312" w:hAnsi="仿宋_GB2312" w:eastAsia="仿宋_GB2312" w:cs="仿宋_GB2312"/>
          <w:sz w:val="32"/>
          <w:szCs w:val="32"/>
          <w:lang w:val="zh-CN" w:eastAsia="zh-CN"/>
        </w:rPr>
        <w:t>万元，1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月预算执行总体</w:t>
      </w:r>
      <w:r>
        <w:rPr>
          <w:rFonts w:hint="eastAsia" w:ascii="仿宋_GB2312" w:hAnsi="仿宋_GB2312" w:eastAsia="仿宋_GB2312" w:cs="仿宋_GB2312"/>
          <w:sz w:val="32"/>
          <w:szCs w:val="32"/>
          <w:lang w:val="en-US" w:eastAsia="zh-CN"/>
        </w:rPr>
        <w:t>进度100</w:t>
      </w:r>
      <w:r>
        <w:rPr>
          <w:rFonts w:hint="default" w:ascii="仿宋_GB2312" w:hAnsi="仿宋_GB2312" w:eastAsia="仿宋_GB2312" w:cs="仿宋_GB2312"/>
          <w:sz w:val="32"/>
          <w:szCs w:val="32"/>
          <w:lang w:val="zh-CN" w:eastAsia="zh-CN"/>
        </w:rPr>
        <w:t>%，其中：预算结余率大于</w:t>
      </w:r>
      <w:r>
        <w:rPr>
          <w:rFonts w:hint="default"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zh-CN" w:eastAsia="zh-CN"/>
        </w:rPr>
        <w:t>个。</w:t>
      </w:r>
    </w:p>
    <w:p w14:paraId="2B0F872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zh-CN" w:eastAsia="zh-CN"/>
        </w:rPr>
        <w:t>项目决策</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总分12分，得12分</w:t>
      </w:r>
      <w:r>
        <w:rPr>
          <w:rFonts w:hint="eastAsia" w:ascii="仿宋_GB2312" w:hAnsi="仿宋_GB2312" w:eastAsia="仿宋_GB2312" w:cs="仿宋_GB2312"/>
          <w:sz w:val="32"/>
          <w:szCs w:val="32"/>
          <w:lang w:val="zh-CN" w:eastAsia="zh-CN"/>
        </w:rPr>
        <w:t>）</w:t>
      </w:r>
    </w:p>
    <w:p w14:paraId="3EEE567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决策程序</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7251676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预算项目设立</w:t>
      </w:r>
      <w:r>
        <w:rPr>
          <w:rFonts w:hint="eastAsia" w:ascii="仿宋_GB2312" w:hAnsi="仿宋_GB2312" w:eastAsia="仿宋_GB2312" w:cs="仿宋_GB2312"/>
          <w:sz w:val="32"/>
          <w:szCs w:val="32"/>
          <w:lang w:val="en-US" w:eastAsia="zh-CN"/>
        </w:rPr>
        <w:t>严格按照</w:t>
      </w:r>
      <w:r>
        <w:rPr>
          <w:rFonts w:hint="eastAsia" w:ascii="仿宋_GB2312" w:hAnsi="仿宋_GB2312" w:eastAsia="仿宋_GB2312" w:cs="仿宋_GB2312"/>
          <w:sz w:val="32"/>
          <w:szCs w:val="32"/>
          <w:lang w:val="zh-CN" w:eastAsia="zh-CN"/>
        </w:rPr>
        <w:t>规定履行评估论证</w:t>
      </w:r>
      <w:r>
        <w:rPr>
          <w:rFonts w:hint="eastAsia" w:ascii="仿宋_GB2312" w:hAnsi="仿宋_GB2312" w:eastAsia="仿宋_GB2312" w:cs="仿宋_GB2312"/>
          <w:sz w:val="32"/>
          <w:szCs w:val="32"/>
          <w:lang w:val="en-US" w:eastAsia="zh-CN"/>
        </w:rPr>
        <w:t>和申报程序，未履行事前评估程序的部门预算阶段项目数量为0，该项得分4分</w:t>
      </w:r>
      <w:r>
        <w:rPr>
          <w:rFonts w:hint="eastAsia" w:ascii="仿宋_GB2312" w:hAnsi="仿宋_GB2312" w:eastAsia="仿宋_GB2312" w:cs="仿宋_GB2312"/>
          <w:sz w:val="32"/>
          <w:szCs w:val="32"/>
          <w:lang w:val="zh-CN" w:eastAsia="zh-CN"/>
        </w:rPr>
        <w:t>。</w:t>
      </w:r>
    </w:p>
    <w:p w14:paraId="7E4FAE1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目标设置</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40A06A0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预算项目切实按照</w:t>
      </w:r>
      <w:r>
        <w:rPr>
          <w:rFonts w:hint="eastAsia" w:ascii="仿宋_GB2312" w:hAnsi="仿宋_GB2312" w:eastAsia="仿宋_GB2312" w:cs="仿宋_GB2312"/>
          <w:sz w:val="32"/>
          <w:szCs w:val="32"/>
          <w:lang w:val="en-US" w:eastAsia="zh-CN"/>
        </w:rPr>
        <w:t>上级部门要求</w:t>
      </w:r>
      <w:r>
        <w:rPr>
          <w:rFonts w:hint="eastAsia" w:ascii="仿宋_GB2312" w:hAnsi="仿宋_GB2312" w:eastAsia="仿宋_GB2312" w:cs="仿宋_GB2312"/>
          <w:sz w:val="32"/>
          <w:szCs w:val="32"/>
          <w:lang w:val="zh-CN" w:eastAsia="zh-CN"/>
        </w:rPr>
        <w:t>和年度重点任务制定绩效目标，编制要素科学合理、规范完整，绩效指标编制细化量化，与预算安排相匹配，绩效目标与计划期内的任务量、预算安排不相匹配的部门预算阶段项目</w:t>
      </w:r>
      <w:r>
        <w:rPr>
          <w:rFonts w:hint="eastAsia" w:ascii="仿宋_GB2312" w:hAnsi="仿宋_GB2312" w:eastAsia="仿宋_GB2312" w:cs="仿宋_GB2312"/>
          <w:sz w:val="32"/>
          <w:szCs w:val="32"/>
          <w:lang w:val="en-US" w:eastAsia="zh-CN"/>
        </w:rPr>
        <w:t>数量为0，该项得分4分</w:t>
      </w:r>
      <w:r>
        <w:rPr>
          <w:rFonts w:hint="eastAsia" w:ascii="仿宋_GB2312" w:hAnsi="仿宋_GB2312" w:eastAsia="仿宋_GB2312" w:cs="仿宋_GB2312"/>
          <w:sz w:val="32"/>
          <w:szCs w:val="32"/>
          <w:lang w:val="zh-CN" w:eastAsia="zh-CN"/>
        </w:rPr>
        <w:t>。</w:t>
      </w:r>
    </w:p>
    <w:p w14:paraId="7E12064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项目入库</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4816690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本单位预算项目均在</w:t>
      </w:r>
      <w:r>
        <w:rPr>
          <w:rFonts w:hint="eastAsia" w:ascii="仿宋_GB2312" w:hAnsi="仿宋_GB2312" w:eastAsia="仿宋_GB2312" w:cs="仿宋_GB2312"/>
          <w:sz w:val="32"/>
          <w:szCs w:val="32"/>
          <w:lang w:val="zh-CN" w:eastAsia="zh-CN"/>
        </w:rPr>
        <w:t>规定时间完成项目入库，9月30日前未入财政库部门预算阶段项目（含一次性项目）数量</w:t>
      </w:r>
      <w:r>
        <w:rPr>
          <w:rFonts w:hint="eastAsia" w:ascii="仿宋_GB2312" w:hAnsi="仿宋_GB2312" w:eastAsia="仿宋_GB2312" w:cs="仿宋_GB2312"/>
          <w:sz w:val="32"/>
          <w:szCs w:val="32"/>
          <w:lang w:val="en-US" w:eastAsia="zh-CN"/>
        </w:rPr>
        <w:t>为0，该项得分4分</w:t>
      </w:r>
      <w:r>
        <w:rPr>
          <w:rFonts w:hint="default" w:ascii="仿宋_GB2312" w:hAnsi="仿宋_GB2312" w:eastAsia="仿宋_GB2312" w:cs="仿宋_GB2312"/>
          <w:sz w:val="32"/>
          <w:szCs w:val="32"/>
          <w:lang w:val="zh-CN" w:eastAsia="zh-CN"/>
        </w:rPr>
        <w:t>。</w:t>
      </w:r>
    </w:p>
    <w:p w14:paraId="61C9AA3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2.项目执行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总分12分，得9.39</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val="zh-CN" w:eastAsia="zh-CN"/>
        </w:rPr>
        <w:t>）</w:t>
      </w:r>
    </w:p>
    <w:p w14:paraId="38BB6DF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执行同向</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1EBCD34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本单位预算项目</w:t>
      </w:r>
      <w:r>
        <w:rPr>
          <w:rFonts w:hint="eastAsia" w:ascii="仿宋_GB2312" w:hAnsi="仿宋_GB2312" w:eastAsia="仿宋_GB2312" w:cs="仿宋_GB2312"/>
          <w:sz w:val="32"/>
          <w:szCs w:val="32"/>
          <w:lang w:val="zh-CN" w:eastAsia="zh-CN"/>
        </w:rPr>
        <w:t>围绕各项绩效目标，认真履行职责，实际列支内容与绩效目标设置方向</w:t>
      </w:r>
      <w:r>
        <w:rPr>
          <w:rFonts w:hint="eastAsia" w:ascii="仿宋_GB2312" w:hAnsi="仿宋_GB2312" w:eastAsia="仿宋_GB2312" w:cs="仿宋_GB2312"/>
          <w:sz w:val="32"/>
          <w:szCs w:val="32"/>
          <w:lang w:val="en-US" w:eastAsia="zh-CN"/>
        </w:rPr>
        <w:t>保持一致，该项得分4分。</w:t>
      </w:r>
    </w:p>
    <w:p w14:paraId="38BCCFC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项</w:t>
      </w:r>
      <w:r>
        <w:rPr>
          <w:rFonts w:hint="default" w:ascii="仿宋_GB2312" w:hAnsi="仿宋_GB2312" w:eastAsia="仿宋_GB2312" w:cs="仿宋_GB2312"/>
          <w:sz w:val="32"/>
          <w:szCs w:val="32"/>
          <w:lang w:val="zh-CN" w:eastAsia="zh-CN"/>
        </w:rPr>
        <w:t>目调整</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4分，得4分</w:t>
      </w:r>
      <w:r>
        <w:rPr>
          <w:rFonts w:hint="eastAsia" w:ascii="仿宋_GB2312" w:hAnsi="仿宋_GB2312" w:eastAsia="仿宋_GB2312" w:cs="仿宋_GB2312"/>
          <w:sz w:val="32"/>
          <w:szCs w:val="32"/>
          <w:lang w:val="zh-CN" w:eastAsia="zh-CN"/>
        </w:rPr>
        <w:t>）</w:t>
      </w:r>
    </w:p>
    <w:p w14:paraId="3E529F2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w:t>
      </w:r>
      <w:r>
        <w:rPr>
          <w:rFonts w:hint="default" w:ascii="仿宋_GB2312" w:hAnsi="仿宋_GB2312" w:eastAsia="仿宋_GB2312" w:cs="仿宋_GB2312"/>
          <w:sz w:val="32"/>
          <w:szCs w:val="32"/>
          <w:lang w:val="en-US" w:eastAsia="zh-CN"/>
        </w:rPr>
        <w:t>预算项目</w:t>
      </w:r>
      <w:r>
        <w:rPr>
          <w:rFonts w:hint="eastAsia" w:ascii="仿宋_GB2312" w:hAnsi="仿宋_GB2312" w:eastAsia="仿宋_GB2312" w:cs="仿宋_GB2312"/>
          <w:sz w:val="32"/>
          <w:szCs w:val="32"/>
          <w:lang w:val="en-US" w:eastAsia="zh-CN"/>
        </w:rPr>
        <w:t>积极</w:t>
      </w:r>
      <w:r>
        <w:rPr>
          <w:rFonts w:hint="default" w:ascii="仿宋_GB2312" w:hAnsi="仿宋_GB2312" w:eastAsia="仿宋_GB2312" w:cs="仿宋_GB2312"/>
          <w:sz w:val="32"/>
          <w:szCs w:val="32"/>
          <w:lang w:val="en-US" w:eastAsia="zh-CN"/>
        </w:rPr>
        <w:t>采取对应调整措施</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lang w:val="zh-CN" w:eastAsia="zh-CN"/>
        </w:rPr>
        <w:t>扎实开展整体支出预算绩效和项目绩效运行监控分析，根据分析结果及时对相关经费进行了预算收回或科目调整，应采取未采取收回预算、调整目标等处置措施的部门预算阶段</w:t>
      </w:r>
      <w:r>
        <w:rPr>
          <w:rFonts w:hint="eastAsia" w:ascii="仿宋_GB2312" w:hAnsi="仿宋_GB2312" w:eastAsia="仿宋_GB2312" w:cs="仿宋_GB2312"/>
          <w:sz w:val="32"/>
          <w:szCs w:val="32"/>
          <w:lang w:val="en-US" w:eastAsia="zh-CN"/>
        </w:rPr>
        <w:t>项目数量为0，该项得分4分。</w:t>
      </w:r>
    </w:p>
    <w:p w14:paraId="3CAF7B4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执行结果</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4分，得2.5分</w:t>
      </w:r>
      <w:r>
        <w:rPr>
          <w:rFonts w:hint="eastAsia" w:ascii="仿宋_GB2312" w:hAnsi="仿宋_GB2312" w:eastAsia="仿宋_GB2312" w:cs="仿宋_GB2312"/>
          <w:sz w:val="32"/>
          <w:szCs w:val="32"/>
          <w:lang w:val="zh-CN" w:eastAsia="zh-CN"/>
        </w:rPr>
        <w:t>）</w:t>
      </w:r>
    </w:p>
    <w:p w14:paraId="04B1ADC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本单位2024年度</w:t>
      </w:r>
      <w:r>
        <w:rPr>
          <w:rFonts w:hint="default" w:ascii="仿宋_GB2312" w:hAnsi="仿宋_GB2312" w:eastAsia="仿宋_GB2312" w:cs="仿宋_GB2312"/>
          <w:sz w:val="32"/>
          <w:szCs w:val="32"/>
          <w:lang w:val="zh-CN" w:eastAsia="zh-CN"/>
        </w:rPr>
        <w:t>预算结余率小于10%的常年项目数量</w:t>
      </w:r>
      <w:r>
        <w:rPr>
          <w:rFonts w:hint="eastAsia" w:ascii="仿宋_GB2312" w:hAnsi="仿宋_GB2312" w:eastAsia="仿宋_GB2312" w:cs="仿宋_GB2312"/>
          <w:sz w:val="32"/>
          <w:szCs w:val="32"/>
          <w:lang w:val="en-US" w:eastAsia="zh-CN"/>
        </w:rPr>
        <w:t>1个，预算结余率小于10%的一次性项目和阶段项目数量3个。执行结果得分2.5分。</w:t>
      </w:r>
    </w:p>
    <w:p w14:paraId="51C08D1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zh-CN" w:eastAsia="zh-CN"/>
        </w:rPr>
        <w:t>目标实现</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总分12分，得4.58</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val="zh-CN" w:eastAsia="zh-CN"/>
        </w:rPr>
        <w:t>）</w:t>
      </w:r>
    </w:p>
    <w:p w14:paraId="06A813B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目标完成</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4分，得2.5分</w:t>
      </w:r>
      <w:r>
        <w:rPr>
          <w:rFonts w:hint="eastAsia" w:ascii="仿宋_GB2312" w:hAnsi="仿宋_GB2312" w:eastAsia="仿宋_GB2312" w:cs="仿宋_GB2312"/>
          <w:sz w:val="32"/>
          <w:szCs w:val="32"/>
          <w:lang w:val="zh-CN" w:eastAsia="zh-CN"/>
        </w:rPr>
        <w:t>）</w:t>
      </w:r>
    </w:p>
    <w:p w14:paraId="6DDA871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单位阶段性项目（含一次性项目）总数为9个，完成绩效目标数量的部门阶段性项目数量为5个，该项指标得分2.5分。</w:t>
      </w:r>
    </w:p>
    <w:p w14:paraId="4D3E3D1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目标偏离</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4分，得0.41分</w:t>
      </w:r>
      <w:r>
        <w:rPr>
          <w:rFonts w:hint="eastAsia" w:ascii="仿宋_GB2312" w:hAnsi="仿宋_GB2312" w:eastAsia="仿宋_GB2312" w:cs="仿宋_GB2312"/>
          <w:sz w:val="32"/>
          <w:szCs w:val="32"/>
          <w:lang w:val="zh-CN" w:eastAsia="zh-CN"/>
        </w:rPr>
        <w:t>）</w:t>
      </w:r>
    </w:p>
    <w:p w14:paraId="3F7EDBA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本单位2024年度</w:t>
      </w:r>
      <w:r>
        <w:rPr>
          <w:rFonts w:hint="eastAsia" w:ascii="仿宋_GB2312" w:hAnsi="仿宋_GB2312" w:eastAsia="仿宋_GB2312" w:cs="仿宋_GB2312"/>
          <w:sz w:val="32"/>
          <w:szCs w:val="32"/>
          <w:lang w:val="zh-CN" w:eastAsia="zh-CN"/>
        </w:rPr>
        <w:t>已完成预期指标值的数量指标中偏离度在30%内的指标个数</w:t>
      </w:r>
      <w:r>
        <w:rPr>
          <w:rFonts w:hint="eastAsia" w:ascii="仿宋_GB2312" w:hAnsi="仿宋_GB2312" w:eastAsia="仿宋_GB2312" w:cs="仿宋_GB2312"/>
          <w:sz w:val="32"/>
          <w:szCs w:val="32"/>
          <w:lang w:val="en-US" w:eastAsia="zh-CN"/>
        </w:rPr>
        <w:t>为4个，已完成预期指标值的数量指标个数为39个，该项指标得分0.41分</w:t>
      </w:r>
      <w:r>
        <w:rPr>
          <w:rFonts w:hint="eastAsia" w:ascii="仿宋_GB2312" w:hAnsi="仿宋_GB2312" w:eastAsia="仿宋_GB2312" w:cs="仿宋_GB2312"/>
          <w:sz w:val="32"/>
          <w:szCs w:val="32"/>
          <w:lang w:val="zh-CN" w:eastAsia="zh-CN"/>
        </w:rPr>
        <w:t>。</w:t>
      </w:r>
    </w:p>
    <w:p w14:paraId="175E574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实现效果</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3分，得1.67分</w:t>
      </w:r>
      <w:r>
        <w:rPr>
          <w:rFonts w:hint="eastAsia" w:ascii="仿宋_GB2312" w:hAnsi="仿宋_GB2312" w:eastAsia="仿宋_GB2312" w:cs="仿宋_GB2312"/>
          <w:sz w:val="32"/>
          <w:szCs w:val="32"/>
          <w:lang w:val="zh-CN" w:eastAsia="zh-CN"/>
        </w:rPr>
        <w:t>）</w:t>
      </w:r>
    </w:p>
    <w:p w14:paraId="258F1C5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围绕各项绩效目标认真履职，预算项目绩效目标数量指标基本完成，项目整体目标基本实现，未发现预算项目绩效目标数量指标实现程度与预期目标的偏离情况的情况，项目按计划实施，其各项效益指标、满意度指标均达到绩效目标预期效果。</w:t>
      </w:r>
      <w:r>
        <w:rPr>
          <w:rFonts w:hint="eastAsia" w:ascii="仿宋_GB2312" w:hAnsi="仿宋_GB2312" w:eastAsia="仿宋_GB2312" w:cs="仿宋_GB2312"/>
          <w:sz w:val="32"/>
          <w:szCs w:val="32"/>
          <w:lang w:val="en-US" w:eastAsia="zh-CN"/>
        </w:rPr>
        <w:t>单位阶段性项目（含一次性项目）总数为9个，完成绩效目标数量的部门阶段性项目数量为5个。此项得分1.67分。</w:t>
      </w:r>
    </w:p>
    <w:p w14:paraId="7E0DE10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绩效结果应用情况。</w:t>
      </w:r>
    </w:p>
    <w:p w14:paraId="60F0F54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本单位将绩效自评纳入考核体系，建立对预算与绩效挂钩机制的</w:t>
      </w:r>
      <w:r>
        <w:rPr>
          <w:rFonts w:hint="eastAsia" w:ascii="仿宋_GB2312" w:hAnsi="仿宋_GB2312" w:eastAsia="仿宋_GB2312" w:cs="仿宋_GB2312"/>
          <w:sz w:val="32"/>
          <w:szCs w:val="32"/>
          <w:lang w:val="zh-CN" w:eastAsia="zh-CN"/>
        </w:rPr>
        <w:t>自评质量，按要求将相关绩效信息随同决算公开，针对绩效管理过程中提出的问题</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lang w:val="zh-CN" w:eastAsia="zh-CN"/>
        </w:rPr>
        <w:t>进行整改，</w:t>
      </w:r>
      <w:r>
        <w:rPr>
          <w:rFonts w:hint="eastAsia" w:ascii="仿宋_GB2312" w:hAnsi="仿宋_GB2312" w:eastAsia="仿宋_GB2312" w:cs="仿宋_GB2312"/>
          <w:sz w:val="32"/>
          <w:szCs w:val="32"/>
          <w:lang w:val="en-US" w:eastAsia="zh-CN"/>
        </w:rPr>
        <w:t>并规定时间内向财政部门反馈应用绩效结果报告</w:t>
      </w:r>
      <w:r>
        <w:rPr>
          <w:rFonts w:hint="default" w:ascii="仿宋_GB2312" w:hAnsi="仿宋_GB2312" w:eastAsia="仿宋_GB2312" w:cs="仿宋_GB2312"/>
          <w:sz w:val="32"/>
          <w:szCs w:val="32"/>
          <w:lang w:val="zh-CN" w:eastAsia="zh-CN"/>
        </w:rPr>
        <w:t>。</w:t>
      </w:r>
    </w:p>
    <w:p w14:paraId="2B6D5C1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四、评价结论及建议</w:t>
      </w:r>
    </w:p>
    <w:p w14:paraId="1D169E0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（一）评价结论。</w:t>
      </w:r>
    </w:p>
    <w:p w14:paraId="0A67B0A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zh-CN" w:eastAsia="zh-CN"/>
        </w:rPr>
        <w:t>根据《部门预算绩效自评打分表》标准</w:t>
      </w:r>
      <w:r>
        <w:rPr>
          <w:rFonts w:hint="eastAsia" w:ascii="仿宋_GB2312" w:hAnsi="仿宋_GB2312" w:eastAsia="仿宋_GB2312" w:cs="仿宋_GB2312"/>
          <w:sz w:val="32"/>
          <w:szCs w:val="32"/>
          <w:lang w:val="en-US" w:eastAsia="zh-CN"/>
        </w:rPr>
        <w:t>进行绩效自评</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总体上看，单位整体财政支出目标明确、具体，要素完整，目标完成情况较好，预算管理较完善，项目目标基本达成。自评小组通过预算指标的考评汇总分析，</w:t>
      </w:r>
      <w:r>
        <w:rPr>
          <w:rFonts w:hint="eastAsia" w:ascii="仿宋_GB2312" w:hAnsi="仿宋_GB2312" w:eastAsia="仿宋_GB2312" w:cs="仿宋_GB2312"/>
          <w:sz w:val="32"/>
          <w:szCs w:val="32"/>
          <w:lang w:val="zh-CN" w:eastAsia="zh-CN"/>
        </w:rPr>
        <w:t>进行支出绩效综合评定打分，自评价得分为</w:t>
      </w:r>
      <w:r>
        <w:rPr>
          <w:rFonts w:hint="eastAsia" w:ascii="仿宋_GB2312" w:hAnsi="仿宋_GB2312" w:eastAsia="仿宋_GB2312" w:cs="仿宋_GB2312"/>
          <w:sz w:val="32"/>
          <w:szCs w:val="32"/>
          <w:lang w:val="en-US" w:eastAsia="zh-CN"/>
        </w:rPr>
        <w:t>86.35</w:t>
      </w:r>
      <w:r>
        <w:rPr>
          <w:rFonts w:hint="eastAsia" w:ascii="仿宋_GB2312" w:hAnsi="仿宋_GB2312" w:eastAsia="仿宋_GB2312" w:cs="仿宋_GB2312"/>
          <w:sz w:val="32"/>
          <w:szCs w:val="32"/>
          <w:lang w:val="zh-CN" w:eastAsia="zh-CN"/>
        </w:rPr>
        <w:t>分</w:t>
      </w:r>
      <w:r>
        <w:rPr>
          <w:rFonts w:hint="default" w:ascii="仿宋_GB2312" w:hAnsi="仿宋_GB2312" w:eastAsia="仿宋_GB2312" w:cs="仿宋_GB2312"/>
          <w:sz w:val="32"/>
          <w:szCs w:val="32"/>
          <w:lang w:val="en-US" w:eastAsia="zh-CN"/>
        </w:rPr>
        <w:t>。</w:t>
      </w:r>
    </w:p>
    <w:p w14:paraId="0ACAA86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存在问题。</w:t>
      </w:r>
    </w:p>
    <w:p w14:paraId="3998011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从前述的整体支出情况分析反映，在整体支出的预算编制、执行和管理过程中，依然存在一些问题和不足。</w:t>
      </w:r>
    </w:p>
    <w:p w14:paraId="3BE538F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预算管理方面。</w:t>
      </w:r>
      <w:r>
        <w:rPr>
          <w:rFonts w:hint="eastAsia" w:ascii="仿宋_GB2312" w:hAnsi="仿宋_GB2312" w:eastAsia="仿宋_GB2312" w:cs="仿宋_GB2312"/>
          <w:sz w:val="32"/>
          <w:szCs w:val="32"/>
          <w:lang w:eastAsia="zh-CN"/>
        </w:rPr>
        <w:t>在年初部门预算时编制的经费支出，无法保障本部门所需经费，存在预算调整和调剂，</w:t>
      </w:r>
      <w:r>
        <w:rPr>
          <w:rFonts w:hint="eastAsia" w:ascii="仿宋_GB2312" w:hAnsi="仿宋_GB2312" w:eastAsia="仿宋_GB2312" w:cs="仿宋_GB2312"/>
          <w:sz w:val="32"/>
          <w:szCs w:val="32"/>
          <w:lang w:val="en-US" w:eastAsia="zh-CN"/>
        </w:rPr>
        <w:t>个别项目存在预算执行率偏低的情况，</w:t>
      </w:r>
      <w:r>
        <w:rPr>
          <w:rFonts w:hint="eastAsia" w:ascii="仿宋_GB2312" w:hAnsi="仿宋_GB2312" w:eastAsia="仿宋_GB2312" w:cs="仿宋_GB2312"/>
          <w:sz w:val="32"/>
          <w:szCs w:val="32"/>
          <w:lang w:eastAsia="zh-CN"/>
        </w:rPr>
        <w:t>预算编制不够准确。</w:t>
      </w:r>
    </w:p>
    <w:p w14:paraId="4F35D1A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项目核算方面。财务核算在制度上需要进一步完善。</w:t>
      </w:r>
    </w:p>
    <w:p w14:paraId="0F0F60B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3.绩效指标设置方面。绩效目标设置、‌运行监控、‌绩效评价及结果应用管理亟需强化，‌对财政资金管理的全过程支撑作用不够，‌实务操作中绩效评价的人员配置和专业水平仍有较大欠缺。</w:t>
      </w:r>
    </w:p>
    <w:p w14:paraId="5A77707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（三）改进建议。</w:t>
      </w:r>
    </w:p>
    <w:p w14:paraId="0A027CF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1.进一步加强项目绩效目标设置，尽可能量化目标，提升对项目的监控效果。</w:t>
      </w:r>
    </w:p>
    <w:p w14:paraId="7EE2CDD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2.及时追踪监控项目预算执行情况，提高预算执行效率</w:t>
      </w:r>
      <w:r>
        <w:rPr>
          <w:rFonts w:hint="default" w:ascii="仿宋_GB2312" w:hAnsi="仿宋_GB2312" w:eastAsia="仿宋_GB2312" w:cs="仿宋_GB2312"/>
          <w:sz w:val="32"/>
          <w:szCs w:val="32"/>
          <w:lang w:val="en-US" w:eastAsia="zh-CN"/>
        </w:rPr>
        <w:t>。</w:t>
      </w:r>
    </w:p>
    <w:p w14:paraId="07851BB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p>
    <w:p w14:paraId="1E9A9B7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金川县司法局</w:t>
      </w:r>
    </w:p>
    <w:p w14:paraId="2449848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2025年8月27日</w:t>
      </w:r>
      <w:bookmarkStart w:id="67" w:name="_GoBack"/>
      <w:bookmarkEnd w:id="67"/>
    </w:p>
    <w:p w14:paraId="7E3E5B5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right"/>
        <w:textAlignment w:val="auto"/>
        <w:outlineLvl w:val="9"/>
        <w:rPr>
          <w:rFonts w:hint="default" w:ascii="仿宋_GB2312" w:hAnsi="仿宋_GB2312" w:eastAsia="仿宋_GB2312" w:cs="仿宋_GB2312"/>
          <w:sz w:val="32"/>
          <w:szCs w:val="32"/>
          <w:lang w:val="zh-CN" w:eastAsia="zh-CN"/>
        </w:rPr>
      </w:pPr>
    </w:p>
    <w:p w14:paraId="50AD89B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p>
    <w:p w14:paraId="5DBC69C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附表：</w:t>
      </w:r>
      <w:r>
        <w:rPr>
          <w:rFonts w:hint="eastAsia" w:ascii="仿宋_GB2312" w:hAnsi="仿宋_GB2312" w:eastAsia="仿宋_GB2312" w:cs="仿宋_GB2312"/>
          <w:sz w:val="32"/>
          <w:szCs w:val="32"/>
          <w:lang w:val="en-US" w:eastAsia="zh-CN"/>
        </w:rPr>
        <w:t>1.部门预算绩效自评打分表</w:t>
      </w:r>
    </w:p>
    <w:p w14:paraId="5BF4B7C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1600" w:firstLineChars="5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部门整体绩效目标完成情况自评表</w:t>
      </w:r>
    </w:p>
    <w:p w14:paraId="69F2028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1600" w:firstLineChars="500"/>
        <w:contextualSpacing/>
        <w:jc w:val="left"/>
        <w:textAlignment w:val="auto"/>
        <w:outlineLvl w:val="9"/>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eastAsia="zh-CN"/>
        </w:rPr>
        <w:t>部门预算项目支出绩效评价表（202</w:t>
      </w:r>
      <w:r>
        <w:rPr>
          <w:rFonts w:hint="default"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eastAsia="zh-CN"/>
        </w:rPr>
        <w:t>年度）</w:t>
      </w:r>
    </w:p>
    <w:p w14:paraId="7BBE1B1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eastAsia" w:ascii="Times New Roman" w:hAnsi="Times New Roman" w:eastAsia="黑体" w:cs="Times New Roman"/>
          <w:kern w:val="2"/>
          <w:sz w:val="32"/>
          <w:szCs w:val="24"/>
          <w:highlight w:val="none"/>
          <w:lang w:val="en-US" w:eastAsia="zh-CN" w:bidi="ar-SA"/>
        </w:rPr>
      </w:pPr>
      <w:r>
        <w:rPr>
          <w:rFonts w:hint="default" w:ascii="仿宋_GB2312" w:hAnsi="仿宋_GB2312" w:eastAsia="仿宋_GB2312" w:cs="仿宋_GB2312"/>
          <w:sz w:val="32"/>
          <w:szCs w:val="32"/>
          <w:lang w:val="en-US" w:eastAsia="zh-CN"/>
        </w:rPr>
        <w:br w:type="page"/>
      </w: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6C7AAC7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5"/>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827"/>
        <w:gridCol w:w="407"/>
      </w:tblGrid>
      <w:tr w14:paraId="377F4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CA3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A9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827" w:type="dxa"/>
            <w:vMerge w:val="restart"/>
            <w:tcBorders>
              <w:top w:val="single" w:color="000000" w:sz="4" w:space="0"/>
              <w:left w:val="single" w:color="000000" w:sz="4" w:space="0"/>
              <w:right w:val="single" w:color="000000" w:sz="4" w:space="0"/>
            </w:tcBorders>
            <w:shd w:val="clear" w:color="auto" w:fill="auto"/>
            <w:vAlign w:val="center"/>
          </w:tcPr>
          <w:p w14:paraId="667AE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07" w:type="dxa"/>
            <w:vMerge w:val="restart"/>
            <w:tcBorders>
              <w:top w:val="single" w:color="000000" w:sz="4" w:space="0"/>
              <w:left w:val="single" w:color="000000" w:sz="4" w:space="0"/>
              <w:right w:val="single" w:color="000000" w:sz="4" w:space="0"/>
            </w:tcBorders>
            <w:shd w:val="clear" w:color="auto" w:fill="auto"/>
            <w:vAlign w:val="center"/>
          </w:tcPr>
          <w:p w14:paraId="22F11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254A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6887F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D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4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1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F624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827" w:type="dxa"/>
            <w:vMerge w:val="continue"/>
            <w:tcBorders>
              <w:left w:val="single" w:color="000000" w:sz="4" w:space="0"/>
              <w:bottom w:val="single" w:color="000000" w:sz="4" w:space="0"/>
              <w:right w:val="single" w:color="000000" w:sz="4" w:space="0"/>
            </w:tcBorders>
            <w:shd w:val="clear" w:color="auto" w:fill="auto"/>
            <w:vAlign w:val="center"/>
          </w:tcPr>
          <w:p w14:paraId="3CA57888">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07" w:type="dxa"/>
            <w:vMerge w:val="continue"/>
            <w:tcBorders>
              <w:left w:val="single" w:color="000000" w:sz="4" w:space="0"/>
              <w:bottom w:val="single" w:color="000000" w:sz="4" w:space="0"/>
              <w:right w:val="single" w:color="000000" w:sz="4" w:space="0"/>
            </w:tcBorders>
            <w:shd w:val="clear" w:color="auto" w:fill="auto"/>
            <w:vAlign w:val="center"/>
          </w:tcPr>
          <w:p w14:paraId="1EC3127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29B3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E2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69942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C4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加强普法宣传，提高群众法律意识履职效果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649976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5C4E28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部门整体绩效目标中选定3-5个核心职能目标，反映该项职能目标完成效果情况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F18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FF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F12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96A4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right w:val="single" w:color="000000" w:sz="4" w:space="0"/>
            </w:tcBorders>
            <w:shd w:val="clear" w:color="auto" w:fill="auto"/>
            <w:vAlign w:val="center"/>
          </w:tcPr>
          <w:p w14:paraId="67814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748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社区矫正与安置帮教履职效果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4462C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5727BE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D06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6B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F26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D9F8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717A0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606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公共法律服务履职效果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C605A9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14476B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788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27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BDD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7C0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081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E7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AB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04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部门是否严格按要求编制年初部门预算，年初预算编制的科学性和准确性</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D97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8D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B4A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E15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A8D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D4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A5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3D2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部门统筹自有收入程度</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B6C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86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FA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019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242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5E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AD9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9A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部门1至6月、1至10月预算执行情况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255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3.77</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44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97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DE1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E4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BF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1E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61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部门整体年终预算结余情况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007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A9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17C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9A2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29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19D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CC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E0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部门严控“三公”经费、会议、培训、差旅、办节办展、办公设备购置、信息网络及软件购置更新、课题经费等8项一般性支出情况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638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60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E3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78C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0DC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46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DD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AB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部门财务管理制度建立情况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E79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60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DC2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B06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F22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E2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F80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F1D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部门财务岗位设置是否符合相关财务管理制度要求</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D6C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DF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023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6E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0A4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906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5C5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CD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部门资金使用是否符合相关财务管理制度规定</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C14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5A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19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F5B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FC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C1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AE0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42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部门人均资产变化情况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7B2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8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961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A5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58E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87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9F8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12E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部门资产超最低使用年限情况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8D2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22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76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08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1F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D4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FF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37C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部门闲置一年以上的资产盘活情况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0EC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5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8A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E8C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C41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E3C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4B3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93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部门是否严格执行政府采购促进中小企业发展相关管理办法</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4FF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43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F34C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733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730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40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87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0E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部门政府采购项目资金支付比例情况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73B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C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B94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B0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C4BA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6B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4D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01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部门预算项目设立是否按规定履行评估论证、申报程序</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453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FF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ED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4E6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31DC5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87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41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44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部门预算项目绩效目标与计划期内的任务量、预算安排的资金量匹配情况，绩效目标设置是否科学合理、规范完整、量化细化、预算匹配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765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6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E2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934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FA41E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29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E7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07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部门预算项目是否在规定时间完成项目入库</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5F8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D5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D55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1A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1C3A6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A05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588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3E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部门预算项目实际列支内容是否与绩效目标设置方向相符</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159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DF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A7F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D2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8E1B1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1F9185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AFC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48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部门预算项目是否采取对应调整措施</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D14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A6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ED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661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1886F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1B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21F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BE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部门预算项目预算执行情况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1B8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50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3C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55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31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19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93C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E9D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部门预算项目绩效目标数量指标完成情况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ABE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A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100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A5E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252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72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A3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2E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部门预算项目绩效目标数量指标实现程度与预期目标的偏离情况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0DF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0.41</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13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A3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53A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D39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63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0D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160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部门预算项目绩效目标效益指标实施效果</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2CF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1.67</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E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81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9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D81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694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24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被评价对象工作配合情况</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73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32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40F33C4D">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5"/>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2005"/>
        <w:gridCol w:w="648"/>
        <w:gridCol w:w="881"/>
        <w:gridCol w:w="1058"/>
        <w:gridCol w:w="926"/>
        <w:gridCol w:w="1113"/>
      </w:tblGrid>
      <w:tr w14:paraId="00C9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623DB0B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DF9A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7C4B2D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19CE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2596DE59">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4927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6A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1B4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金川县司法局本级</w:t>
            </w:r>
          </w:p>
        </w:tc>
      </w:tr>
      <w:tr w14:paraId="153A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05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249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E07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39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3A72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610A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193D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68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1,154.82</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39E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1,154.82</w:t>
            </w:r>
          </w:p>
        </w:tc>
        <w:tc>
          <w:tcPr>
            <w:tcW w:w="39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F27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0065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2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0F2D68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EEB0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负责组织、指导、协调全县刑释解教人员安置帮教工作和社区矫正工作，监督管理所属社团组织；拟订全县公共法律服务体系建设规划并指导实施。</w:t>
            </w:r>
          </w:p>
        </w:tc>
      </w:tr>
      <w:tr w14:paraId="3214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3C3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13E4C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3BD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5C83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6818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792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A5C9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装备财务保障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E33E5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指导本系统财务、物资装备和基本建设管理工作，负责本系统服装和警车等监督管理工作。</w:t>
            </w:r>
          </w:p>
        </w:tc>
      </w:tr>
      <w:tr w14:paraId="5476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0E6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0F12F">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信息系统建设</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C4B270">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建设司法行政系统信息化。</w:t>
            </w:r>
          </w:p>
        </w:tc>
      </w:tr>
      <w:tr w14:paraId="3F75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9127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37700">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法制建设</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2CC20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研究拟订并组织实施全县依法治县工作政策规定、规章制度和发展战略。承担统筹全县立法工作规划和年度立法工作计划的建议，承担统筹推进法治政府建设的责任，承担统筹规划法治社会建设责任。</w:t>
            </w:r>
          </w:p>
        </w:tc>
      </w:tr>
      <w:tr w14:paraId="1425C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37C8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98E63">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法律服务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FEFCF2">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为所有符合条件的困难群众和农民工提供及时、高效的法律援助，保障弱势群体平等的享有司法保护权。做到“能援尽援”、“尽援优援”，满足弱势群体的法律援助需求，法律援助知晓率达85%,</w:t>
            </w:r>
          </w:p>
        </w:tc>
      </w:tr>
      <w:tr w14:paraId="7140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8A96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D2C1E">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律师公证管理</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0F30F4">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指导监督党政机关、企事业单位法律顾问工作和基层法律服务工作。监督管理律师和律师事务所工作，管理公职律师及公司律师工作。</w:t>
            </w:r>
          </w:p>
        </w:tc>
      </w:tr>
      <w:tr w14:paraId="7675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89B1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AC6F0">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基层司法业务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05D8C2">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指导监督人民调解、社区矫正、安置帮教、基层司法行政建设、基层法律服务、对全县监外执行的监管工作、刑满释放人员安置工作进行监督指导，协助管理全县基层法律服务工作。</w:t>
            </w:r>
          </w:p>
        </w:tc>
      </w:tr>
      <w:tr w14:paraId="0CF23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51EE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DC108">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行政执法监督管理</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081D7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负责全县行政执法的综合协调、监督检查和评价工作。负责行政执法人员、监督人员的资格和证件管理，推进严格规范公正文明执法。协调各乡镇、各部门在执法中产生的重大矛盾和争议。</w:t>
            </w:r>
          </w:p>
        </w:tc>
      </w:tr>
      <w:tr w14:paraId="48FE7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3379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67E82">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公共法律服务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A56CE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公共法律服务是政府公共职能的重要组成部分，是保障和改善民生的重要举措，负责规划和推进公共法律服务体系和平台建设工作。</w:t>
            </w:r>
          </w:p>
        </w:tc>
      </w:tr>
      <w:tr w14:paraId="4F4A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2E88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6672C">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其他司法管理事务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95A612">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拟定财务管理相关制度及规章，负责司法局装备采购、验收、发放、保管或司法所发展建设的支出。</w:t>
            </w:r>
          </w:p>
        </w:tc>
      </w:tr>
      <w:tr w14:paraId="03AE3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C9F2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FA609">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司法行政管理</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29AD4F">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承担统筹推进法治政府建设的责任。规范公正文明执法。指导监督全县行政复议、行政应诉和行政赔偿工作，承办向县政府申请的行政复议、行政赔偿案件，代理县政府行政应诉案件。负责拟定法治宣传教育规划，组织实施普法宣传工作，组织对外法治宣传。指导管理社区矫正工作。指导监督律师、法律援助、司法鉴定、公证、仲裁和基层法律服务管理工作。</w:t>
            </w:r>
          </w:p>
        </w:tc>
      </w:tr>
      <w:tr w14:paraId="22C0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07E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076FD">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普法宣传</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B5F9E1">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承担县政府常务会议会前学法工作。统筹指导各乡镇、各部门、各行业依法治理和法治创建工作，在全县开展普法宣传工作。</w:t>
            </w:r>
          </w:p>
        </w:tc>
      </w:tr>
      <w:tr w14:paraId="50A36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477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C34A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装备财务保障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C9849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指导本系统财务、物资装备和基本建设管理工作，负责本系统服装和警车等监督管理工作。</w:t>
            </w:r>
          </w:p>
        </w:tc>
      </w:tr>
      <w:tr w14:paraId="1ADC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0DF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7E768E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9F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9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7C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34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7BCCFA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AC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9E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256586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1C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6650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7E9F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06C5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7EC2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B84A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数量指标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E67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法律援助咨询、代书，依法公正、司法鉴定案件</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BC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432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450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63C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件</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642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54519F0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450件</w:t>
            </w:r>
          </w:p>
        </w:tc>
      </w:tr>
      <w:tr w14:paraId="5C30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6DD9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30340">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50DC">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7A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规范性文件审查办结率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848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B15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E36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989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470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598C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5ED2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0B8CD">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DDBC6">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A4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开展“八五”普法工作，持续推进法律“七进”专项活动。普法宣传资料10万份、普法宣传用品0.5万件。增加普法宣传覆盖率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96D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DF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682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7D1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42B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r>
      <w:tr w14:paraId="1834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6A3B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2F04E">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FEB23">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38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社区矫正、安置帮教人员培训，人民调解案件</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52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917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21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案件数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385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F01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77617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A2B5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E628C">
            <w:pPr>
              <w:jc w:val="left"/>
              <w:rPr>
                <w:rFonts w:hint="default" w:ascii="Times New Roman" w:hAnsi="Times New Roman" w:eastAsia="宋体" w:cs="Times New Roman"/>
                <w:i w:val="0"/>
                <w:color w:val="000000"/>
                <w:sz w:val="24"/>
                <w:szCs w:val="24"/>
                <w:u w:val="none"/>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ECEF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质量指标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E32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及时开展法律宣传活动,开展普法宣传30余次，增加宣传覆盖率。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61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0E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96</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08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31B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F49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w:t>
            </w:r>
          </w:p>
        </w:tc>
      </w:tr>
      <w:tr w14:paraId="27F89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EFB4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C4766">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68E3E22D">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1FD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通过规范法律援助案件的办理程序、公正、司法鉴定程序，提高办结率。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18C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80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AE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03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D0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6DEF5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2FAA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A723">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01F40A15">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7B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完成年度计划、总结撰写，完成部门预决算工作，高各项业务工作的报表、材料，车辆、资产的管理工作的完成度</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59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02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31E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06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80B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5778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01AE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F38CC">
            <w:pPr>
              <w:jc w:val="left"/>
              <w:rPr>
                <w:rFonts w:hint="default" w:ascii="Times New Roman" w:hAnsi="Times New Roman" w:eastAsia="宋体" w:cs="Times New Roman"/>
                <w:i w:val="0"/>
                <w:color w:val="000000"/>
                <w:sz w:val="24"/>
                <w:szCs w:val="24"/>
                <w:u w:val="none"/>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E60B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时效指标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1AD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各项业务工作完成时限</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63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94C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457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99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26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7B7AE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411E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D9D66">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AA0E2">
            <w:pPr>
              <w:jc w:val="left"/>
              <w:rPr>
                <w:rFonts w:hint="default" w:ascii="Times New Roman" w:hAnsi="Times New Roman" w:eastAsia="宋体" w:cs="Times New Roman"/>
                <w:i w:val="0"/>
                <w:color w:val="000000"/>
                <w:sz w:val="24"/>
                <w:szCs w:val="24"/>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05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规范性文件审查时限</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CB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15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FC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FE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0A3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7A80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799281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221A8F3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E0A73">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439EA">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EF9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法律援助咨询、代书，依法公正、司法鉴定案件</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A1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C96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450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5FE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件</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E87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BF3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450件</w:t>
            </w:r>
          </w:p>
        </w:tc>
      </w:tr>
      <w:tr w14:paraId="52621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15A90A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2A12E">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D846">
            <w:pPr>
              <w:jc w:val="left"/>
              <w:rPr>
                <w:rFonts w:hint="default" w:ascii="Times New Roman" w:hAnsi="Times New Roman" w:eastAsia="宋体" w:cs="Times New Roman"/>
                <w:i w:val="0"/>
                <w:color w:val="000000"/>
                <w:kern w:val="0"/>
                <w:sz w:val="24"/>
                <w:szCs w:val="24"/>
                <w:u w:val="none"/>
                <w:lang w:val="en-US" w:eastAsia="zh-CN" w:bidi="ar"/>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61B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规范性文件审查办结率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1D2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E8E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819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29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119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6BB19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6FF08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871C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4A53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5CF9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矛盾纠纷减少、促进刑满释放人员良性回归社会，减少重新犯罪率。</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3FE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52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9E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49E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07F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w:t>
            </w:r>
          </w:p>
        </w:tc>
      </w:tr>
      <w:tr w14:paraId="4E52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EC157C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D3908">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C1BED">
            <w:pPr>
              <w:jc w:val="left"/>
              <w:rPr>
                <w:rFonts w:hint="default" w:ascii="Times New Roman" w:hAnsi="Times New Roman" w:eastAsia="宋体" w:cs="Times New Roman"/>
                <w:i w:val="0"/>
                <w:color w:val="000000"/>
                <w:kern w:val="0"/>
                <w:sz w:val="24"/>
                <w:szCs w:val="24"/>
                <w:u w:val="none"/>
                <w:lang w:val="en-US" w:eastAsia="zh-CN" w:bidi="ar"/>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FA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为困难群众提供法律服务，促进社会稳定，提高社会和谐稳定性</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AE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68C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AC8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6F9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776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55E2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5CCEA86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00BEE">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7F4E">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生态效益指标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3E1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机关、司法所环境卫生整洁度</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1EF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B06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4B6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151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BE5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2643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474B4D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519098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105AE">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153FA">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可持续影响指标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277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法治意识加强，公民接受法治教育，社会持续稳定，提高群众法治意识。</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998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4B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E8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42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0F0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6238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B8387B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2767A">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41257">
            <w:pPr>
              <w:jc w:val="left"/>
              <w:rPr>
                <w:rFonts w:hint="default" w:ascii="Times New Roman" w:hAnsi="Times New Roman" w:eastAsia="宋体" w:cs="Times New Roman"/>
                <w:i w:val="0"/>
                <w:color w:val="000000"/>
                <w:kern w:val="0"/>
                <w:sz w:val="24"/>
                <w:szCs w:val="24"/>
                <w:u w:val="none"/>
                <w:lang w:val="en-US" w:eastAsia="zh-CN" w:bidi="ar"/>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5D4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减少社会不稳定因素，社会和谐稳定，提高社会稳定局势。</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5F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300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844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4BE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5E9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14:paraId="59B6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EEDA60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7F42">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029E">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服务对象满意度指标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C8F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服务对象满意度</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A0D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25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96</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C79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03D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DB7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r>
      <w:tr w14:paraId="2595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51DE8F6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9DAB">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2A40">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ascii="宋体" w:hAnsi="宋体" w:eastAsia="宋体" w:cs="宋体"/>
                <w:i w:val="0"/>
                <w:iCs w:val="0"/>
                <w:color w:val="000000"/>
                <w:kern w:val="0"/>
                <w:sz w:val="18"/>
                <w:szCs w:val="18"/>
                <w:u w:val="none"/>
                <w:lang w:val="en-US" w:eastAsia="zh-CN" w:bidi="ar"/>
              </w:rPr>
              <w:t>经济成本指标</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32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印制宣传品费用</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AE6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4F1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20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F2C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94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61B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20万元</w:t>
            </w:r>
          </w:p>
        </w:tc>
      </w:tr>
    </w:tbl>
    <w:p w14:paraId="1F279CE9">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p>
    <w:p w14:paraId="11097933">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8"/>
        <w:gridCol w:w="1193"/>
        <w:gridCol w:w="1196"/>
        <w:gridCol w:w="2009"/>
        <w:gridCol w:w="777"/>
        <w:gridCol w:w="1116"/>
        <w:gridCol w:w="714"/>
        <w:gridCol w:w="569"/>
      </w:tblGrid>
      <w:tr w14:paraId="48BF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4D2BA6B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06B7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2CB99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14:paraId="5F7D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32EE905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594A8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9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B0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6B4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r>
      <w:tr w14:paraId="0AAD2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BD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54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32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F8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4FE2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96C4A">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B583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1,154.82</w:t>
            </w:r>
          </w:p>
        </w:tc>
        <w:tc>
          <w:tcPr>
            <w:tcW w:w="16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811B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1,154.82</w:t>
            </w:r>
          </w:p>
        </w:tc>
        <w:tc>
          <w:tcPr>
            <w:tcW w:w="14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E62450">
            <w:pPr>
              <w:jc w:val="right"/>
              <w:rPr>
                <w:rFonts w:hint="eastAsia" w:ascii="宋体" w:hAnsi="宋体" w:eastAsia="宋体" w:cs="宋体"/>
                <w:i w:val="0"/>
                <w:iCs w:val="0"/>
                <w:color w:val="000000"/>
                <w:sz w:val="18"/>
                <w:szCs w:val="18"/>
                <w:u w:val="none"/>
              </w:rPr>
            </w:pPr>
          </w:p>
        </w:tc>
      </w:tr>
      <w:tr w14:paraId="0CEB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5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34AB5E">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负责组织、指导、协调全县刑释解教人员安置帮教工作和社区矫正工作，监督管理所属社团组织；拟订全县公共法律服务体系建设规划并指导实施。</w:t>
            </w:r>
          </w:p>
        </w:tc>
      </w:tr>
      <w:tr w14:paraId="5E3B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93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44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3C9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7702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01628">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111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装备财务保障</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E665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指导本系统财务、物资装备和基本建设管理工作，负责本系统服装和警车等监督管理工作。</w:t>
            </w:r>
          </w:p>
        </w:tc>
      </w:tr>
      <w:tr w14:paraId="35DB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304AC">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04C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信息系统建设</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C7E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建设司法行政系统信息化。</w:t>
            </w:r>
          </w:p>
        </w:tc>
      </w:tr>
      <w:tr w14:paraId="22B95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F0573">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296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法制建设</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1989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研究拟订并组织实施全县依法治县工作政策规定、规章制度和发展战略。承担统筹全县立法工作规划和年度立法工作计划的建议，承担统筹推进法治政府建设的责任，承担统筹规划法治社会建设责任。</w:t>
            </w:r>
          </w:p>
        </w:tc>
      </w:tr>
      <w:tr w14:paraId="24E0D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D84DF">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A1D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法律服务</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7E54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为所有符合条件的困难群众和农民工提供及时、高效的法律援助，保障弱势群体平等的享有司法保护权。做到“能援尽援”、“尽援优援”，满足弱势群体的法律援助需求，法律援助知晓率达85%,</w:t>
            </w:r>
          </w:p>
        </w:tc>
      </w:tr>
      <w:tr w14:paraId="7CD8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E685B">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F3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律师公证管理</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F5E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指导监督党政机关、企事业单位法律顾问工作和基层法律服务工作。监督管理律师和律师事务所工作，管理公职律师及公司律师工作。</w:t>
            </w:r>
          </w:p>
        </w:tc>
      </w:tr>
      <w:tr w14:paraId="1044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32BF9">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180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基层司法业务</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7CE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指导监督人民调解、社区矫正、安置帮教、基层司法行政建设、基层法律服务、对全县监外执行的监管工作、刑满释放人员安置工作进行监督指导，协助管理全县基层法律服务工作。</w:t>
            </w:r>
          </w:p>
        </w:tc>
      </w:tr>
      <w:tr w14:paraId="24BB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B039C">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0BF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行政执法监督管理</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85B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负责全县行政执法的综合协调、监督检查和评价工作。负责行政执法人员、监督人员的资格和证件管理，推进严格规范公正文明执法。协调各乡镇、各部门在执法中产生的重大矛盾和争议。</w:t>
            </w:r>
          </w:p>
        </w:tc>
      </w:tr>
      <w:tr w14:paraId="65D6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5892B">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430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公共法律服务</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4583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公共法律服务是政府公共职能的重要组成部分，是保障和改善民生的重要举措，负责规划和推进公共法律服务体系和平台建设工作。</w:t>
            </w:r>
          </w:p>
        </w:tc>
      </w:tr>
      <w:tr w14:paraId="07D6F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8B4B8">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695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其他司法管理事务</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2C0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拟定财务管理相关制度及规章，负责司法局装备采购、验收、发放、保管或司法所发展建设的支出。</w:t>
            </w:r>
          </w:p>
        </w:tc>
      </w:tr>
      <w:tr w14:paraId="433C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2B1E">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AE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司法行政管理</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1B0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承担统筹推进法治政府建设的责任。规范公正文明执法。指导监督全县行政复议、行政应诉和行政赔偿工作，承办向县政府申请的行政复议、行政赔偿案件，代理县政府行政应诉案件。负责拟定法治宣传教育规划，组织实施普法宣传工作，组织对外法治宣传。指导管理社区矫正工作。指导监督律师、法律援助、司法鉴定、公证、仲裁和基层法律服务管理工作。</w:t>
            </w:r>
          </w:p>
        </w:tc>
      </w:tr>
      <w:tr w14:paraId="1C1F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88988">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E29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普法宣传</w:t>
            </w:r>
          </w:p>
        </w:tc>
        <w:tc>
          <w:tcPr>
            <w:tcW w:w="30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14FF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承担县政府常务会议会前学法工作。统筹指导各乡镇、各部门、各行业依法治理和法治创建工作，在全县开展普法宣传工作。</w:t>
            </w:r>
          </w:p>
        </w:tc>
      </w:tr>
      <w:tr w14:paraId="2CEA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09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3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54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AA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2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F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74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7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407FF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D50C1">
            <w:pPr>
              <w:jc w:val="center"/>
              <w:rPr>
                <w:rFonts w:hint="eastAsia" w:ascii="宋体" w:hAnsi="宋体" w:eastAsia="宋体" w:cs="宋体"/>
                <w:i w:val="0"/>
                <w:iCs w:val="0"/>
                <w:color w:val="000000"/>
                <w:sz w:val="18"/>
                <w:szCs w:val="18"/>
                <w:u w:val="none"/>
              </w:rPr>
            </w:pP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90D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7F7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85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法律援助咨询、代书，依法公正、司法鉴定案件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3E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03A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CB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58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51A0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38A99">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BB0CD">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F0FDD">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C8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规范性文件审查办结率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DE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0A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F7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62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21E4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612E3">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24F2F">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89D2B">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67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开展“八五”普法工作，持续推进法律“七进”专项活动。普法宣传资料10万份、普法宣传用品0.5万件。增加普法宣传覆盖率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AD3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B27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A52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86E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02C0B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CFCB">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CD62C">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52BD5">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8E7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社区矫正、安置帮教人员培训，人民调解案件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40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8B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A0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案件数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EF0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2E514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E76F">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C9976">
            <w:pPr>
              <w:jc w:val="left"/>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668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F06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及时开展法律宣传活动,开展普法宣传30余次，增加宣传覆盖率。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B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DB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A0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8D2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60ABE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AC0CA">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DE520">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95CB9">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C5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通过规范法律援助案件的办理程序、公正、司法鉴定程序，提高办结率。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585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172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9F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43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6A4F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253A5">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B3C49">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32F33">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1B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完成年度计划、总结撰写，完成部门预决算工作，高各项业务工作的报表、材料，车辆、资产的管理工作的完成度</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C73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95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0D5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40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31DF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5F3ED">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03F32">
            <w:pPr>
              <w:jc w:val="left"/>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8D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157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各项业务工作完成时限</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E0C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B3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F2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C78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A4D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2233">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00CF2">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23D2">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FD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规范性文件审查时限</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1C1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04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9C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815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52FC0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2E846">
            <w:pPr>
              <w:jc w:val="center"/>
              <w:rPr>
                <w:rFonts w:hint="eastAsia" w:ascii="宋体" w:hAnsi="宋体" w:eastAsia="宋体" w:cs="宋体"/>
                <w:i w:val="0"/>
                <w:iCs w:val="0"/>
                <w:color w:val="000000"/>
                <w:sz w:val="18"/>
                <w:szCs w:val="18"/>
                <w:u w:val="none"/>
              </w:rPr>
            </w:pP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C69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BB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AF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矛盾纠纷减少、促进刑满释放人员良性回归社会，减少重新犯罪率。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0E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DA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BEA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820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E332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881CA">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B8ACB">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B0A1">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150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为困难群众提供法律服务，促进社会稳定，提高社会和谐稳定性</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AA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B80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437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E3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25E7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E80C4">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2BB51">
            <w:pPr>
              <w:jc w:val="left"/>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6D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6C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机关、司法所环境卫生整洁度</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21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ED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A60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6A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530B2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88B4B">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4E1A7">
            <w:pPr>
              <w:jc w:val="left"/>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7BE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B82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法治意识加强，公民接受法治教育，社会持续稳定，提高群众法治意识。</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50D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A1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661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A7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3BE7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1EA74">
            <w:pPr>
              <w:jc w:val="center"/>
              <w:rPr>
                <w:rFonts w:hint="eastAsia" w:ascii="宋体" w:hAnsi="宋体" w:eastAsia="宋体" w:cs="宋体"/>
                <w:i w:val="0"/>
                <w:iCs w:val="0"/>
                <w:color w:val="000000"/>
                <w:sz w:val="18"/>
                <w:szCs w:val="18"/>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C417C">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73CB2">
            <w:pPr>
              <w:jc w:val="left"/>
              <w:rPr>
                <w:rFonts w:hint="eastAsia" w:ascii="宋体" w:hAnsi="宋体" w:eastAsia="宋体" w:cs="宋体"/>
                <w:i w:val="0"/>
                <w:iCs w:val="0"/>
                <w:color w:val="000000"/>
                <w:sz w:val="18"/>
                <w:szCs w:val="18"/>
                <w:u w:val="none"/>
              </w:rPr>
            </w:pP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B44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减少社会不稳定因素，社会和谐稳定，提高社会稳定局势。</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A6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5C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9C7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614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4502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B8AAE">
            <w:pPr>
              <w:jc w:val="cente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2F8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4ED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5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6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69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8D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00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0724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222B9">
            <w:pPr>
              <w:jc w:val="cente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4D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B2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41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印制宣传品费用</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87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BF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DC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6D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bl>
    <w:p w14:paraId="697752F9">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14:paraId="7558055D">
      <w:pPr>
        <w:pStyle w:val="13"/>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3</w:t>
      </w:r>
    </w:p>
    <w:tbl>
      <w:tblPr>
        <w:tblStyle w:val="15"/>
        <w:tblW w:w="93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2"/>
        <w:gridCol w:w="1536"/>
        <w:gridCol w:w="1329"/>
        <w:gridCol w:w="1695"/>
        <w:gridCol w:w="389"/>
        <w:gridCol w:w="1256"/>
        <w:gridCol w:w="390"/>
        <w:gridCol w:w="817"/>
        <w:gridCol w:w="378"/>
        <w:gridCol w:w="341"/>
        <w:gridCol w:w="704"/>
      </w:tblGrid>
      <w:tr w14:paraId="4206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9347" w:type="dxa"/>
            <w:gridSpan w:val="11"/>
            <w:shd w:val="clear" w:color="auto" w:fill="auto"/>
            <w:vAlign w:val="center"/>
          </w:tcPr>
          <w:p w14:paraId="451B3AF6">
            <w:pPr>
              <w:keepNext w:val="0"/>
              <w:keepLines w:val="0"/>
              <w:widowControl/>
              <w:suppressLineNumbers w:val="0"/>
              <w:jc w:val="center"/>
              <w:textAlignment w:val="center"/>
              <w:rPr>
                <w:rFonts w:hint="default" w:ascii="Times New Roman" w:hAnsi="Times New Roman" w:eastAsia="黑体" w:cs="Times New Roman"/>
                <w:i w:val="0"/>
                <w:color w:val="000000"/>
                <w:sz w:val="28"/>
                <w:szCs w:val="2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8E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2048" w:type="dxa"/>
            <w:gridSpan w:val="2"/>
            <w:shd w:val="clear" w:color="auto" w:fill="auto"/>
            <w:vAlign w:val="center"/>
          </w:tcPr>
          <w:p w14:paraId="77E1FD60">
            <w:pPr>
              <w:keepNext w:val="0"/>
              <w:keepLines w:val="0"/>
              <w:widowControl/>
              <w:suppressLineNumbers w:val="0"/>
              <w:jc w:val="left"/>
              <w:textAlignment w:val="center"/>
              <w:rPr>
                <w:rFonts w:hint="default" w:ascii="Times New Roman" w:hAnsi="Times New Roman" w:eastAsia="宋体" w:cs="Times New Roman"/>
                <w:i w:val="0"/>
                <w:color w:val="000000"/>
                <w:sz w:val="28"/>
                <w:szCs w:val="28"/>
                <w:u w:val="none"/>
              </w:rPr>
            </w:pPr>
            <w:r>
              <w:rPr>
                <w:rFonts w:ascii="宋体" w:hAnsi="宋体" w:eastAsia="宋体" w:cs="宋体"/>
                <w:i w:val="0"/>
                <w:iCs w:val="0"/>
                <w:color w:val="000000"/>
                <w:kern w:val="0"/>
                <w:sz w:val="18"/>
                <w:szCs w:val="18"/>
                <w:u w:val="none"/>
                <w:lang w:val="en-US" w:eastAsia="zh-CN" w:bidi="ar"/>
              </w:rPr>
              <w:t>项目名称</w:t>
            </w:r>
          </w:p>
        </w:tc>
        <w:tc>
          <w:tcPr>
            <w:tcW w:w="7299" w:type="dxa"/>
            <w:gridSpan w:val="9"/>
            <w:shd w:val="clear" w:color="auto" w:fill="auto"/>
            <w:vAlign w:val="center"/>
          </w:tcPr>
          <w:p w14:paraId="10069BEB">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51322624T000011836422-2022年政法纪检监察转移支付结余资金</w:t>
            </w:r>
          </w:p>
        </w:tc>
      </w:tr>
      <w:tr w14:paraId="51F4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2048" w:type="dxa"/>
            <w:gridSpan w:val="2"/>
            <w:tcBorders>
              <w:bottom w:val="single" w:color="000000" w:sz="4" w:space="0"/>
            </w:tcBorders>
            <w:shd w:val="clear" w:color="auto" w:fill="auto"/>
            <w:vAlign w:val="center"/>
          </w:tcPr>
          <w:p w14:paraId="0C5C95EA">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ascii="宋体" w:hAnsi="宋体" w:eastAsia="宋体" w:cs="宋体"/>
                <w:i w:val="0"/>
                <w:iCs w:val="0"/>
                <w:color w:val="000000"/>
                <w:kern w:val="0"/>
                <w:sz w:val="18"/>
                <w:szCs w:val="18"/>
                <w:u w:val="none"/>
                <w:lang w:val="en-US" w:eastAsia="zh-CN" w:bidi="ar"/>
              </w:rPr>
              <w:t>主管部门</w:t>
            </w:r>
          </w:p>
        </w:tc>
        <w:tc>
          <w:tcPr>
            <w:tcW w:w="5059" w:type="dxa"/>
            <w:gridSpan w:val="5"/>
            <w:tcBorders>
              <w:bottom w:val="single" w:color="000000" w:sz="4" w:space="0"/>
            </w:tcBorders>
            <w:shd w:val="clear" w:color="auto" w:fill="auto"/>
            <w:vAlign w:val="center"/>
          </w:tcPr>
          <w:p w14:paraId="176ED1F2">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金川县司法局本级</w:t>
            </w:r>
          </w:p>
        </w:tc>
        <w:tc>
          <w:tcPr>
            <w:tcW w:w="817" w:type="dxa"/>
            <w:tcBorders>
              <w:bottom w:val="single" w:color="000000" w:sz="4" w:space="0"/>
            </w:tcBorders>
            <w:shd w:val="clear" w:color="auto" w:fill="auto"/>
            <w:vAlign w:val="center"/>
          </w:tcPr>
          <w:p w14:paraId="18F8B37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1423" w:type="dxa"/>
            <w:gridSpan w:val="3"/>
            <w:tcBorders>
              <w:bottom w:val="single" w:color="000000" w:sz="4" w:space="0"/>
            </w:tcBorders>
            <w:shd w:val="clear" w:color="auto" w:fill="auto"/>
            <w:vAlign w:val="center"/>
          </w:tcPr>
          <w:p w14:paraId="6B7B5F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金川县司法局</w:t>
            </w:r>
          </w:p>
        </w:tc>
      </w:tr>
      <w:tr w14:paraId="49F23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EED3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项目基本情况</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A207D">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50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457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22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D571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C86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BF2D0">
            <w:pPr>
              <w:rPr>
                <w:rFonts w:hint="default" w:ascii="Times New Roman" w:hAnsi="Times New Roman" w:eastAsia="宋体" w:cs="Times New Roman"/>
                <w:i w:val="0"/>
                <w:color w:val="000000"/>
                <w:sz w:val="24"/>
                <w:szCs w:val="24"/>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4A19">
            <w:pPr>
              <w:rPr>
                <w:rFonts w:hint="default" w:ascii="Times New Roman" w:hAnsi="Times New Roman" w:eastAsia="宋体" w:cs="Times New Roman"/>
                <w:i w:val="0"/>
                <w:color w:val="000000"/>
                <w:sz w:val="24"/>
                <w:szCs w:val="24"/>
                <w:u w:val="none"/>
              </w:rPr>
            </w:pPr>
          </w:p>
        </w:tc>
        <w:tc>
          <w:tcPr>
            <w:tcW w:w="50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A51D8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为进一步推进司法工作的顺利开展，创造安全稳定的社会环境，改善农牧民群众生产生活条件，加大司法宣传教育，提升农牧民群众法律意识。</w:t>
            </w:r>
          </w:p>
        </w:tc>
        <w:tc>
          <w:tcPr>
            <w:tcW w:w="22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0E3B8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黑体" w:hAnsi="黑体" w:eastAsia="黑体" w:cs="黑体"/>
                <w:i w:val="0"/>
                <w:iCs w:val="0"/>
                <w:color w:val="000000"/>
                <w:kern w:val="0"/>
                <w:sz w:val="18"/>
                <w:szCs w:val="18"/>
                <w:u w:val="none"/>
                <w:lang w:val="en-US" w:eastAsia="zh-CN" w:bidi="ar"/>
              </w:rPr>
              <w:t>根据相关文件要求，开展法律知识普及宣传，有利化解矛盾纠纷，创造安全稳定的社会环境，提升民众法律意识，达到让群众满意的效果。</w:t>
            </w:r>
          </w:p>
        </w:tc>
      </w:tr>
      <w:tr w14:paraId="06E44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DE81D">
            <w:pP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C83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3415F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根据相关文件要求，开展法律知识普及宣传，有利化解矛盾纠纷，创造安全稳定的社会环境，提升民众法律意识，达到让群众满意的效果。</w:t>
            </w:r>
          </w:p>
        </w:tc>
      </w:tr>
      <w:tr w14:paraId="68EA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18D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预算执行情况（10分）</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B6C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年度预算数（万元）</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24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45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67C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5B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E6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77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02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91E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D55E1">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C8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总额</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04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FCC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24.98</w:t>
            </w: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4A5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24.98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56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CF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F1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23805">
            <w:pPr>
              <w:keepNext w:val="0"/>
              <w:keepLines w:val="0"/>
              <w:widowControl/>
              <w:suppressLineNumbers w:val="0"/>
              <w:jc w:val="left"/>
              <w:textAlignment w:val="center"/>
            </w:pPr>
          </w:p>
        </w:tc>
      </w:tr>
      <w:tr w14:paraId="6DAD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3C07">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D9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其中：财政资金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02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49C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24.98</w:t>
            </w: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E9C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24.98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16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98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41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14F52"/>
        </w:tc>
      </w:tr>
      <w:tr w14:paraId="20C30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0444">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BAF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财政专户管理资金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0C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18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0.00</w:t>
            </w: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6EB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AD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F4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03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F90D4"/>
        </w:tc>
      </w:tr>
      <w:tr w14:paraId="2AC4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7C30B">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8F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单位资金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104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404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0.00</w:t>
            </w: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AA9D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018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0.00%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FC4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341" w:type="dxa"/>
            <w:tcBorders>
              <w:top w:val="single" w:color="000000" w:sz="4" w:space="0"/>
              <w:left w:val="single" w:color="000000" w:sz="4" w:space="0"/>
              <w:bottom w:val="single" w:color="000000" w:sz="4" w:space="0"/>
            </w:tcBorders>
            <w:shd w:val="clear" w:color="auto" w:fill="auto"/>
            <w:vAlign w:val="center"/>
          </w:tcPr>
          <w:p w14:paraId="3A63177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F0831">
            <w:pPr>
              <w:rPr>
                <w:rFonts w:hint="default" w:ascii="Times New Roman" w:hAnsi="Times New Roman" w:eastAsia="宋体" w:cs="Times New Roman"/>
                <w:i w:val="0"/>
                <w:color w:val="000000"/>
                <w:sz w:val="24"/>
                <w:szCs w:val="24"/>
                <w:u w:val="none"/>
              </w:rPr>
            </w:pPr>
          </w:p>
        </w:tc>
      </w:tr>
      <w:tr w14:paraId="4171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CF4BA">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334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其他资金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F321">
            <w:pPr>
              <w:jc w:val="center"/>
              <w:rPr>
                <w:rFonts w:hint="default" w:ascii="Times New Roman" w:hAnsi="Times New Roman" w:eastAsia="宋体" w:cs="Times New Roman"/>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59D3">
            <w:pPr>
              <w:jc w:val="center"/>
              <w:rPr>
                <w:rFonts w:hint="default" w:ascii="Times New Roman" w:hAnsi="Times New Roman" w:eastAsia="宋体" w:cs="Times New Roman"/>
                <w:i w:val="0"/>
                <w:color w:val="000000"/>
                <w:sz w:val="24"/>
                <w:szCs w:val="24"/>
                <w:u w:val="none"/>
              </w:rPr>
            </w:pPr>
          </w:p>
        </w:tc>
        <w:tc>
          <w:tcPr>
            <w:tcW w:w="2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9A8A6">
            <w:pPr>
              <w:jc w:val="center"/>
              <w:rPr>
                <w:rFonts w:hint="default" w:ascii="Times New Roman" w:hAnsi="Times New Roman" w:eastAsia="宋体" w:cs="Times New Roman"/>
                <w:i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5E12">
            <w:pPr>
              <w:jc w:val="center"/>
              <w:rPr>
                <w:rFonts w:hint="default" w:ascii="Times New Roman" w:hAnsi="Times New Roman" w:eastAsia="宋体" w:cs="Times New Roman"/>
                <w:i w:val="0"/>
                <w:color w:val="000000"/>
                <w:sz w:val="24"/>
                <w:szCs w:val="24"/>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EC7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B2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704" w:type="dxa"/>
            <w:vMerge w:val="continue"/>
            <w:tcBorders>
              <w:left w:val="single" w:color="000000" w:sz="4" w:space="0"/>
              <w:bottom w:val="single" w:color="000000" w:sz="4" w:space="0"/>
              <w:right w:val="single" w:color="000000" w:sz="4" w:space="0"/>
            </w:tcBorders>
            <w:shd w:val="clear" w:color="auto" w:fill="auto"/>
            <w:vAlign w:val="center"/>
          </w:tcPr>
          <w:p w14:paraId="2B14488E">
            <w:pPr>
              <w:rPr>
                <w:rFonts w:hint="default" w:ascii="Times New Roman" w:hAnsi="Times New Roman" w:eastAsia="宋体" w:cs="Times New Roman"/>
                <w:i w:val="0"/>
                <w:color w:val="000000"/>
                <w:sz w:val="24"/>
                <w:szCs w:val="24"/>
                <w:u w:val="none"/>
              </w:rPr>
            </w:pPr>
          </w:p>
        </w:tc>
      </w:tr>
      <w:tr w14:paraId="1BCA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B85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绩效指标（90分）</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6A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一级指标</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9E2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二级指标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3F5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三级指标</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61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指标性质</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A4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指标值</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AD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F32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完成值</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13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7EB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得分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C0C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未完成原因分析</w:t>
            </w:r>
          </w:p>
        </w:tc>
      </w:tr>
      <w:tr w14:paraId="3663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EC1A">
            <w:pPr>
              <w:jc w:val="center"/>
              <w:rPr>
                <w:rFonts w:hint="default" w:ascii="Times New Roman" w:hAnsi="Times New Roman" w:eastAsia="宋体" w:cs="Times New Roman"/>
                <w:i w:val="0"/>
                <w:color w:val="000000"/>
                <w:sz w:val="24"/>
                <w:szCs w:val="24"/>
                <w:u w:val="none"/>
              </w:rPr>
            </w:pP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AE0B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产出指标</w:t>
            </w:r>
          </w:p>
        </w:tc>
        <w:tc>
          <w:tcPr>
            <w:tcW w:w="1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AA97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数量指标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33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政府维修改造建设项目规模</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E7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28C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1558</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A3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平方米</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09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1558平方米</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6A7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E2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20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38E8">
            <w:pPr>
              <w:jc w:val="center"/>
              <w:rPr>
                <w:rFonts w:hint="default" w:ascii="Times New Roman" w:hAnsi="Times New Roman" w:eastAsia="宋体" w:cs="Times New Roman"/>
                <w:i w:val="0"/>
                <w:color w:val="000000"/>
                <w:sz w:val="24"/>
                <w:szCs w:val="24"/>
                <w:u w:val="none"/>
              </w:rPr>
            </w:pPr>
          </w:p>
        </w:tc>
      </w:tr>
      <w:tr w14:paraId="25A4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9934A">
            <w:pPr>
              <w:jc w:val="center"/>
              <w:rPr>
                <w:rFonts w:hint="default" w:ascii="Times New Roman" w:hAnsi="Times New Roman" w:eastAsia="宋体" w:cs="Times New Roman"/>
                <w:i w:val="0"/>
                <w:color w:val="000000"/>
                <w:sz w:val="24"/>
                <w:szCs w:val="24"/>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AC4C6">
            <w:pPr>
              <w:jc w:val="center"/>
              <w:rPr>
                <w:rFonts w:hint="default" w:ascii="Times New Roman" w:hAnsi="Times New Roman" w:eastAsia="宋体" w:cs="Times New Roman"/>
                <w:i w:val="0"/>
                <w:color w:val="000000"/>
                <w:sz w:val="24"/>
                <w:szCs w:val="24"/>
                <w:u w:val="none"/>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0615A">
            <w:pPr>
              <w:jc w:val="center"/>
              <w:rPr>
                <w:rFonts w:hint="default" w:ascii="Times New Roman" w:hAnsi="Times New Roman" w:eastAsia="宋体" w:cs="Times New Roman"/>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72A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覆盖人数</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81B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81A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1759</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AAF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人</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8EB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1759人</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8D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86F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FF82">
            <w:pPr>
              <w:jc w:val="center"/>
              <w:rPr>
                <w:rFonts w:hint="default" w:ascii="Times New Roman" w:hAnsi="Times New Roman" w:eastAsia="宋体" w:cs="Times New Roman"/>
                <w:i w:val="0"/>
                <w:color w:val="000000"/>
                <w:sz w:val="24"/>
                <w:szCs w:val="24"/>
                <w:u w:val="none"/>
              </w:rPr>
            </w:pPr>
          </w:p>
        </w:tc>
      </w:tr>
      <w:tr w14:paraId="153F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C3781">
            <w:pPr>
              <w:jc w:val="center"/>
              <w:rPr>
                <w:rFonts w:hint="default" w:ascii="Times New Roman" w:hAnsi="Times New Roman" w:eastAsia="宋体" w:cs="Times New Roman"/>
                <w:i w:val="0"/>
                <w:color w:val="000000"/>
                <w:sz w:val="24"/>
                <w:szCs w:val="24"/>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232D9">
            <w:pPr>
              <w:jc w:val="center"/>
              <w:rPr>
                <w:rFonts w:hint="default" w:ascii="Times New Roman" w:hAnsi="Times New Roman" w:eastAsia="宋体" w:cs="Times New Roman"/>
                <w:i w:val="0"/>
                <w:color w:val="000000"/>
                <w:sz w:val="24"/>
                <w:szCs w:val="24"/>
                <w:u w:val="none"/>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4F6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质量指标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3A2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验收合格率</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441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2F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100</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B5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0C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42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CAC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15</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6A7E">
            <w:pPr>
              <w:jc w:val="center"/>
              <w:rPr>
                <w:rFonts w:hint="default" w:ascii="Times New Roman" w:hAnsi="Times New Roman" w:eastAsia="宋体" w:cs="Times New Roman"/>
                <w:i w:val="0"/>
                <w:color w:val="000000"/>
                <w:sz w:val="24"/>
                <w:szCs w:val="24"/>
                <w:u w:val="none"/>
              </w:rPr>
            </w:pPr>
          </w:p>
        </w:tc>
      </w:tr>
      <w:tr w14:paraId="0E62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28FBA">
            <w:pPr>
              <w:jc w:val="center"/>
              <w:rPr>
                <w:rFonts w:hint="default" w:ascii="Times New Roman" w:hAnsi="Times New Roman" w:eastAsia="宋体" w:cs="Times New Roman"/>
                <w:i w:val="0"/>
                <w:color w:val="000000"/>
                <w:sz w:val="24"/>
                <w:szCs w:val="24"/>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1FBC8">
            <w:pPr>
              <w:jc w:val="center"/>
              <w:rPr>
                <w:rFonts w:hint="default" w:ascii="Times New Roman" w:hAnsi="Times New Roman" w:eastAsia="宋体" w:cs="Times New Roman"/>
                <w:i w:val="0"/>
                <w:color w:val="000000"/>
                <w:sz w:val="24"/>
                <w:szCs w:val="24"/>
                <w:u w:val="none"/>
              </w:rPr>
            </w:pPr>
          </w:p>
        </w:tc>
        <w:tc>
          <w:tcPr>
            <w:tcW w:w="1329" w:type="dxa"/>
            <w:tcBorders>
              <w:top w:val="single" w:color="000000" w:sz="4" w:space="0"/>
              <w:left w:val="single" w:color="000000" w:sz="4" w:space="0"/>
              <w:right w:val="single" w:color="000000" w:sz="4" w:space="0"/>
            </w:tcBorders>
            <w:shd w:val="clear" w:color="auto" w:fill="auto"/>
            <w:vAlign w:val="center"/>
          </w:tcPr>
          <w:p w14:paraId="67364BC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时效指标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EA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按合同约定按时拨付率</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48C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7DD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99</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4B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283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80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16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15</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CF4F">
            <w:pPr>
              <w:jc w:val="center"/>
              <w:rPr>
                <w:rFonts w:hint="default" w:ascii="Times New Roman" w:hAnsi="Times New Roman" w:eastAsia="宋体" w:cs="Times New Roman"/>
                <w:i w:val="0"/>
                <w:color w:val="000000"/>
                <w:sz w:val="24"/>
                <w:szCs w:val="24"/>
                <w:u w:val="none"/>
              </w:rPr>
            </w:pPr>
          </w:p>
        </w:tc>
      </w:tr>
      <w:tr w14:paraId="4D87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81449">
            <w:pPr>
              <w:jc w:val="center"/>
              <w:rPr>
                <w:rFonts w:hint="default" w:ascii="Times New Roman" w:hAnsi="Times New Roman" w:eastAsia="宋体" w:cs="Times New Roman"/>
                <w:i w:val="0"/>
                <w:color w:val="000000"/>
                <w:sz w:val="24"/>
                <w:szCs w:val="24"/>
                <w:u w:val="none"/>
              </w:rPr>
            </w:pP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D9A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效益指标</w:t>
            </w:r>
          </w:p>
        </w:tc>
        <w:tc>
          <w:tcPr>
            <w:tcW w:w="1329" w:type="dxa"/>
            <w:tcBorders>
              <w:top w:val="single" w:color="000000" w:sz="4" w:space="0"/>
              <w:left w:val="single" w:color="000000" w:sz="4" w:space="0"/>
              <w:right w:val="single" w:color="000000" w:sz="4" w:space="0"/>
            </w:tcBorders>
            <w:shd w:val="clear" w:color="auto" w:fill="auto"/>
            <w:vAlign w:val="center"/>
          </w:tcPr>
          <w:p w14:paraId="5E5D47C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社会效益指标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C2E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矛盾纠纷化解率</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4FE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234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93</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AC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2B7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F4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32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F7CB">
            <w:pPr>
              <w:jc w:val="center"/>
              <w:rPr>
                <w:rFonts w:hint="default" w:ascii="Times New Roman" w:hAnsi="Times New Roman" w:eastAsia="宋体" w:cs="Times New Roman"/>
                <w:i w:val="0"/>
                <w:color w:val="000000"/>
                <w:sz w:val="24"/>
                <w:szCs w:val="24"/>
                <w:u w:val="none"/>
              </w:rPr>
            </w:pPr>
          </w:p>
        </w:tc>
      </w:tr>
      <w:tr w14:paraId="4A6EB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83A55">
            <w:pPr>
              <w:jc w:val="center"/>
              <w:rPr>
                <w:rFonts w:hint="default" w:ascii="Times New Roman" w:hAnsi="Times New Roman" w:eastAsia="宋体" w:cs="Times New Roman"/>
                <w:i w:val="0"/>
                <w:color w:val="000000"/>
                <w:sz w:val="24"/>
                <w:szCs w:val="24"/>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53F7A">
            <w:pPr>
              <w:jc w:val="center"/>
              <w:rPr>
                <w:rFonts w:hint="default" w:ascii="Times New Roman" w:hAnsi="Times New Roman" w:eastAsia="宋体" w:cs="Times New Roman"/>
                <w:i w:val="0"/>
                <w:color w:val="000000"/>
                <w:sz w:val="24"/>
                <w:szCs w:val="24"/>
                <w:u w:val="none"/>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7C3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可持续影响指标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AB1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宣传法律知识普及率</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B20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A3B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95</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71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010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57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471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B9CC">
            <w:pPr>
              <w:jc w:val="center"/>
              <w:rPr>
                <w:rFonts w:hint="default" w:ascii="Times New Roman" w:hAnsi="Times New Roman" w:eastAsia="宋体" w:cs="Times New Roman"/>
                <w:i w:val="0"/>
                <w:color w:val="000000"/>
                <w:sz w:val="24"/>
                <w:szCs w:val="24"/>
                <w:u w:val="none"/>
              </w:rPr>
            </w:pPr>
          </w:p>
        </w:tc>
      </w:tr>
      <w:tr w14:paraId="5131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62561">
            <w:pPr>
              <w:jc w:val="center"/>
              <w:rPr>
                <w:rFonts w:hint="default" w:ascii="Times New Roman" w:hAnsi="Times New Roman" w:eastAsia="宋体" w:cs="Times New Roman"/>
                <w:i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D76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满意度指标</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B5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0E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受益群众满意度</w:t>
            </w:r>
          </w:p>
        </w:tc>
        <w:tc>
          <w:tcPr>
            <w:tcW w:w="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06E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37C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100</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0E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99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26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3D9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iCs w:val="0"/>
                <w:color w:val="000000"/>
                <w:kern w:val="0"/>
                <w:sz w:val="18"/>
                <w:szCs w:val="18"/>
                <w:u w:val="none"/>
                <w:lang w:val="en-US" w:eastAsia="zh-CN" w:bidi="ar"/>
              </w:rPr>
              <w:t>10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8FE6">
            <w:pPr>
              <w:jc w:val="center"/>
              <w:rPr>
                <w:rFonts w:hint="default" w:ascii="Times New Roman" w:hAnsi="Times New Roman" w:eastAsia="宋体" w:cs="Times New Roman"/>
                <w:i w:val="0"/>
                <w:color w:val="000000"/>
                <w:sz w:val="24"/>
                <w:szCs w:val="24"/>
                <w:u w:val="none"/>
              </w:rPr>
            </w:pPr>
          </w:p>
        </w:tc>
      </w:tr>
    </w:tbl>
    <w:p w14:paraId="47ABE5A5">
      <w:pPr>
        <w:rPr>
          <w:rFonts w:hint="default" w:ascii="Times New Roman" w:hAnsi="Times New Roman" w:eastAsia="黑体" w:cs="Times New Roman"/>
          <w:sz w:val="24"/>
          <w:szCs w:val="24"/>
          <w:highlight w:val="none"/>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40"/>
        <w:gridCol w:w="878"/>
        <w:gridCol w:w="1163"/>
        <w:gridCol w:w="396"/>
        <w:gridCol w:w="822"/>
        <w:gridCol w:w="396"/>
        <w:gridCol w:w="756"/>
        <w:gridCol w:w="486"/>
        <w:gridCol w:w="666"/>
        <w:gridCol w:w="1343"/>
      </w:tblGrid>
      <w:tr w14:paraId="26355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50E36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4508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3A0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5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2104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51322624T000011958819-2023年政法转移支付结余资金（阿州财行2023（23）号））</w:t>
            </w:r>
          </w:p>
        </w:tc>
      </w:tr>
      <w:tr w14:paraId="0687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FC8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ED18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382" w:type="pct"/>
            <w:tcBorders>
              <w:top w:val="nil"/>
              <w:left w:val="nil"/>
              <w:bottom w:val="nil"/>
              <w:right w:val="nil"/>
            </w:tcBorders>
            <w:shd w:val="clear" w:color="auto" w:fill="auto"/>
            <w:vAlign w:val="center"/>
          </w:tcPr>
          <w:p w14:paraId="6131A66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2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99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11BE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24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8B6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05C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1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EC9D9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4E0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81CEA">
            <w:pPr>
              <w:rPr>
                <w:rFonts w:hint="eastAsia" w:ascii="宋体" w:hAnsi="宋体" w:eastAsia="宋体" w:cs="宋体"/>
                <w:i w:val="0"/>
                <w:iCs w:val="0"/>
                <w:color w:val="000000"/>
                <w:sz w:val="18"/>
                <w:szCs w:val="18"/>
                <w:u w:val="none"/>
              </w:rPr>
            </w:pPr>
          </w:p>
        </w:tc>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FC2A6">
            <w:pPr>
              <w:rPr>
                <w:rFonts w:hint="eastAsia" w:ascii="宋体" w:hAnsi="宋体" w:eastAsia="宋体" w:cs="宋体"/>
                <w:i w:val="0"/>
                <w:iCs w:val="0"/>
                <w:color w:val="000000"/>
                <w:sz w:val="18"/>
                <w:szCs w:val="18"/>
                <w:u w:val="none"/>
              </w:rPr>
            </w:pPr>
          </w:p>
        </w:tc>
        <w:tc>
          <w:tcPr>
            <w:tcW w:w="23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B57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2023年政法转移支付结余资金，主要用于开展人民调解、普法宣传、合法性审查等工作、加强立法工作，更好的开展依法行政工作。</w:t>
            </w:r>
          </w:p>
        </w:tc>
        <w:tc>
          <w:tcPr>
            <w:tcW w:w="171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5344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通过开展人民调解、普法宣传、合法性审查等工作、加强立法工作，参与普法人数10000人，提高群众法律意识，普法覆盖率100%，达到群众满意的效果。</w:t>
            </w:r>
          </w:p>
        </w:tc>
      </w:tr>
      <w:tr w14:paraId="3021C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E22B">
            <w:pP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303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5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F263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通过开展人民调解、普法宣传、合法性审查等工作、加强立法工作，参与普法人数10000人，提高群众法律意识，普法覆盖率100%，达到群众满意的效果。</w:t>
            </w:r>
          </w:p>
        </w:tc>
      </w:tr>
      <w:tr w14:paraId="3A46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37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6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9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50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C8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1F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9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1E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9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8A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01A63">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A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F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06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45.29</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93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76.75%</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6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09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0F61B">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14099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310C5">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8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F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DB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C8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45.29</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4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76.75%</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D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F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E66E1">
            <w:pPr>
              <w:rPr>
                <w:rFonts w:hint="eastAsia" w:ascii="黑体" w:hAnsi="黑体" w:eastAsia="黑体" w:cs="黑体"/>
                <w:i/>
                <w:iCs/>
                <w:color w:val="000000"/>
                <w:sz w:val="18"/>
                <w:szCs w:val="18"/>
                <w:u w:val="none"/>
              </w:rPr>
            </w:pPr>
          </w:p>
        </w:tc>
      </w:tr>
      <w:tr w14:paraId="144B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2A531">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FC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1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8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3D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5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0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6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53593">
            <w:pPr>
              <w:rPr>
                <w:rFonts w:hint="eastAsia" w:ascii="黑体" w:hAnsi="黑体" w:eastAsia="黑体" w:cs="黑体"/>
                <w:i/>
                <w:iCs/>
                <w:color w:val="000000"/>
                <w:sz w:val="18"/>
                <w:szCs w:val="18"/>
                <w:u w:val="none"/>
              </w:rPr>
            </w:pPr>
          </w:p>
        </w:tc>
      </w:tr>
      <w:tr w14:paraId="611B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94B43">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7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09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E5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E3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4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7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6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42DC4">
            <w:pPr>
              <w:rPr>
                <w:rFonts w:hint="eastAsia" w:ascii="黑体" w:hAnsi="黑体" w:eastAsia="黑体" w:cs="黑体"/>
                <w:i/>
                <w:iCs/>
                <w:color w:val="000000"/>
                <w:sz w:val="18"/>
                <w:szCs w:val="18"/>
                <w:u w:val="none"/>
              </w:rPr>
            </w:pPr>
          </w:p>
        </w:tc>
      </w:tr>
      <w:tr w14:paraId="3679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24C4B">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2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0B6B">
            <w:pPr>
              <w:jc w:val="center"/>
              <w:rPr>
                <w:rFonts w:hint="eastAsia" w:ascii="微软雅黑" w:hAnsi="微软雅黑" w:eastAsia="微软雅黑" w:cs="微软雅黑"/>
                <w:i/>
                <w:iCs/>
                <w:color w:val="000000"/>
                <w:sz w:val="16"/>
                <w:szCs w:val="16"/>
                <w:u w:val="none"/>
              </w:rPr>
            </w:pP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A06C8">
            <w:pPr>
              <w:jc w:val="center"/>
              <w:rPr>
                <w:rFonts w:hint="eastAsia" w:ascii="微软雅黑" w:hAnsi="微软雅黑" w:eastAsia="微软雅黑" w:cs="微软雅黑"/>
                <w:i/>
                <w:iCs/>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2EDAB">
            <w:pPr>
              <w:jc w:val="center"/>
              <w:rPr>
                <w:rFonts w:hint="eastAsia" w:ascii="微软雅黑" w:hAnsi="微软雅黑" w:eastAsia="微软雅黑" w:cs="微软雅黑"/>
                <w:i/>
                <w:iCs/>
                <w:color w:val="000000"/>
                <w:sz w:val="16"/>
                <w:szCs w:val="16"/>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D90C">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4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2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704F9">
            <w:pPr>
              <w:rPr>
                <w:rFonts w:hint="eastAsia" w:ascii="黑体" w:hAnsi="黑体" w:eastAsia="黑体" w:cs="黑体"/>
                <w:i/>
                <w:iCs/>
                <w:color w:val="000000"/>
                <w:sz w:val="18"/>
                <w:szCs w:val="18"/>
                <w:u w:val="none"/>
              </w:rPr>
            </w:pPr>
          </w:p>
        </w:tc>
      </w:tr>
      <w:tr w14:paraId="3B01E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62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9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CF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93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F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A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0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62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62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B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07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DFF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44BD2">
            <w:pPr>
              <w:jc w:val="center"/>
              <w:rPr>
                <w:rFonts w:hint="eastAsia" w:ascii="宋体" w:hAnsi="宋体" w:eastAsia="宋体" w:cs="宋体"/>
                <w:i w:val="0"/>
                <w:iCs w:val="0"/>
                <w:color w:val="000000"/>
                <w:sz w:val="18"/>
                <w:szCs w:val="18"/>
                <w:u w:val="none"/>
              </w:rPr>
            </w:pPr>
          </w:p>
        </w:tc>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A9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A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0D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普法人数</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B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7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2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ED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10000人</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2E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AC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2266">
            <w:pPr>
              <w:jc w:val="center"/>
              <w:rPr>
                <w:rFonts w:hint="eastAsia" w:ascii="微软雅黑" w:hAnsi="微软雅黑" w:eastAsia="微软雅黑" w:cs="微软雅黑"/>
                <w:i/>
                <w:iCs/>
                <w:color w:val="000000"/>
                <w:sz w:val="16"/>
                <w:szCs w:val="16"/>
                <w:u w:val="none"/>
              </w:rPr>
            </w:pPr>
          </w:p>
        </w:tc>
      </w:tr>
      <w:tr w14:paraId="2F39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32C19">
            <w:pPr>
              <w:jc w:val="center"/>
              <w:rPr>
                <w:rFonts w:hint="eastAsia" w:ascii="宋体" w:hAnsi="宋体" w:eastAsia="宋体" w:cs="宋体"/>
                <w:i w:val="0"/>
                <w:iCs w:val="0"/>
                <w:color w:val="000000"/>
                <w:sz w:val="18"/>
                <w:szCs w:val="18"/>
                <w:u w:val="none"/>
              </w:rPr>
            </w:pPr>
          </w:p>
        </w:tc>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CB973">
            <w:pPr>
              <w:jc w:val="center"/>
              <w:rPr>
                <w:rFonts w:hint="eastAsia" w:ascii="宋体" w:hAnsi="宋体" w:eastAsia="宋体" w:cs="宋体"/>
                <w:i w:val="0"/>
                <w:iCs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AD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D6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普法覆盖率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0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E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0C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A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3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1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669DF">
            <w:pPr>
              <w:jc w:val="center"/>
              <w:rPr>
                <w:rFonts w:hint="eastAsia" w:ascii="微软雅黑" w:hAnsi="微软雅黑" w:eastAsia="微软雅黑" w:cs="微软雅黑"/>
                <w:i/>
                <w:iCs/>
                <w:color w:val="000000"/>
                <w:sz w:val="16"/>
                <w:szCs w:val="16"/>
                <w:u w:val="none"/>
              </w:rPr>
            </w:pPr>
          </w:p>
        </w:tc>
      </w:tr>
      <w:tr w14:paraId="2F91E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F6C1D">
            <w:pPr>
              <w:jc w:val="center"/>
              <w:rPr>
                <w:rFonts w:hint="eastAsia" w:ascii="宋体" w:hAnsi="宋体" w:eastAsia="宋体" w:cs="宋体"/>
                <w:i w:val="0"/>
                <w:iCs w:val="0"/>
                <w:color w:val="000000"/>
                <w:sz w:val="18"/>
                <w:szCs w:val="18"/>
                <w:u w:val="none"/>
              </w:rPr>
            </w:pPr>
          </w:p>
        </w:tc>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66821">
            <w:pPr>
              <w:jc w:val="center"/>
              <w:rPr>
                <w:rFonts w:hint="eastAsia" w:ascii="宋体" w:hAnsi="宋体" w:eastAsia="宋体" w:cs="宋体"/>
                <w:i w:val="0"/>
                <w:iCs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ED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C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0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5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0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6D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4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E2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0893A">
            <w:pPr>
              <w:jc w:val="center"/>
              <w:rPr>
                <w:rFonts w:hint="eastAsia" w:ascii="微软雅黑" w:hAnsi="微软雅黑" w:eastAsia="微软雅黑" w:cs="微软雅黑"/>
                <w:i/>
                <w:iCs/>
                <w:color w:val="000000"/>
                <w:sz w:val="16"/>
                <w:szCs w:val="16"/>
                <w:u w:val="none"/>
              </w:rPr>
            </w:pPr>
          </w:p>
        </w:tc>
      </w:tr>
      <w:tr w14:paraId="1F639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041BE">
            <w:pPr>
              <w:jc w:val="center"/>
              <w:rPr>
                <w:rFonts w:hint="eastAsia" w:ascii="宋体" w:hAnsi="宋体" w:eastAsia="宋体" w:cs="宋体"/>
                <w:i w:val="0"/>
                <w:iCs w:val="0"/>
                <w:color w:val="000000"/>
                <w:sz w:val="18"/>
                <w:szCs w:val="18"/>
                <w:u w:val="none"/>
              </w:rPr>
            </w:pPr>
          </w:p>
        </w:tc>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23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1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9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提高群众法律意识</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BD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2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AE7C">
            <w:pPr>
              <w:jc w:val="center"/>
              <w:rPr>
                <w:rFonts w:hint="eastAsia" w:ascii="宋体" w:hAnsi="宋体" w:eastAsia="宋体" w:cs="宋体"/>
                <w:i w:val="0"/>
                <w:iCs w:val="0"/>
                <w:color w:val="000000"/>
                <w:sz w:val="18"/>
                <w:szCs w:val="18"/>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3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F4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9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8B04F">
            <w:pPr>
              <w:jc w:val="center"/>
              <w:rPr>
                <w:rFonts w:hint="eastAsia" w:ascii="微软雅黑" w:hAnsi="微软雅黑" w:eastAsia="微软雅黑" w:cs="微软雅黑"/>
                <w:i/>
                <w:iCs/>
                <w:color w:val="000000"/>
                <w:sz w:val="16"/>
                <w:szCs w:val="16"/>
                <w:u w:val="none"/>
              </w:rPr>
            </w:pPr>
          </w:p>
        </w:tc>
      </w:tr>
      <w:tr w14:paraId="19547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20B4F">
            <w:pPr>
              <w:jc w:val="center"/>
              <w:rPr>
                <w:rFonts w:hint="eastAsia" w:ascii="宋体" w:hAnsi="宋体" w:eastAsia="宋体" w:cs="宋体"/>
                <w:i w:val="0"/>
                <w:iCs w:val="0"/>
                <w:color w:val="000000"/>
                <w:sz w:val="18"/>
                <w:szCs w:val="18"/>
                <w:u w:val="none"/>
              </w:rPr>
            </w:pPr>
          </w:p>
        </w:tc>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CB3AE">
            <w:pPr>
              <w:jc w:val="center"/>
              <w:rPr>
                <w:rFonts w:hint="eastAsia" w:ascii="宋体" w:hAnsi="宋体" w:eastAsia="宋体" w:cs="宋体"/>
                <w:i w:val="0"/>
                <w:iCs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B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D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1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5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D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E2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EC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7A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08DC">
            <w:pPr>
              <w:jc w:val="center"/>
              <w:rPr>
                <w:rFonts w:hint="eastAsia" w:ascii="微软雅黑" w:hAnsi="微软雅黑" w:eastAsia="微软雅黑" w:cs="微软雅黑"/>
                <w:i/>
                <w:iCs/>
                <w:color w:val="000000"/>
                <w:sz w:val="16"/>
                <w:szCs w:val="16"/>
                <w:u w:val="none"/>
              </w:rPr>
            </w:pPr>
          </w:p>
        </w:tc>
      </w:tr>
      <w:tr w14:paraId="3ED33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EC901">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38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E9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4F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3A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F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E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D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6F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CE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6165">
            <w:pPr>
              <w:jc w:val="center"/>
              <w:rPr>
                <w:rFonts w:hint="eastAsia" w:ascii="微软雅黑" w:hAnsi="微软雅黑" w:eastAsia="微软雅黑" w:cs="微软雅黑"/>
                <w:i/>
                <w:iCs/>
                <w:color w:val="000000"/>
                <w:sz w:val="16"/>
                <w:szCs w:val="16"/>
                <w:u w:val="none"/>
              </w:rPr>
            </w:pPr>
          </w:p>
        </w:tc>
      </w:tr>
      <w:tr w14:paraId="7BB3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DBB97">
            <w:pPr>
              <w:jc w:val="center"/>
              <w:rPr>
                <w:rFonts w:hint="eastAsia" w:ascii="宋体" w:hAnsi="宋体" w:eastAsia="宋体" w:cs="宋体"/>
                <w:i w:val="0"/>
                <w:iCs w:val="0"/>
                <w:color w:val="000000"/>
                <w:sz w:val="18"/>
                <w:szCs w:val="18"/>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B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3C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A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0A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3C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E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8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A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1F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DE0FD">
            <w:pPr>
              <w:jc w:val="center"/>
              <w:rPr>
                <w:rFonts w:hint="eastAsia" w:ascii="微软雅黑" w:hAnsi="微软雅黑" w:eastAsia="微软雅黑" w:cs="微软雅黑"/>
                <w:i/>
                <w:iCs/>
                <w:color w:val="000000"/>
                <w:sz w:val="16"/>
                <w:szCs w:val="16"/>
                <w:u w:val="none"/>
              </w:rPr>
            </w:pPr>
          </w:p>
        </w:tc>
      </w:tr>
      <w:tr w14:paraId="7AFD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67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B32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7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BCA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97.67</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F8C67">
            <w:pPr>
              <w:rPr>
                <w:rFonts w:hint="eastAsia" w:ascii="宋体" w:hAnsi="宋体" w:eastAsia="宋体" w:cs="宋体"/>
                <w:i w:val="0"/>
                <w:iCs w:val="0"/>
                <w:color w:val="000000"/>
                <w:sz w:val="18"/>
                <w:szCs w:val="18"/>
                <w:u w:val="none"/>
              </w:rPr>
            </w:pPr>
          </w:p>
        </w:tc>
      </w:tr>
      <w:tr w14:paraId="3EED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A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CD15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通过对本项目进行自评，自评总得分97.67分。通过实施该项目，加强普法宣传，提高群众法律意识，普法覆盖率100%，达到群众满意的效果。</w:t>
            </w:r>
          </w:p>
        </w:tc>
      </w:tr>
      <w:tr w14:paraId="4274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5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2168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E5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49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83DE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7E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2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C5D6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7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D9F7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402E73E">
      <w:pPr>
        <w:rPr>
          <w:rFonts w:hint="default" w:ascii="Times New Roman" w:hAnsi="Times New Roman" w:eastAsia="黑体" w:cs="Times New Roman"/>
          <w:sz w:val="24"/>
          <w:szCs w:val="24"/>
          <w:highlight w:val="none"/>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38"/>
        <w:gridCol w:w="877"/>
        <w:gridCol w:w="1164"/>
        <w:gridCol w:w="396"/>
        <w:gridCol w:w="819"/>
        <w:gridCol w:w="396"/>
        <w:gridCol w:w="846"/>
        <w:gridCol w:w="486"/>
        <w:gridCol w:w="576"/>
        <w:gridCol w:w="1348"/>
      </w:tblGrid>
      <w:tr w14:paraId="46E7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68303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A7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DF0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71CB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51322624T000011958846-2023年政法转移支付结余资金（阿州财行2023（84）号））</w:t>
            </w:r>
          </w:p>
        </w:tc>
      </w:tr>
      <w:tr w14:paraId="69C8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702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5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1E9E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385" w:type="pct"/>
            <w:tcBorders>
              <w:top w:val="nil"/>
              <w:left w:val="nil"/>
              <w:bottom w:val="nil"/>
              <w:right w:val="nil"/>
            </w:tcBorders>
            <w:shd w:val="clear" w:color="auto" w:fill="auto"/>
            <w:vAlign w:val="center"/>
          </w:tcPr>
          <w:p w14:paraId="678067FE">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A3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6D4B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00B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24E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5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D1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82FC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C144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2FCB7">
            <w:pPr>
              <w:rPr>
                <w:rFonts w:hint="eastAsia" w:ascii="宋体" w:hAnsi="宋体" w:eastAsia="宋体" w:cs="宋体"/>
                <w:i w:val="0"/>
                <w:iCs w:val="0"/>
                <w:color w:val="000000"/>
                <w:sz w:val="18"/>
                <w:szCs w:val="18"/>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FED5">
            <w:pPr>
              <w:rPr>
                <w:rFonts w:hint="eastAsia" w:ascii="宋体" w:hAnsi="宋体" w:eastAsia="宋体" w:cs="宋体"/>
                <w:i w:val="0"/>
                <w:iCs w:val="0"/>
                <w:color w:val="000000"/>
                <w:sz w:val="18"/>
                <w:szCs w:val="18"/>
                <w:u w:val="none"/>
              </w:rPr>
            </w:pPr>
          </w:p>
        </w:tc>
        <w:tc>
          <w:tcPr>
            <w:tcW w:w="235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3847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2023年政法转移结余资金，主要用于开展人民调解、普法宣传、合法性审查等工作、加强立法工作，更好的开展依法行政工作。</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FB68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通过开展人民调解、普法宣传、合法性审查等工作、加强立法工作，提高群众法律意识，普法覆盖率100%，达到群众满意的效果。</w:t>
            </w:r>
          </w:p>
        </w:tc>
      </w:tr>
      <w:tr w14:paraId="591C5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701B">
            <w:pP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674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15CE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通过开展人民调解、普法宣传、合法性审查等工作、加强立法工作，提高群众法律意识，普法覆盖率100%，达到群众满意的效果。</w:t>
            </w:r>
          </w:p>
        </w:tc>
      </w:tr>
      <w:tr w14:paraId="452B4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C5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F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87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9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C4A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D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F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F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7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883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07B27">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1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A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0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38.35</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5D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E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98.94%</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F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65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8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2DE9C">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7C28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0042C">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2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1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6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38.35</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4D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2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98.94%</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8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AB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DFF7C">
            <w:pPr>
              <w:rPr>
                <w:rFonts w:hint="eastAsia" w:ascii="黑体" w:hAnsi="黑体" w:eastAsia="黑体" w:cs="黑体"/>
                <w:i/>
                <w:iCs/>
                <w:color w:val="000000"/>
                <w:sz w:val="18"/>
                <w:szCs w:val="18"/>
                <w:u w:val="none"/>
              </w:rPr>
            </w:pPr>
          </w:p>
        </w:tc>
      </w:tr>
      <w:tr w14:paraId="2654C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59CD">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F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1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E0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FE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F4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C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1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4F7CB">
            <w:pPr>
              <w:rPr>
                <w:rFonts w:hint="eastAsia" w:ascii="黑体" w:hAnsi="黑体" w:eastAsia="黑体" w:cs="黑体"/>
                <w:i/>
                <w:iCs/>
                <w:color w:val="000000"/>
                <w:sz w:val="18"/>
                <w:szCs w:val="18"/>
                <w:u w:val="none"/>
              </w:rPr>
            </w:pPr>
          </w:p>
        </w:tc>
      </w:tr>
      <w:tr w14:paraId="6E750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719F8">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A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C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B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2B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B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9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9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FDD9A">
            <w:pPr>
              <w:rPr>
                <w:rFonts w:hint="eastAsia" w:ascii="黑体" w:hAnsi="黑体" w:eastAsia="黑体" w:cs="黑体"/>
                <w:i/>
                <w:iCs/>
                <w:color w:val="000000"/>
                <w:sz w:val="18"/>
                <w:szCs w:val="18"/>
                <w:u w:val="none"/>
              </w:rPr>
            </w:pPr>
          </w:p>
        </w:tc>
      </w:tr>
      <w:tr w14:paraId="4209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8111A">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F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4D4FB">
            <w:pPr>
              <w:jc w:val="center"/>
              <w:rPr>
                <w:rFonts w:hint="eastAsia" w:ascii="微软雅黑" w:hAnsi="微软雅黑" w:eastAsia="微软雅黑" w:cs="微软雅黑"/>
                <w:i/>
                <w:iCs/>
                <w:color w:val="000000"/>
                <w:sz w:val="16"/>
                <w:szCs w:val="16"/>
                <w:u w:val="none"/>
              </w:rPr>
            </w:pP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3AD5">
            <w:pPr>
              <w:jc w:val="center"/>
              <w:rPr>
                <w:rFonts w:hint="eastAsia" w:ascii="微软雅黑" w:hAnsi="微软雅黑" w:eastAsia="微软雅黑" w:cs="微软雅黑"/>
                <w:i/>
                <w:iCs/>
                <w:color w:val="000000"/>
                <w:sz w:val="16"/>
                <w:szCs w:val="16"/>
                <w:u w:val="none"/>
              </w:rPr>
            </w:pP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BA890">
            <w:pPr>
              <w:jc w:val="center"/>
              <w:rPr>
                <w:rFonts w:hint="eastAsia" w:ascii="微软雅黑" w:hAnsi="微软雅黑" w:eastAsia="微软雅黑" w:cs="微软雅黑"/>
                <w:i/>
                <w:iCs/>
                <w:color w:val="000000"/>
                <w:sz w:val="16"/>
                <w:szCs w:val="16"/>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0873">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01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6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2CEDC">
            <w:pPr>
              <w:rPr>
                <w:rFonts w:hint="eastAsia" w:ascii="黑体" w:hAnsi="黑体" w:eastAsia="黑体" w:cs="黑体"/>
                <w:i/>
                <w:iCs/>
                <w:color w:val="000000"/>
                <w:sz w:val="18"/>
                <w:szCs w:val="18"/>
                <w:u w:val="none"/>
              </w:rPr>
            </w:pPr>
          </w:p>
        </w:tc>
      </w:tr>
      <w:tr w14:paraId="63A77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82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E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23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F8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3A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D9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7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4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F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4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A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3CF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D60F">
            <w:pPr>
              <w:jc w:val="center"/>
              <w:rPr>
                <w:rFonts w:hint="eastAsia" w:ascii="宋体" w:hAnsi="宋体" w:eastAsia="宋体" w:cs="宋体"/>
                <w:i w:val="0"/>
                <w:iCs w:val="0"/>
                <w:color w:val="000000"/>
                <w:sz w:val="18"/>
                <w:szCs w:val="18"/>
                <w:u w:val="none"/>
              </w:rPr>
            </w:pP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B9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91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2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购买设备数</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18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38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E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A1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6台</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3A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22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18D8">
            <w:pPr>
              <w:jc w:val="center"/>
              <w:rPr>
                <w:rFonts w:hint="eastAsia" w:ascii="微软雅黑" w:hAnsi="微软雅黑" w:eastAsia="微软雅黑" w:cs="微软雅黑"/>
                <w:i/>
                <w:iCs/>
                <w:color w:val="000000"/>
                <w:sz w:val="16"/>
                <w:szCs w:val="16"/>
                <w:u w:val="none"/>
              </w:rPr>
            </w:pPr>
          </w:p>
        </w:tc>
      </w:tr>
      <w:tr w14:paraId="0546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8A5E9">
            <w:pPr>
              <w:jc w:val="center"/>
              <w:rPr>
                <w:rFonts w:hint="eastAsia" w:ascii="宋体" w:hAnsi="宋体" w:eastAsia="宋体" w:cs="宋体"/>
                <w:i w:val="0"/>
                <w:iCs w:val="0"/>
                <w:color w:val="000000"/>
                <w:sz w:val="18"/>
                <w:szCs w:val="18"/>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7F72E">
            <w:pPr>
              <w:jc w:val="center"/>
              <w:rPr>
                <w:rFonts w:hint="eastAsia" w:ascii="宋体" w:hAnsi="宋体" w:eastAsia="宋体" w:cs="宋体"/>
                <w:i w:val="0"/>
                <w:iCs w:val="0"/>
                <w:color w:val="000000"/>
                <w:sz w:val="18"/>
                <w:szCs w:val="18"/>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0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5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普法覆盖率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9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2C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5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5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6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0A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380F6">
            <w:pPr>
              <w:jc w:val="center"/>
              <w:rPr>
                <w:rFonts w:hint="eastAsia" w:ascii="微软雅黑" w:hAnsi="微软雅黑" w:eastAsia="微软雅黑" w:cs="微软雅黑"/>
                <w:i/>
                <w:iCs/>
                <w:color w:val="000000"/>
                <w:sz w:val="16"/>
                <w:szCs w:val="16"/>
                <w:u w:val="none"/>
              </w:rPr>
            </w:pPr>
          </w:p>
        </w:tc>
      </w:tr>
      <w:tr w14:paraId="2557F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9AB6B">
            <w:pPr>
              <w:jc w:val="center"/>
              <w:rPr>
                <w:rFonts w:hint="eastAsia" w:ascii="宋体" w:hAnsi="宋体" w:eastAsia="宋体" w:cs="宋体"/>
                <w:i w:val="0"/>
                <w:iCs w:val="0"/>
                <w:color w:val="000000"/>
                <w:sz w:val="18"/>
                <w:szCs w:val="18"/>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439CE">
            <w:pPr>
              <w:jc w:val="center"/>
              <w:rPr>
                <w:rFonts w:hint="eastAsia" w:ascii="宋体" w:hAnsi="宋体" w:eastAsia="宋体" w:cs="宋体"/>
                <w:i w:val="0"/>
                <w:iCs w:val="0"/>
                <w:color w:val="000000"/>
                <w:sz w:val="18"/>
                <w:szCs w:val="18"/>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60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4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EF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0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B8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FF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7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D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0D100">
            <w:pPr>
              <w:jc w:val="center"/>
              <w:rPr>
                <w:rFonts w:hint="eastAsia" w:ascii="微软雅黑" w:hAnsi="微软雅黑" w:eastAsia="微软雅黑" w:cs="微软雅黑"/>
                <w:i/>
                <w:iCs/>
                <w:color w:val="000000"/>
                <w:sz w:val="16"/>
                <w:szCs w:val="16"/>
                <w:u w:val="none"/>
              </w:rPr>
            </w:pPr>
          </w:p>
        </w:tc>
      </w:tr>
      <w:tr w14:paraId="0F519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3BF1">
            <w:pPr>
              <w:jc w:val="center"/>
              <w:rPr>
                <w:rFonts w:hint="eastAsia" w:ascii="宋体" w:hAnsi="宋体" w:eastAsia="宋体" w:cs="宋体"/>
                <w:i w:val="0"/>
                <w:iCs w:val="0"/>
                <w:color w:val="000000"/>
                <w:sz w:val="18"/>
                <w:szCs w:val="18"/>
                <w:u w:val="none"/>
              </w:rPr>
            </w:pP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56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5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C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提高群众法律意识</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B0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C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88C7">
            <w:pPr>
              <w:jc w:val="center"/>
              <w:rPr>
                <w:rFonts w:hint="eastAsia" w:ascii="宋体" w:hAnsi="宋体" w:eastAsia="宋体" w:cs="宋体"/>
                <w:i w:val="0"/>
                <w:iCs w:val="0"/>
                <w:color w:val="000000"/>
                <w:sz w:val="18"/>
                <w:szCs w:val="18"/>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5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57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F0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7AE47">
            <w:pPr>
              <w:jc w:val="center"/>
              <w:rPr>
                <w:rFonts w:hint="eastAsia" w:ascii="微软雅黑" w:hAnsi="微软雅黑" w:eastAsia="微软雅黑" w:cs="微软雅黑"/>
                <w:i/>
                <w:iCs/>
                <w:color w:val="000000"/>
                <w:sz w:val="16"/>
                <w:szCs w:val="16"/>
                <w:u w:val="none"/>
              </w:rPr>
            </w:pPr>
          </w:p>
        </w:tc>
      </w:tr>
      <w:tr w14:paraId="31F0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F983">
            <w:pPr>
              <w:jc w:val="center"/>
              <w:rPr>
                <w:rFonts w:hint="eastAsia" w:ascii="宋体" w:hAnsi="宋体" w:eastAsia="宋体" w:cs="宋体"/>
                <w:i w:val="0"/>
                <w:iCs w:val="0"/>
                <w:color w:val="000000"/>
                <w:sz w:val="18"/>
                <w:szCs w:val="18"/>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4472A">
            <w:pPr>
              <w:jc w:val="center"/>
              <w:rPr>
                <w:rFonts w:hint="eastAsia" w:ascii="宋体" w:hAnsi="宋体" w:eastAsia="宋体" w:cs="宋体"/>
                <w:i w:val="0"/>
                <w:iCs w:val="0"/>
                <w:color w:val="000000"/>
                <w:sz w:val="18"/>
                <w:szCs w:val="18"/>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2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84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3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3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E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C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99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F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7F091">
            <w:pPr>
              <w:jc w:val="center"/>
              <w:rPr>
                <w:rFonts w:hint="eastAsia" w:ascii="微软雅黑" w:hAnsi="微软雅黑" w:eastAsia="微软雅黑" w:cs="微软雅黑"/>
                <w:i/>
                <w:iCs/>
                <w:color w:val="000000"/>
                <w:sz w:val="16"/>
                <w:szCs w:val="16"/>
                <w:u w:val="none"/>
              </w:rPr>
            </w:pPr>
          </w:p>
        </w:tc>
      </w:tr>
      <w:tr w14:paraId="3D93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F2512">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4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0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C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9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8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2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E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F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5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F3B3">
            <w:pPr>
              <w:jc w:val="center"/>
              <w:rPr>
                <w:rFonts w:hint="eastAsia" w:ascii="微软雅黑" w:hAnsi="微软雅黑" w:eastAsia="微软雅黑" w:cs="微软雅黑"/>
                <w:i/>
                <w:iCs/>
                <w:color w:val="000000"/>
                <w:sz w:val="16"/>
                <w:szCs w:val="16"/>
                <w:u w:val="none"/>
              </w:rPr>
            </w:pPr>
          </w:p>
        </w:tc>
      </w:tr>
      <w:tr w14:paraId="4EA9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FF14">
            <w:pPr>
              <w:jc w:val="center"/>
              <w:rPr>
                <w:rFonts w:hint="eastAsia" w:ascii="宋体" w:hAnsi="宋体" w:eastAsia="宋体" w:cs="宋体"/>
                <w:i w:val="0"/>
                <w:iCs w:val="0"/>
                <w:color w:val="000000"/>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9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2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0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E3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3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61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D9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6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6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9AB1">
            <w:pPr>
              <w:jc w:val="center"/>
              <w:rPr>
                <w:rFonts w:hint="eastAsia" w:ascii="微软雅黑" w:hAnsi="微软雅黑" w:eastAsia="微软雅黑" w:cs="微软雅黑"/>
                <w:i/>
                <w:iCs/>
                <w:color w:val="000000"/>
                <w:sz w:val="16"/>
                <w:szCs w:val="16"/>
                <w:u w:val="none"/>
              </w:rPr>
            </w:pPr>
          </w:p>
        </w:tc>
      </w:tr>
      <w:tr w14:paraId="434E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ED6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2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952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w:t>
            </w:r>
          </w:p>
        </w:tc>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09AF3">
            <w:pPr>
              <w:rPr>
                <w:rFonts w:hint="eastAsia" w:ascii="宋体" w:hAnsi="宋体" w:eastAsia="宋体" w:cs="宋体"/>
                <w:i w:val="0"/>
                <w:iCs w:val="0"/>
                <w:color w:val="000000"/>
                <w:sz w:val="18"/>
                <w:szCs w:val="18"/>
                <w:u w:val="none"/>
              </w:rPr>
            </w:pPr>
          </w:p>
        </w:tc>
      </w:tr>
      <w:tr w14:paraId="627C1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4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886F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通过对本项目进行自评，自评总得分99.8分。通过实施该项目，购买设备6台普法宣传，提高群众法律意识，达到群众满意的效果。</w:t>
            </w:r>
          </w:p>
        </w:tc>
      </w:tr>
      <w:tr w14:paraId="7A2B4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FC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6CE8E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9D4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6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B9EF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29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4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154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42579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143A03C1">
      <w:pPr>
        <w:rPr>
          <w:rFonts w:hint="default" w:ascii="Times New Roman" w:hAnsi="Times New Roman" w:eastAsia="黑体" w:cs="Times New Roman"/>
          <w:sz w:val="24"/>
          <w:szCs w:val="24"/>
          <w:highlight w:val="none"/>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3"/>
        <w:gridCol w:w="1184"/>
        <w:gridCol w:w="396"/>
        <w:gridCol w:w="833"/>
        <w:gridCol w:w="396"/>
        <w:gridCol w:w="846"/>
        <w:gridCol w:w="486"/>
        <w:gridCol w:w="486"/>
        <w:gridCol w:w="1367"/>
      </w:tblGrid>
      <w:tr w14:paraId="78804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EB469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BB98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167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E24D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51322624T000011958878-2023年第二批政法转移支付资金（阿州财行2024（5号））</w:t>
            </w:r>
          </w:p>
        </w:tc>
      </w:tr>
      <w:tr w14:paraId="1D0BC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9D3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35B9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385" w:type="pct"/>
            <w:tcBorders>
              <w:top w:val="nil"/>
              <w:left w:val="nil"/>
              <w:bottom w:val="nil"/>
              <w:right w:val="nil"/>
            </w:tcBorders>
            <w:shd w:val="clear" w:color="auto" w:fill="auto"/>
            <w:vAlign w:val="center"/>
          </w:tcPr>
          <w:p w14:paraId="6444A13B">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C5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277A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589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E67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A9F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1129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A70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713DF">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F1AD9">
            <w:pPr>
              <w:rPr>
                <w:rFonts w:hint="eastAsia" w:ascii="宋体" w:hAnsi="宋体" w:eastAsia="宋体" w:cs="宋体"/>
                <w:i w:val="0"/>
                <w:iCs w:val="0"/>
                <w:color w:val="000000"/>
                <w:sz w:val="18"/>
                <w:szCs w:val="18"/>
                <w:u w:val="none"/>
              </w:rPr>
            </w:pP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18C2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2023年第二批政法转移资金，用于枫桥司法所创建。</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FFEA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建设司法所1处，项目及时完成，项目验收合格率100%，提高司法所形象，提高群众满意度。</w:t>
            </w:r>
          </w:p>
        </w:tc>
      </w:tr>
      <w:tr w14:paraId="5A413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48679">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6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7806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建设司法所1处，项目及时完成，项目验收合格率100%，提高司法所形象，提高群众满意度。</w:t>
            </w:r>
          </w:p>
        </w:tc>
      </w:tr>
      <w:tr w14:paraId="09903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77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B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B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2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08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63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42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0F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3F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ED3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12E5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4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0C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1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5B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2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7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C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06032">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016F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B3E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0B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9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0E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70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A4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C9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5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50C6F">
            <w:pPr>
              <w:rPr>
                <w:rFonts w:hint="eastAsia" w:ascii="黑体" w:hAnsi="黑体" w:eastAsia="黑体" w:cs="黑体"/>
                <w:i/>
                <w:iCs/>
                <w:color w:val="000000"/>
                <w:sz w:val="18"/>
                <w:szCs w:val="18"/>
                <w:u w:val="none"/>
              </w:rPr>
            </w:pPr>
          </w:p>
        </w:tc>
      </w:tr>
      <w:tr w14:paraId="387A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C08D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A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B2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53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11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6B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9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18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85375">
            <w:pPr>
              <w:rPr>
                <w:rFonts w:hint="eastAsia" w:ascii="黑体" w:hAnsi="黑体" w:eastAsia="黑体" w:cs="黑体"/>
                <w:i/>
                <w:iCs/>
                <w:color w:val="000000"/>
                <w:sz w:val="18"/>
                <w:szCs w:val="18"/>
                <w:u w:val="none"/>
              </w:rPr>
            </w:pPr>
          </w:p>
        </w:tc>
      </w:tr>
      <w:tr w14:paraId="278FB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32D4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80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CC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B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79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F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2F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4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1253E">
            <w:pPr>
              <w:rPr>
                <w:rFonts w:hint="eastAsia" w:ascii="黑体" w:hAnsi="黑体" w:eastAsia="黑体" w:cs="黑体"/>
                <w:i/>
                <w:iCs/>
                <w:color w:val="000000"/>
                <w:sz w:val="18"/>
                <w:szCs w:val="18"/>
                <w:u w:val="none"/>
              </w:rPr>
            </w:pPr>
          </w:p>
        </w:tc>
      </w:tr>
      <w:tr w14:paraId="1BDC2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6C05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80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59CE">
            <w:pPr>
              <w:jc w:val="center"/>
              <w:rPr>
                <w:rFonts w:hint="eastAsia" w:ascii="微软雅黑" w:hAnsi="微软雅黑" w:eastAsia="微软雅黑" w:cs="微软雅黑"/>
                <w:i/>
                <w:iCs/>
                <w:color w:val="000000"/>
                <w:sz w:val="16"/>
                <w:szCs w:val="16"/>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D82A">
            <w:pPr>
              <w:jc w:val="center"/>
              <w:rPr>
                <w:rFonts w:hint="eastAsia" w:ascii="微软雅黑" w:hAnsi="微软雅黑" w:eastAsia="微软雅黑" w:cs="微软雅黑"/>
                <w:i/>
                <w:iCs/>
                <w:color w:val="000000"/>
                <w:sz w:val="16"/>
                <w:szCs w:val="16"/>
                <w:u w:val="none"/>
              </w:rPr>
            </w:pP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C58B5">
            <w:pPr>
              <w:jc w:val="center"/>
              <w:rPr>
                <w:rFonts w:hint="eastAsia" w:ascii="微软雅黑" w:hAnsi="微软雅黑" w:eastAsia="微软雅黑" w:cs="微软雅黑"/>
                <w:i/>
                <w:iCs/>
                <w:color w:val="000000"/>
                <w:sz w:val="16"/>
                <w:szCs w:val="16"/>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F5183">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0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21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7BB73">
            <w:pPr>
              <w:rPr>
                <w:rFonts w:hint="eastAsia" w:ascii="黑体" w:hAnsi="黑体" w:eastAsia="黑体" w:cs="黑体"/>
                <w:i/>
                <w:iCs/>
                <w:color w:val="000000"/>
                <w:sz w:val="18"/>
                <w:szCs w:val="18"/>
                <w:u w:val="none"/>
              </w:rPr>
            </w:pPr>
          </w:p>
        </w:tc>
      </w:tr>
      <w:tr w14:paraId="5C31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11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FE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39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82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5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0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6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D8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CE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29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42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E3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BDAD3">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CC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FF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FF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司法所数量</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B5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A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CF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61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1处</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3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2E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4FA84">
            <w:pPr>
              <w:jc w:val="center"/>
              <w:rPr>
                <w:rFonts w:hint="eastAsia" w:ascii="微软雅黑" w:hAnsi="微软雅黑" w:eastAsia="微软雅黑" w:cs="微软雅黑"/>
                <w:i/>
                <w:iCs/>
                <w:color w:val="000000"/>
                <w:sz w:val="16"/>
                <w:szCs w:val="16"/>
                <w:u w:val="none"/>
              </w:rPr>
            </w:pPr>
          </w:p>
        </w:tc>
      </w:tr>
      <w:tr w14:paraId="7341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23231">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7FF7">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5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1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35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80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F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A2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E9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28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CE36">
            <w:pPr>
              <w:jc w:val="center"/>
              <w:rPr>
                <w:rFonts w:hint="eastAsia" w:ascii="微软雅黑" w:hAnsi="微软雅黑" w:eastAsia="微软雅黑" w:cs="微软雅黑"/>
                <w:i/>
                <w:iCs/>
                <w:color w:val="000000"/>
                <w:sz w:val="16"/>
                <w:szCs w:val="16"/>
                <w:u w:val="none"/>
              </w:rPr>
            </w:pPr>
          </w:p>
        </w:tc>
      </w:tr>
      <w:tr w14:paraId="32898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87D60">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40D76">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EF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1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A1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0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7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03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5E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2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94EE">
            <w:pPr>
              <w:jc w:val="center"/>
              <w:rPr>
                <w:rFonts w:hint="eastAsia" w:ascii="微软雅黑" w:hAnsi="微软雅黑" w:eastAsia="微软雅黑" w:cs="微软雅黑"/>
                <w:i/>
                <w:iCs/>
                <w:color w:val="000000"/>
                <w:sz w:val="16"/>
                <w:szCs w:val="16"/>
                <w:u w:val="none"/>
              </w:rPr>
            </w:pPr>
          </w:p>
        </w:tc>
      </w:tr>
      <w:tr w14:paraId="32AE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88077">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B5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D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B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司法所形象提升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43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0F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A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B2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D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6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22A9">
            <w:pPr>
              <w:jc w:val="center"/>
              <w:rPr>
                <w:rFonts w:hint="eastAsia" w:ascii="微软雅黑" w:hAnsi="微软雅黑" w:eastAsia="微软雅黑" w:cs="微软雅黑"/>
                <w:i/>
                <w:iCs/>
                <w:color w:val="000000"/>
                <w:sz w:val="16"/>
                <w:szCs w:val="16"/>
                <w:u w:val="none"/>
              </w:rPr>
            </w:pPr>
          </w:p>
        </w:tc>
      </w:tr>
      <w:tr w14:paraId="7472E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BDFA2">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C1EAE">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9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F5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4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1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AB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56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5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1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AF652">
            <w:pPr>
              <w:jc w:val="center"/>
              <w:rPr>
                <w:rFonts w:hint="eastAsia" w:ascii="微软雅黑" w:hAnsi="微软雅黑" w:eastAsia="微软雅黑" w:cs="微软雅黑"/>
                <w:i/>
                <w:iCs/>
                <w:color w:val="000000"/>
                <w:sz w:val="16"/>
                <w:szCs w:val="16"/>
                <w:u w:val="none"/>
              </w:rPr>
            </w:pPr>
          </w:p>
        </w:tc>
      </w:tr>
      <w:tr w14:paraId="4EC0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5F0B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5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B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4D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3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2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6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7BE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BD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66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B316">
            <w:pPr>
              <w:jc w:val="center"/>
              <w:rPr>
                <w:rFonts w:hint="eastAsia" w:ascii="微软雅黑" w:hAnsi="微软雅黑" w:eastAsia="微软雅黑" w:cs="微软雅黑"/>
                <w:i/>
                <w:iCs/>
                <w:color w:val="000000"/>
                <w:sz w:val="16"/>
                <w:szCs w:val="16"/>
                <w:u w:val="none"/>
              </w:rPr>
            </w:pPr>
          </w:p>
        </w:tc>
      </w:tr>
      <w:tr w14:paraId="0EC9F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6F3A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C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16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8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9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5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21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54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5万元</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5C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7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ED9AF">
            <w:pPr>
              <w:jc w:val="center"/>
              <w:rPr>
                <w:rFonts w:hint="eastAsia" w:ascii="微软雅黑" w:hAnsi="微软雅黑" w:eastAsia="微软雅黑" w:cs="微软雅黑"/>
                <w:i/>
                <w:iCs/>
                <w:color w:val="000000"/>
                <w:sz w:val="16"/>
                <w:szCs w:val="16"/>
                <w:u w:val="none"/>
              </w:rPr>
            </w:pPr>
          </w:p>
        </w:tc>
      </w:tr>
      <w:tr w14:paraId="6B4D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2F1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1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F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584F7">
            <w:pPr>
              <w:rPr>
                <w:rFonts w:hint="eastAsia" w:ascii="宋体" w:hAnsi="宋体" w:eastAsia="宋体" w:cs="宋体"/>
                <w:i w:val="0"/>
                <w:iCs w:val="0"/>
                <w:color w:val="000000"/>
                <w:sz w:val="18"/>
                <w:szCs w:val="18"/>
                <w:u w:val="none"/>
              </w:rPr>
            </w:pPr>
          </w:p>
        </w:tc>
      </w:tr>
      <w:tr w14:paraId="26324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0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A346D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通过对本项目进行自评，自评总得分100分。建设司法所1处，项目及时完成，项目验收合格率100%，提高司法所形象，提高群众满意度。</w:t>
            </w:r>
          </w:p>
        </w:tc>
      </w:tr>
      <w:tr w14:paraId="4D63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E8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8DCB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38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5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8434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F0AC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011F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67E8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D574737">
      <w:pPr>
        <w:rPr>
          <w:rFonts w:hint="default" w:ascii="Times New Roman" w:hAnsi="Times New Roman" w:eastAsia="黑体" w:cs="Times New Roman"/>
          <w:sz w:val="24"/>
          <w:szCs w:val="24"/>
          <w:highlight w:val="none"/>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3"/>
        <w:gridCol w:w="1184"/>
        <w:gridCol w:w="396"/>
        <w:gridCol w:w="833"/>
        <w:gridCol w:w="396"/>
        <w:gridCol w:w="846"/>
        <w:gridCol w:w="486"/>
        <w:gridCol w:w="486"/>
        <w:gridCol w:w="1367"/>
      </w:tblGrid>
      <w:tr w14:paraId="6EC9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D4822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1F9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2BD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806B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51322624T000011958883-社区矫正、安置帮教县级配套工作经费</w:t>
            </w:r>
          </w:p>
        </w:tc>
      </w:tr>
      <w:tr w14:paraId="2FECD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0D2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BCB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385" w:type="pct"/>
            <w:tcBorders>
              <w:top w:val="nil"/>
              <w:left w:val="nil"/>
              <w:bottom w:val="nil"/>
              <w:right w:val="nil"/>
            </w:tcBorders>
            <w:shd w:val="clear" w:color="auto" w:fill="auto"/>
            <w:vAlign w:val="center"/>
          </w:tcPr>
          <w:p w14:paraId="5BAFE6A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BB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6509E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2EB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9DA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DA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CD4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AEB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50C6B">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66AAB">
            <w:pPr>
              <w:rPr>
                <w:rFonts w:hint="eastAsia" w:ascii="宋体" w:hAnsi="宋体" w:eastAsia="宋体" w:cs="宋体"/>
                <w:i w:val="0"/>
                <w:iCs w:val="0"/>
                <w:color w:val="000000"/>
                <w:sz w:val="18"/>
                <w:szCs w:val="18"/>
                <w:u w:val="none"/>
              </w:rPr>
            </w:pP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B45C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进一步确保社区矫正、安置帮教工作正常开展，充分发挥社区矫正在教育改造罪犯、维护社会和谐稳定，推进平安金川建设。</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6C50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通过开展社区矫正、安置帮教工作，管理矫正对象44人，提升帮扶对象学习能力，矫正对象回归率100%，达到让群众满意的效果。</w:t>
            </w:r>
          </w:p>
        </w:tc>
      </w:tr>
      <w:tr w14:paraId="5EBF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2E8A3">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322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5B6A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通过开展社区矫正、安置帮教工作，管理矫正对象44人，提升帮扶对象学习能力，矫正对象回归率100%，达到让群众满意的效果。</w:t>
            </w:r>
          </w:p>
        </w:tc>
      </w:tr>
      <w:tr w14:paraId="215CF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4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4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3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A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83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D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8B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3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1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941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8AF2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C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E6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6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51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F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A0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0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6A19B">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4B44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2E3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B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D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98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ED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D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31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5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98D3">
            <w:pPr>
              <w:rPr>
                <w:rFonts w:hint="eastAsia" w:ascii="黑体" w:hAnsi="黑体" w:eastAsia="黑体" w:cs="黑体"/>
                <w:i/>
                <w:iCs/>
                <w:color w:val="000000"/>
                <w:sz w:val="18"/>
                <w:szCs w:val="18"/>
                <w:u w:val="none"/>
              </w:rPr>
            </w:pPr>
          </w:p>
        </w:tc>
      </w:tr>
      <w:tr w14:paraId="415E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86AB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C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1B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6F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30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1E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4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85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10360">
            <w:pPr>
              <w:rPr>
                <w:rFonts w:hint="eastAsia" w:ascii="黑体" w:hAnsi="黑体" w:eastAsia="黑体" w:cs="黑体"/>
                <w:i/>
                <w:iCs/>
                <w:color w:val="000000"/>
                <w:sz w:val="18"/>
                <w:szCs w:val="18"/>
                <w:u w:val="none"/>
              </w:rPr>
            </w:pPr>
          </w:p>
        </w:tc>
      </w:tr>
      <w:tr w14:paraId="6854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33C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70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2D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7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CD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2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30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9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3827">
            <w:pPr>
              <w:rPr>
                <w:rFonts w:hint="eastAsia" w:ascii="黑体" w:hAnsi="黑体" w:eastAsia="黑体" w:cs="黑体"/>
                <w:i/>
                <w:iCs/>
                <w:color w:val="000000"/>
                <w:sz w:val="18"/>
                <w:szCs w:val="18"/>
                <w:u w:val="none"/>
              </w:rPr>
            </w:pPr>
          </w:p>
        </w:tc>
      </w:tr>
      <w:tr w14:paraId="2FD3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06A5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FA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418BC">
            <w:pPr>
              <w:jc w:val="center"/>
              <w:rPr>
                <w:rFonts w:hint="eastAsia" w:ascii="微软雅黑" w:hAnsi="微软雅黑" w:eastAsia="微软雅黑" w:cs="微软雅黑"/>
                <w:i/>
                <w:iCs/>
                <w:color w:val="000000"/>
                <w:sz w:val="16"/>
                <w:szCs w:val="16"/>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C4D9">
            <w:pPr>
              <w:jc w:val="center"/>
              <w:rPr>
                <w:rFonts w:hint="eastAsia" w:ascii="微软雅黑" w:hAnsi="微软雅黑" w:eastAsia="微软雅黑" w:cs="微软雅黑"/>
                <w:i/>
                <w:iCs/>
                <w:color w:val="000000"/>
                <w:sz w:val="16"/>
                <w:szCs w:val="16"/>
                <w:u w:val="none"/>
              </w:rPr>
            </w:pP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B762F">
            <w:pPr>
              <w:jc w:val="center"/>
              <w:rPr>
                <w:rFonts w:hint="eastAsia" w:ascii="微软雅黑" w:hAnsi="微软雅黑" w:eastAsia="微软雅黑" w:cs="微软雅黑"/>
                <w:i/>
                <w:iCs/>
                <w:color w:val="000000"/>
                <w:sz w:val="16"/>
                <w:szCs w:val="16"/>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E0C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7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D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0C1A">
            <w:pPr>
              <w:rPr>
                <w:rFonts w:hint="eastAsia" w:ascii="黑体" w:hAnsi="黑体" w:eastAsia="黑体" w:cs="黑体"/>
                <w:i/>
                <w:iCs/>
                <w:color w:val="000000"/>
                <w:sz w:val="18"/>
                <w:szCs w:val="18"/>
                <w:u w:val="none"/>
              </w:rPr>
            </w:pPr>
          </w:p>
        </w:tc>
      </w:tr>
      <w:tr w14:paraId="4E9F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41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F5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D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A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8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C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B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5B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1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24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1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19C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E4B8A">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2A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7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1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管理矫正对象</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4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B4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E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9D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44人</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B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98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A384">
            <w:pPr>
              <w:jc w:val="center"/>
              <w:rPr>
                <w:rFonts w:hint="eastAsia" w:ascii="微软雅黑" w:hAnsi="微软雅黑" w:eastAsia="微软雅黑" w:cs="微软雅黑"/>
                <w:i/>
                <w:iCs/>
                <w:color w:val="000000"/>
                <w:sz w:val="16"/>
                <w:szCs w:val="16"/>
                <w:u w:val="none"/>
              </w:rPr>
            </w:pPr>
          </w:p>
        </w:tc>
      </w:tr>
      <w:tr w14:paraId="0162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67273">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DC25E">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4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1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帮扶对象学习提升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7B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6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7D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544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D7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8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51C60">
            <w:pPr>
              <w:jc w:val="center"/>
              <w:rPr>
                <w:rFonts w:hint="eastAsia" w:ascii="微软雅黑" w:hAnsi="微软雅黑" w:eastAsia="微软雅黑" w:cs="微软雅黑"/>
                <w:i/>
                <w:iCs/>
                <w:color w:val="000000"/>
                <w:sz w:val="16"/>
                <w:szCs w:val="16"/>
                <w:u w:val="none"/>
              </w:rPr>
            </w:pPr>
          </w:p>
        </w:tc>
      </w:tr>
      <w:tr w14:paraId="5950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B739A">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0686">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98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34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服务及时率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A6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E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D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BE1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9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0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2736">
            <w:pPr>
              <w:jc w:val="center"/>
              <w:rPr>
                <w:rFonts w:hint="eastAsia" w:ascii="微软雅黑" w:hAnsi="微软雅黑" w:eastAsia="微软雅黑" w:cs="微软雅黑"/>
                <w:i/>
                <w:iCs/>
                <w:color w:val="000000"/>
                <w:sz w:val="16"/>
                <w:szCs w:val="16"/>
                <w:u w:val="none"/>
              </w:rPr>
            </w:pPr>
          </w:p>
        </w:tc>
      </w:tr>
      <w:tr w14:paraId="5DC2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9CBEE">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A0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78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D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矫正对象良性回归率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A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D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F24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F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C5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AEE47">
            <w:pPr>
              <w:jc w:val="center"/>
              <w:rPr>
                <w:rFonts w:hint="eastAsia" w:ascii="微软雅黑" w:hAnsi="微软雅黑" w:eastAsia="微软雅黑" w:cs="微软雅黑"/>
                <w:i/>
                <w:iCs/>
                <w:color w:val="000000"/>
                <w:sz w:val="16"/>
                <w:szCs w:val="16"/>
                <w:u w:val="none"/>
              </w:rPr>
            </w:pPr>
          </w:p>
        </w:tc>
      </w:tr>
      <w:tr w14:paraId="5E2B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8A36D">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7682A">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5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D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9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40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6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15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1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A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5ADD">
            <w:pPr>
              <w:jc w:val="center"/>
              <w:rPr>
                <w:rFonts w:hint="eastAsia" w:ascii="微软雅黑" w:hAnsi="微软雅黑" w:eastAsia="微软雅黑" w:cs="微软雅黑"/>
                <w:i/>
                <w:iCs/>
                <w:color w:val="000000"/>
                <w:sz w:val="16"/>
                <w:szCs w:val="16"/>
                <w:u w:val="none"/>
              </w:rPr>
            </w:pPr>
          </w:p>
        </w:tc>
      </w:tr>
      <w:tr w14:paraId="3AA8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EBE1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F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2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B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6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8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53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F541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B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9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A295B">
            <w:pPr>
              <w:jc w:val="center"/>
              <w:rPr>
                <w:rFonts w:hint="eastAsia" w:ascii="微软雅黑" w:hAnsi="微软雅黑" w:eastAsia="微软雅黑" w:cs="微软雅黑"/>
                <w:i/>
                <w:iCs/>
                <w:color w:val="000000"/>
                <w:sz w:val="16"/>
                <w:szCs w:val="16"/>
                <w:u w:val="none"/>
              </w:rPr>
            </w:pPr>
          </w:p>
        </w:tc>
      </w:tr>
      <w:tr w14:paraId="435A0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338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5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9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9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2B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6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1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566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9万元</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62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E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2CAE1">
            <w:pPr>
              <w:jc w:val="center"/>
              <w:rPr>
                <w:rFonts w:hint="eastAsia" w:ascii="微软雅黑" w:hAnsi="微软雅黑" w:eastAsia="微软雅黑" w:cs="微软雅黑"/>
                <w:i/>
                <w:iCs/>
                <w:color w:val="000000"/>
                <w:sz w:val="16"/>
                <w:szCs w:val="16"/>
                <w:u w:val="none"/>
              </w:rPr>
            </w:pPr>
          </w:p>
        </w:tc>
      </w:tr>
      <w:tr w14:paraId="33C7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577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C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E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5EAD">
            <w:pPr>
              <w:rPr>
                <w:rFonts w:hint="eastAsia" w:ascii="宋体" w:hAnsi="宋体" w:eastAsia="宋体" w:cs="宋体"/>
                <w:i w:val="0"/>
                <w:iCs w:val="0"/>
                <w:color w:val="000000"/>
                <w:sz w:val="18"/>
                <w:szCs w:val="18"/>
                <w:u w:val="none"/>
              </w:rPr>
            </w:pPr>
          </w:p>
        </w:tc>
      </w:tr>
      <w:tr w14:paraId="00449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4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597B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通过对本项目进行自评，自评总得分100分。通过开展社区矫正、安置帮教工作，管理矫正对象44人，提升帮扶对象学习能力，矫正对象回归率100%，达到让群众满意的效果。</w:t>
            </w:r>
          </w:p>
        </w:tc>
      </w:tr>
      <w:tr w14:paraId="04CF1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B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8F51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24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C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4DE48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38D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BBA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0B40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370B5323">
      <w:pPr>
        <w:rPr>
          <w:rFonts w:hint="default" w:ascii="Times New Roman" w:hAnsi="Times New Roman" w:eastAsia="黑体" w:cs="Times New Roman"/>
          <w:sz w:val="24"/>
          <w:szCs w:val="24"/>
          <w:highlight w:val="none"/>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3"/>
        <w:gridCol w:w="1186"/>
        <w:gridCol w:w="396"/>
        <w:gridCol w:w="833"/>
        <w:gridCol w:w="396"/>
        <w:gridCol w:w="846"/>
        <w:gridCol w:w="486"/>
        <w:gridCol w:w="486"/>
        <w:gridCol w:w="1365"/>
      </w:tblGrid>
      <w:tr w14:paraId="49643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87E6A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B4D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B48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390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51322624T000011958892-司法所规范化建设资金</w:t>
            </w:r>
          </w:p>
        </w:tc>
      </w:tr>
      <w:tr w14:paraId="7356A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786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B4D7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385" w:type="pct"/>
            <w:tcBorders>
              <w:top w:val="nil"/>
              <w:left w:val="nil"/>
              <w:bottom w:val="nil"/>
              <w:right w:val="nil"/>
            </w:tcBorders>
            <w:shd w:val="clear" w:color="auto" w:fill="auto"/>
            <w:vAlign w:val="center"/>
          </w:tcPr>
          <w:p w14:paraId="2BADAD8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7A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692F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A8A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F2B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D1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D7DEC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21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FE9D2">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3FB5">
            <w:pPr>
              <w:rPr>
                <w:rFonts w:hint="eastAsia" w:ascii="宋体" w:hAnsi="宋体" w:eastAsia="宋体" w:cs="宋体"/>
                <w:i w:val="0"/>
                <w:iCs w:val="0"/>
                <w:color w:val="000000"/>
                <w:sz w:val="18"/>
                <w:szCs w:val="18"/>
                <w:u w:val="none"/>
              </w:rPr>
            </w:pPr>
          </w:p>
        </w:tc>
        <w:tc>
          <w:tcPr>
            <w:tcW w:w="237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93E7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更好的满足办公和规范化司法所建设要求，更有利于开展司法行政工作。</w:t>
            </w:r>
          </w:p>
        </w:tc>
        <w:tc>
          <w:tcPr>
            <w:tcW w:w="166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345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建设司法所1处，项目及时完成，项目验收合格率100%，提高司法所形象，提高群众满意度。</w:t>
            </w:r>
          </w:p>
        </w:tc>
      </w:tr>
      <w:tr w14:paraId="522E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E475">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B4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E096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建设司法所1处，项目及时完成，项目验收合格率100%，提高司法所形象，提高群众满意度。</w:t>
            </w:r>
          </w:p>
        </w:tc>
      </w:tr>
      <w:tr w14:paraId="15A8F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56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2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6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0B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B21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E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80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1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F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51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FE2A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21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CC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0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9B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A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F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8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4C5C8">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20538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B29E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0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B0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6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48E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FC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1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1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8E17B">
            <w:pPr>
              <w:rPr>
                <w:rFonts w:hint="eastAsia" w:ascii="黑体" w:hAnsi="黑体" w:eastAsia="黑体" w:cs="黑体"/>
                <w:i/>
                <w:iCs/>
                <w:color w:val="000000"/>
                <w:sz w:val="18"/>
                <w:szCs w:val="18"/>
                <w:u w:val="none"/>
              </w:rPr>
            </w:pPr>
          </w:p>
        </w:tc>
      </w:tr>
      <w:tr w14:paraId="1D65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C182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F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B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4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1AE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7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0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15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8CA5E">
            <w:pPr>
              <w:rPr>
                <w:rFonts w:hint="eastAsia" w:ascii="黑体" w:hAnsi="黑体" w:eastAsia="黑体" w:cs="黑体"/>
                <w:i/>
                <w:iCs/>
                <w:color w:val="000000"/>
                <w:sz w:val="18"/>
                <w:szCs w:val="18"/>
                <w:u w:val="none"/>
              </w:rPr>
            </w:pPr>
          </w:p>
        </w:tc>
      </w:tr>
      <w:tr w14:paraId="3FD7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7C5C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B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1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3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4F1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A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3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68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70727">
            <w:pPr>
              <w:rPr>
                <w:rFonts w:hint="eastAsia" w:ascii="黑体" w:hAnsi="黑体" w:eastAsia="黑体" w:cs="黑体"/>
                <w:i/>
                <w:iCs/>
                <w:color w:val="000000"/>
                <w:sz w:val="18"/>
                <w:szCs w:val="18"/>
                <w:u w:val="none"/>
              </w:rPr>
            </w:pPr>
          </w:p>
        </w:tc>
      </w:tr>
      <w:tr w14:paraId="46A86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BA22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A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CF80">
            <w:pPr>
              <w:jc w:val="center"/>
              <w:rPr>
                <w:rFonts w:hint="eastAsia" w:ascii="微软雅黑" w:hAnsi="微软雅黑" w:eastAsia="微软雅黑" w:cs="微软雅黑"/>
                <w:i/>
                <w:iCs/>
                <w:color w:val="000000"/>
                <w:sz w:val="16"/>
                <w:szCs w:val="16"/>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4EC8C">
            <w:pPr>
              <w:jc w:val="center"/>
              <w:rPr>
                <w:rFonts w:hint="eastAsia" w:ascii="微软雅黑" w:hAnsi="微软雅黑" w:eastAsia="微软雅黑" w:cs="微软雅黑"/>
                <w:i/>
                <w:iCs/>
                <w:color w:val="000000"/>
                <w:sz w:val="16"/>
                <w:szCs w:val="16"/>
                <w:u w:val="none"/>
              </w:rPr>
            </w:pPr>
          </w:p>
        </w:tc>
        <w:tc>
          <w:tcPr>
            <w:tcW w:w="9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064E7">
            <w:pPr>
              <w:jc w:val="center"/>
              <w:rPr>
                <w:rFonts w:hint="eastAsia" w:ascii="微软雅黑" w:hAnsi="微软雅黑" w:eastAsia="微软雅黑" w:cs="微软雅黑"/>
                <w:i/>
                <w:iCs/>
                <w:color w:val="000000"/>
                <w:sz w:val="16"/>
                <w:szCs w:val="16"/>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63208">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C9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E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C855A">
            <w:pPr>
              <w:rPr>
                <w:rFonts w:hint="eastAsia" w:ascii="黑体" w:hAnsi="黑体" w:eastAsia="黑体" w:cs="黑体"/>
                <w:i/>
                <w:iCs/>
                <w:color w:val="000000"/>
                <w:sz w:val="18"/>
                <w:szCs w:val="18"/>
                <w:u w:val="none"/>
              </w:rPr>
            </w:pPr>
          </w:p>
        </w:tc>
      </w:tr>
      <w:tr w14:paraId="41F3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67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C4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03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91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E4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47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F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0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E7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9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1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288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0756E">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7A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B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65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司法所数量</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C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4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3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3E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1处</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0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6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18FC0">
            <w:pPr>
              <w:jc w:val="center"/>
              <w:rPr>
                <w:rFonts w:hint="eastAsia" w:ascii="微软雅黑" w:hAnsi="微软雅黑" w:eastAsia="微软雅黑" w:cs="微软雅黑"/>
                <w:i/>
                <w:iCs/>
                <w:color w:val="000000"/>
                <w:sz w:val="16"/>
                <w:szCs w:val="16"/>
                <w:u w:val="none"/>
              </w:rPr>
            </w:pPr>
          </w:p>
        </w:tc>
      </w:tr>
      <w:tr w14:paraId="7F5B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CD169">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52602">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1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E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55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8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9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4D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6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C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D2C2D">
            <w:pPr>
              <w:jc w:val="center"/>
              <w:rPr>
                <w:rFonts w:hint="eastAsia" w:ascii="微软雅黑" w:hAnsi="微软雅黑" w:eastAsia="微软雅黑" w:cs="微软雅黑"/>
                <w:i/>
                <w:iCs/>
                <w:color w:val="000000"/>
                <w:sz w:val="16"/>
                <w:szCs w:val="16"/>
                <w:u w:val="none"/>
              </w:rPr>
            </w:pPr>
          </w:p>
        </w:tc>
      </w:tr>
      <w:tr w14:paraId="287B6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56FF7">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333C4">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7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5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年底前完成</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7C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5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E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639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8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6B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4E87">
            <w:pPr>
              <w:jc w:val="center"/>
              <w:rPr>
                <w:rFonts w:hint="eastAsia" w:ascii="微软雅黑" w:hAnsi="微软雅黑" w:eastAsia="微软雅黑" w:cs="微软雅黑"/>
                <w:i/>
                <w:iCs/>
                <w:color w:val="000000"/>
                <w:sz w:val="16"/>
                <w:szCs w:val="16"/>
                <w:u w:val="none"/>
              </w:rPr>
            </w:pPr>
          </w:p>
        </w:tc>
      </w:tr>
      <w:tr w14:paraId="14583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986E6">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F8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F0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5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司法所规范化提升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D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D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D6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906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F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7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BA8F4">
            <w:pPr>
              <w:jc w:val="center"/>
              <w:rPr>
                <w:rFonts w:hint="eastAsia" w:ascii="微软雅黑" w:hAnsi="微软雅黑" w:eastAsia="微软雅黑" w:cs="微软雅黑"/>
                <w:i/>
                <w:iCs/>
                <w:color w:val="000000"/>
                <w:sz w:val="16"/>
                <w:szCs w:val="16"/>
                <w:u w:val="none"/>
              </w:rPr>
            </w:pPr>
          </w:p>
        </w:tc>
      </w:tr>
      <w:tr w14:paraId="2A9B4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4D491">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0227B">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AB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E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6D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F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6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7AD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1A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1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1BA4">
            <w:pPr>
              <w:jc w:val="center"/>
              <w:rPr>
                <w:rFonts w:hint="eastAsia" w:ascii="微软雅黑" w:hAnsi="微软雅黑" w:eastAsia="微软雅黑" w:cs="微软雅黑"/>
                <w:i/>
                <w:iCs/>
                <w:color w:val="000000"/>
                <w:sz w:val="16"/>
                <w:szCs w:val="16"/>
                <w:u w:val="none"/>
              </w:rPr>
            </w:pPr>
          </w:p>
        </w:tc>
      </w:tr>
      <w:tr w14:paraId="09159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03A3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F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64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1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2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7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A5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C4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A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A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9780">
            <w:pPr>
              <w:jc w:val="center"/>
              <w:rPr>
                <w:rFonts w:hint="eastAsia" w:ascii="微软雅黑" w:hAnsi="微软雅黑" w:eastAsia="微软雅黑" w:cs="微软雅黑"/>
                <w:i/>
                <w:iCs/>
                <w:color w:val="000000"/>
                <w:sz w:val="16"/>
                <w:szCs w:val="16"/>
                <w:u w:val="none"/>
              </w:rPr>
            </w:pPr>
          </w:p>
        </w:tc>
      </w:tr>
      <w:tr w14:paraId="3A6A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BC40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E6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19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DE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5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2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5D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600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12万元</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A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C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B833">
            <w:pPr>
              <w:jc w:val="center"/>
              <w:rPr>
                <w:rFonts w:hint="eastAsia" w:ascii="微软雅黑" w:hAnsi="微软雅黑" w:eastAsia="微软雅黑" w:cs="微软雅黑"/>
                <w:i/>
                <w:iCs/>
                <w:color w:val="000000"/>
                <w:sz w:val="16"/>
                <w:szCs w:val="16"/>
                <w:u w:val="none"/>
              </w:rPr>
            </w:pPr>
          </w:p>
        </w:tc>
      </w:tr>
      <w:tr w14:paraId="45C7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04B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0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9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BDCF7">
            <w:pPr>
              <w:rPr>
                <w:rFonts w:hint="eastAsia" w:ascii="宋体" w:hAnsi="宋体" w:eastAsia="宋体" w:cs="宋体"/>
                <w:i w:val="0"/>
                <w:iCs w:val="0"/>
                <w:color w:val="000000"/>
                <w:sz w:val="18"/>
                <w:szCs w:val="18"/>
                <w:u w:val="none"/>
              </w:rPr>
            </w:pPr>
          </w:p>
        </w:tc>
      </w:tr>
      <w:tr w14:paraId="6E5A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2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13DA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通过对本项目进行自评，自评总得分100分。建设司法所1处，项目及时完成，项目验收合格率100%，提高司法所形象，提高群众满意度。</w:t>
            </w:r>
          </w:p>
        </w:tc>
      </w:tr>
      <w:tr w14:paraId="22EB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3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2E64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F30D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DA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D8A0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8CE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D69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B897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51747AD0">
      <w:pPr>
        <w:rPr>
          <w:rFonts w:hint="default" w:ascii="Times New Roman" w:hAnsi="Times New Roman" w:eastAsia="黑体" w:cs="Times New Roman"/>
          <w:sz w:val="24"/>
          <w:szCs w:val="24"/>
          <w:highlight w:val="none"/>
          <w:lang w:val="en-US" w:eastAsia="zh-CN"/>
        </w:rPr>
      </w:pPr>
    </w:p>
    <w:tbl>
      <w:tblPr>
        <w:tblStyle w:val="15"/>
        <w:tblW w:w="506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1113"/>
        <w:gridCol w:w="945"/>
        <w:gridCol w:w="1240"/>
        <w:gridCol w:w="373"/>
        <w:gridCol w:w="888"/>
        <w:gridCol w:w="373"/>
        <w:gridCol w:w="1063"/>
        <w:gridCol w:w="402"/>
        <w:gridCol w:w="462"/>
        <w:gridCol w:w="1234"/>
      </w:tblGrid>
      <w:tr w14:paraId="3A3B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433CC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B3A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DDB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606F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51322624T000011958908-2024年政法转移支付资金（阿州财行2024（12）号））</w:t>
            </w:r>
          </w:p>
        </w:tc>
      </w:tr>
      <w:tr w14:paraId="4461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CF1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AE79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金川县司法局本级</w:t>
            </w:r>
          </w:p>
        </w:tc>
        <w:tc>
          <w:tcPr>
            <w:tcW w:w="615" w:type="pct"/>
            <w:tcBorders>
              <w:top w:val="nil"/>
              <w:left w:val="nil"/>
              <w:bottom w:val="nil"/>
              <w:right w:val="nil"/>
            </w:tcBorders>
            <w:shd w:val="clear" w:color="auto" w:fill="auto"/>
            <w:vAlign w:val="center"/>
          </w:tcPr>
          <w:p w14:paraId="4F16880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8A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金川县司法局</w:t>
            </w:r>
          </w:p>
        </w:tc>
      </w:tr>
      <w:tr w14:paraId="5742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CB6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FAE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CE1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3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FBF74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B2F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06339">
            <w:pPr>
              <w:rPr>
                <w:rFonts w:hint="eastAsia" w:ascii="宋体" w:hAnsi="宋体" w:eastAsia="宋体" w:cs="宋体"/>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9BE92">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C67F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主要用于开展人民调解工作，普法宣传，社区矫正、安置帮教。合法性审查，加强立法工作，提高依法行政水平，更好的开展依法行政工作。</w:t>
            </w:r>
          </w:p>
        </w:tc>
        <w:tc>
          <w:tcPr>
            <w:tcW w:w="183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2DC5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通过开展普法宣传，提高群众法律意识，普法覆盖率达到100%，项目及时完成，达到群众满意的效果。</w:t>
            </w:r>
          </w:p>
        </w:tc>
      </w:tr>
      <w:tr w14:paraId="5AF0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964E3">
            <w:pP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CDB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9CE5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通过开展普法宣传，提高群众法律意识，普法覆盖率达到100%，项目及时完成，达到群众满意的效果。</w:t>
            </w:r>
          </w:p>
        </w:tc>
      </w:tr>
      <w:tr w14:paraId="6887F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36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8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E6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CD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B0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80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B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4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EC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EAA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C809">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08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B7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B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175.00</w:t>
            </w: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9D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126.09</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5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BE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7A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D8650">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4034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715AC">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3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05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7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175.00</w:t>
            </w: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9C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126.09</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59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EC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B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03B36">
            <w:pPr>
              <w:rPr>
                <w:rFonts w:hint="eastAsia" w:ascii="黑体" w:hAnsi="黑体" w:eastAsia="黑体" w:cs="黑体"/>
                <w:i/>
                <w:iCs/>
                <w:color w:val="000000"/>
                <w:sz w:val="18"/>
                <w:szCs w:val="18"/>
                <w:u w:val="none"/>
              </w:rPr>
            </w:pPr>
          </w:p>
        </w:tc>
      </w:tr>
      <w:tr w14:paraId="665A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C2C4F">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64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E8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C7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F0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C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2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17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14955">
            <w:pPr>
              <w:rPr>
                <w:rFonts w:hint="eastAsia" w:ascii="黑体" w:hAnsi="黑体" w:eastAsia="黑体" w:cs="黑体"/>
                <w:i/>
                <w:iCs/>
                <w:color w:val="000000"/>
                <w:sz w:val="18"/>
                <w:szCs w:val="18"/>
                <w:u w:val="none"/>
              </w:rPr>
            </w:pPr>
          </w:p>
        </w:tc>
      </w:tr>
      <w:tr w14:paraId="33CC5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203A2">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E1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21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F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CE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D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A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C5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F55A6">
            <w:pPr>
              <w:rPr>
                <w:rFonts w:hint="eastAsia" w:ascii="黑体" w:hAnsi="黑体" w:eastAsia="黑体" w:cs="黑体"/>
                <w:i/>
                <w:iCs/>
                <w:color w:val="000000"/>
                <w:sz w:val="18"/>
                <w:szCs w:val="18"/>
                <w:u w:val="none"/>
              </w:rPr>
            </w:pPr>
          </w:p>
        </w:tc>
      </w:tr>
      <w:tr w14:paraId="6657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C2D08">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75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C80D6">
            <w:pPr>
              <w:jc w:val="center"/>
              <w:rPr>
                <w:rFonts w:hint="eastAsia" w:ascii="微软雅黑" w:hAnsi="微软雅黑" w:eastAsia="微软雅黑" w:cs="微软雅黑"/>
                <w:i/>
                <w:iCs/>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8C2F9">
            <w:pPr>
              <w:jc w:val="center"/>
              <w:rPr>
                <w:rFonts w:hint="eastAsia" w:ascii="微软雅黑" w:hAnsi="微软雅黑" w:eastAsia="微软雅黑" w:cs="微软雅黑"/>
                <w:i/>
                <w:iCs/>
                <w:color w:val="000000"/>
                <w:sz w:val="16"/>
                <w:szCs w:val="16"/>
                <w:u w:val="none"/>
              </w:rPr>
            </w:pPr>
          </w:p>
        </w:tc>
        <w:tc>
          <w:tcPr>
            <w:tcW w:w="9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5202D">
            <w:pPr>
              <w:jc w:val="center"/>
              <w:rPr>
                <w:rFonts w:hint="eastAsia" w:ascii="微软雅黑" w:hAnsi="微软雅黑" w:eastAsia="微软雅黑" w:cs="微软雅黑"/>
                <w:i/>
                <w:iCs/>
                <w:color w:val="000000"/>
                <w:sz w:val="16"/>
                <w:szCs w:val="16"/>
                <w:u w:val="none"/>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1B2B8">
            <w:pPr>
              <w:jc w:val="center"/>
              <w:rPr>
                <w:rFonts w:hint="eastAsia" w:ascii="微软雅黑" w:hAnsi="微软雅黑" w:eastAsia="微软雅黑" w:cs="微软雅黑"/>
                <w:i/>
                <w:iCs/>
                <w:color w:val="000000"/>
                <w:sz w:val="16"/>
                <w:szCs w:val="16"/>
                <w:u w:val="none"/>
              </w:rPr>
            </w:pP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B9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2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B24DA">
            <w:pPr>
              <w:rPr>
                <w:rFonts w:hint="eastAsia" w:ascii="黑体" w:hAnsi="黑体" w:eastAsia="黑体" w:cs="黑体"/>
                <w:i/>
                <w:iCs/>
                <w:color w:val="000000"/>
                <w:sz w:val="18"/>
                <w:szCs w:val="18"/>
                <w:u w:val="none"/>
              </w:rPr>
            </w:pPr>
          </w:p>
        </w:tc>
      </w:tr>
      <w:tr w14:paraId="1607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26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81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1C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9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9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03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D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1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BD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7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0F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389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42BD2">
            <w:pPr>
              <w:jc w:val="center"/>
              <w:rPr>
                <w:rFonts w:hint="eastAsia" w:ascii="宋体" w:hAnsi="宋体" w:eastAsia="宋体" w:cs="宋体"/>
                <w:i w:val="0"/>
                <w:iCs w:val="0"/>
                <w:color w:val="000000"/>
                <w:sz w:val="18"/>
                <w:szCs w:val="18"/>
                <w:u w:val="none"/>
              </w:rPr>
            </w:pP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DD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B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普法人数</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8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5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2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DC3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2800人</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5B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9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F7B5">
            <w:pPr>
              <w:jc w:val="center"/>
              <w:rPr>
                <w:rFonts w:hint="eastAsia" w:ascii="微软雅黑" w:hAnsi="微软雅黑" w:eastAsia="微软雅黑" w:cs="微软雅黑"/>
                <w:i/>
                <w:iCs/>
                <w:color w:val="000000"/>
                <w:sz w:val="16"/>
                <w:szCs w:val="16"/>
                <w:u w:val="none"/>
              </w:rPr>
            </w:pPr>
          </w:p>
        </w:tc>
      </w:tr>
      <w:tr w14:paraId="2490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DB150">
            <w:pPr>
              <w:jc w:val="center"/>
              <w:rPr>
                <w:rFonts w:hint="eastAsia" w:ascii="宋体" w:hAnsi="宋体" w:eastAsia="宋体" w:cs="宋体"/>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8765B">
            <w:pPr>
              <w:jc w:val="center"/>
              <w:rPr>
                <w:rFonts w:hint="eastAsia" w:ascii="宋体" w:hAnsi="宋体" w:eastAsia="宋体" w:cs="宋体"/>
                <w:i w:val="0"/>
                <w:iCs w:val="0"/>
                <w:color w:val="000000"/>
                <w:sz w:val="18"/>
                <w:szCs w:val="18"/>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0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6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普法覆盖率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1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97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D3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70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5D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5E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04B57">
            <w:pPr>
              <w:jc w:val="center"/>
              <w:rPr>
                <w:rFonts w:hint="eastAsia" w:ascii="微软雅黑" w:hAnsi="微软雅黑" w:eastAsia="微软雅黑" w:cs="微软雅黑"/>
                <w:i/>
                <w:iCs/>
                <w:color w:val="000000"/>
                <w:sz w:val="16"/>
                <w:szCs w:val="16"/>
                <w:u w:val="none"/>
              </w:rPr>
            </w:pPr>
          </w:p>
        </w:tc>
      </w:tr>
      <w:tr w14:paraId="3D83E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498CB">
            <w:pPr>
              <w:jc w:val="center"/>
              <w:rPr>
                <w:rFonts w:hint="eastAsia" w:ascii="宋体" w:hAnsi="宋体" w:eastAsia="宋体" w:cs="宋体"/>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DC29">
            <w:pPr>
              <w:jc w:val="center"/>
              <w:rPr>
                <w:rFonts w:hint="eastAsia" w:ascii="宋体" w:hAnsi="宋体" w:eastAsia="宋体" w:cs="宋体"/>
                <w:i w:val="0"/>
                <w:iCs w:val="0"/>
                <w:color w:val="000000"/>
                <w:sz w:val="18"/>
                <w:szCs w:val="18"/>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F0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D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F0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3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A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89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82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7B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BAEE5">
            <w:pPr>
              <w:jc w:val="center"/>
              <w:rPr>
                <w:rFonts w:hint="eastAsia" w:ascii="微软雅黑" w:hAnsi="微软雅黑" w:eastAsia="微软雅黑" w:cs="微软雅黑"/>
                <w:i/>
                <w:iCs/>
                <w:color w:val="000000"/>
                <w:sz w:val="16"/>
                <w:szCs w:val="16"/>
                <w:u w:val="none"/>
              </w:rPr>
            </w:pPr>
          </w:p>
        </w:tc>
      </w:tr>
      <w:tr w14:paraId="787AB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7F309">
            <w:pPr>
              <w:jc w:val="center"/>
              <w:rPr>
                <w:rFonts w:hint="eastAsia" w:ascii="宋体" w:hAnsi="宋体" w:eastAsia="宋体" w:cs="宋体"/>
                <w:i w:val="0"/>
                <w:iCs w:val="0"/>
                <w:color w:val="000000"/>
                <w:sz w:val="18"/>
                <w:szCs w:val="18"/>
                <w:u w:val="none"/>
              </w:rPr>
            </w:pP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1C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C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4C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提高群众法律意识</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E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0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46A19">
            <w:pPr>
              <w:jc w:val="center"/>
              <w:rPr>
                <w:rFonts w:hint="eastAsia" w:ascii="宋体" w:hAnsi="宋体" w:eastAsia="宋体" w:cs="宋体"/>
                <w:i w:val="0"/>
                <w:iCs w:val="0"/>
                <w:color w:val="000000"/>
                <w:sz w:val="18"/>
                <w:szCs w:val="18"/>
                <w:u w:val="none"/>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250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6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9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8C17E">
            <w:pPr>
              <w:jc w:val="center"/>
              <w:rPr>
                <w:rFonts w:hint="eastAsia" w:ascii="微软雅黑" w:hAnsi="微软雅黑" w:eastAsia="微软雅黑" w:cs="微软雅黑"/>
                <w:i/>
                <w:iCs/>
                <w:color w:val="000000"/>
                <w:sz w:val="16"/>
                <w:szCs w:val="16"/>
                <w:u w:val="none"/>
              </w:rPr>
            </w:pPr>
          </w:p>
        </w:tc>
      </w:tr>
      <w:tr w14:paraId="1F87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E470E">
            <w:pPr>
              <w:jc w:val="center"/>
              <w:rPr>
                <w:rFonts w:hint="eastAsia" w:ascii="宋体" w:hAnsi="宋体" w:eastAsia="宋体" w:cs="宋体"/>
                <w:i w:val="0"/>
                <w:iCs w:val="0"/>
                <w:color w:val="000000"/>
                <w:sz w:val="18"/>
                <w:szCs w:val="18"/>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68D5D">
            <w:pPr>
              <w:jc w:val="center"/>
              <w:rPr>
                <w:rFonts w:hint="eastAsia" w:ascii="宋体" w:hAnsi="宋体" w:eastAsia="宋体" w:cs="宋体"/>
                <w:i w:val="0"/>
                <w:iCs w:val="0"/>
                <w:color w:val="000000"/>
                <w:sz w:val="18"/>
                <w:szCs w:val="18"/>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9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6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63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48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4D54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5D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C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0D2DD">
            <w:pPr>
              <w:jc w:val="center"/>
              <w:rPr>
                <w:rFonts w:hint="eastAsia" w:ascii="微软雅黑" w:hAnsi="微软雅黑" w:eastAsia="微软雅黑" w:cs="微软雅黑"/>
                <w:i/>
                <w:iCs/>
                <w:color w:val="000000"/>
                <w:sz w:val="16"/>
                <w:szCs w:val="16"/>
                <w:u w:val="none"/>
              </w:rPr>
            </w:pPr>
          </w:p>
        </w:tc>
      </w:tr>
      <w:tr w14:paraId="38590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F8468">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24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27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26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3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A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64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8E11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D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C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C556">
            <w:pPr>
              <w:jc w:val="center"/>
              <w:rPr>
                <w:rFonts w:hint="eastAsia" w:ascii="微软雅黑" w:hAnsi="微软雅黑" w:eastAsia="微软雅黑" w:cs="微软雅黑"/>
                <w:i/>
                <w:iCs/>
                <w:color w:val="000000"/>
                <w:sz w:val="16"/>
                <w:szCs w:val="16"/>
                <w:u w:val="none"/>
              </w:rPr>
            </w:pPr>
          </w:p>
        </w:tc>
      </w:tr>
      <w:tr w14:paraId="5945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88838">
            <w:pPr>
              <w:jc w:val="center"/>
              <w:rPr>
                <w:rFonts w:hint="eastAsia" w:ascii="宋体" w:hAnsi="宋体" w:eastAsia="宋体" w:cs="宋体"/>
                <w:i w:val="0"/>
                <w:iCs w:val="0"/>
                <w:color w:val="000000"/>
                <w:sz w:val="18"/>
                <w:szCs w:val="18"/>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A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4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1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普法经费</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F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3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9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9C8D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163万元</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C7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96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54C1">
            <w:pPr>
              <w:jc w:val="center"/>
              <w:rPr>
                <w:rFonts w:hint="eastAsia" w:ascii="微软雅黑" w:hAnsi="微软雅黑" w:eastAsia="微软雅黑" w:cs="微软雅黑"/>
                <w:i/>
                <w:iCs/>
                <w:color w:val="000000"/>
                <w:sz w:val="16"/>
                <w:szCs w:val="16"/>
                <w:u w:val="none"/>
              </w:rPr>
            </w:pPr>
          </w:p>
        </w:tc>
      </w:tr>
      <w:tr w14:paraId="1C55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777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3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E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0D76">
            <w:pPr>
              <w:rPr>
                <w:rFonts w:hint="eastAsia" w:ascii="宋体" w:hAnsi="宋体" w:eastAsia="宋体" w:cs="宋体"/>
                <w:i w:val="0"/>
                <w:iCs w:val="0"/>
                <w:color w:val="000000"/>
                <w:sz w:val="18"/>
                <w:szCs w:val="18"/>
                <w:u w:val="none"/>
              </w:rPr>
            </w:pPr>
          </w:p>
        </w:tc>
      </w:tr>
      <w:tr w14:paraId="19F7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B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EB8B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通过对本项目进行自评，自评总得分100分。通过实施该项目，加强普法宣传，提高群众法律意识，普法覆盖率100%，达到群众满意的效果。</w:t>
            </w:r>
          </w:p>
        </w:tc>
      </w:tr>
      <w:tr w14:paraId="347B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10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3447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C03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1B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39EE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B4A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E906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56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FB92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49F87FF0">
      <w:pPr>
        <w:rPr>
          <w:rFonts w:hint="default" w:ascii="Times New Roman" w:hAnsi="Times New Roman" w:eastAsia="黑体" w:cs="Times New Roman"/>
          <w:sz w:val="24"/>
          <w:szCs w:val="24"/>
          <w:highlight w:val="none"/>
          <w:lang w:val="en-US" w:eastAsia="zh-CN"/>
        </w:rPr>
      </w:pPr>
    </w:p>
    <w:p w14:paraId="0DDBF8E6">
      <w:pPr>
        <w:pStyle w:val="5"/>
        <w:rPr>
          <w:rFonts w:hint="eastAsia" w:ascii="Times New Roman" w:hAnsi="Times New Roman" w:cs="宋体"/>
          <w:color w:val="FF0000"/>
          <w:kern w:val="0"/>
          <w:sz w:val="32"/>
          <w:szCs w:val="32"/>
          <w:highlight w:val="yellow"/>
          <w:shd w:val="clear" w:color="auto" w:fill="FFFFFF"/>
          <w:lang w:val="zh-CN"/>
        </w:rPr>
      </w:pPr>
    </w:p>
    <w:p w14:paraId="34BE0E39">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1E0F503F">
      <w:pPr>
        <w:pStyle w:val="5"/>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4B37106F">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30827BBE">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59D86B1C">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055AF03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5279EA9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5717F8A0">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14:paraId="675E705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2C3BB406">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14F0207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43C45F3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0F7AA34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1017EA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4501280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6D32A50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584893AD">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2941E7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129F797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2882E3E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项目决策。围绕决策程序、规划论证、资金投向进行绩效分析。</w:t>
      </w:r>
    </w:p>
    <w:p w14:paraId="7DC2E30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项目管理。围绕制度办法、分配管理、绩效监管进行绩效分析。</w:t>
      </w:r>
    </w:p>
    <w:p w14:paraId="5E71BE8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14:paraId="07AFF95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792F7E2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14:paraId="6D956D8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14:paraId="625B4C2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418F770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3ED56A8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14:paraId="2A2B0DC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38C9A13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61B2509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20AD6A0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1BF7134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5CE2934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479BD3E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14:paraId="527296A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14:paraId="07059B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82E19F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A8C79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625C6282">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14"/>
      <w:bookmarkEnd w:id="53"/>
      <w:bookmarkStart w:id="54" w:name="_Toc15396619"/>
    </w:p>
    <w:p w14:paraId="099537C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72610B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621BD94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7D8973F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64F0717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2B79822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42E1667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5E62CAF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77F1AE2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7D8B07B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1C7E3EE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62644BD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26EB869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57B3EB9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2E6D55CB">
      <w:pPr>
        <w:rPr>
          <w:rFonts w:hint="eastAsia" w:ascii="Times New Roman" w:hAnsi="Times New Roman"/>
          <w:lang w:eastAsia="zh-CN"/>
        </w:rPr>
      </w:pPr>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B17E6">
    <w:pPr>
      <w:pStyle w:val="9"/>
      <w:jc w:val="center"/>
    </w:pPr>
  </w:p>
  <w:p w14:paraId="1ADA657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BB46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6DA4BFF"/>
    <w:rsid w:val="07996F6E"/>
    <w:rsid w:val="07DFD8BA"/>
    <w:rsid w:val="096E7880"/>
    <w:rsid w:val="09867E8F"/>
    <w:rsid w:val="0A2032A3"/>
    <w:rsid w:val="0CA8290A"/>
    <w:rsid w:val="0CF54541"/>
    <w:rsid w:val="0D35B1ED"/>
    <w:rsid w:val="0DCE6B40"/>
    <w:rsid w:val="0E254B6B"/>
    <w:rsid w:val="0F98263C"/>
    <w:rsid w:val="101860EC"/>
    <w:rsid w:val="101F47CC"/>
    <w:rsid w:val="10C055FF"/>
    <w:rsid w:val="11694EBD"/>
    <w:rsid w:val="11772AA4"/>
    <w:rsid w:val="118107EC"/>
    <w:rsid w:val="12AC116E"/>
    <w:rsid w:val="12E24EE2"/>
    <w:rsid w:val="13D50BC4"/>
    <w:rsid w:val="14B17F78"/>
    <w:rsid w:val="16557DFE"/>
    <w:rsid w:val="165E0673"/>
    <w:rsid w:val="16832BBD"/>
    <w:rsid w:val="16B831D5"/>
    <w:rsid w:val="16BB723D"/>
    <w:rsid w:val="17716EB9"/>
    <w:rsid w:val="1776627E"/>
    <w:rsid w:val="17E0618F"/>
    <w:rsid w:val="17E50567"/>
    <w:rsid w:val="183F2B14"/>
    <w:rsid w:val="186504BB"/>
    <w:rsid w:val="188B3FAB"/>
    <w:rsid w:val="19526877"/>
    <w:rsid w:val="19A445FC"/>
    <w:rsid w:val="1BE8440E"/>
    <w:rsid w:val="1D155CEE"/>
    <w:rsid w:val="1D1638FE"/>
    <w:rsid w:val="1E312DEB"/>
    <w:rsid w:val="1E740ACF"/>
    <w:rsid w:val="1F58270D"/>
    <w:rsid w:val="1FF35744"/>
    <w:rsid w:val="1FF6BC77"/>
    <w:rsid w:val="201605FE"/>
    <w:rsid w:val="2186353C"/>
    <w:rsid w:val="23130E25"/>
    <w:rsid w:val="23860B96"/>
    <w:rsid w:val="240371BF"/>
    <w:rsid w:val="244F3473"/>
    <w:rsid w:val="24C97D99"/>
    <w:rsid w:val="25A718F0"/>
    <w:rsid w:val="25BB59F6"/>
    <w:rsid w:val="260F557C"/>
    <w:rsid w:val="26970054"/>
    <w:rsid w:val="281408E2"/>
    <w:rsid w:val="29FD04D3"/>
    <w:rsid w:val="2B1924AE"/>
    <w:rsid w:val="2BFF7BC6"/>
    <w:rsid w:val="2C8A61B5"/>
    <w:rsid w:val="2DF04E50"/>
    <w:rsid w:val="2E1A39AF"/>
    <w:rsid w:val="2E586DFA"/>
    <w:rsid w:val="2F040D46"/>
    <w:rsid w:val="2F1F6DA3"/>
    <w:rsid w:val="2F6B035B"/>
    <w:rsid w:val="2FAE5751"/>
    <w:rsid w:val="2FB1A395"/>
    <w:rsid w:val="2FD9A7D8"/>
    <w:rsid w:val="2FDBF714"/>
    <w:rsid w:val="30AB6865"/>
    <w:rsid w:val="319F7F4E"/>
    <w:rsid w:val="32BD1EF1"/>
    <w:rsid w:val="3304709D"/>
    <w:rsid w:val="33A773CB"/>
    <w:rsid w:val="349D6851"/>
    <w:rsid w:val="35C97A69"/>
    <w:rsid w:val="36AA5135"/>
    <w:rsid w:val="36BE0DA7"/>
    <w:rsid w:val="376B6AA6"/>
    <w:rsid w:val="376D39B2"/>
    <w:rsid w:val="37E16F03"/>
    <w:rsid w:val="37F53A3B"/>
    <w:rsid w:val="389B6C89"/>
    <w:rsid w:val="38D469F0"/>
    <w:rsid w:val="39627CCD"/>
    <w:rsid w:val="397BAF1F"/>
    <w:rsid w:val="3AB79AF3"/>
    <w:rsid w:val="3AE834C0"/>
    <w:rsid w:val="3B7EF35A"/>
    <w:rsid w:val="3B81506E"/>
    <w:rsid w:val="3B9FDB6C"/>
    <w:rsid w:val="3BF5BC2F"/>
    <w:rsid w:val="3CEBA265"/>
    <w:rsid w:val="3D98207C"/>
    <w:rsid w:val="3DEE7CF3"/>
    <w:rsid w:val="3E740A63"/>
    <w:rsid w:val="3E78745D"/>
    <w:rsid w:val="3ED43706"/>
    <w:rsid w:val="3EE17838"/>
    <w:rsid w:val="3F55381A"/>
    <w:rsid w:val="3F7F7599"/>
    <w:rsid w:val="3FF4CAE0"/>
    <w:rsid w:val="3FF7B227"/>
    <w:rsid w:val="44E268DA"/>
    <w:rsid w:val="450D13D7"/>
    <w:rsid w:val="45506656"/>
    <w:rsid w:val="486A6C7A"/>
    <w:rsid w:val="4A627F82"/>
    <w:rsid w:val="4AB8212E"/>
    <w:rsid w:val="4B0E749A"/>
    <w:rsid w:val="4B2477C4"/>
    <w:rsid w:val="4B4F25DA"/>
    <w:rsid w:val="4BD27220"/>
    <w:rsid w:val="4BE068DB"/>
    <w:rsid w:val="4D577224"/>
    <w:rsid w:val="4DBF1CEB"/>
    <w:rsid w:val="4DF0007C"/>
    <w:rsid w:val="4EAB630A"/>
    <w:rsid w:val="4ECE2238"/>
    <w:rsid w:val="4F1F277C"/>
    <w:rsid w:val="4F833267"/>
    <w:rsid w:val="4FE9BD67"/>
    <w:rsid w:val="4FFB052F"/>
    <w:rsid w:val="526606C2"/>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9D39D4"/>
    <w:rsid w:val="62465E1A"/>
    <w:rsid w:val="62BF3928"/>
    <w:rsid w:val="63B3701E"/>
    <w:rsid w:val="647F5392"/>
    <w:rsid w:val="64D21BE7"/>
    <w:rsid w:val="65E66580"/>
    <w:rsid w:val="661C3C5F"/>
    <w:rsid w:val="664B1D71"/>
    <w:rsid w:val="664B4E8E"/>
    <w:rsid w:val="67277B67"/>
    <w:rsid w:val="67AA3209"/>
    <w:rsid w:val="68994EF5"/>
    <w:rsid w:val="698D0931"/>
    <w:rsid w:val="6A7FE5F3"/>
    <w:rsid w:val="6B053271"/>
    <w:rsid w:val="6BDD78B3"/>
    <w:rsid w:val="6C4A05C8"/>
    <w:rsid w:val="6C8742B8"/>
    <w:rsid w:val="6DBF5E93"/>
    <w:rsid w:val="6DF17581"/>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C0719F"/>
    <w:rsid w:val="74ED5379"/>
    <w:rsid w:val="75DEEEC2"/>
    <w:rsid w:val="75E32345"/>
    <w:rsid w:val="76E3355F"/>
    <w:rsid w:val="76FF5125"/>
    <w:rsid w:val="776F6FFA"/>
    <w:rsid w:val="778769C8"/>
    <w:rsid w:val="77A75DCA"/>
    <w:rsid w:val="77CE4490"/>
    <w:rsid w:val="77DC22F5"/>
    <w:rsid w:val="783E271A"/>
    <w:rsid w:val="78616DE9"/>
    <w:rsid w:val="78E875D7"/>
    <w:rsid w:val="79086DAD"/>
    <w:rsid w:val="79D7FD79"/>
    <w:rsid w:val="79EE5BA4"/>
    <w:rsid w:val="7A894339"/>
    <w:rsid w:val="7AD284E8"/>
    <w:rsid w:val="7AFF7572"/>
    <w:rsid w:val="7B6C7DFB"/>
    <w:rsid w:val="7BBFBED0"/>
    <w:rsid w:val="7BC3E394"/>
    <w:rsid w:val="7C1F3737"/>
    <w:rsid w:val="7C3A0345"/>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footnote text"/>
    <w:basedOn w:val="1"/>
    <w:next w:val="13"/>
    <w:semiHidden/>
    <w:qFormat/>
    <w:uiPriority w:val="0"/>
    <w:pPr>
      <w:snapToGrid w:val="0"/>
      <w:jc w:val="left"/>
    </w:pPr>
    <w:rPr>
      <w:sz w:val="18"/>
      <w:szCs w:val="18"/>
    </w:rPr>
  </w:style>
  <w:style w:type="paragraph" w:styleId="13">
    <w:name w:val="Body Text First Indent 2"/>
    <w:basedOn w:val="6"/>
    <w:unhideWhenUsed/>
    <w:qFormat/>
    <w:uiPriority w:val="99"/>
    <w:pPr>
      <w:ind w:firstLine="420" w:firstLine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8"/>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5">
    <w:name w:val="heading 1 Char"/>
    <w:basedOn w:val="16"/>
    <w:link w:val="2"/>
    <w:qFormat/>
    <w:uiPriority w:val="0"/>
    <w:rPr>
      <w:rFonts w:ascii="Times New Roman" w:hAnsi="Times New Roman" w:eastAsia="宋体" w:cs="Times New Roman"/>
      <w:b/>
      <w:bCs/>
      <w:kern w:val="44"/>
      <w:sz w:val="44"/>
      <w:szCs w:val="44"/>
      <w:lang w:val="en-US" w:eastAsia="zh-CN" w:bidi="ar-SA"/>
    </w:rPr>
  </w:style>
  <w:style w:type="character" w:customStyle="1" w:styleId="36">
    <w:name w:val="heading 2 Char"/>
    <w:basedOn w:val="16"/>
    <w:link w:val="3"/>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2023年</c:v>
                </c:pt>
              </c:strCache>
            </c:strRef>
          </c:cat>
          <c:val>
            <c:numRef>
              <c:f>'Sheet1'!$B$2:$B$3</c:f>
              <c:numCache>
                <c:formatCode>#,##0.00</c:formatCode>
                <c:ptCount val="2"/>
                <c:pt idx="0">
                  <c:v>1322.88</c:v>
                </c:pt>
                <c:pt idx="1">
                  <c:v>1272.34</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2023年</c:v>
                </c:pt>
              </c:strCache>
            </c:strRef>
          </c:cat>
          <c:val>
            <c:numRef>
              <c:f>'Sheet1'!$C$2:$C$3</c:f>
              <c:numCache>
                <c:formatCode>#,##0.00</c:formatCode>
                <c:ptCount val="2"/>
                <c:pt idx="0">
                  <c:v>1322.88</c:v>
                </c:pt>
                <c:pt idx="1">
                  <c:v>1272.34</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manualLayout>
          <c:xMode val="edge"/>
          <c:yMode val="edge"/>
          <c:x val="0.4013125"/>
          <c:y val="0.8849274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e4770928-242a-45a7-bb46-24876e890156}"/>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1322.88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4271b028-487e-4b2a-983e-da1dc283a3c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632"/>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1064.43</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258.45</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0.00"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#,##0.00</c:formatCode>
                <c:ptCount val="2"/>
                <c:pt idx="0">
                  <c:v>1064.43</c:v>
                </c:pt>
                <c:pt idx="1">
                  <c:v>258.45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bed71d78-94b0-4f07-94cb-10989ab9856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1322.88</c:v>
                </c:pt>
                <c:pt idx="1">
                  <c:v>1322.88</c:v>
                </c:pt>
              </c:numCache>
            </c:numRef>
          </c:val>
        </c:ser>
        <c:ser>
          <c:idx val="1"/>
          <c:order val="1"/>
          <c:tx>
            <c:strRef>
              <c:f>'Sheet1 (4)'!$A$3</c:f>
              <c:strCache>
                <c:ptCount val="1"/>
                <c:pt idx="0">
                  <c:v>2023年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1072.34</c:v>
                </c:pt>
                <c:pt idx="1">
                  <c:v>1072.34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f52b5bb8-c843-48cd-a33b-b9842b139f4a}"/>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2024年</c:v>
                </c:pt>
                <c:pt idx="1">
                  <c:v>2023年</c:v>
                </c:pt>
              </c:strCache>
            </c:strRef>
          </c:cat>
          <c:val>
            <c:numRef>
              <c:f>'Sheet1 (5)'!$B$2:$B$3</c:f>
              <c:numCache>
                <c:formatCode>General</c:formatCode>
                <c:ptCount val="2"/>
                <c:pt idx="0">
                  <c:v>1322.88</c:v>
                </c:pt>
                <c:pt idx="1">
                  <c:v>1272.34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69021df-b290-467e-89ff-3580ba168ec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1009.39</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20973645"/>
                  <c:y val="0.044190824"/>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58.52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(6)'!$A$2:$A$3</c:f>
              <c:strCache>
                <c:ptCount val="2"/>
                <c:pt idx="0">
                  <c:v>人员经费</c:v>
                </c:pt>
                <c:pt idx="1">
                  <c:v>日常公用经费</c:v>
                </c:pt>
              </c:strCache>
            </c:strRef>
          </c:cat>
          <c:val>
            <c:numRef>
              <c:f>'Sheet1 (6)'!$B$2:$B$3</c:f>
              <c:numCache>
                <c:formatCode>General</c:formatCode>
                <c:ptCount val="2"/>
                <c:pt idx="0">
                  <c:v>1064.43</c:v>
                </c:pt>
                <c:pt idx="1">
                  <c:v>258.45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a9f14481-fb26-4038-b3d4-9b2aefda866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16.75</c:v>
                </c:pt>
                <c:pt idx="2">
                  <c:v>0.09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e1593d6b-fa90-420b-82b9-b007defbee4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1299</Words>
  <Characters>7410</Characters>
  <Lines>61</Lines>
  <Paragraphs>17</Paragraphs>
  <TotalTime>2</TotalTime>
  <ScaleCrop>false</ScaleCrop>
  <LinksUpToDate>false</LinksUpToDate>
  <CharactersWithSpaces>8692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2025-08-28T00:58:09Z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CB71C0C8CB214B9589E4FFF0F91D4CFD_13</vt:lpwstr>
  </property>
</Properties>
</file>