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77425"/>
      <w:bookmarkStart w:id="3" w:name="_Toc15396475"/>
      <w:bookmarkStart w:id="4" w:name="_Toc15396597"/>
      <w:bookmarkStart w:id="5" w:name="_Toc15377193"/>
      <w:r>
        <w:rPr>
          <w:rFonts w:ascii="黑体" w:eastAsia="黑体"/>
          <w:color w:val="000000"/>
          <w:sz w:val="72"/>
          <w:szCs w:val="72"/>
        </w:rPr>
        <w:t>2</w:t>
      </w:r>
      <w:r>
        <w:rPr>
          <w:rFonts w:ascii="黑体" w:eastAsia="黑体" w:hint="eastAsia"/>
          <w:color w:val="000000"/>
          <w:sz w:val="72"/>
          <w:szCs w:val="72"/>
        </w:rPr>
        <w:t>022</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96598"/>
      <w:bookmarkStart w:id="8" w:name="_Toc15396476"/>
      <w:bookmarkStart w:id="9" w:name="_Toc15377426"/>
      <w:bookmarkStart w:id="10" w:name="_Toc15306268"/>
      <w:bookmarkStart w:id="11" w:name="_Toc15378442"/>
      <w:bookmarkEnd w:id="0"/>
      <w:r>
        <w:rPr>
          <w:rFonts w:ascii="方正小标宋简体" w:eastAsia="方正小标宋简体" w:hint="eastAsia"/>
          <w:color w:val="000000"/>
          <w:sz w:val="72"/>
          <w:szCs w:val="72"/>
        </w:rPr>
        <w:t>金川县司法局部门决算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分析报告</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tabs>
          <w:tab w:val="center" w:pos="4213"/>
          <w:tab w:val="left" w:pos="5211"/>
        </w:tabs>
        <w:jc w:val="left"/>
      </w:pPr>
      <w:r>
        <w:rPr>
          <w:rFonts w:ascii="黑体" w:eastAsia="黑体" w:hint="eastAsia"/>
          <w:color w:val="000000"/>
          <w:sz w:val="48"/>
          <w:szCs w:val="48"/>
        </w:rPr>
        <w:tab/>
        <w:tab/>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0"/>
        <w:tabs>
          <w:tab w:val="right" w:leader="dot" w:pos="8296"/>
        </w:tabs>
        <w:rPr>
          <w:rFonts w:cs="Arial"/>
        </w:rPr>
      </w:pPr>
      <w:r>
        <w:fldChar w:fldCharType="begin"/>
      </w:r>
      <w:r>
        <w:instrText>Hyperlink \l "_Toc15396599"</w:instrText>
      </w:r>
      <w:r>
        <w:fldChar w:fldCharType="separate"/>
      </w:r>
      <w:r>
        <w:rPr>
          <w:rFonts w:hint="eastAsia"/>
        </w:rPr>
        <w:t>第一部分部门概况</w:t>
      </w:r>
      <w:r>
        <w:tab/>
      </w:r>
      <w:r>
        <w:rPr>
          <w:rFonts w:hint="eastAsia"/>
        </w:rPr>
        <w:t>3</w:t>
      </w:r>
      <w:r>
        <w:fldChar w:fldCharType="end"/>
      </w:r>
    </w:p>
    <w:p>
      <w:pPr>
        <w:pStyle w:val="21"/>
        <w:tabs>
          <w:tab w:val="right" w:leader="dot" w:pos="8296"/>
        </w:tabs>
        <w:rPr>
          <w:rFonts w:ascii="仿宋" w:eastAsia="仿宋" w:cs="Arial"/>
          <w:sz w:val="28"/>
          <w:szCs w:val="28"/>
        </w:rPr>
      </w:pPr>
      <w:r>
        <w:fldChar w:fldCharType="begin"/>
      </w:r>
      <w:r>
        <w:instrText>Hyperlink \l "_Toc15396600"</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3</w:t>
      </w:r>
      <w:r>
        <w:fldChar w:fldCharType="end"/>
      </w:r>
    </w:p>
    <w:p>
      <w:pPr>
        <w:pStyle w:val="21"/>
        <w:tabs>
          <w:tab w:val="right" w:leader="dot" w:pos="8296"/>
        </w:tabs>
        <w:rPr>
          <w:rFonts w:ascii="仿宋" w:eastAsia="仿宋" w:cs="Arial"/>
          <w:sz w:val="28"/>
          <w:szCs w:val="28"/>
        </w:rPr>
      </w:pPr>
      <w:r>
        <w:fldChar w:fldCharType="begin"/>
      </w:r>
      <w:r>
        <w:instrText>Hyperlink \l "_Toc15396601"</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6</w:t>
      </w:r>
      <w:r>
        <w:fldChar w:fldCharType="end"/>
      </w:r>
    </w:p>
    <w:p>
      <w:pPr>
        <w:pStyle w:val="20"/>
        <w:tabs>
          <w:tab w:val="right" w:leader="dot" w:pos="8296"/>
        </w:tabs>
      </w:pPr>
      <w:r>
        <w:fldChar w:fldCharType="begin"/>
      </w:r>
      <w:r>
        <w:instrText>Hyperlink \l "_Toc15396602"</w:instrText>
      </w:r>
      <w:r>
        <w:fldChar w:fldCharType="separate"/>
      </w:r>
      <w:r>
        <w:rPr>
          <w:rFonts w:hint="eastAsia"/>
        </w:rPr>
        <w:t>第二部分部门决算情况说明</w:t>
      </w:r>
      <w:r>
        <w:tab/>
      </w:r>
      <w:r>
        <w:rPr>
          <w:rFonts w:hint="eastAsia"/>
        </w:rPr>
        <w:t>6</w:t>
      </w:r>
      <w:r>
        <w:fldChar w:fldCharType="end"/>
      </w:r>
    </w:p>
    <w:p>
      <w:pPr>
        <w:pStyle w:val="21"/>
        <w:tabs>
          <w:tab w:val="right" w:leader="dot" w:pos="8296"/>
        </w:tabs>
        <w:rPr>
          <w:rFonts w:ascii="仿宋" w:eastAsia="仿宋" w:cs="Arial"/>
          <w:sz w:val="28"/>
          <w:szCs w:val="28"/>
        </w:rPr>
      </w:pPr>
      <w:r>
        <w:fldChar w:fldCharType="begin"/>
      </w:r>
      <w:r>
        <w:instrText>Hyperlink \l "_Toc15396603"</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6</w:t>
      </w:r>
      <w:r>
        <w:fldChar w:fldCharType="end"/>
      </w:r>
    </w:p>
    <w:p>
      <w:pPr>
        <w:pStyle w:val="21"/>
        <w:tabs>
          <w:tab w:val="right" w:leader="dot" w:pos="8296"/>
        </w:tabs>
        <w:rPr>
          <w:rFonts w:ascii="仿宋" w:eastAsia="仿宋" w:cs="Arial"/>
          <w:sz w:val="28"/>
          <w:szCs w:val="28"/>
        </w:rPr>
      </w:pPr>
      <w:r>
        <w:fldChar w:fldCharType="begin"/>
      </w:r>
      <w:r>
        <w:instrText>Hyperlink \l "_Toc15396604"</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7</w:t>
      </w:r>
      <w:r>
        <w:fldChar w:fldCharType="end"/>
      </w:r>
    </w:p>
    <w:p>
      <w:pPr>
        <w:pStyle w:val="21"/>
        <w:tabs>
          <w:tab w:val="right" w:leader="dot" w:pos="8296"/>
        </w:tabs>
        <w:rPr>
          <w:rFonts w:ascii="仿宋" w:eastAsia="仿宋" w:cs="Arial"/>
          <w:sz w:val="28"/>
          <w:szCs w:val="28"/>
        </w:rPr>
      </w:pPr>
      <w:r>
        <w:fldChar w:fldCharType="begin"/>
      </w:r>
      <w:r>
        <w:instrText>Hyperlink \l "_Toc15396605"</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7</w:t>
      </w:r>
      <w:r>
        <w:fldChar w:fldCharType="end"/>
      </w:r>
    </w:p>
    <w:p>
      <w:pPr>
        <w:pStyle w:val="21"/>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rPr>
        <w:t>8</w:t>
      </w:r>
      <w:r>
        <w:fldChar w:fldCharType="end"/>
      </w:r>
    </w:p>
    <w:p>
      <w:pPr>
        <w:pStyle w:val="21"/>
        <w:tabs>
          <w:tab w:val="right" w:leader="dot" w:pos="8296"/>
        </w:tabs>
        <w:rPr>
          <w:rFonts w:ascii="仿宋" w:eastAsia="仿宋" w:cs="Arial"/>
          <w:sz w:val="28"/>
          <w:szCs w:val="28"/>
        </w:rPr>
      </w:pPr>
      <w:r>
        <w:fldChar w:fldCharType="begin"/>
      </w:r>
      <w:r>
        <w:instrText>Hyperlink \l "_Toc15396607"</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8</w:t>
      </w:r>
      <w:r>
        <w:fldChar w:fldCharType="end"/>
      </w:r>
    </w:p>
    <w:p>
      <w:pPr>
        <w:pStyle w:val="21"/>
        <w:tabs>
          <w:tab w:val="right" w:leader="dot" w:pos="8296"/>
        </w:tabs>
        <w:rPr>
          <w:rFonts w:ascii="仿宋" w:eastAsia="仿宋" w:cs="Arial"/>
          <w:sz w:val="28"/>
          <w:szCs w:val="28"/>
        </w:rPr>
      </w:pPr>
      <w:r>
        <w:fldChar w:fldCharType="begin"/>
      </w:r>
      <w:r>
        <w:instrText>Hyperlink \l "_Toc15396608"</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1</w:t>
      </w:r>
    </w:p>
    <w:p>
      <w:pPr>
        <w:pStyle w:val="21"/>
        <w:tabs>
          <w:tab w:val="right" w:leader="dot" w:pos="8296"/>
        </w:tabs>
        <w:rPr>
          <w:rFonts w:ascii="仿宋" w:eastAsia="仿宋" w:cs="Arial"/>
          <w:sz w:val="28"/>
          <w:szCs w:val="28"/>
        </w:rPr>
      </w:pPr>
      <w:r>
        <w:fldChar w:fldCharType="begin"/>
      </w:r>
      <w:r>
        <w:instrText>Hyperlink \l "_Toc15396609"</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2</w:t>
      </w:r>
    </w:p>
    <w:p>
      <w:pPr>
        <w:pStyle w:val="21"/>
        <w:tabs>
          <w:tab w:val="right" w:leader="dot" w:pos="8296"/>
        </w:tabs>
        <w:rPr>
          <w:rFonts w:ascii="仿宋" w:eastAsia="仿宋" w:cs="Arial"/>
          <w:sz w:val="28"/>
          <w:szCs w:val="28"/>
        </w:rPr>
      </w:pPr>
      <w:r>
        <w:fldChar w:fldCharType="begin"/>
      </w:r>
      <w:r>
        <w:instrText>Hyperlink \l "_Toc15396610"</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3</w:t>
      </w:r>
    </w:p>
    <w:p>
      <w:pPr>
        <w:pStyle w:val="21"/>
        <w:tabs>
          <w:tab w:val="right" w:leader="dot" w:pos="8296"/>
        </w:tabs>
        <w:rPr>
          <w:rFonts w:ascii="仿宋" w:eastAsia="仿宋"/>
          <w:sz w:val="28"/>
          <w:szCs w:val="28"/>
        </w:rPr>
      </w:pPr>
      <w:r>
        <w:fldChar w:fldCharType="begin"/>
      </w:r>
      <w:r>
        <w:instrText>Hyperlink \l "_Toc15396611"</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3</w:t>
      </w:r>
    </w:p>
    <w:p>
      <w:pPr>
        <w:pStyle w:val="21"/>
        <w:tabs>
          <w:tab w:val="right" w:leader="dot" w:pos="8296"/>
        </w:tabs>
        <w:rPr>
          <w:rFonts w:eastAsia="仿宋"/>
        </w:rPr>
      </w:pPr>
      <w:r>
        <w:rPr>
          <w:rStyle w:val="23"/>
          <w:rFonts w:ascii="仿宋" w:eastAsia="仿宋" w:hint="eastAsia"/>
          <w:bCs/>
          <w:sz w:val="28"/>
          <w:szCs w:val="28"/>
        </w:rPr>
        <w:t xml:space="preserve"> 十、预算绩效情况说明............... .................14</w:t>
      </w:r>
    </w:p>
    <w:p>
      <w:pPr>
        <w:pStyle w:val="21"/>
        <w:tabs>
          <w:tab w:val="right" w:leader="dot" w:pos="8296"/>
        </w:tabs>
        <w:rPr>
          <w:rFonts w:ascii="仿宋" w:eastAsia="仿宋" w:cs="Arial"/>
          <w:sz w:val="28"/>
          <w:szCs w:val="28"/>
        </w:rPr>
      </w:pPr>
      <w:r>
        <w:fldChar w:fldCharType="begin"/>
      </w:r>
      <w:r>
        <w:instrText>Hyperlink \l "_Toc15396612"</w:instrText>
      </w:r>
      <w:r>
        <w:fldChar w:fldCharType="separate"/>
      </w:r>
      <w:r>
        <w:rPr>
          <w:rFonts w:ascii="仿宋" w:eastAsia="仿宋" w:hint="eastAsia"/>
          <w:sz w:val="28"/>
          <w:szCs w:val="28"/>
        </w:rPr>
        <w:t>十</w:t>
      </w:r>
      <w:r>
        <w:rPr>
          <w:rFonts w:ascii="仿宋" w:eastAsia="仿宋" w:hint="eastAsia"/>
          <w:bCs/>
          <w:sz w:val="28"/>
          <w:szCs w:val="28"/>
        </w:rPr>
        <w:t>一、其他重要事项的情况说明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8</w:t>
      </w:r>
    </w:p>
    <w:p>
      <w:pPr>
        <w:pStyle w:val="20"/>
        <w:tabs>
          <w:tab w:val="right" w:leader="dot" w:pos="8296"/>
        </w:tabs>
        <w:rPr>
          <w:rFonts w:cs="Arial"/>
        </w:rPr>
      </w:pPr>
      <w:r>
        <w:fldChar w:fldCharType="begin"/>
      </w:r>
      <w:r>
        <w:instrText>Hyperlink \l "_Toc15396613"</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fldChar w:fldCharType="end"/>
      </w:r>
      <w:r>
        <w:rPr>
          <w:rFonts w:hint="eastAsia"/>
        </w:rPr>
        <w:t>8</w:t>
      </w:r>
    </w:p>
    <w:p>
      <w:pPr>
        <w:pStyle w:val="20"/>
        <w:tabs>
          <w:tab w:val="right" w:leader="dot" w:pos="8296"/>
        </w:tabs>
      </w:pPr>
      <w:r>
        <w:rPr>
          <w:rFonts w:cs="Arial"/>
        </w:rPr>
        <w:t>第四部分</w:t>
      </w:r>
      <w:r>
        <w:rPr>
          <w:rFonts w:cs="Arial" w:hint="eastAsia"/>
        </w:rPr>
        <w:t xml:space="preserve">  附件</w:t>
      </w:r>
      <w:r>
        <w:rPr>
          <w:rFonts w:cs="Arial"/>
        </w:rPr>
        <w:tab/>
      </w:r>
      <w:r>
        <w:rPr>
          <w:rFonts w:hint="eastAsia"/>
        </w:rPr>
        <w:t>23</w:t>
      </w:r>
    </w:p>
    <w:p>
      <w:pPr>
        <w:pStyle w:val="20"/>
        <w:tabs>
          <w:tab w:val="right" w:leader="dot" w:pos="8296"/>
        </w:tabs>
      </w:pPr>
      <w:r>
        <w:rPr>
          <w:rFonts w:cs="Arial" w:hint="eastAsia"/>
        </w:rPr>
        <w:t xml:space="preserve">  附件1</w:t>
      </w:r>
      <w:r>
        <w:rPr>
          <w:rFonts w:cs="Arial"/>
        </w:rPr>
        <w:tab/>
      </w:r>
      <w:r>
        <w:rPr>
          <w:rFonts w:hint="eastAsia"/>
        </w:rPr>
        <w:t>23</w:t>
      </w:r>
    </w:p>
    <w:p>
      <w:pPr>
        <w:pStyle w:val="20"/>
        <w:tabs>
          <w:tab w:val="right" w:leader="dot" w:pos="8296"/>
        </w:tabs>
        <w:rPr>
          <w:rFonts w:cs="Arial"/>
        </w:rPr>
      </w:pPr>
      <w:r>
        <w:rPr>
          <w:rFonts w:cs="Arial"/>
        </w:rPr>
        <w:t>第五部分</w:t>
      </w:r>
      <w:r>
        <w:rPr>
          <w:rFonts w:cs="Arial" w:hint="eastAsia"/>
        </w:rPr>
        <w:t xml:space="preserve">  附表</w:t>
      </w:r>
      <w:r>
        <w:rPr>
          <w:rFonts w:cs="Arial"/>
        </w:rPr>
        <w:tab/>
      </w:r>
      <w:r>
        <w:rPr>
          <w:rFonts w:hint="eastAsia"/>
        </w:rPr>
        <w:t>25</w:t>
      </w:r>
    </w:p>
    <w:p>
      <w:pPr>
        <w:pStyle w:val="21"/>
        <w:tabs>
          <w:tab w:val="right" w:leader="dot" w:pos="8296"/>
        </w:tabs>
        <w:rPr>
          <w:rFonts w:ascii="仿宋" w:eastAsia="仿宋" w:cs="Arial"/>
          <w:b/>
          <w:bCs/>
          <w:sz w:val="28"/>
          <w:szCs w:val="28"/>
        </w:rPr>
      </w:pPr>
      <w:r>
        <w:rPr>
          <w:rFonts w:ascii="仿宋" w:eastAsia="仿宋" w:cs="Arial" w:hint="eastAsia"/>
          <w:bCs/>
          <w:sz w:val="28"/>
          <w:szCs w:val="28"/>
        </w:rPr>
        <w:t>一、收</w:t>
      </w:r>
      <w:r>
        <w:rPr>
          <w:rFonts w:ascii="仿宋" w:eastAsia="仿宋" w:cs="Arial" w:hint="eastAsia"/>
          <w:sz w:val="28"/>
          <w:szCs w:val="28"/>
        </w:rPr>
        <w:t>入支出决算总表</w:t>
      </w:r>
    </w:p>
    <w:p>
      <w:pPr>
        <w:pStyle w:val="21"/>
        <w:tabs>
          <w:tab w:val="right" w:leader="dot" w:pos="8296"/>
        </w:tabs>
        <w:rPr>
          <w:rFonts w:ascii="仿宋" w:eastAsia="仿宋" w:cs="Arial"/>
          <w:b/>
          <w:bCs/>
          <w:sz w:val="28"/>
          <w:szCs w:val="28"/>
        </w:rPr>
      </w:pPr>
      <w:bookmarkStart w:id="12" w:name="_Toc15396620"/>
      <w:r>
        <w:rPr>
          <w:rFonts w:ascii="仿宋" w:eastAsia="仿宋" w:cs="Arial" w:hint="eastAsia"/>
          <w:bCs/>
          <w:sz w:val="28"/>
          <w:szCs w:val="28"/>
        </w:rPr>
        <w:t>二、收</w:t>
      </w:r>
      <w:r>
        <w:rPr>
          <w:rFonts w:ascii="仿宋" w:eastAsia="仿宋" w:cs="Arial" w:hint="eastAsia"/>
          <w:sz w:val="28"/>
          <w:szCs w:val="28"/>
        </w:rPr>
        <w:t>入总表</w:t>
      </w:r>
      <w:bookmarkEnd w:id="12"/>
    </w:p>
    <w:p>
      <w:pPr>
        <w:pStyle w:val="21"/>
        <w:tabs>
          <w:tab w:val="right" w:leader="dot" w:pos="8296"/>
        </w:tabs>
        <w:rPr>
          <w:rFonts w:ascii="仿宋" w:eastAsia="仿宋" w:cs="Arial"/>
          <w:b/>
          <w:bCs/>
          <w:sz w:val="28"/>
          <w:szCs w:val="28"/>
        </w:rPr>
      </w:pPr>
      <w:bookmarkStart w:id="13" w:name="_Toc15396621"/>
      <w:r>
        <w:rPr>
          <w:rFonts w:ascii="仿宋" w:eastAsia="仿宋" w:cs="Arial" w:hint="eastAsia"/>
          <w:sz w:val="28"/>
          <w:szCs w:val="28"/>
        </w:rPr>
        <w:t>三、</w:t>
      </w:r>
      <w:r>
        <w:rPr>
          <w:rFonts w:ascii="仿宋" w:eastAsia="仿宋" w:cs="Arial" w:hint="eastAsia"/>
          <w:bCs/>
          <w:sz w:val="28"/>
          <w:szCs w:val="28"/>
        </w:rPr>
        <w:t>支</w:t>
      </w:r>
      <w:r>
        <w:rPr>
          <w:rFonts w:ascii="仿宋" w:eastAsia="仿宋" w:cs="Arial" w:hint="eastAsia"/>
          <w:sz w:val="28"/>
          <w:szCs w:val="28"/>
        </w:rPr>
        <w:t>出总表</w:t>
      </w:r>
      <w:bookmarkEnd w:id="13"/>
    </w:p>
    <w:p>
      <w:pPr>
        <w:pStyle w:val="21"/>
        <w:tabs>
          <w:tab w:val="right" w:leader="dot" w:pos="8296"/>
        </w:tabs>
        <w:rPr>
          <w:rFonts w:ascii="仿宋" w:eastAsia="仿宋" w:cs="Arial"/>
          <w:bCs/>
          <w:sz w:val="28"/>
          <w:szCs w:val="28"/>
        </w:rPr>
      </w:pPr>
      <w:bookmarkStart w:id="14" w:name="_Toc15396622"/>
      <w:r>
        <w:rPr>
          <w:rFonts w:ascii="仿宋" w:eastAsia="仿宋" w:cs="Arial" w:hint="eastAsia"/>
          <w:sz w:val="28"/>
          <w:szCs w:val="28"/>
        </w:rPr>
        <w:t>四、</w:t>
      </w:r>
      <w:r>
        <w:rPr>
          <w:rFonts w:ascii="仿宋" w:eastAsia="仿宋" w:cs="Arial" w:hint="eastAsia"/>
          <w:bCs/>
          <w:sz w:val="28"/>
          <w:szCs w:val="28"/>
        </w:rPr>
        <w:t>财</w:t>
      </w:r>
      <w:r>
        <w:rPr>
          <w:rFonts w:ascii="仿宋" w:eastAsia="仿宋" w:cs="Arial" w:hint="eastAsia"/>
          <w:sz w:val="28"/>
          <w:szCs w:val="28"/>
        </w:rPr>
        <w:t>政拨款收入支出决算总表</w:t>
      </w:r>
      <w:bookmarkEnd w:id="14"/>
    </w:p>
    <w:p>
      <w:pPr>
        <w:pStyle w:val="21"/>
        <w:tabs>
          <w:tab w:val="right" w:leader="dot" w:pos="8296"/>
        </w:tabs>
        <w:rPr>
          <w:rFonts w:ascii="仿宋" w:eastAsia="仿宋" w:cs="Arial"/>
          <w:b/>
          <w:bCs/>
          <w:sz w:val="28"/>
          <w:szCs w:val="28"/>
        </w:rPr>
      </w:pPr>
      <w:bookmarkStart w:id="15" w:name="_Toc15396623"/>
      <w:r>
        <w:rPr>
          <w:rFonts w:ascii="仿宋" w:eastAsia="仿宋" w:cs="Arial" w:hint="eastAsia"/>
          <w:sz w:val="28"/>
          <w:szCs w:val="28"/>
        </w:rPr>
        <w:t>五、</w:t>
      </w:r>
      <w:r>
        <w:rPr>
          <w:rFonts w:ascii="仿宋" w:eastAsia="仿宋" w:cs="Arial" w:hint="eastAsia"/>
          <w:bCs/>
          <w:sz w:val="28"/>
          <w:szCs w:val="28"/>
        </w:rPr>
        <w:t>财</w:t>
      </w:r>
      <w:r>
        <w:rPr>
          <w:rFonts w:ascii="仿宋" w:eastAsia="仿宋" w:cs="Arial" w:hint="eastAsia"/>
          <w:sz w:val="28"/>
          <w:szCs w:val="28"/>
        </w:rPr>
        <w:t>政拨款支出决算明细表（政府经济分类科目）</w:t>
      </w:r>
      <w:bookmarkEnd w:id="15"/>
    </w:p>
    <w:p>
      <w:pPr>
        <w:pStyle w:val="21"/>
        <w:tabs>
          <w:tab w:val="right" w:leader="dot" w:pos="8296"/>
        </w:tabs>
        <w:rPr>
          <w:rFonts w:ascii="仿宋" w:eastAsia="仿宋" w:cs="Arial"/>
          <w:b/>
          <w:bCs/>
          <w:sz w:val="28"/>
          <w:szCs w:val="28"/>
        </w:rPr>
      </w:pPr>
      <w:bookmarkStart w:id="16" w:name="_Toc15396624"/>
      <w:r>
        <w:rPr>
          <w:rFonts w:ascii="仿宋" w:eastAsia="仿宋" w:cs="Arial" w:hint="eastAsia"/>
          <w:sz w:val="28"/>
          <w:szCs w:val="28"/>
        </w:rPr>
        <w:t>六、</w:t>
      </w:r>
      <w:r>
        <w:rPr>
          <w:rFonts w:ascii="仿宋" w:eastAsia="仿宋" w:cs="Arial" w:hint="eastAsia"/>
          <w:bCs/>
          <w:sz w:val="28"/>
          <w:szCs w:val="28"/>
        </w:rPr>
        <w:t>一</w:t>
      </w:r>
      <w:r>
        <w:rPr>
          <w:rFonts w:ascii="仿宋" w:eastAsia="仿宋" w:cs="Arial" w:hint="eastAsia"/>
          <w:sz w:val="28"/>
          <w:szCs w:val="28"/>
        </w:rPr>
        <w:t>般公共预算财政拨款支出决算表</w:t>
      </w:r>
      <w:bookmarkEnd w:id="16"/>
    </w:p>
    <w:p>
      <w:pPr>
        <w:pStyle w:val="21"/>
        <w:tabs>
          <w:tab w:val="right" w:leader="dot" w:pos="8296"/>
        </w:tabs>
        <w:rPr>
          <w:rFonts w:ascii="仿宋" w:eastAsia="仿宋" w:cs="Arial"/>
          <w:b/>
          <w:bCs/>
          <w:sz w:val="28"/>
          <w:szCs w:val="28"/>
        </w:rPr>
      </w:pPr>
      <w:bookmarkStart w:id="17" w:name="_Toc15396625"/>
      <w:r>
        <w:rPr>
          <w:rFonts w:ascii="仿宋" w:eastAsia="仿宋" w:cs="Arial" w:hint="eastAsia"/>
          <w:sz w:val="28"/>
          <w:szCs w:val="28"/>
        </w:rPr>
        <w:t>七、</w:t>
      </w:r>
      <w:r>
        <w:rPr>
          <w:rFonts w:ascii="仿宋" w:eastAsia="仿宋" w:cs="Arial" w:hint="eastAsia"/>
          <w:bCs/>
          <w:sz w:val="28"/>
          <w:szCs w:val="28"/>
        </w:rPr>
        <w:t>一</w:t>
      </w:r>
      <w:r>
        <w:rPr>
          <w:rFonts w:ascii="仿宋" w:eastAsia="仿宋" w:cs="Arial" w:hint="eastAsia"/>
          <w:sz w:val="28"/>
          <w:szCs w:val="28"/>
        </w:rPr>
        <w:t>般公共预算财政拨款支出决算明细表</w:t>
      </w:r>
      <w:bookmarkEnd w:id="17"/>
    </w:p>
    <w:p>
      <w:pPr>
        <w:pStyle w:val="21"/>
        <w:tabs>
          <w:tab w:val="right" w:leader="dot" w:pos="8296"/>
        </w:tabs>
        <w:rPr>
          <w:rFonts w:ascii="仿宋" w:eastAsia="仿宋" w:cs="Arial"/>
          <w:b/>
          <w:bCs/>
          <w:sz w:val="28"/>
          <w:szCs w:val="28"/>
        </w:rPr>
      </w:pPr>
      <w:bookmarkStart w:id="18" w:name="_Toc15396626"/>
      <w:r>
        <w:rPr>
          <w:rFonts w:ascii="仿宋" w:eastAsia="仿宋" w:cs="Arial" w:hint="eastAsia"/>
          <w:sz w:val="28"/>
          <w:szCs w:val="28"/>
        </w:rPr>
        <w:t>八、</w:t>
      </w:r>
      <w:r>
        <w:rPr>
          <w:rFonts w:ascii="仿宋" w:eastAsia="仿宋" w:cs="Arial" w:hint="eastAsia"/>
          <w:bCs/>
          <w:sz w:val="28"/>
          <w:szCs w:val="28"/>
        </w:rPr>
        <w:t>一</w:t>
      </w:r>
      <w:r>
        <w:rPr>
          <w:rFonts w:ascii="仿宋" w:eastAsia="仿宋" w:cs="Arial" w:hint="eastAsia"/>
          <w:sz w:val="28"/>
          <w:szCs w:val="28"/>
        </w:rPr>
        <w:t>般公共预算财政拨款基本支出决算表</w:t>
      </w:r>
      <w:bookmarkEnd w:id="18"/>
    </w:p>
    <w:p>
      <w:pPr>
        <w:pStyle w:val="21"/>
        <w:tabs>
          <w:tab w:val="right" w:leader="dot" w:pos="8296"/>
        </w:tabs>
        <w:rPr>
          <w:rFonts w:ascii="仿宋" w:eastAsia="仿宋" w:cs="Arial"/>
          <w:b/>
          <w:bCs/>
          <w:sz w:val="28"/>
          <w:szCs w:val="28"/>
        </w:rPr>
      </w:pPr>
      <w:bookmarkStart w:id="19" w:name="_Toc15396627"/>
      <w:r>
        <w:rPr>
          <w:rFonts w:ascii="仿宋" w:eastAsia="仿宋" w:cs="Arial" w:hint="eastAsia"/>
          <w:sz w:val="28"/>
          <w:szCs w:val="28"/>
        </w:rPr>
        <w:t>九、</w:t>
      </w:r>
      <w:r>
        <w:rPr>
          <w:rFonts w:ascii="仿宋" w:eastAsia="仿宋" w:cs="Arial" w:hint="eastAsia"/>
          <w:bCs/>
          <w:sz w:val="28"/>
          <w:szCs w:val="28"/>
        </w:rPr>
        <w:t>一</w:t>
      </w:r>
      <w:r>
        <w:rPr>
          <w:rFonts w:ascii="仿宋" w:eastAsia="仿宋" w:cs="Arial" w:hint="eastAsia"/>
          <w:sz w:val="28"/>
          <w:szCs w:val="28"/>
        </w:rPr>
        <w:t>般公共预算财政拨款项目支出决算表</w:t>
      </w:r>
      <w:bookmarkEnd w:id="19"/>
    </w:p>
    <w:p>
      <w:pPr>
        <w:pStyle w:val="21"/>
        <w:tabs>
          <w:tab w:val="right" w:leader="dot" w:pos="8296"/>
        </w:tabs>
        <w:rPr>
          <w:rFonts w:ascii="仿宋" w:eastAsia="仿宋" w:cs="Arial"/>
          <w:b/>
          <w:bCs/>
          <w:sz w:val="28"/>
          <w:szCs w:val="28"/>
        </w:rPr>
      </w:pPr>
      <w:bookmarkStart w:id="20" w:name="_Toc15396629"/>
      <w:r>
        <w:rPr>
          <w:rFonts w:ascii="仿宋" w:eastAsia="仿宋" w:cs="Arial" w:hint="eastAsia"/>
          <w:sz w:val="28"/>
          <w:szCs w:val="28"/>
        </w:rPr>
        <w:t>十、</w:t>
      </w:r>
      <w:r>
        <w:rPr>
          <w:rFonts w:ascii="仿宋" w:eastAsia="仿宋" w:cs="Arial" w:hint="eastAsia"/>
          <w:bCs/>
          <w:sz w:val="28"/>
          <w:szCs w:val="28"/>
        </w:rPr>
        <w:t>政</w:t>
      </w:r>
      <w:r>
        <w:rPr>
          <w:rFonts w:ascii="仿宋" w:eastAsia="仿宋" w:cs="Arial" w:hint="eastAsia"/>
          <w:sz w:val="28"/>
          <w:szCs w:val="28"/>
        </w:rPr>
        <w:t>府性基金预算财政拨款收入支出决算表</w:t>
      </w:r>
      <w:bookmarkEnd w:id="20"/>
    </w:p>
    <w:p>
      <w:pPr>
        <w:pStyle w:val="21"/>
        <w:tabs>
          <w:tab w:val="right" w:leader="dot" w:pos="8296"/>
        </w:tabs>
        <w:rPr>
          <w:rFonts w:ascii="仿宋" w:eastAsia="仿宋" w:cs="Arial"/>
          <w:sz w:val="28"/>
          <w:szCs w:val="28"/>
        </w:rPr>
      </w:pPr>
      <w:bookmarkStart w:id="21" w:name="_Toc15396631"/>
      <w:r>
        <w:rPr>
          <w:rFonts w:ascii="仿宋" w:eastAsia="仿宋" w:cs="Arial" w:hint="eastAsia"/>
          <w:sz w:val="28"/>
          <w:szCs w:val="28"/>
        </w:rPr>
        <w:t>十一、</w:t>
      </w:r>
      <w:r>
        <w:rPr>
          <w:rFonts w:ascii="仿宋" w:eastAsia="仿宋" w:cs="Arial" w:hint="eastAsia"/>
          <w:bCs/>
          <w:sz w:val="28"/>
          <w:szCs w:val="28"/>
        </w:rPr>
        <w:t>国</w:t>
      </w:r>
      <w:r>
        <w:rPr>
          <w:rFonts w:ascii="仿宋" w:eastAsia="仿宋" w:cs="Arial" w:hint="eastAsia"/>
          <w:sz w:val="28"/>
          <w:szCs w:val="28"/>
        </w:rPr>
        <w:t>有资本经营预算财政拨款收入支出决算表</w:t>
      </w:r>
    </w:p>
    <w:p>
      <w:pPr>
        <w:pStyle w:val="21"/>
        <w:tabs>
          <w:tab w:val="right" w:leader="dot" w:pos="8296"/>
        </w:tabs>
        <w:rPr>
          <w:rFonts w:ascii="仿宋" w:eastAsia="仿宋" w:cs="Arial"/>
          <w:sz w:val="28"/>
          <w:szCs w:val="28"/>
        </w:rPr>
      </w:pPr>
      <w:bookmarkStart w:id="22" w:name="_Toc15396628"/>
      <w:r>
        <w:rPr>
          <w:rFonts w:ascii="仿宋" w:eastAsia="仿宋" w:cs="Arial" w:hint="eastAsia"/>
          <w:sz w:val="28"/>
          <w:szCs w:val="28"/>
        </w:rPr>
        <w:t>十二、</w:t>
      </w:r>
      <w:r>
        <w:rPr>
          <w:rFonts w:ascii="仿宋" w:eastAsia="仿宋" w:cs="Arial" w:hint="eastAsia"/>
          <w:bCs/>
          <w:sz w:val="28"/>
          <w:szCs w:val="28"/>
        </w:rPr>
        <w:t>一</w:t>
      </w:r>
      <w:r>
        <w:rPr>
          <w:rFonts w:ascii="仿宋" w:eastAsia="仿宋" w:cs="Arial" w:hint="eastAsia"/>
          <w:sz w:val="28"/>
          <w:szCs w:val="28"/>
        </w:rPr>
        <w:t>般公共预算财政拨款“三公”经费支出决算表</w:t>
      </w:r>
      <w:bookmarkEnd w:id="22"/>
    </w:p>
    <w:p>
      <w:pPr>
        <w:pStyle w:val="21"/>
        <w:tabs>
          <w:tab w:val="right" w:leader="dot" w:pos="8296"/>
        </w:tabs>
        <w:rPr>
          <w:rFonts w:ascii="仿宋" w:eastAsia="仿宋" w:cs="Arial"/>
          <w:b/>
          <w:bCs/>
          <w:sz w:val="28"/>
          <w:szCs w:val="28"/>
        </w:rPr>
      </w:pPr>
      <w:r>
        <w:rPr>
          <w:rFonts w:ascii="仿宋" w:eastAsia="仿宋" w:cs="Arial" w:hint="eastAsia"/>
          <w:sz w:val="28"/>
          <w:szCs w:val="28"/>
        </w:rPr>
        <w:t>十三、</w:t>
      </w:r>
      <w:r>
        <w:rPr>
          <w:rFonts w:ascii="仿宋" w:eastAsia="仿宋" w:cs="Arial" w:hint="eastAsia"/>
          <w:bCs/>
          <w:sz w:val="28"/>
          <w:szCs w:val="28"/>
        </w:rPr>
        <w:t>国</w:t>
      </w:r>
      <w:r>
        <w:rPr>
          <w:rFonts w:ascii="仿宋" w:eastAsia="仿宋" w:cs="Arial" w:hint="eastAsia"/>
          <w:sz w:val="28"/>
          <w:szCs w:val="28"/>
        </w:rPr>
        <w:t>有资本经营预算财政拨款支出决算表</w:t>
      </w:r>
      <w:bookmarkEnd w:id="21"/>
    </w:p>
    <w:p>
      <w:pPr>
        <w:pStyle w:val="21"/>
        <w:tabs>
          <w:tab w:val="right" w:leader="dot" w:pos="8296"/>
        </w:tabs>
        <w:ind w:leftChars="0" w:left="0"/>
        <w:rPr>
          <w:rFonts w:ascii="仿宋" w:eastAsia="仿宋" w:cs="Arial"/>
          <w:sz w:val="28"/>
          <w:szCs w:val="28"/>
        </w:rPr>
      </w:pPr>
    </w:p>
    <w:p>
      <w:pPr>
        <w:widowControl/>
        <w:jc w:val="left"/>
        <w:rPr>
          <w:rFonts w:ascii="黑体" w:eastAsia="黑体"/>
          <w:bCs/>
          <w:kern w:val="44"/>
          <w:sz w:val="44"/>
          <w:szCs w:val="44"/>
        </w:rPr>
      </w:pPr>
      <w:r>
        <w:rPr>
          <w:rFonts w:ascii="仿宋" w:eastAsia="仿宋"/>
          <w:color w:val="000000"/>
          <w:sz w:val="24"/>
        </w:rPr>
        <w:fldChar w:fldCharType="end"/>
      </w:r>
      <w:bookmarkStart w:id="23" w:name="_Toc15396599"/>
      <w:bookmarkStart w:id="24" w:name="_Toc15377196"/>
    </w:p>
    <w:p>
      <w:pPr>
        <w:pStyle w:val="1"/>
        <w:ind w:firstLineChars="400" w:firstLine="1760"/>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rPr>
        <w:t>部门概况</w:t>
      </w:r>
      <w:bookmarkEnd w:id="23"/>
      <w:bookmarkEnd w:id="24"/>
    </w:p>
    <w:p>
      <w:pPr>
        <w:pStyle w:val="2"/>
        <w:spacing w:before="0" w:after="0" w:line="240" w:lineRule="auto"/>
        <w:ind w:left="640" w:hangingChars="200" w:hanging="640"/>
        <w:rPr>
          <w:rStyle w:val="2Char"/>
          <w:rFonts w:ascii="黑体" w:eastAsia="黑体"/>
        </w:rPr>
      </w:pPr>
      <w:bookmarkStart w:id="25" w:name="_Toc15396600"/>
      <w:bookmarkStart w:id="26" w:name="_Toc15377197"/>
      <w:r>
        <w:rPr>
          <w:rFonts w:ascii="黑体" w:eastAsia="黑体" w:hint="eastAsia"/>
          <w:b w:val="0"/>
          <w:color w:val="000000"/>
        </w:rPr>
        <w:t>一、基</w:t>
      </w:r>
      <w:r>
        <w:rPr>
          <w:rStyle w:val="2Char"/>
          <w:rFonts w:ascii="黑体" w:eastAsia="黑体" w:hint="eastAsia"/>
        </w:rPr>
        <w:t>本职能及主要工作</w:t>
      </w:r>
      <w:bookmarkStart w:id="27" w:name="_Toc15377198"/>
      <w:bookmarkStart w:id="28" w:name="_Toc15378445"/>
      <w:bookmarkEnd w:id="25"/>
      <w:bookmarkEnd w:id="26"/>
    </w:p>
    <w:p>
      <w:pPr>
        <w:pStyle w:val="2"/>
        <w:spacing w:before="0" w:after="0" w:line="240" w:lineRule="auto"/>
        <w:ind w:leftChars="153" w:left="641" w:hangingChars="100" w:hanging="320"/>
        <w:rPr>
          <w:rFonts w:ascii="楷体" w:eastAsia="楷体" w:cs="楷体"/>
          <w:color w:val="000000"/>
        </w:rPr>
      </w:pPr>
      <w:r>
        <w:rPr>
          <w:rFonts w:ascii="楷体" w:eastAsia="楷体" w:cs="楷体" w:hint="eastAsia"/>
          <w:color w:val="000000"/>
        </w:rPr>
        <w:t>（一）主要职能</w:t>
      </w:r>
      <w:bookmarkStart w:id="29" w:name="_Toc15377199"/>
      <w:bookmarkStart w:id="30" w:name="_Toc15378446"/>
      <w:bookmarkEnd w:id="27"/>
      <w:bookmarkEnd w:id="28"/>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1.承担全面依法治县重大问题的政策研究，协调有关方面提出全面依法治县规划建议，负责有关行政决策部署督察工作。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2.负责县政府规范性文件、重大行政决策发布前的合法性审查。承办县政府规范性文件的登记报送备案工作。负责各乡（镇）政府和县政府各部门规范性文件报送县政府的备案审查工作。组织开展规范性文件清理。</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3.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4.承担统筹规划法治社会建设的责任。负责拟订法治宣传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5.指导管理社区矫正工作。指导刑满释放人员安置帮教安置工作能力。</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6.负责拟订全县公共法律服务体系建设规划并指导实施，统筹和布局全县法律服务资源。指导监督律师、法律援助、司法鉴定、公正、仲裁和基层法律服务管理工作。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7.负责本系统服装和警车管理工作。指导监督本系统财务、装备、设施、场所等保障工作。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8、、协调、指导法治人才队伍建设相关工作，指导监督本系统队伍建设。负责本系统警务管理和警务督察工作。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9.负责并指导本系统行政审批工作。负责全县外来企业投诉处理和民营企业法律服务工作。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10.承担司法所建设和管理工作。负责县司法派出机构司法所基础设施建设及队伍建设，管理指导司法所开展各项职能工作。</w:t>
      </w:r>
    </w:p>
    <w:p>
      <w:pPr>
        <w:snapToGrid w:val="0"/>
        <w:spacing w:line="360" w:lineRule="auto"/>
        <w:ind w:firstLineChars="200" w:firstLine="640"/>
        <w:rPr>
          <w:rFonts w:ascii="仿宋" w:eastAsia="仿宋" w:cs="仿宋"/>
          <w:sz w:val="32"/>
          <w:szCs w:val="32"/>
        </w:rPr>
      </w:pPr>
      <w:r>
        <w:rPr>
          <w:rFonts w:ascii="仿宋" w:eastAsia="仿宋" w:cs="仿宋" w:hint="eastAsia"/>
          <w:sz w:val="32"/>
          <w:szCs w:val="32"/>
        </w:rPr>
        <w:t>11.完成县委、县政府交办的其他任务。</w:t>
      </w:r>
    </w:p>
    <w:p>
      <w:pPr>
        <w:pStyle w:val="2"/>
        <w:spacing w:before="0" w:after="0" w:line="240" w:lineRule="auto"/>
        <w:ind w:firstLineChars="100" w:firstLine="320"/>
        <w:rPr>
          <w:rFonts w:ascii="楷体" w:eastAsia="楷体" w:cs="楷体"/>
          <w:color w:val="000000"/>
        </w:rPr>
      </w:pPr>
      <w:r>
        <w:rPr>
          <w:rFonts w:ascii="楷体" w:eastAsia="楷体" w:cs="楷体" w:hint="eastAsia"/>
          <w:color w:val="000000"/>
        </w:rPr>
        <w:t>（二）2022年重点工作完成情况</w:t>
      </w:r>
      <w:bookmarkEnd w:id="29"/>
      <w:bookmarkEnd w:id="30"/>
    </w:p>
    <w:p>
      <w:pPr>
        <w:tabs>
          <w:tab w:val="left" w:pos="0"/>
        </w:tabs>
        <w:spacing w:line="578" w:lineRule="exact"/>
        <w:ind w:firstLineChars="200" w:firstLine="640"/>
        <w:rPr>
          <w:rFonts w:ascii="仿宋_GB2312" w:eastAsia="仿宋_GB2312"/>
          <w:color w:val="C00000"/>
          <w:sz w:val="32"/>
          <w:szCs w:val="32"/>
        </w:rPr>
      </w:pPr>
      <w:bookmarkStart w:id="31" w:name="_Toc15396601"/>
      <w:bookmarkStart w:id="32" w:name="_Toc15377200"/>
      <w:r>
        <w:rPr>
          <w:rFonts w:ascii="仿宋_GB2312" w:eastAsia="仿宋_GB2312" w:cs="仿宋_GB2312" w:hint="eastAsia"/>
          <w:b/>
          <w:bCs/>
          <w:sz w:val="32"/>
          <w:szCs w:val="32"/>
        </w:rPr>
        <w:t>一是</w:t>
      </w:r>
      <w:r>
        <w:rPr>
          <w:rFonts w:ascii="仿宋_GB2312" w:eastAsia="仿宋_GB2312" w:cs="仿宋_GB2312" w:hint="eastAsia"/>
          <w:sz w:val="32"/>
          <w:szCs w:val="32"/>
        </w:rPr>
        <w:t>落实</w:t>
      </w:r>
      <w:r>
        <w:rPr>
          <w:rFonts w:ascii="仿宋_GB2312" w:eastAsia="仿宋_GB2312" w:cs="仿宋_GB2312"/>
          <w:sz w:val="32"/>
          <w:szCs w:val="32"/>
        </w:rPr>
        <w:t>全面</w:t>
      </w:r>
      <w:r>
        <w:rPr>
          <w:rFonts w:ascii="仿宋_GB2312" w:eastAsia="仿宋_GB2312" w:cs="仿宋_GB2312" w:hint="eastAsia"/>
          <w:sz w:val="32"/>
          <w:szCs w:val="32"/>
        </w:rPr>
        <w:t>从严治党</w:t>
      </w:r>
      <w:r>
        <w:rPr>
          <w:rFonts w:ascii="仿宋_GB2312" w:eastAsia="仿宋_GB2312" w:cs="仿宋_GB2312"/>
          <w:sz w:val="32"/>
          <w:szCs w:val="32"/>
        </w:rPr>
        <w:t>主体</w:t>
      </w:r>
      <w:r>
        <w:rPr>
          <w:rFonts w:ascii="仿宋_GB2312" w:eastAsia="仿宋_GB2312" w:cs="仿宋_GB2312" w:hint="eastAsia"/>
          <w:sz w:val="32"/>
          <w:szCs w:val="32"/>
        </w:rPr>
        <w:t>责任。认真抓好抓实党组中心组理论学习。强化“一岗双责”，严格执纪监督，推进全面从严治党有力进展。</w:t>
      </w:r>
      <w:r>
        <w:rPr>
          <w:rFonts w:ascii="仿宋_GB2312" w:eastAsia="仿宋_GB2312" w:cs="仿宋_GB2312" w:hint="eastAsia"/>
          <w:b/>
          <w:bCs/>
          <w:sz w:val="32"/>
          <w:szCs w:val="32"/>
        </w:rPr>
        <w:t>二是</w:t>
      </w:r>
      <w:r>
        <w:rPr>
          <w:rFonts w:ascii="仿宋_GB2312" w:eastAsia="仿宋_GB2312" w:cs="仿宋_GB2312" w:hint="eastAsia"/>
          <w:sz w:val="32"/>
          <w:szCs w:val="32"/>
        </w:rPr>
        <w:t>严肃组织生活。扎实开展组织生活会、民主评议党员活动，年初制定《2022年党建工作要点》，明确全局党建工作的目标任务。</w:t>
      </w:r>
      <w:r>
        <w:rPr>
          <w:rFonts w:ascii="仿宋_GB2312" w:eastAsia="仿宋_GB2312" w:cs="仿宋_GB2312" w:hint="eastAsia"/>
          <w:b/>
          <w:bCs/>
          <w:sz w:val="32"/>
          <w:szCs w:val="32"/>
        </w:rPr>
        <w:t>三是</w:t>
      </w:r>
      <w:r>
        <w:rPr>
          <w:rFonts w:ascii="仿宋_GB2312" w:eastAsia="仿宋_GB2312" w:cs="仿宋_GB2312" w:hint="eastAsia"/>
          <w:sz w:val="32"/>
          <w:szCs w:val="32"/>
        </w:rPr>
        <w:t>结合“百千万”工程在全县扎实开展法律政策“七进”工作，积极探索创新法律扶贫新思路，攻坚克难，形成了村民遵规守法、邻里和谐的良好氛围，并圆满完成脱贫攻坚定点帮扶工作。</w:t>
      </w:r>
      <w:r>
        <w:rPr>
          <w:rFonts w:ascii="仿宋_GB2312" w:eastAsia="仿宋_GB2312" w:cs="仿宋_GB2312" w:hint="eastAsia"/>
          <w:b/>
          <w:bCs/>
          <w:sz w:val="32"/>
          <w:szCs w:val="32"/>
        </w:rPr>
        <w:t>四是</w:t>
      </w:r>
      <w:r>
        <w:rPr>
          <w:rStyle w:val="30"/>
          <w:rFonts w:ascii="仿宋_GB2312" w:eastAsia="仿宋_GB2312" w:hint="eastAsia"/>
          <w:color w:val="000000"/>
          <w:spacing w:val="-5"/>
          <w:kern w:val="0"/>
          <w:sz w:val="32"/>
          <w:szCs w:val="32"/>
        </w:rPr>
        <w:t>为认真贯彻落实金川县深入开展“三大行动”持续深化“两联一进”群众工作全覆盖，我局结合实际</w:t>
      </w:r>
      <w:r>
        <w:rPr>
          <w:rStyle w:val="30"/>
          <w:rFonts w:ascii="仿宋_GB2312" w:eastAsia="仿宋_GB2312"/>
          <w:color w:val="000000"/>
          <w:spacing w:val="-5"/>
          <w:kern w:val="0"/>
          <w:sz w:val="32"/>
          <w:szCs w:val="32"/>
        </w:rPr>
        <w:t>，进一步细化工作措施，制定下发了《关于干部作风大转变行动的实施方案》和《关于矛盾纠纷大化解行动的实施方案》，</w:t>
      </w:r>
      <w:r>
        <w:rPr>
          <w:rStyle w:val="30"/>
          <w:rFonts w:ascii="仿宋_GB2312" w:eastAsia="仿宋_GB2312" w:hint="eastAsia"/>
          <w:color w:val="000000"/>
          <w:spacing w:val="-5"/>
          <w:kern w:val="0"/>
          <w:sz w:val="32"/>
          <w:szCs w:val="32"/>
        </w:rPr>
        <w:t>狠下功夫解决好干部作风、基层治理、矛盾纠纷排查化解等方面存在的问题，为建设“四地三县两个金川”推动发展和长治久安提供强有力的保障</w:t>
      </w:r>
      <w:r>
        <w:rPr>
          <w:rStyle w:val="30"/>
          <w:rFonts w:ascii="仿宋_GB2312" w:eastAsia="仿宋_GB2312"/>
          <w:color w:val="000000"/>
          <w:spacing w:val="-5"/>
          <w:kern w:val="0"/>
          <w:sz w:val="32"/>
          <w:szCs w:val="32"/>
        </w:rPr>
        <w:t>。</w:t>
      </w:r>
      <w:r>
        <w:rPr>
          <w:rStyle w:val="30"/>
          <w:rFonts w:ascii="仿宋_GB2312" w:eastAsia="仿宋_GB2312" w:hint="eastAsia"/>
          <w:b/>
          <w:bCs/>
          <w:color w:val="000000"/>
          <w:spacing w:val="-5"/>
          <w:kern w:val="0"/>
          <w:sz w:val="32"/>
          <w:szCs w:val="32"/>
        </w:rPr>
        <w:t>五是</w:t>
      </w:r>
      <w:r>
        <w:rPr>
          <w:rFonts w:ascii="仿宋_GB2312" w:eastAsia="仿宋_GB2312" w:cs="仿宋_GB2312" w:hint="eastAsia"/>
          <w:sz w:val="32"/>
          <w:szCs w:val="32"/>
        </w:rPr>
        <w:t>加强思想政治建设。深入贯彻落实党的十九大、十九届四中、五中全会精神和省委、州委、县委全会精神以及中央第七次西藏工作座谈会精神，切实将精神指导学懂、弄通、做实。积极引导全体干部职工树牢“四个意识”，</w:t>
      </w:r>
      <w:r>
        <w:rPr>
          <w:rFonts w:ascii="仿宋_GB2312" w:eastAsia="仿宋_GB2312" w:cs="仿宋_GB2312"/>
          <w:sz w:val="32"/>
          <w:szCs w:val="32"/>
        </w:rPr>
        <w:t>坚定</w:t>
      </w:r>
      <w:r>
        <w:rPr>
          <w:rFonts w:ascii="仿宋_GB2312" w:eastAsia="仿宋_GB2312" w:cs="仿宋_GB2312" w:hint="eastAsia"/>
          <w:sz w:val="32"/>
          <w:szCs w:val="32"/>
        </w:rPr>
        <w:t>“四个自信”，做到“两个维护”充分发挥精诚团结奋发进取，争创一流的司法行政队伍。</w:t>
      </w:r>
      <w:r>
        <w:rPr>
          <w:rFonts w:ascii="仿宋" w:eastAsia="仿宋" w:cs="仿宋" w:hint="eastAsia"/>
          <w:sz w:val="32"/>
          <w:szCs w:val="32"/>
        </w:rPr>
        <w:t>全年，以网络媒体在线学习培训为主共开展各类学习教育30场次，受教育干部职工430余人次；开展各项网络在线学习培训12场，累计约 800人次。</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31"/>
      <w:bookmarkEnd w:id="32"/>
    </w:p>
    <w:p>
      <w:pPr>
        <w:snapToGrid w:val="0"/>
        <w:spacing w:line="360" w:lineRule="auto"/>
        <w:rPr>
          <w:rFonts w:ascii="仿宋_GB2312" w:eastAsia="仿宋_GB2312"/>
          <w:sz w:val="30"/>
          <w:szCs w:val="30"/>
        </w:rPr>
      </w:pPr>
      <w:bookmarkStart w:id="33" w:name="_Toc15396602"/>
      <w:bookmarkStart w:id="34" w:name="_Toc15377204"/>
      <w:r>
        <w:rPr>
          <w:rFonts w:ascii="仿宋_GB2312" w:eastAsia="仿宋_GB2312" w:hint="eastAsia"/>
          <w:sz w:val="30"/>
          <w:szCs w:val="30"/>
        </w:rPr>
        <w:t xml:space="preserve">  1、机构情况：</w:t>
      </w:r>
      <w:r>
        <w:rPr>
          <w:rFonts w:ascii="仿宋_GB2312" w:eastAsia="仿宋_GB2312" w:cs="仿宋_GB2312" w:hint="eastAsia"/>
          <w:sz w:val="30"/>
          <w:szCs w:val="30"/>
        </w:rPr>
        <w:t>县司法局为政府工作部门，独立编制机构数1个，独立核算机构数1个</w:t>
      </w:r>
      <w:r>
        <w:rPr>
          <w:rFonts w:ascii="仿宋_GB2312" w:eastAsia="仿宋_GB2312" w:hint="eastAsia"/>
          <w:sz w:val="30"/>
          <w:szCs w:val="30"/>
        </w:rPr>
        <w:t>。</w:t>
      </w:r>
    </w:p>
    <w:p>
      <w:pPr>
        <w:snapToGrid w:val="0"/>
        <w:spacing w:line="360" w:lineRule="auto"/>
        <w:ind w:firstLineChars="100" w:firstLine="300"/>
        <w:rPr>
          <w:rFonts w:ascii="楷体" w:eastAsia="楷体" w:cs="楷体"/>
          <w:b/>
          <w:bCs/>
          <w:sz w:val="30"/>
          <w:szCs w:val="30"/>
        </w:rPr>
      </w:pPr>
      <w:r>
        <w:rPr>
          <w:rFonts w:ascii="仿宋_GB2312" w:eastAsia="仿宋_GB2312" w:hint="eastAsia"/>
          <w:sz w:val="30"/>
          <w:szCs w:val="30"/>
        </w:rPr>
        <w:t>2.人员情况：</w:t>
      </w:r>
      <w:r>
        <w:rPr>
          <w:rFonts w:ascii="仿宋_GB2312" w:eastAsia="仿宋_GB2312" w:cs="仿宋_GB2312" w:hint="eastAsia"/>
          <w:sz w:val="30"/>
          <w:szCs w:val="30"/>
        </w:rPr>
        <w:t>单位编制数45个，其中：公务员编制43个；行政工勤编制2个；事业0个；截止2022年末，单位实有人数43人，其中：在职43人（公务员40人；行政工勤3人；事业人员0人），退休14人（退休人员工资转由社保部门发放）。</w:t>
      </w:r>
    </w:p>
    <w:p>
      <w:pPr>
        <w:pStyle w:val="1"/>
        <w:ind w:right="440"/>
        <w:jc w:val="right"/>
      </w:pPr>
      <w:r>
        <w:rPr>
          <w:rFonts w:ascii="黑体" w:eastAsia="黑体" w:hint="eastAsia"/>
          <w:b w:val="0"/>
          <w:color w:val="000000"/>
        </w:rPr>
        <w:t>第二部分</w:t>
      </w:r>
      <w:r>
        <w:rPr>
          <w:rStyle w:val="1Char"/>
          <w:rFonts w:ascii="黑体" w:eastAsia="黑体" w:hint="eastAsia"/>
        </w:rPr>
        <w:t>2022年度部门决算情况说明</w:t>
      </w:r>
      <w:bookmarkEnd w:id="33"/>
      <w:bookmarkEnd w:id="34"/>
    </w:p>
    <w:p>
      <w:pPr>
        <w:pStyle w:val="28"/>
        <w:numPr>
          <w:ilvl w:val="0"/>
          <w:numId w:val="1"/>
        </w:numPr>
        <w:ind w:left="0" w:firstLineChars="0" w:firstLine="0"/>
        <w:outlineLvl w:val="1"/>
        <w:rPr>
          <w:rStyle w:val="2Char"/>
          <w:rFonts w:ascii="黑体" w:eastAsia="黑体"/>
          <w:b w:val="0"/>
        </w:rPr>
      </w:pPr>
      <w:bookmarkStart w:id="35" w:name="_Toc15396603"/>
      <w:bookmarkStart w:id="36"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35"/>
      <w:bookmarkEnd w:id="36"/>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rPr>
        <w:t>2022年度总收入1167.07万元，较上年收入增加46.85万元，增加4.18%。增加的主要原因是2022年人员增加。</w:t>
      </w:r>
    </w:p>
    <w:p>
      <w:pPr>
        <w:snapToGrid w:val="0"/>
        <w:spacing w:line="520" w:lineRule="exact"/>
        <w:ind w:firstLineChars="200" w:firstLine="632"/>
        <w:rPr>
          <w:rFonts w:ascii="仿宋" w:eastAsia="仿宋"/>
          <w:sz w:val="32"/>
          <w:szCs w:val="32"/>
        </w:rPr>
      </w:pPr>
      <w:r>
        <w:rPr>
          <w:rFonts w:ascii="仿宋_GB2312" w:eastAsia="仿宋_GB2312" w:hint="eastAsia"/>
          <w:spacing w:val="-2"/>
          <w:sz w:val="32"/>
          <w:szCs w:val="32"/>
        </w:rPr>
        <w:t>2022年总支出1167.07万元，较上年支出增加22.65万元，减少1.98%。主要原因是</w:t>
      </w:r>
      <w:r>
        <w:rPr>
          <w:rFonts w:ascii="仿宋_GB2312" w:eastAsia="仿宋_GB2312" w:hint="eastAsia"/>
          <w:color w:val="000000"/>
          <w:spacing w:val="-2"/>
          <w:sz w:val="32"/>
          <w:szCs w:val="32"/>
        </w:rPr>
        <w:t>2022年人员增加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295910</wp:posOffset>
            </wp:positionH>
            <wp:positionV relativeFrom="paragraph">
              <wp:posOffset>45720</wp:posOffset>
            </wp:positionV>
            <wp:extent cx="5079998"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37" w:name="_Toc15377206"/>
      <w:bookmarkStart w:id="38" w:name="_Toc15396604"/>
      <w:r>
        <w:rPr>
          <w:rFonts w:ascii="黑体" w:eastAsia="黑体" w:hint="eastAsia"/>
          <w:color w:val="000000"/>
          <w:sz w:val="32"/>
          <w:szCs w:val="32"/>
        </w:rPr>
        <w:t>二、收入决</w:t>
      </w:r>
      <w:r>
        <w:rPr>
          <w:rStyle w:val="2Char"/>
          <w:rFonts w:ascii="黑体" w:eastAsia="黑体" w:hint="eastAsia"/>
          <w:b w:val="0"/>
        </w:rPr>
        <w:t>算情况说明</w:t>
      </w:r>
      <w:bookmarkEnd w:id="37"/>
      <w:bookmarkEnd w:id="38"/>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22年总收入1167.07万元，其中：一般公共预算财政拨款收入1167.07万元，占100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；其他收入0万元，占0%（上年结转）。</w:t>
      </w: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8"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39" w:name="_Toc15396605"/>
      <w:bookmarkStart w:id="40" w:name="_Toc15377207"/>
      <w:r>
        <w:rPr>
          <w:rFonts w:ascii="黑体" w:eastAsia="黑体" w:hint="eastAsia"/>
          <w:color w:val="000000"/>
          <w:sz w:val="32"/>
          <w:szCs w:val="32"/>
        </w:rPr>
        <w:t>三、支出决</w:t>
      </w:r>
      <w:r>
        <w:rPr>
          <w:rStyle w:val="2Char"/>
          <w:rFonts w:ascii="黑体" w:eastAsia="黑体" w:hint="eastAsia"/>
          <w:b w:val="0"/>
        </w:rPr>
        <w:t>算情况说明</w:t>
      </w:r>
      <w:bookmarkEnd w:id="39"/>
      <w:bookmarkEnd w:id="40"/>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2022年本年总支出1167.07万元，其中：基本支出1034.74万元，占88.62%；项目支出132.33万元，占11.38%；上缴上级支出0万元，占0%；经营支出0万元，占0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_GB2312" w:eastAsia="仿宋_GB2312"/>
          <w:color w:val="FF0000"/>
          <w:sz w:val="32"/>
          <w:szCs w:val="32"/>
        </w:rPr>
      </w:pPr>
      <w:r>
        <w:rPr>
          <w:rFonts w:ascii="仿宋_GB2312" w:eastAsia="仿宋_GB2312" w:hint="eastAsia"/>
          <w:color w:val="FF0000"/>
          <w:sz w:val="32"/>
          <w:szCs w:val="32"/>
        </w:rPr>
        <w:drawing>
          <wp:anchor distT="0" distB="0" distL="114300" distR="114300" simplePos="0" relativeHeight="22" behindDoc="0" locked="0" layoutInCell="1" hidden="0" allowOverlap="1">
            <wp:simplePos x="0" y="0"/>
            <wp:positionH relativeFrom="column">
              <wp:posOffset>64770</wp:posOffset>
            </wp:positionH>
            <wp:positionV relativeFrom="paragraph">
              <wp:posOffset>136525</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41" w:name="_Toc15377208"/>
      <w:bookmarkStart w:id="42"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1"/>
      <w:bookmarkEnd w:id="42"/>
    </w:p>
    <w:p>
      <w:pPr>
        <w:snapToGrid w:val="0"/>
        <w:spacing w:line="520" w:lineRule="exact"/>
        <w:ind w:firstLineChars="200" w:firstLine="640"/>
        <w:rPr>
          <w:rFonts w:ascii="仿宋" w:eastAsia="仿宋"/>
          <w:color w:val="FF0000"/>
          <w:sz w:val="32"/>
          <w:szCs w:val="32"/>
        </w:rPr>
      </w:pPr>
      <w:r>
        <w:rPr>
          <w:rFonts w:ascii="仿宋" w:eastAsia="仿宋" w:hint="eastAsia"/>
          <w:color w:val="000000"/>
          <w:sz w:val="32"/>
          <w:szCs w:val="32"/>
        </w:rPr>
        <w:t>2022年财政拨款收入1167.07万元。与2021年相比，一般公共预算财政拨款收入较上年增加46.85万元，</w:t>
      </w:r>
      <w:r>
        <w:rPr>
          <w:rFonts w:ascii="仿宋_GB2312" w:eastAsia="仿宋_GB2312" w:hint="eastAsia"/>
          <w:color w:val="000000"/>
          <w:spacing w:val="-2"/>
          <w:sz w:val="32"/>
          <w:szCs w:val="32"/>
        </w:rPr>
        <w:t>增加4.18%。增加的主要原因是2022年人员增加。</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43" w:name="_Toc15396607"/>
      <w:bookmarkStart w:id="44"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43"/>
      <w:bookmarkEnd w:id="44"/>
    </w:p>
    <w:p>
      <w:pPr>
        <w:spacing w:line="600" w:lineRule="exact"/>
        <w:ind w:firstLineChars="200" w:firstLine="640"/>
        <w:outlineLvl w:val="2"/>
        <w:rPr>
          <w:rFonts w:ascii="仿宋" w:eastAsia="仿宋"/>
          <w:b/>
          <w:color w:val="000000"/>
          <w:sz w:val="32"/>
          <w:szCs w:val="32"/>
        </w:rPr>
      </w:pPr>
      <w:bookmarkStart w:id="45" w:name="_Toc15377210"/>
      <w:r>
        <w:rPr>
          <w:rFonts w:ascii="仿宋" w:eastAsia="仿宋" w:hint="eastAsia"/>
          <w:b/>
          <w:color w:val="000000"/>
          <w:sz w:val="32"/>
          <w:szCs w:val="32"/>
        </w:rPr>
        <w:t>（一）一般公共预算财政拨款支出决算总体情况</w:t>
      </w:r>
      <w:bookmarkEnd w:id="45"/>
    </w:p>
    <w:p>
      <w:pPr>
        <w:snapToGrid w:val="0"/>
        <w:spacing w:line="520" w:lineRule="exact"/>
        <w:ind w:firstLineChars="200" w:firstLine="640"/>
        <w:rPr>
          <w:rFonts w:ascii="仿宋_GB2312" w:eastAsia="仿宋_GB2312"/>
          <w:color w:val="FF0000"/>
          <w:spacing w:val="-2"/>
          <w:sz w:val="32"/>
          <w:szCs w:val="32"/>
        </w:rPr>
      </w:pPr>
      <w:r>
        <w:rPr>
          <w:rFonts w:ascii="仿宋" w:eastAsia="仿宋"/>
          <w:color w:val="000000"/>
          <w:sz w:val="32"/>
          <w:szCs w:val="32"/>
        </w:rPr>
        <w:t>20</w:t>
      </w:r>
      <w:r>
        <w:rPr>
          <w:rFonts w:ascii="仿宋" w:eastAsia="仿宋" w:hint="eastAsia"/>
          <w:color w:val="000000"/>
          <w:sz w:val="32"/>
          <w:szCs w:val="32"/>
        </w:rPr>
        <w:t>22年</w:t>
      </w:r>
      <w:r>
        <w:rPr>
          <w:rFonts w:ascii="仿宋_GB2312" w:eastAsia="仿宋_GB2312" w:hint="eastAsia"/>
          <w:spacing w:val="-2"/>
          <w:sz w:val="32"/>
          <w:szCs w:val="32"/>
        </w:rPr>
        <w:t>一般公共预算财政拨款支出1167.07万元，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21年相比，一般公共预算财政拨款</w:t>
      </w:r>
      <w:r>
        <w:rPr>
          <w:rFonts w:ascii="仿宋_GB2312" w:eastAsia="仿宋_GB2312" w:hint="eastAsia"/>
          <w:spacing w:val="-2"/>
          <w:sz w:val="32"/>
          <w:szCs w:val="32"/>
        </w:rPr>
        <w:t>支出增加99.16万元，增加9.29%。主要原因是2022年财政拨款支出包含了项目。</w:t>
      </w:r>
    </w:p>
    <w:p>
      <w:pPr>
        <w:snapToGrid w:val="0"/>
        <w:spacing w:line="520" w:lineRule="exact"/>
        <w:ind w:firstLineChars="200" w:firstLine="632"/>
        <w:rPr>
          <w:rFonts w:ascii="仿宋_GB2312" w:eastAsia="仿宋_GB2312"/>
          <w:spacing w:val="-2"/>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6"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bookmarkStart w:id="46" w:name="_Toc15377211"/>
      <w:r>
        <w:rPr>
          <w:rFonts w:ascii="仿宋" w:eastAsia="仿宋" w:hint="eastAsia"/>
          <w:b/>
          <w:color w:val="000000"/>
          <w:sz w:val="32"/>
          <w:szCs w:val="32"/>
        </w:rPr>
        <w:t>（二）一般公共预算财政拨款支出决算结构情况</w:t>
      </w:r>
      <w:bookmarkEnd w:id="46"/>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22年一般公共预算财政拨款支出1034.74万元，主要用于以下方面</w:t>
      </w:r>
      <w:r>
        <w:rPr>
          <w:rFonts w:ascii="仿宋" w:eastAsia="仿宋"/>
          <w:color w:val="000000"/>
          <w:sz w:val="32"/>
          <w:szCs w:val="32"/>
        </w:rPr>
        <w:t>:</w:t>
      </w:r>
      <w:r>
        <w:rPr>
          <w:rFonts w:ascii="仿宋" w:eastAsia="仿宋" w:hint="eastAsia"/>
          <w:b/>
          <w:color w:val="000000"/>
          <w:sz w:val="32"/>
          <w:szCs w:val="32"/>
        </w:rPr>
        <w:t>人员经费</w:t>
      </w:r>
      <w:r>
        <w:rPr>
          <w:rFonts w:ascii="仿宋" w:eastAsia="仿宋" w:hint="eastAsia"/>
          <w:color w:val="000000"/>
          <w:sz w:val="32"/>
          <w:szCs w:val="32"/>
        </w:rPr>
        <w:t>支出977.53万元，占94.47%；</w:t>
      </w:r>
      <w:r>
        <w:rPr>
          <w:rFonts w:ascii="仿宋" w:eastAsia="仿宋" w:hint="eastAsia"/>
          <w:b/>
          <w:color w:val="000000"/>
          <w:sz w:val="32"/>
          <w:szCs w:val="32"/>
        </w:rPr>
        <w:t>日常公用经费</w:t>
      </w:r>
      <w:r>
        <w:rPr>
          <w:rFonts w:ascii="仿宋" w:eastAsia="仿宋" w:hint="eastAsia"/>
          <w:color w:val="000000"/>
          <w:sz w:val="32"/>
          <w:szCs w:val="32"/>
        </w:rPr>
        <w:t>支出57.21万元，占5.53</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600" w:firstLine="8320"/>
        <w:outlineLvl w:val="2"/>
        <w:rPr>
          <w:rFonts w:ascii="仿宋" w:eastAsia="仿宋"/>
          <w:b/>
          <w:color w:val="000000"/>
          <w:sz w:val="32"/>
          <w:szCs w:val="32"/>
        </w:rPr>
      </w:pPr>
      <w:bookmarkStart w:id="47" w:name="_Toc15378460"/>
      <w:bookmarkStart w:id="48" w:name="_Toc15377213"/>
      <w:bookmarkStart w:id="49" w:name="_Toc15377444"/>
      <w:r>
        <w:rPr>
          <w:rFonts w:ascii="仿宋" w:eastAsia="仿宋" w:hint="eastAsia"/>
          <w:color w:val="000000"/>
          <w:sz w:val="32"/>
          <w:szCs w:val="32"/>
        </w:rPr>
        <w:drawing>
          <wp:anchor distT="0" distB="0" distL="114300" distR="114300" simplePos="0" relativeHeight="28" behindDoc="0" locked="0" layoutInCell="1" hidden="0" allowOverlap="1">
            <wp:simplePos x="0" y="0"/>
            <wp:positionH relativeFrom="column">
              <wp:posOffset>521334</wp:posOffset>
            </wp:positionH>
            <wp:positionV relativeFrom="paragraph">
              <wp:posOffset>299720</wp:posOffset>
            </wp:positionV>
            <wp:extent cx="4572000" cy="2341245"/>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bookmarkStart w:id="50" w:name="_Toc15377212"/>
      <w:r>
        <w:rPr>
          <w:rFonts w:ascii="仿宋" w:eastAsia="仿宋" w:hint="eastAsia"/>
          <w:b/>
          <w:color w:val="000000"/>
          <w:sz w:val="32"/>
          <w:szCs w:val="32"/>
        </w:rPr>
        <w:t>（三）一般公共预算财政拨款支出决算具体情况</w:t>
      </w:r>
      <w:bookmarkEnd w:id="50"/>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2022年一般公共预算数为723.1万元，支出决算数为1067.07万元，完</w:t>
      </w:r>
      <w:r>
        <w:rPr>
          <w:rStyle w:val="22"/>
          <w:rFonts w:ascii="仿宋" w:eastAsia="仿宋" w:hint="eastAsia"/>
          <w:b w:val="0"/>
          <w:bCs/>
          <w:color w:val="000000"/>
          <w:sz w:val="32"/>
          <w:szCs w:val="32"/>
        </w:rPr>
        <w:t>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bookmarkEnd w:id="47"/>
      <w:bookmarkEnd w:id="48"/>
      <w:bookmarkEnd w:id="49"/>
    </w:p>
    <w:p>
      <w:pPr>
        <w:spacing w:line="600" w:lineRule="exact"/>
        <w:ind w:firstLineChars="200" w:firstLine="640"/>
        <w:rPr>
          <w:rStyle w:val="22"/>
          <w:rFonts w:ascii="仿宋" w:eastAsia="仿宋"/>
          <w:b w:val="0"/>
          <w:bCs/>
          <w:color w:val="000000"/>
          <w:sz w:val="32"/>
          <w:szCs w:val="32"/>
        </w:rPr>
      </w:pPr>
      <w:r>
        <w:rPr>
          <w:rStyle w:val="22"/>
          <w:rFonts w:ascii="仿宋" w:eastAsia="仿宋" w:hint="eastAsia"/>
          <w:bCs/>
          <w:color w:val="000000"/>
          <w:sz w:val="32"/>
          <w:szCs w:val="32"/>
        </w:rPr>
        <w:t>1.一般公共服务（类）司法（款）行政运行（项）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支出决算为1034.74万元，完成预算100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Style w:val="22"/>
          <w:rFonts w:ascii="仿宋" w:eastAsia="仿宋"/>
          <w:b w:val="0"/>
          <w:bCs/>
          <w:sz w:val="32"/>
          <w:szCs w:val="32"/>
        </w:rPr>
      </w:pPr>
      <w:r>
        <w:rPr>
          <w:rStyle w:val="22"/>
          <w:rFonts w:ascii="仿宋" w:eastAsia="仿宋"/>
          <w:bCs/>
          <w:color w:val="000000"/>
          <w:sz w:val="32"/>
          <w:szCs w:val="32"/>
        </w:rPr>
        <w:t>2.</w:t>
      </w:r>
      <w:r>
        <w:rPr>
          <w:rStyle w:val="22"/>
          <w:rFonts w:ascii="仿宋" w:eastAsia="仿宋" w:hint="eastAsia"/>
          <w:bCs/>
          <w:color w:val="000000"/>
          <w:sz w:val="32"/>
          <w:szCs w:val="32"/>
        </w:rPr>
        <w:t>一般公共服务（类）司法（款）基层司法业务（项）</w:t>
      </w:r>
      <w:r>
        <w:rPr>
          <w:rStyle w:val="22"/>
          <w:rFonts w:ascii="仿宋" w:eastAsia="仿宋"/>
          <w:bCs/>
          <w:color w:val="000000"/>
          <w:sz w:val="32"/>
          <w:szCs w:val="32"/>
        </w:rPr>
        <w:t>:</w:t>
      </w:r>
      <w:r>
        <w:rPr>
          <w:rStyle w:val="22"/>
          <w:rFonts w:ascii="仿宋" w:eastAsia="仿宋" w:hint="eastAsia"/>
          <w:b w:val="0"/>
          <w:bCs/>
          <w:sz w:val="32"/>
          <w:szCs w:val="32"/>
        </w:rPr>
        <w:t>支出决算为34.85万元，完成预算100</w:t>
      </w:r>
      <w:r>
        <w:rPr>
          <w:rStyle w:val="22"/>
          <w:rFonts w:ascii="仿宋" w:eastAsia="仿宋"/>
          <w:b w:val="0"/>
          <w:bCs/>
          <w:sz w:val="32"/>
          <w:szCs w:val="32"/>
        </w:rPr>
        <w:t>%</w:t>
      </w:r>
      <w:r>
        <w:rPr>
          <w:rStyle w:val="22"/>
          <w:rFonts w:ascii="仿宋" w:eastAsia="仿宋" w:hint="eastAsia"/>
          <w:b w:val="0"/>
          <w:bCs/>
          <w:sz w:val="32"/>
          <w:szCs w:val="32"/>
        </w:rPr>
        <w:t>。</w:t>
      </w:r>
    </w:p>
    <w:p>
      <w:pPr>
        <w:spacing w:line="600" w:lineRule="exact"/>
        <w:ind w:firstLineChars="200" w:firstLine="640"/>
        <w:rPr>
          <w:rFonts w:ascii="仿宋" w:eastAsia="仿宋"/>
          <w:b/>
          <w:color w:val="000000"/>
          <w:sz w:val="32"/>
          <w:szCs w:val="32"/>
        </w:rPr>
      </w:pPr>
      <w:r>
        <w:rPr>
          <w:rStyle w:val="22"/>
          <w:rFonts w:ascii="仿宋" w:eastAsia="仿宋" w:hint="eastAsia"/>
          <w:bCs/>
          <w:color w:val="000000"/>
          <w:sz w:val="32"/>
          <w:szCs w:val="32"/>
        </w:rPr>
        <w:t>3</w:t>
      </w:r>
      <w:r>
        <w:rPr>
          <w:rStyle w:val="22"/>
          <w:rFonts w:ascii="仿宋" w:eastAsia="仿宋"/>
          <w:bCs/>
          <w:color w:val="000000"/>
          <w:sz w:val="32"/>
          <w:szCs w:val="32"/>
        </w:rPr>
        <w:t>.</w:t>
      </w:r>
      <w:r>
        <w:rPr>
          <w:rStyle w:val="22"/>
          <w:rFonts w:ascii="仿宋" w:eastAsia="仿宋" w:hint="eastAsia"/>
          <w:bCs/>
          <w:color w:val="000000"/>
          <w:sz w:val="32"/>
          <w:szCs w:val="32"/>
        </w:rPr>
        <w:t>社会保障和就业（类）行政事业单位离退休（款）机关事业单位基本养老保险缴费支出（项）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支出决算为72.04万元，完成预算100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2"/>
          <w:rFonts w:ascii="仿宋" w:eastAsia="仿宋" w:hint="eastAsia"/>
          <w:bCs/>
          <w:color w:val="000000"/>
          <w:sz w:val="32"/>
          <w:szCs w:val="32"/>
        </w:rPr>
        <w:t>4</w:t>
      </w:r>
      <w:r>
        <w:rPr>
          <w:rStyle w:val="22"/>
          <w:rFonts w:ascii="仿宋" w:eastAsia="仿宋"/>
          <w:bCs/>
          <w:color w:val="000000"/>
          <w:sz w:val="32"/>
          <w:szCs w:val="32"/>
        </w:rPr>
        <w:t>.</w:t>
      </w:r>
      <w:r>
        <w:rPr>
          <w:rStyle w:val="22"/>
          <w:rFonts w:ascii="仿宋" w:eastAsia="仿宋" w:hint="eastAsia"/>
          <w:bCs/>
          <w:color w:val="000000"/>
          <w:sz w:val="32"/>
          <w:szCs w:val="32"/>
        </w:rPr>
        <w:t>社会保障和就业（类）行政事业单位离退休（款）机关事业单位基本职业年金缴费支出（项）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支出决算为30.02万元，完成预算100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2"/>
          <w:rFonts w:ascii="仿宋" w:eastAsia="仿宋" w:hint="eastAsia"/>
          <w:bCs/>
          <w:color w:val="000000"/>
          <w:sz w:val="32"/>
          <w:szCs w:val="32"/>
        </w:rPr>
        <w:t>5.卫生健康支出（类）行政事业单位医疗（款）行政单位医疗（项）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支出决算为41.12万元，完成预算100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2"/>
          <w:rFonts w:ascii="仿宋" w:eastAsia="仿宋" w:hint="eastAsia"/>
          <w:bCs/>
          <w:color w:val="000000"/>
          <w:sz w:val="32"/>
          <w:szCs w:val="32"/>
        </w:rPr>
        <w:t>6.卫生健康支出（类）行政事业单位医疗（款）公务员医疗补助（项）</w:t>
      </w:r>
      <w:r>
        <w:rPr>
          <w:rStyle w:val="22"/>
          <w:rFonts w:ascii="仿宋" w:eastAsia="仿宋"/>
          <w:bCs/>
          <w:color w:val="000000"/>
          <w:sz w:val="32"/>
          <w:szCs w:val="32"/>
        </w:rPr>
        <w:t>:</w:t>
      </w:r>
      <w:r>
        <w:rPr>
          <w:rStyle w:val="22"/>
          <w:rFonts w:ascii="仿宋" w:eastAsia="仿宋" w:hint="eastAsia"/>
          <w:b w:val="0"/>
          <w:bCs/>
          <w:color w:val="000000"/>
          <w:sz w:val="32"/>
          <w:szCs w:val="32"/>
        </w:rPr>
        <w:t>支出决算为10.42万元，完成预算100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Style w:val="22"/>
          <w:rFonts w:ascii="仿宋" w:eastAsia="仿宋"/>
          <w:b w:val="0"/>
          <w:bCs/>
          <w:color w:val="000000"/>
          <w:sz w:val="32"/>
          <w:szCs w:val="32"/>
        </w:rPr>
      </w:pPr>
      <w:bookmarkStart w:id="51" w:name="_Toc15396608"/>
      <w:bookmarkStart w:id="52" w:name="_Toc15377214"/>
      <w:r>
        <w:rPr>
          <w:rStyle w:val="22"/>
          <w:rFonts w:ascii="仿宋" w:eastAsia="仿宋" w:hint="eastAsia"/>
          <w:bCs/>
          <w:color w:val="000000"/>
          <w:sz w:val="32"/>
          <w:szCs w:val="32"/>
        </w:rPr>
        <w:t>7.住房保障（类）住房改革支出（款）住房公积金（项）：</w:t>
      </w:r>
      <w:r>
        <w:rPr>
          <w:rStyle w:val="22"/>
          <w:rFonts w:ascii="仿宋" w:eastAsia="仿宋" w:hint="eastAsia"/>
          <w:b w:val="0"/>
          <w:bCs/>
          <w:color w:val="000000"/>
          <w:sz w:val="32"/>
          <w:szCs w:val="32"/>
        </w:rPr>
        <w:t>支出决算为72.33万元，完成预算100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Style w:val="22"/>
          <w:rFonts w:ascii="仿宋" w:eastAsia="仿宋"/>
          <w:b w:val="0"/>
          <w:bCs/>
          <w:color w:val="000000"/>
          <w:sz w:val="32"/>
          <w:szCs w:val="32"/>
        </w:rPr>
      </w:pPr>
      <w:r>
        <w:rPr>
          <w:rStyle w:val="22"/>
          <w:rFonts w:ascii="仿宋" w:eastAsia="仿宋" w:hint="eastAsia"/>
          <w:color w:val="000000"/>
          <w:sz w:val="32"/>
          <w:szCs w:val="32"/>
        </w:rPr>
        <w:t>8.教育支出（类）进修及培训（款）培训支出（项）：</w:t>
      </w:r>
      <w:r>
        <w:rPr>
          <w:rStyle w:val="22"/>
          <w:rFonts w:ascii="仿宋" w:eastAsia="仿宋" w:hint="eastAsia"/>
          <w:b w:val="0"/>
          <w:bCs/>
          <w:color w:val="000000"/>
          <w:sz w:val="32"/>
          <w:szCs w:val="32"/>
        </w:rPr>
        <w:t>支出决算为0.98万元，完成预算100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Style w:val="22"/>
          <w:rFonts w:ascii="仿宋" w:eastAsia="仿宋"/>
          <w:b w:val="0"/>
          <w:bCs/>
          <w:color w:val="000000"/>
          <w:sz w:val="32"/>
          <w:szCs w:val="32"/>
        </w:rPr>
      </w:pPr>
      <w:r>
        <w:rPr>
          <w:rStyle w:val="22"/>
          <w:rFonts w:ascii="仿宋" w:eastAsia="仿宋" w:hint="eastAsia"/>
          <w:color w:val="000000"/>
          <w:sz w:val="32"/>
          <w:szCs w:val="32"/>
        </w:rPr>
        <w:t>9.一般公共服务（类）司法（款）普法宣传（项）：</w:t>
      </w:r>
      <w:r>
        <w:rPr>
          <w:rStyle w:val="22"/>
          <w:rFonts w:ascii="仿宋" w:eastAsia="仿宋" w:hint="eastAsia"/>
          <w:b w:val="0"/>
          <w:bCs/>
          <w:color w:val="000000"/>
          <w:sz w:val="32"/>
          <w:szCs w:val="32"/>
        </w:rPr>
        <w:t>支出决算为86万元，完成预算100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Style w:val="22"/>
          <w:rFonts w:ascii="仿宋" w:eastAsia="仿宋"/>
          <w:b w:val="0"/>
          <w:bCs/>
          <w:color w:val="000000"/>
          <w:sz w:val="32"/>
          <w:szCs w:val="32"/>
        </w:rPr>
      </w:pPr>
      <w:r>
        <w:rPr>
          <w:rStyle w:val="22"/>
          <w:rFonts w:ascii="仿宋" w:eastAsia="仿宋" w:hint="eastAsia"/>
          <w:color w:val="000000"/>
          <w:sz w:val="32"/>
          <w:szCs w:val="32"/>
        </w:rPr>
        <w:t>10.一般公共服务（类）司法（款）公共法律服务（项）：</w:t>
      </w:r>
      <w:r>
        <w:rPr>
          <w:rStyle w:val="22"/>
          <w:rFonts w:ascii="仿宋" w:eastAsia="仿宋" w:hint="eastAsia"/>
          <w:b w:val="0"/>
          <w:bCs/>
          <w:color w:val="000000"/>
          <w:sz w:val="32"/>
          <w:szCs w:val="32"/>
        </w:rPr>
        <w:t>支出决算为10万元，完成预算100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Style w:val="22"/>
          <w:rFonts w:ascii="仿宋" w:eastAsia="仿宋"/>
          <w:b w:val="0"/>
          <w:bCs/>
          <w:color w:val="000000"/>
          <w:sz w:val="32"/>
          <w:szCs w:val="32"/>
        </w:rPr>
      </w:pPr>
      <w:r>
        <w:rPr>
          <w:rStyle w:val="22"/>
          <w:rFonts w:ascii="仿宋" w:eastAsia="仿宋" w:hint="eastAsia"/>
          <w:color w:val="000000"/>
          <w:sz w:val="32"/>
          <w:szCs w:val="32"/>
        </w:rPr>
        <w:t>11.一般公共服务（类）司法（款）社区矫正（项）：</w:t>
      </w:r>
      <w:r>
        <w:rPr>
          <w:rStyle w:val="22"/>
          <w:rFonts w:ascii="仿宋" w:eastAsia="仿宋" w:hint="eastAsia"/>
          <w:b w:val="0"/>
          <w:bCs/>
          <w:color w:val="000000"/>
          <w:sz w:val="32"/>
          <w:szCs w:val="32"/>
        </w:rPr>
        <w:t>支出决算为0.5万元，完成预算100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51"/>
      <w:bookmarkEnd w:id="52"/>
      <w:r>
        <w:rPr>
          <w:rStyle w:val="2Char"/>
          <w:rFonts w:ascii="黑体" w:eastAsia="黑体"/>
          <w:b w:val="0"/>
        </w:rPr>
        <w:tab/>
      </w:r>
    </w:p>
    <w:p>
      <w:pPr>
        <w:spacing w:line="600" w:lineRule="exact"/>
        <w:ind w:firstLine="645"/>
        <w:rPr>
          <w:rFonts w:ascii="仿宋" w:eastAsia="仿宋"/>
          <w:sz w:val="32"/>
          <w:szCs w:val="32"/>
        </w:rPr>
      </w:pPr>
      <w:r>
        <w:rPr>
          <w:rFonts w:ascii="仿宋" w:eastAsia="仿宋" w:hint="eastAsia"/>
          <w:sz w:val="32"/>
          <w:szCs w:val="32"/>
        </w:rPr>
        <w:t>2022年一般公共预算财政拨款基本支出1034.74万元，其中：</w:t>
      </w:r>
    </w:p>
    <w:p>
      <w:pPr>
        <w:spacing w:line="600" w:lineRule="exact"/>
        <w:ind w:firstLine="645"/>
        <w:rPr>
          <w:rFonts w:ascii="仿宋" w:eastAsia="仿宋"/>
          <w:sz w:val="32"/>
          <w:szCs w:val="32"/>
        </w:rPr>
      </w:pPr>
      <w:r>
        <w:rPr>
          <w:rFonts w:ascii="仿宋" w:eastAsia="仿宋" w:hint="eastAsia"/>
          <w:sz w:val="32"/>
          <w:szCs w:val="32"/>
        </w:rPr>
        <w:t>人员经费977.53万元，主要包括：基本工资184.33万元、津贴补贴293.66万元、奖金141.87万元、机关事业单位基本养老保险缴费72.04万元、职业年金缴费36.02万元、职工基本医疗保险缴费41.12万元、公务员医疗补助缴费10.42万元、其他社会保障缴费</w:t>
      </w:r>
      <w:r>
        <w:rPr>
          <w:rFonts w:ascii="仿宋" w:eastAsia="仿宋" w:hint="eastAsia"/>
          <w:color w:val="0000FF"/>
          <w:sz w:val="32"/>
          <w:szCs w:val="32"/>
        </w:rPr>
        <w:t>2.5</w:t>
      </w:r>
      <w:r>
        <w:rPr>
          <w:rFonts w:ascii="仿宋" w:eastAsia="仿宋" w:hint="eastAsia"/>
          <w:sz w:val="32"/>
          <w:szCs w:val="32"/>
        </w:rPr>
        <w:t>2万元、其他工资福利支出</w:t>
      </w:r>
      <w:r>
        <w:rPr>
          <w:rFonts w:ascii="仿宋" w:eastAsia="仿宋" w:hint="eastAsia"/>
          <w:color w:val="0000FF"/>
          <w:sz w:val="32"/>
          <w:szCs w:val="32"/>
        </w:rPr>
        <w:t>21.97</w:t>
      </w:r>
      <w:r>
        <w:rPr>
          <w:rFonts w:ascii="仿宋" w:eastAsia="仿宋" w:hint="eastAsia"/>
          <w:sz w:val="32"/>
          <w:szCs w:val="32"/>
        </w:rPr>
        <w:t>万元、生活补助15.75万元、住房公积</w:t>
      </w:r>
      <w:r>
        <w:rPr>
          <w:rFonts w:ascii="仿宋" w:eastAsia="仿宋" w:hint="eastAsia"/>
          <w:color w:val="0000FF"/>
          <w:sz w:val="32"/>
          <w:szCs w:val="32"/>
        </w:rPr>
        <w:t>金7</w:t>
      </w:r>
      <w:r>
        <w:rPr>
          <w:rFonts w:ascii="仿宋" w:eastAsia="仿宋" w:hint="eastAsia"/>
          <w:sz w:val="32"/>
          <w:szCs w:val="32"/>
        </w:rPr>
        <w:t>2.33万元、奖励金85.50万元。</w:t>
      </w:r>
    </w:p>
    <w:p>
      <w:pPr>
        <w:spacing w:line="600" w:lineRule="exact"/>
        <w:rPr>
          <w:rFonts w:ascii="仿宋" w:eastAsia="仿宋"/>
          <w:sz w:val="32"/>
          <w:szCs w:val="32"/>
        </w:rPr>
      </w:pPr>
      <w:r>
        <w:rPr>
          <w:rFonts w:ascii="仿宋" w:eastAsia="仿宋" w:hint="eastAsia"/>
          <w:sz w:val="32"/>
          <w:szCs w:val="32"/>
        </w:rPr>
        <w:t>　　公用经费57.21万元，主要包括：办公费</w:t>
      </w:r>
      <w:r>
        <w:rPr>
          <w:rFonts w:ascii="仿宋" w:eastAsia="仿宋" w:hint="eastAsia"/>
          <w:color w:val="0000FF"/>
          <w:sz w:val="32"/>
          <w:szCs w:val="32"/>
        </w:rPr>
        <w:t>6</w:t>
      </w:r>
      <w:r>
        <w:rPr>
          <w:rFonts w:ascii="仿宋" w:eastAsia="仿宋" w:hint="eastAsia"/>
          <w:sz w:val="32"/>
          <w:szCs w:val="32"/>
        </w:rPr>
        <w:t>万元、印刷费</w:t>
      </w:r>
      <w:r>
        <w:rPr>
          <w:rFonts w:ascii="仿宋" w:eastAsia="仿宋" w:hint="eastAsia"/>
          <w:color w:val="0000FF"/>
          <w:sz w:val="32"/>
          <w:szCs w:val="32"/>
        </w:rPr>
        <w:t>8</w:t>
      </w:r>
      <w:r>
        <w:rPr>
          <w:rFonts w:ascii="仿宋" w:eastAsia="仿宋" w:hint="eastAsia"/>
          <w:sz w:val="32"/>
          <w:szCs w:val="32"/>
        </w:rPr>
        <w:t>万元、手续费</w:t>
      </w:r>
      <w:r>
        <w:rPr>
          <w:rFonts w:ascii="仿宋" w:eastAsia="仿宋" w:hint="eastAsia"/>
          <w:color w:val="0000FF"/>
          <w:sz w:val="32"/>
          <w:szCs w:val="32"/>
        </w:rPr>
        <w:t>0.02</w:t>
      </w:r>
      <w:r>
        <w:rPr>
          <w:rFonts w:ascii="仿宋" w:eastAsia="仿宋" w:hint="eastAsia"/>
          <w:sz w:val="32"/>
          <w:szCs w:val="32"/>
        </w:rPr>
        <w:t>万元、水费0.</w:t>
      </w:r>
      <w:r>
        <w:rPr>
          <w:rFonts w:ascii="仿宋" w:eastAsia="仿宋" w:hint="eastAsia"/>
          <w:color w:val="0000FF"/>
          <w:sz w:val="32"/>
          <w:szCs w:val="32"/>
        </w:rPr>
        <w:t>3</w:t>
      </w:r>
      <w:r>
        <w:rPr>
          <w:rFonts w:ascii="仿宋" w:eastAsia="仿宋" w:hint="eastAsia"/>
          <w:sz w:val="32"/>
          <w:szCs w:val="32"/>
        </w:rPr>
        <w:t>万元、电费0</w:t>
      </w:r>
      <w:r>
        <w:rPr>
          <w:rFonts w:ascii="仿宋" w:eastAsia="仿宋" w:hint="eastAsia"/>
          <w:color w:val="0000FF"/>
          <w:sz w:val="32"/>
          <w:szCs w:val="32"/>
        </w:rPr>
        <w:t>.5</w:t>
      </w:r>
      <w:r>
        <w:rPr>
          <w:rFonts w:ascii="仿宋" w:eastAsia="仿宋" w:hint="eastAsia"/>
          <w:sz w:val="32"/>
          <w:szCs w:val="32"/>
        </w:rPr>
        <w:t>万元、劳务费</w:t>
      </w:r>
      <w:r>
        <w:rPr>
          <w:rFonts w:ascii="仿宋" w:eastAsia="仿宋" w:hint="eastAsia"/>
          <w:color w:val="0000FF"/>
          <w:sz w:val="32"/>
          <w:szCs w:val="32"/>
        </w:rPr>
        <w:t>5</w:t>
      </w:r>
      <w:r>
        <w:rPr>
          <w:rFonts w:ascii="仿宋" w:eastAsia="仿宋" w:hint="eastAsia"/>
          <w:sz w:val="32"/>
          <w:szCs w:val="32"/>
        </w:rPr>
        <w:t>万元、公务接待费</w:t>
      </w:r>
      <w:r>
        <w:rPr>
          <w:rFonts w:ascii="仿宋" w:eastAsia="仿宋" w:hint="eastAsia"/>
          <w:color w:val="0000FF"/>
          <w:sz w:val="32"/>
          <w:szCs w:val="32"/>
        </w:rPr>
        <w:t>0.31</w:t>
      </w:r>
      <w:r>
        <w:rPr>
          <w:rFonts w:ascii="仿宋" w:eastAsia="仿宋" w:hint="eastAsia"/>
          <w:sz w:val="32"/>
          <w:szCs w:val="32"/>
        </w:rPr>
        <w:t>万元，福利费</w:t>
      </w:r>
      <w:r>
        <w:rPr>
          <w:rFonts w:ascii="仿宋" w:eastAsia="仿宋" w:hint="eastAsia"/>
          <w:color w:val="0000FF"/>
          <w:sz w:val="32"/>
          <w:szCs w:val="32"/>
        </w:rPr>
        <w:t>2.3</w:t>
      </w:r>
      <w:r>
        <w:rPr>
          <w:rFonts w:ascii="仿宋" w:eastAsia="仿宋" w:hint="eastAsia"/>
          <w:sz w:val="32"/>
          <w:szCs w:val="32"/>
        </w:rPr>
        <w:t>万元、公务用车运行维护</w:t>
      </w:r>
      <w:r>
        <w:rPr>
          <w:rFonts w:ascii="仿宋" w:eastAsia="仿宋" w:hint="eastAsia"/>
          <w:color w:val="0000FF"/>
          <w:sz w:val="32"/>
          <w:szCs w:val="32"/>
        </w:rPr>
        <w:t>费10</w:t>
      </w:r>
      <w:r>
        <w:rPr>
          <w:rFonts w:ascii="仿宋" w:eastAsia="仿宋" w:hint="eastAsia"/>
          <w:sz w:val="32"/>
          <w:szCs w:val="32"/>
        </w:rPr>
        <w:t>万元、邮电</w:t>
      </w:r>
      <w:r>
        <w:rPr>
          <w:rFonts w:ascii="仿宋" w:eastAsia="仿宋" w:hint="eastAsia"/>
          <w:color w:val="0000FF"/>
          <w:sz w:val="32"/>
          <w:szCs w:val="32"/>
        </w:rPr>
        <w:t>费10</w:t>
      </w:r>
      <w:r>
        <w:rPr>
          <w:rFonts w:ascii="仿宋" w:eastAsia="仿宋" w:hint="eastAsia"/>
          <w:sz w:val="32"/>
          <w:szCs w:val="32"/>
        </w:rPr>
        <w:t>万元，差旅费</w:t>
      </w:r>
      <w:r>
        <w:rPr>
          <w:rFonts w:ascii="仿宋" w:eastAsia="仿宋" w:hint="eastAsia"/>
          <w:color w:val="0000FF"/>
          <w:sz w:val="32"/>
          <w:szCs w:val="32"/>
        </w:rPr>
        <w:t>8.</w:t>
      </w:r>
      <w:r>
        <w:rPr>
          <w:rFonts w:ascii="仿宋" w:eastAsia="仿宋" w:hint="eastAsia"/>
          <w:sz w:val="32"/>
          <w:szCs w:val="32"/>
        </w:rPr>
        <w:t>3万元，租赁费</w:t>
      </w:r>
      <w:r>
        <w:rPr>
          <w:rFonts w:ascii="仿宋" w:eastAsia="仿宋" w:hint="eastAsia"/>
          <w:color w:val="0000FF"/>
          <w:sz w:val="32"/>
          <w:szCs w:val="32"/>
        </w:rPr>
        <w:t>1.6</w:t>
      </w:r>
      <w:r>
        <w:rPr>
          <w:rFonts w:ascii="仿宋" w:eastAsia="仿宋" w:hint="eastAsia"/>
          <w:sz w:val="32"/>
          <w:szCs w:val="32"/>
        </w:rPr>
        <w:t>万元，维修（护）费</w:t>
      </w:r>
      <w:r>
        <w:rPr>
          <w:rFonts w:ascii="仿宋" w:eastAsia="仿宋" w:hint="eastAsia"/>
          <w:color w:val="0000FF"/>
          <w:sz w:val="32"/>
          <w:szCs w:val="32"/>
        </w:rPr>
        <w:t>0.2</w:t>
      </w:r>
      <w:r>
        <w:rPr>
          <w:rFonts w:ascii="仿宋" w:eastAsia="仿宋" w:hint="eastAsia"/>
          <w:sz w:val="32"/>
          <w:szCs w:val="32"/>
        </w:rPr>
        <w:t>万元，其他商品和服务支出4.68万元。</w:t>
      </w:r>
    </w:p>
    <w:p>
      <w:pPr>
        <w:spacing w:line="600" w:lineRule="exact"/>
        <w:ind w:firstLineChars="200" w:firstLine="640"/>
        <w:outlineLvl w:val="1"/>
        <w:rPr>
          <w:rStyle w:val="2Char"/>
          <w:rFonts w:ascii="黑体" w:eastAsia="黑体"/>
          <w:b w:val="0"/>
        </w:rPr>
      </w:pPr>
      <w:bookmarkStart w:id="53" w:name="_Toc15396609"/>
      <w:bookmarkStart w:id="54"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53"/>
      <w:bookmarkEnd w:id="54"/>
    </w:p>
    <w:p>
      <w:pPr>
        <w:spacing w:line="600" w:lineRule="exact"/>
        <w:ind w:firstLine="640"/>
        <w:outlineLvl w:val="2"/>
        <w:rPr>
          <w:rFonts w:ascii="仿宋" w:eastAsia="仿宋"/>
          <w:b/>
          <w:color w:val="000000"/>
          <w:sz w:val="32"/>
          <w:szCs w:val="32"/>
        </w:rPr>
      </w:pPr>
      <w:bookmarkStart w:id="55" w:name="_Toc15377216"/>
      <w:r>
        <w:rPr>
          <w:rFonts w:ascii="仿宋" w:eastAsia="仿宋" w:hint="eastAsia"/>
          <w:b/>
          <w:color w:val="000000"/>
          <w:sz w:val="32"/>
          <w:szCs w:val="32"/>
        </w:rPr>
        <w:t>（一）“三公”经费财政拨款支出决算总体情况说明</w:t>
      </w:r>
      <w:bookmarkEnd w:id="55"/>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22年“三公”经费财政拨款支出决算为10.31万元，完成预算100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56" w:name="_Toc15377217"/>
      <w:r>
        <w:rPr>
          <w:rFonts w:ascii="仿宋" w:eastAsia="仿宋" w:hint="eastAsia"/>
          <w:b/>
          <w:color w:val="000000"/>
          <w:sz w:val="32"/>
          <w:szCs w:val="32"/>
        </w:rPr>
        <w:t>（二）“三公”经费财政拨款支出决算具体情况说明</w:t>
      </w:r>
      <w:bookmarkEnd w:id="56"/>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22年“三公”经费财政拨款支出</w:t>
      </w:r>
      <w:r>
        <w:rPr>
          <w:rFonts w:ascii="仿宋" w:eastAsia="仿宋" w:hint="eastAsia"/>
          <w:sz w:val="32"/>
          <w:szCs w:val="32"/>
        </w:rPr>
        <w:t>决算10.31万元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；公务用车购置0万元，占0</w:t>
      </w:r>
      <w:r>
        <w:rPr>
          <w:rFonts w:ascii="仿宋" w:eastAsia="仿宋"/>
          <w:color w:val="000000"/>
          <w:sz w:val="32"/>
          <w:szCs w:val="32"/>
        </w:rPr>
        <w:t>%</w:t>
      </w:r>
      <w:r>
        <w:rPr>
          <w:rFonts w:ascii="仿宋" w:eastAsia="仿宋" w:hint="eastAsia"/>
          <w:color w:val="000000"/>
          <w:sz w:val="32"/>
          <w:szCs w:val="32"/>
        </w:rPr>
        <w:t>，公务用车运行维护费支出决算10万元，占96.99</w:t>
      </w:r>
      <w:r>
        <w:rPr>
          <w:rFonts w:ascii="仿宋" w:eastAsia="仿宋"/>
          <w:color w:val="000000"/>
          <w:sz w:val="32"/>
          <w:szCs w:val="32"/>
        </w:rPr>
        <w:t>%</w:t>
      </w:r>
      <w:r>
        <w:rPr>
          <w:rFonts w:ascii="仿宋" w:eastAsia="仿宋" w:hint="eastAsia"/>
          <w:color w:val="000000"/>
          <w:sz w:val="32"/>
          <w:szCs w:val="32"/>
        </w:rPr>
        <w:t>；公务接待费支出决算0.31万元，占3.01</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30" behindDoc="0" locked="0" layoutInCell="1" hidden="0" allowOverlap="1">
            <wp:simplePos x="0" y="0"/>
            <wp:positionH relativeFrom="column">
              <wp:posOffset>210820</wp:posOffset>
            </wp:positionH>
            <wp:positionV relativeFrom="paragraph">
              <wp:posOffset>-7853680</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2"/>
          <w:rFonts w:ascii="仿宋" w:eastAsia="仿宋" w:hint="eastAsia"/>
          <w:b w:val="0"/>
          <w:bCs/>
          <w:color w:val="000000"/>
          <w:sz w:val="32"/>
          <w:szCs w:val="32"/>
        </w:rPr>
        <w:t>。</w:t>
      </w:r>
      <w:r>
        <w:rPr>
          <w:rFonts w:ascii="仿宋_GB2312" w:eastAsia="仿宋_GB2312" w:hint="eastAsia"/>
          <w:sz w:val="32"/>
          <w:szCs w:val="32"/>
        </w:rPr>
        <w:t>全年安排因公出国（境）团组0次，出国（境）0人。</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rPr>
        <w:t>10万元,</w:t>
      </w:r>
      <w:r>
        <w:rPr>
          <w:rStyle w:val="22"/>
          <w:rFonts w:ascii="仿宋" w:eastAsia="仿宋" w:hint="eastAsia"/>
          <w:b w:val="0"/>
          <w:bCs/>
          <w:color w:val="000000"/>
          <w:sz w:val="32"/>
          <w:szCs w:val="32"/>
        </w:rPr>
        <w:t>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公务用车购置及运行维护费支出决算与</w:t>
      </w:r>
      <w:r>
        <w:rPr>
          <w:rFonts w:ascii="仿宋_GB2312" w:eastAsia="仿宋_GB2312"/>
          <w:color w:val="000000"/>
          <w:sz w:val="32"/>
          <w:szCs w:val="32"/>
        </w:rPr>
        <w:t>20</w:t>
      </w:r>
      <w:r>
        <w:rPr>
          <w:rFonts w:ascii="仿宋_GB2312" w:eastAsia="仿宋_GB2312" w:hint="eastAsia"/>
          <w:color w:val="000000"/>
          <w:sz w:val="32"/>
          <w:szCs w:val="32"/>
        </w:rPr>
        <w:t>21年增加0.02万元，增加的原因为公务用车增加一辆</w:t>
      </w:r>
      <w:r>
        <w:rPr>
          <w:rFonts w:ascii="仿宋_GB2312" w:eastAsia="仿宋_GB2312" w:hint="eastAsia"/>
          <w:sz w:val="32"/>
          <w:szCs w:val="32"/>
        </w:rPr>
        <w:t>。</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0万元。全年按规定处置报废公务用车1辆。截至</w:t>
      </w:r>
      <w:r>
        <w:rPr>
          <w:rFonts w:ascii="仿宋_GB2312" w:eastAsia="仿宋_GB2312"/>
          <w:color w:val="000000"/>
          <w:sz w:val="32"/>
          <w:szCs w:val="32"/>
        </w:rPr>
        <w:t>20</w:t>
      </w:r>
      <w:r>
        <w:rPr>
          <w:rFonts w:ascii="仿宋_GB2312" w:eastAsia="仿宋_GB2312" w:hint="eastAsia"/>
          <w:color w:val="000000"/>
          <w:sz w:val="32"/>
          <w:szCs w:val="32"/>
        </w:rPr>
        <w:t>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日，共有车辆4辆，其中：部级领导干部用车0辆、主要领导干部用车0辆、机要通信用车0辆、应急保障用车0辆、执法执勤用车4辆、特种专业技术用车0辆、离退休干部用车0辆、其他用车0辆；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rPr>
        <w:t>10万元。</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Chars="200" w:firstLine="640"/>
        <w:rPr>
          <w:rFonts w:ascii="仿宋_GB2312" w:eastAsia="仿宋_GB2312" w:cs="仿宋"/>
          <w:color w:val="000000"/>
          <w:sz w:val="32"/>
          <w:szCs w:val="32"/>
        </w:rPr>
      </w:pPr>
      <w:r>
        <w:rPr>
          <w:rFonts w:ascii="仿宋_GB2312" w:eastAsia="仿宋_GB2312" w:hint="eastAsia"/>
          <w:b/>
          <w:color w:val="000000"/>
          <w:sz w:val="32"/>
          <w:szCs w:val="32"/>
        </w:rPr>
        <w:t>3.公务接待费支出</w:t>
      </w:r>
      <w:r>
        <w:rPr>
          <w:rFonts w:ascii="仿宋_GB2312" w:eastAsia="仿宋_GB2312" w:hint="eastAsia"/>
          <w:color w:val="000000"/>
          <w:sz w:val="32"/>
          <w:szCs w:val="32"/>
        </w:rPr>
        <w:t>0.31万元，</w:t>
      </w:r>
      <w:r>
        <w:rPr>
          <w:rStyle w:val="22"/>
          <w:rFonts w:ascii="仿宋" w:eastAsia="仿宋" w:hint="eastAsia"/>
          <w:b w:val="0"/>
          <w:bCs/>
          <w:color w:val="000000"/>
          <w:sz w:val="32"/>
          <w:szCs w:val="32"/>
        </w:rPr>
        <w:t>完成预算77.5</w:t>
      </w:r>
      <w:r>
        <w:rPr>
          <w:rStyle w:val="22"/>
          <w:rFonts w:ascii="仿宋" w:eastAsia="仿宋"/>
          <w:b w:val="0"/>
          <w:bCs/>
          <w:color w:val="000000"/>
          <w:sz w:val="32"/>
          <w:szCs w:val="32"/>
        </w:rPr>
        <w:t>%</w:t>
      </w:r>
      <w:r>
        <w:rPr>
          <w:rStyle w:val="22"/>
          <w:rFonts w:ascii="仿宋" w:eastAsia="仿宋" w:hint="eastAsia"/>
          <w:b w:val="0"/>
          <w:bCs/>
          <w:color w:val="000000"/>
          <w:sz w:val="32"/>
          <w:szCs w:val="32"/>
        </w:rPr>
        <w:t>。</w:t>
      </w:r>
      <w:r>
        <w:rPr>
          <w:rFonts w:ascii="仿宋_GB2312" w:eastAsia="仿宋_GB2312" w:cs="仿宋" w:hint="eastAsia"/>
          <w:color w:val="000000"/>
          <w:sz w:val="32"/>
          <w:szCs w:val="32"/>
        </w:rPr>
        <w:t>公务接待费0.31万元，较上年增加0.02万元，增加6.9%，增加原因是接待增加。</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主要用于执行公务、开展业务活动开支的交通费、住宿费、用餐费等。国内公务接待3批次，30人次，共计支出0.31万元。</w:t>
      </w:r>
    </w:p>
    <w:p>
      <w:pPr>
        <w:spacing w:line="600" w:lineRule="exact"/>
        <w:ind w:firstLine="640"/>
        <w:outlineLvl w:val="1"/>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57" w:name="_Toc15396610"/>
      <w:bookmarkStart w:id="58" w:name="_Toc15377218"/>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57"/>
      <w:bookmarkEnd w:id="5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22年政府性基金预算拨款支出0万元。</w:t>
      </w:r>
    </w:p>
    <w:p>
      <w:pPr>
        <w:numPr>
          <w:ilvl w:val="0"/>
          <w:numId w:val="2"/>
        </w:numPr>
        <w:spacing w:line="600" w:lineRule="exact"/>
        <w:ind w:left="0" w:firstLine="640"/>
        <w:outlineLvl w:val="1"/>
        <w:rPr>
          <w:rStyle w:val="2Char"/>
          <w:rFonts w:ascii="黑体" w:eastAsia="黑体"/>
          <w:b w:val="0"/>
        </w:rPr>
      </w:pPr>
      <w:bookmarkStart w:id="59" w:name="_Toc15377219"/>
      <w:bookmarkStart w:id="60" w:name="_Toc15396611"/>
      <w:r>
        <w:rPr>
          <w:rStyle w:val="2Char"/>
          <w:rFonts w:ascii="黑体" w:eastAsia="黑体" w:hint="eastAsia"/>
          <w:b w:val="0"/>
        </w:rPr>
        <w:t>国有资本经营预算支出决算情况说明</w:t>
      </w:r>
      <w:bookmarkEnd w:id="59"/>
      <w:bookmarkEnd w:id="6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22年国有资本经营预算拨款支出0万元。</w:t>
      </w:r>
    </w:p>
    <w:p>
      <w:pPr>
        <w:pStyle w:val="28"/>
        <w:numPr>
          <w:ilvl w:val="0"/>
          <w:numId w:val="3"/>
        </w:numPr>
        <w:spacing w:line="580" w:lineRule="exact"/>
        <w:ind w:firstLineChars="0"/>
        <w:rPr>
          <w:rStyle w:val="2Char"/>
          <w:rFonts w:ascii="黑体" w:eastAsia="黑体"/>
          <w:b w:val="0"/>
        </w:rPr>
      </w:pPr>
      <w:r>
        <w:rPr>
          <w:rStyle w:val="2Char"/>
          <w:rFonts w:ascii="黑体" w:eastAsia="黑体" w:hint="eastAsia"/>
          <w:b w:val="0"/>
        </w:rPr>
        <w:t>预算绩效情况说明</w:t>
      </w:r>
    </w:p>
    <w:p>
      <w:pPr>
        <w:numPr>
          <w:ilvl w:val="0"/>
          <w:numId w:val="4"/>
        </w:numPr>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rPr>
        <w:t>预算绩效管理工作开展情况。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对6个项目编制了绩效目标，预算执行过程中，选取6个项目开展绩效监控，年终执行完毕后，对6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本部门按要求对2022年部门整体支出开展绩效自评，</w:t>
      </w:r>
      <w:r>
        <w:rPr>
          <w:rFonts w:ascii="仿宋_GB2312" w:eastAsia="仿宋_GB2312" w:hint="eastAsia"/>
          <w:sz w:val="32"/>
          <w:szCs w:val="32"/>
        </w:rPr>
        <w:t>经全面综合评价，我单位预算支出绩效自评得分98分。我单位深入贯彻落实“</w:t>
      </w:r>
      <w:r>
        <w:rPr>
          <w:rFonts w:ascii="仿宋_GB2312" w:eastAsia="仿宋_GB2312"/>
          <w:sz w:val="32"/>
          <w:szCs w:val="32"/>
        </w:rPr>
        <w:t>党的</w:t>
      </w:r>
      <w:r>
        <w:rPr>
          <w:rFonts w:ascii="仿宋_GB2312" w:eastAsia="仿宋_GB2312" w:hint="eastAsia"/>
          <w:sz w:val="32"/>
          <w:szCs w:val="32"/>
        </w:rPr>
        <w:t>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。本单位还自行组织了6个项目绩效评价，从评价情况来看我单位年初预算项目基本按照绩效目标完成支付，有部分项目结转质保金在下年质保期后进行支付。</w:t>
      </w:r>
    </w:p>
    <w:p>
      <w:pPr>
        <w:numPr>
          <w:ilvl w:val="0"/>
          <w:numId w:val="4"/>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numPr>
          <w:ilvl w:val="0"/>
          <w:numId w:val="4"/>
        </w:numPr>
        <w:spacing w:line="580" w:lineRule="exact"/>
        <w:ind w:left="0" w:firstLineChars="200" w:firstLine="640"/>
        <w:jc w:val="left"/>
        <w:rPr>
          <w:rFonts w:ascii="仿宋_GB2312" w:eastAsia="仿宋_GB2312" w:cs="仿宋_GB2312"/>
          <w:sz w:val="32"/>
          <w:szCs w:val="32"/>
        </w:rPr>
      </w:pPr>
      <w:r>
        <w:rPr>
          <w:rFonts w:ascii="仿宋_GB2312" w:eastAsia="仿宋_GB2312" w:cs="仿宋_GB2312" w:hint="eastAsia"/>
          <w:sz w:val="32"/>
          <w:szCs w:val="32"/>
        </w:rPr>
        <w:t>本部门在2022年度部门决算中反映“法律政策七进</w:t>
      </w:r>
      <w:r>
        <w:rPr>
          <w:rFonts w:ascii="仿宋_GB2312" w:eastAsia="仿宋_GB2312" w:cs="仿宋_GB2312"/>
          <w:sz w:val="32"/>
          <w:szCs w:val="32"/>
        </w:rPr>
        <w:t>”</w:t>
      </w:r>
      <w:r>
        <w:rPr>
          <w:rFonts w:ascii="仿宋_GB2312" w:eastAsia="仿宋_GB2312" w:cs="仿宋_GB2312" w:hint="eastAsia"/>
          <w:sz w:val="32"/>
          <w:szCs w:val="32"/>
        </w:rPr>
        <w:t>“法律援助</w:t>
      </w:r>
      <w:r>
        <w:rPr>
          <w:rFonts w:ascii="仿宋_GB2312" w:eastAsia="仿宋_GB2312" w:cs="仿宋_GB2312"/>
          <w:sz w:val="32"/>
          <w:szCs w:val="32"/>
        </w:rPr>
        <w:t>”</w:t>
      </w:r>
      <w:r>
        <w:rPr>
          <w:rFonts w:ascii="仿宋_GB2312" w:eastAsia="仿宋_GB2312" w:cs="仿宋_GB2312" w:hint="eastAsia"/>
          <w:sz w:val="32"/>
          <w:szCs w:val="32"/>
        </w:rPr>
        <w:t>“八五”普法等6个项目绩效目标实际完成情况。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1.“八五”普法项目绩效目标完成情况综述。项目全年预算数1万元，执行数为1万元，完成预算的100%。用于开展法律政策七进、普法宣传工作2022年底前完成。</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28"/>
              <w:widowControl/>
              <w:ind w:leftChars="1310" w:left="4173" w:hangingChars="395" w:hanging="1422"/>
              <w:textAlignment w:val="center"/>
              <w:rPr>
                <w:rFonts w:ascii="黑体" w:eastAsia="黑体" w:cs="宋体"/>
                <w:bCs/>
                <w:kern w:val="0"/>
                <w:sz w:val="36"/>
                <w:szCs w:val="36"/>
              </w:rPr>
            </w:pPr>
            <w:r>
              <w:rPr>
                <w:rFonts w:ascii="黑体" w:eastAsia="黑体" w:cs="宋体" w:hint="eastAsia"/>
                <w:bCs/>
                <w:kern w:val="0"/>
                <w:sz w:val="36"/>
                <w:szCs w:val="36"/>
              </w:rPr>
              <w:t>项目支出绩效目标完成情况表</w:t>
            </w:r>
          </w:p>
          <w:p>
            <w:pPr>
              <w:pStyle w:val="28"/>
              <w:widowControl/>
              <w:ind w:leftChars="1310" w:left="4173" w:hangingChars="395" w:hanging="1422"/>
              <w:textAlignment w:val="center"/>
              <w:rPr>
                <w:rFonts w:ascii="宋体" w:cs="宋体"/>
                <w:sz w:val="36"/>
                <w:szCs w:val="36"/>
              </w:rPr>
            </w:pPr>
            <w:r>
              <w:rPr>
                <w:rFonts w:ascii="宋体" w:cs="宋体" w:hint="eastAsia"/>
                <w:kern w:val="0"/>
                <w:sz w:val="36"/>
                <w:szCs w:val="36"/>
              </w:rPr>
              <w:t>(2022年度)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八五普法</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金川县司法局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开展八五普法工作</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印制法治宣传资料</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1次</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2022年12月31日前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印制法治宣传资料600份。</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kern w:val="0"/>
                <w:sz w:val="24"/>
              </w:rPr>
            </w:pPr>
            <w:r>
              <w:rPr>
                <w:rFonts w:ascii="宋体" w:cs="宋体" w:hint="eastAsia"/>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印刷费用控制在1万元以内</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r>
    </w:tbl>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2.法律顾问项目绩效目标完成情况综述。项目全年预算数10万元，执行数为10万元，完成预算的100%。为县政府聘请法律顾问。</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8"/>
              <w:widowControl/>
              <w:ind w:leftChars="1310" w:left="4173" w:hangingChars="395" w:hanging="1422"/>
              <w:textAlignment w:val="center"/>
              <w:rPr>
                <w:rFonts w:ascii="黑体" w:eastAsia="黑体" w:cs="宋体"/>
                <w:bCs/>
                <w:kern w:val="0"/>
                <w:sz w:val="36"/>
                <w:szCs w:val="36"/>
              </w:rPr>
            </w:pPr>
            <w:r>
              <w:rPr>
                <w:rFonts w:ascii="黑体" w:eastAsia="黑体" w:cs="宋体" w:hint="eastAsia"/>
                <w:bCs/>
                <w:kern w:val="0"/>
                <w:sz w:val="36"/>
                <w:szCs w:val="36"/>
              </w:rPr>
              <w:t>项目支出绩效目标完成情况表</w:t>
            </w:r>
          </w:p>
          <w:p>
            <w:pPr>
              <w:pStyle w:val="28"/>
              <w:widowControl/>
              <w:ind w:leftChars="1310" w:left="4173" w:hangingChars="395" w:hanging="1422"/>
              <w:textAlignment w:val="center"/>
              <w:rPr>
                <w:rFonts w:ascii="宋体" w:cs="宋体"/>
                <w:sz w:val="36"/>
                <w:szCs w:val="36"/>
              </w:rPr>
            </w:pPr>
            <w:r>
              <w:rPr>
                <w:rFonts w:ascii="宋体" w:cs="宋体" w:hint="eastAsia"/>
                <w:kern w:val="0"/>
                <w:sz w:val="36"/>
                <w:szCs w:val="36"/>
              </w:rPr>
              <w:t>(2022年度)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法律顾问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金川县司法局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10万元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10万元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10万元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10万元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sz w:val="24"/>
              </w:rPr>
            </w:pPr>
            <w:r>
              <w:rPr>
                <w:rFonts w:ascii="宋体" w:cs="宋体" w:hint="eastAsia"/>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sz w:val="24"/>
              </w:rPr>
            </w:pPr>
            <w:r>
              <w:rPr>
                <w:rFonts w:ascii="宋体" w:cs="宋体" w:hint="eastAsia"/>
                <w:sz w:val="24"/>
              </w:rPr>
              <w:t>为县政府聘请法律顾问</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案件数</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法律咨询</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完成</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实效指标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完成时间</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2022年12月31日前完成</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sz w:val="24"/>
              </w:rPr>
            </w:pPr>
            <w:r>
              <w:rPr>
                <w:rFonts w:ascii="宋体" w:cs="宋体" w:hint="eastAsia"/>
                <w:sz w:val="24"/>
              </w:rPr>
              <w:t>案件20件</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社会效益</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法律服务人数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≥300人次</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r>
    </w:tbl>
    <w:p>
      <w:pPr>
        <w:ind w:firstLineChars="200" w:firstLine="420"/>
        <w:jc w:val="left"/>
      </w:pP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3 .“基层司法业务”绩效目标完成情况综述。项目全年预算数135万元，执行数为119.85万元，完成预算的88.78%，结转下年0万元。用于开展全面依法治国、人民调解、安置帮教、社区矫正等重点工作。</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kern w:val="0"/>
                <w:sz w:val="36"/>
                <w:szCs w:val="36"/>
              </w:rPr>
            </w:pPr>
            <w:r>
              <w:rPr>
                <w:rFonts w:ascii="宋体" w:cs="宋体" w:hint="eastAsia"/>
                <w:b/>
                <w:bCs/>
                <w:kern w:val="0"/>
                <w:sz w:val="36"/>
                <w:szCs w:val="36"/>
              </w:rPr>
              <w:t>项目绩效目标完成情况表</w:t>
            </w:r>
          </w:p>
          <w:p>
            <w:pPr>
              <w:widowControl/>
              <w:jc w:val="center"/>
              <w:textAlignment w:val="center"/>
              <w:rPr>
                <w:rFonts w:ascii="宋体" w:cs="宋体"/>
                <w:sz w:val="36"/>
                <w:szCs w:val="36"/>
              </w:rPr>
            </w:pPr>
            <w:r>
              <w:rPr>
                <w:rFonts w:ascii="宋体" w:cs="宋体" w:hint="eastAsia"/>
                <w:kern w:val="0"/>
                <w:sz w:val="36"/>
                <w:szCs w:val="36"/>
              </w:rPr>
              <w:t>(2022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基层司法业务</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金川县司法局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135万元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119.85万元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135万元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119.85万元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sz w:val="24"/>
              </w:rPr>
            </w:pPr>
            <w:r>
              <w:rPr>
                <w:rFonts w:ascii="宋体" w:cs="宋体" w:hint="eastAsia"/>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sz w:val="24"/>
              </w:rPr>
            </w:pPr>
            <w:r>
              <w:rPr>
                <w:rFonts w:ascii="宋体" w:cs="宋体" w:hint="eastAsia"/>
                <w:sz w:val="24"/>
              </w:rPr>
              <w:t>用于开展全面依法治国、人民调解、安置帮教、社区矫正等重点工作</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ind w:firstLineChars="600" w:firstLine="1440"/>
              <w:textAlignment w:val="center"/>
              <w:rPr>
                <w:rFonts w:ascii="宋体" w:cs="宋体"/>
                <w:sz w:val="24"/>
              </w:rPr>
            </w:pPr>
            <w:r>
              <w:rPr>
                <w:rFonts w:ascii="宋体" w:cs="宋体" w:hint="eastAsia"/>
                <w:sz w:val="24"/>
              </w:rPr>
              <w:t>基本完成</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数量</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p>
          <w:p>
            <w:pPr>
              <w:rPr>
                <w:rFonts w:ascii="宋体" w:cs="宋体"/>
                <w:sz w:val="24"/>
              </w:rPr>
            </w:pPr>
            <w:r>
              <w:rPr>
                <w:rFonts w:ascii="宋体" w:cs="宋体" w:hint="eastAsia"/>
                <w:sz w:val="24"/>
              </w:rPr>
              <w:t>业务装备、执法执勤用车运行、办案业务。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sz w:val="24"/>
              </w:rPr>
              <w:t>业务装备≥30台、执法执勤用车5辆、办理案件200件</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完成时限</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2022年12月31日前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全部万完成</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社会效益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安置帮教、矛盾纠纷</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人员良性回归社会率≥98%、矛盾减少社会和谐率≥95%</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群众满意度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满意</w:t>
            </w:r>
          </w:p>
        </w:tc>
      </w:tr>
    </w:tbl>
    <w:p>
      <w:pPr>
        <w:numPr>
          <w:ilvl w:val="0"/>
          <w:numId w:val="4"/>
        </w:numPr>
        <w:spacing w:line="580" w:lineRule="exact"/>
        <w:ind w:left="0" w:firstLineChars="200" w:firstLine="640"/>
        <w:rPr>
          <w:rFonts w:ascii="仿宋" w:eastAsia="仿宋" w:cs="仿宋_GB2312"/>
          <w:sz w:val="32"/>
          <w:szCs w:val="32"/>
        </w:rPr>
      </w:pP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本部门按要求对2022年部门整体支出绩效评价情况开展自评，</w:t>
      </w:r>
      <w:r>
        <w:rPr>
          <w:rFonts w:ascii="仿宋_GB2312" w:eastAsia="仿宋_GB2312" w:hint="eastAsia"/>
          <w:sz w:val="32"/>
          <w:szCs w:val="32"/>
        </w:rPr>
        <w:t>《金川县司法局2022年度整体支出绩效评价报告》。</w:t>
      </w:r>
    </w:p>
    <w:p>
      <w:pPr>
        <w:spacing w:line="600" w:lineRule="exact"/>
        <w:ind w:firstLineChars="200" w:firstLine="640"/>
        <w:outlineLvl w:val="1"/>
        <w:rPr>
          <w:rStyle w:val="2Char"/>
          <w:rFonts w:ascii="黑体" w:eastAsia="黑体"/>
        </w:rPr>
      </w:pPr>
      <w:bookmarkStart w:id="61" w:name="_Toc15377221"/>
      <w:bookmarkStart w:id="62" w:name="_Toc15396612"/>
      <w:r>
        <w:rPr>
          <w:rFonts w:ascii="黑体" w:eastAsia="黑体" w:hint="eastAsia"/>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61"/>
      <w:bookmarkEnd w:id="62"/>
    </w:p>
    <w:p>
      <w:pPr>
        <w:spacing w:line="600" w:lineRule="exact"/>
        <w:ind w:firstLineChars="200" w:firstLine="640"/>
        <w:outlineLvl w:val="2"/>
        <w:rPr>
          <w:rFonts w:ascii="仿宋" w:eastAsia="仿宋"/>
          <w:color w:val="000000"/>
          <w:sz w:val="32"/>
          <w:szCs w:val="32"/>
        </w:rPr>
      </w:pPr>
      <w:bookmarkStart w:id="63" w:name="_Toc15377222"/>
      <w:r>
        <w:rPr>
          <w:rFonts w:ascii="仿宋" w:eastAsia="仿宋" w:hint="eastAsia"/>
          <w:b/>
          <w:color w:val="000000"/>
          <w:sz w:val="32"/>
          <w:szCs w:val="32"/>
        </w:rPr>
        <w:t>（一）机关运行经费支出情况</w:t>
      </w:r>
      <w:bookmarkEnd w:id="63"/>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w:t>
      </w:r>
      <w:r>
        <w:rPr>
          <w:rFonts w:ascii="仿宋_GB2312" w:eastAsia="仿宋_GB2312" w:hint="eastAsia"/>
          <w:color w:val="000000"/>
          <w:sz w:val="32"/>
          <w:szCs w:val="32"/>
        </w:rPr>
        <w:t>22年，金川县司法局运行经费支出57.21万元，比</w:t>
      </w:r>
      <w:r>
        <w:rPr>
          <w:rFonts w:ascii="仿宋_GB2312" w:eastAsia="仿宋_GB2312"/>
          <w:color w:val="000000"/>
          <w:sz w:val="32"/>
          <w:szCs w:val="32"/>
        </w:rPr>
        <w:t>20</w:t>
      </w:r>
      <w:r>
        <w:rPr>
          <w:rFonts w:ascii="仿宋_GB2312" w:eastAsia="仿宋_GB2312" w:hint="eastAsia"/>
          <w:color w:val="000000"/>
          <w:sz w:val="32"/>
          <w:szCs w:val="32"/>
        </w:rPr>
        <w:t>21年减少1.31万元，减少2.29%。原因是</w:t>
      </w:r>
      <w:r>
        <w:rPr>
          <w:rFonts w:ascii="仿宋_GB2312" w:eastAsia="仿宋_GB2312" w:hint="eastAsia"/>
          <w:spacing w:val="-2"/>
          <w:sz w:val="32"/>
          <w:szCs w:val="32"/>
        </w:rPr>
        <w:t>人员减少。</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64" w:name="_Toc15377223"/>
      <w:r>
        <w:rPr>
          <w:rFonts w:ascii="仿宋" w:eastAsia="仿宋" w:hint="eastAsia"/>
          <w:b/>
          <w:color w:val="000000"/>
          <w:sz w:val="32"/>
          <w:szCs w:val="32"/>
        </w:rPr>
        <w:t>（二）政府采购支出情况</w:t>
      </w:r>
      <w:bookmarkEnd w:id="64"/>
    </w:p>
    <w:p>
      <w:pPr>
        <w:pStyle w:val="100"/>
        <w:keepNext w:val="0"/>
        <w:keepLines w:val="0"/>
        <w:widowControl/>
        <w:suppressLineNumbers w:val="0"/>
        <w:spacing w:beforeAutospacing="0"/>
        <w:ind w:left="0" w:firstLineChars="200" w:firstLine="640"/>
        <w:rPr>
          <w:rFonts w:ascii="仿宋" w:eastAsia="仿宋" w:cs="仿宋" w:hint="eastAsia"/>
          <w:sz w:val="32"/>
          <w:szCs w:val="32"/>
          <w:shd w:val="clear" w:color="auto" w:fill="FFFFFF"/>
        </w:rPr>
      </w:pPr>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bookmarkStart w:id="65" w:name="_GoBack"/>
      <w:bookmarkEnd w:id="65"/>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66" w:name="_Toc15377224"/>
      <w:r>
        <w:rPr>
          <w:rFonts w:ascii="仿宋" w:eastAsia="仿宋" w:hint="eastAsia"/>
          <w:b/>
          <w:color w:val="000000"/>
          <w:sz w:val="32"/>
          <w:szCs w:val="32"/>
        </w:rPr>
        <w:t>（三）国有资产占有使用情况</w:t>
      </w:r>
      <w:bookmarkEnd w:id="66"/>
    </w:p>
    <w:p>
      <w:pPr>
        <w:widowControl/>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日，共有车辆5辆，为日常工作及执法执勤用车。</w:t>
      </w:r>
    </w:p>
    <w:p>
      <w:pPr>
        <w:numPr>
          <w:ilvl w:val="0"/>
          <w:numId w:val="5"/>
        </w:numPr>
        <w:spacing w:line="600" w:lineRule="exact"/>
        <w:ind w:left="0" w:firstLineChars="150" w:firstLine="660"/>
        <w:jc w:val="center"/>
        <w:outlineLvl w:val="0"/>
        <w:rPr>
          <w:rStyle w:val="1Char"/>
          <w:rFonts w:ascii="黑体" w:eastAsia="黑体"/>
          <w:b w:val="0"/>
        </w:rPr>
      </w:pPr>
      <w:bookmarkStart w:id="67" w:name="_Toc15377225"/>
      <w:bookmarkStart w:id="68" w:name="_Toc15396613"/>
      <w:r>
        <w:rPr>
          <w:rFonts w:ascii="黑体" w:eastAsia="黑体" w:hint="eastAsia"/>
          <w:b/>
          <w:color w:val="000000"/>
          <w:sz w:val="44"/>
          <w:szCs w:val="44"/>
        </w:rPr>
        <w:t>名</w:t>
      </w:r>
      <w:r>
        <w:rPr>
          <w:rStyle w:val="1Char"/>
          <w:rFonts w:ascii="黑体" w:eastAsia="黑体" w:hint="eastAsia"/>
          <w:b w:val="0"/>
        </w:rPr>
        <w:t>词解释</w:t>
      </w:r>
      <w:bookmarkEnd w:id="67"/>
      <w:bookmarkEnd w:id="68"/>
    </w:p>
    <w:p>
      <w:pPr>
        <w:pStyle w:val="27"/>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9" w:name="_Toc15377226"/>
      <w:bookmarkStart w:id="70" w:name="_Toc15396614"/>
    </w:p>
    <w:p>
      <w:pPr>
        <w:spacing w:line="600" w:lineRule="exact"/>
        <w:ind w:firstLineChars="600" w:firstLine="2640"/>
        <w:outlineLvl w:val="0"/>
        <w:rPr>
          <w:rFonts w:ascii="黑体" w:eastAsia="黑体"/>
          <w:color w:val="000000"/>
          <w:sz w:val="44"/>
          <w:szCs w:val="44"/>
        </w:rPr>
      </w:pPr>
      <w:r>
        <w:rPr>
          <w:rFonts w:ascii="黑体" w:eastAsia="黑体" w:hint="eastAsia"/>
          <w:color w:val="000000"/>
          <w:sz w:val="44"/>
          <w:szCs w:val="44"/>
        </w:rPr>
        <w:t>第四部分附件</w:t>
      </w:r>
    </w:p>
    <w:p>
      <w:pPr>
        <w:spacing w:line="600" w:lineRule="exact"/>
        <w:outlineLvl w:val="0"/>
        <w:rPr>
          <w:rFonts w:ascii="黑体" w:eastAsia="黑体"/>
          <w:color w:val="000000"/>
          <w:sz w:val="44"/>
          <w:szCs w:val="44"/>
        </w:rPr>
      </w:pPr>
      <w:r>
        <w:rPr>
          <w:rFonts w:ascii="仿宋_GB2312" w:eastAsia="仿宋_GB2312" w:cs="仿宋" w:hint="eastAsia"/>
          <w:color w:val="000000"/>
          <w:kern w:val="0"/>
          <w:sz w:val="32"/>
          <w:szCs w:val="32"/>
        </w:rPr>
        <w:t xml:space="preserve">附件1 </w:t>
      </w:r>
      <w:r>
        <w:rPr>
          <w:rFonts w:ascii="黑体" w:eastAsia="黑体" w:hint="eastAsia"/>
          <w:color w:val="000000"/>
          <w:sz w:val="44"/>
          <w:szCs w:val="44"/>
        </w:rPr>
        <w:t>2022年金川县司法局</w:t>
      </w:r>
    </w:p>
    <w:p>
      <w:pPr>
        <w:spacing w:line="600" w:lineRule="exact"/>
        <w:ind w:firstLineChars="400" w:firstLine="1760"/>
        <w:outlineLvl w:val="0"/>
        <w:rPr>
          <w:rFonts w:ascii="黑体" w:eastAsia="黑体"/>
          <w:color w:val="000000"/>
          <w:sz w:val="44"/>
          <w:szCs w:val="44"/>
        </w:rPr>
      </w:pPr>
      <w:r>
        <w:rPr>
          <w:rFonts w:ascii="黑体" w:eastAsia="黑体" w:hint="eastAsia"/>
          <w:color w:val="000000"/>
          <w:sz w:val="44"/>
          <w:szCs w:val="44"/>
        </w:rPr>
        <w:t xml:space="preserve">整体支出绩效评价报告 </w:t>
      </w:r>
    </w:p>
    <w:p>
      <w:pPr>
        <w:spacing w:line="600" w:lineRule="exact"/>
        <w:ind w:firstLineChars="400" w:firstLine="1760"/>
        <w:outlineLvl w:val="0"/>
        <w:rPr>
          <w:rFonts w:ascii="黑体" w:eastAsia="黑体"/>
          <w:color w:val="000000"/>
          <w:sz w:val="44"/>
          <w:szCs w:val="44"/>
        </w:rPr>
      </w:pP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一、</w:t>
      </w:r>
      <w:r>
        <w:rPr>
          <w:rFonts w:ascii="仿宋_GB2312" w:eastAsia="仿宋_GB2312" w:cs="仿宋" w:hint="eastAsia"/>
          <w:color w:val="000000"/>
          <w:kern w:val="0"/>
          <w:sz w:val="32"/>
          <w:szCs w:val="32"/>
          <w:lang w:val="zh-CN"/>
        </w:rPr>
        <w:t>部门（单位）概况</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（一）机构组成。</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金川县司法局为县政府工作部门，行政单位，内设股室10个 ，办公室、社区矫正股、法律援助中心、公证处、行政合法性审查和复议应诉股、政工室、依法治县综合办、基层工作股、普法依法治理股、装备财务保障室。</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（二）机构职能。</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1.承担全面依法治县重大问题的政策研究，协调有关方面提出全面依法治县规划建议，负责有关行政决策部署督察工作。            </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2.负责县政府规范性文件、重大行政决策发布前的合法性审查。承办县政府规范性文件的登记报送备案工作。负责各乡（镇）政府和县政府各部门规范性文件报送县政府的备案审查工作。组织开展规范性文件清理。</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3.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4.承担统筹规划法治社会建设的责任。负责拟订法治宣传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5.指导管理社区矫正工作。指导刑满释放人员安置帮教安置工作能力。</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6.负责拟订全县公共法律服务体系建设规划并指导实施，统筹和布局全县法律服务资源。指导监督律师、法律援助、司法鉴定、公正、仲裁和基层法律服务管理工作。</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7.负责本系统服装和警车管理工作。指导监督本系统财务、装备、设施、场所等保障工作。</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8、、协调、指导法治人才队伍建设相关工作，指导监督本系统队伍建设。负责本系统警务管理和警务督察工作。</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9.负责并指导本系统行政审批工作。负责全县外来企业投诉处理和民营企业法律服务工作。</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10.承担司法所建设和管理工作。负责县司法派出机构司法所基础设施建设及队伍建设，管理指导司法所开展各项职能工作。</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11.完成县委、县政府交办的其他任务。</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（三）人员概况。</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  我局属独立编制机构和独立核算的行政单位。2022年末人员编制为53名，其中行政编制15名，行政工勤编制2名，事业编制8名司法所行政编制28。2022年年末实际人数48人，其中行政40人，行政工勤3人，事业5人。</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二、部门财政资金收支情况</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（一）部门财政资金收入情况。</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2022年度财政资金收入1167.07万元.其中基本支出拨款1034.74万元，项目支出拨款132.32万元.上年结转结余 0万元 。</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（二）部门财政资金支出情况。</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2022年度财政资金支出1167.07万元，其中其中基本支出1034.74万元，项目支出132.32万元 。</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三、部门整体预算绩效管理情况 </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（一）部门预算管理。</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严格按照县财政局部门预算编制通知要求，按时完成局机关年初预算编制工作。在编制过程中，认真核实单位实际财政供养人数和单位实有编制情况，正确编制人员经费和公用经费等，做到尽量细化项目资金支出预算范围和科目，及时上报相关股室进行审核，确保预算编制的准确性。</w:t>
      </w:r>
      <w:r>
        <w:rPr>
          <w:rFonts w:ascii="仿宋_GB2312" w:eastAsia="仿宋_GB2312" w:cs="仿宋" w:hint="eastAsia"/>
          <w:color w:val="000000"/>
          <w:kern w:val="0"/>
          <w:sz w:val="32"/>
          <w:szCs w:val="32"/>
        </w:rPr>
        <w:t>对绩效目标进行年度分析，及时上报相关报表。</w:t>
      </w:r>
      <w:r>
        <w:rPr>
          <w:rFonts w:ascii="仿宋_GB2312" w:eastAsia="仿宋_GB2312" w:cs="仿宋" w:hint="eastAsia"/>
          <w:color w:val="000000"/>
          <w:kern w:val="0"/>
          <w:sz w:val="32"/>
          <w:szCs w:val="32"/>
          <w:lang w:val="zh-CN"/>
        </w:rPr>
        <w:t>从预算执行情况看，预算资金覆盖司法局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r>
        <w:rPr>
          <w:rFonts w:ascii="仿宋_GB2312" w:eastAsia="仿宋_GB2312" w:cs="仿宋" w:hint="eastAsia"/>
          <w:color w:val="000000"/>
          <w:kern w:val="0"/>
          <w:sz w:val="32"/>
          <w:szCs w:val="32"/>
        </w:rPr>
        <w:t>资金使用管理逐步加强。全年预算完成率达100%。单位支出严格按照国家财经法规和财务管理制度规定执行，正确组织资金的分配、调度和使用，费用开支有标准、有预算，所有支出均通过我单位政府财政管理系统直接支付和授权方支付方式办理，资金使用无截留、挤占、挪用、虚列支出等情况。</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（二）结果应用情况。</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按要求将相关绩效信息随同决算公开 ；针对绩效管理过程中提出的问题及时进行整改，将绩效管理结果与预算安排进行；在规定时间内向财政部门反馈应用绩效结果报告。</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四、评价结论及建议</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（一）评价结论。</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评价结论为</w:t>
      </w:r>
      <w:r>
        <w:rPr>
          <w:rFonts w:ascii="仿宋_GB2312" w:eastAsia="仿宋_GB2312" w:cs="仿宋" w:hint="eastAsia"/>
          <w:color w:val="000000"/>
          <w:kern w:val="0"/>
          <w:sz w:val="32"/>
          <w:szCs w:val="32"/>
        </w:rPr>
        <w:t>83分，部门预算执行情况良好，无不良记录及违规违纪行为，预算支出和决算支出情况基本相符，</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（二）存在问题。</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预算绩效管理认识不到位，理解不充分，对预算绩效管理工作重点把握不到位。</w:t>
      </w:r>
    </w:p>
    <w:p>
      <w:pPr>
        <w:spacing w:line="600" w:lineRule="exact"/>
        <w:ind w:firstLineChars="400" w:firstLine="1280"/>
        <w:outlineLvl w:val="0"/>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（三）改进建议。</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1、加强预算绩效管理意识，提高财政资金的使用效益。在预算编制过程中，树立绩效目标意识，总结上一年度预算执行情况。科学、合理地编制当年预算 。</w:t>
      </w:r>
    </w:p>
    <w:p>
      <w:pPr>
        <w:spacing w:line="600" w:lineRule="exact"/>
        <w:ind w:firstLineChars="400" w:firstLine="1280"/>
        <w:outlineLvl w:val="0"/>
        <w:rPr>
          <w:rFonts w:ascii="仿宋_GB2312" w:eastAsia="仿宋_GB2312" w:cs="仿宋"/>
          <w:color w:val="000000"/>
          <w:kern w:val="0"/>
          <w:sz w:val="32"/>
          <w:szCs w:val="32"/>
        </w:rPr>
      </w:pPr>
      <w:r>
        <w:rPr>
          <w:rFonts w:ascii="仿宋_GB2312" w:eastAsia="仿宋_GB2312" w:cs="仿宋" w:hint="eastAsia"/>
          <w:color w:val="000000"/>
          <w:kern w:val="0"/>
          <w:sz w:val="32"/>
          <w:szCs w:val="32"/>
        </w:rPr>
        <w:t>2、细化预算支出标准，提高部门预算编制质量。按照新《</w:t>
      </w:r>
      <w:r>
        <w:rPr>
          <w:rFonts w:ascii="仿宋_GB2312" w:eastAsia="仿宋_GB2312" w:cs="仿宋"/>
          <w:color w:val="000000"/>
          <w:kern w:val="0"/>
          <w:sz w:val="32"/>
          <w:szCs w:val="32"/>
        </w:rPr>
        <w:t>中华人民共和国</w:t>
      </w:r>
      <w:r>
        <w:rPr>
          <w:rFonts w:ascii="仿宋_GB2312" w:eastAsia="仿宋_GB2312" w:cs="仿宋" w:hint="eastAsia"/>
          <w:color w:val="000000"/>
          <w:kern w:val="0"/>
          <w:sz w:val="32"/>
          <w:szCs w:val="32"/>
        </w:rPr>
        <w:t>预算法》及其实施条例的相关规定，按照政策规定及本部门的发展规划,结合上一年度预算执行情况和本年度预算收支变化因素，科学、合理地编制本年预算草案。执行中确需调剂预算的按规定程序报经批准。</w:t>
      </w:r>
    </w:p>
    <w:p>
      <w:pPr>
        <w:spacing w:line="600" w:lineRule="exact"/>
        <w:ind w:firstLineChars="400" w:firstLine="1760"/>
        <w:outlineLvl w:val="0"/>
        <w:rPr>
          <w:rFonts w:ascii="黑体" w:eastAsia="黑体"/>
          <w:color w:val="000000"/>
          <w:sz w:val="44"/>
          <w:szCs w:val="44"/>
        </w:rPr>
      </w:pPr>
      <w:r>
        <w:rPr>
          <w:rFonts w:ascii="黑体" w:eastAsia="黑体" w:hint="eastAsia"/>
          <w:color w:val="000000"/>
          <w:sz w:val="44"/>
          <w:szCs w:val="44"/>
        </w:rPr>
        <w:t>五、附表</w:t>
      </w:r>
    </w:p>
    <w:p>
      <w:pPr>
        <w:pStyle w:val="21"/>
        <w:tabs>
          <w:tab w:val="right" w:leader="dot" w:pos="8296"/>
        </w:tabs>
        <w:rPr>
          <w:rFonts w:ascii="仿宋" w:eastAsia="仿宋" w:cs="Arial"/>
          <w:b/>
          <w:bCs/>
          <w:sz w:val="28"/>
          <w:szCs w:val="28"/>
        </w:rPr>
      </w:pPr>
      <w:bookmarkEnd w:id="69"/>
      <w:bookmarkEnd w:id="70"/>
      <w:r>
        <w:rPr>
          <w:rFonts w:ascii="仿宋" w:eastAsia="仿宋" w:cs="Arial" w:hint="eastAsia"/>
          <w:bCs/>
          <w:sz w:val="28"/>
          <w:szCs w:val="28"/>
        </w:rPr>
        <w:t>一、收</w:t>
      </w:r>
      <w:r>
        <w:rPr>
          <w:rFonts w:ascii="仿宋" w:eastAsia="仿宋" w:cs="Arial" w:hint="eastAsia"/>
          <w:sz w:val="28"/>
          <w:szCs w:val="28"/>
        </w:rPr>
        <w:t>入支出决算总表</w:t>
      </w:r>
    </w:p>
    <w:p>
      <w:pPr>
        <w:pStyle w:val="21"/>
        <w:tabs>
          <w:tab w:val="right" w:leader="dot" w:pos="8296"/>
        </w:tabs>
        <w:rPr>
          <w:rFonts w:ascii="仿宋" w:eastAsia="仿宋" w:cs="Arial"/>
          <w:b/>
          <w:bCs/>
          <w:sz w:val="28"/>
          <w:szCs w:val="28"/>
        </w:rPr>
      </w:pPr>
      <w:r>
        <w:rPr>
          <w:rFonts w:ascii="仿宋" w:eastAsia="仿宋" w:cs="Arial" w:hint="eastAsia"/>
          <w:bCs/>
          <w:sz w:val="28"/>
          <w:szCs w:val="28"/>
        </w:rPr>
        <w:t>二、收</w:t>
      </w:r>
      <w:r>
        <w:rPr>
          <w:rFonts w:ascii="仿宋" w:eastAsia="仿宋" w:cs="Arial" w:hint="eastAsia"/>
          <w:sz w:val="28"/>
          <w:szCs w:val="28"/>
        </w:rPr>
        <w:t>入总表</w:t>
      </w:r>
    </w:p>
    <w:p>
      <w:pPr>
        <w:pStyle w:val="21"/>
        <w:tabs>
          <w:tab w:val="right" w:leader="dot" w:pos="8296"/>
        </w:tabs>
        <w:rPr>
          <w:rFonts w:ascii="仿宋" w:eastAsia="仿宋" w:cs="Arial"/>
          <w:b/>
          <w:bCs/>
          <w:sz w:val="28"/>
          <w:szCs w:val="28"/>
        </w:rPr>
      </w:pPr>
      <w:r>
        <w:rPr>
          <w:rFonts w:ascii="仿宋" w:eastAsia="仿宋" w:cs="Arial" w:hint="eastAsia"/>
          <w:sz w:val="28"/>
          <w:szCs w:val="28"/>
        </w:rPr>
        <w:t>三、</w:t>
      </w:r>
      <w:r>
        <w:rPr>
          <w:rFonts w:ascii="仿宋" w:eastAsia="仿宋" w:cs="Arial" w:hint="eastAsia"/>
          <w:bCs/>
          <w:sz w:val="28"/>
          <w:szCs w:val="28"/>
        </w:rPr>
        <w:t>支</w:t>
      </w:r>
      <w:r>
        <w:rPr>
          <w:rFonts w:ascii="仿宋" w:eastAsia="仿宋" w:cs="Arial" w:hint="eastAsia"/>
          <w:sz w:val="28"/>
          <w:szCs w:val="28"/>
        </w:rPr>
        <w:t>出总表</w:t>
      </w:r>
    </w:p>
    <w:p>
      <w:pPr>
        <w:pStyle w:val="21"/>
        <w:tabs>
          <w:tab w:val="right" w:leader="dot" w:pos="8296"/>
        </w:tabs>
        <w:rPr>
          <w:rFonts w:ascii="仿宋" w:eastAsia="仿宋" w:cs="Arial"/>
          <w:bCs/>
          <w:sz w:val="28"/>
          <w:szCs w:val="28"/>
        </w:rPr>
      </w:pPr>
      <w:r>
        <w:rPr>
          <w:rFonts w:ascii="仿宋" w:eastAsia="仿宋" w:cs="Arial" w:hint="eastAsia"/>
          <w:sz w:val="28"/>
          <w:szCs w:val="28"/>
        </w:rPr>
        <w:t>四、</w:t>
      </w:r>
      <w:r>
        <w:rPr>
          <w:rFonts w:ascii="仿宋" w:eastAsia="仿宋" w:cs="Arial" w:hint="eastAsia"/>
          <w:bCs/>
          <w:sz w:val="28"/>
          <w:szCs w:val="28"/>
        </w:rPr>
        <w:t>财</w:t>
      </w:r>
      <w:r>
        <w:rPr>
          <w:rFonts w:ascii="仿宋" w:eastAsia="仿宋" w:cs="Arial" w:hint="eastAsia"/>
          <w:sz w:val="28"/>
          <w:szCs w:val="28"/>
        </w:rPr>
        <w:t>政拨款收入支出决算总表</w:t>
      </w:r>
    </w:p>
    <w:p>
      <w:pPr>
        <w:pStyle w:val="21"/>
        <w:tabs>
          <w:tab w:val="right" w:leader="dot" w:pos="8296"/>
        </w:tabs>
        <w:rPr>
          <w:rFonts w:ascii="仿宋" w:eastAsia="仿宋" w:cs="Arial"/>
          <w:b/>
          <w:bCs/>
          <w:sz w:val="28"/>
          <w:szCs w:val="28"/>
        </w:rPr>
      </w:pPr>
      <w:r>
        <w:rPr>
          <w:rFonts w:ascii="仿宋" w:eastAsia="仿宋" w:cs="Arial" w:hint="eastAsia"/>
          <w:sz w:val="28"/>
          <w:szCs w:val="28"/>
        </w:rPr>
        <w:t>五、</w:t>
      </w:r>
      <w:r>
        <w:rPr>
          <w:rFonts w:ascii="仿宋" w:eastAsia="仿宋" w:cs="Arial" w:hint="eastAsia"/>
          <w:bCs/>
          <w:sz w:val="28"/>
          <w:szCs w:val="28"/>
        </w:rPr>
        <w:t>财</w:t>
      </w:r>
      <w:r>
        <w:rPr>
          <w:rFonts w:ascii="仿宋" w:eastAsia="仿宋" w:cs="Arial" w:hint="eastAsia"/>
          <w:sz w:val="28"/>
          <w:szCs w:val="28"/>
        </w:rPr>
        <w:t>政拨款支出决算明细表（政府经济分类科目）</w:t>
      </w:r>
    </w:p>
    <w:p>
      <w:pPr>
        <w:pStyle w:val="21"/>
        <w:tabs>
          <w:tab w:val="right" w:leader="dot" w:pos="8296"/>
        </w:tabs>
        <w:rPr>
          <w:rFonts w:ascii="仿宋" w:eastAsia="仿宋" w:cs="Arial"/>
          <w:b/>
          <w:bCs/>
          <w:sz w:val="28"/>
          <w:szCs w:val="28"/>
        </w:rPr>
      </w:pPr>
      <w:r>
        <w:rPr>
          <w:rFonts w:ascii="仿宋" w:eastAsia="仿宋" w:cs="Arial" w:hint="eastAsia"/>
          <w:sz w:val="28"/>
          <w:szCs w:val="28"/>
        </w:rPr>
        <w:t>六、</w:t>
      </w:r>
      <w:r>
        <w:rPr>
          <w:rFonts w:ascii="仿宋" w:eastAsia="仿宋" w:cs="Arial" w:hint="eastAsia"/>
          <w:bCs/>
          <w:sz w:val="28"/>
          <w:szCs w:val="28"/>
        </w:rPr>
        <w:t>一</w:t>
      </w:r>
      <w:r>
        <w:rPr>
          <w:rFonts w:ascii="仿宋" w:eastAsia="仿宋" w:cs="Arial" w:hint="eastAsia"/>
          <w:sz w:val="28"/>
          <w:szCs w:val="28"/>
        </w:rPr>
        <w:t>般公共预算财政拨款支出决算表</w:t>
      </w:r>
    </w:p>
    <w:p>
      <w:pPr>
        <w:pStyle w:val="21"/>
        <w:tabs>
          <w:tab w:val="right" w:leader="dot" w:pos="8296"/>
        </w:tabs>
        <w:rPr>
          <w:rFonts w:ascii="仿宋" w:eastAsia="仿宋" w:cs="Arial"/>
          <w:b/>
          <w:bCs/>
          <w:sz w:val="28"/>
          <w:szCs w:val="28"/>
        </w:rPr>
      </w:pPr>
      <w:r>
        <w:rPr>
          <w:rFonts w:ascii="仿宋" w:eastAsia="仿宋" w:cs="Arial" w:hint="eastAsia"/>
          <w:sz w:val="28"/>
          <w:szCs w:val="28"/>
        </w:rPr>
        <w:t>七、</w:t>
      </w:r>
      <w:r>
        <w:rPr>
          <w:rFonts w:ascii="仿宋" w:eastAsia="仿宋" w:cs="Arial" w:hint="eastAsia"/>
          <w:bCs/>
          <w:sz w:val="28"/>
          <w:szCs w:val="28"/>
        </w:rPr>
        <w:t>一</w:t>
      </w:r>
      <w:r>
        <w:rPr>
          <w:rFonts w:ascii="仿宋" w:eastAsia="仿宋" w:cs="Arial" w:hint="eastAsia"/>
          <w:sz w:val="28"/>
          <w:szCs w:val="28"/>
        </w:rPr>
        <w:t>般公共预算财政拨款支出决算明细表</w:t>
      </w:r>
    </w:p>
    <w:p>
      <w:pPr>
        <w:pStyle w:val="21"/>
        <w:tabs>
          <w:tab w:val="right" w:leader="dot" w:pos="8296"/>
        </w:tabs>
        <w:rPr>
          <w:rFonts w:ascii="仿宋" w:eastAsia="仿宋" w:cs="Arial"/>
          <w:b/>
          <w:bCs/>
          <w:sz w:val="28"/>
          <w:szCs w:val="28"/>
        </w:rPr>
      </w:pPr>
      <w:r>
        <w:rPr>
          <w:rFonts w:ascii="仿宋" w:eastAsia="仿宋" w:cs="Arial" w:hint="eastAsia"/>
          <w:sz w:val="28"/>
          <w:szCs w:val="28"/>
        </w:rPr>
        <w:t>八、</w:t>
      </w:r>
      <w:r>
        <w:rPr>
          <w:rFonts w:ascii="仿宋" w:eastAsia="仿宋" w:cs="Arial" w:hint="eastAsia"/>
          <w:bCs/>
          <w:sz w:val="28"/>
          <w:szCs w:val="28"/>
        </w:rPr>
        <w:t>一</w:t>
      </w:r>
      <w:r>
        <w:rPr>
          <w:rFonts w:ascii="仿宋" w:eastAsia="仿宋" w:cs="Arial" w:hint="eastAsia"/>
          <w:sz w:val="28"/>
          <w:szCs w:val="28"/>
        </w:rPr>
        <w:t>般公共预算财政拨款基本支出决算表</w:t>
      </w:r>
    </w:p>
    <w:p>
      <w:pPr>
        <w:pStyle w:val="21"/>
        <w:tabs>
          <w:tab w:val="right" w:leader="dot" w:pos="8296"/>
        </w:tabs>
        <w:rPr>
          <w:rFonts w:ascii="仿宋" w:eastAsia="仿宋" w:cs="Arial"/>
          <w:b/>
          <w:bCs/>
          <w:sz w:val="28"/>
          <w:szCs w:val="28"/>
        </w:rPr>
      </w:pPr>
      <w:r>
        <w:rPr>
          <w:rFonts w:ascii="仿宋" w:eastAsia="仿宋" w:cs="Arial" w:hint="eastAsia"/>
          <w:sz w:val="28"/>
          <w:szCs w:val="28"/>
        </w:rPr>
        <w:t>九、</w:t>
      </w:r>
      <w:r>
        <w:rPr>
          <w:rFonts w:ascii="仿宋" w:eastAsia="仿宋" w:cs="Arial" w:hint="eastAsia"/>
          <w:bCs/>
          <w:sz w:val="28"/>
          <w:szCs w:val="28"/>
        </w:rPr>
        <w:t>一</w:t>
      </w:r>
      <w:r>
        <w:rPr>
          <w:rFonts w:ascii="仿宋" w:eastAsia="仿宋" w:cs="Arial" w:hint="eastAsia"/>
          <w:sz w:val="28"/>
          <w:szCs w:val="28"/>
        </w:rPr>
        <w:t>般公共预算财政拨款项目支出决算表</w:t>
      </w:r>
    </w:p>
    <w:p>
      <w:pPr>
        <w:pStyle w:val="21"/>
        <w:tabs>
          <w:tab w:val="right" w:leader="dot" w:pos="8296"/>
        </w:tabs>
        <w:rPr>
          <w:rFonts w:ascii="仿宋" w:eastAsia="仿宋" w:cs="Arial"/>
          <w:b/>
          <w:bCs/>
          <w:sz w:val="28"/>
          <w:szCs w:val="28"/>
        </w:rPr>
      </w:pPr>
      <w:r>
        <w:rPr>
          <w:rFonts w:ascii="仿宋" w:eastAsia="仿宋" w:cs="Arial" w:hint="eastAsia"/>
          <w:sz w:val="28"/>
          <w:szCs w:val="28"/>
        </w:rPr>
        <w:t>十、</w:t>
      </w:r>
      <w:r>
        <w:rPr>
          <w:rFonts w:ascii="仿宋" w:eastAsia="仿宋" w:cs="Arial" w:hint="eastAsia"/>
          <w:bCs/>
          <w:sz w:val="28"/>
          <w:szCs w:val="28"/>
        </w:rPr>
        <w:t>政</w:t>
      </w:r>
      <w:r>
        <w:rPr>
          <w:rFonts w:ascii="仿宋" w:eastAsia="仿宋" w:cs="Arial" w:hint="eastAsia"/>
          <w:sz w:val="28"/>
          <w:szCs w:val="28"/>
        </w:rPr>
        <w:t>府性基金预算财政拨款收入支出决算表</w:t>
      </w:r>
    </w:p>
    <w:p>
      <w:pPr>
        <w:pStyle w:val="21"/>
        <w:tabs>
          <w:tab w:val="right" w:leader="dot" w:pos="8296"/>
        </w:tabs>
        <w:rPr>
          <w:rFonts w:ascii="仿宋" w:eastAsia="仿宋" w:cs="Arial"/>
          <w:sz w:val="28"/>
          <w:szCs w:val="28"/>
        </w:rPr>
      </w:pPr>
      <w:r>
        <w:rPr>
          <w:rFonts w:ascii="仿宋" w:eastAsia="仿宋" w:cs="Arial" w:hint="eastAsia"/>
          <w:sz w:val="28"/>
          <w:szCs w:val="28"/>
        </w:rPr>
        <w:t>十一、</w:t>
      </w:r>
      <w:r>
        <w:rPr>
          <w:rFonts w:ascii="仿宋" w:eastAsia="仿宋" w:cs="Arial" w:hint="eastAsia"/>
          <w:bCs/>
          <w:sz w:val="28"/>
          <w:szCs w:val="28"/>
        </w:rPr>
        <w:t>国</w:t>
      </w:r>
      <w:r>
        <w:rPr>
          <w:rFonts w:ascii="仿宋" w:eastAsia="仿宋" w:cs="Arial" w:hint="eastAsia"/>
          <w:sz w:val="28"/>
          <w:szCs w:val="28"/>
        </w:rPr>
        <w:t>有资本经营预算财政拨款收入支出决算表</w:t>
      </w:r>
    </w:p>
    <w:p>
      <w:pPr>
        <w:pStyle w:val="21"/>
        <w:tabs>
          <w:tab w:val="right" w:leader="dot" w:pos="8296"/>
        </w:tabs>
        <w:rPr>
          <w:rFonts w:ascii="仿宋" w:eastAsia="仿宋" w:cs="Arial"/>
          <w:sz w:val="28"/>
          <w:szCs w:val="28"/>
        </w:rPr>
      </w:pPr>
      <w:r>
        <w:rPr>
          <w:rFonts w:ascii="仿宋" w:eastAsia="仿宋" w:cs="Arial" w:hint="eastAsia"/>
          <w:sz w:val="28"/>
          <w:szCs w:val="28"/>
        </w:rPr>
        <w:t>十二、</w:t>
      </w:r>
      <w:r>
        <w:rPr>
          <w:rFonts w:ascii="仿宋" w:eastAsia="仿宋" w:cs="Arial" w:hint="eastAsia"/>
          <w:bCs/>
          <w:sz w:val="28"/>
          <w:szCs w:val="28"/>
        </w:rPr>
        <w:t>一</w:t>
      </w:r>
      <w:r>
        <w:rPr>
          <w:rFonts w:ascii="仿宋" w:eastAsia="仿宋" w:cs="Arial" w:hint="eastAsia"/>
          <w:sz w:val="28"/>
          <w:szCs w:val="28"/>
        </w:rPr>
        <w:t>般公共预算财政拨款“三公”经费支出决算表</w:t>
      </w:r>
    </w:p>
    <w:p>
      <w:pPr>
        <w:pStyle w:val="21"/>
        <w:tabs>
          <w:tab w:val="right" w:leader="dot" w:pos="8296"/>
        </w:tabs>
        <w:rPr>
          <w:rFonts w:ascii="仿宋" w:eastAsia="仿宋" w:cs="Arial"/>
          <w:b/>
          <w:bCs/>
          <w:sz w:val="28"/>
          <w:szCs w:val="28"/>
        </w:rPr>
      </w:pPr>
      <w:r>
        <w:rPr>
          <w:rFonts w:ascii="仿宋" w:eastAsia="仿宋" w:cs="Arial" w:hint="eastAsia"/>
          <w:sz w:val="28"/>
          <w:szCs w:val="28"/>
        </w:rPr>
        <w:t>十三、</w:t>
      </w:r>
      <w:r>
        <w:rPr>
          <w:rFonts w:ascii="仿宋" w:eastAsia="仿宋" w:cs="Arial" w:hint="eastAsia"/>
          <w:bCs/>
          <w:sz w:val="28"/>
          <w:szCs w:val="28"/>
        </w:rPr>
        <w:t>国</w:t>
      </w:r>
      <w:r>
        <w:rPr>
          <w:rFonts w:ascii="仿宋" w:eastAsia="仿宋" w:cs="Arial" w:hint="eastAsia"/>
          <w:sz w:val="28"/>
          <w:szCs w:val="28"/>
        </w:rPr>
        <w:t>有资本经营预算财政拨款支出决算表</w:t>
      </w:r>
    </w:p>
    <w:p>
      <w:pPr>
        <w:pStyle w:val="2"/>
        <w:rPr>
          <w:rFonts w:ascii="仿宋" w:eastAsia="仿宋"/>
          <w:color w:val="00000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86"/>
    <w:family w:val="auto"/>
    <w:pitch w:val="variable"/>
    <w:sig w:usb0="00000000" w:usb1="00000000" w:usb2="00000010" w:usb3="00000000" w:csb0="00040000" w:csb1="00000000"/>
  </w:font>
  <w:font w:name="黑体">
    <w:altName w:val="AR PL UKai CN"/>
    <w:panose1 w:val="02010609060101010101"/>
    <w:charset w:val="86"/>
    <w:family w:val="modern"/>
    <w:pitch w:val="variable"/>
    <w:sig w:usb0="800002BF" w:usb1="38CF7CFA" w:usb2="00000016" w:usb3="00000000" w:csb0="00040001" w:csb1="00000000"/>
  </w:font>
  <w:font w:name="Arial">
    <w:altName w:val="DejaVu Sans"/>
    <w:panose1 w:val="020B0604020202020204"/>
    <w:charset w:val="00"/>
    <w:family w:val="swiss"/>
    <w:pitch w:val="variable"/>
    <w:sig w:usb0="E0002EFF" w:usb1="C000785B" w:usb2="00000009" w:usb3="00000000" w:csb0="000001FF" w:csb1="00000000"/>
  </w:font>
  <w:font w:name="仿宋">
    <w:altName w:val="仿宋_GB2312"/>
    <w:panose1 w:val="02010609060101010101"/>
    <w:charset w:val="86"/>
    <w:family w:val="modern"/>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modern"/>
    <w:pitch w:val="variable"/>
    <w:sig w:usb0="00000000" w:usb1="00000000" w:usb2="00000010" w:usb3="00000000" w:csb0="00040000" w:csb1="00000000"/>
  </w:font>
  <w:font w:name="楷体_GB2312">
    <w:altName w:val="楷体"/>
    <w:panose1 w:val="00000000000000000000"/>
    <w:charset w:val="86"/>
    <w:family w:val="modern"/>
    <w:pitch w:val="variable"/>
    <w:sig w:usb0="00000000" w:usb1="00000000" w:usb2="00000010" w:usb3="00000000" w:csb0="00040000" w:csb1="00000000"/>
  </w:font>
  <w:font w:name="宋体">
    <w:altName w:val="AR PL UKai CN"/>
    <w:panose1 w:val="02010600030101010101"/>
    <w:charset w:val="86"/>
    <w:family w:val="auto"/>
    <w:pitch w:val="variable"/>
    <w:sig w:usb0="00000003" w:usb1="288F0000" w:usb2="00000016" w:usb3="00000000" w:csb0="00040001" w:csb1="00000000"/>
  </w:font>
  <w:font w:name="Times New Roman">
    <w:altName w:val="DejaVu Sans"/>
    <w:panose1 w:val="02020603050405020304"/>
    <w:charset w:val="00"/>
    <w:family w:val="roman"/>
    <w:pitch w:val="variable"/>
    <w:sig w:usb0="E0002EFF" w:usb1="C000785B" w:usb2="00000009" w:usb3="00000000" w:csb0="000001FF" w:csb1="00000000"/>
  </w:font>
  <w:font w:name="Cambria">
    <w:altName w:val="DejaVu Sans"/>
    <w:panose1 w:val="02040503050406030204"/>
    <w:charset w:val="00"/>
    <w:family w:val="roman"/>
    <w:pitch w:val="variable"/>
    <w:sig w:usb0="E00006FF" w:usb1="420024FF" w:usb2="02000000" w:usb3="00000000" w:csb0="0000019F" w:csb1="00000000"/>
  </w:font>
  <w:font w:name="Calibri">
    <w:altName w:val="DejaVu Sans"/>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895152099"/>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18</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2">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3">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GI2ZGM5ZWU4MzVmNzMyNWVhM2I3MzQxZmZjZWFhZT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character" w:styleId="23">
    <w:name w:val="Hyperlink"/>
    <w:basedOn w:val="10"/>
    <w:rPr>
      <w:color w:val="0000FF"/>
      <w:u w:val="single"/>
    </w:rPr>
  </w:style>
  <w:style w:type="character" w:customStyle="1" w:styleId="24">
    <w:name w:val="Header Char"/>
    <w:basedOn w:val="10"/>
    <w:rPr>
      <w:rFonts w:ascii="Times New Roman" w:hAnsi="Times New Roman"/>
      <w:sz w:val="18"/>
      <w:szCs w:val="18"/>
    </w:rPr>
  </w:style>
  <w:style w:type="character" w:customStyle="1" w:styleId="25">
    <w:name w:val="Footer Char"/>
    <w:basedOn w:val="10"/>
    <w:rPr>
      <w:rFonts w:ascii="Times New Roman" w:hAnsi="Times New Roman"/>
      <w:sz w:val="18"/>
      <w:szCs w:val="18"/>
    </w:rPr>
  </w:style>
  <w:style w:type="character" w:customStyle="1" w:styleId="26">
    <w:name w:val="Body Text Char"/>
    <w:basedOn w:val="10"/>
    <w:rPr>
      <w:rFonts w:ascii="Times New Roman" w:hAnsi="Times New Roman"/>
      <w:szCs w:val="24"/>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8">
    <w:name w:val="List Paragraph"/>
    <w:basedOn w:val="0"/>
    <w:pPr>
      <w:ind w:firstLineChars="200" w:firstLine="200"/>
    </w:pPr>
  </w:style>
  <w:style w:type="paragraph" w:customStyle="1" w:styleId="29">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character" w:customStyle="1" w:styleId="30">
    <w:name w:val="NormalCharacter"/>
    <w:rPr>
      <w:rFonts w:ascii="Calibri" w:eastAsia="宋体" w:cs="Times New Roman" w:hAnsi="Calibri"/>
      <w:kern w:val="2"/>
      <w:sz w:val="21"/>
      <w:szCs w:val="24"/>
      <w:lang w:val="en-US" w:eastAsia="zh-CN" w:bidi="ar-SA"/>
    </w:rPr>
  </w:style>
  <w:style w:type="paragraph" w:styleId="100">
    <w:name w:val="Normal (Web)"/>
    <w:next w:val="21"/>
    <w:pPr>
      <w:widowControl w:val="0"/>
      <w:spacing w:before="0" w:beforeAutospacing="1" w:after="0" w:afterAutospacing="1"/>
      <w:ind w:left="0" w:right="0"/>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8995"/>
          <c:y val="0.2254422"/>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showLegendKey val="0"/>
            <c:showVal val="0"/>
            <c:showCatName val="0"/>
            <c:showSerName val="0"/>
            <c:showPercent val="0"/>
            <c:showBubbleSize val="0"/>
            <c:showLeaderLines val="0"/>
          </c:dLbls>
          <c:cat>
            <c:numRef>
              <c:f>'Sheet1'!$A$2:$A$3</c:f>
              <c:numCache>
                <c:ptCount val="2"/>
              </c:numCache>
            </c:numRef>
          </c:cat>
          <c:val>
            <c:numRef>
              <c:f>'Sheet1'!$B$2:$B$3</c:f>
              <c:numCache>
                <c:formatCode>General</c:formatCode>
                <c:ptCount val="2"/>
                <c:pt idx="0">
                  <c:v>1120.22</c:v>
                </c:pt>
                <c:pt idx="1">
                  <c:v>1167.07</c:v>
                </c:pt>
              </c:numCache>
            </c:numRef>
          </c:val>
        </c:ser>
        <c:ser>
          <c:idx val="1"/>
          <c:order val="1"/>
          <c:tx>
            <c:strRef>
              <c:f>'Sheet1'!$C$1</c:f>
              <c:strCache>
                <c:ptCount val="1"/>
                <c:pt idx="0">
                  <c:v>总支出</c:v>
                </c:pt>
              </c:strCache>
            </c:strRef>
          </c:tx>
          <c:spPr>
            <a:solidFill>
              <a:srgbClr val="C0504D"/>
            </a:solidFill>
            <a:ln>
              <a:noFill/>
            </a:ln>
          </c:spPr>
          <c:invertIfNegative val="0"/>
          <c:dLbls>
            <c:showLegendKey val="0"/>
            <c:showVal val="0"/>
            <c:showCatName val="0"/>
            <c:showSerName val="0"/>
            <c:showPercent val="0"/>
            <c:showBubbleSize val="0"/>
            <c:showLeaderLines val="0"/>
          </c:dLbls>
          <c:cat>
            <c:numRef>
              <c:f>'Sheet1'!$A$2:$A$3</c:f>
              <c:numCache>
                <c:ptCount val="2"/>
              </c:numCache>
            </c:numRef>
          </c:cat>
          <c:val>
            <c:numRef>
              <c:f>'Sheet1'!$C$2:$C$3</c:f>
              <c:numCache>
                <c:formatCode>General</c:formatCode>
                <c:ptCount val="2"/>
                <c:pt idx="0">
                  <c:v>1144.42</c:v>
                </c:pt>
                <c:pt idx="1">
                  <c:v>1167.07</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manualLayout>
          <c:xMode val="edge"/>
          <c:yMode val="edge"/>
          <c:x val="0.4013125"/>
          <c:y val="0.88492745"/>
        </c:manualLayou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一般公共预算财政拨款收入</c:v>
                </c:pt>
              </c:strCache>
            </c:strRef>
          </c:cat>
          <c:val>
            <c:numRef>
              <c:f>'Sheet1 (2)'!$B$2:$B$3</c:f>
              <c:numCache>
                <c:formatCode>General</c:formatCode>
                <c:ptCount val="2"/>
                <c:pt idx="0">
                  <c:v>1167.07</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0.031990968"/>
                  <c:y val="-0.1632"/>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1067.91</a:t>
                    </a:r>
                  </a:p>
                </c:rich>
              </c:tx>
              <c:showLegendKey val="0"/>
              <c:showVal val="1"/>
              <c:showCatName val="0"/>
              <c:showSerName val="0"/>
              <c:showPercent val="0"/>
              <c:showBubbleSize val="0"/>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76.51</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1034.74</c:v>
                </c:pt>
                <c:pt idx="1">
                  <c:v>132.33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ser>
        <c:ser>
          <c:idx val="1"/>
          <c:order val="1"/>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(5)'!$A$2:$A$3</c:f>
              <c:numCache>
                <c:ptCount val="2"/>
              </c:numCache>
            </c:numRef>
          </c:cat>
          <c:val>
            <c:numRef>
              <c:f>'Sheet1 (5)'!$B$2:$B$3</c:f>
              <c:numCache>
                <c:formatCode>General</c:formatCode>
                <c:ptCount val="2"/>
                <c:pt idx="0">
                  <c:v>1067.91</c:v>
                </c:pt>
                <c:pt idx="1">
                  <c:v>1167.07</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1009.39</a:t>
                    </a:r>
                  </a:p>
                </c:rich>
              </c:tx>
              <c:showLegendKey val="0"/>
              <c:showVal val="1"/>
              <c:showCatName val="0"/>
              <c:showSerName val="0"/>
              <c:showPercent val="0"/>
              <c:showBubbleSize val="0"/>
            </c:dLbl>
            <c:dLbl>
              <c:idx val="1"/>
              <c:layout>
                <c:manualLayout>
                  <c:x val="-0.020973645"/>
                  <c:y val="0.044190824"/>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58.52</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(6)'!$A$2:$A$3</c:f>
              <c:strCache>
                <c:ptCount val="2"/>
                <c:pt idx="0">
                  <c:v>人员经费</c:v>
                </c:pt>
                <c:pt idx="1">
                  <c:v>日常公用经费</c:v>
                </c:pt>
              </c:strCache>
            </c:strRef>
          </c:cat>
          <c:val>
            <c:numRef>
              <c:f>'Sheet1 (6)'!$B$2:$B$3</c:f>
              <c:numCache>
                <c:formatCode>General</c:formatCode>
                <c:ptCount val="2"/>
                <c:pt idx="0">
                  <c:v>977.53</c:v>
                </c:pt>
                <c:pt idx="1">
                  <c:v>57.21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2"/>
              <c:layout>
                <c:manualLayout>
                  <c:x val="-0.07035216"/>
                  <c:y val="0.005202266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10.0</c:v>
                </c:pt>
                <c:pt idx="2">
                  <c:v>0.31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7</TotalTime>
  <Application>Yozo_Office27021597764231179</Application>
  <Pages>28</Pages>
  <Words>9171</Words>
  <Characters>9937</Characters>
  <Lines>681</Lines>
  <Paragraphs>342</Paragraphs>
  <CharactersWithSpaces>10007</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20</cp:revision>
  <cp:lastPrinted>2023-01-16T06:12:00Z</cp:lastPrinted>
  <dcterms:created xsi:type="dcterms:W3CDTF">2023-08-29T07:17:00Z</dcterms:created>
  <dcterms:modified xsi:type="dcterms:W3CDTF">2023-09-21T08:08:03Z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2052-12.1.0.15358</vt:lpwstr>
  </property>
  <property fmtid="{D5CDD505-2E9C-101B-9397-08002B2CF9AE}" pid="3" name="ICV">
    <vt:lpwstr>7446358C982B43FBBF5486ACE152A102</vt:lpwstr>
  </property>
</Properties>
</file>