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96475"/>
      <w:bookmarkStart w:id="2" w:name="_Toc15377193"/>
      <w:bookmarkStart w:id="3" w:name="_Toc15378441"/>
      <w:bookmarkStart w:id="4" w:name="_Toc15377425"/>
      <w:bookmarkStart w:id="5" w:name="_Toc15396597"/>
      <w:r>
        <w:rPr>
          <w:rFonts w:ascii="黑体" w:eastAsia="黑体"/>
          <w:color w:val="000000"/>
          <w:sz w:val="72"/>
          <w:szCs w:val="72"/>
        </w:rPr>
        <w:t>2</w:t>
      </w:r>
      <w:r>
        <w:rPr>
          <w:rFonts w:hint="eastAsia" w:ascii="黑体" w:eastAsia="黑体"/>
          <w:color w:val="000000"/>
          <w:sz w:val="72"/>
          <w:szCs w:val="72"/>
        </w:rPr>
        <w:t>020</w:t>
      </w:r>
      <w:r>
        <w:rPr>
          <w:rFonts w:hint="eastAsia" w:ascii="方正小标宋简体" w:eastAsia="方正小标宋简体"/>
          <w:color w:val="000000"/>
          <w:sz w:val="72"/>
          <w:szCs w:val="72"/>
        </w:rPr>
        <w:t>年度</w:t>
      </w:r>
      <w:bookmarkEnd w:id="1"/>
      <w:bookmarkEnd w:id="2"/>
      <w:bookmarkEnd w:id="3"/>
      <w:bookmarkEnd w:id="4"/>
      <w:bookmarkEnd w:id="5"/>
    </w:p>
    <w:bookmarkEnd w:id="0"/>
    <w:p>
      <w:pPr>
        <w:adjustRightInd w:val="0"/>
        <w:snapToGrid w:val="0"/>
        <w:spacing w:line="360" w:lineRule="auto"/>
        <w:jc w:val="center"/>
        <w:outlineLvl w:val="0"/>
        <w:rPr>
          <w:rFonts w:ascii="方正小标宋简体" w:eastAsia="方正小标宋简体"/>
          <w:color w:val="000000"/>
          <w:sz w:val="72"/>
          <w:szCs w:val="72"/>
        </w:rPr>
      </w:pPr>
      <w:bookmarkStart w:id="6" w:name="_Toc15377194"/>
      <w:bookmarkStart w:id="7" w:name="_Toc15377426"/>
      <w:bookmarkStart w:id="8" w:name="_Toc15378442"/>
      <w:bookmarkStart w:id="9" w:name="_Toc15396598"/>
      <w:bookmarkStart w:id="10" w:name="_Toc15306268"/>
      <w:bookmarkStart w:id="11" w:name="_Toc15396476"/>
      <w:r>
        <w:rPr>
          <w:rFonts w:hint="eastAsia" w:ascii="方正小标宋简体" w:eastAsia="方正小标宋简体"/>
          <w:color w:val="000000"/>
          <w:sz w:val="72"/>
          <w:szCs w:val="72"/>
        </w:rPr>
        <w:t>金川县司法局部门决算</w:t>
      </w:r>
      <w:bookmarkEnd w:id="6"/>
      <w:bookmarkEnd w:id="7"/>
      <w:bookmarkEnd w:id="8"/>
      <w:bookmarkEnd w:id="9"/>
      <w:bookmarkEnd w:id="10"/>
      <w:bookmarkEnd w:id="11"/>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黑体" w:eastAsia="黑体"/>
          <w:color w:val="000000"/>
          <w:sz w:val="48"/>
          <w:szCs w:val="48"/>
        </w:rPr>
      </w:pPr>
      <w:r>
        <w:rPr>
          <w:rFonts w:ascii="方正小标宋简体" w:eastAsia="方正小标宋简体"/>
          <w:color w:val="000000"/>
          <w:sz w:val="36"/>
          <w:szCs w:val="36"/>
        </w:rPr>
        <w:br w:type="page"/>
      </w:r>
      <w:r>
        <w:rPr>
          <w:rFonts w:hint="eastAsia" w:ascii="黑体" w:eastAsia="黑体"/>
          <w:color w:val="000000"/>
          <w:sz w:val="48"/>
          <w:szCs w:val="48"/>
        </w:rPr>
        <w:t>目录</w:t>
      </w:r>
    </w:p>
    <w:p>
      <w:pPr>
        <w:widowControl/>
        <w:tabs>
          <w:tab w:val="center" w:pos="4213"/>
          <w:tab w:val="left" w:pos="5211"/>
        </w:tabs>
        <w:jc w:val="left"/>
        <w:rPr>
          <w:rFonts w:ascii="黑体" w:eastAsia="黑体" w:cs="Arial"/>
          <w:sz w:val="28"/>
          <w:szCs w:val="28"/>
        </w:rPr>
      </w:pPr>
      <w:r>
        <w:rPr>
          <w:rFonts w:hint="eastAsia" w:ascii="黑体" w:eastAsia="黑体"/>
          <w:color w:val="000000"/>
          <w:sz w:val="48"/>
          <w:szCs w:val="48"/>
        </w:rPr>
        <w:tab/>
      </w:r>
      <w:r>
        <w:rPr>
          <w:rFonts w:hint="eastAsia" w:ascii="黑体" w:eastAsia="黑体"/>
          <w:color w:val="000000"/>
          <w:sz w:val="48"/>
          <w:szCs w:val="48"/>
        </w:rPr>
        <w:tab/>
      </w:r>
      <w:r>
        <w:rPr>
          <w:rFonts w:ascii="黑体" w:eastAsia="黑体"/>
          <w:color w:val="000000"/>
          <w:sz w:val="48"/>
          <w:szCs w:val="48"/>
        </w:rPr>
        <w:fldChar w:fldCharType="begin"/>
      </w:r>
      <w:r>
        <w:rPr>
          <w:rFonts w:ascii="黑体" w:eastAsia="黑体"/>
          <w:color w:val="000000"/>
          <w:sz w:val="48"/>
          <w:szCs w:val="48"/>
        </w:rPr>
        <w:instrText xml:space="preserve"> TOC \o "1-2" \h \z \u </w:instrText>
      </w:r>
      <w:r>
        <w:rPr>
          <w:rFonts w:ascii="黑体" w:eastAsia="黑体"/>
          <w:color w:val="000000"/>
          <w:sz w:val="48"/>
          <w:szCs w:val="48"/>
        </w:rPr>
        <w:fldChar w:fldCharType="separate"/>
      </w:r>
    </w:p>
    <w:p>
      <w:pPr>
        <w:pStyle w:val="10"/>
      </w:pPr>
      <w:r>
        <w:rPr>
          <w:rFonts w:hint="eastAsia"/>
        </w:rPr>
        <w:t>公开时间：2021年8月3日</w:t>
      </w:r>
    </w:p>
    <w:p/>
    <w:p/>
    <w:p/>
    <w:p/>
    <w:p>
      <w:pPr>
        <w:pStyle w:val="10"/>
        <w:rPr>
          <w:rFonts w:cs="Arial"/>
        </w:rPr>
      </w:pPr>
      <w:r>
        <w:fldChar w:fldCharType="begin"/>
      </w:r>
      <w:r>
        <w:instrText xml:space="preserve"> HYPERLINK \l "_Toc15396599" </w:instrText>
      </w:r>
      <w:r>
        <w:fldChar w:fldCharType="separate"/>
      </w:r>
      <w:r>
        <w:rPr>
          <w:rFonts w:hint="eastAsia"/>
        </w:rPr>
        <w:t>第一部分</w:t>
      </w:r>
      <w:r>
        <w:t xml:space="preserve"> </w:t>
      </w:r>
      <w:r>
        <w:rPr>
          <w:rFonts w:hint="eastAsia"/>
        </w:rPr>
        <w:t>部门概况</w:t>
      </w:r>
      <w:r>
        <w:tab/>
      </w:r>
      <w:r>
        <w:rPr>
          <w:rFonts w:hint="eastAsia"/>
        </w:rPr>
        <w:t>4</w:t>
      </w:r>
      <w:r>
        <w:rPr>
          <w:rFonts w:hint="eastAsia"/>
        </w:rPr>
        <w:fldChar w:fldCharType="end"/>
      </w:r>
    </w:p>
    <w:p>
      <w:pPr>
        <w:pStyle w:val="11"/>
        <w:ind w:left="420"/>
        <w:rPr>
          <w:rFonts w:ascii="仿宋" w:eastAsia="仿宋" w:cs="Arial"/>
          <w:sz w:val="28"/>
          <w:szCs w:val="28"/>
        </w:rPr>
      </w:pPr>
      <w:r>
        <w:fldChar w:fldCharType="begin"/>
      </w:r>
      <w:r>
        <w:instrText xml:space="preserve"> HYPERLINK \l "_Toc15396600" </w:instrText>
      </w:r>
      <w:r>
        <w:fldChar w:fldCharType="separate"/>
      </w:r>
      <w:r>
        <w:rPr>
          <w:rFonts w:hint="eastAsia" w:ascii="仿宋" w:eastAsia="仿宋"/>
          <w:sz w:val="28"/>
          <w:szCs w:val="28"/>
        </w:rPr>
        <w:t>一、基本职能及主要工作</w:t>
      </w:r>
      <w:r>
        <w:rPr>
          <w:rFonts w:ascii="仿宋" w:eastAsia="仿宋"/>
          <w:sz w:val="28"/>
          <w:szCs w:val="28"/>
        </w:rPr>
        <w:tab/>
      </w:r>
      <w:r>
        <w:rPr>
          <w:rFonts w:hint="eastAsia" w:ascii="仿宋" w:eastAsia="仿宋"/>
          <w:sz w:val="28"/>
          <w:szCs w:val="28"/>
        </w:rPr>
        <w:t>4</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"_Toc15396601" </w:instrText>
      </w:r>
      <w:r>
        <w:fldChar w:fldCharType="separate"/>
      </w:r>
      <w:r>
        <w:rPr>
          <w:rFonts w:hint="eastAsia" w:ascii="仿宋" w:eastAsia="仿宋"/>
          <w:sz w:val="28"/>
          <w:szCs w:val="28"/>
        </w:rPr>
        <w:t>二、机构设置</w:t>
      </w:r>
      <w:r>
        <w:rPr>
          <w:rFonts w:ascii="仿宋" w:eastAsia="仿宋"/>
          <w:sz w:val="28"/>
          <w:szCs w:val="28"/>
        </w:rPr>
        <w:tab/>
      </w:r>
      <w:r>
        <w:rPr>
          <w:rFonts w:hint="eastAsia" w:ascii="仿宋" w:eastAsia="仿宋"/>
          <w:sz w:val="28"/>
          <w:szCs w:val="28"/>
        </w:rPr>
        <w:t>6</w:t>
      </w:r>
      <w:r>
        <w:rPr>
          <w:rFonts w:hint="eastAsia" w:ascii="仿宋" w:eastAsia="仿宋"/>
          <w:sz w:val="28"/>
          <w:szCs w:val="28"/>
        </w:rPr>
        <w:fldChar w:fldCharType="end"/>
      </w:r>
    </w:p>
    <w:p>
      <w:pPr>
        <w:pStyle w:val="10"/>
      </w:pPr>
      <w:r>
        <w:fldChar w:fldCharType="begin"/>
      </w:r>
      <w:r>
        <w:instrText xml:space="preserve"> HYPERLINK \l "_Toc15396602" </w:instrText>
      </w:r>
      <w:r>
        <w:fldChar w:fldCharType="separate"/>
      </w:r>
      <w:r>
        <w:rPr>
          <w:rFonts w:hint="eastAsia"/>
        </w:rPr>
        <w:t>第二部分</w:t>
      </w:r>
      <w:r>
        <w:t xml:space="preserve"> </w:t>
      </w:r>
      <w:r>
        <w:rPr>
          <w:rFonts w:hint="eastAsia"/>
        </w:rPr>
        <w:t>部门决算情况说明</w:t>
      </w:r>
      <w:r>
        <w:tab/>
      </w:r>
      <w:r>
        <w:rPr>
          <w:rFonts w:hint="eastAsia"/>
        </w:rPr>
        <w:t>7</w:t>
      </w:r>
      <w:r>
        <w:rPr>
          <w:rFonts w:hint="eastAsia"/>
        </w:rPr>
        <w:fldChar w:fldCharType="end"/>
      </w:r>
    </w:p>
    <w:p>
      <w:pPr>
        <w:pStyle w:val="11"/>
        <w:ind w:left="420"/>
        <w:rPr>
          <w:rFonts w:ascii="仿宋" w:eastAsia="仿宋" w:cs="Arial"/>
          <w:sz w:val="28"/>
          <w:szCs w:val="28"/>
        </w:rPr>
      </w:pPr>
      <w:r>
        <w:fldChar w:fldCharType="begin"/>
      </w:r>
      <w:r>
        <w:instrText xml:space="preserve"> HYPERLINK \l "_Toc15396603" </w:instrText>
      </w:r>
      <w:r>
        <w:fldChar w:fldCharType="separate"/>
      </w:r>
      <w:r>
        <w:rPr>
          <w:rFonts w:hint="eastAsia" w:ascii="仿宋" w:eastAsia="仿宋"/>
          <w:bCs/>
          <w:sz w:val="28"/>
          <w:szCs w:val="28"/>
        </w:rPr>
        <w:t>一、</w:t>
      </w:r>
      <w:r>
        <w:rPr>
          <w:rFonts w:hint="eastAsia" w:ascii="仿宋" w:eastAsia="仿宋"/>
          <w:sz w:val="28"/>
          <w:szCs w:val="28"/>
        </w:rPr>
        <w:t>收</w:t>
      </w:r>
      <w:r>
        <w:rPr>
          <w:rFonts w:hint="eastAsia" w:ascii="仿宋" w:eastAsia="仿宋"/>
          <w:bCs/>
          <w:sz w:val="28"/>
          <w:szCs w:val="28"/>
        </w:rPr>
        <w:t>入支出决算总体情况说明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"_Toc15396604" </w:instrText>
      </w:r>
      <w:r>
        <w:fldChar w:fldCharType="separate"/>
      </w:r>
      <w:r>
        <w:rPr>
          <w:rFonts w:hint="eastAsia" w:ascii="仿宋" w:eastAsia="仿宋"/>
          <w:bCs/>
          <w:sz w:val="28"/>
          <w:szCs w:val="28"/>
        </w:rPr>
        <w:t>二、</w:t>
      </w:r>
      <w:r>
        <w:rPr>
          <w:rFonts w:hint="eastAsia" w:ascii="仿宋" w:eastAsia="仿宋"/>
          <w:sz w:val="28"/>
          <w:szCs w:val="28"/>
        </w:rPr>
        <w:t>收</w:t>
      </w:r>
      <w:r>
        <w:rPr>
          <w:rFonts w:hint="eastAsia" w:ascii="仿宋" w:eastAsia="仿宋"/>
          <w:bCs/>
          <w:sz w:val="28"/>
          <w:szCs w:val="28"/>
        </w:rPr>
        <w:t>入决算情况说明</w:t>
      </w:r>
      <w:r>
        <w:rPr>
          <w:rFonts w:ascii="仿宋" w:eastAsia="仿宋"/>
          <w:sz w:val="28"/>
          <w:szCs w:val="28"/>
        </w:rPr>
        <w:tab/>
      </w:r>
      <w:r>
        <w:rPr>
          <w:rFonts w:hint="eastAsia" w:ascii="仿宋" w:eastAsia="仿宋"/>
          <w:sz w:val="28"/>
          <w:szCs w:val="28"/>
        </w:rPr>
        <w:t>7</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"_Toc15396605" </w:instrText>
      </w:r>
      <w:r>
        <w:fldChar w:fldCharType="separate"/>
      </w:r>
      <w:r>
        <w:rPr>
          <w:rFonts w:hint="eastAsia" w:ascii="仿宋" w:eastAsia="仿宋"/>
          <w:bCs/>
          <w:sz w:val="28"/>
          <w:szCs w:val="28"/>
        </w:rPr>
        <w:t>三、</w:t>
      </w:r>
      <w:r>
        <w:rPr>
          <w:rFonts w:hint="eastAsia" w:ascii="仿宋" w:eastAsia="仿宋"/>
          <w:sz w:val="28"/>
          <w:szCs w:val="28"/>
        </w:rPr>
        <w:t>支</w:t>
      </w:r>
      <w:r>
        <w:rPr>
          <w:rFonts w:hint="eastAsia" w:ascii="仿宋" w:eastAsia="仿宋"/>
          <w:bCs/>
          <w:sz w:val="28"/>
          <w:szCs w:val="28"/>
        </w:rPr>
        <w:t>出决算情况说明</w:t>
      </w:r>
      <w:r>
        <w:rPr>
          <w:rFonts w:ascii="仿宋" w:eastAsia="仿宋"/>
          <w:sz w:val="28"/>
          <w:szCs w:val="28"/>
        </w:rPr>
        <w:tab/>
      </w:r>
      <w:r>
        <w:rPr>
          <w:rFonts w:hint="eastAsia" w:ascii="仿宋" w:eastAsia="仿宋"/>
          <w:sz w:val="28"/>
          <w:szCs w:val="28"/>
        </w:rPr>
        <w:t>8</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"_Toc15396606" </w:instrText>
      </w:r>
      <w:r>
        <w:fldChar w:fldCharType="separate"/>
      </w:r>
      <w:r>
        <w:rPr>
          <w:rFonts w:hint="eastAsia" w:ascii="仿宋" w:eastAsia="仿宋"/>
          <w:sz w:val="28"/>
          <w:szCs w:val="28"/>
        </w:rPr>
        <w:t>四、财</w:t>
      </w:r>
      <w:r>
        <w:rPr>
          <w:rFonts w:hint="eastAsia" w:ascii="仿宋" w:eastAsia="仿宋"/>
          <w:bCs/>
          <w:sz w:val="28"/>
          <w:szCs w:val="28"/>
        </w:rPr>
        <w:t>政拨款收入支出决算总体情况说明</w:t>
      </w:r>
      <w:r>
        <w:rPr>
          <w:rFonts w:ascii="仿宋" w:eastAsia="仿宋"/>
          <w:sz w:val="28"/>
          <w:szCs w:val="28"/>
        </w:rPr>
        <w:tab/>
      </w:r>
      <w:r>
        <w:rPr>
          <w:rFonts w:hint="eastAsia" w:ascii="仿宋" w:eastAsia="仿宋"/>
          <w:sz w:val="28"/>
          <w:szCs w:val="28"/>
        </w:rPr>
        <w:t>8</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"_Toc15396607" </w:instrText>
      </w:r>
      <w:r>
        <w:fldChar w:fldCharType="separate"/>
      </w:r>
      <w:r>
        <w:rPr>
          <w:rFonts w:hint="eastAsia" w:ascii="仿宋" w:eastAsia="仿宋"/>
          <w:sz w:val="28"/>
          <w:szCs w:val="28"/>
        </w:rPr>
        <w:t>五、一</w:t>
      </w:r>
      <w:r>
        <w:rPr>
          <w:rFonts w:hint="eastAsia" w:ascii="仿宋" w:eastAsia="仿宋"/>
          <w:bCs/>
          <w:sz w:val="28"/>
          <w:szCs w:val="28"/>
        </w:rPr>
        <w:t>般公共预算财政拨款支出决算情况说明</w:t>
      </w:r>
      <w:r>
        <w:rPr>
          <w:rFonts w:ascii="仿宋" w:eastAsia="仿宋"/>
          <w:sz w:val="28"/>
          <w:szCs w:val="28"/>
        </w:rPr>
        <w:tab/>
      </w:r>
      <w:r>
        <w:rPr>
          <w:rFonts w:hint="eastAsia" w:ascii="仿宋" w:eastAsia="仿宋"/>
          <w:sz w:val="28"/>
          <w:szCs w:val="28"/>
        </w:rPr>
        <w:t>9</w:t>
      </w:r>
      <w:r>
        <w:rPr>
          <w:rFonts w:hint="eastAsia" w:ascii="仿宋" w:eastAsia="仿宋"/>
          <w:sz w:val="28"/>
          <w:szCs w:val="28"/>
        </w:rPr>
        <w:fldChar w:fldCharType="end"/>
      </w:r>
    </w:p>
    <w:p>
      <w:pPr>
        <w:pStyle w:val="11"/>
        <w:ind w:left="420"/>
        <w:rPr>
          <w:rFonts w:ascii="仿宋" w:eastAsia="仿宋" w:cs="Arial"/>
          <w:sz w:val="28"/>
          <w:szCs w:val="28"/>
        </w:rPr>
      </w:pPr>
      <w:r>
        <w:fldChar w:fldCharType="begin"/>
      </w:r>
      <w:r>
        <w:instrText xml:space="preserve"> HYPERLINK \l "_Toc15396608" </w:instrText>
      </w:r>
      <w:r>
        <w:fldChar w:fldCharType="separate"/>
      </w:r>
      <w:r>
        <w:rPr>
          <w:rFonts w:hint="eastAsia" w:ascii="仿宋" w:eastAsia="仿宋"/>
          <w:sz w:val="28"/>
          <w:szCs w:val="28"/>
        </w:rPr>
        <w:t>六、一</w:t>
      </w:r>
      <w:r>
        <w:rPr>
          <w:rFonts w:hint="eastAsia" w:ascii="仿宋" w:eastAsia="仿宋"/>
          <w:bCs/>
          <w:sz w:val="28"/>
          <w:szCs w:val="28"/>
        </w:rPr>
        <w:t>般公共预算财政拨款基本支出决算情况说明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1</w:t>
      </w:r>
    </w:p>
    <w:p>
      <w:pPr>
        <w:pStyle w:val="11"/>
        <w:ind w:left="420"/>
        <w:rPr>
          <w:rFonts w:ascii="仿宋" w:eastAsia="仿宋" w:cs="Arial"/>
          <w:sz w:val="28"/>
          <w:szCs w:val="28"/>
        </w:rPr>
      </w:pPr>
      <w:r>
        <w:fldChar w:fldCharType="begin"/>
      </w:r>
      <w:r>
        <w:instrText xml:space="preserve"> HYPERLINK \l "_Toc15396609" </w:instrText>
      </w:r>
      <w:r>
        <w:fldChar w:fldCharType="separate"/>
      </w:r>
      <w:r>
        <w:rPr>
          <w:rFonts w:hint="eastAsia" w:ascii="仿宋" w:eastAsia="仿宋"/>
          <w:sz w:val="28"/>
          <w:szCs w:val="28"/>
        </w:rPr>
        <w:t>七、</w:t>
      </w:r>
      <w:r>
        <w:rPr>
          <w:rFonts w:ascii="仿宋" w:eastAsia="仿宋"/>
          <w:sz w:val="28"/>
          <w:szCs w:val="28"/>
        </w:rPr>
        <w:t>“</w:t>
      </w:r>
      <w:r>
        <w:rPr>
          <w:rFonts w:hint="eastAsia" w:ascii="仿宋" w:eastAsia="仿宋"/>
          <w:bCs/>
          <w:sz w:val="28"/>
          <w:szCs w:val="28"/>
        </w:rPr>
        <w:t>三公”经费财政拨款支出决算情况说明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2</w:t>
      </w:r>
    </w:p>
    <w:p>
      <w:pPr>
        <w:pStyle w:val="11"/>
        <w:ind w:left="420"/>
        <w:rPr>
          <w:rFonts w:ascii="仿宋" w:eastAsia="仿宋" w:cs="Arial"/>
          <w:sz w:val="28"/>
          <w:szCs w:val="28"/>
        </w:rPr>
      </w:pPr>
      <w:r>
        <w:fldChar w:fldCharType="begin"/>
      </w:r>
      <w:r>
        <w:instrText xml:space="preserve"> HYPERLINK \l "_Toc15396610" </w:instrText>
      </w:r>
      <w:r>
        <w:fldChar w:fldCharType="separate"/>
      </w:r>
      <w:r>
        <w:rPr>
          <w:rFonts w:hint="eastAsia" w:ascii="仿宋" w:eastAsia="仿宋"/>
          <w:sz w:val="28"/>
          <w:szCs w:val="28"/>
        </w:rPr>
        <w:t>八、</w:t>
      </w:r>
      <w:r>
        <w:rPr>
          <w:rFonts w:hint="eastAsia" w:ascii="仿宋" w:eastAsia="仿宋"/>
          <w:bCs/>
          <w:sz w:val="28"/>
          <w:szCs w:val="28"/>
        </w:rPr>
        <w:t>政府性基金预算支出决算情况说明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4</w:t>
      </w:r>
    </w:p>
    <w:p>
      <w:pPr>
        <w:pStyle w:val="11"/>
        <w:ind w:left="420"/>
        <w:rPr>
          <w:rFonts w:ascii="仿宋" w:eastAsia="仿宋"/>
          <w:sz w:val="28"/>
          <w:szCs w:val="28"/>
        </w:rPr>
      </w:pPr>
      <w:r>
        <w:fldChar w:fldCharType="begin"/>
      </w:r>
      <w:r>
        <w:instrText xml:space="preserve"> HYPERLINK \l "_Toc15396611" </w:instrText>
      </w:r>
      <w:r>
        <w:fldChar w:fldCharType="separate"/>
      </w:r>
      <w:r>
        <w:rPr>
          <w:rFonts w:hint="eastAsia" w:ascii="仿宋" w:eastAsia="仿宋"/>
          <w:bCs/>
          <w:sz w:val="28"/>
          <w:szCs w:val="28"/>
        </w:rPr>
        <w:t>九、</w:t>
      </w:r>
      <w:r>
        <w:rPr>
          <w:rFonts w:hint="eastAsia" w:ascii="仿宋" w:eastAsia="仿宋"/>
          <w:sz w:val="28"/>
          <w:szCs w:val="28"/>
        </w:rPr>
        <w:t xml:space="preserve"> 国</w:t>
      </w:r>
      <w:r>
        <w:rPr>
          <w:rFonts w:hint="eastAsia" w:ascii="仿宋" w:eastAsia="仿宋"/>
          <w:bCs/>
          <w:sz w:val="28"/>
          <w:szCs w:val="28"/>
        </w:rPr>
        <w:t>有资本经营预算支出决算情况说明</w:t>
      </w:r>
      <w:r>
        <w:rPr>
          <w:rFonts w:ascii="仿宋" w:eastAsia="仿宋"/>
          <w:sz w:val="28"/>
          <w:szCs w:val="28"/>
        </w:rPr>
        <w:tab/>
      </w:r>
      <w:r>
        <w:rPr>
          <w:rFonts w:hint="eastAsia" w:ascii="仿宋" w:eastAsia="仿宋"/>
          <w:sz w:val="28"/>
          <w:szCs w:val="28"/>
        </w:rPr>
        <w:t>1</w:t>
      </w:r>
      <w:r>
        <w:rPr>
          <w:rFonts w:hint="eastAsia" w:ascii="仿宋" w:eastAsia="仿宋"/>
          <w:sz w:val="28"/>
          <w:szCs w:val="28"/>
        </w:rPr>
        <w:fldChar w:fldCharType="end"/>
      </w:r>
      <w:r>
        <w:rPr>
          <w:rFonts w:hint="eastAsia" w:ascii="仿宋" w:eastAsia="仿宋"/>
          <w:sz w:val="28"/>
          <w:szCs w:val="28"/>
        </w:rPr>
        <w:t>4</w:t>
      </w:r>
    </w:p>
    <w:p>
      <w:pPr>
        <w:pStyle w:val="11"/>
        <w:ind w:left="420"/>
      </w:pPr>
      <w:r>
        <w:rPr>
          <w:rStyle w:val="15"/>
          <w:rFonts w:hint="eastAsia" w:ascii="仿宋" w:eastAsia="仿宋"/>
          <w:bCs/>
          <w:sz w:val="28"/>
          <w:szCs w:val="28"/>
        </w:rPr>
        <w:t xml:space="preserve"> 十、预算绩效情况说明..................................14</w:t>
      </w:r>
    </w:p>
    <w:p>
      <w:pPr>
        <w:pStyle w:val="11"/>
        <w:ind w:left="420"/>
        <w:rPr>
          <w:rFonts w:ascii="仿宋" w:eastAsia="仿宋" w:cs="Arial"/>
          <w:sz w:val="28"/>
          <w:szCs w:val="28"/>
        </w:rPr>
      </w:pPr>
      <w:r>
        <w:fldChar w:fldCharType="begin"/>
      </w:r>
      <w:r>
        <w:instrText xml:space="preserve"> HYPERLINK \l "_Toc15396612" </w:instrText>
      </w:r>
      <w:r>
        <w:fldChar w:fldCharType="separate"/>
      </w:r>
      <w:r>
        <w:rPr>
          <w:rFonts w:hint="eastAsia" w:ascii="仿宋" w:eastAsia="仿宋"/>
          <w:sz w:val="28"/>
          <w:szCs w:val="28"/>
        </w:rPr>
        <w:t>十</w:t>
      </w:r>
      <w:r>
        <w:rPr>
          <w:rFonts w:hint="eastAsia" w:ascii="仿宋" w:eastAsia="仿宋"/>
          <w:bCs/>
          <w:sz w:val="28"/>
          <w:szCs w:val="28"/>
        </w:rPr>
        <w:t>一、其他重要事项的情况说明</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0</w:t>
      </w:r>
    </w:p>
    <w:p>
      <w:pPr>
        <w:pStyle w:val="10"/>
        <w:rPr>
          <w:rFonts w:cs="Arial"/>
        </w:rPr>
      </w:pPr>
      <w:r>
        <w:fldChar w:fldCharType="begin"/>
      </w:r>
      <w:r>
        <w:instrText xml:space="preserve"> HYPERLINK \l "_Toc15396613" </w:instrText>
      </w:r>
      <w:r>
        <w:fldChar w:fldCharType="separate"/>
      </w:r>
      <w:r>
        <w:rPr>
          <w:rFonts w:hint="eastAsia"/>
          <w:bCs/>
          <w:kern w:val="44"/>
        </w:rPr>
        <w:t>第三部分</w:t>
      </w:r>
      <w:r>
        <w:rPr>
          <w:rFonts w:hint="eastAsia"/>
        </w:rPr>
        <w:t xml:space="preserve"> 名</w:t>
      </w:r>
      <w:r>
        <w:rPr>
          <w:rFonts w:hint="eastAsia"/>
          <w:bCs/>
          <w:kern w:val="44"/>
        </w:rPr>
        <w:t>词解释</w:t>
      </w:r>
      <w:r>
        <w:tab/>
      </w:r>
      <w:r>
        <w:rPr>
          <w:rFonts w:hint="eastAsia"/>
        </w:rPr>
        <w:t>2</w:t>
      </w:r>
      <w:r>
        <w:rPr>
          <w:rFonts w:hint="eastAsia"/>
        </w:rPr>
        <w:fldChar w:fldCharType="end"/>
      </w:r>
      <w:r>
        <w:rPr>
          <w:rFonts w:hint="eastAsia"/>
        </w:rPr>
        <w:t>0</w:t>
      </w:r>
    </w:p>
    <w:p>
      <w:pPr>
        <w:pStyle w:val="10"/>
        <w:rPr>
          <w:rFonts w:cs="Arial"/>
        </w:rPr>
      </w:pPr>
      <w:r>
        <w:fldChar w:fldCharType="begin"/>
      </w:r>
      <w:r>
        <w:instrText xml:space="preserve"> HYPERLINK \l "_Toc15396614" </w:instrText>
      </w:r>
      <w:r>
        <w:fldChar w:fldCharType="separate"/>
      </w:r>
      <w:r>
        <w:rPr>
          <w:rFonts w:hint="eastAsia"/>
        </w:rPr>
        <w:t>第</w:t>
      </w:r>
      <w:r>
        <w:rPr>
          <w:rFonts w:hint="eastAsia"/>
          <w:bCs/>
          <w:kern w:val="44"/>
        </w:rPr>
        <w:t>四部分</w:t>
      </w:r>
      <w:r>
        <w:rPr>
          <w:bCs/>
          <w:kern w:val="44"/>
        </w:rPr>
        <w:t xml:space="preserve"> </w:t>
      </w:r>
      <w:r>
        <w:rPr>
          <w:rFonts w:hint="eastAsia"/>
          <w:bCs/>
          <w:kern w:val="44"/>
        </w:rPr>
        <w:t>附件</w:t>
      </w:r>
      <w:r>
        <w:tab/>
      </w:r>
      <w:r>
        <w:rPr>
          <w:rFonts w:hint="eastAsia"/>
        </w:rPr>
        <w:t>2</w:t>
      </w:r>
      <w:r>
        <w:rPr>
          <w:rFonts w:hint="eastAsia"/>
        </w:rPr>
        <w:fldChar w:fldCharType="end"/>
      </w:r>
      <w:r>
        <w:rPr>
          <w:rFonts w:hint="eastAsia"/>
        </w:rPr>
        <w:t>3</w:t>
      </w:r>
    </w:p>
    <w:p>
      <w:pPr>
        <w:pStyle w:val="11"/>
        <w:ind w:left="420"/>
        <w:rPr>
          <w:rFonts w:ascii="仿宋" w:eastAsia="仿宋" w:cs="Arial"/>
          <w:sz w:val="28"/>
          <w:szCs w:val="28"/>
        </w:rPr>
      </w:pPr>
      <w:r>
        <w:fldChar w:fldCharType="begin"/>
      </w:r>
      <w:r>
        <w:instrText xml:space="preserve"> HYPERLINK \l "_Toc15396615" </w:instrText>
      </w:r>
      <w:r>
        <w:fldChar w:fldCharType="separate"/>
      </w:r>
      <w:r>
        <w:rPr>
          <w:rFonts w:hint="eastAsia" w:ascii="仿宋" w:eastAsia="仿宋"/>
          <w:kern w:val="44"/>
          <w:sz w:val="28"/>
          <w:szCs w:val="28"/>
        </w:rPr>
        <w:t>附件</w:t>
      </w:r>
      <w:r>
        <w:rPr>
          <w:rFonts w:ascii="仿宋" w:eastAsia="仿宋"/>
          <w:kern w:val="44"/>
          <w:sz w:val="28"/>
          <w:szCs w:val="28"/>
        </w:rPr>
        <w:t>1</w:t>
      </w:r>
      <w:r>
        <w:rPr>
          <w:rFonts w:ascii="仿宋" w:eastAsia="仿宋"/>
          <w:sz w:val="28"/>
          <w:szCs w:val="28"/>
        </w:rPr>
        <w:tab/>
      </w:r>
      <w:r>
        <w:rPr>
          <w:rFonts w:hint="eastAsia" w:ascii="仿宋" w:eastAsia="仿宋"/>
          <w:sz w:val="28"/>
          <w:szCs w:val="28"/>
        </w:rPr>
        <w:t>2</w:t>
      </w:r>
      <w:r>
        <w:rPr>
          <w:rFonts w:hint="eastAsia" w:ascii="仿宋" w:eastAsia="仿宋"/>
          <w:sz w:val="28"/>
          <w:szCs w:val="28"/>
        </w:rPr>
        <w:fldChar w:fldCharType="end"/>
      </w:r>
      <w:r>
        <w:rPr>
          <w:rFonts w:hint="eastAsia" w:ascii="仿宋" w:eastAsia="仿宋"/>
          <w:sz w:val="28"/>
          <w:szCs w:val="28"/>
        </w:rPr>
        <w:t>3</w:t>
      </w:r>
    </w:p>
    <w:p>
      <w:pPr>
        <w:pStyle w:val="10"/>
        <w:rPr>
          <w:rFonts w:cs="Arial"/>
        </w:rPr>
      </w:pPr>
      <w:r>
        <w:fldChar w:fldCharType="begin"/>
      </w:r>
      <w:r>
        <w:instrText xml:space="preserve"> HYPERLINK \l "_Toc15396618" </w:instrText>
      </w:r>
      <w:r>
        <w:fldChar w:fldCharType="separate"/>
      </w:r>
      <w:r>
        <w:rPr>
          <w:rFonts w:hint="eastAsia"/>
        </w:rPr>
        <w:t>第</w:t>
      </w:r>
      <w:r>
        <w:rPr>
          <w:rFonts w:hint="eastAsia"/>
          <w:bCs/>
          <w:kern w:val="44"/>
        </w:rPr>
        <w:t>五部分</w:t>
      </w:r>
      <w:r>
        <w:rPr>
          <w:bCs/>
          <w:kern w:val="44"/>
        </w:rPr>
        <w:t xml:space="preserve"> </w:t>
      </w:r>
      <w:r>
        <w:rPr>
          <w:rFonts w:hint="eastAsia"/>
          <w:bCs/>
          <w:kern w:val="44"/>
        </w:rPr>
        <w:t>附表</w:t>
      </w:r>
      <w:r>
        <w:tab/>
      </w:r>
      <w:r>
        <w:rPr>
          <w:rFonts w:hint="eastAsia"/>
        </w:rPr>
        <w:t>3</w:t>
      </w:r>
      <w:r>
        <w:rPr>
          <w:rFonts w:hint="eastAsia"/>
        </w:rPr>
        <w:fldChar w:fldCharType="end"/>
      </w:r>
      <w:r>
        <w:rPr>
          <w:rFonts w:hint="eastAsia"/>
        </w:rPr>
        <w:t>0</w:t>
      </w:r>
    </w:p>
    <w:p>
      <w:pPr>
        <w:pStyle w:val="11"/>
        <w:ind w:left="420"/>
        <w:rPr>
          <w:rFonts w:ascii="仿宋" w:eastAsia="仿宋" w:cs="Arial"/>
          <w:sz w:val="28"/>
          <w:szCs w:val="28"/>
        </w:rPr>
      </w:pPr>
      <w:r>
        <w:rPr>
          <w:rFonts w:hint="eastAsia" w:ascii="仿宋" w:eastAsia="仿宋"/>
          <w:sz w:val="28"/>
          <w:szCs w:val="28"/>
        </w:rPr>
        <w:t>一、</w:t>
      </w:r>
      <w:r>
        <w:fldChar w:fldCharType="begin"/>
      </w:r>
      <w:r>
        <w:instrText xml:space="preserve"> HYPERLINK \l "_Toc15396619" </w:instrText>
      </w:r>
      <w:r>
        <w:fldChar w:fldCharType="separate"/>
      </w:r>
      <w:r>
        <w:rPr>
          <w:rFonts w:hint="eastAsia" w:ascii="仿宋" w:eastAsia="仿宋"/>
          <w:sz w:val="28"/>
          <w:szCs w:val="28"/>
        </w:rPr>
        <w:t>收入支出决算总表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1</w:t>
      </w:r>
    </w:p>
    <w:p>
      <w:pPr>
        <w:pStyle w:val="11"/>
        <w:ind w:left="420"/>
        <w:rPr>
          <w:rFonts w:ascii="仿宋" w:eastAsia="仿宋" w:cs="Arial"/>
          <w:sz w:val="28"/>
          <w:szCs w:val="28"/>
        </w:rPr>
      </w:pPr>
      <w:r>
        <w:rPr>
          <w:rFonts w:hint="eastAsia" w:ascii="仿宋" w:eastAsia="仿宋"/>
          <w:sz w:val="28"/>
          <w:szCs w:val="28"/>
        </w:rPr>
        <w:t>二、</w:t>
      </w:r>
      <w:r>
        <w:fldChar w:fldCharType="begin"/>
      </w:r>
      <w:r>
        <w:instrText xml:space="preserve"> HYPERLINK \l "_Toc15396620" </w:instrText>
      </w:r>
      <w:r>
        <w:fldChar w:fldCharType="separate"/>
      </w:r>
      <w:r>
        <w:rPr>
          <w:rFonts w:hint="eastAsia" w:ascii="仿宋" w:eastAsia="仿宋"/>
          <w:sz w:val="28"/>
          <w:szCs w:val="28"/>
        </w:rPr>
        <w:t>收入总表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1</w:t>
      </w:r>
    </w:p>
    <w:p>
      <w:pPr>
        <w:pStyle w:val="11"/>
        <w:ind w:left="420"/>
        <w:rPr>
          <w:rFonts w:ascii="仿宋" w:eastAsia="仿宋" w:cs="Arial"/>
          <w:sz w:val="28"/>
          <w:szCs w:val="28"/>
        </w:rPr>
      </w:pPr>
      <w:r>
        <w:rPr>
          <w:rFonts w:hint="eastAsia" w:ascii="仿宋" w:eastAsia="仿宋"/>
          <w:sz w:val="28"/>
          <w:szCs w:val="28"/>
        </w:rPr>
        <w:t>三、</w:t>
      </w:r>
      <w:r>
        <w:fldChar w:fldCharType="begin"/>
      </w:r>
      <w:r>
        <w:instrText xml:space="preserve"> HYPERLINK \l "_Toc15396621" </w:instrText>
      </w:r>
      <w:r>
        <w:fldChar w:fldCharType="separate"/>
      </w:r>
      <w:r>
        <w:rPr>
          <w:rFonts w:hint="eastAsia" w:ascii="仿宋" w:eastAsia="仿宋"/>
          <w:sz w:val="28"/>
          <w:szCs w:val="28"/>
        </w:rPr>
        <w:t>支出总表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1</w:t>
      </w:r>
    </w:p>
    <w:p>
      <w:pPr>
        <w:pStyle w:val="11"/>
        <w:ind w:left="420"/>
        <w:rPr>
          <w:rFonts w:ascii="仿宋" w:eastAsia="仿宋" w:cs="Arial"/>
          <w:sz w:val="28"/>
          <w:szCs w:val="28"/>
        </w:rPr>
      </w:pPr>
      <w:r>
        <w:rPr>
          <w:rFonts w:hint="eastAsia" w:ascii="仿宋" w:eastAsia="仿宋"/>
          <w:sz w:val="28"/>
          <w:szCs w:val="28"/>
        </w:rPr>
        <w:t>四、</w:t>
      </w:r>
      <w:r>
        <w:fldChar w:fldCharType="begin"/>
      </w:r>
      <w:r>
        <w:instrText xml:space="preserve"> HYPERLINK \l "_Toc15396622" </w:instrText>
      </w:r>
      <w:r>
        <w:fldChar w:fldCharType="separate"/>
      </w:r>
      <w:r>
        <w:rPr>
          <w:rFonts w:hint="eastAsia" w:ascii="仿宋" w:eastAsia="仿宋"/>
          <w:sz w:val="28"/>
          <w:szCs w:val="28"/>
        </w:rPr>
        <w:t>财政拨款收入支出决算总表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1</w:t>
      </w:r>
    </w:p>
    <w:p>
      <w:pPr>
        <w:pStyle w:val="11"/>
        <w:ind w:left="420"/>
        <w:rPr>
          <w:rFonts w:ascii="仿宋" w:eastAsia="仿宋"/>
          <w:sz w:val="28"/>
          <w:szCs w:val="28"/>
        </w:rPr>
      </w:pPr>
      <w:r>
        <w:rPr>
          <w:rFonts w:hint="eastAsia" w:ascii="仿宋" w:eastAsia="仿宋"/>
          <w:sz w:val="28"/>
          <w:szCs w:val="28"/>
        </w:rPr>
        <w:t>五、</w:t>
      </w:r>
      <w:r>
        <w:fldChar w:fldCharType="begin"/>
      </w:r>
      <w:r>
        <w:instrText xml:space="preserve"> HYPERLINK \l "_Toc15396623" </w:instrText>
      </w:r>
      <w:r>
        <w:fldChar w:fldCharType="separate"/>
      </w:r>
      <w:r>
        <w:rPr>
          <w:rFonts w:hint="eastAsia" w:ascii="仿宋" w:eastAsia="仿宋"/>
          <w:sz w:val="28"/>
          <w:szCs w:val="28"/>
        </w:rPr>
        <w:t>财政拨款支出决算明细表（政府经济分类科目）</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1</w:t>
      </w:r>
    </w:p>
    <w:p>
      <w:pPr>
        <w:pStyle w:val="11"/>
        <w:ind w:left="420"/>
        <w:rPr>
          <w:rFonts w:ascii="仿宋" w:eastAsia="仿宋" w:cs="Arial"/>
          <w:sz w:val="28"/>
          <w:szCs w:val="28"/>
        </w:rPr>
      </w:pPr>
      <w:r>
        <w:rPr>
          <w:rFonts w:hint="eastAsia" w:ascii="仿宋" w:eastAsia="仿宋"/>
          <w:sz w:val="28"/>
          <w:szCs w:val="28"/>
        </w:rPr>
        <w:t>六、</w:t>
      </w:r>
      <w:r>
        <w:fldChar w:fldCharType="begin"/>
      </w:r>
      <w:r>
        <w:instrText xml:space="preserve"> HYPERLINK \l "_Toc15396624" </w:instrText>
      </w:r>
      <w:r>
        <w:fldChar w:fldCharType="separate"/>
      </w:r>
      <w:r>
        <w:rPr>
          <w:rFonts w:hint="eastAsia" w:ascii="仿宋" w:eastAsia="仿宋"/>
          <w:sz w:val="28"/>
          <w:szCs w:val="28"/>
        </w:rPr>
        <w:t>一般公共预算财政拨款支出决算表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1</w:t>
      </w:r>
    </w:p>
    <w:p>
      <w:pPr>
        <w:pStyle w:val="11"/>
        <w:ind w:left="420"/>
        <w:rPr>
          <w:rFonts w:ascii="仿宋" w:eastAsia="仿宋" w:cs="Arial"/>
          <w:sz w:val="28"/>
          <w:szCs w:val="28"/>
        </w:rPr>
      </w:pPr>
      <w:r>
        <w:rPr>
          <w:rFonts w:hint="eastAsia" w:ascii="仿宋" w:eastAsia="仿宋"/>
          <w:sz w:val="28"/>
          <w:szCs w:val="28"/>
        </w:rPr>
        <w:t>七、</w:t>
      </w:r>
      <w:r>
        <w:fldChar w:fldCharType="begin"/>
      </w:r>
      <w:r>
        <w:instrText xml:space="preserve"> HYPERLINK \l "_Toc15396625" </w:instrText>
      </w:r>
      <w:r>
        <w:fldChar w:fldCharType="separate"/>
      </w:r>
      <w:r>
        <w:rPr>
          <w:rFonts w:hint="eastAsia" w:ascii="仿宋" w:eastAsia="仿宋"/>
          <w:sz w:val="28"/>
          <w:szCs w:val="28"/>
        </w:rPr>
        <w:t>一般公共预算财政拨款支出决算明细表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1</w:t>
      </w:r>
    </w:p>
    <w:p>
      <w:pPr>
        <w:pStyle w:val="11"/>
        <w:ind w:left="420"/>
        <w:rPr>
          <w:rFonts w:ascii="仿宋" w:eastAsia="仿宋" w:cs="Arial"/>
          <w:sz w:val="28"/>
          <w:szCs w:val="28"/>
        </w:rPr>
      </w:pPr>
      <w:r>
        <w:rPr>
          <w:rFonts w:hint="eastAsia" w:ascii="仿宋" w:eastAsia="仿宋"/>
          <w:sz w:val="28"/>
          <w:szCs w:val="28"/>
        </w:rPr>
        <w:t>八、</w:t>
      </w:r>
      <w:r>
        <w:fldChar w:fldCharType="begin"/>
      </w:r>
      <w:r>
        <w:instrText xml:space="preserve"> HYPERLINK \l "_Toc15396626" </w:instrText>
      </w:r>
      <w:r>
        <w:fldChar w:fldCharType="separate"/>
      </w:r>
      <w:r>
        <w:rPr>
          <w:rFonts w:hint="eastAsia" w:ascii="仿宋" w:eastAsia="仿宋"/>
          <w:sz w:val="28"/>
          <w:szCs w:val="28"/>
        </w:rPr>
        <w:t>一般公共预算财政拨款基本支出决算表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1</w:t>
      </w:r>
    </w:p>
    <w:p>
      <w:pPr>
        <w:pStyle w:val="11"/>
        <w:ind w:left="420"/>
        <w:rPr>
          <w:rFonts w:ascii="仿宋" w:eastAsia="仿宋" w:cs="Arial"/>
          <w:sz w:val="28"/>
          <w:szCs w:val="28"/>
        </w:rPr>
      </w:pPr>
      <w:r>
        <w:rPr>
          <w:rFonts w:hint="eastAsia" w:ascii="仿宋" w:eastAsia="仿宋"/>
          <w:sz w:val="28"/>
          <w:szCs w:val="28"/>
        </w:rPr>
        <w:t>九、</w:t>
      </w:r>
      <w:r>
        <w:fldChar w:fldCharType="begin"/>
      </w:r>
      <w:r>
        <w:instrText xml:space="preserve"> HYPERLINK \l "_Toc15396627" </w:instrText>
      </w:r>
      <w:r>
        <w:fldChar w:fldCharType="separate"/>
      </w:r>
      <w:r>
        <w:rPr>
          <w:rFonts w:hint="eastAsia" w:ascii="仿宋" w:eastAsia="仿宋"/>
          <w:sz w:val="28"/>
          <w:szCs w:val="28"/>
        </w:rPr>
        <w:t>一般公共预算财政拨款项目支出决算表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1</w:t>
      </w:r>
    </w:p>
    <w:p>
      <w:pPr>
        <w:pStyle w:val="11"/>
        <w:ind w:left="420"/>
        <w:rPr>
          <w:rFonts w:ascii="仿宋" w:eastAsia="仿宋" w:cs="Arial"/>
          <w:sz w:val="28"/>
          <w:szCs w:val="28"/>
        </w:rPr>
      </w:pPr>
      <w:r>
        <w:rPr>
          <w:rFonts w:hint="eastAsia" w:ascii="仿宋" w:eastAsia="仿宋"/>
          <w:sz w:val="28"/>
          <w:szCs w:val="28"/>
        </w:rPr>
        <w:t>十、</w:t>
      </w:r>
      <w:r>
        <w:fldChar w:fldCharType="begin"/>
      </w:r>
      <w:r>
        <w:instrText xml:space="preserve"> HYPERLINK \l "_Toc15396628" </w:instrText>
      </w:r>
      <w:r>
        <w:fldChar w:fldCharType="separate"/>
      </w:r>
      <w:r>
        <w:rPr>
          <w:rFonts w:hint="eastAsia" w:ascii="仿宋" w:eastAsia="仿宋"/>
          <w:sz w:val="28"/>
          <w:szCs w:val="28"/>
        </w:rPr>
        <w:t>一般公共预算财政拨款“三公”经费支出决算表</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1</w:t>
      </w:r>
    </w:p>
    <w:p>
      <w:pPr>
        <w:pStyle w:val="11"/>
        <w:ind w:left="420"/>
        <w:rPr>
          <w:rFonts w:ascii="仿宋" w:eastAsia="仿宋" w:cs="Arial"/>
          <w:sz w:val="28"/>
          <w:szCs w:val="28"/>
        </w:rPr>
      </w:pPr>
      <w:r>
        <w:rPr>
          <w:rFonts w:hint="eastAsia" w:ascii="仿宋" w:eastAsia="仿宋"/>
          <w:sz w:val="28"/>
          <w:szCs w:val="28"/>
        </w:rPr>
        <w:t>十一、</w:t>
      </w:r>
      <w:r>
        <w:fldChar w:fldCharType="begin"/>
      </w:r>
      <w:r>
        <w:instrText xml:space="preserve"> HYPERLINK \l "_Toc15396629" </w:instrText>
      </w:r>
      <w:r>
        <w:fldChar w:fldCharType="separate"/>
      </w:r>
      <w:r>
        <w:rPr>
          <w:rFonts w:hint="eastAsia" w:ascii="仿宋" w:eastAsia="仿宋"/>
          <w:sz w:val="28"/>
          <w:szCs w:val="28"/>
        </w:rPr>
        <w:t>封面代码</w:t>
      </w:r>
      <w:r>
        <w:rPr>
          <w:rFonts w:ascii="仿宋" w:eastAsia="仿宋"/>
          <w:sz w:val="28"/>
          <w:szCs w:val="28"/>
        </w:rPr>
        <w:tab/>
      </w:r>
      <w:r>
        <w:rPr>
          <w:rFonts w:hint="eastAsia" w:ascii="仿宋" w:eastAsia="仿宋"/>
          <w:sz w:val="28"/>
          <w:szCs w:val="28"/>
        </w:rPr>
        <w:t>3</w:t>
      </w:r>
      <w:r>
        <w:rPr>
          <w:rFonts w:hint="eastAsia" w:ascii="仿宋" w:eastAsia="仿宋"/>
          <w:sz w:val="28"/>
          <w:szCs w:val="28"/>
        </w:rPr>
        <w:fldChar w:fldCharType="end"/>
      </w:r>
      <w:r>
        <w:rPr>
          <w:rFonts w:hint="eastAsia" w:ascii="仿宋" w:eastAsia="仿宋"/>
          <w:sz w:val="28"/>
          <w:szCs w:val="28"/>
        </w:rPr>
        <w:t>1</w:t>
      </w:r>
    </w:p>
    <w:p>
      <w:pPr>
        <w:widowControl/>
        <w:jc w:val="left"/>
        <w:rPr>
          <w:rFonts w:ascii="仿宋" w:eastAsia="仿宋"/>
          <w:color w:val="000000"/>
          <w:sz w:val="24"/>
        </w:rPr>
      </w:pPr>
      <w:r>
        <w:rPr>
          <w:rFonts w:ascii="仿宋" w:eastAsia="仿宋"/>
          <w:color w:val="000000"/>
          <w:sz w:val="24"/>
        </w:rPr>
        <w:fldChar w:fldCharType="end"/>
      </w:r>
    </w:p>
    <w:p>
      <w:pPr>
        <w:widowControl/>
        <w:jc w:val="left"/>
        <w:rPr>
          <w:rFonts w:ascii="黑体" w:eastAsia="黑体"/>
          <w:bCs/>
          <w:kern w:val="44"/>
          <w:sz w:val="44"/>
          <w:szCs w:val="44"/>
        </w:rPr>
      </w:pPr>
      <w:bookmarkStart w:id="12" w:name="_Toc15377196"/>
      <w:bookmarkStart w:id="13" w:name="_Toc15396599"/>
      <w:r>
        <w:rPr>
          <w:rFonts w:ascii="黑体" w:eastAsia="黑体"/>
          <w:b/>
        </w:rPr>
        <w:br w:type="page"/>
      </w:r>
    </w:p>
    <w:p>
      <w:pPr>
        <w:pStyle w:val="2"/>
        <w:jc w:val="center"/>
        <w:rPr>
          <w:rFonts w:ascii="黑体" w:eastAsia="黑体"/>
          <w:color w:val="000000"/>
          <w:sz w:val="32"/>
          <w:szCs w:val="32"/>
        </w:rPr>
      </w:pPr>
      <w:r>
        <w:rPr>
          <w:rFonts w:hint="eastAsia" w:ascii="黑体" w:eastAsia="黑体"/>
          <w:b w:val="0"/>
        </w:rPr>
        <w:t xml:space="preserve">第一部分 </w:t>
      </w:r>
      <w:r>
        <w:rPr>
          <w:rStyle w:val="16"/>
          <w:rFonts w:hint="eastAsia" w:ascii="黑体" w:eastAsia="黑体"/>
          <w:b w:val="0"/>
          <w:bCs w:val="0"/>
        </w:rPr>
        <w:t>部门概况</w:t>
      </w:r>
      <w:bookmarkEnd w:id="12"/>
      <w:bookmarkEnd w:id="13"/>
    </w:p>
    <w:p>
      <w:pPr>
        <w:pStyle w:val="3"/>
        <w:spacing w:before="0" w:after="0" w:line="240" w:lineRule="auto"/>
        <w:ind w:left="640" w:hanging="640" w:hangingChars="200"/>
        <w:rPr>
          <w:rStyle w:val="17"/>
          <w:rFonts w:ascii="黑体" w:eastAsia="黑体"/>
          <w:b w:val="0"/>
          <w:bCs w:val="0"/>
        </w:rPr>
      </w:pPr>
      <w:bookmarkStart w:id="14" w:name="_Toc15396600"/>
      <w:bookmarkStart w:id="15" w:name="_Toc15377197"/>
      <w:r>
        <w:rPr>
          <w:rFonts w:hint="eastAsia" w:ascii="黑体" w:eastAsia="黑体"/>
          <w:b w:val="0"/>
          <w:color w:val="000000"/>
        </w:rPr>
        <w:t>一、基</w:t>
      </w:r>
      <w:r>
        <w:rPr>
          <w:rStyle w:val="17"/>
          <w:rFonts w:hint="eastAsia" w:ascii="黑体" w:eastAsia="黑体"/>
          <w:b w:val="0"/>
          <w:bCs w:val="0"/>
        </w:rPr>
        <w:t>本职能及主要工作</w:t>
      </w:r>
      <w:bookmarkEnd w:id="14"/>
      <w:bookmarkEnd w:id="15"/>
      <w:bookmarkStart w:id="16" w:name="_Toc15378445"/>
      <w:bookmarkStart w:id="17" w:name="_Toc15377198"/>
    </w:p>
    <w:p>
      <w:pPr>
        <w:pStyle w:val="3"/>
        <w:spacing w:before="0" w:after="0" w:line="240" w:lineRule="auto"/>
        <w:ind w:left="642" w:leftChars="153" w:hanging="321" w:hangingChars="100"/>
        <w:rPr>
          <w:rFonts w:ascii="楷体" w:eastAsia="楷体" w:cs="楷体"/>
          <w:color w:val="000000"/>
        </w:rPr>
      </w:pPr>
      <w:r>
        <w:rPr>
          <w:rFonts w:hint="eastAsia" w:ascii="楷体" w:eastAsia="楷体" w:cs="楷体"/>
          <w:color w:val="000000"/>
        </w:rPr>
        <w:t>（一）主要职能</w:t>
      </w:r>
      <w:bookmarkEnd w:id="16"/>
      <w:bookmarkEnd w:id="17"/>
      <w:bookmarkStart w:id="18" w:name="_Toc15378446"/>
      <w:bookmarkStart w:id="19" w:name="_Toc15377199"/>
    </w:p>
    <w:p>
      <w:pPr>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1.承担全面依法治县重大问题的政策研究，协调有关方面提出全面依法治县规划建议，负责有关行政决策部署督察工作。</w:t>
      </w:r>
    </w:p>
    <w:p>
      <w:pPr>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2.负责县政府规范性文件、重大行政决策发布前的合法性审查。承办县政府规范性文件的登记报送备案工作。负责各乡（镇）政府和县政府各部门规范性文件报送县政府的备案审查工作。组织开展规范性文件清理。</w:t>
      </w:r>
    </w:p>
    <w:p>
      <w:pPr>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3.承担统筹推进法治政府建设的责任。指导监督县政府各部门、乡（镇）依法行政工作。负责综合协调、监督检查行政执法，承担推进执法体制改革有关工作，推进严格规范公正文明执法。指导监督全县行政复议、行政应诉和行政赔偿工作，承办向县政府申请的行政复议、行政赔偿案件，代理县政府行政应诉案件。</w:t>
      </w:r>
    </w:p>
    <w:p>
      <w:pPr>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4.承担统筹规划法治社会建设的责任。负责拟订法治宣传规划。组织实施普法宣传工作，组织对外法治宣传。推动人民参与和促进法治建设。指导依法治理和法治创建工作。指导人民陪审员选任工作。将安全生产、职业健康、环境保护法律法规纳入公民普法教育重要内容并会同有关部门开展宣传普及，做好职责范围内的安全生产工作。</w:t>
      </w:r>
    </w:p>
    <w:p>
      <w:pPr>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5.指导管理社区矫正工作。指导刑满释放人员安置帮教安置工作能力。</w:t>
      </w:r>
    </w:p>
    <w:p>
      <w:pPr>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6.负责拟订全县公共法律服务体系建设规划并指导实施，统筹和布局全县法律服务资源。指导监督律师、法律援助、司法鉴定、公正、仲裁和基层法律服务管理工作。</w:t>
      </w:r>
    </w:p>
    <w:p>
      <w:pPr>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7.负责本系统服装和警车管理工作。指导监督本系统财务、装备、设施、场所等保障工作。</w:t>
      </w:r>
    </w:p>
    <w:p>
      <w:pPr>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8、、协调、指导法治人才队伍建设相关工作，指导监督本系统队伍建设。负责本系统警务管理和警务督察工作。</w:t>
      </w:r>
    </w:p>
    <w:p>
      <w:pPr>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9.负责并指导本系统行政审批工作。负责全县外来企业投诉处理和民营企业法律服务工作。</w:t>
      </w:r>
    </w:p>
    <w:p>
      <w:pPr>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10.承担司法所建设和管理工作。负责县司法派出机构司法所基础设施建设及队伍建设，管理指导司法所开展各项职能工作。</w:t>
      </w:r>
    </w:p>
    <w:p>
      <w:pPr>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11.完成县委、县政府交办的其他任务。</w:t>
      </w:r>
    </w:p>
    <w:p>
      <w:pPr>
        <w:pStyle w:val="3"/>
        <w:spacing w:before="0" w:after="0" w:line="240" w:lineRule="auto"/>
        <w:ind w:firstLine="321" w:firstLineChars="100"/>
        <w:rPr>
          <w:rFonts w:ascii="楷体" w:eastAsia="楷体" w:cs="楷体"/>
          <w:color w:val="000000"/>
        </w:rPr>
      </w:pPr>
      <w:r>
        <w:rPr>
          <w:rFonts w:hint="eastAsia" w:ascii="楷体" w:eastAsia="楷体" w:cs="楷体"/>
          <w:color w:val="000000"/>
        </w:rPr>
        <w:t>（二）2020年重点工作完成情况</w:t>
      </w:r>
      <w:bookmarkEnd w:id="18"/>
      <w:bookmarkEnd w:id="19"/>
    </w:p>
    <w:p>
      <w:pPr>
        <w:tabs>
          <w:tab w:val="left" w:pos="0"/>
        </w:tabs>
        <w:spacing w:line="578" w:lineRule="exact"/>
        <w:ind w:firstLine="643" w:firstLineChars="200"/>
        <w:rPr>
          <w:rFonts w:ascii="仿宋_GB2312" w:eastAsia="仿宋_GB2312"/>
          <w:color w:val="C00000"/>
          <w:sz w:val="32"/>
          <w:szCs w:val="32"/>
        </w:rPr>
      </w:pPr>
      <w:bookmarkStart w:id="20" w:name="_Toc15396601"/>
      <w:bookmarkStart w:id="21" w:name="_Toc15377200"/>
      <w:r>
        <w:rPr>
          <w:rFonts w:hint="eastAsia" w:ascii="仿宋_GB2312" w:hAnsi="仿宋_GB2312" w:eastAsia="仿宋_GB2312" w:cs="仿宋_GB2312"/>
          <w:b/>
          <w:bCs/>
          <w:sz w:val="32"/>
          <w:szCs w:val="32"/>
        </w:rPr>
        <w:t>一是</w:t>
      </w:r>
      <w:r>
        <w:rPr>
          <w:rFonts w:hint="eastAsia" w:ascii="仿宋_GB2312" w:hAnsi="仿宋_GB2312" w:eastAsia="仿宋_GB2312" w:cs="仿宋_GB2312"/>
          <w:sz w:val="32"/>
          <w:szCs w:val="32"/>
        </w:rPr>
        <w:t>全面落实从严治党责任。认真抓好抓实党组中心组理论学习。强化“一岗双责”，严格执纪监督，推进全面从严治党有力进展。</w:t>
      </w:r>
      <w:r>
        <w:rPr>
          <w:rFonts w:hint="eastAsia" w:ascii="仿宋_GB2312" w:hAnsi="仿宋_GB2312" w:eastAsia="仿宋_GB2312" w:cs="仿宋_GB2312"/>
          <w:b/>
          <w:bCs/>
          <w:sz w:val="32"/>
          <w:szCs w:val="32"/>
        </w:rPr>
        <w:t>二是</w:t>
      </w:r>
      <w:r>
        <w:rPr>
          <w:rFonts w:hint="eastAsia" w:ascii="仿宋_GB2312" w:hAnsi="仿宋_GB2312" w:eastAsia="仿宋_GB2312" w:cs="仿宋_GB2312"/>
          <w:sz w:val="32"/>
          <w:szCs w:val="32"/>
        </w:rPr>
        <w:t>严肃组织生活。扎实开展组织生活会、民主评议党员活动，年初制定《2020年党建工作要点》，明确全局党建工作的目标任务。</w:t>
      </w:r>
      <w:r>
        <w:rPr>
          <w:rFonts w:hint="eastAsia" w:ascii="仿宋_GB2312" w:hAnsi="仿宋_GB2312" w:eastAsia="仿宋_GB2312" w:cs="仿宋_GB2312"/>
          <w:b/>
          <w:bCs/>
          <w:sz w:val="32"/>
          <w:szCs w:val="32"/>
        </w:rPr>
        <w:t>三是</w:t>
      </w:r>
      <w:r>
        <w:rPr>
          <w:rFonts w:hint="eastAsia" w:ascii="仿宋_GB2312" w:hAnsi="仿宋_GB2312" w:eastAsia="仿宋_GB2312" w:cs="仿宋_GB2312"/>
          <w:sz w:val="32"/>
          <w:szCs w:val="32"/>
        </w:rPr>
        <w:t>结合“百千万”工程在全县扎实开展法律政策“七进”工作，积极探索创新法律扶贫新思路，攻坚克难，形成了村民遵规守法、邻里和谐的良好氛围，并圆满完成脱贫攻坚定点帮扶工作。</w:t>
      </w:r>
      <w:r>
        <w:rPr>
          <w:rFonts w:hint="eastAsia" w:ascii="仿宋_GB2312" w:hAnsi="仿宋_GB2312" w:eastAsia="仿宋_GB2312" w:cs="仿宋_GB2312"/>
          <w:b/>
          <w:bCs/>
          <w:sz w:val="32"/>
          <w:szCs w:val="32"/>
        </w:rPr>
        <w:t>四是</w:t>
      </w:r>
      <w:r>
        <w:rPr>
          <w:rStyle w:val="24"/>
          <w:rFonts w:hint="eastAsia" w:ascii="仿宋_GB2312" w:hAnsi="仿宋_GB2312" w:eastAsia="仿宋_GB2312"/>
          <w:color w:val="000000"/>
          <w:spacing w:val="-5"/>
          <w:kern w:val="0"/>
          <w:sz w:val="32"/>
          <w:szCs w:val="32"/>
        </w:rPr>
        <w:t>为认真贯彻落实金川县深入开展“三大行动”持续深化“两联一进”群众工作全覆盖，我局结合实际</w:t>
      </w:r>
      <w:r>
        <w:rPr>
          <w:rStyle w:val="24"/>
          <w:rFonts w:ascii="仿宋_GB2312" w:hAnsi="仿宋_GB2312" w:eastAsia="仿宋_GB2312"/>
          <w:color w:val="000000"/>
          <w:spacing w:val="-5"/>
          <w:kern w:val="0"/>
          <w:sz w:val="32"/>
          <w:szCs w:val="32"/>
        </w:rPr>
        <w:t>，进一步细化工作措施，制定下发了《关于干部作风大转变行动的实施方案》和《关于矛盾纠纷大化解行动的实施方案》，</w:t>
      </w:r>
      <w:r>
        <w:rPr>
          <w:rStyle w:val="24"/>
          <w:rFonts w:hint="eastAsia" w:ascii="仿宋_GB2312" w:hAnsi="仿宋_GB2312" w:eastAsia="仿宋_GB2312"/>
          <w:color w:val="000000"/>
          <w:spacing w:val="-5"/>
          <w:kern w:val="0"/>
          <w:sz w:val="32"/>
          <w:szCs w:val="32"/>
        </w:rPr>
        <w:t>狠下功夫解决好干部作风、基层治理、矛盾纠纷排查化解等方面存在的问题，为建设“四地三县两个金川”推动发展和长治久安提供强有力的保障</w:t>
      </w:r>
      <w:r>
        <w:rPr>
          <w:rStyle w:val="24"/>
          <w:rFonts w:ascii="仿宋_GB2312" w:hAnsi="仿宋_GB2312" w:eastAsia="仿宋_GB2312"/>
          <w:color w:val="000000"/>
          <w:spacing w:val="-5"/>
          <w:kern w:val="0"/>
          <w:sz w:val="32"/>
          <w:szCs w:val="32"/>
        </w:rPr>
        <w:t>。</w:t>
      </w:r>
      <w:r>
        <w:rPr>
          <w:rStyle w:val="24"/>
          <w:rFonts w:hint="eastAsia" w:ascii="仿宋_GB2312" w:hAnsi="仿宋_GB2312" w:eastAsia="仿宋_GB2312"/>
          <w:b/>
          <w:bCs/>
          <w:color w:val="000000"/>
          <w:spacing w:val="-5"/>
          <w:kern w:val="0"/>
          <w:sz w:val="32"/>
          <w:szCs w:val="32"/>
        </w:rPr>
        <w:t>五是</w:t>
      </w:r>
      <w:r>
        <w:rPr>
          <w:rFonts w:hint="eastAsia" w:ascii="仿宋_GB2312" w:hAnsi="仿宋_GB2312" w:eastAsia="仿宋_GB2312" w:cs="仿宋_GB2312"/>
          <w:sz w:val="32"/>
          <w:szCs w:val="32"/>
        </w:rPr>
        <w:t>加强思想政治建设。深入贯彻落实党的十九大、十九届四中、五中全会精神和省委、州委、县委全会精神以及中央第七次西藏工作座谈会精神，切实将精神指导学懂、弄通、做实。积极引导全体干部职工树牢“四个意识”，增强“四个自信”，做到两个维护充分发挥精诚团结奋发进取，争创一流的司法行政队伍。</w:t>
      </w:r>
      <w:r>
        <w:rPr>
          <w:rFonts w:hint="eastAsia" w:ascii="仿宋" w:hAnsi="仿宋" w:eastAsia="仿宋" w:cs="仿宋"/>
          <w:sz w:val="32"/>
          <w:szCs w:val="32"/>
        </w:rPr>
        <w:t>全年，以网络媒体在线学习培训为主共开展各类学习教育30场次，受教育干部职工430余人次；开展各项网络在线学习培训12场，累计约 800人次。</w:t>
      </w:r>
    </w:p>
    <w:p>
      <w:pPr>
        <w:spacing w:line="578" w:lineRule="exact"/>
        <w:ind w:firstLine="640" w:firstLineChars="200"/>
        <w:rPr>
          <w:rStyle w:val="17"/>
          <w:b w:val="0"/>
          <w:bCs w:val="0"/>
        </w:rPr>
      </w:pPr>
      <w:r>
        <w:rPr>
          <w:rStyle w:val="17"/>
          <w:rFonts w:hint="eastAsia" w:ascii="黑体" w:eastAsia="黑体"/>
          <w:b w:val="0"/>
          <w:bCs w:val="0"/>
        </w:rPr>
        <w:t>二、机构设置</w:t>
      </w:r>
      <w:bookmarkEnd w:id="20"/>
      <w:bookmarkEnd w:id="21"/>
    </w:p>
    <w:p>
      <w:pPr>
        <w:snapToGrid w:val="0"/>
        <w:spacing w:line="360" w:lineRule="auto"/>
        <w:rPr>
          <w:rFonts w:ascii="仿宋_GB2312" w:eastAsia="仿宋_GB2312"/>
          <w:sz w:val="30"/>
          <w:szCs w:val="30"/>
        </w:rPr>
      </w:pPr>
      <w:bookmarkStart w:id="22" w:name="_Toc15377204"/>
      <w:bookmarkStart w:id="23" w:name="_Toc15396602"/>
      <w:r>
        <w:rPr>
          <w:rFonts w:hint="eastAsia" w:ascii="仿宋_GB2312" w:eastAsia="仿宋_GB2312"/>
          <w:sz w:val="30"/>
          <w:szCs w:val="30"/>
        </w:rPr>
        <w:t xml:space="preserve">  1、机构情况：</w:t>
      </w:r>
      <w:r>
        <w:rPr>
          <w:rFonts w:hint="eastAsia" w:ascii="仿宋_GB2312" w:hAnsi="仿宋_GB2312" w:eastAsia="仿宋_GB2312" w:cs="仿宋_GB2312"/>
          <w:sz w:val="30"/>
          <w:szCs w:val="30"/>
        </w:rPr>
        <w:t>县司法局为政府工作部门，独立编制机构数1个，独立核算机构数1个</w:t>
      </w:r>
      <w:r>
        <w:rPr>
          <w:rFonts w:hint="eastAsia" w:ascii="仿宋_GB2312" w:eastAsia="仿宋_GB2312"/>
          <w:sz w:val="30"/>
          <w:szCs w:val="30"/>
        </w:rPr>
        <w:t>。</w:t>
      </w:r>
    </w:p>
    <w:p>
      <w:pPr>
        <w:snapToGrid w:val="0"/>
        <w:spacing w:line="360" w:lineRule="auto"/>
        <w:ind w:firstLine="300" w:firstLineChars="100"/>
        <w:rPr>
          <w:rFonts w:ascii="楷体" w:hAnsi="楷体" w:eastAsia="楷体" w:cs="楷体"/>
          <w:b/>
          <w:bCs/>
          <w:sz w:val="30"/>
          <w:szCs w:val="30"/>
        </w:rPr>
      </w:pPr>
      <w:r>
        <w:rPr>
          <w:rFonts w:hint="eastAsia" w:ascii="仿宋_GB2312" w:eastAsia="仿宋_GB2312"/>
          <w:sz w:val="30"/>
          <w:szCs w:val="30"/>
        </w:rPr>
        <w:t>2.人员情况：</w:t>
      </w:r>
      <w:r>
        <w:rPr>
          <w:rFonts w:hint="eastAsia" w:ascii="仿宋_GB2312" w:hAnsi="仿宋_GB2312" w:eastAsia="仿宋_GB2312" w:cs="仿宋_GB2312"/>
          <w:sz w:val="30"/>
          <w:szCs w:val="30"/>
        </w:rPr>
        <w:t>单位编制数53个，其中：公务员编制44个；行政工勤编制2个；事业7个；截止2020年末，单位实有人数56人，其中：在职56人（公务员46人；行政工勤3人；事业人员7人），退休13人（退休人员工资转由社保部门发放）。</w:t>
      </w:r>
    </w:p>
    <w:p>
      <w:pPr>
        <w:pStyle w:val="2"/>
        <w:ind w:right="440"/>
        <w:jc w:val="right"/>
      </w:pPr>
      <w:r>
        <w:rPr>
          <w:rFonts w:hint="eastAsia" w:ascii="黑体" w:eastAsia="黑体"/>
          <w:b w:val="0"/>
          <w:color w:val="000000"/>
        </w:rPr>
        <w:t>第二部分</w:t>
      </w:r>
      <w:r>
        <w:rPr>
          <w:rFonts w:hint="eastAsia" w:ascii="黑体" w:eastAsia="黑体"/>
          <w:color w:val="000000"/>
        </w:rPr>
        <w:t xml:space="preserve"> </w:t>
      </w:r>
      <w:r>
        <w:rPr>
          <w:rStyle w:val="16"/>
          <w:rFonts w:hint="eastAsia" w:ascii="黑体" w:eastAsia="黑体"/>
          <w:b w:val="0"/>
          <w:bCs w:val="0"/>
        </w:rPr>
        <w:t>2020年度部门决算情况说明</w:t>
      </w:r>
      <w:bookmarkEnd w:id="22"/>
      <w:bookmarkEnd w:id="23"/>
    </w:p>
    <w:p>
      <w:pPr>
        <w:pStyle w:val="22"/>
        <w:numPr>
          <w:ilvl w:val="0"/>
          <w:numId w:val="1"/>
        </w:numPr>
        <w:ind w:left="0" w:firstLine="0" w:firstLineChars="0"/>
        <w:outlineLvl w:val="1"/>
        <w:rPr>
          <w:rStyle w:val="17"/>
          <w:rFonts w:ascii="黑体" w:eastAsia="黑体"/>
          <w:b w:val="0"/>
        </w:rPr>
      </w:pPr>
      <w:bookmarkStart w:id="24" w:name="_Toc15377205"/>
      <w:bookmarkStart w:id="25" w:name="_Toc15396603"/>
      <w:r>
        <w:rPr>
          <w:rFonts w:hint="eastAsia" w:ascii="黑体" w:eastAsia="黑体"/>
          <w:color w:val="000000"/>
          <w:sz w:val="32"/>
          <w:szCs w:val="32"/>
        </w:rPr>
        <w:t>收</w:t>
      </w:r>
      <w:r>
        <w:rPr>
          <w:rStyle w:val="17"/>
          <w:rFonts w:hint="eastAsia" w:ascii="黑体" w:eastAsia="黑体"/>
          <w:b w:val="0"/>
        </w:rPr>
        <w:t>入支出决算总体情况说明</w:t>
      </w:r>
      <w:bookmarkEnd w:id="24"/>
      <w:bookmarkEnd w:id="25"/>
    </w:p>
    <w:p>
      <w:pPr>
        <w:snapToGrid w:val="0"/>
        <w:spacing w:line="520" w:lineRule="exact"/>
        <w:ind w:firstLine="632" w:firstLineChars="200"/>
        <w:rPr>
          <w:rFonts w:ascii="仿宋_GB2312" w:eastAsia="仿宋_GB2312"/>
          <w:color w:val="000000"/>
          <w:spacing w:val="-2"/>
          <w:sz w:val="32"/>
          <w:szCs w:val="32"/>
        </w:rPr>
      </w:pPr>
      <w:r>
        <w:rPr>
          <w:rFonts w:hint="eastAsia" w:ascii="仿宋_GB2312" w:eastAsia="仿宋_GB2312"/>
          <w:color w:val="000000"/>
          <w:spacing w:val="-2"/>
          <w:sz w:val="32"/>
          <w:szCs w:val="32"/>
        </w:rPr>
        <w:t>2020年度总收入1336.61万元，较上年收入增加239.27万元，增加21.8%。增加的主要原因是2020年人员增加。</w:t>
      </w:r>
    </w:p>
    <w:p>
      <w:pPr>
        <w:snapToGrid w:val="0"/>
        <w:spacing w:line="520" w:lineRule="exact"/>
        <w:ind w:firstLine="632" w:firstLineChars="200"/>
        <w:rPr>
          <w:rFonts w:ascii="仿宋" w:eastAsia="仿宋"/>
          <w:sz w:val="32"/>
          <w:szCs w:val="32"/>
        </w:rPr>
      </w:pPr>
      <w:r>
        <w:rPr>
          <w:rFonts w:hint="eastAsia" w:ascii="仿宋_GB2312" w:eastAsia="仿宋_GB2312"/>
          <w:spacing w:val="-2"/>
          <w:sz w:val="32"/>
          <w:szCs w:val="32"/>
        </w:rPr>
        <w:t>2020年总支出1262.03万元，较上年支出增加159.39万元，增加14.56%。主要原因一是当年部门预算安排项目经费较上年有所增加；二是2020年人员增加。</w:t>
      </w:r>
    </w:p>
    <w:p>
      <w:pPr>
        <w:spacing w:line="600" w:lineRule="exact"/>
        <w:ind w:firstLine="640" w:firstLineChars="200"/>
        <w:rPr>
          <w:rStyle w:val="17"/>
          <w:rFonts w:ascii="黑体" w:eastAsia="黑体"/>
          <w:b w:val="0"/>
        </w:rPr>
      </w:pPr>
      <w:r>
        <w:rPr>
          <w:rFonts w:hint="eastAsia" w:ascii="黑体" w:eastAsia="黑体"/>
          <w:color w:val="000000"/>
          <w:sz w:val="32"/>
          <w:szCs w:val="32"/>
        </w:rPr>
        <w:drawing>
          <wp:anchor distT="0" distB="0" distL="114300" distR="114300" simplePos="0" relativeHeight="251659264" behindDoc="0" locked="0" layoutInCell="1" allowOverlap="1">
            <wp:simplePos x="0" y="0"/>
            <wp:positionH relativeFrom="column">
              <wp:posOffset>295910</wp:posOffset>
            </wp:positionH>
            <wp:positionV relativeFrom="paragraph">
              <wp:posOffset>45720</wp:posOffset>
            </wp:positionV>
            <wp:extent cx="5080000" cy="2582545"/>
            <wp:effectExtent l="0" t="0" r="0" b="0"/>
            <wp:wrapTopAndBottom/>
            <wp:docPr id="1" name="图表 4"/>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bookmarkStart w:id="26" w:name="_Toc15396604"/>
      <w:bookmarkStart w:id="27" w:name="_Toc15377206"/>
      <w:r>
        <w:rPr>
          <w:rFonts w:hint="eastAsia" w:ascii="黑体" w:eastAsia="黑体"/>
          <w:color w:val="000000"/>
          <w:sz w:val="32"/>
          <w:szCs w:val="32"/>
        </w:rPr>
        <w:t>二、收入决</w:t>
      </w:r>
      <w:r>
        <w:rPr>
          <w:rStyle w:val="17"/>
          <w:rFonts w:hint="eastAsia" w:ascii="黑体" w:eastAsia="黑体"/>
          <w:b w:val="0"/>
        </w:rPr>
        <w:t>算情况说明</w:t>
      </w:r>
      <w:bookmarkEnd w:id="26"/>
      <w:bookmarkEnd w:id="27"/>
    </w:p>
    <w:p>
      <w:pPr>
        <w:spacing w:line="600" w:lineRule="exact"/>
        <w:ind w:firstLine="640" w:firstLineChars="200"/>
        <w:outlineLvl w:val="1"/>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20年总收入1336.61万元，其中：一般公共预算财政拨款收入1198.43万元，占89.66</w:t>
      </w:r>
      <w:r>
        <w:rPr>
          <w:rFonts w:ascii="仿宋" w:eastAsia="仿宋"/>
          <w:color w:val="000000"/>
          <w:sz w:val="32"/>
          <w:szCs w:val="32"/>
        </w:rPr>
        <w:t>%</w:t>
      </w:r>
      <w:r>
        <w:rPr>
          <w:rFonts w:hint="eastAsia" w:ascii="仿宋" w:eastAsia="仿宋"/>
          <w:color w:val="000000"/>
          <w:sz w:val="32"/>
          <w:szCs w:val="32"/>
        </w:rPr>
        <w:t>；政府性基金预算财政拨款收入0万元，占0</w:t>
      </w:r>
      <w:r>
        <w:rPr>
          <w:rFonts w:ascii="仿宋" w:eastAsia="仿宋"/>
          <w:color w:val="000000"/>
          <w:sz w:val="32"/>
          <w:szCs w:val="32"/>
        </w:rPr>
        <w:t>%</w:t>
      </w:r>
      <w:r>
        <w:rPr>
          <w:rFonts w:hint="eastAsia" w:ascii="仿宋" w:eastAsia="仿宋"/>
          <w:color w:val="000000"/>
          <w:sz w:val="32"/>
          <w:szCs w:val="32"/>
        </w:rPr>
        <w:t>；国有资本经营预算财政拨款收入0万元，占0</w:t>
      </w:r>
      <w:r>
        <w:rPr>
          <w:rFonts w:ascii="仿宋" w:eastAsia="仿宋"/>
          <w:color w:val="000000"/>
          <w:sz w:val="32"/>
          <w:szCs w:val="32"/>
        </w:rPr>
        <w:t>%</w:t>
      </w:r>
      <w:r>
        <w:rPr>
          <w:rFonts w:hint="eastAsia" w:ascii="仿宋" w:eastAsia="仿宋"/>
          <w:color w:val="000000"/>
          <w:sz w:val="32"/>
          <w:szCs w:val="32"/>
        </w:rPr>
        <w:t>；事业收入0万元，占0</w:t>
      </w:r>
      <w:r>
        <w:rPr>
          <w:rFonts w:ascii="仿宋" w:eastAsia="仿宋"/>
          <w:color w:val="000000"/>
          <w:sz w:val="32"/>
          <w:szCs w:val="32"/>
        </w:rPr>
        <w:t>%</w:t>
      </w:r>
      <w:r>
        <w:rPr>
          <w:rFonts w:hint="eastAsia" w:ascii="仿宋" w:eastAsia="仿宋"/>
          <w:color w:val="000000"/>
          <w:sz w:val="32"/>
          <w:szCs w:val="32"/>
        </w:rPr>
        <w:t>；经营收入0万元，占0</w:t>
      </w:r>
      <w:r>
        <w:rPr>
          <w:rFonts w:ascii="仿宋" w:eastAsia="仿宋"/>
          <w:color w:val="000000"/>
          <w:sz w:val="32"/>
          <w:szCs w:val="32"/>
        </w:rPr>
        <w:t>%</w:t>
      </w:r>
      <w:r>
        <w:rPr>
          <w:rFonts w:hint="eastAsia" w:ascii="仿宋" w:eastAsia="仿宋"/>
          <w:color w:val="000000"/>
          <w:sz w:val="32"/>
          <w:szCs w:val="32"/>
        </w:rPr>
        <w:t>；附属单位上缴收入0万元，占0</w:t>
      </w:r>
      <w:r>
        <w:rPr>
          <w:rFonts w:ascii="仿宋" w:eastAsia="仿宋"/>
          <w:color w:val="000000"/>
          <w:sz w:val="32"/>
          <w:szCs w:val="32"/>
        </w:rPr>
        <w:t>%</w:t>
      </w:r>
      <w:r>
        <w:rPr>
          <w:rFonts w:hint="eastAsia" w:ascii="仿宋" w:eastAsia="仿宋"/>
          <w:color w:val="000000"/>
          <w:sz w:val="32"/>
          <w:szCs w:val="32"/>
        </w:rPr>
        <w:t>；其他收入138.18万元，占10.34%（上年结转）。</w:t>
      </w:r>
    </w:p>
    <w:p>
      <w:pPr>
        <w:spacing w:line="600" w:lineRule="exact"/>
        <w:ind w:firstLine="640" w:firstLineChars="200"/>
        <w:outlineLvl w:val="1"/>
        <w:rPr>
          <w:rStyle w:val="17"/>
          <w:rFonts w:ascii="黑体" w:eastAsia="黑体"/>
          <w:b w:val="0"/>
        </w:rPr>
      </w:pPr>
      <w:r>
        <w:rPr>
          <w:rFonts w:hint="eastAsia" w:ascii="黑体" w:eastAsia="黑体"/>
          <w:color w:val="000000"/>
          <w:sz w:val="32"/>
          <w:szCs w:val="32"/>
        </w:rPr>
        <w:drawing>
          <wp:anchor distT="0" distB="0" distL="114300" distR="114300" simplePos="0" relativeHeight="251660288" behindDoc="0" locked="0" layoutInCell="1" allowOverlap="1">
            <wp:simplePos x="0" y="0"/>
            <wp:positionH relativeFrom="column">
              <wp:posOffset>177165</wp:posOffset>
            </wp:positionH>
            <wp:positionV relativeFrom="paragraph">
              <wp:posOffset>134620</wp:posOffset>
            </wp:positionV>
            <wp:extent cx="5373370" cy="2648585"/>
            <wp:effectExtent l="0" t="0" r="0" b="0"/>
            <wp:wrapTopAndBottom/>
            <wp:docPr id="2"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bookmarkStart w:id="28" w:name="_Toc15377207"/>
      <w:bookmarkStart w:id="29" w:name="_Toc15396605"/>
      <w:r>
        <w:rPr>
          <w:rFonts w:hint="eastAsia" w:ascii="黑体" w:eastAsia="黑体"/>
          <w:color w:val="000000"/>
          <w:sz w:val="32"/>
          <w:szCs w:val="32"/>
        </w:rPr>
        <w:t>三、支出决</w:t>
      </w:r>
      <w:r>
        <w:rPr>
          <w:rStyle w:val="17"/>
          <w:rFonts w:hint="eastAsia" w:ascii="黑体" w:eastAsia="黑体"/>
          <w:b w:val="0"/>
        </w:rPr>
        <w:t>算情况说明</w:t>
      </w:r>
      <w:bookmarkEnd w:id="28"/>
      <w:bookmarkEnd w:id="29"/>
    </w:p>
    <w:p>
      <w:pPr>
        <w:spacing w:line="600" w:lineRule="exact"/>
        <w:ind w:firstLine="640"/>
        <w:rPr>
          <w:rFonts w:ascii="仿宋" w:eastAsia="仿宋"/>
          <w:color w:val="000000"/>
          <w:sz w:val="32"/>
          <w:szCs w:val="32"/>
          <w:shd w:val="pct10" w:color="auto" w:fill="FFFFFF"/>
        </w:rPr>
      </w:pPr>
      <w:r>
        <w:rPr>
          <w:rFonts w:hint="eastAsia" w:ascii="仿宋" w:eastAsia="仿宋"/>
          <w:color w:val="000000"/>
          <w:sz w:val="32"/>
          <w:szCs w:val="32"/>
        </w:rPr>
        <w:t>2020年本年总支出1262.03万元，其中：基本支出1036.63万元，占82.14%；项目支出225.4万元，占17.86%；上缴上级支出0万元，占0%；经营支出0万元，占0</w:t>
      </w:r>
      <w:r>
        <w:rPr>
          <w:rFonts w:ascii="仿宋" w:eastAsia="仿宋"/>
          <w:color w:val="000000"/>
          <w:sz w:val="32"/>
          <w:szCs w:val="32"/>
        </w:rPr>
        <w:t>%</w:t>
      </w:r>
      <w:r>
        <w:rPr>
          <w:rFonts w:hint="eastAsia" w:ascii="仿宋" w:eastAsia="仿宋"/>
          <w:color w:val="000000"/>
          <w:sz w:val="32"/>
          <w:szCs w:val="32"/>
        </w:rPr>
        <w:t>；对附属单位补助支出0万元，占0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firstLineChars="200"/>
        <w:rPr>
          <w:rFonts w:ascii="仿宋_GB2312" w:eastAsia="仿宋_GB2312"/>
          <w:color w:val="FF0000"/>
          <w:sz w:val="32"/>
          <w:szCs w:val="32"/>
        </w:rPr>
      </w:pPr>
      <w:r>
        <w:rPr>
          <w:rFonts w:hint="eastAsia" w:ascii="仿宋_GB2312" w:eastAsia="仿宋_GB2312"/>
          <w:color w:val="FF0000"/>
          <w:sz w:val="32"/>
          <w:szCs w:val="32"/>
        </w:rPr>
        <w:drawing>
          <wp:anchor distT="0" distB="0" distL="114300" distR="114300" simplePos="0" relativeHeight="251661312" behindDoc="0" locked="0" layoutInCell="1" allowOverlap="1">
            <wp:simplePos x="0" y="0"/>
            <wp:positionH relativeFrom="column">
              <wp:posOffset>64770</wp:posOffset>
            </wp:positionH>
            <wp:positionV relativeFrom="paragraph">
              <wp:posOffset>136525</wp:posOffset>
            </wp:positionV>
            <wp:extent cx="5061585" cy="1984375"/>
            <wp:effectExtent l="0" t="0" r="0" b="0"/>
            <wp:wrapTopAndBottom/>
            <wp:docPr id="3"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p>
    <w:p>
      <w:pPr>
        <w:spacing w:line="600" w:lineRule="exact"/>
        <w:ind w:firstLine="640" w:firstLineChars="200"/>
        <w:outlineLvl w:val="1"/>
        <w:rPr>
          <w:rStyle w:val="17"/>
          <w:rFonts w:ascii="黑体" w:eastAsia="黑体"/>
          <w:b w:val="0"/>
        </w:rPr>
      </w:pPr>
      <w:bookmarkStart w:id="30" w:name="_Toc15396606"/>
      <w:bookmarkStart w:id="31" w:name="_Toc15377208"/>
      <w:r>
        <w:rPr>
          <w:rFonts w:hint="eastAsia" w:ascii="黑体" w:eastAsia="黑体"/>
          <w:color w:val="000000"/>
          <w:sz w:val="32"/>
          <w:szCs w:val="32"/>
        </w:rPr>
        <w:t>四、财</w:t>
      </w:r>
      <w:r>
        <w:rPr>
          <w:rStyle w:val="17"/>
          <w:rFonts w:hint="eastAsia" w:ascii="黑体" w:eastAsia="黑体"/>
          <w:b w:val="0"/>
        </w:rPr>
        <w:t>政拨款收入支出决算总体情况说明</w:t>
      </w:r>
      <w:bookmarkEnd w:id="30"/>
      <w:bookmarkEnd w:id="31"/>
    </w:p>
    <w:p>
      <w:pPr>
        <w:snapToGrid w:val="0"/>
        <w:spacing w:line="520" w:lineRule="exact"/>
        <w:ind w:firstLine="640" w:firstLineChars="200"/>
        <w:rPr>
          <w:rFonts w:ascii="仿宋" w:eastAsia="仿宋"/>
          <w:color w:val="FF0000"/>
          <w:sz w:val="32"/>
          <w:szCs w:val="32"/>
        </w:rPr>
      </w:pPr>
      <w:r>
        <w:rPr>
          <w:rFonts w:hint="eastAsia" w:ascii="仿宋" w:eastAsia="仿宋"/>
          <w:color w:val="000000"/>
          <w:sz w:val="32"/>
          <w:szCs w:val="32"/>
        </w:rPr>
        <w:t>2020年财政拨款收入1198.43万元。与2019年相比，一般公共预算财政拨款收入较上年增加101.09万元，减少9.21%。增加的主要原因是2020年人员增加。</w:t>
      </w:r>
    </w:p>
    <w:p>
      <w:pPr>
        <w:spacing w:line="600" w:lineRule="exact"/>
        <w:ind w:firstLine="640" w:firstLineChars="200"/>
        <w:rPr>
          <w:rStyle w:val="17"/>
          <w:rFonts w:ascii="黑体" w:eastAsia="黑体"/>
          <w:b w:val="0"/>
        </w:rPr>
      </w:pPr>
      <w:r>
        <w:rPr>
          <w:rFonts w:hint="eastAsia" w:ascii="仿宋" w:eastAsia="仿宋"/>
          <w:color w:val="000000"/>
          <w:sz w:val="32"/>
          <w:szCs w:val="32"/>
        </w:rPr>
        <w:drawing>
          <wp:anchor distT="0" distB="0" distL="114300" distR="114300" simplePos="0" relativeHeight="251662336" behindDoc="0" locked="0" layoutInCell="1"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bookmarkStart w:id="32" w:name="_Toc15377209"/>
      <w:bookmarkStart w:id="33" w:name="_Toc15396607"/>
      <w:r>
        <w:rPr>
          <w:rFonts w:hint="eastAsia" w:ascii="黑体" w:eastAsia="黑体"/>
          <w:color w:val="000000"/>
          <w:sz w:val="32"/>
          <w:szCs w:val="32"/>
        </w:rPr>
        <w:t>五、</w:t>
      </w:r>
      <w:r>
        <w:rPr>
          <w:rFonts w:hint="eastAsia" w:ascii="黑体" w:eastAsia="黑体"/>
          <w:b/>
          <w:color w:val="000000"/>
          <w:sz w:val="32"/>
          <w:szCs w:val="32"/>
        </w:rPr>
        <w:t>一</w:t>
      </w:r>
      <w:r>
        <w:rPr>
          <w:rStyle w:val="17"/>
          <w:rFonts w:hint="eastAsia" w:ascii="黑体" w:eastAsia="黑体"/>
          <w:b w:val="0"/>
        </w:rPr>
        <w:t>般公共预算财政拨款支出决算情况说明</w:t>
      </w:r>
      <w:bookmarkEnd w:id="32"/>
      <w:bookmarkEnd w:id="33"/>
    </w:p>
    <w:p>
      <w:pPr>
        <w:spacing w:line="600" w:lineRule="exact"/>
        <w:ind w:firstLine="643" w:firstLineChars="200"/>
        <w:outlineLvl w:val="2"/>
        <w:rPr>
          <w:rFonts w:ascii="仿宋" w:eastAsia="仿宋"/>
          <w:b/>
          <w:color w:val="000000"/>
          <w:sz w:val="32"/>
          <w:szCs w:val="32"/>
        </w:rPr>
      </w:pPr>
      <w:bookmarkStart w:id="34" w:name="_Toc15377210"/>
      <w:r>
        <w:rPr>
          <w:rFonts w:hint="eastAsia" w:ascii="仿宋" w:eastAsia="仿宋"/>
          <w:b/>
          <w:color w:val="000000"/>
          <w:sz w:val="32"/>
          <w:szCs w:val="32"/>
        </w:rPr>
        <w:t>（一）一般公共预算财政拨款支出决算总体情况</w:t>
      </w:r>
      <w:bookmarkEnd w:id="34"/>
    </w:p>
    <w:p>
      <w:pPr>
        <w:snapToGrid w:val="0"/>
        <w:spacing w:line="520" w:lineRule="exact"/>
        <w:ind w:firstLine="640" w:firstLineChars="200"/>
        <w:rPr>
          <w:rFonts w:ascii="仿宋_GB2312" w:eastAsia="仿宋_GB2312"/>
          <w:color w:val="FF0000"/>
          <w:spacing w:val="-2"/>
          <w:sz w:val="32"/>
          <w:szCs w:val="32"/>
        </w:rPr>
      </w:pPr>
      <w:r>
        <w:rPr>
          <w:rFonts w:ascii="仿宋" w:eastAsia="仿宋"/>
          <w:color w:val="000000"/>
          <w:sz w:val="32"/>
          <w:szCs w:val="32"/>
        </w:rPr>
        <w:t>20</w:t>
      </w:r>
      <w:r>
        <w:rPr>
          <w:rFonts w:hint="eastAsia" w:ascii="仿宋" w:eastAsia="仿宋"/>
          <w:color w:val="000000"/>
          <w:sz w:val="32"/>
          <w:szCs w:val="32"/>
        </w:rPr>
        <w:t>20年</w:t>
      </w:r>
      <w:r>
        <w:rPr>
          <w:rFonts w:hint="eastAsia" w:ascii="仿宋_GB2312" w:eastAsia="仿宋_GB2312"/>
          <w:spacing w:val="-2"/>
          <w:sz w:val="32"/>
          <w:szCs w:val="32"/>
        </w:rPr>
        <w:t>一般公共预算财政拨款支出1036.63万元，</w:t>
      </w:r>
      <w:r>
        <w:rPr>
          <w:rFonts w:hint="eastAsia" w:ascii="仿宋" w:eastAsia="仿宋"/>
          <w:color w:val="000000"/>
          <w:sz w:val="32"/>
          <w:szCs w:val="32"/>
        </w:rPr>
        <w:t>占本年总支出的82.14</w:t>
      </w:r>
      <w:r>
        <w:rPr>
          <w:rFonts w:ascii="仿宋" w:eastAsia="仿宋"/>
          <w:color w:val="000000"/>
          <w:sz w:val="32"/>
          <w:szCs w:val="32"/>
        </w:rPr>
        <w:t>%</w:t>
      </w:r>
      <w:r>
        <w:rPr>
          <w:rFonts w:hint="eastAsia" w:ascii="仿宋" w:eastAsia="仿宋"/>
          <w:color w:val="000000"/>
          <w:sz w:val="32"/>
          <w:szCs w:val="32"/>
        </w:rPr>
        <w:t>。与</w:t>
      </w:r>
      <w:r>
        <w:rPr>
          <w:rFonts w:ascii="仿宋" w:eastAsia="仿宋"/>
          <w:color w:val="000000"/>
          <w:sz w:val="32"/>
          <w:szCs w:val="32"/>
        </w:rPr>
        <w:t>20</w:t>
      </w:r>
      <w:r>
        <w:rPr>
          <w:rFonts w:hint="eastAsia" w:ascii="仿宋" w:eastAsia="仿宋"/>
          <w:color w:val="000000"/>
          <w:sz w:val="32"/>
          <w:szCs w:val="32"/>
        </w:rPr>
        <w:t>19年相比，一般公共预算财政拨款</w:t>
      </w:r>
      <w:r>
        <w:rPr>
          <w:rFonts w:hint="eastAsia" w:ascii="仿宋_GB2312" w:eastAsia="仿宋_GB2312"/>
          <w:spacing w:val="-2"/>
          <w:sz w:val="32"/>
          <w:szCs w:val="32"/>
        </w:rPr>
        <w:t>支出减少66.01万元，减少5.98%。主要原因一是当年安排部门预算项目经费较上年有所减少；二是2020年财政拨款支出包含了上年结转项目。</w:t>
      </w:r>
    </w:p>
    <w:p>
      <w:pPr>
        <w:snapToGrid w:val="0"/>
        <w:spacing w:line="520" w:lineRule="exact"/>
        <w:ind w:firstLine="632" w:firstLineChars="200"/>
        <w:rPr>
          <w:rFonts w:ascii="仿宋_GB2312" w:eastAsia="仿宋_GB2312"/>
          <w:spacing w:val="-2"/>
          <w:sz w:val="32"/>
          <w:szCs w:val="32"/>
        </w:rPr>
      </w:pPr>
    </w:p>
    <w:p>
      <w:pPr>
        <w:snapToGrid w:val="0"/>
        <w:spacing w:line="520" w:lineRule="exact"/>
        <w:ind w:firstLine="640" w:firstLineChars="200"/>
        <w:rPr>
          <w:rFonts w:ascii="仿宋" w:eastAsia="仿宋"/>
          <w:b/>
          <w:color w:val="000000"/>
          <w:sz w:val="32"/>
          <w:szCs w:val="32"/>
        </w:rPr>
      </w:pPr>
      <w:r>
        <w:rPr>
          <w:rFonts w:hint="eastAsia" w:ascii="仿宋" w:eastAsia="仿宋"/>
          <w:color w:val="000000"/>
          <w:sz w:val="32"/>
          <w:szCs w:val="32"/>
        </w:rPr>
        <w:drawing>
          <wp:anchor distT="0" distB="0" distL="114300" distR="114300" simplePos="0" relativeHeight="251662336" behindDoc="0" locked="0" layoutInCell="1" allowOverlap="1">
            <wp:simplePos x="0" y="0"/>
            <wp:positionH relativeFrom="column">
              <wp:posOffset>177165</wp:posOffset>
            </wp:positionH>
            <wp:positionV relativeFrom="paragraph">
              <wp:posOffset>328295</wp:posOffset>
            </wp:positionV>
            <wp:extent cx="4836160" cy="2752090"/>
            <wp:effectExtent l="0" t="0" r="0" b="0"/>
            <wp:wrapTopAndBottom/>
            <wp:docPr id="5"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bookmarkStart w:id="35" w:name="_Toc15377211"/>
      <w:r>
        <w:rPr>
          <w:rFonts w:hint="eastAsia" w:ascii="仿宋" w:eastAsia="仿宋"/>
          <w:b/>
          <w:color w:val="000000"/>
          <w:sz w:val="32"/>
          <w:szCs w:val="32"/>
        </w:rPr>
        <w:t>（二）一般公共预算财政拨款支出决算结构情况</w:t>
      </w:r>
      <w:bookmarkEnd w:id="3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20年一般公共预算财政拨款支出1036.63万元，主要用于以下方面</w:t>
      </w:r>
      <w:r>
        <w:rPr>
          <w:rFonts w:ascii="仿宋" w:eastAsia="仿宋"/>
          <w:color w:val="000000"/>
          <w:sz w:val="32"/>
          <w:szCs w:val="32"/>
        </w:rPr>
        <w:t>:</w:t>
      </w:r>
      <w:r>
        <w:rPr>
          <w:rFonts w:hint="eastAsia" w:ascii="仿宋" w:eastAsia="仿宋"/>
          <w:b/>
          <w:color w:val="000000"/>
          <w:sz w:val="32"/>
          <w:szCs w:val="32"/>
        </w:rPr>
        <w:t>人员经费</w:t>
      </w:r>
      <w:r>
        <w:rPr>
          <w:rFonts w:hint="eastAsia" w:ascii="仿宋" w:eastAsia="仿宋"/>
          <w:color w:val="000000"/>
          <w:sz w:val="32"/>
          <w:szCs w:val="32"/>
        </w:rPr>
        <w:t>支出979.18万元，占94.46</w:t>
      </w:r>
      <w:r>
        <w:rPr>
          <w:rFonts w:ascii="仿宋" w:eastAsia="仿宋"/>
          <w:color w:val="000000"/>
          <w:sz w:val="32"/>
          <w:szCs w:val="32"/>
        </w:rPr>
        <w:t>%</w:t>
      </w:r>
      <w:r>
        <w:rPr>
          <w:rFonts w:hint="eastAsia" w:ascii="仿宋" w:eastAsia="仿宋"/>
          <w:color w:val="000000"/>
          <w:sz w:val="32"/>
          <w:szCs w:val="32"/>
        </w:rPr>
        <w:t>；</w:t>
      </w:r>
      <w:r>
        <w:rPr>
          <w:rFonts w:hint="eastAsia" w:ascii="仿宋" w:eastAsia="仿宋"/>
          <w:b/>
          <w:color w:val="000000"/>
          <w:sz w:val="32"/>
          <w:szCs w:val="32"/>
        </w:rPr>
        <w:t>日常公用经费</w:t>
      </w:r>
      <w:r>
        <w:rPr>
          <w:rFonts w:hint="eastAsia" w:ascii="仿宋" w:eastAsia="仿宋"/>
          <w:color w:val="000000"/>
          <w:sz w:val="32"/>
          <w:szCs w:val="32"/>
        </w:rPr>
        <w:t>支出57.45万元，占5.54</w:t>
      </w:r>
      <w:r>
        <w:rPr>
          <w:rFonts w:ascii="仿宋" w:eastAsia="仿宋"/>
          <w:color w:val="000000"/>
          <w:sz w:val="32"/>
          <w:szCs w:val="32"/>
        </w:rPr>
        <w:t>%</w:t>
      </w:r>
      <w:r>
        <w:rPr>
          <w:rFonts w:hint="eastAsia" w:ascii="仿宋" w:eastAsia="仿宋"/>
          <w:color w:val="000000"/>
          <w:sz w:val="32"/>
          <w:szCs w:val="32"/>
        </w:rPr>
        <w:t>。</w:t>
      </w:r>
    </w:p>
    <w:p>
      <w:pPr>
        <w:spacing w:line="600" w:lineRule="exact"/>
        <w:ind w:firstLine="8320" w:firstLineChars="2600"/>
        <w:outlineLvl w:val="2"/>
        <w:rPr>
          <w:rFonts w:ascii="仿宋" w:eastAsia="仿宋"/>
          <w:b/>
          <w:color w:val="000000"/>
          <w:sz w:val="32"/>
          <w:szCs w:val="32"/>
        </w:rPr>
      </w:pPr>
      <w:bookmarkStart w:id="36" w:name="_Toc15377213"/>
      <w:bookmarkStart w:id="37" w:name="_Toc15378460"/>
      <w:bookmarkStart w:id="38" w:name="_Toc15377444"/>
      <w:r>
        <w:rPr>
          <w:rFonts w:hint="eastAsia" w:ascii="仿宋" w:eastAsia="仿宋"/>
          <w:color w:val="000000"/>
          <w:sz w:val="32"/>
          <w:szCs w:val="32"/>
        </w:rPr>
        <w:drawing>
          <wp:anchor distT="0" distB="0" distL="114300" distR="114300" simplePos="0" relativeHeight="251663360" behindDoc="0" locked="0" layoutInCell="1" allowOverlap="1">
            <wp:simplePos x="0" y="0"/>
            <wp:positionH relativeFrom="column">
              <wp:posOffset>521335</wp:posOffset>
            </wp:positionH>
            <wp:positionV relativeFrom="paragraph">
              <wp:posOffset>299720</wp:posOffset>
            </wp:positionV>
            <wp:extent cx="4572000" cy="2341245"/>
            <wp:effectExtent l="0" t="0" r="0" b="0"/>
            <wp:wrapTopAndBottom/>
            <wp:docPr id="6"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spacing w:line="600" w:lineRule="exact"/>
        <w:ind w:firstLine="8353" w:firstLineChars="2600"/>
        <w:outlineLvl w:val="2"/>
        <w:rPr>
          <w:rFonts w:ascii="仿宋" w:eastAsia="仿宋"/>
          <w:b/>
          <w:color w:val="000000"/>
          <w:sz w:val="32"/>
          <w:szCs w:val="32"/>
        </w:rPr>
      </w:pPr>
    </w:p>
    <w:p>
      <w:pPr>
        <w:spacing w:line="600" w:lineRule="exact"/>
        <w:ind w:firstLine="643" w:firstLineChars="200"/>
        <w:outlineLvl w:val="2"/>
        <w:rPr>
          <w:rFonts w:ascii="仿宋" w:eastAsia="仿宋"/>
          <w:b/>
          <w:color w:val="000000"/>
          <w:sz w:val="32"/>
          <w:szCs w:val="32"/>
        </w:rPr>
      </w:pPr>
      <w:bookmarkStart w:id="39" w:name="_Toc15377212"/>
      <w:r>
        <w:rPr>
          <w:rFonts w:hint="eastAsia" w:ascii="仿宋" w:eastAsia="仿宋"/>
          <w:b/>
          <w:color w:val="000000"/>
          <w:sz w:val="32"/>
          <w:szCs w:val="32"/>
        </w:rPr>
        <w:t>（三）一般公共预算财政拨款支出决算具体情况</w:t>
      </w:r>
      <w:bookmarkEnd w:id="39"/>
    </w:p>
    <w:p>
      <w:pPr>
        <w:spacing w:line="600" w:lineRule="exact"/>
        <w:outlineLvl w:val="2"/>
        <w:rPr>
          <w:rFonts w:ascii="仿宋" w:eastAsia="仿宋"/>
          <w:bCs/>
          <w:color w:val="FF0000"/>
          <w:sz w:val="32"/>
          <w:szCs w:val="32"/>
        </w:rPr>
      </w:pPr>
      <w:r>
        <w:rPr>
          <w:rFonts w:hint="eastAsia" w:ascii="仿宋" w:eastAsia="仿宋"/>
          <w:bCs/>
          <w:color w:val="000000"/>
          <w:sz w:val="32"/>
          <w:szCs w:val="32"/>
        </w:rPr>
        <w:t xml:space="preserve">    2020年一般公共预算数为1336.61万元，支出决算数为1262.03万元，完</w:t>
      </w:r>
      <w:r>
        <w:rPr>
          <w:rStyle w:val="14"/>
          <w:rFonts w:hint="eastAsia" w:ascii="仿宋" w:eastAsia="仿宋"/>
          <w:b w:val="0"/>
          <w:bCs/>
          <w:color w:val="000000"/>
          <w:sz w:val="32"/>
          <w:szCs w:val="32"/>
        </w:rPr>
        <w:t>成预算94.42</w:t>
      </w:r>
      <w:r>
        <w:rPr>
          <w:rStyle w:val="14"/>
          <w:rFonts w:ascii="仿宋" w:eastAsia="仿宋"/>
          <w:b w:val="0"/>
          <w:bCs/>
          <w:color w:val="000000"/>
          <w:sz w:val="32"/>
          <w:szCs w:val="32"/>
        </w:rPr>
        <w:t>%</w:t>
      </w:r>
      <w:r>
        <w:rPr>
          <w:rStyle w:val="14"/>
          <w:rFonts w:hint="eastAsia" w:ascii="仿宋" w:eastAsia="仿宋"/>
          <w:b w:val="0"/>
          <w:bCs/>
          <w:color w:val="000000"/>
          <w:sz w:val="32"/>
          <w:szCs w:val="32"/>
        </w:rPr>
        <w:t>。结转下年74.58万元。其中：</w:t>
      </w:r>
      <w:bookmarkEnd w:id="36"/>
      <w:bookmarkEnd w:id="37"/>
      <w:bookmarkEnd w:id="38"/>
    </w:p>
    <w:p>
      <w:pPr>
        <w:spacing w:line="600" w:lineRule="exact"/>
        <w:ind w:firstLine="643" w:firstLineChars="200"/>
        <w:rPr>
          <w:rStyle w:val="14"/>
          <w:rFonts w:ascii="仿宋" w:eastAsia="仿宋"/>
          <w:b w:val="0"/>
          <w:bCs/>
          <w:color w:val="000000"/>
          <w:sz w:val="32"/>
          <w:szCs w:val="32"/>
        </w:rPr>
      </w:pPr>
      <w:r>
        <w:rPr>
          <w:rStyle w:val="14"/>
          <w:rFonts w:hint="eastAsia" w:ascii="仿宋" w:eastAsia="仿宋"/>
          <w:bCs/>
          <w:color w:val="000000"/>
          <w:sz w:val="32"/>
          <w:szCs w:val="32"/>
        </w:rPr>
        <w:t>1.一般公共服务（类）司法（款）行政运行（项）</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支出决算为785.45万元，完成预算100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43" w:firstLineChars="200"/>
        <w:rPr>
          <w:rStyle w:val="14"/>
          <w:rFonts w:ascii="仿宋" w:eastAsia="仿宋"/>
          <w:b w:val="0"/>
          <w:bCs/>
          <w:color w:val="000000"/>
          <w:sz w:val="32"/>
          <w:szCs w:val="32"/>
        </w:rPr>
      </w:pPr>
      <w:r>
        <w:rPr>
          <w:rStyle w:val="14"/>
          <w:rFonts w:ascii="仿宋" w:eastAsia="仿宋"/>
          <w:bCs/>
          <w:color w:val="000000"/>
          <w:sz w:val="32"/>
          <w:szCs w:val="32"/>
        </w:rPr>
        <w:t>2.</w:t>
      </w:r>
      <w:r>
        <w:rPr>
          <w:rStyle w:val="14"/>
          <w:rFonts w:hint="eastAsia" w:ascii="仿宋" w:eastAsia="仿宋"/>
          <w:bCs/>
          <w:color w:val="000000"/>
          <w:sz w:val="32"/>
          <w:szCs w:val="32"/>
        </w:rPr>
        <w:t>一般公共服务（类）司法（款）基层司法业务（项）</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sz w:val="32"/>
          <w:szCs w:val="32"/>
        </w:rPr>
        <w:t>支出决算为227.6万元，完成预算67.23</w:t>
      </w:r>
      <w:r>
        <w:rPr>
          <w:rStyle w:val="14"/>
          <w:rFonts w:ascii="仿宋" w:eastAsia="仿宋"/>
          <w:b w:val="0"/>
          <w:bCs/>
          <w:sz w:val="32"/>
          <w:szCs w:val="32"/>
        </w:rPr>
        <w:t>%</w:t>
      </w:r>
      <w:r>
        <w:rPr>
          <w:rStyle w:val="14"/>
          <w:rFonts w:hint="eastAsia" w:ascii="仿宋" w:eastAsia="仿宋"/>
          <w:b w:val="0"/>
          <w:bCs/>
          <w:sz w:val="32"/>
          <w:szCs w:val="32"/>
        </w:rPr>
        <w:t>。结转下年74.58万元。</w:t>
      </w:r>
    </w:p>
    <w:p>
      <w:pPr>
        <w:spacing w:line="600" w:lineRule="exact"/>
        <w:ind w:firstLine="643" w:firstLineChars="200"/>
        <w:rPr>
          <w:rFonts w:ascii="仿宋" w:eastAsia="仿宋"/>
          <w:b/>
          <w:color w:val="000000"/>
          <w:sz w:val="32"/>
          <w:szCs w:val="32"/>
        </w:rPr>
      </w:pPr>
      <w:r>
        <w:rPr>
          <w:rStyle w:val="14"/>
          <w:rFonts w:hint="eastAsia" w:ascii="仿宋" w:eastAsia="仿宋"/>
          <w:bCs/>
          <w:color w:val="000000"/>
          <w:sz w:val="32"/>
          <w:szCs w:val="32"/>
        </w:rPr>
        <w:t>3</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Cs/>
          <w:color w:val="000000"/>
          <w:sz w:val="32"/>
          <w:szCs w:val="32"/>
        </w:rPr>
        <w:t>社会保障和就业（类）行政事业单位离退休（款）机关事业单位基本养老保险缴费支出（项）</w:t>
      </w:r>
      <w:r>
        <w:rPr>
          <w:rStyle w:val="14"/>
          <w:rFonts w:ascii="仿宋" w:eastAsia="仿宋"/>
          <w:bCs/>
          <w:color w:val="000000"/>
          <w:sz w:val="32"/>
          <w:szCs w:val="32"/>
        </w:rPr>
        <w:t>:</w:t>
      </w:r>
      <w:r>
        <w:rPr>
          <w:rStyle w:val="14"/>
          <w:rFonts w:ascii="仿宋" w:eastAsia="仿宋"/>
          <w:b w:val="0"/>
          <w:bCs/>
          <w:color w:val="000000"/>
          <w:sz w:val="32"/>
          <w:szCs w:val="32"/>
        </w:rPr>
        <w:t xml:space="preserve"> </w:t>
      </w:r>
      <w:r>
        <w:rPr>
          <w:rStyle w:val="14"/>
          <w:rFonts w:hint="eastAsia" w:ascii="仿宋" w:eastAsia="仿宋"/>
          <w:b w:val="0"/>
          <w:bCs/>
          <w:color w:val="000000"/>
          <w:sz w:val="32"/>
          <w:szCs w:val="32"/>
        </w:rPr>
        <w:t>支出决算为74.18万元，完成预算100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43" w:firstLineChars="200"/>
        <w:rPr>
          <w:rFonts w:ascii="仿宋" w:eastAsia="仿宋"/>
          <w:b/>
          <w:color w:val="000000"/>
          <w:sz w:val="32"/>
          <w:szCs w:val="32"/>
        </w:rPr>
      </w:pPr>
      <w:r>
        <w:rPr>
          <w:rStyle w:val="14"/>
          <w:rFonts w:hint="eastAsia" w:ascii="仿宋" w:eastAsia="仿宋"/>
          <w:bCs/>
          <w:color w:val="000000"/>
          <w:sz w:val="32"/>
          <w:szCs w:val="32"/>
        </w:rPr>
        <w:t>4</w:t>
      </w:r>
      <w:r>
        <w:rPr>
          <w:rStyle w:val="14"/>
          <w:rFonts w:ascii="仿宋" w:eastAsia="仿宋"/>
          <w:bCs/>
          <w:color w:val="000000"/>
          <w:sz w:val="32"/>
          <w:szCs w:val="32"/>
        </w:rPr>
        <w:t>.</w:t>
      </w:r>
      <w:r>
        <w:rPr>
          <w:rStyle w:val="14"/>
          <w:rFonts w:hint="eastAsia" w:ascii="仿宋" w:eastAsia="仿宋"/>
          <w:bCs/>
          <w:color w:val="000000"/>
          <w:sz w:val="32"/>
          <w:szCs w:val="32"/>
        </w:rPr>
        <w:t>社会保障和就业（类）行政事业单位离退休（款）机关事业单位基本职业年金缴费支出（项）</w:t>
      </w:r>
      <w:r>
        <w:rPr>
          <w:rStyle w:val="14"/>
          <w:rFonts w:ascii="仿宋" w:eastAsia="仿宋"/>
          <w:bCs/>
          <w:color w:val="000000"/>
          <w:sz w:val="32"/>
          <w:szCs w:val="32"/>
        </w:rPr>
        <w:t>:</w:t>
      </w:r>
      <w:r>
        <w:rPr>
          <w:rStyle w:val="14"/>
          <w:rFonts w:hint="eastAsia" w:ascii="仿宋" w:eastAsia="仿宋"/>
          <w:b w:val="0"/>
          <w:bCs/>
          <w:color w:val="000000"/>
          <w:sz w:val="32"/>
          <w:szCs w:val="32"/>
        </w:rPr>
        <w:t>支出决算为37.09万元，完成预算100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43" w:firstLineChars="200"/>
        <w:rPr>
          <w:rFonts w:ascii="仿宋" w:eastAsia="仿宋"/>
          <w:color w:val="000000"/>
          <w:sz w:val="32"/>
          <w:szCs w:val="32"/>
        </w:rPr>
      </w:pPr>
      <w:r>
        <w:rPr>
          <w:rStyle w:val="14"/>
          <w:rFonts w:hint="eastAsia" w:ascii="仿宋" w:eastAsia="仿宋"/>
          <w:bCs/>
          <w:color w:val="000000"/>
          <w:sz w:val="32"/>
          <w:szCs w:val="32"/>
        </w:rPr>
        <w:t>5.卫生健康支出（类）行政事业单位医疗（款）行政单位医疗（项）</w:t>
      </w:r>
      <w:r>
        <w:rPr>
          <w:rStyle w:val="14"/>
          <w:rFonts w:ascii="仿宋" w:eastAsia="仿宋"/>
          <w:bCs/>
          <w:color w:val="000000"/>
          <w:sz w:val="32"/>
          <w:szCs w:val="32"/>
        </w:rPr>
        <w:t>:</w:t>
      </w:r>
      <w:r>
        <w:rPr>
          <w:rStyle w:val="14"/>
          <w:rFonts w:hint="eastAsia" w:ascii="仿宋" w:eastAsia="仿宋"/>
          <w:b w:val="0"/>
          <w:bCs/>
          <w:color w:val="000000"/>
          <w:sz w:val="32"/>
          <w:szCs w:val="32"/>
        </w:rPr>
        <w:t>支出决算为40.27万元，完成预算100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43" w:firstLineChars="200"/>
        <w:rPr>
          <w:rFonts w:ascii="仿宋" w:eastAsia="仿宋"/>
          <w:color w:val="000000"/>
          <w:sz w:val="32"/>
          <w:szCs w:val="32"/>
        </w:rPr>
      </w:pPr>
      <w:r>
        <w:rPr>
          <w:rStyle w:val="14"/>
          <w:rFonts w:hint="eastAsia" w:ascii="仿宋" w:eastAsia="仿宋"/>
          <w:bCs/>
          <w:color w:val="000000"/>
          <w:sz w:val="32"/>
          <w:szCs w:val="32"/>
        </w:rPr>
        <w:t>6.卫生健康支出（类）行政事业单位医疗（款）公务员医疗补助（项）</w:t>
      </w:r>
      <w:r>
        <w:rPr>
          <w:rStyle w:val="14"/>
          <w:rFonts w:ascii="仿宋" w:eastAsia="仿宋"/>
          <w:bCs/>
          <w:color w:val="000000"/>
          <w:sz w:val="32"/>
          <w:szCs w:val="32"/>
        </w:rPr>
        <w:t>:</w:t>
      </w:r>
      <w:r>
        <w:rPr>
          <w:rStyle w:val="14"/>
          <w:rFonts w:hint="eastAsia" w:ascii="仿宋" w:eastAsia="仿宋"/>
          <w:b w:val="0"/>
          <w:bCs/>
          <w:color w:val="000000"/>
          <w:sz w:val="32"/>
          <w:szCs w:val="32"/>
        </w:rPr>
        <w:t>支出决算为11.54万元，完成预算100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43" w:firstLineChars="200"/>
        <w:rPr>
          <w:rStyle w:val="14"/>
          <w:rFonts w:ascii="仿宋" w:eastAsia="仿宋"/>
          <w:bCs/>
          <w:color w:val="000000"/>
          <w:sz w:val="32"/>
          <w:szCs w:val="32"/>
        </w:rPr>
      </w:pPr>
      <w:bookmarkStart w:id="40" w:name="_Toc15396608"/>
      <w:bookmarkStart w:id="41" w:name="_Toc15377214"/>
      <w:r>
        <w:rPr>
          <w:rStyle w:val="14"/>
          <w:rFonts w:hint="eastAsia" w:ascii="仿宋" w:eastAsia="仿宋"/>
          <w:bCs/>
          <w:color w:val="000000"/>
          <w:sz w:val="32"/>
          <w:szCs w:val="32"/>
        </w:rPr>
        <w:t>7.住房保障（类）住房改革支出（款）住房公积金（项）：</w:t>
      </w:r>
      <w:r>
        <w:rPr>
          <w:rStyle w:val="14"/>
          <w:rFonts w:hint="eastAsia" w:ascii="仿宋" w:eastAsia="仿宋"/>
          <w:b w:val="0"/>
          <w:bCs/>
          <w:color w:val="000000"/>
          <w:sz w:val="32"/>
          <w:szCs w:val="32"/>
        </w:rPr>
        <w:t>支出决算为85.9万元，完成预算100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p>
    <w:p>
      <w:pPr>
        <w:spacing w:line="600" w:lineRule="exact"/>
        <w:ind w:firstLine="640"/>
        <w:rPr>
          <w:rStyle w:val="17"/>
        </w:rPr>
      </w:pPr>
      <w:r>
        <w:rPr>
          <w:rFonts w:hint="eastAsia" w:ascii="黑体" w:eastAsia="黑体"/>
          <w:color w:val="000000"/>
          <w:sz w:val="32"/>
          <w:szCs w:val="32"/>
        </w:rPr>
        <w:t>六</w:t>
      </w:r>
      <w:r>
        <w:rPr>
          <w:rFonts w:hint="eastAsia" w:ascii="黑体" w:eastAsia="黑体"/>
          <w:b/>
          <w:color w:val="000000"/>
          <w:sz w:val="32"/>
          <w:szCs w:val="32"/>
        </w:rPr>
        <w:t>、一</w:t>
      </w:r>
      <w:r>
        <w:rPr>
          <w:rStyle w:val="17"/>
          <w:rFonts w:hint="eastAsia" w:ascii="黑体" w:eastAsia="黑体"/>
          <w:b w:val="0"/>
        </w:rPr>
        <w:t>般公共预算财政拨款基本支出决算情况说明</w:t>
      </w:r>
      <w:bookmarkEnd w:id="40"/>
      <w:bookmarkEnd w:id="41"/>
      <w:r>
        <w:rPr>
          <w:rStyle w:val="17"/>
          <w:rFonts w:ascii="黑体" w:eastAsia="黑体"/>
          <w:b w:val="0"/>
        </w:rPr>
        <w:tab/>
      </w:r>
    </w:p>
    <w:p>
      <w:pPr>
        <w:spacing w:line="600" w:lineRule="exact"/>
        <w:ind w:firstLine="645"/>
        <w:rPr>
          <w:rFonts w:ascii="仿宋" w:eastAsia="仿宋"/>
          <w:color w:val="000000"/>
          <w:sz w:val="32"/>
          <w:szCs w:val="32"/>
        </w:rPr>
      </w:pPr>
      <w:r>
        <w:rPr>
          <w:rFonts w:hint="eastAsia" w:ascii="仿宋" w:eastAsia="仿宋"/>
          <w:color w:val="000000"/>
          <w:sz w:val="32"/>
          <w:szCs w:val="32"/>
        </w:rPr>
        <w:t>2020年一般公共预算财政拨款基本支出1036.63万元，其中：</w:t>
      </w:r>
    </w:p>
    <w:p>
      <w:pPr>
        <w:spacing w:line="600" w:lineRule="exact"/>
        <w:ind w:firstLine="645"/>
        <w:rPr>
          <w:rFonts w:ascii="仿宋" w:eastAsia="仿宋"/>
          <w:color w:val="000000"/>
          <w:sz w:val="32"/>
          <w:szCs w:val="32"/>
        </w:rPr>
      </w:pPr>
      <w:r>
        <w:rPr>
          <w:rFonts w:hint="eastAsia" w:ascii="仿宋" w:eastAsia="仿宋"/>
          <w:color w:val="000000"/>
          <w:sz w:val="32"/>
          <w:szCs w:val="32"/>
        </w:rPr>
        <w:t>人员经费979.18万元，主要包括：基本工资201.64万元、津贴补贴365.6万元、奖金17.28万元、机关事业单位基本养老保险缴费74.18万元、职业年金缴费37.09万元、职工基本医疗保险缴费40.27万元、公务员医疗补助缴费11.54万元、其他社会保障缴费2.3万元、其他工资福利支出14.03万元、生活补助2.39万元、抚恤金26.24万元、住房公积金85.9万元、奖励金100.72万元。</w:t>
      </w:r>
    </w:p>
    <w:p>
      <w:pPr>
        <w:spacing w:line="600" w:lineRule="exact"/>
        <w:rPr>
          <w:rFonts w:ascii="仿宋" w:eastAsia="仿宋"/>
          <w:color w:val="000000" w:themeColor="text1"/>
          <w:sz w:val="32"/>
          <w:szCs w:val="32"/>
        </w:rPr>
      </w:pPr>
      <w:r>
        <w:rPr>
          <w:rFonts w:hint="eastAsia" w:ascii="仿宋" w:eastAsia="仿宋"/>
          <w:color w:val="000000"/>
          <w:sz w:val="32"/>
          <w:szCs w:val="32"/>
        </w:rPr>
        <w:t>　　</w:t>
      </w:r>
      <w:r>
        <w:rPr>
          <w:rFonts w:hint="eastAsia" w:ascii="仿宋" w:eastAsia="仿宋"/>
          <w:color w:val="000000" w:themeColor="text1"/>
          <w:sz w:val="32"/>
          <w:szCs w:val="32"/>
        </w:rPr>
        <w:t>公用经费57.45万元，主要包括：办公费13万元、印刷费8万元、手续费0.11万元、水费1万元、电费0.3万元、劳务费2.42万元、培训费0.73万元、福利费0.7万元、公务用车运行维护费2.23万元、公共法律服务费2万元、印刷费19.52万元、委托业务费4.44万元、邮电费3万元。</w:t>
      </w:r>
    </w:p>
    <w:p>
      <w:pPr>
        <w:spacing w:line="600" w:lineRule="exact"/>
        <w:ind w:firstLine="640" w:firstLineChars="200"/>
        <w:outlineLvl w:val="1"/>
        <w:rPr>
          <w:rStyle w:val="17"/>
          <w:rFonts w:ascii="黑体" w:eastAsia="黑体"/>
          <w:b w:val="0"/>
        </w:rPr>
      </w:pPr>
      <w:bookmarkStart w:id="42" w:name="_Toc15377215"/>
      <w:bookmarkStart w:id="43" w:name="_Toc15396609"/>
      <w:r>
        <w:rPr>
          <w:rFonts w:hint="eastAsia" w:ascii="黑体" w:eastAsia="黑体"/>
          <w:color w:val="000000"/>
          <w:sz w:val="32"/>
          <w:szCs w:val="32"/>
        </w:rPr>
        <w:t>七、</w:t>
      </w:r>
      <w:r>
        <w:rPr>
          <w:rStyle w:val="17"/>
          <w:rFonts w:hint="eastAsia" w:ascii="黑体" w:eastAsia="黑体"/>
        </w:rPr>
        <w:t>“</w:t>
      </w:r>
      <w:r>
        <w:rPr>
          <w:rStyle w:val="17"/>
          <w:rFonts w:hint="eastAsia" w:ascii="黑体" w:eastAsia="黑体"/>
          <w:b w:val="0"/>
        </w:rPr>
        <w:t>三公”经费财政拨款支出决算情况说明</w:t>
      </w:r>
      <w:bookmarkEnd w:id="42"/>
      <w:bookmarkEnd w:id="43"/>
    </w:p>
    <w:p>
      <w:pPr>
        <w:spacing w:line="600" w:lineRule="exact"/>
        <w:ind w:firstLine="640"/>
        <w:outlineLvl w:val="2"/>
        <w:rPr>
          <w:rFonts w:ascii="仿宋" w:eastAsia="仿宋"/>
          <w:b/>
          <w:color w:val="000000"/>
          <w:sz w:val="32"/>
          <w:szCs w:val="32"/>
        </w:rPr>
      </w:pPr>
      <w:bookmarkStart w:id="44" w:name="_Toc15377216"/>
      <w:r>
        <w:rPr>
          <w:rFonts w:hint="eastAsia" w:ascii="仿宋" w:eastAsia="仿宋"/>
          <w:b/>
          <w:color w:val="000000"/>
          <w:sz w:val="32"/>
          <w:szCs w:val="32"/>
        </w:rPr>
        <w:t>（一）“三公”经费财政拨款支出决算总体情况说明</w:t>
      </w:r>
      <w:bookmarkEnd w:id="44"/>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20年“三公”经费财政拨款支出决算为43.08万元，完成预算100</w:t>
      </w:r>
      <w:r>
        <w:rPr>
          <w:rFonts w:ascii="仿宋" w:eastAsia="仿宋"/>
          <w:color w:val="000000"/>
          <w:sz w:val="32"/>
          <w:szCs w:val="32"/>
        </w:rPr>
        <w:t>%</w:t>
      </w:r>
      <w:r>
        <w:rPr>
          <w:rFonts w:hint="eastAsia" w:ascii="仿宋" w:eastAsia="仿宋"/>
          <w:color w:val="000000"/>
          <w:sz w:val="32"/>
          <w:szCs w:val="32"/>
        </w:rPr>
        <w:t>。</w:t>
      </w:r>
    </w:p>
    <w:p>
      <w:pPr>
        <w:spacing w:line="600" w:lineRule="exact"/>
        <w:ind w:firstLine="640"/>
        <w:outlineLvl w:val="2"/>
        <w:rPr>
          <w:rFonts w:ascii="仿宋" w:eastAsia="仿宋"/>
          <w:b/>
          <w:color w:val="000000"/>
          <w:sz w:val="32"/>
          <w:szCs w:val="32"/>
        </w:rPr>
      </w:pPr>
      <w:bookmarkStart w:id="45" w:name="_Toc15377217"/>
      <w:r>
        <w:rPr>
          <w:rFonts w:hint="eastAsia" w:ascii="仿宋" w:eastAsia="仿宋"/>
          <w:b/>
          <w:color w:val="000000"/>
          <w:sz w:val="32"/>
          <w:szCs w:val="32"/>
        </w:rPr>
        <w:t>（二）“三公”经费财政拨款支出决算具体情况说明</w:t>
      </w:r>
      <w:bookmarkEnd w:id="45"/>
    </w:p>
    <w:p>
      <w:pPr>
        <w:spacing w:line="600" w:lineRule="exact"/>
        <w:ind w:firstLine="640"/>
        <w:rPr>
          <w:rFonts w:ascii="仿宋" w:eastAsia="仿宋"/>
          <w:color w:val="000000"/>
          <w:sz w:val="32"/>
          <w:szCs w:val="32"/>
        </w:rPr>
      </w:pPr>
      <w:r>
        <w:rPr>
          <w:rFonts w:ascii="仿宋" w:eastAsia="仿宋"/>
          <w:color w:val="000000"/>
          <w:sz w:val="32"/>
          <w:szCs w:val="32"/>
        </w:rPr>
        <w:t>20</w:t>
      </w:r>
      <w:r>
        <w:rPr>
          <w:rFonts w:hint="eastAsia" w:ascii="仿宋" w:eastAsia="仿宋"/>
          <w:color w:val="000000"/>
          <w:sz w:val="32"/>
          <w:szCs w:val="32"/>
        </w:rPr>
        <w:t>20年“三公”经费财政拨款支出</w:t>
      </w:r>
      <w:r>
        <w:rPr>
          <w:rFonts w:hint="eastAsia" w:ascii="仿宋" w:eastAsia="仿宋"/>
          <w:sz w:val="32"/>
          <w:szCs w:val="32"/>
        </w:rPr>
        <w:t>决算43.08万元</w:t>
      </w:r>
      <w:r>
        <w:rPr>
          <w:rFonts w:hint="eastAsia" w:ascii="仿宋" w:eastAsia="仿宋"/>
          <w:color w:val="000000"/>
          <w:sz w:val="32"/>
          <w:szCs w:val="32"/>
        </w:rPr>
        <w:t>，其中：因公出国（境）费支出决算0万元，占0</w:t>
      </w:r>
      <w:r>
        <w:rPr>
          <w:rFonts w:ascii="仿宋" w:eastAsia="仿宋"/>
          <w:color w:val="000000"/>
          <w:sz w:val="32"/>
          <w:szCs w:val="32"/>
        </w:rPr>
        <w:t>%</w:t>
      </w:r>
      <w:r>
        <w:rPr>
          <w:rFonts w:hint="eastAsia" w:ascii="仿宋" w:eastAsia="仿宋"/>
          <w:color w:val="000000"/>
          <w:sz w:val="32"/>
          <w:szCs w:val="32"/>
        </w:rPr>
        <w:t>；公务用车购置28.07万元，占65.16</w:t>
      </w:r>
      <w:r>
        <w:rPr>
          <w:rFonts w:ascii="仿宋" w:eastAsia="仿宋"/>
          <w:color w:val="000000"/>
          <w:sz w:val="32"/>
          <w:szCs w:val="32"/>
        </w:rPr>
        <w:t>%</w:t>
      </w:r>
      <w:r>
        <w:rPr>
          <w:rFonts w:hint="eastAsia" w:ascii="仿宋" w:eastAsia="仿宋"/>
          <w:color w:val="000000"/>
          <w:sz w:val="32"/>
          <w:szCs w:val="32"/>
        </w:rPr>
        <w:t>，公务用车运行维护费支出决算14.61万元，</w:t>
      </w:r>
      <w:r>
        <w:rPr>
          <w:rFonts w:ascii="仿宋" w:eastAsia="仿宋"/>
          <w:color w:val="000000"/>
          <w:sz w:val="32"/>
          <w:szCs w:val="32"/>
        </w:rPr>
        <w:t xml:space="preserve"> </w:t>
      </w:r>
      <w:r>
        <w:rPr>
          <w:rFonts w:hint="eastAsia" w:ascii="仿宋" w:eastAsia="仿宋"/>
          <w:color w:val="000000"/>
          <w:sz w:val="32"/>
          <w:szCs w:val="32"/>
        </w:rPr>
        <w:t>占33.91</w:t>
      </w:r>
      <w:r>
        <w:rPr>
          <w:rFonts w:ascii="仿宋" w:eastAsia="仿宋"/>
          <w:color w:val="000000"/>
          <w:sz w:val="32"/>
          <w:szCs w:val="32"/>
        </w:rPr>
        <w:t>%</w:t>
      </w:r>
      <w:r>
        <w:rPr>
          <w:rFonts w:hint="eastAsia" w:ascii="仿宋" w:eastAsia="仿宋"/>
          <w:color w:val="000000"/>
          <w:sz w:val="32"/>
          <w:szCs w:val="32"/>
        </w:rPr>
        <w:t>；公务接待费支出决算0.4万元，占0.93</w:t>
      </w:r>
      <w:r>
        <w:rPr>
          <w:rFonts w:ascii="仿宋" w:eastAsia="仿宋"/>
          <w:color w:val="000000"/>
          <w:sz w:val="32"/>
          <w:szCs w:val="32"/>
        </w:rPr>
        <w:t>%</w:t>
      </w:r>
      <w:r>
        <w:rPr>
          <w:rFonts w:hint="eastAsia" w:ascii="仿宋" w:eastAsia="仿宋"/>
          <w:color w:val="000000"/>
          <w:sz w:val="32"/>
          <w:szCs w:val="32"/>
        </w:rPr>
        <w:t>。具体情况如下：</w:t>
      </w:r>
    </w:p>
    <w:p>
      <w:pPr>
        <w:spacing w:line="600" w:lineRule="exact"/>
        <w:ind w:firstLine="640"/>
        <w:rPr>
          <w:rFonts w:ascii="仿宋" w:eastAsia="仿宋"/>
          <w:color w:val="000000"/>
          <w:sz w:val="32"/>
          <w:szCs w:val="32"/>
        </w:rPr>
      </w:pPr>
      <w:r>
        <w:rPr>
          <w:rFonts w:hint="eastAsia" w:ascii="仿宋" w:eastAsia="仿宋"/>
          <w:color w:val="000000"/>
          <w:sz w:val="32"/>
          <w:szCs w:val="32"/>
        </w:rPr>
        <w:drawing>
          <wp:anchor distT="0" distB="0" distL="114300" distR="114300" simplePos="0" relativeHeight="251664384" behindDoc="0" locked="0" layoutInCell="1" allowOverlap="1">
            <wp:simplePos x="0" y="0"/>
            <wp:positionH relativeFrom="column">
              <wp:posOffset>210820</wp:posOffset>
            </wp:positionH>
            <wp:positionV relativeFrom="paragraph">
              <wp:posOffset>-7853680</wp:posOffset>
            </wp:positionV>
            <wp:extent cx="5071110" cy="2591435"/>
            <wp:effectExtent l="0" t="0" r="0" b="0"/>
            <wp:wrapTopAndBottom/>
            <wp:docPr id="7"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1.因公出国（境）经费支出</w:t>
      </w:r>
      <w:r>
        <w:rPr>
          <w:rFonts w:hint="eastAsia" w:ascii="仿宋_GB2312" w:eastAsia="仿宋_GB2312"/>
          <w:color w:val="000000"/>
          <w:sz w:val="32"/>
          <w:szCs w:val="32"/>
        </w:rPr>
        <w:t>0万元</w:t>
      </w:r>
      <w:r>
        <w:rPr>
          <w:rStyle w:val="14"/>
          <w:rFonts w:hint="eastAsia" w:ascii="仿宋" w:eastAsia="仿宋"/>
          <w:b w:val="0"/>
          <w:bCs/>
          <w:color w:val="000000"/>
          <w:sz w:val="32"/>
          <w:szCs w:val="32"/>
        </w:rPr>
        <w:t>。</w:t>
      </w:r>
      <w:r>
        <w:rPr>
          <w:rFonts w:hint="eastAsia" w:ascii="仿宋_GB2312" w:eastAsia="仿宋_GB2312"/>
          <w:sz w:val="32"/>
          <w:szCs w:val="32"/>
        </w:rPr>
        <w:t>全年安排因公出国（境）团组0次，出国（境）0人。</w:t>
      </w:r>
    </w:p>
    <w:p>
      <w:pPr>
        <w:spacing w:line="600" w:lineRule="exact"/>
        <w:ind w:firstLine="640"/>
        <w:rPr>
          <w:rFonts w:ascii="仿宋_GB2312" w:eastAsia="仿宋_GB2312"/>
          <w:b/>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w:t>
      </w:r>
      <w:r>
        <w:rPr>
          <w:rFonts w:hint="eastAsia" w:ascii="仿宋_GB2312" w:eastAsia="仿宋_GB2312"/>
          <w:b/>
          <w:sz w:val="32"/>
          <w:szCs w:val="32"/>
        </w:rPr>
        <w:t>用车</w:t>
      </w:r>
      <w:r>
        <w:rPr>
          <w:rFonts w:hint="eastAsia" w:ascii="仿宋_GB2312" w:eastAsia="仿宋_GB2312"/>
          <w:b/>
          <w:color w:val="000000"/>
          <w:sz w:val="32"/>
          <w:szCs w:val="32"/>
        </w:rPr>
        <w:t>购置及运行维护费支出</w:t>
      </w:r>
      <w:r>
        <w:rPr>
          <w:rFonts w:hint="eastAsia" w:ascii="仿宋_GB2312" w:eastAsia="仿宋_GB2312"/>
          <w:color w:val="000000"/>
          <w:sz w:val="32"/>
          <w:szCs w:val="32"/>
        </w:rPr>
        <w:t>14.61万元,</w:t>
      </w:r>
      <w:r>
        <w:rPr>
          <w:rStyle w:val="14"/>
          <w:rFonts w:hint="eastAsia" w:ascii="仿宋" w:eastAsia="仿宋"/>
          <w:b w:val="0"/>
          <w:bCs/>
          <w:color w:val="000000"/>
          <w:sz w:val="32"/>
          <w:szCs w:val="32"/>
        </w:rPr>
        <w:t>完成预算100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r>
        <w:rPr>
          <w:rFonts w:hint="eastAsia" w:ascii="仿宋_GB2312" w:eastAsia="仿宋_GB2312"/>
          <w:color w:val="000000"/>
          <w:sz w:val="32"/>
          <w:szCs w:val="32"/>
        </w:rPr>
        <w:t>公务用车购置及运行维护费支出决算与</w:t>
      </w:r>
      <w:r>
        <w:rPr>
          <w:rFonts w:ascii="仿宋_GB2312" w:eastAsia="仿宋_GB2312"/>
          <w:color w:val="000000"/>
          <w:sz w:val="32"/>
          <w:szCs w:val="32"/>
        </w:rPr>
        <w:t>20</w:t>
      </w:r>
      <w:r>
        <w:rPr>
          <w:rFonts w:hint="eastAsia" w:ascii="仿宋_GB2312" w:eastAsia="仿宋_GB2312"/>
          <w:color w:val="000000"/>
          <w:sz w:val="32"/>
          <w:szCs w:val="32"/>
        </w:rPr>
        <w:t>19年增加6.61万元（为中央政法转移支付资金），增加的原因为公务用车新增1辆</w:t>
      </w:r>
      <w:r>
        <w:rPr>
          <w:rFonts w:hint="eastAsia" w:ascii="仿宋_GB2312" w:eastAsia="仿宋_GB2312"/>
          <w:sz w:val="32"/>
          <w:szCs w:val="32"/>
        </w:rPr>
        <w:t>。</w:t>
      </w:r>
    </w:p>
    <w:p>
      <w:pPr>
        <w:autoSpaceDE w:val="0"/>
        <w:autoSpaceDN w:val="0"/>
        <w:adjustRightInd w:val="0"/>
        <w:spacing w:line="600" w:lineRule="exact"/>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28.07万元。全年按规定更新购置公务用车1辆。截至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日，共有车辆6辆，其中：部级领导干部用车0辆、主要领导干部用车0辆、机要通信用车0辆、应急保障用车0辆、执法执勤用车5辆、特种专业技术用车0辆、离退休干部用车0辆、其他用车1辆；</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sz w:val="32"/>
          <w:szCs w:val="32"/>
        </w:rPr>
        <w:t>14.61万元。</w:t>
      </w:r>
      <w:r>
        <w:rPr>
          <w:rFonts w:hint="eastAsia" w:ascii="仿宋_GB2312" w:eastAsia="仿宋_GB2312"/>
          <w:color w:val="000000"/>
          <w:sz w:val="32"/>
          <w:szCs w:val="32"/>
        </w:rPr>
        <w:t>主要用我单位所需的公务用车燃料费、维修费、过路过桥费、保险费等支出。</w:t>
      </w:r>
    </w:p>
    <w:p>
      <w:pPr>
        <w:spacing w:line="600" w:lineRule="exact"/>
        <w:ind w:firstLine="643" w:firstLineChars="200"/>
        <w:rPr>
          <w:rFonts w:ascii="仿宋_GB2312" w:eastAsia="仿宋_GB2312" w:cs="仿宋"/>
          <w:color w:val="000000"/>
          <w:sz w:val="32"/>
          <w:szCs w:val="32"/>
        </w:rPr>
      </w:pPr>
      <w:r>
        <w:rPr>
          <w:rFonts w:hint="eastAsia" w:ascii="仿宋_GB2312" w:eastAsia="仿宋_GB2312"/>
          <w:b/>
          <w:color w:val="000000"/>
          <w:sz w:val="32"/>
          <w:szCs w:val="32"/>
        </w:rPr>
        <w:t>3.公务接待费支出</w:t>
      </w:r>
      <w:r>
        <w:rPr>
          <w:rFonts w:hint="eastAsia" w:ascii="仿宋_GB2312" w:eastAsia="仿宋_GB2312"/>
          <w:color w:val="000000"/>
          <w:sz w:val="32"/>
          <w:szCs w:val="32"/>
        </w:rPr>
        <w:t>0.4万元，</w:t>
      </w:r>
      <w:r>
        <w:rPr>
          <w:rStyle w:val="14"/>
          <w:rFonts w:hint="eastAsia" w:ascii="仿宋" w:eastAsia="仿宋"/>
          <w:b w:val="0"/>
          <w:bCs/>
          <w:color w:val="000000"/>
          <w:sz w:val="32"/>
          <w:szCs w:val="32"/>
        </w:rPr>
        <w:t>完成预算80</w:t>
      </w:r>
      <w:r>
        <w:rPr>
          <w:rStyle w:val="14"/>
          <w:rFonts w:ascii="仿宋" w:eastAsia="仿宋"/>
          <w:b w:val="0"/>
          <w:bCs/>
          <w:color w:val="000000"/>
          <w:sz w:val="32"/>
          <w:szCs w:val="32"/>
        </w:rPr>
        <w:t>%</w:t>
      </w:r>
      <w:r>
        <w:rPr>
          <w:rStyle w:val="14"/>
          <w:rFonts w:hint="eastAsia" w:ascii="仿宋" w:eastAsia="仿宋"/>
          <w:b w:val="0"/>
          <w:bCs/>
          <w:color w:val="000000"/>
          <w:sz w:val="32"/>
          <w:szCs w:val="32"/>
        </w:rPr>
        <w:t>。</w:t>
      </w:r>
      <w:r>
        <w:rPr>
          <w:rFonts w:hint="eastAsia" w:ascii="仿宋_GB2312" w:eastAsia="仿宋_GB2312" w:cs="仿宋"/>
          <w:color w:val="000000"/>
          <w:sz w:val="32"/>
          <w:szCs w:val="32"/>
        </w:rPr>
        <w:t>公务接待费0.4万元，较上年减少0.03万元，减少0.69%，减少原因是严格执行有关规定，实行“先审批，后接待”制度，严格控制接待标准和陪餐人数，降低接待费用。</w:t>
      </w:r>
    </w:p>
    <w:p>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主要用于执行公务、开展业务活动开支的交通费、住宿费、用餐费等。国内公务接待3批次，40人次，共计支出0.4万元。</w:t>
      </w:r>
    </w:p>
    <w:p>
      <w:pPr>
        <w:spacing w:line="600" w:lineRule="exact"/>
        <w:ind w:firstLine="640"/>
        <w:outlineLvl w:val="1"/>
        <w:rPr>
          <w:rFonts w:ascii="仿宋_GB2312" w:eastAsia="仿宋_GB2312"/>
          <w:color w:val="000000"/>
          <w:sz w:val="32"/>
          <w:szCs w:val="32"/>
        </w:rPr>
      </w:pPr>
      <w:r>
        <w:rPr>
          <w:rFonts w:hint="eastAsia" w:ascii="仿宋" w:eastAsia="仿宋"/>
          <w:b/>
          <w:color w:val="000000"/>
          <w:sz w:val="32"/>
          <w:szCs w:val="32"/>
        </w:rPr>
        <w:t>外事接待支出</w:t>
      </w:r>
      <w:r>
        <w:rPr>
          <w:rFonts w:hint="eastAsia" w:ascii="仿宋" w:eastAsia="仿宋"/>
          <w:color w:val="000000"/>
          <w:sz w:val="32"/>
          <w:szCs w:val="32"/>
        </w:rPr>
        <w:t>0</w:t>
      </w:r>
      <w:r>
        <w:rPr>
          <w:rFonts w:hint="eastAsia" w:ascii="仿宋_GB2312" w:eastAsia="仿宋_GB2312"/>
          <w:color w:val="000000"/>
          <w:sz w:val="32"/>
          <w:szCs w:val="32"/>
        </w:rPr>
        <w:t>万元，外事接待0批次，0人，共计支出0万元。</w:t>
      </w:r>
      <w:bookmarkStart w:id="46" w:name="_Toc15377218"/>
      <w:bookmarkStart w:id="47" w:name="_Toc15396610"/>
    </w:p>
    <w:p>
      <w:pPr>
        <w:spacing w:line="600" w:lineRule="exact"/>
        <w:ind w:firstLine="640"/>
        <w:outlineLvl w:val="1"/>
        <w:rPr>
          <w:rStyle w:val="17"/>
          <w:rFonts w:ascii="黑体" w:eastAsia="黑体"/>
        </w:rPr>
      </w:pPr>
      <w:r>
        <w:rPr>
          <w:rFonts w:hint="eastAsia" w:ascii="黑体" w:eastAsia="黑体"/>
          <w:color w:val="000000"/>
          <w:sz w:val="32"/>
          <w:szCs w:val="32"/>
        </w:rPr>
        <w:t>八、</w:t>
      </w:r>
      <w:r>
        <w:rPr>
          <w:rStyle w:val="17"/>
          <w:rFonts w:hint="eastAsia" w:ascii="黑体" w:eastAsia="黑体"/>
          <w:b w:val="0"/>
        </w:rPr>
        <w:t>政府性基金预算支出决算情况说明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20年政府性基金预算拨款支出0万元。</w:t>
      </w:r>
    </w:p>
    <w:p>
      <w:pPr>
        <w:numPr>
          <w:ilvl w:val="0"/>
          <w:numId w:val="2"/>
        </w:numPr>
        <w:spacing w:line="600" w:lineRule="exact"/>
        <w:ind w:firstLine="640"/>
        <w:outlineLvl w:val="1"/>
        <w:rPr>
          <w:rStyle w:val="17"/>
          <w:rFonts w:ascii="黑体" w:eastAsia="黑体"/>
          <w:b w:val="0"/>
        </w:rPr>
      </w:pPr>
      <w:bookmarkStart w:id="48" w:name="_Toc15377219"/>
      <w:bookmarkStart w:id="49" w:name="_Toc15396611"/>
      <w:r>
        <w:rPr>
          <w:rStyle w:val="17"/>
          <w:rFonts w:hint="eastAsia" w:ascii="黑体" w:eastAsia="黑体"/>
          <w:b w:val="0"/>
        </w:rPr>
        <w:t>国有资本经营预算支出决算情况说明</w:t>
      </w:r>
      <w:bookmarkEnd w:id="48"/>
      <w:bookmarkEnd w:id="4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20年国有资本经营预算拨款支出0万元。</w:t>
      </w:r>
    </w:p>
    <w:p>
      <w:pPr>
        <w:pStyle w:val="22"/>
        <w:numPr>
          <w:ilvl w:val="0"/>
          <w:numId w:val="3"/>
        </w:numPr>
        <w:spacing w:line="580" w:lineRule="exact"/>
        <w:ind w:firstLineChars="0"/>
        <w:rPr>
          <w:rStyle w:val="17"/>
          <w:rFonts w:ascii="黑体" w:eastAsia="黑体"/>
          <w:b w:val="0"/>
        </w:rPr>
      </w:pPr>
      <w:r>
        <w:rPr>
          <w:rStyle w:val="17"/>
          <w:rFonts w:hint="eastAsia" w:ascii="黑体" w:eastAsia="黑体"/>
          <w:b w:val="0"/>
        </w:rPr>
        <w:t>预算绩效情况说明</w:t>
      </w:r>
    </w:p>
    <w:p>
      <w:pPr>
        <w:numPr>
          <w:ilvl w:val="0"/>
          <w:numId w:val="4"/>
        </w:numPr>
        <w:spacing w:line="580" w:lineRule="exact"/>
        <w:ind w:firstLine="643" w:firstLineChars="200"/>
        <w:rPr>
          <w:rFonts w:ascii="仿宋" w:eastAsia="仿宋" w:cs="楷体_GB2312"/>
          <w:b/>
          <w:bCs/>
          <w:sz w:val="32"/>
          <w:szCs w:val="32"/>
        </w:rPr>
      </w:pPr>
      <w:r>
        <w:rPr>
          <w:rFonts w:hint="eastAsia" w:ascii="仿宋" w:eastAsia="仿宋" w:cs="楷体_GB2312"/>
          <w:b/>
          <w:bCs/>
          <w:sz w:val="32"/>
          <w:szCs w:val="32"/>
        </w:rPr>
        <w:t>预算绩效管理工作开展情况。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根据预算绩效管理要求，我单位在年初预算编制阶段，组织对项目开展了预算事前绩效评估，对6个项目编制了绩效目标，预算执行过程中，选取6个项目开展绩效监控，年终执行完毕后，对6个项目开展了绩效目标完成情况梳理填报。</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本部门按要求对2020年部门整体支出开展绩效自评，</w:t>
      </w:r>
      <w:r>
        <w:rPr>
          <w:rFonts w:hint="eastAsia" w:ascii="仿宋_GB2312" w:eastAsia="仿宋_GB2312"/>
          <w:sz w:val="32"/>
          <w:szCs w:val="32"/>
        </w:rPr>
        <w:t>经全面综合评价，我单位预算支出绩效自评得分98</w:t>
      </w:r>
      <w:r>
        <w:rPr>
          <w:rFonts w:hint="eastAsia" w:ascii="仿宋_GB2312" w:eastAsia="仿宋_GB2312"/>
          <w:color w:val="000000"/>
          <w:sz w:val="32"/>
          <w:szCs w:val="32"/>
        </w:rPr>
        <w:t>分</w:t>
      </w:r>
      <w:r>
        <w:rPr>
          <w:rFonts w:hint="eastAsia" w:ascii="仿宋_GB2312" w:eastAsia="仿宋_GB2312"/>
          <w:sz w:val="32"/>
          <w:szCs w:val="32"/>
        </w:rPr>
        <w:t>。我单位深入贯彻落实十九大关于“全面实施绩效管理”的要求，努力提升本单位绩效预算管理业务水平。主动公开绩效结果，加大资金使用效率，提升政府管理水平。及时告知各部门（科室）部门预算及项目支出进度</w:t>
      </w:r>
      <w:r>
        <w:rPr>
          <w:rFonts w:hint="eastAsia" w:ascii="仿宋_GB2312" w:eastAsia="仿宋_GB2312" w:cs="仿宋_GB2312"/>
          <w:sz w:val="32"/>
          <w:szCs w:val="32"/>
        </w:rPr>
        <w:t>。本单位还自行组织了6个项目绩效评价，从评价情况来看我单位年初预算项目基本按照绩效目标完成支付，有部分项目结转质保金在下年质保期后进行支付。</w:t>
      </w:r>
    </w:p>
    <w:p>
      <w:pPr>
        <w:numPr>
          <w:ilvl w:val="0"/>
          <w:numId w:val="4"/>
        </w:numPr>
        <w:spacing w:line="580" w:lineRule="exact"/>
        <w:ind w:firstLine="643" w:firstLineChars="200"/>
        <w:jc w:val="left"/>
        <w:rPr>
          <w:rFonts w:ascii="仿宋_GB2312" w:eastAsia="仿宋_GB2312" w:cs="仿宋_GB2312"/>
          <w:sz w:val="32"/>
          <w:szCs w:val="32"/>
        </w:rPr>
      </w:pPr>
      <w:r>
        <w:rPr>
          <w:rFonts w:hint="eastAsia" w:ascii="仿宋" w:eastAsia="仿宋" w:cs="楷体_GB2312"/>
          <w:b/>
          <w:bCs/>
          <w:sz w:val="32"/>
          <w:szCs w:val="32"/>
        </w:rPr>
        <w:t>项目绩效目标完成情况。</w:t>
      </w:r>
    </w:p>
    <w:p>
      <w:pPr>
        <w:numPr>
          <w:ilvl w:val="0"/>
          <w:numId w:val="4"/>
        </w:numPr>
        <w:spacing w:line="580" w:lineRule="exact"/>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 xml:space="preserve">    本部门在2020年度部门决算中反映“法律政策七进</w:t>
      </w:r>
      <w:r>
        <w:rPr>
          <w:rFonts w:ascii="仿宋_GB2312" w:eastAsia="仿宋_GB2312" w:cs="仿宋_GB2312"/>
          <w:sz w:val="32"/>
          <w:szCs w:val="32"/>
        </w:rPr>
        <w:t>”</w:t>
      </w:r>
      <w:r>
        <w:rPr>
          <w:rFonts w:hint="eastAsia" w:ascii="仿宋_GB2312" w:eastAsia="仿宋_GB2312" w:cs="仿宋_GB2312"/>
          <w:sz w:val="32"/>
          <w:szCs w:val="32"/>
        </w:rPr>
        <w:t>“法律援助</w:t>
      </w:r>
      <w:r>
        <w:rPr>
          <w:rFonts w:ascii="仿宋_GB2312" w:eastAsia="仿宋_GB2312" w:cs="仿宋_GB2312"/>
          <w:sz w:val="32"/>
          <w:szCs w:val="32"/>
        </w:rPr>
        <w:t>”</w:t>
      </w:r>
      <w:r>
        <w:rPr>
          <w:rFonts w:hint="eastAsia" w:ascii="仿宋_GB2312" w:eastAsia="仿宋_GB2312" w:cs="仿宋_GB2312"/>
          <w:sz w:val="32"/>
          <w:szCs w:val="32"/>
        </w:rPr>
        <w:t>“七五普法”等6个项目绩效目标实际完成情况。</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1.“法律政策七进”项目绩效目标完成情况综述。项目全年预算数10万元，执行数为10万元，完成预算的100%。用于开展法律政策七进、普法宣传工作2020年底前完成。</w:t>
      </w: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noWrap/>
            <w:tcMar>
              <w:top w:w="15" w:type="dxa"/>
              <w:left w:w="15" w:type="dxa"/>
              <w:right w:w="15" w:type="dxa"/>
            </w:tcMar>
            <w:vAlign w:val="center"/>
          </w:tcPr>
          <w:p>
            <w:pPr>
              <w:pStyle w:val="22"/>
              <w:widowControl/>
              <w:ind w:left="4173" w:leftChars="1310" w:hanging="1422" w:hangingChars="395"/>
              <w:textAlignment w:val="center"/>
              <w:rPr>
                <w:rFonts w:hint="eastAsia" w:ascii="黑体" w:eastAsia="黑体" w:cs="宋体"/>
                <w:bCs/>
                <w:color w:val="000000"/>
                <w:kern w:val="0"/>
                <w:sz w:val="36"/>
                <w:szCs w:val="36"/>
                <w:lang w:eastAsia="zh-CN"/>
              </w:rPr>
            </w:pPr>
            <w:r>
              <w:rPr>
                <w:rFonts w:hint="eastAsia" w:ascii="黑体" w:eastAsia="黑体" w:cs="宋体"/>
                <w:bCs/>
                <w:color w:val="000000"/>
                <w:kern w:val="0"/>
                <w:sz w:val="36"/>
                <w:szCs w:val="36"/>
              </w:rPr>
              <w:t>项目支出绩效目标完成情况表</w:t>
            </w:r>
          </w:p>
          <w:p>
            <w:pPr>
              <w:pStyle w:val="22"/>
              <w:widowControl/>
              <w:ind w:left="4173" w:leftChars="1310" w:hanging="1422" w:hangingChars="395"/>
              <w:textAlignment w:val="center"/>
              <w:rPr>
                <w:rFonts w:ascii="宋体" w:cs="宋体"/>
                <w:color w:val="000000"/>
                <w:sz w:val="36"/>
                <w:szCs w:val="36"/>
              </w:rPr>
            </w:pPr>
            <w:r>
              <w:rPr>
                <w:rFonts w:hint="eastAsia" w:ascii="宋体" w:cs="宋体"/>
                <w:color w:val="000000"/>
                <w:kern w:val="0"/>
                <w:sz w:val="36"/>
                <w:szCs w:val="36"/>
              </w:rPr>
              <w:t>(2020年度)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法律政策七进</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金川县司法局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10万元</w:t>
            </w:r>
          </w:p>
        </w:tc>
      </w:tr>
      <w:tr>
        <w:tblPrEx>
          <w:tblCellMar>
            <w:top w:w="0" w:type="dxa"/>
            <w:left w:w="0" w:type="dxa"/>
            <w:bottom w:w="0" w:type="dxa"/>
            <w:right w:w="0" w:type="dxa"/>
          </w:tblCellMar>
        </w:tblPrEx>
        <w:trPr>
          <w:trHeight w:val="106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color w:val="000000"/>
                <w:sz w:val="24"/>
              </w:rPr>
            </w:pP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74"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开展法律政策七进及普法宣传工作</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基本实现</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印制</w:t>
            </w:r>
            <w:r>
              <w:rPr>
                <w:rFonts w:hint="eastAsia" w:ascii="宋体" w:cs="宋体"/>
                <w:color w:val="000000"/>
                <w:sz w:val="24"/>
                <w:lang w:eastAsia="zh-CN"/>
              </w:rPr>
              <w:t>法制宣传</w:t>
            </w:r>
            <w:r>
              <w:rPr>
                <w:rFonts w:hint="eastAsia" w:ascii="宋体" w:cs="宋体"/>
                <w:color w:val="000000"/>
                <w:sz w:val="24"/>
              </w:rPr>
              <w:t>资料</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1次</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1次</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完成时间</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2020年12月31日前</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sz w:val="24"/>
              </w:rPr>
              <w:t>印制法治宣传资料3600份。</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hint="eastAsia" w:ascii="宋体" w:cs="宋体"/>
                <w:color w:val="000000"/>
                <w:kern w:val="0"/>
                <w:sz w:val="24"/>
              </w:rPr>
              <w:t>项目完成指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控制成本</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印刷费用控制在10万元以内</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10万元</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spacing w:line="580" w:lineRule="exact"/>
        <w:ind w:firstLine="640" w:firstLineChars="200"/>
        <w:rPr>
          <w:rFonts w:ascii="仿宋_GB2312" w:eastAsia="仿宋_GB2312" w:cs="仿宋_GB2312"/>
          <w:sz w:val="32"/>
          <w:szCs w:val="32"/>
        </w:rPr>
      </w:pP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2.“法律与安置”项目绩效目标完成情况综述。项目全年预算数2万元，执行数为2万元，完成预算的100%。通过对法律援助案件解答、代书等确保法律援助案件完成率达到100%。。</w:t>
      </w: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56"/>
        <w:gridCol w:w="2430"/>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pStyle w:val="22"/>
              <w:widowControl/>
              <w:ind w:left="4173" w:leftChars="1310" w:hanging="1422" w:hangingChars="395"/>
              <w:textAlignment w:val="center"/>
              <w:rPr>
                <w:rFonts w:hint="eastAsia" w:ascii="黑体" w:eastAsia="黑体" w:cs="宋体"/>
                <w:bCs/>
                <w:color w:val="000000"/>
                <w:kern w:val="0"/>
                <w:sz w:val="36"/>
                <w:szCs w:val="36"/>
                <w:lang w:eastAsia="zh-CN"/>
              </w:rPr>
            </w:pPr>
            <w:r>
              <w:rPr>
                <w:rFonts w:hint="eastAsia" w:ascii="黑体" w:eastAsia="黑体" w:cs="宋体"/>
                <w:bCs/>
                <w:color w:val="000000"/>
                <w:kern w:val="0"/>
                <w:sz w:val="36"/>
                <w:szCs w:val="36"/>
              </w:rPr>
              <w:t>项目支出绩效目标完成情况表</w:t>
            </w:r>
          </w:p>
          <w:p>
            <w:pPr>
              <w:pStyle w:val="22"/>
              <w:widowControl/>
              <w:ind w:left="4173" w:leftChars="1310" w:hanging="1422" w:hangingChars="395"/>
              <w:textAlignment w:val="center"/>
              <w:rPr>
                <w:rFonts w:ascii="宋体" w:cs="宋体"/>
                <w:color w:val="000000"/>
                <w:sz w:val="36"/>
                <w:szCs w:val="36"/>
              </w:rPr>
            </w:pPr>
            <w:r>
              <w:rPr>
                <w:rFonts w:hint="eastAsia" w:ascii="宋体" w:cs="宋体"/>
                <w:color w:val="000000"/>
                <w:kern w:val="0"/>
                <w:sz w:val="36"/>
                <w:szCs w:val="36"/>
              </w:rPr>
              <w:t>(2020年度)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法律援助</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金川县司法局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2万元</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2万元</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0</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textAlignment w:val="center"/>
              <w:rPr>
                <w:rFonts w:ascii="宋体" w:cs="宋体"/>
                <w:color w:val="000000"/>
                <w:sz w:val="24"/>
              </w:rPr>
            </w:pPr>
            <w:r>
              <w:rPr>
                <w:rFonts w:hint="eastAsia" w:ascii="宋体" w:cs="宋体"/>
                <w:color w:val="000000"/>
                <w:sz w:val="24"/>
              </w:rPr>
              <w:t>解答法律咨询、代书等</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完全实现。</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案件数</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案件、咨询、代书</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实效指标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完成时间</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2020年12月31日前完成</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b/>
                <w:bCs/>
                <w:color w:val="000000"/>
                <w:sz w:val="24"/>
              </w:rPr>
            </w:pPr>
            <w:r>
              <w:rPr>
                <w:rFonts w:hint="eastAsia" w:ascii="宋体" w:cs="宋体"/>
                <w:color w:val="000000"/>
                <w:sz w:val="24"/>
              </w:rPr>
              <w:t>案件5件、咨询200件、代书110件</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法律援助人数</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≥300人次</w:t>
            </w: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noWrap/>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56"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430"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ind w:firstLine="640" w:firstLineChars="200"/>
        <w:jc w:val="left"/>
        <w:rPr>
          <w:rFonts w:ascii="仿宋_GB2312" w:eastAsia="仿宋_GB2312" w:cs="仿宋_GB2312"/>
          <w:sz w:val="32"/>
          <w:szCs w:val="32"/>
        </w:rPr>
      </w:pPr>
      <w:r>
        <w:rPr>
          <w:rFonts w:hint="eastAsia" w:ascii="仿宋_GB2312" w:eastAsia="仿宋_GB2312" w:cs="仿宋_GB2312"/>
          <w:sz w:val="32"/>
          <w:szCs w:val="32"/>
        </w:rPr>
        <w:t xml:space="preserve">                                                                                                                                                                     </w:t>
      </w:r>
    </w:p>
    <w:p>
      <w:pPr>
        <w:numPr>
          <w:ilvl w:val="0"/>
          <w:numId w:val="5"/>
        </w:num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“七五普法”项目绩效目标完成情况综述。项目全年预算数15万元，执行数为15万元，完成预算的100%。通过开展普法宣传工作，提高群众法制思想。</w:t>
      </w:r>
    </w:p>
    <w:p>
      <w:pPr>
        <w:spacing w:line="580" w:lineRule="exact"/>
        <w:rPr>
          <w:rFonts w:ascii="仿宋_GB2312" w:eastAsia="仿宋_GB2312" w:cs="仿宋_GB2312"/>
          <w:sz w:val="32"/>
          <w:szCs w:val="32"/>
        </w:rPr>
      </w:pPr>
    </w:p>
    <w:p>
      <w:pPr>
        <w:spacing w:line="580" w:lineRule="exact"/>
        <w:rPr>
          <w:rFonts w:ascii="仿宋_GB2312" w:eastAsia="仿宋_GB2312" w:cs="仿宋_GB2312"/>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hint="eastAsia" w:ascii="宋体" w:cs="宋体"/>
                <w:color w:val="000000"/>
                <w:kern w:val="0"/>
                <w:sz w:val="36"/>
                <w:szCs w:val="36"/>
              </w:rPr>
              <w:t>(2020 年度)</w:t>
            </w:r>
          </w:p>
        </w:tc>
      </w:tr>
      <w:tr>
        <w:tblPrEx>
          <w:tblCellMar>
            <w:top w:w="0" w:type="dxa"/>
            <w:left w:w="0" w:type="dxa"/>
            <w:bottom w:w="0" w:type="dxa"/>
            <w:right w:w="0" w:type="dxa"/>
          </w:tblCellMar>
        </w:tblPrEx>
        <w:trPr>
          <w:trHeight w:val="90"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七五普法</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金川县司法局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15万元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15万元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15万元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15万元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通过开展普法宣传工作，提高群众法制思想。</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基本完成。</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r>
              <w:rPr>
                <w:rFonts w:hint="eastAsia"/>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tcPr>
          <w:p>
            <w:pPr>
              <w:ind w:firstLine="480" w:firstLineChars="200"/>
              <w:jc w:val="center"/>
            </w:pPr>
            <w:r>
              <w:rPr>
                <w:rFonts w:hint="eastAsia" w:ascii="宋体" w:cs="宋体"/>
                <w:color w:val="000000"/>
                <w:sz w:val="24"/>
              </w:rPr>
              <w:t xml:space="preserve">              完成时限</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2020年12月31日前完成。</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印制宣传资料4000份</w:t>
            </w:r>
          </w:p>
        </w:tc>
      </w:tr>
      <w:tr>
        <w:tblPrEx>
          <w:tblCellMar>
            <w:top w:w="0" w:type="dxa"/>
            <w:left w:w="0" w:type="dxa"/>
            <w:bottom w:w="0" w:type="dxa"/>
            <w:right w:w="0" w:type="dxa"/>
          </w:tblCellMar>
        </w:tblPrEx>
        <w:trPr>
          <w:trHeight w:val="1042"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重大意义</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cs="宋体"/>
                <w:color w:val="000000"/>
                <w:sz w:val="24"/>
              </w:rPr>
              <w:t>群众知法、用法、懂法普及率提高</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≥85%</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4 .“基层司法业务”绩效目标完成情况综述。项目全年预算数66万元，执行数为38.24万元，完成预算的57.94%，结转下年27.76万元。用于开展全面依法治国、人民调解、安置帮教、社区矫正等重点工作。</w:t>
      </w: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Borders>
              <w:top w:val="nil"/>
              <w:left w:val="nil"/>
              <w:bottom w:val="nil"/>
              <w:right w:val="nil"/>
            </w:tcBorders>
            <w:noWrap/>
            <w:tcMar>
              <w:top w:w="15" w:type="dxa"/>
              <w:left w:w="15" w:type="dxa"/>
              <w:right w:w="15" w:type="dxa"/>
            </w:tcMar>
            <w:vAlign w:val="center"/>
          </w:tcPr>
          <w:p>
            <w:pPr>
              <w:widowControl/>
              <w:jc w:val="center"/>
              <w:textAlignment w:val="center"/>
              <w:rPr>
                <w:rFonts w:hint="eastAsia" w:ascii="宋体" w:eastAsia="宋体" w:cs="宋体"/>
                <w:b/>
                <w:bCs/>
                <w:color w:val="000000"/>
                <w:kern w:val="0"/>
                <w:sz w:val="36"/>
                <w:szCs w:val="36"/>
                <w:lang w:eastAsia="zh-CN"/>
              </w:rPr>
            </w:pPr>
            <w:r>
              <w:rPr>
                <w:rFonts w:hint="eastAsia" w:ascii="宋体" w:cs="宋体"/>
                <w:b/>
                <w:bCs/>
                <w:color w:val="000000"/>
                <w:kern w:val="0"/>
                <w:sz w:val="36"/>
                <w:szCs w:val="36"/>
              </w:rPr>
              <w:t>项目绩效目标完成情况表</w:t>
            </w:r>
          </w:p>
          <w:p>
            <w:pPr>
              <w:widowControl/>
              <w:jc w:val="center"/>
              <w:textAlignment w:val="center"/>
              <w:rPr>
                <w:rFonts w:ascii="宋体" w:cs="宋体"/>
                <w:color w:val="000000"/>
                <w:sz w:val="36"/>
                <w:szCs w:val="36"/>
              </w:rPr>
            </w:pPr>
            <w:r>
              <w:rPr>
                <w:rFonts w:hint="eastAsia" w:ascii="宋体" w:cs="宋体"/>
                <w:color w:val="000000"/>
                <w:kern w:val="0"/>
                <w:sz w:val="36"/>
                <w:szCs w:val="36"/>
              </w:rPr>
              <w:t>(2020 年度)</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基层司法业务</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金川县司法局</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预算执行情况(万元)</w:t>
            </w: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预算数: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66万元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38.24万元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66万元</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38.24万元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2392"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无</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lang w:eastAsia="zh-CN"/>
              </w:rPr>
              <w:t>其他</w:t>
            </w:r>
            <w:r>
              <w:rPr>
                <w:rFonts w:hint="eastAsia" w:ascii="宋体" w:cs="宋体"/>
                <w:color w:val="000000"/>
                <w:kern w:val="0"/>
                <w:sz w:val="24"/>
              </w:rPr>
              <w:t>资金:</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jc w:val="center"/>
              <w:rPr>
                <w:rFonts w:ascii="宋体" w:cs="宋体"/>
                <w:color w:val="000000"/>
                <w:sz w:val="24"/>
              </w:rPr>
            </w:pPr>
            <w:r>
              <w:rPr>
                <w:rFonts w:hint="eastAsia" w:ascii="宋体" w:cs="宋体"/>
                <w:color w:val="000000"/>
                <w:sz w:val="24"/>
              </w:rPr>
              <w:t>无</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tc>
        <w:tc>
          <w:tcPr>
            <w:tcW w:w="4784" w:type="dxa"/>
            <w:gridSpan w:val="3"/>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left"/>
              <w:textAlignment w:val="center"/>
              <w:rPr>
                <w:rFonts w:ascii="宋体" w:cs="宋体"/>
                <w:color w:val="000000"/>
                <w:sz w:val="24"/>
              </w:rPr>
            </w:pPr>
            <w:r>
              <w:rPr>
                <w:rFonts w:hint="eastAsia" w:ascii="宋体" w:cs="宋体"/>
                <w:color w:val="000000"/>
                <w:sz w:val="24"/>
              </w:rPr>
              <w:t>用于开展全面依法治国、人民调解、安置帮教、社区矫正等重点工作</w:t>
            </w:r>
          </w:p>
        </w:tc>
        <w:tc>
          <w:tcPr>
            <w:tcW w:w="4786" w:type="dxa"/>
            <w:gridSpan w:val="2"/>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ind w:firstLine="1440" w:firstLineChars="600"/>
              <w:textAlignment w:val="center"/>
              <w:rPr>
                <w:rFonts w:ascii="宋体" w:cs="宋体"/>
                <w:color w:val="000000"/>
                <w:sz w:val="24"/>
              </w:rPr>
            </w:pPr>
            <w:r>
              <w:rPr>
                <w:rFonts w:hint="eastAsia" w:ascii="宋体" w:cs="宋体"/>
                <w:color w:val="000000"/>
                <w:sz w:val="24"/>
              </w:rPr>
              <w:t>基本完成</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实际完成指标值(包含数字及文字描述)</w:t>
            </w:r>
          </w:p>
        </w:tc>
      </w:tr>
      <w:tr>
        <w:tblPrEx>
          <w:tblCellMar>
            <w:top w:w="0" w:type="dxa"/>
            <w:left w:w="0" w:type="dxa"/>
            <w:bottom w:w="0" w:type="dxa"/>
            <w:right w:w="0" w:type="dxa"/>
          </w:tblCellMar>
        </w:tblPrEx>
        <w:trPr>
          <w:trHeight w:val="953"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数量</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p>
          <w:p>
            <w:pPr>
              <w:rPr>
                <w:rFonts w:ascii="宋体" w:cs="宋体"/>
                <w:sz w:val="24"/>
              </w:rPr>
            </w:pPr>
            <w:r>
              <w:rPr>
                <w:rFonts w:hint="eastAsia" w:ascii="宋体" w:cs="宋体"/>
                <w:color w:val="000000"/>
                <w:sz w:val="24"/>
              </w:rPr>
              <w:t>业务装备、执法执勤用车运行、办案业务</w:t>
            </w:r>
            <w:r>
              <w:rPr>
                <w:rFonts w:hint="eastAsia" w:ascii="宋体" w:cs="宋体"/>
                <w:sz w:val="24"/>
              </w:rPr>
              <w:t>。</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rPr>
                <w:rFonts w:ascii="宋体" w:cs="宋体"/>
                <w:sz w:val="24"/>
              </w:rPr>
            </w:pPr>
            <w:r>
              <w:rPr>
                <w:rFonts w:hint="eastAsia" w:ascii="宋体" w:cs="宋体"/>
                <w:color w:val="000000"/>
                <w:sz w:val="24"/>
              </w:rPr>
              <w:t>业务装备≥30台、执法执勤用车5辆、办理案件200件</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完成时限</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2020年12月31日前</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lang w:eastAsia="zh-CN"/>
              </w:rPr>
              <w:t>全部完成</w:t>
            </w:r>
          </w:p>
        </w:tc>
      </w:tr>
      <w:tr>
        <w:tblPrEx>
          <w:tblCellMar>
            <w:top w:w="0" w:type="dxa"/>
            <w:left w:w="0" w:type="dxa"/>
            <w:bottom w:w="0" w:type="dxa"/>
            <w:right w:w="0" w:type="dxa"/>
          </w:tblCellMar>
        </w:tblPrEx>
        <w:trPr>
          <w:trHeight w:val="1297" w:hRule="atLeast"/>
        </w:trPr>
        <w:tc>
          <w:tcPr>
            <w:tcW w:w="390" w:type="dxa"/>
            <w:vMerge w:val="continue"/>
            <w:tcBorders>
              <w:left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社会效益</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安置帮教、矛盾纠纷</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人员良性回归社会率≥98%、矛盾减少社会和谐率≥95%</w:t>
            </w:r>
          </w:p>
        </w:tc>
      </w:tr>
      <w:tr>
        <w:tblPrEx>
          <w:tblCellMar>
            <w:top w:w="0" w:type="dxa"/>
            <w:left w:w="0" w:type="dxa"/>
            <w:bottom w:w="0" w:type="dxa"/>
            <w:right w:w="0" w:type="dxa"/>
          </w:tblCellMar>
        </w:tblPrEx>
        <w:trPr>
          <w:trHeight w:val="1050" w:hRule="atLeast"/>
        </w:trPr>
        <w:tc>
          <w:tcPr>
            <w:tcW w:w="390" w:type="dxa"/>
            <w:vMerge w:val="continue"/>
            <w:tcBorders>
              <w:left w:val="single" w:color="000000" w:sz="4" w:space="0"/>
              <w:bottom w:val="single" w:color="000000" w:sz="4" w:space="0"/>
              <w:right w:val="single" w:color="000000" w:sz="4" w:space="0"/>
            </w:tcBorders>
            <w:noWrap/>
            <w:tcMar>
              <w:top w:w="15" w:type="dxa"/>
              <w:left w:w="15" w:type="dxa"/>
              <w:right w:w="15" w:type="dxa"/>
            </w:tcMar>
            <w:vAlign w:val="center"/>
          </w:tcPr>
          <w:p/>
        </w:tc>
        <w:tc>
          <w:tcPr>
            <w:tcW w:w="1367"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群众满意度</w:t>
            </w:r>
          </w:p>
        </w:tc>
        <w:tc>
          <w:tcPr>
            <w:tcW w:w="2394"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c>
          <w:tcPr>
            <w:tcW w:w="2392" w:type="dxa"/>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pPr>
              <w:widowControl/>
              <w:jc w:val="center"/>
              <w:textAlignment w:val="center"/>
              <w:rPr>
                <w:rFonts w:ascii="宋体" w:cs="宋体"/>
                <w:color w:val="000000"/>
                <w:sz w:val="24"/>
              </w:rPr>
            </w:pPr>
            <w:r>
              <w:rPr>
                <w:rFonts w:hint="eastAsia" w:ascii="宋体" w:cs="宋体"/>
                <w:color w:val="000000"/>
                <w:sz w:val="24"/>
              </w:rPr>
              <w:t>满意</w:t>
            </w:r>
          </w:p>
        </w:tc>
      </w:tr>
    </w:tbl>
    <w:p>
      <w:pPr>
        <w:numPr>
          <w:ilvl w:val="0"/>
          <w:numId w:val="4"/>
        </w:numPr>
        <w:spacing w:line="580" w:lineRule="exact"/>
        <w:ind w:firstLine="643" w:firstLineChars="200"/>
        <w:rPr>
          <w:rFonts w:ascii="仿宋" w:eastAsia="仿宋" w:cs="仿宋_GB2312"/>
          <w:sz w:val="32"/>
          <w:szCs w:val="32"/>
        </w:rPr>
      </w:pPr>
      <w:r>
        <w:rPr>
          <w:rFonts w:hint="eastAsia" w:ascii="仿宋" w:eastAsia="仿宋" w:cs="楷体_GB2312"/>
          <w:b/>
          <w:bCs/>
          <w:sz w:val="32"/>
          <w:szCs w:val="32"/>
        </w:rPr>
        <w:t>部门开展绩效评价结果。</w:t>
      </w:r>
    </w:p>
    <w:p>
      <w:pPr>
        <w:spacing w:line="58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本部门按要求对2020年部门整体支出绩效评价情况开展自评，</w:t>
      </w:r>
      <w:r>
        <w:rPr>
          <w:rFonts w:hint="eastAsia" w:ascii="仿宋_GB2312" w:eastAsia="仿宋_GB2312"/>
          <w:sz w:val="32"/>
          <w:szCs w:val="32"/>
        </w:rPr>
        <w:t>《金川县司法局2020年度整体支出绩效评价报告》</w:t>
      </w:r>
      <w:r>
        <w:rPr>
          <w:rFonts w:hint="eastAsia" w:ascii="仿宋_GB2312" w:eastAsia="仿宋_GB2312" w:cs="仿宋_GB2312"/>
          <w:sz w:val="32"/>
          <w:szCs w:val="32"/>
        </w:rPr>
        <w:t>见附件。</w:t>
      </w:r>
    </w:p>
    <w:p>
      <w:pPr>
        <w:spacing w:line="600" w:lineRule="exact"/>
        <w:ind w:firstLine="640" w:firstLineChars="200"/>
        <w:outlineLvl w:val="1"/>
        <w:rPr>
          <w:rStyle w:val="17"/>
          <w:rFonts w:ascii="黑体" w:eastAsia="黑体"/>
        </w:rPr>
      </w:pPr>
      <w:bookmarkStart w:id="50" w:name="_Toc15396612"/>
      <w:bookmarkStart w:id="51" w:name="_Toc15377221"/>
      <w:r>
        <w:rPr>
          <w:rFonts w:hint="eastAsia" w:ascii="黑体" w:eastAsia="黑体"/>
          <w:color w:val="000000"/>
          <w:sz w:val="32"/>
          <w:szCs w:val="32"/>
        </w:rPr>
        <w:t>十</w:t>
      </w:r>
      <w:r>
        <w:rPr>
          <w:rStyle w:val="17"/>
          <w:rFonts w:hint="eastAsia" w:ascii="黑体" w:eastAsia="黑体"/>
        </w:rPr>
        <w:t>一、</w:t>
      </w:r>
      <w:r>
        <w:rPr>
          <w:rStyle w:val="17"/>
          <w:rFonts w:hint="eastAsia" w:ascii="黑体" w:eastAsia="黑体"/>
          <w:b w:val="0"/>
        </w:rPr>
        <w:t>其他重要事项的情况说明</w:t>
      </w:r>
      <w:bookmarkEnd w:id="50"/>
      <w:bookmarkEnd w:id="51"/>
    </w:p>
    <w:p>
      <w:pPr>
        <w:spacing w:line="600" w:lineRule="exact"/>
        <w:ind w:firstLine="643" w:firstLineChars="200"/>
        <w:outlineLvl w:val="2"/>
        <w:rPr>
          <w:rFonts w:ascii="仿宋" w:eastAsia="仿宋"/>
          <w:color w:val="000000"/>
          <w:sz w:val="32"/>
          <w:szCs w:val="32"/>
        </w:rPr>
      </w:pPr>
      <w:bookmarkStart w:id="52" w:name="_Toc15377222"/>
      <w:r>
        <w:rPr>
          <w:rFonts w:hint="eastAsia" w:ascii="仿宋" w:eastAsia="仿宋"/>
          <w:b/>
          <w:color w:val="000000"/>
          <w:sz w:val="32"/>
          <w:szCs w:val="32"/>
        </w:rPr>
        <w:t>（一）机关运行经费支出情况</w:t>
      </w:r>
      <w:bookmarkEnd w:id="52"/>
    </w:p>
    <w:p>
      <w:pPr>
        <w:spacing w:line="600" w:lineRule="exact"/>
        <w:ind w:firstLine="640" w:firstLineChars="200"/>
        <w:rPr>
          <w:rFonts w:ascii="仿宋_GB2312" w:eastAsia="仿宋_GB2312"/>
          <w:sz w:val="32"/>
          <w:szCs w:val="32"/>
        </w:rPr>
      </w:pPr>
      <w:r>
        <w:rPr>
          <w:rFonts w:ascii="仿宋_GB2312" w:eastAsia="仿宋_GB2312"/>
          <w:color w:val="000000"/>
          <w:sz w:val="32"/>
          <w:szCs w:val="32"/>
        </w:rPr>
        <w:t>20</w:t>
      </w:r>
      <w:r>
        <w:rPr>
          <w:rFonts w:hint="eastAsia" w:ascii="仿宋_GB2312" w:eastAsia="仿宋_GB2312"/>
          <w:color w:val="000000"/>
          <w:sz w:val="32"/>
          <w:szCs w:val="32"/>
        </w:rPr>
        <w:t>20年，金川县司法局运行经费支出57.45万元，比</w:t>
      </w:r>
      <w:r>
        <w:rPr>
          <w:rFonts w:ascii="仿宋_GB2312" w:eastAsia="仿宋_GB2312"/>
          <w:color w:val="000000"/>
          <w:sz w:val="32"/>
          <w:szCs w:val="32"/>
        </w:rPr>
        <w:t>20</w:t>
      </w:r>
      <w:r>
        <w:rPr>
          <w:rFonts w:hint="eastAsia" w:ascii="仿宋_GB2312" w:eastAsia="仿宋_GB2312"/>
          <w:color w:val="000000"/>
          <w:sz w:val="32"/>
          <w:szCs w:val="32"/>
        </w:rPr>
        <w:t>19年增加58.18万元，减少0.73万元。原因</w:t>
      </w:r>
      <w:r>
        <w:rPr>
          <w:rFonts w:hint="eastAsia" w:ascii="仿宋_GB2312" w:eastAsia="仿宋_GB2312"/>
          <w:spacing w:val="-2"/>
          <w:sz w:val="32"/>
          <w:szCs w:val="32"/>
        </w:rPr>
        <w:t>人员减少。</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3" w:name="_Toc15377223"/>
      <w:r>
        <w:rPr>
          <w:rFonts w:hint="eastAsia" w:ascii="仿宋" w:eastAsia="仿宋"/>
          <w:b/>
          <w:color w:val="000000"/>
          <w:sz w:val="32"/>
          <w:szCs w:val="32"/>
        </w:rPr>
        <w:t>（二）政府采购支出情况</w:t>
      </w:r>
      <w:bookmarkEnd w:id="53"/>
    </w:p>
    <w:p>
      <w:pPr>
        <w:spacing w:line="600" w:lineRule="exact"/>
        <w:ind w:firstLine="640" w:firstLineChars="200"/>
        <w:rPr>
          <w:rFonts w:ascii="仿宋" w:eastAsia="仿宋"/>
          <w:b/>
          <w:sz w:val="32"/>
          <w:szCs w:val="32"/>
        </w:rPr>
      </w:pPr>
      <w:r>
        <w:rPr>
          <w:rFonts w:ascii="仿宋_GB2312" w:eastAsia="仿宋_GB2312"/>
          <w:color w:val="000000"/>
          <w:sz w:val="32"/>
          <w:szCs w:val="32"/>
        </w:rPr>
        <w:t>20</w:t>
      </w:r>
      <w:r>
        <w:rPr>
          <w:rFonts w:hint="eastAsia" w:ascii="仿宋_GB2312" w:eastAsia="仿宋_GB2312"/>
          <w:color w:val="000000"/>
          <w:sz w:val="32"/>
          <w:szCs w:val="32"/>
        </w:rPr>
        <w:t>20年，政府采购支出总额11.72万元，其中：政府采购货物支出11.72万元、政府采购服务支出0万元。</w:t>
      </w:r>
    </w:p>
    <w:p>
      <w:pPr>
        <w:autoSpaceDE w:val="0"/>
        <w:autoSpaceDN w:val="0"/>
        <w:adjustRightInd w:val="0"/>
        <w:spacing w:line="600" w:lineRule="exact"/>
        <w:ind w:firstLine="643" w:firstLineChars="200"/>
        <w:jc w:val="left"/>
        <w:outlineLvl w:val="2"/>
        <w:rPr>
          <w:rFonts w:ascii="仿宋" w:eastAsia="仿宋"/>
          <w:b/>
          <w:color w:val="000000"/>
          <w:sz w:val="32"/>
          <w:szCs w:val="32"/>
        </w:rPr>
      </w:pPr>
      <w:bookmarkStart w:id="54" w:name="_Toc15377224"/>
      <w:r>
        <w:rPr>
          <w:rFonts w:hint="eastAsia" w:ascii="仿宋" w:eastAsia="仿宋"/>
          <w:b/>
          <w:color w:val="000000"/>
          <w:sz w:val="32"/>
          <w:szCs w:val="32"/>
        </w:rPr>
        <w:t>（三）国有资产占有使用情况</w:t>
      </w:r>
      <w:bookmarkEnd w:id="54"/>
    </w:p>
    <w:p>
      <w:pPr>
        <w:widowControl/>
        <w:ind w:firstLine="640" w:firstLineChars="200"/>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w:t>
      </w:r>
      <w:r>
        <w:rPr>
          <w:rFonts w:hint="eastAsia" w:ascii="仿宋_GB2312" w:eastAsia="仿宋_GB2312"/>
          <w:color w:val="000000"/>
          <w:sz w:val="32"/>
          <w:szCs w:val="32"/>
        </w:rPr>
        <w:t>20年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日，共有车辆6辆，为日常工作及执法执勤用车。</w:t>
      </w:r>
      <w:r>
        <w:rPr>
          <w:rFonts w:hint="eastAsia" w:ascii="仿宋_GB2312" w:eastAsia="仿宋_GB2312"/>
          <w:b/>
          <w:color w:val="000000"/>
          <w:sz w:val="32"/>
          <w:szCs w:val="32"/>
        </w:rPr>
        <w:t xml:space="preserve">    </w:t>
      </w:r>
    </w:p>
    <w:p>
      <w:pPr>
        <w:numPr>
          <w:ilvl w:val="0"/>
          <w:numId w:val="6"/>
        </w:numPr>
        <w:spacing w:line="600" w:lineRule="exact"/>
        <w:ind w:firstLine="663" w:firstLineChars="150"/>
        <w:jc w:val="center"/>
        <w:outlineLvl w:val="0"/>
        <w:rPr>
          <w:rStyle w:val="16"/>
          <w:rFonts w:ascii="黑体" w:eastAsia="黑体"/>
          <w:b w:val="0"/>
        </w:rPr>
      </w:pPr>
      <w:bookmarkStart w:id="55" w:name="_Toc15396613"/>
      <w:bookmarkStart w:id="56" w:name="_Toc15377225"/>
      <w:r>
        <w:rPr>
          <w:rFonts w:hint="eastAsia" w:ascii="黑体" w:eastAsia="黑体"/>
          <w:b/>
          <w:color w:val="000000"/>
          <w:sz w:val="44"/>
          <w:szCs w:val="44"/>
        </w:rPr>
        <w:t>名</w:t>
      </w:r>
      <w:r>
        <w:rPr>
          <w:rStyle w:val="16"/>
          <w:rFonts w:hint="eastAsia" w:ascii="黑体" w:eastAsia="黑体"/>
          <w:b w:val="0"/>
        </w:rPr>
        <w:t>词解释</w:t>
      </w:r>
      <w:bookmarkEnd w:id="55"/>
      <w:bookmarkEnd w:id="56"/>
    </w:p>
    <w:p>
      <w:pPr>
        <w:pStyle w:val="21"/>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其他收入：指单位取得的除上述收入以外的各项收入。主要是银行存款利息和伙食团缴费等。</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ascii="仿宋_GB2312" w:eastAsia="仿宋_GB2312"/>
          <w:sz w:val="32"/>
          <w:szCs w:val="32"/>
        </w:rPr>
        <w:t xml:space="preserve">5. </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6</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7、年末结转和结余：指单位按有关规定结转到下年或以后年度继续使用的资金。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一般公共服务（类）政府办公厅（室）及相关机构事务（款）行政运行（项）：指行政单位的基本支出</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s="仿宋"/>
          <w:color w:val="000000"/>
          <w:kern w:val="0"/>
          <w:sz w:val="32"/>
          <w:szCs w:val="32"/>
        </w:rPr>
        <w:t>一般公共服务（类）政府办公厅（室）及相关机构事务（款）一般行政管理事务（项）：</w:t>
      </w:r>
      <w:r>
        <w:rPr>
          <w:rFonts w:hint="eastAsia" w:ascii="仿宋_GB2312" w:eastAsia="仿宋_GB2312"/>
          <w:color w:val="000000"/>
          <w:sz w:val="32"/>
          <w:szCs w:val="32"/>
        </w:rPr>
        <w:t>指反映行政单位未单独设置顶级科目的其他项目支出。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10</w:t>
      </w:r>
      <w:r>
        <w:rPr>
          <w:rFonts w:ascii="仿宋_GB2312" w:eastAsia="仿宋_GB2312"/>
          <w:color w:val="000000"/>
          <w:sz w:val="32"/>
          <w:szCs w:val="32"/>
        </w:rPr>
        <w:t>.</w:t>
      </w:r>
      <w:r>
        <w:rPr>
          <w:rFonts w:hint="eastAsia" w:ascii="仿宋_GB2312" w:eastAsia="仿宋_GB2312" w:cs="仿宋"/>
          <w:color w:val="000000"/>
          <w:kern w:val="0"/>
          <w:sz w:val="32"/>
          <w:szCs w:val="32"/>
        </w:rPr>
        <w:t>教育（类）其他教育支出（款）其他教育支出（项）：</w:t>
      </w:r>
      <w:r>
        <w:rPr>
          <w:rFonts w:hint="eastAsia" w:ascii="仿宋_GB2312" w:eastAsia="仿宋_GB2312"/>
          <w:color w:val="000000"/>
          <w:sz w:val="32"/>
          <w:szCs w:val="32"/>
        </w:rPr>
        <w:t>除</w:t>
      </w:r>
      <w:r>
        <w:rPr>
          <w:rFonts w:hint="eastAsia" w:ascii="仿宋_GB2312" w:eastAsia="仿宋_GB2312"/>
          <w:color w:val="000000"/>
          <w:sz w:val="32"/>
          <w:szCs w:val="32"/>
          <w:lang w:eastAsia="zh-CN"/>
        </w:rPr>
        <w:t>上述</w:t>
      </w:r>
      <w:r>
        <w:rPr>
          <w:rFonts w:hint="eastAsia" w:ascii="仿宋_GB2312" w:eastAsia="仿宋_GB2312"/>
          <w:color w:val="000000"/>
          <w:sz w:val="32"/>
          <w:szCs w:val="32"/>
        </w:rPr>
        <w:t>项目以外用于教育管理事务方面的支出。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11</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社会保障和就业（类）行政事业单位离退休（款）机关事业单位基本养老保险缴费支出（项）：</w:t>
      </w:r>
      <w:r>
        <w:rPr>
          <w:rFonts w:hint="eastAsia" w:ascii="仿宋_GB2312" w:eastAsia="仿宋_GB2312"/>
          <w:color w:val="000000"/>
          <w:sz w:val="32"/>
          <w:szCs w:val="32"/>
        </w:rPr>
        <w:t>指单位为职工缴纳的基本养老保险费。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s="仿宋"/>
          <w:color w:val="000000"/>
          <w:kern w:val="0"/>
          <w:sz w:val="32"/>
          <w:szCs w:val="32"/>
        </w:rPr>
        <w:t>社会保障和就业（类）行政事业单位离退休（款）机关事业单位基本职业年金缴费支出（项）：</w:t>
      </w:r>
      <w:r>
        <w:rPr>
          <w:rFonts w:hint="eastAsia" w:ascii="仿宋_GB2312" w:eastAsia="仿宋_GB2312"/>
          <w:color w:val="000000"/>
          <w:sz w:val="32"/>
          <w:szCs w:val="32"/>
        </w:rPr>
        <w:t>指单位为职工实际缴纳的职业年金。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医疗卫生与计划生育（类）行政事业单位医疗（款）行政单位医疗（项）：指反映职工缴纳的基本医疗保险费。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14</w:t>
      </w:r>
      <w:r>
        <w:rPr>
          <w:rFonts w:ascii="仿宋_GB2312" w:eastAsia="仿宋_GB2312"/>
          <w:color w:val="000000"/>
          <w:sz w:val="32"/>
          <w:szCs w:val="32"/>
        </w:rPr>
        <w:t>.</w:t>
      </w:r>
      <w:r>
        <w:rPr>
          <w:rFonts w:hint="eastAsia" w:ascii="仿宋_GB2312" w:eastAsia="仿宋_GB2312"/>
          <w:color w:val="000000"/>
          <w:sz w:val="32"/>
          <w:szCs w:val="32"/>
        </w:rPr>
        <w:t>医疗卫生与计划生育（类）行政事业单位医疗（款）公务员医疗补助（项）：指按规定可享受公务员医疗补助单位为职工缴纳的公务员医疗补助费。</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15</w:t>
      </w:r>
      <w:r>
        <w:rPr>
          <w:rFonts w:ascii="仿宋_GB2312" w:eastAsia="仿宋_GB2312"/>
          <w:color w:val="000000"/>
          <w:sz w:val="32"/>
          <w:szCs w:val="32"/>
        </w:rPr>
        <w:t>.</w:t>
      </w:r>
      <w:r>
        <w:rPr>
          <w:rFonts w:hint="eastAsia" w:ascii="仿宋_GB2312" w:eastAsia="仿宋_GB2312"/>
          <w:color w:val="000000"/>
          <w:sz w:val="32"/>
          <w:szCs w:val="32"/>
        </w:rPr>
        <w:t>住房保障（类）住房改革支出（款）住房公积金（项）：指单位按规定为职工缴纳的住房公积金。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16</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17</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18</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spacing w:line="560" w:lineRule="exact"/>
        <w:ind w:firstLine="640" w:firstLineChars="200"/>
        <w:rPr>
          <w:rFonts w:ascii="仿宋_GB2312" w:eastAsia="仿宋_GB2312"/>
          <w:sz w:val="32"/>
          <w:szCs w:val="32"/>
        </w:rPr>
      </w:pPr>
      <w:r>
        <w:rPr>
          <w:rFonts w:hint="eastAsia" w:ascii="仿宋_GB2312" w:eastAsia="仿宋_GB2312"/>
          <w:sz w:val="32"/>
          <w:szCs w:val="32"/>
        </w:rPr>
        <w:t>19</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eastAsia="黑体"/>
          <w:color w:val="000000"/>
          <w:sz w:val="44"/>
          <w:szCs w:val="44"/>
        </w:rPr>
      </w:pPr>
      <w:bookmarkStart w:id="57" w:name="_Toc15396614"/>
      <w:bookmarkStart w:id="58" w:name="_Toc15377226"/>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pStyle w:val="3"/>
        <w:rPr>
          <w:rStyle w:val="16"/>
          <w:rFonts w:ascii="仿宋" w:eastAsia="仿宋"/>
          <w:b w:val="0"/>
          <w:bCs w:val="0"/>
          <w:sz w:val="32"/>
          <w:szCs w:val="32"/>
        </w:rPr>
      </w:pPr>
      <w:bookmarkStart w:id="59" w:name="_Toc15396615"/>
      <w:r>
        <w:rPr>
          <w:rStyle w:val="16"/>
          <w:rFonts w:hint="eastAsia" w:ascii="仿宋" w:eastAsia="仿宋"/>
          <w:b w:val="0"/>
          <w:bCs w:val="0"/>
          <w:sz w:val="32"/>
          <w:szCs w:val="32"/>
        </w:rPr>
        <w:t>附件1</w:t>
      </w:r>
      <w:bookmarkEnd w:id="59"/>
    </w:p>
    <w:p>
      <w:pPr>
        <w:numPr>
          <w:ilvl w:val="0"/>
          <w:numId w:val="6"/>
        </w:numPr>
        <w:spacing w:line="600" w:lineRule="exact"/>
        <w:ind w:firstLine="660" w:firstLineChars="150"/>
        <w:jc w:val="center"/>
        <w:outlineLvl w:val="0"/>
        <w:rPr>
          <w:rStyle w:val="16"/>
          <w:rFonts w:ascii="黑体" w:eastAsia="黑体"/>
          <w:b w:val="0"/>
        </w:rPr>
      </w:pPr>
      <w:r>
        <w:rPr>
          <w:rStyle w:val="16"/>
          <w:rFonts w:hint="eastAsia" w:ascii="黑体" w:eastAsia="黑体"/>
          <w:b w:val="0"/>
        </w:rPr>
        <w:t>附件</w:t>
      </w:r>
      <w:bookmarkEnd w:id="57"/>
    </w:p>
    <w:p>
      <w:pPr>
        <w:outlineLvl w:val="0"/>
        <w:rPr>
          <w:rStyle w:val="16"/>
          <w:rFonts w:ascii="黑体" w:eastAsia="黑体"/>
          <w:b w:val="0"/>
        </w:rPr>
      </w:pPr>
    </w:p>
    <w:bookmarkEnd w:id="58"/>
    <w:p>
      <w:pPr>
        <w:widowControl/>
        <w:spacing w:line="480" w:lineRule="exact"/>
        <w:jc w:val="center"/>
        <w:rPr>
          <w:rFonts w:ascii="宋体" w:hAnsi="宋体" w:cs="宋体"/>
          <w:b/>
          <w:sz w:val="44"/>
          <w:szCs w:val="44"/>
        </w:rPr>
      </w:pPr>
      <w:r>
        <w:rPr>
          <w:rFonts w:hint="eastAsia" w:ascii="宋体" w:hAnsi="宋体" w:cs="宋体"/>
          <w:b/>
          <w:sz w:val="44"/>
          <w:szCs w:val="44"/>
        </w:rPr>
        <w:t>金川县司法局2020年、2021年1-6月部门</w:t>
      </w:r>
    </w:p>
    <w:p>
      <w:pPr>
        <w:widowControl/>
        <w:spacing w:line="480" w:lineRule="exact"/>
        <w:jc w:val="center"/>
        <w:rPr>
          <w:rFonts w:ascii="宋体" w:hAnsi="宋体" w:cs="宋体"/>
          <w:b/>
          <w:sz w:val="44"/>
          <w:szCs w:val="44"/>
        </w:rPr>
      </w:pPr>
      <w:r>
        <w:rPr>
          <w:rFonts w:hint="eastAsia" w:ascii="宋体" w:hAnsi="宋体" w:cs="宋体"/>
          <w:b/>
          <w:sz w:val="44"/>
          <w:szCs w:val="44"/>
        </w:rPr>
        <w:t>整体支出绩效评价报告</w:t>
      </w:r>
    </w:p>
    <w:p>
      <w:pPr>
        <w:widowControl/>
        <w:adjustRightInd w:val="0"/>
        <w:snapToGrid w:val="0"/>
        <w:spacing w:line="480" w:lineRule="exact"/>
        <w:jc w:val="left"/>
        <w:rPr>
          <w:rFonts w:ascii="仿宋_GB2312" w:hAnsi="仿宋"/>
          <w:color w:val="000000"/>
          <w:kern w:val="0"/>
          <w:shd w:val="clear" w:color="auto" w:fill="FFFFFF"/>
        </w:rPr>
      </w:pPr>
    </w:p>
    <w:p>
      <w:pPr>
        <w:widowControl/>
        <w:adjustRightInd w:val="0"/>
        <w:snapToGrid w:val="0"/>
        <w:spacing w:line="480" w:lineRule="exact"/>
        <w:ind w:firstLine="640" w:firstLineChars="200"/>
        <w:jc w:val="left"/>
        <w:rPr>
          <w:rFonts w:ascii="仿宋" w:hAnsi="仿宋" w:eastAsia="仿宋" w:cs="仿宋"/>
          <w:color w:val="000000"/>
          <w:kern w:val="0"/>
          <w:sz w:val="32"/>
          <w:szCs w:val="32"/>
        </w:rPr>
      </w:pPr>
      <w:r>
        <w:rPr>
          <w:rFonts w:hint="eastAsia" w:ascii="仿宋" w:hAnsi="仿宋" w:eastAsia="仿宋" w:cs="仿宋"/>
          <w:color w:val="000000"/>
          <w:kern w:val="0"/>
          <w:sz w:val="32"/>
          <w:szCs w:val="32"/>
          <w:shd w:val="clear" w:color="auto" w:fill="FFFFFF"/>
        </w:rPr>
        <w:t>根据《金川县财政局关于开展2021年部门、政策和项目支出绩效评价工作的通知》（金财监绩〔2021〕26号）文件要求，为深入贯彻落实财政部《项目支出绩效评价管理办法》（财预〔2020〕10号）和《财政厅关于开展2021年部门、政策和项目支出绩效评价工作的通知》（川财绩〔2021〕6号）精神，结合本单位的实际，认真开展部门预算支出绩效自评工作，现将2020年、2021年1-6月部门整体支出绩效自评工作报告如下：</w:t>
      </w:r>
    </w:p>
    <w:p>
      <w:pPr>
        <w:widowControl/>
        <w:adjustRightInd w:val="0"/>
        <w:snapToGrid w:val="0"/>
        <w:spacing w:line="480" w:lineRule="exact"/>
        <w:ind w:firstLine="720"/>
        <w:jc w:val="left"/>
        <w:rPr>
          <w:rFonts w:ascii="仿宋" w:hAnsi="仿宋" w:eastAsia="仿宋" w:cs="仿宋"/>
          <w:b/>
          <w:bCs/>
          <w:color w:val="000000"/>
          <w:kern w:val="0"/>
          <w:sz w:val="32"/>
          <w:szCs w:val="32"/>
          <w:lang w:val="zh-CN"/>
        </w:rPr>
      </w:pPr>
      <w:r>
        <w:rPr>
          <w:rFonts w:hint="eastAsia" w:ascii="仿宋" w:hAnsi="仿宋" w:eastAsia="仿宋" w:cs="仿宋"/>
          <w:b/>
          <w:bCs/>
          <w:color w:val="000000"/>
          <w:kern w:val="0"/>
          <w:sz w:val="32"/>
          <w:szCs w:val="32"/>
        </w:rPr>
        <w:t>一、</w:t>
      </w:r>
      <w:r>
        <w:rPr>
          <w:rFonts w:hint="eastAsia" w:ascii="仿宋" w:hAnsi="仿宋" w:eastAsia="仿宋" w:cs="仿宋"/>
          <w:b/>
          <w:bCs/>
          <w:color w:val="000000"/>
          <w:kern w:val="0"/>
          <w:sz w:val="32"/>
          <w:szCs w:val="32"/>
          <w:lang w:val="zh-CN"/>
        </w:rPr>
        <w:t>单位概况</w:t>
      </w:r>
    </w:p>
    <w:p>
      <w:pPr>
        <w:widowControl/>
        <w:adjustRightInd w:val="0"/>
        <w:snapToGrid w:val="0"/>
        <w:spacing w:line="480" w:lineRule="exact"/>
        <w:ind w:firstLine="720"/>
        <w:jc w:val="left"/>
        <w:rPr>
          <w:rFonts w:ascii="仿宋" w:hAnsi="仿宋" w:eastAsia="仿宋" w:cs="仿宋"/>
          <w:bCs/>
          <w:color w:val="000000"/>
          <w:kern w:val="0"/>
          <w:sz w:val="32"/>
          <w:szCs w:val="32"/>
        </w:rPr>
      </w:pPr>
      <w:r>
        <w:rPr>
          <w:rFonts w:hint="eastAsia" w:ascii="仿宋" w:hAnsi="仿宋" w:eastAsia="仿宋" w:cs="仿宋"/>
          <w:color w:val="000000"/>
          <w:kern w:val="0"/>
          <w:sz w:val="32"/>
          <w:szCs w:val="32"/>
          <w:lang w:val="zh-CN"/>
        </w:rPr>
        <w:t>（一）机构组成:</w:t>
      </w:r>
      <w:r>
        <w:rPr>
          <w:rFonts w:hint="eastAsia" w:ascii="仿宋" w:hAnsi="仿宋" w:eastAsia="仿宋" w:cs="仿宋"/>
          <w:bCs/>
          <w:color w:val="000000"/>
          <w:kern w:val="0"/>
          <w:sz w:val="32"/>
          <w:szCs w:val="32"/>
        </w:rPr>
        <w:t>行政单位1个。</w:t>
      </w:r>
    </w:p>
    <w:p>
      <w:pPr>
        <w:widowControl/>
        <w:adjustRightInd w:val="0"/>
        <w:snapToGrid w:val="0"/>
        <w:spacing w:line="480" w:lineRule="exact"/>
        <w:ind w:firstLine="720"/>
        <w:jc w:val="left"/>
        <w:rPr>
          <w:rFonts w:ascii="仿宋" w:hAnsi="仿宋" w:eastAsia="仿宋" w:cs="仿宋"/>
          <w:color w:val="000000"/>
          <w:kern w:val="0"/>
          <w:sz w:val="32"/>
          <w:szCs w:val="32"/>
          <w:lang w:val="zh-CN"/>
        </w:rPr>
      </w:pPr>
      <w:r>
        <w:rPr>
          <w:rFonts w:hint="eastAsia" w:ascii="仿宋" w:hAnsi="仿宋" w:eastAsia="仿宋" w:cs="仿宋"/>
          <w:color w:val="000000"/>
          <w:kern w:val="0"/>
          <w:sz w:val="32"/>
          <w:szCs w:val="32"/>
          <w:lang w:val="zh-CN"/>
        </w:rPr>
        <w:t>（二）机构职能:</w:t>
      </w:r>
    </w:p>
    <w:p>
      <w:pPr>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1.承担全面依法治县重大问题的政策研究，协调有关方面提出全面依法治县规划建议，负责有关行政决策部署督察工作。</w:t>
      </w:r>
    </w:p>
    <w:p>
      <w:pPr>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2.负责县政府规范性文件、重大行政决策发布前的合法性审查。承办县政府规范性文件的登记报送备案工作。负责各乡（镇）政府和县政府各部门规范性文件报送县政府的备案审查工作。组织开展规范性文件清理。</w:t>
      </w:r>
    </w:p>
    <w:p>
      <w:pPr>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3.承担统筹推进法治政府建设的责任。指导监督县政府各部门、乡（镇）依法行政工作。负责综合协调、监督检查行政执法，承担推进执法体制改革有关工作，推进严格规范公正文明执法。指导监督全县行政复议、行政应诉和行政赔偿工作，承办向县政府申请的行政复议、行政赔偿案件，代理县政府行政应诉案件。</w:t>
      </w:r>
    </w:p>
    <w:p>
      <w:pPr>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4.承担统筹规划法治社会建设的责任。负责拟订法治宣传规划。组织实施普法宣传工作，组织对外法治宣传。推动人民参与和促进法治建设。指导依法治理和法治创建工作。指导人民陪审员选任工作。将安全生产、职业健康、环境保护法律法规纳入公民普法教育重要内容并会同有关部门开展宣传普及，做好职责范围内的安全生产工作。</w:t>
      </w:r>
    </w:p>
    <w:p>
      <w:pPr>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5.指导管理社区矫正工作。指导刑满释放人员安置帮教安置工作能力。</w:t>
      </w:r>
    </w:p>
    <w:p>
      <w:pPr>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6.负责拟订全县公共法律服务体系建设规划并指导实施，统筹和布局全县法律服务资源。指导监督律师、法律援助、司法鉴定、公正、仲裁和基层法律服务管理工作。</w:t>
      </w:r>
    </w:p>
    <w:p>
      <w:pPr>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7.负责本系统服装和警车管理工作。指导监督本系统财务、装备、设施、场所等保障工作。</w:t>
      </w:r>
    </w:p>
    <w:p>
      <w:pPr>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8、、协调、指导法治人才队伍建设相关工作，指导监督本系统队伍建设。负责本系统警务管理和警务督察工作。</w:t>
      </w:r>
    </w:p>
    <w:p>
      <w:pPr>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9.负责并指导本系统行政审批工作。负责全县外来企业投诉处理和民营企业法律服务工作。</w:t>
      </w:r>
    </w:p>
    <w:p>
      <w:pPr>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10.承担司法所建设和管理工作。负责县司法派出机构司法所基础设施建设及队伍建设，管理指导司法所开展各项职能工作。</w:t>
      </w:r>
    </w:p>
    <w:p>
      <w:pPr>
        <w:snapToGrid w:val="0"/>
        <w:spacing w:line="360" w:lineRule="auto"/>
        <w:ind w:firstLine="640" w:firstLineChars="200"/>
        <w:rPr>
          <w:rFonts w:ascii="仿宋" w:hAnsi="仿宋" w:eastAsia="仿宋" w:cs="仿宋"/>
          <w:sz w:val="32"/>
          <w:szCs w:val="32"/>
        </w:rPr>
      </w:pPr>
      <w:r>
        <w:rPr>
          <w:rFonts w:hint="eastAsia" w:ascii="仿宋" w:hAnsi="仿宋" w:eastAsia="仿宋" w:cs="仿宋"/>
          <w:sz w:val="32"/>
          <w:szCs w:val="32"/>
        </w:rPr>
        <w:t>11.完成县委、县政府交办的其他任务。</w:t>
      </w:r>
    </w:p>
    <w:p>
      <w:pPr>
        <w:snapToGrid w:val="0"/>
        <w:spacing w:line="360" w:lineRule="auto"/>
        <w:rPr>
          <w:rFonts w:ascii="楷体" w:hAnsi="楷体" w:eastAsia="楷体" w:cs="楷体"/>
          <w:b/>
          <w:bCs/>
          <w:sz w:val="30"/>
          <w:szCs w:val="30"/>
        </w:rPr>
      </w:pPr>
      <w:r>
        <w:rPr>
          <w:rFonts w:hint="eastAsia" w:ascii="仿宋" w:hAnsi="仿宋" w:eastAsia="仿宋" w:cs="仿宋"/>
          <w:color w:val="000000"/>
          <w:kern w:val="0"/>
          <w:sz w:val="32"/>
          <w:szCs w:val="32"/>
          <w:lang w:val="zh-CN"/>
        </w:rPr>
        <w:t>（三）人员概况:</w:t>
      </w:r>
      <w:r>
        <w:rPr>
          <w:rFonts w:hint="eastAsia" w:ascii="仿宋_GB2312" w:hAnsi="仿宋_GB2312" w:eastAsia="仿宋_GB2312" w:cs="仿宋_GB2312"/>
          <w:sz w:val="30"/>
          <w:szCs w:val="30"/>
        </w:rPr>
        <w:t>单位编制数53个，其中：公务员编制44个；行政工勤编制2个；事业7个；截止2020年末，单位实有人数56人，其中：在职56人（公务员46人；行政工勤3人；事业人员7人），退休13人（退休人员工资转由社保部门发放）。</w:t>
      </w:r>
    </w:p>
    <w:p>
      <w:pPr>
        <w:widowControl/>
        <w:adjustRightInd w:val="0"/>
        <w:snapToGrid w:val="0"/>
        <w:spacing w:line="480" w:lineRule="exact"/>
        <w:ind w:firstLine="720"/>
        <w:jc w:val="left"/>
        <w:rPr>
          <w:rFonts w:ascii="仿宋" w:hAnsi="仿宋" w:eastAsia="仿宋" w:cs="仿宋"/>
          <w:b/>
          <w:bCs/>
          <w:color w:val="000000"/>
          <w:kern w:val="0"/>
          <w:sz w:val="32"/>
          <w:szCs w:val="32"/>
        </w:rPr>
      </w:pPr>
      <w:r>
        <w:rPr>
          <w:rFonts w:hint="eastAsia" w:ascii="仿宋" w:hAnsi="仿宋" w:eastAsia="仿宋" w:cs="仿宋"/>
          <w:b/>
          <w:bCs/>
          <w:color w:val="000000"/>
          <w:kern w:val="0"/>
          <w:sz w:val="32"/>
          <w:szCs w:val="32"/>
        </w:rPr>
        <w:t>二、部门财政资金收支情况</w:t>
      </w:r>
    </w:p>
    <w:p>
      <w:pPr>
        <w:widowControl/>
        <w:adjustRightInd w:val="0"/>
        <w:snapToGrid w:val="0"/>
        <w:spacing w:line="480" w:lineRule="exact"/>
        <w:ind w:firstLine="720"/>
        <w:jc w:val="left"/>
        <w:rPr>
          <w:rFonts w:ascii="仿宋" w:hAnsi="仿宋" w:eastAsia="仿宋" w:cs="仿宋"/>
          <w:bCs/>
          <w:color w:val="000000"/>
          <w:kern w:val="0"/>
          <w:sz w:val="32"/>
          <w:szCs w:val="32"/>
        </w:rPr>
      </w:pPr>
      <w:r>
        <w:rPr>
          <w:rFonts w:hint="eastAsia" w:ascii="仿宋" w:hAnsi="仿宋" w:eastAsia="仿宋" w:cs="仿宋"/>
          <w:color w:val="000000"/>
          <w:kern w:val="0"/>
          <w:sz w:val="32"/>
          <w:szCs w:val="32"/>
          <w:lang w:val="zh-CN"/>
        </w:rPr>
        <w:t>（一）部门财政资金收入:</w:t>
      </w:r>
      <w:r>
        <w:rPr>
          <w:rFonts w:hint="eastAsia" w:ascii="仿宋" w:hAnsi="仿宋" w:eastAsia="仿宋" w:cs="仿宋"/>
          <w:bCs/>
          <w:sz w:val="32"/>
          <w:szCs w:val="32"/>
        </w:rPr>
        <w:t xml:space="preserve"> </w:t>
      </w:r>
      <w:r>
        <w:rPr>
          <w:rFonts w:hint="eastAsia" w:ascii="仿宋" w:hAnsi="仿宋" w:eastAsia="仿宋" w:cs="仿宋"/>
          <w:bCs/>
          <w:color w:val="000000"/>
          <w:kern w:val="0"/>
          <w:sz w:val="32"/>
          <w:szCs w:val="32"/>
        </w:rPr>
        <w:t>2020年部门总收入</w:t>
      </w:r>
      <w:r>
        <w:rPr>
          <w:rFonts w:hint="eastAsia" w:ascii="仿宋_GB2312" w:eastAsia="仿宋_GB2312"/>
          <w:color w:val="000000"/>
          <w:sz w:val="32"/>
          <w:szCs w:val="32"/>
        </w:rPr>
        <w:t>1336.61</w:t>
      </w:r>
      <w:r>
        <w:rPr>
          <w:rFonts w:hint="eastAsia" w:ascii="仿宋" w:hAnsi="仿宋" w:eastAsia="仿宋" w:cs="仿宋"/>
          <w:bCs/>
          <w:color w:val="000000"/>
          <w:kern w:val="0"/>
          <w:sz w:val="32"/>
          <w:szCs w:val="32"/>
        </w:rPr>
        <w:t>万元。</w:t>
      </w:r>
    </w:p>
    <w:p>
      <w:pPr>
        <w:widowControl/>
        <w:adjustRightInd w:val="0"/>
        <w:snapToGrid w:val="0"/>
        <w:spacing w:line="480" w:lineRule="exact"/>
        <w:ind w:firstLine="720"/>
        <w:jc w:val="left"/>
        <w:rPr>
          <w:rFonts w:ascii="仿宋" w:hAnsi="仿宋" w:eastAsia="仿宋" w:cs="仿宋"/>
          <w:bCs/>
          <w:color w:val="000000"/>
          <w:kern w:val="0"/>
          <w:sz w:val="32"/>
          <w:szCs w:val="32"/>
        </w:rPr>
      </w:pPr>
      <w:r>
        <w:rPr>
          <w:rFonts w:hint="eastAsia" w:ascii="仿宋" w:hAnsi="仿宋" w:eastAsia="仿宋" w:cs="仿宋"/>
          <w:bCs/>
          <w:color w:val="000000"/>
          <w:kern w:val="0"/>
          <w:sz w:val="32"/>
          <w:szCs w:val="32"/>
        </w:rPr>
        <w:t>1.当年财政拨款收入1198.43万元。基本收入888.7万元，其中人员经费979.18万元，日常公用经费57.45万元；项目收入161.8万元。</w:t>
      </w:r>
    </w:p>
    <w:p>
      <w:pPr>
        <w:widowControl/>
        <w:adjustRightInd w:val="0"/>
        <w:snapToGrid w:val="0"/>
        <w:spacing w:line="480" w:lineRule="exact"/>
        <w:ind w:firstLine="720"/>
        <w:jc w:val="left"/>
        <w:rPr>
          <w:rFonts w:ascii="仿宋" w:hAnsi="仿宋" w:eastAsia="仿宋" w:cs="仿宋"/>
          <w:color w:val="000000"/>
          <w:kern w:val="0"/>
          <w:sz w:val="32"/>
          <w:szCs w:val="32"/>
          <w:lang w:val="zh-CN"/>
        </w:rPr>
      </w:pPr>
      <w:r>
        <w:rPr>
          <w:rFonts w:hint="eastAsia" w:ascii="仿宋" w:hAnsi="仿宋" w:eastAsia="仿宋" w:cs="仿宋"/>
          <w:bCs/>
          <w:color w:val="000000"/>
          <w:kern w:val="0"/>
          <w:sz w:val="32"/>
          <w:szCs w:val="32"/>
        </w:rPr>
        <w:t>2.上年结转138.18万元（其中项目结转138.18万元）</w:t>
      </w:r>
      <w:r>
        <w:rPr>
          <w:rFonts w:hint="eastAsia" w:ascii="仿宋" w:hAnsi="仿宋" w:eastAsia="仿宋" w:cs="仿宋"/>
          <w:color w:val="000000"/>
          <w:kern w:val="0"/>
          <w:sz w:val="32"/>
          <w:szCs w:val="32"/>
          <w:lang w:val="zh-CN"/>
        </w:rPr>
        <w:t>。</w:t>
      </w:r>
    </w:p>
    <w:p>
      <w:pPr>
        <w:widowControl/>
        <w:numPr>
          <w:ilvl w:val="0"/>
          <w:numId w:val="7"/>
        </w:numPr>
        <w:adjustRightInd w:val="0"/>
        <w:snapToGrid w:val="0"/>
        <w:spacing w:line="480" w:lineRule="exact"/>
        <w:ind w:firstLine="720"/>
        <w:jc w:val="left"/>
        <w:rPr>
          <w:rFonts w:ascii="仿宋" w:hAnsi="仿宋" w:eastAsia="仿宋" w:cs="仿宋"/>
          <w:color w:val="000000"/>
          <w:kern w:val="0"/>
          <w:sz w:val="32"/>
          <w:szCs w:val="32"/>
        </w:rPr>
      </w:pPr>
      <w:r>
        <w:rPr>
          <w:rFonts w:hint="eastAsia" w:ascii="仿宋" w:hAnsi="仿宋" w:eastAsia="仿宋" w:cs="仿宋"/>
          <w:color w:val="000000"/>
          <w:kern w:val="0"/>
          <w:sz w:val="32"/>
          <w:szCs w:val="32"/>
          <w:lang w:val="zh-CN"/>
        </w:rPr>
        <w:t>部门财政资金支出情况:</w:t>
      </w:r>
    </w:p>
    <w:p>
      <w:pPr>
        <w:widowControl/>
        <w:adjustRightInd w:val="0"/>
        <w:snapToGrid w:val="0"/>
        <w:spacing w:line="480" w:lineRule="exact"/>
        <w:ind w:firstLine="960" w:firstLineChars="300"/>
        <w:jc w:val="left"/>
        <w:rPr>
          <w:rFonts w:ascii="仿宋" w:hAnsi="仿宋" w:eastAsia="仿宋" w:cs="仿宋"/>
          <w:bCs/>
          <w:kern w:val="0"/>
          <w:sz w:val="32"/>
          <w:szCs w:val="32"/>
        </w:rPr>
      </w:pPr>
      <w:r>
        <w:rPr>
          <w:rFonts w:hint="eastAsia" w:ascii="仿宋" w:hAnsi="仿宋" w:eastAsia="仿宋" w:cs="仿宋"/>
          <w:bCs/>
          <w:kern w:val="0"/>
          <w:sz w:val="32"/>
          <w:szCs w:val="32"/>
        </w:rPr>
        <w:t>2020年部门总支出1262.03万元。</w:t>
      </w:r>
    </w:p>
    <w:p>
      <w:pPr>
        <w:widowControl/>
        <w:adjustRightInd w:val="0"/>
        <w:snapToGrid w:val="0"/>
        <w:spacing w:line="480" w:lineRule="exact"/>
        <w:ind w:firstLine="640" w:firstLineChars="200"/>
        <w:jc w:val="left"/>
        <w:rPr>
          <w:rFonts w:ascii="仿宋" w:hAnsi="仿宋" w:eastAsia="仿宋" w:cs="仿宋"/>
          <w:color w:val="FF0000"/>
          <w:kern w:val="0"/>
          <w:sz w:val="32"/>
          <w:szCs w:val="32"/>
        </w:rPr>
      </w:pPr>
      <w:r>
        <w:rPr>
          <w:rFonts w:hint="eastAsia" w:ascii="仿宋" w:hAnsi="仿宋" w:eastAsia="仿宋" w:cs="仿宋"/>
          <w:bCs/>
          <w:kern w:val="0"/>
          <w:sz w:val="32"/>
          <w:szCs w:val="32"/>
        </w:rPr>
        <w:t>1.基本支出1036.63万元，其中：基本支出人员经费979.18万元、日常公用经费57.45万元；项目支出225.4万元（其中：行政事业类项目225.4万元）。</w:t>
      </w:r>
    </w:p>
    <w:p>
      <w:pPr>
        <w:widowControl/>
        <w:adjustRightInd w:val="0"/>
        <w:snapToGrid w:val="0"/>
        <w:spacing w:line="480" w:lineRule="exact"/>
        <w:ind w:firstLine="640" w:firstLineChars="200"/>
        <w:jc w:val="left"/>
        <w:rPr>
          <w:rFonts w:ascii="仿宋" w:hAnsi="仿宋" w:eastAsia="仿宋" w:cs="仿宋"/>
          <w:kern w:val="0"/>
          <w:sz w:val="32"/>
          <w:szCs w:val="32"/>
        </w:rPr>
      </w:pPr>
      <w:r>
        <w:rPr>
          <w:rFonts w:hint="eastAsia" w:ascii="仿宋" w:hAnsi="仿宋" w:eastAsia="仿宋" w:cs="仿宋"/>
          <w:bCs/>
          <w:kern w:val="0"/>
          <w:sz w:val="32"/>
          <w:szCs w:val="32"/>
        </w:rPr>
        <w:t>2.本年结转74.58万元</w:t>
      </w:r>
      <w:r>
        <w:rPr>
          <w:rFonts w:hint="eastAsia" w:ascii="仿宋" w:hAnsi="仿宋" w:eastAsia="仿宋" w:cs="仿宋"/>
          <w:kern w:val="0"/>
          <w:sz w:val="32"/>
          <w:szCs w:val="32"/>
          <w:lang w:val="zh-CN"/>
        </w:rPr>
        <w:t>。</w:t>
      </w:r>
    </w:p>
    <w:p>
      <w:pPr>
        <w:widowControl/>
        <w:adjustRightInd w:val="0"/>
        <w:snapToGrid w:val="0"/>
        <w:spacing w:line="480" w:lineRule="exact"/>
        <w:ind w:firstLine="640" w:firstLineChars="200"/>
        <w:jc w:val="left"/>
        <w:rPr>
          <w:rFonts w:ascii="仿宋" w:hAnsi="仿宋" w:eastAsia="仿宋_GB2312" w:cs="仿宋"/>
          <w:color w:val="FF0000"/>
          <w:sz w:val="32"/>
          <w:szCs w:val="32"/>
        </w:rPr>
      </w:pPr>
      <w:r>
        <w:rPr>
          <w:rFonts w:hint="eastAsia" w:ascii="仿宋" w:hAnsi="仿宋" w:eastAsia="仿宋" w:cs="仿宋"/>
          <w:kern w:val="0"/>
          <w:sz w:val="32"/>
          <w:szCs w:val="32"/>
        </w:rPr>
        <w:t>（1）人员经费支出979.18万元。</w:t>
      </w:r>
      <w:r>
        <w:rPr>
          <w:rFonts w:hint="eastAsia" w:ascii="仿宋_GB2312" w:eastAsia="仿宋_GB2312"/>
          <w:color w:val="000000"/>
          <w:sz w:val="32"/>
          <w:szCs w:val="32"/>
        </w:rPr>
        <w:t>基本工资201.64万元、津贴补贴365.6万元、奖金17.28万元、</w:t>
      </w:r>
      <w:r>
        <w:rPr>
          <w:rFonts w:hint="eastAsia" w:ascii="仿宋_GB2312" w:eastAsia="仿宋_GB2312"/>
          <w:sz w:val="32"/>
          <w:szCs w:val="32"/>
        </w:rPr>
        <w:t>其他社会保障缴费2.3万元、</w:t>
      </w:r>
      <w:r>
        <w:rPr>
          <w:rFonts w:hint="eastAsia" w:ascii="仿宋_GB2312" w:eastAsia="仿宋_GB2312"/>
          <w:color w:val="000000"/>
          <w:sz w:val="32"/>
          <w:szCs w:val="32"/>
        </w:rPr>
        <w:t>机关事业单位基本养老保险缴费74.18万元、职业年金缴费37.09万元、</w:t>
      </w:r>
      <w:r>
        <w:rPr>
          <w:rFonts w:hint="eastAsia" w:ascii="仿宋_GB2312" w:eastAsia="仿宋_GB2312"/>
          <w:sz w:val="32"/>
          <w:szCs w:val="32"/>
        </w:rPr>
        <w:t>职工基本医疗保险缴费40.27元、公务员医疗补助11.54万元，其他工资福利支出14.03万元，住房公积金85.9万元、抚恤金26.24万元、生活补助2.39万元，奖励金100.72万元。</w:t>
      </w:r>
    </w:p>
    <w:p>
      <w:pPr>
        <w:spacing w:line="600" w:lineRule="exact"/>
        <w:ind w:firstLine="645"/>
        <w:rPr>
          <w:rFonts w:ascii="仿宋_GB2312" w:eastAsia="仿宋_GB2312"/>
          <w:color w:val="000000"/>
          <w:sz w:val="32"/>
          <w:szCs w:val="32"/>
        </w:rPr>
      </w:pPr>
      <w:r>
        <w:rPr>
          <w:rFonts w:hint="eastAsia" w:ascii="仿宋" w:hAnsi="仿宋" w:eastAsia="仿宋" w:cs="仿宋"/>
          <w:sz w:val="32"/>
          <w:szCs w:val="32"/>
        </w:rPr>
        <w:t>（2）</w:t>
      </w:r>
      <w:r>
        <w:rPr>
          <w:rFonts w:hint="eastAsia" w:ascii="仿宋_GB2312" w:eastAsia="仿宋_GB2312"/>
          <w:color w:val="000000"/>
          <w:sz w:val="32"/>
          <w:szCs w:val="32"/>
        </w:rPr>
        <w:t>公用经费57.45万元，主要包括：办公费13万元、印刷费8万元、手续费0.11万元、水费1万元、电费0.3万元、邮电费8万元、差旅费11.24万元、公务接待费0.4万元、租赁费0.32万元，维修维护费1万元，会议费0.06万元，劳务费4.6万元、福利费1.42万元、公务用车运行维护费8.0万元。</w:t>
      </w:r>
    </w:p>
    <w:p>
      <w:pPr>
        <w:spacing w:line="600" w:lineRule="exact"/>
        <w:ind w:firstLine="640" w:firstLineChars="200"/>
        <w:rPr>
          <w:rFonts w:ascii="仿宋" w:hAnsi="仿宋" w:eastAsia="仿宋" w:cs="仿宋"/>
          <w:sz w:val="32"/>
          <w:szCs w:val="32"/>
        </w:rPr>
      </w:pPr>
      <w:r>
        <w:rPr>
          <w:rFonts w:hint="eastAsia" w:ascii="仿宋" w:hAnsi="仿宋" w:eastAsia="仿宋" w:cs="仿宋"/>
          <w:sz w:val="32"/>
          <w:szCs w:val="32"/>
        </w:rPr>
        <w:t>（3）、项目支出225.4万元。其中基层司法业务支出188.7万元，法律援助支出10.9万元，普法宣传20万元，卫生健康支出0.8万元，培训支出5万元，以上支出决算列入项目支出。</w:t>
      </w:r>
    </w:p>
    <w:p>
      <w:pPr>
        <w:widowControl/>
        <w:adjustRightInd w:val="0"/>
        <w:snapToGrid w:val="0"/>
        <w:spacing w:line="480" w:lineRule="exact"/>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财政拨款支出主要用于保障本部门机构正常运转、完成日常工作任务。</w:t>
      </w:r>
      <w:r>
        <w:rPr>
          <w:rFonts w:hint="eastAsia" w:ascii="仿宋" w:hAnsi="仿宋" w:eastAsia="仿宋" w:cs="仿宋"/>
          <w:bCs/>
          <w:kern w:val="0"/>
          <w:sz w:val="32"/>
          <w:szCs w:val="32"/>
        </w:rPr>
        <w:t>基本人员支出，是用于局机关、各司法所等单位人员工资和社保就业保障经费。日常公用支出包括办公费、印刷费、水电费、“三公经费”等日常公用经费。</w:t>
      </w:r>
      <w:r>
        <w:rPr>
          <w:rFonts w:hint="eastAsia" w:ascii="仿宋" w:hAnsi="仿宋" w:eastAsia="仿宋" w:cs="仿宋"/>
          <w:kern w:val="0"/>
          <w:sz w:val="32"/>
          <w:szCs w:val="32"/>
        </w:rPr>
        <w:t>项目支出，是用于局机关、乡镇司法所办公设备购置、司法业务、法律援助办案、普法宣传等支出。</w:t>
      </w:r>
    </w:p>
    <w:p>
      <w:pPr>
        <w:widowControl/>
        <w:adjustRightInd w:val="0"/>
        <w:snapToGrid w:val="0"/>
        <w:spacing w:line="480" w:lineRule="exact"/>
        <w:ind w:firstLine="640" w:firstLineChars="200"/>
        <w:jc w:val="left"/>
        <w:rPr>
          <w:rFonts w:ascii="仿宋" w:hAnsi="仿宋" w:eastAsia="仿宋" w:cs="仿宋"/>
          <w:bCs/>
          <w:kern w:val="0"/>
          <w:sz w:val="32"/>
          <w:szCs w:val="32"/>
        </w:rPr>
      </w:pPr>
      <w:r>
        <w:rPr>
          <w:rFonts w:hint="eastAsia" w:ascii="仿宋" w:hAnsi="仿宋" w:eastAsia="仿宋" w:cs="仿宋"/>
          <w:bCs/>
          <w:kern w:val="0"/>
          <w:sz w:val="32"/>
          <w:szCs w:val="32"/>
        </w:rPr>
        <w:t>3、2021年1至6月部门总支出731.31万元。其中当年安排支出711.82万元、财返19.49万元。</w:t>
      </w:r>
    </w:p>
    <w:p>
      <w:pPr>
        <w:widowControl/>
        <w:adjustRightInd w:val="0"/>
        <w:snapToGrid w:val="0"/>
        <w:spacing w:line="480" w:lineRule="exact"/>
        <w:ind w:firstLine="640" w:firstLineChars="200"/>
        <w:jc w:val="left"/>
        <w:rPr>
          <w:rFonts w:ascii="仿宋" w:hAnsi="仿宋" w:eastAsia="仿宋" w:cs="仿宋"/>
          <w:bCs/>
          <w:kern w:val="0"/>
          <w:sz w:val="32"/>
          <w:szCs w:val="32"/>
        </w:rPr>
      </w:pPr>
      <w:r>
        <w:rPr>
          <w:rFonts w:hint="eastAsia" w:ascii="仿宋" w:hAnsi="仿宋" w:eastAsia="仿宋" w:cs="仿宋"/>
          <w:bCs/>
          <w:kern w:val="0"/>
          <w:sz w:val="32"/>
          <w:szCs w:val="32"/>
        </w:rPr>
        <w:t>（1）当年安排基本支出663.94万元。其中人员经费支出639.21万元（包括基本工资113.37万元、津贴补贴188万元、 绩效工资8.92万元、其他社会保障缴费4.88万元、奖励金（2020年目标奖）161.79万元、机关事业单位养老保险42.19万元、机关事业单位职业年金21.09万元、生活补助1.77万元、行政医疗22.8万元、公务员医疗补助6.94万元、住房公积金47.98万元、辅助人员-其他工资福利支出9.1万元、退休费10.38万元）；日常公用经费支出24.73万元（包括办公费6.52万元、印刷费8万元、手续费0.05万元、电费0.07万元、邮电费3.78万元、差旅费0.23万元、劳务费2.42万元、福利费0.7万元、公务用车运行维护费2.23万元、培训费0.73万元）；</w:t>
      </w:r>
    </w:p>
    <w:p>
      <w:pPr>
        <w:widowControl/>
        <w:adjustRightInd w:val="0"/>
        <w:snapToGrid w:val="0"/>
        <w:spacing w:line="480" w:lineRule="exact"/>
        <w:ind w:firstLine="640" w:firstLineChars="200"/>
        <w:jc w:val="left"/>
        <w:rPr>
          <w:rFonts w:ascii="仿宋" w:hAnsi="仿宋" w:eastAsia="仿宋" w:cs="仿宋"/>
          <w:bCs/>
          <w:kern w:val="0"/>
          <w:sz w:val="32"/>
          <w:szCs w:val="32"/>
        </w:rPr>
      </w:pPr>
      <w:r>
        <w:rPr>
          <w:rFonts w:hint="eastAsia" w:ascii="仿宋" w:hAnsi="仿宋" w:eastAsia="仿宋" w:cs="仿宋"/>
          <w:bCs/>
          <w:kern w:val="0"/>
          <w:sz w:val="32"/>
          <w:szCs w:val="32"/>
        </w:rPr>
        <w:t>（2）当年安排项目支出27.88万元，其中公共法律服务费2万元，基层司法业务费25.88万元（印刷费19.52万元、委托业务费4.44万元、邮电费1.92万元）。</w:t>
      </w:r>
    </w:p>
    <w:p>
      <w:pPr>
        <w:widowControl/>
        <w:adjustRightInd w:val="0"/>
        <w:snapToGrid w:val="0"/>
        <w:spacing w:line="480" w:lineRule="exact"/>
        <w:ind w:firstLine="640" w:firstLineChars="200"/>
        <w:jc w:val="left"/>
        <w:rPr>
          <w:rFonts w:ascii="仿宋" w:hAnsi="仿宋" w:eastAsia="仿宋" w:cs="仿宋"/>
          <w:bCs/>
          <w:kern w:val="0"/>
          <w:sz w:val="32"/>
          <w:szCs w:val="32"/>
        </w:rPr>
      </w:pPr>
      <w:r>
        <w:rPr>
          <w:rFonts w:hint="eastAsia" w:ascii="仿宋" w:hAnsi="仿宋" w:eastAsia="仿宋" w:cs="仿宋"/>
          <w:bCs/>
          <w:kern w:val="0"/>
          <w:sz w:val="32"/>
          <w:szCs w:val="32"/>
        </w:rPr>
        <w:t>（3）当年追加经费项目支出20万元，其中普法宣传费10万元（印刷费4万元、委托业务费6万元），公共法律服务支出10.00万元。</w:t>
      </w:r>
    </w:p>
    <w:p>
      <w:pPr>
        <w:widowControl/>
        <w:adjustRightInd w:val="0"/>
        <w:snapToGrid w:val="0"/>
        <w:spacing w:line="480" w:lineRule="exact"/>
        <w:ind w:firstLine="640" w:firstLineChars="200"/>
        <w:jc w:val="left"/>
        <w:rPr>
          <w:rFonts w:ascii="仿宋" w:hAnsi="仿宋" w:eastAsia="仿宋" w:cs="仿宋"/>
          <w:bCs/>
          <w:kern w:val="0"/>
          <w:sz w:val="32"/>
          <w:szCs w:val="32"/>
        </w:rPr>
      </w:pPr>
      <w:r>
        <w:rPr>
          <w:rFonts w:hint="eastAsia" w:ascii="仿宋" w:hAnsi="仿宋" w:eastAsia="仿宋" w:cs="仿宋"/>
          <w:bCs/>
          <w:kern w:val="0"/>
          <w:sz w:val="32"/>
          <w:szCs w:val="32"/>
        </w:rPr>
        <w:t xml:space="preserve">财返资金支出19.49万元, </w:t>
      </w:r>
    </w:p>
    <w:p>
      <w:pPr>
        <w:widowControl/>
        <w:adjustRightInd w:val="0"/>
        <w:snapToGrid w:val="0"/>
        <w:spacing w:line="480" w:lineRule="exact"/>
        <w:ind w:firstLine="640" w:firstLineChars="200"/>
        <w:jc w:val="left"/>
        <w:rPr>
          <w:rFonts w:ascii="仿宋" w:hAnsi="仿宋" w:eastAsia="仿宋" w:cs="仿宋"/>
          <w:kern w:val="0"/>
          <w:sz w:val="32"/>
          <w:szCs w:val="32"/>
        </w:rPr>
      </w:pPr>
      <w:r>
        <w:rPr>
          <w:rFonts w:hint="eastAsia" w:ascii="仿宋" w:hAnsi="仿宋" w:eastAsia="仿宋" w:cs="仿宋"/>
          <w:kern w:val="0"/>
          <w:sz w:val="32"/>
          <w:szCs w:val="32"/>
        </w:rPr>
        <w:t>财政拨款支出主要用于保障本部门机构正常运转、完成日常工作任务。</w:t>
      </w:r>
      <w:r>
        <w:rPr>
          <w:rFonts w:hint="eastAsia" w:ascii="仿宋" w:hAnsi="仿宋" w:eastAsia="仿宋" w:cs="仿宋"/>
          <w:bCs/>
          <w:kern w:val="0"/>
          <w:sz w:val="32"/>
          <w:szCs w:val="32"/>
        </w:rPr>
        <w:t>是用于局机关、各司法所等单位人员工资和社保就业保障经费。日常公用支出包括办公费、印刷费、水电费、“三公经费”等日常公用经费。</w:t>
      </w:r>
      <w:r>
        <w:rPr>
          <w:rFonts w:hint="eastAsia" w:ascii="仿宋" w:hAnsi="仿宋" w:eastAsia="仿宋" w:cs="仿宋"/>
          <w:kern w:val="0"/>
          <w:sz w:val="32"/>
          <w:szCs w:val="32"/>
        </w:rPr>
        <w:t>项目支出，是用于局机关、乡镇司法所办公设备购置、司法业务、法律援助办案、普法宣传、社区矫正等支出。</w:t>
      </w:r>
    </w:p>
    <w:p>
      <w:pPr>
        <w:spacing w:line="560" w:lineRule="exact"/>
        <w:ind w:firstLine="643" w:firstLineChars="200"/>
        <w:rPr>
          <w:rFonts w:ascii="仿宋" w:hAnsi="仿宋" w:eastAsia="仿宋" w:cs="仿宋"/>
          <w:b/>
          <w:sz w:val="32"/>
          <w:szCs w:val="32"/>
        </w:rPr>
      </w:pPr>
      <w:r>
        <w:rPr>
          <w:rFonts w:hint="eastAsia" w:ascii="仿宋" w:hAnsi="仿宋" w:eastAsia="仿宋" w:cs="仿宋"/>
          <w:b/>
          <w:sz w:val="32"/>
          <w:szCs w:val="32"/>
        </w:rPr>
        <w:t>三、部门整体预算绩效管理情况</w:t>
      </w:r>
    </w:p>
    <w:p>
      <w:pPr>
        <w:spacing w:line="560" w:lineRule="exact"/>
        <w:ind w:firstLine="321" w:firstLineChars="100"/>
        <w:rPr>
          <w:rFonts w:ascii="仿宋" w:hAnsi="仿宋" w:eastAsia="仿宋" w:cs="仿宋"/>
          <w:b/>
          <w:sz w:val="32"/>
          <w:szCs w:val="32"/>
        </w:rPr>
      </w:pPr>
      <w:r>
        <w:rPr>
          <w:rFonts w:hint="eastAsia" w:ascii="仿宋" w:hAnsi="仿宋" w:eastAsia="仿宋" w:cs="仿宋"/>
          <w:b/>
          <w:sz w:val="32"/>
          <w:szCs w:val="32"/>
        </w:rPr>
        <w:t>（一）部门预算管理</w:t>
      </w:r>
    </w:p>
    <w:p>
      <w:pPr>
        <w:spacing w:line="560" w:lineRule="exact"/>
        <w:ind w:firstLine="640" w:firstLineChars="200"/>
        <w:rPr>
          <w:rFonts w:ascii="仿宋" w:hAnsi="仿宋" w:eastAsia="仿宋" w:cs="仿宋"/>
          <w:bCs/>
          <w:sz w:val="32"/>
          <w:szCs w:val="32"/>
        </w:rPr>
      </w:pPr>
      <w:r>
        <w:rPr>
          <w:rFonts w:hint="eastAsia" w:ascii="仿宋" w:hAnsi="仿宋" w:eastAsia="仿宋" w:cs="仿宋"/>
          <w:bCs/>
          <w:sz w:val="32"/>
          <w:szCs w:val="32"/>
        </w:rPr>
        <w:t>按照综合预算的编制原则，保证预算编制质量，县司法局所有收入和支出均纳入财政预算管理，公用经费按人员数进行编制，</w:t>
      </w:r>
      <w:r>
        <w:rPr>
          <w:rFonts w:hint="eastAsia" w:ascii="仿宋" w:hAnsi="仿宋" w:eastAsia="仿宋" w:cs="仿宋"/>
          <w:bCs/>
          <w:sz w:val="32"/>
          <w:szCs w:val="32"/>
          <w:lang w:eastAsia="zh-CN"/>
        </w:rPr>
        <w:t>其他</w:t>
      </w:r>
      <w:r>
        <w:rPr>
          <w:rFonts w:hint="eastAsia" w:ascii="仿宋" w:hAnsi="仿宋" w:eastAsia="仿宋" w:cs="仿宋"/>
          <w:bCs/>
          <w:sz w:val="32"/>
          <w:szCs w:val="32"/>
        </w:rPr>
        <w:t>经费严格按照有关预算法执行。</w:t>
      </w:r>
    </w:p>
    <w:p>
      <w:pPr>
        <w:spacing w:line="560" w:lineRule="exact"/>
        <w:ind w:firstLine="640" w:firstLineChars="200"/>
        <w:rPr>
          <w:rFonts w:ascii="仿宋" w:hAnsi="仿宋" w:eastAsia="仿宋" w:cs="仿宋"/>
          <w:bCs/>
          <w:sz w:val="32"/>
          <w:szCs w:val="32"/>
        </w:rPr>
      </w:pPr>
      <w:r>
        <w:rPr>
          <w:rFonts w:hint="eastAsia" w:ascii="仿宋" w:hAnsi="仿宋" w:eastAsia="仿宋" w:cs="仿宋"/>
          <w:bCs/>
          <w:sz w:val="32"/>
          <w:szCs w:val="32"/>
        </w:rPr>
        <w:t>1.2020年预算按2019年10月实有人数54人，2019年公用经费63.6万元（编制方法：：49人（行政）</w:t>
      </w:r>
      <w:r>
        <w:rPr>
          <w:rFonts w:hint="eastAsia" w:ascii="仿宋" w:hAnsi="仿宋" w:eastAsia="仿宋" w:cs="仿宋"/>
          <w:sz w:val="32"/>
          <w:szCs w:val="32"/>
        </w:rPr>
        <w:t>×</w:t>
      </w:r>
      <w:r>
        <w:rPr>
          <w:rFonts w:hint="eastAsia" w:ascii="仿宋" w:hAnsi="仿宋" w:eastAsia="仿宋" w:cs="仿宋"/>
          <w:bCs/>
          <w:sz w:val="32"/>
          <w:szCs w:val="32"/>
        </w:rPr>
        <w:t>12000元=588000元，5人（事业）</w:t>
      </w:r>
      <w:r>
        <w:rPr>
          <w:rFonts w:hint="eastAsia" w:ascii="仿宋" w:hAnsi="仿宋" w:eastAsia="仿宋" w:cs="仿宋"/>
          <w:sz w:val="32"/>
          <w:szCs w:val="32"/>
        </w:rPr>
        <w:t>×9600元=48000元</w:t>
      </w:r>
      <w:r>
        <w:rPr>
          <w:rFonts w:hint="eastAsia" w:ascii="仿宋" w:hAnsi="仿宋" w:eastAsia="仿宋" w:cs="仿宋"/>
          <w:bCs/>
          <w:sz w:val="32"/>
          <w:szCs w:val="32"/>
        </w:rPr>
        <w:t>）。</w:t>
      </w:r>
    </w:p>
    <w:p>
      <w:pPr>
        <w:spacing w:line="560" w:lineRule="exact"/>
        <w:ind w:firstLine="640" w:firstLineChars="200"/>
        <w:rPr>
          <w:rFonts w:ascii="仿宋" w:hAnsi="仿宋" w:eastAsia="仿宋" w:cs="仿宋"/>
          <w:bCs/>
          <w:color w:val="FF0000"/>
          <w:sz w:val="32"/>
          <w:szCs w:val="32"/>
        </w:rPr>
      </w:pPr>
      <w:r>
        <w:rPr>
          <w:rFonts w:hint="eastAsia" w:ascii="仿宋" w:hAnsi="仿宋" w:eastAsia="仿宋" w:cs="仿宋"/>
          <w:bCs/>
          <w:sz w:val="32"/>
          <w:szCs w:val="32"/>
        </w:rPr>
        <w:t>2.2021年预算按2020年10月实有人数54人，2020年公用经费63.6万元（编制方法：49人（行政）</w:t>
      </w:r>
      <w:r>
        <w:rPr>
          <w:rFonts w:hint="eastAsia" w:ascii="仿宋" w:hAnsi="仿宋" w:eastAsia="仿宋" w:cs="仿宋"/>
          <w:sz w:val="32"/>
          <w:szCs w:val="32"/>
        </w:rPr>
        <w:t>×</w:t>
      </w:r>
      <w:r>
        <w:rPr>
          <w:rFonts w:hint="eastAsia" w:ascii="仿宋" w:hAnsi="仿宋" w:eastAsia="仿宋" w:cs="仿宋"/>
          <w:bCs/>
          <w:sz w:val="32"/>
          <w:szCs w:val="32"/>
        </w:rPr>
        <w:t>12000元=588000元，5人（事业）</w:t>
      </w:r>
      <w:r>
        <w:rPr>
          <w:rFonts w:hint="eastAsia" w:ascii="仿宋" w:hAnsi="仿宋" w:eastAsia="仿宋" w:cs="仿宋"/>
          <w:sz w:val="32"/>
          <w:szCs w:val="32"/>
        </w:rPr>
        <w:t>×9600元=48000元</w:t>
      </w:r>
      <w:r>
        <w:rPr>
          <w:rFonts w:hint="eastAsia" w:ascii="仿宋" w:hAnsi="仿宋" w:eastAsia="仿宋" w:cs="仿宋"/>
          <w:bCs/>
          <w:sz w:val="32"/>
          <w:szCs w:val="32"/>
        </w:rPr>
        <w:t>）。</w:t>
      </w:r>
    </w:p>
    <w:p>
      <w:pPr>
        <w:spacing w:line="560" w:lineRule="exact"/>
        <w:ind w:firstLine="643" w:firstLineChars="200"/>
        <w:rPr>
          <w:rFonts w:ascii="仿宋" w:hAnsi="仿宋" w:eastAsia="仿宋" w:cs="仿宋"/>
          <w:b/>
          <w:sz w:val="32"/>
          <w:szCs w:val="32"/>
        </w:rPr>
      </w:pPr>
      <w:r>
        <w:rPr>
          <w:rFonts w:hint="eastAsia" w:ascii="仿宋" w:hAnsi="仿宋" w:eastAsia="仿宋" w:cs="仿宋"/>
          <w:b/>
          <w:bCs/>
          <w:sz w:val="32"/>
          <w:szCs w:val="32"/>
        </w:rPr>
        <w:t xml:space="preserve"> </w:t>
      </w:r>
      <w:r>
        <w:rPr>
          <w:rFonts w:hint="eastAsia" w:ascii="仿宋" w:hAnsi="仿宋" w:eastAsia="仿宋" w:cs="仿宋"/>
          <w:b/>
          <w:sz w:val="32"/>
          <w:szCs w:val="32"/>
        </w:rPr>
        <w:t>（二）结果应用情况。</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1.预算执行情况：所有预算严格按照预算法执行，我局由于人员增减变动大，基层司法所建设工作业务增加，年初预算和当年决算数相比人员经费和公用经费没有达到只减不增要求，预算经费中人员经费是按月</w:t>
      </w:r>
      <w:r>
        <w:rPr>
          <w:rFonts w:hint="eastAsia" w:ascii="仿宋" w:hAnsi="仿宋" w:eastAsia="仿宋" w:cs="仿宋"/>
          <w:sz w:val="32"/>
          <w:szCs w:val="32"/>
          <w:lang w:eastAsia="zh-CN"/>
        </w:rPr>
        <w:t>拨付</w:t>
      </w:r>
      <w:bookmarkStart w:id="72" w:name="_GoBack"/>
      <w:bookmarkEnd w:id="72"/>
      <w:r>
        <w:rPr>
          <w:rFonts w:hint="eastAsia" w:ascii="仿宋" w:hAnsi="仿宋" w:eastAsia="仿宋" w:cs="仿宋"/>
          <w:sz w:val="32"/>
          <w:szCs w:val="32"/>
        </w:rPr>
        <w:t>，公用经费是按季进行</w:t>
      </w:r>
      <w:r>
        <w:rPr>
          <w:rFonts w:hint="eastAsia" w:ascii="仿宋" w:hAnsi="仿宋" w:eastAsia="仿宋" w:cs="仿宋"/>
          <w:sz w:val="32"/>
          <w:szCs w:val="32"/>
          <w:lang w:eastAsia="zh-CN"/>
        </w:rPr>
        <w:t>拨付</w:t>
      </w:r>
      <w:r>
        <w:rPr>
          <w:rFonts w:hint="eastAsia" w:ascii="仿宋" w:hAnsi="仿宋" w:eastAsia="仿宋" w:cs="仿宋"/>
          <w:sz w:val="32"/>
          <w:szCs w:val="32"/>
        </w:rPr>
        <w:t>。</w:t>
      </w:r>
    </w:p>
    <w:p>
      <w:pPr>
        <w:widowControl/>
        <w:spacing w:line="560" w:lineRule="exact"/>
        <w:ind w:firstLine="640" w:firstLineChars="200"/>
        <w:jc w:val="left"/>
        <w:rPr>
          <w:rFonts w:ascii="仿宋" w:hAnsi="仿宋" w:eastAsia="仿宋" w:cs="仿宋"/>
          <w:sz w:val="32"/>
          <w:szCs w:val="32"/>
        </w:rPr>
      </w:pPr>
      <w:r>
        <w:rPr>
          <w:rFonts w:hint="eastAsia" w:ascii="仿宋" w:hAnsi="仿宋" w:eastAsia="仿宋" w:cs="仿宋"/>
          <w:sz w:val="32"/>
          <w:szCs w:val="32"/>
        </w:rPr>
        <w:t>2.中期评估:根据《预算法》以及部门预算编制重点，结合本单位工作实际，编制本单位财政规划报表，拟定了部门整体绩效目标年度主要任务及部门整体绩效目标绩效指标。</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3.节能降耗方面：水电油2020年、2021年预算数差不多，决算数比预算数大，因为我局由于人员增减变动大，基层司法所工作业务增加</w:t>
      </w:r>
      <w:r>
        <w:rPr>
          <w:rFonts w:hint="eastAsia" w:ascii="仿宋" w:hAnsi="仿宋" w:eastAsia="仿宋" w:cs="仿宋"/>
          <w:w w:val="90"/>
          <w:sz w:val="32"/>
          <w:szCs w:val="32"/>
        </w:rPr>
        <w:t>，年初预算和当年决算数相比没有达到只减不增要</w:t>
      </w:r>
      <w:r>
        <w:rPr>
          <w:rFonts w:hint="eastAsia" w:ascii="仿宋" w:hAnsi="仿宋" w:eastAsia="仿宋" w:cs="仿宋"/>
          <w:sz w:val="32"/>
          <w:szCs w:val="32"/>
        </w:rPr>
        <w:t>求。</w:t>
      </w:r>
    </w:p>
    <w:p>
      <w:pPr>
        <w:spacing w:line="560" w:lineRule="exact"/>
        <w:ind w:firstLine="640" w:firstLineChars="200"/>
        <w:rPr>
          <w:rFonts w:ascii="仿宋" w:hAnsi="仿宋" w:eastAsia="仿宋" w:cs="仿宋"/>
          <w:bCs/>
          <w:sz w:val="32"/>
          <w:szCs w:val="32"/>
        </w:rPr>
      </w:pPr>
      <w:r>
        <w:rPr>
          <w:rFonts w:hint="eastAsia" w:ascii="仿宋" w:hAnsi="仿宋" w:eastAsia="仿宋" w:cs="仿宋"/>
          <w:sz w:val="32"/>
          <w:szCs w:val="32"/>
        </w:rPr>
        <w:t>4.</w:t>
      </w:r>
      <w:r>
        <w:rPr>
          <w:rFonts w:hint="eastAsia" w:ascii="仿宋" w:hAnsi="仿宋" w:eastAsia="仿宋" w:cs="仿宋"/>
          <w:bCs/>
          <w:sz w:val="32"/>
          <w:szCs w:val="32"/>
        </w:rPr>
        <w:t>三公经费预算执行情况</w:t>
      </w:r>
    </w:p>
    <w:p>
      <w:pPr>
        <w:spacing w:line="560" w:lineRule="exact"/>
        <w:ind w:firstLine="640" w:firstLineChars="200"/>
        <w:rPr>
          <w:rFonts w:ascii="仿宋" w:hAnsi="仿宋" w:eastAsia="仿宋" w:cs="仿宋"/>
          <w:sz w:val="32"/>
          <w:szCs w:val="32"/>
        </w:rPr>
      </w:pPr>
      <w:r>
        <w:rPr>
          <w:rFonts w:hint="eastAsia" w:ascii="仿宋_GB2312" w:eastAsia="仿宋_GB2312"/>
          <w:color w:val="333333"/>
          <w:sz w:val="32"/>
          <w:szCs w:val="32"/>
        </w:rPr>
        <w:t>（1）2020年度“三公”经费</w:t>
      </w:r>
      <w:r>
        <w:rPr>
          <w:rFonts w:hint="eastAsia" w:ascii="仿宋_GB2312" w:hAnsi="仿宋_GB2312" w:eastAsia="仿宋_GB2312" w:cs="仿宋_GB2312"/>
          <w:color w:val="333333"/>
          <w:kern w:val="0"/>
          <w:sz w:val="32"/>
          <w:szCs w:val="32"/>
        </w:rPr>
        <w:t>预算情况：预算安排出国出境安排0万元；公务接待费0.4万元；2020年预算安排公务用车运行维护费</w:t>
      </w:r>
      <w:r>
        <w:rPr>
          <w:rFonts w:hint="eastAsia" w:ascii="仿宋" w:hAnsi="仿宋" w:eastAsia="仿宋" w:cs="仿宋"/>
          <w:kern w:val="0"/>
          <w:sz w:val="32"/>
          <w:szCs w:val="32"/>
        </w:rPr>
        <w:t>8</w:t>
      </w:r>
      <w:r>
        <w:rPr>
          <w:rFonts w:hint="eastAsia" w:ascii="仿宋_GB2312" w:hAnsi="仿宋_GB2312" w:eastAsia="仿宋_GB2312" w:cs="仿宋_GB2312"/>
          <w:color w:val="333333"/>
          <w:kern w:val="0"/>
          <w:sz w:val="32"/>
          <w:szCs w:val="32"/>
        </w:rPr>
        <w:t>万元。</w:t>
      </w:r>
      <w:r>
        <w:rPr>
          <w:rFonts w:hint="eastAsia" w:ascii="仿宋" w:hAnsi="仿宋" w:eastAsia="仿宋" w:cs="仿宋"/>
          <w:bCs/>
          <w:sz w:val="32"/>
          <w:szCs w:val="32"/>
        </w:rPr>
        <w:t>公务接待费</w:t>
      </w:r>
      <w:r>
        <w:rPr>
          <w:rFonts w:hint="eastAsia" w:ascii="仿宋" w:hAnsi="仿宋" w:eastAsia="仿宋" w:cs="仿宋"/>
          <w:sz w:val="32"/>
          <w:szCs w:val="32"/>
        </w:rPr>
        <w:t>决算数和预算数相等</w:t>
      </w:r>
      <w:r>
        <w:rPr>
          <w:rFonts w:hint="eastAsia" w:ascii="仿宋" w:hAnsi="仿宋" w:eastAsia="仿宋" w:cs="仿宋"/>
          <w:bCs/>
          <w:sz w:val="32"/>
          <w:szCs w:val="32"/>
        </w:rPr>
        <w:t>（按财政局2019年编制预算文件，公务接待费按总公务费比例计算）</w:t>
      </w:r>
      <w:r>
        <w:rPr>
          <w:rFonts w:hint="eastAsia" w:ascii="仿宋" w:hAnsi="仿宋" w:eastAsia="仿宋" w:cs="仿宋"/>
          <w:sz w:val="32"/>
          <w:szCs w:val="32"/>
        </w:rPr>
        <w:t>，</w:t>
      </w:r>
      <w:r>
        <w:rPr>
          <w:rFonts w:hint="eastAsia" w:ascii="仿宋" w:hAnsi="仿宋" w:eastAsia="仿宋" w:cs="仿宋"/>
          <w:bCs/>
          <w:sz w:val="32"/>
          <w:szCs w:val="32"/>
        </w:rPr>
        <w:t>公务用车运行维护费</w:t>
      </w:r>
      <w:r>
        <w:rPr>
          <w:rFonts w:hint="eastAsia" w:ascii="仿宋" w:hAnsi="仿宋" w:eastAsia="仿宋" w:cs="仿宋"/>
          <w:sz w:val="32"/>
          <w:szCs w:val="32"/>
        </w:rPr>
        <w:t>决算数与预算数相等。</w:t>
      </w:r>
    </w:p>
    <w:p>
      <w:pPr>
        <w:spacing w:line="560" w:lineRule="exact"/>
        <w:ind w:firstLine="640" w:firstLineChars="200"/>
        <w:rPr>
          <w:rFonts w:ascii="仿宋" w:hAnsi="仿宋" w:eastAsia="仿宋" w:cs="仿宋"/>
          <w:bCs/>
          <w:sz w:val="32"/>
          <w:szCs w:val="32"/>
        </w:rPr>
      </w:pPr>
      <w:r>
        <w:rPr>
          <w:rFonts w:hint="eastAsia" w:ascii="仿宋" w:hAnsi="仿宋" w:eastAsia="仿宋" w:cs="仿宋"/>
          <w:bCs/>
          <w:sz w:val="32"/>
          <w:szCs w:val="32"/>
        </w:rPr>
        <w:t>（2）2021年公务接待费0.5万元，（按2021年编制预算文件，公务接待费按总公务费比例计算）；2021年公务用车维护费10万元。</w:t>
      </w:r>
    </w:p>
    <w:p>
      <w:pPr>
        <w:spacing w:line="560" w:lineRule="exact"/>
        <w:ind w:firstLine="640" w:firstLineChars="200"/>
        <w:rPr>
          <w:rFonts w:ascii="仿宋" w:hAnsi="仿宋" w:eastAsia="仿宋" w:cs="仿宋"/>
          <w:bCs/>
          <w:color w:val="FF0000"/>
          <w:sz w:val="32"/>
          <w:szCs w:val="32"/>
        </w:rPr>
      </w:pPr>
      <w:r>
        <w:rPr>
          <w:rFonts w:hint="eastAsia" w:ascii="仿宋" w:hAnsi="仿宋" w:eastAsia="仿宋" w:cs="仿宋"/>
          <w:bCs/>
          <w:sz w:val="32"/>
          <w:szCs w:val="32"/>
        </w:rPr>
        <w:t>5、非税收收入情况：行政事业性收入8.45万元，上缴国库8.45万元。</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6.信息公开方面：预算决算公开按财政局的要求在收到财政批复后20个工作日在金川县政府中心的信息网站进行公开。</w:t>
      </w:r>
    </w:p>
    <w:p>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7.绩效评价及财政监督情况:按</w:t>
      </w:r>
      <w:r>
        <w:rPr>
          <w:rFonts w:hint="eastAsia" w:ascii="仿宋" w:hAnsi="仿宋" w:eastAsia="仿宋" w:cs="仿宋"/>
          <w:color w:val="000000"/>
          <w:kern w:val="0"/>
          <w:sz w:val="32"/>
          <w:szCs w:val="32"/>
          <w:shd w:val="clear" w:color="auto" w:fill="FFFFFF"/>
        </w:rPr>
        <w:t>金财监绩〔2021〕26号</w:t>
      </w:r>
      <w:r>
        <w:rPr>
          <w:rFonts w:hint="eastAsia" w:ascii="仿宋" w:hAnsi="仿宋" w:eastAsia="仿宋" w:cs="仿宋"/>
          <w:bCs/>
          <w:sz w:val="32"/>
          <w:szCs w:val="32"/>
        </w:rPr>
        <w:t>文件的附件1</w:t>
      </w:r>
      <w:r>
        <w:rPr>
          <w:rFonts w:hint="eastAsia" w:ascii="仿宋" w:hAnsi="仿宋" w:eastAsia="仿宋" w:cs="仿宋"/>
          <w:sz w:val="32"/>
          <w:szCs w:val="32"/>
        </w:rPr>
        <w:t>部门支出绩效评价指标体系进行单位自评，按财政要求收支并接受财政的监督管理。</w:t>
      </w:r>
    </w:p>
    <w:p>
      <w:pPr>
        <w:spacing w:line="560" w:lineRule="exact"/>
        <w:ind w:firstLine="643" w:firstLineChars="200"/>
        <w:rPr>
          <w:rFonts w:ascii="仿宋" w:hAnsi="仿宋" w:eastAsia="仿宋" w:cs="仿宋"/>
          <w:b/>
          <w:sz w:val="32"/>
          <w:szCs w:val="32"/>
        </w:rPr>
      </w:pPr>
      <w:r>
        <w:rPr>
          <w:rFonts w:hint="eastAsia" w:ascii="仿宋" w:hAnsi="仿宋" w:eastAsia="仿宋" w:cs="仿宋"/>
          <w:b/>
          <w:sz w:val="32"/>
          <w:szCs w:val="32"/>
        </w:rPr>
        <w:t>四、评价结论及建议</w:t>
      </w:r>
    </w:p>
    <w:p>
      <w:pPr>
        <w:snapToGrid w:val="0"/>
        <w:spacing w:line="560" w:lineRule="exact"/>
        <w:ind w:firstLine="640" w:firstLineChars="200"/>
        <w:rPr>
          <w:rFonts w:ascii="仿宋" w:hAnsi="仿宋" w:eastAsia="仿宋" w:cs="仿宋"/>
          <w:bCs/>
          <w:sz w:val="32"/>
          <w:szCs w:val="32"/>
        </w:rPr>
      </w:pPr>
      <w:r>
        <w:rPr>
          <w:rFonts w:hint="eastAsia" w:ascii="仿宋" w:hAnsi="仿宋" w:eastAsia="仿宋" w:cs="仿宋"/>
          <w:sz w:val="32"/>
          <w:szCs w:val="32"/>
        </w:rPr>
        <w:t xml:space="preserve">  </w:t>
      </w:r>
      <w:r>
        <w:rPr>
          <w:rFonts w:hint="eastAsia" w:ascii="仿宋" w:hAnsi="仿宋" w:eastAsia="仿宋" w:cs="仿宋"/>
          <w:b/>
          <w:sz w:val="32"/>
          <w:szCs w:val="32"/>
        </w:rPr>
        <w:t>（一）评价结论。</w:t>
      </w:r>
      <w:r>
        <w:rPr>
          <w:rFonts w:hint="eastAsia" w:ascii="仿宋" w:hAnsi="仿宋" w:eastAsia="仿宋" w:cs="仿宋"/>
          <w:bCs/>
          <w:sz w:val="32"/>
          <w:szCs w:val="32"/>
        </w:rPr>
        <w:t>根据</w:t>
      </w:r>
      <w:r>
        <w:rPr>
          <w:rFonts w:hint="eastAsia" w:ascii="仿宋" w:hAnsi="仿宋" w:eastAsia="仿宋" w:cs="仿宋"/>
          <w:color w:val="000000"/>
          <w:kern w:val="0"/>
          <w:sz w:val="32"/>
          <w:szCs w:val="32"/>
          <w:shd w:val="clear" w:color="auto" w:fill="FFFFFF"/>
        </w:rPr>
        <w:t>金财监绩〔2021〕26号</w:t>
      </w:r>
      <w:r>
        <w:rPr>
          <w:rFonts w:hint="eastAsia" w:ascii="仿宋" w:hAnsi="仿宋" w:eastAsia="仿宋" w:cs="仿宋"/>
          <w:bCs/>
          <w:sz w:val="32"/>
          <w:szCs w:val="32"/>
        </w:rPr>
        <w:t>文件的附件2</w:t>
      </w:r>
      <w:r>
        <w:rPr>
          <w:rFonts w:hint="eastAsia" w:ascii="仿宋" w:hAnsi="仿宋" w:eastAsia="仿宋" w:cs="仿宋"/>
          <w:sz w:val="32"/>
          <w:szCs w:val="32"/>
        </w:rPr>
        <w:t>部门支出绩效评价指标体系进行单位自评，</w:t>
      </w:r>
      <w:r>
        <w:rPr>
          <w:rFonts w:hint="eastAsia" w:ascii="仿宋" w:hAnsi="仿宋" w:eastAsia="仿宋" w:cs="仿宋"/>
          <w:bCs/>
          <w:sz w:val="32"/>
          <w:szCs w:val="32"/>
        </w:rPr>
        <w:t>圆满完成绩效自评工作，圆满完成中央、省、州委和县的重要工作、目标任务。</w:t>
      </w:r>
    </w:p>
    <w:p>
      <w:pPr>
        <w:widowControl/>
        <w:adjustRightInd w:val="0"/>
        <w:snapToGrid w:val="0"/>
        <w:spacing w:line="480" w:lineRule="exact"/>
        <w:ind w:firstLine="643" w:firstLineChars="200"/>
        <w:jc w:val="left"/>
        <w:rPr>
          <w:rFonts w:ascii="仿宋" w:hAnsi="仿宋" w:eastAsia="仿宋" w:cs="仿宋"/>
          <w:b/>
          <w:bCs/>
          <w:kern w:val="0"/>
          <w:sz w:val="32"/>
          <w:szCs w:val="32"/>
          <w:lang w:val="zh-CN"/>
        </w:rPr>
      </w:pPr>
      <w:r>
        <w:rPr>
          <w:rFonts w:hint="eastAsia" w:ascii="仿宋" w:hAnsi="仿宋" w:eastAsia="仿宋" w:cs="仿宋"/>
          <w:b/>
          <w:bCs/>
          <w:kern w:val="0"/>
          <w:sz w:val="32"/>
          <w:szCs w:val="32"/>
          <w:lang w:val="zh-CN"/>
        </w:rPr>
        <w:t>（二）、存在问题。</w:t>
      </w:r>
    </w:p>
    <w:p>
      <w:pPr>
        <w:widowControl/>
        <w:adjustRightInd w:val="0"/>
        <w:snapToGrid w:val="0"/>
        <w:spacing w:line="480" w:lineRule="exact"/>
        <w:ind w:firstLine="720"/>
        <w:jc w:val="left"/>
        <w:rPr>
          <w:rFonts w:ascii="仿宋" w:hAnsi="仿宋" w:eastAsia="仿宋" w:cs="仿宋"/>
          <w:kern w:val="0"/>
          <w:sz w:val="32"/>
          <w:szCs w:val="32"/>
        </w:rPr>
      </w:pPr>
      <w:r>
        <w:rPr>
          <w:rFonts w:hint="eastAsia" w:ascii="仿宋" w:hAnsi="仿宋" w:eastAsia="仿宋" w:cs="仿宋"/>
          <w:kern w:val="0"/>
          <w:sz w:val="32"/>
          <w:szCs w:val="32"/>
        </w:rPr>
        <w:t>我局有派驻机构、人员多,涉及工作面广,工作量大,所需运行经费量大,存在调整预算;预算不精准存在结余追减的情况。</w:t>
      </w:r>
    </w:p>
    <w:p>
      <w:pPr>
        <w:snapToGrid w:val="0"/>
        <w:spacing w:line="560" w:lineRule="exact"/>
        <w:ind w:firstLine="643" w:firstLineChars="200"/>
        <w:rPr>
          <w:rFonts w:ascii="仿宋" w:hAnsi="仿宋" w:eastAsia="仿宋" w:cs="仿宋"/>
          <w:b/>
          <w:sz w:val="32"/>
          <w:szCs w:val="32"/>
        </w:rPr>
      </w:pPr>
      <w:r>
        <w:rPr>
          <w:rFonts w:hint="eastAsia" w:ascii="仿宋" w:hAnsi="仿宋" w:eastAsia="仿宋" w:cs="仿宋"/>
          <w:b/>
          <w:sz w:val="32"/>
          <w:szCs w:val="32"/>
        </w:rPr>
        <w:t>（三）改进建议</w:t>
      </w:r>
    </w:p>
    <w:p>
      <w:pPr>
        <w:snapToGrid w:val="0"/>
        <w:spacing w:line="560" w:lineRule="exact"/>
        <w:ind w:firstLine="640" w:firstLineChars="200"/>
        <w:rPr>
          <w:rFonts w:ascii="仿宋" w:hAnsi="仿宋" w:eastAsia="仿宋" w:cs="仿宋"/>
          <w:bCs/>
          <w:sz w:val="32"/>
          <w:szCs w:val="32"/>
        </w:rPr>
      </w:pPr>
      <w:r>
        <w:rPr>
          <w:rFonts w:hint="eastAsia" w:ascii="仿宋" w:hAnsi="仿宋" w:eastAsia="仿宋" w:cs="仿宋"/>
          <w:bCs/>
          <w:sz w:val="32"/>
          <w:szCs w:val="32"/>
        </w:rPr>
        <w:t>加快完成机关财务管理规章制度建设、加强会计核算和财务管理能力，请财政局多指导我们部门的工作，不规范的收支请及给我们指出，及时与财政局相关科室对接工作，提升工作效率。</w:t>
      </w:r>
    </w:p>
    <w:p>
      <w:pPr>
        <w:jc w:val="right"/>
        <w:rPr>
          <w:color w:val="FF0000"/>
        </w:rPr>
      </w:pPr>
      <w:r>
        <w:rPr>
          <w:rFonts w:hint="eastAsia" w:ascii="仿宋" w:hAnsi="仿宋" w:eastAsia="仿宋" w:cs="仿宋"/>
          <w:sz w:val="32"/>
          <w:szCs w:val="32"/>
        </w:rPr>
        <w:t xml:space="preserve">                                     </w:t>
      </w: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Fonts w:ascii="黑体" w:eastAsia="黑体"/>
          <w:color w:val="000000"/>
          <w:sz w:val="44"/>
          <w:szCs w:val="44"/>
        </w:rPr>
      </w:pPr>
    </w:p>
    <w:p>
      <w:pPr>
        <w:spacing w:line="600" w:lineRule="exact"/>
        <w:jc w:val="center"/>
        <w:outlineLvl w:val="0"/>
        <w:rPr>
          <w:rStyle w:val="16"/>
          <w:rFonts w:ascii="黑体" w:eastAsia="黑体"/>
          <w:b w:val="0"/>
        </w:rPr>
      </w:pPr>
      <w:r>
        <w:rPr>
          <w:rFonts w:hint="eastAsia" w:ascii="黑体" w:eastAsia="黑体"/>
          <w:color w:val="000000"/>
          <w:sz w:val="44"/>
          <w:szCs w:val="44"/>
        </w:rPr>
        <w:t>第</w:t>
      </w:r>
      <w:r>
        <w:rPr>
          <w:rStyle w:val="16"/>
          <w:rFonts w:hint="eastAsia" w:ascii="黑体" w:eastAsia="黑体"/>
          <w:b w:val="0"/>
        </w:rPr>
        <w:t>五部分 附表</w:t>
      </w:r>
    </w:p>
    <w:p>
      <w:pPr>
        <w:pStyle w:val="3"/>
        <w:rPr>
          <w:rFonts w:ascii="仿宋" w:eastAsia="仿宋"/>
          <w:color w:val="000000"/>
        </w:rPr>
      </w:pPr>
      <w:r>
        <w:rPr>
          <w:rFonts w:hint="eastAsia" w:ascii="仿宋" w:eastAsia="仿宋"/>
          <w:b w:val="0"/>
          <w:color w:val="000000"/>
        </w:rPr>
        <w:t>一、收</w:t>
      </w:r>
      <w:r>
        <w:rPr>
          <w:rStyle w:val="17"/>
          <w:rFonts w:hint="eastAsia" w:ascii="仿宋" w:eastAsia="仿宋"/>
          <w:b w:val="0"/>
          <w:bCs w:val="0"/>
        </w:rPr>
        <w:t>入支出决算总表</w:t>
      </w:r>
    </w:p>
    <w:p>
      <w:pPr>
        <w:pStyle w:val="3"/>
        <w:rPr>
          <w:rFonts w:ascii="仿宋" w:eastAsia="仿宋"/>
          <w:color w:val="000000"/>
        </w:rPr>
      </w:pPr>
      <w:bookmarkStart w:id="60" w:name="_Toc15396620"/>
      <w:r>
        <w:rPr>
          <w:rFonts w:hint="eastAsia" w:ascii="仿宋" w:eastAsia="仿宋"/>
          <w:b w:val="0"/>
          <w:color w:val="000000"/>
        </w:rPr>
        <w:t>二、收</w:t>
      </w:r>
      <w:r>
        <w:rPr>
          <w:rStyle w:val="17"/>
          <w:rFonts w:hint="eastAsia" w:ascii="仿宋" w:eastAsia="仿宋"/>
          <w:b w:val="0"/>
          <w:bCs w:val="0"/>
        </w:rPr>
        <w:t>入总表</w:t>
      </w:r>
      <w:bookmarkEnd w:id="60"/>
    </w:p>
    <w:p>
      <w:pPr>
        <w:pStyle w:val="3"/>
        <w:rPr>
          <w:rFonts w:ascii="仿宋" w:eastAsia="仿宋"/>
          <w:color w:val="000000"/>
        </w:rPr>
      </w:pPr>
      <w:bookmarkStart w:id="61" w:name="_Toc15396621"/>
      <w:r>
        <w:rPr>
          <w:rStyle w:val="17"/>
          <w:rFonts w:hint="eastAsia" w:ascii="仿宋" w:eastAsia="仿宋"/>
          <w:b w:val="0"/>
          <w:bCs w:val="0"/>
        </w:rPr>
        <w:t>三、</w:t>
      </w:r>
      <w:r>
        <w:rPr>
          <w:rFonts w:hint="eastAsia" w:ascii="仿宋" w:eastAsia="仿宋"/>
          <w:b w:val="0"/>
          <w:color w:val="000000"/>
        </w:rPr>
        <w:t>支</w:t>
      </w:r>
      <w:r>
        <w:rPr>
          <w:rStyle w:val="17"/>
          <w:rFonts w:hint="eastAsia" w:ascii="仿宋" w:eastAsia="仿宋"/>
          <w:b w:val="0"/>
          <w:bCs w:val="0"/>
        </w:rPr>
        <w:t>出总表</w:t>
      </w:r>
      <w:bookmarkEnd w:id="61"/>
    </w:p>
    <w:p>
      <w:pPr>
        <w:pStyle w:val="3"/>
        <w:rPr>
          <w:rFonts w:ascii="仿宋" w:eastAsia="仿宋"/>
          <w:b w:val="0"/>
          <w:color w:val="000000"/>
        </w:rPr>
      </w:pPr>
      <w:bookmarkStart w:id="62" w:name="_Toc15396622"/>
      <w:r>
        <w:rPr>
          <w:rStyle w:val="17"/>
          <w:rFonts w:hint="eastAsia" w:ascii="仿宋" w:eastAsia="仿宋"/>
          <w:b w:val="0"/>
          <w:bCs w:val="0"/>
        </w:rPr>
        <w:t>四、</w:t>
      </w:r>
      <w:r>
        <w:rPr>
          <w:rFonts w:hint="eastAsia" w:ascii="仿宋" w:eastAsia="仿宋"/>
          <w:b w:val="0"/>
          <w:color w:val="000000"/>
        </w:rPr>
        <w:t>财</w:t>
      </w:r>
      <w:r>
        <w:rPr>
          <w:rStyle w:val="17"/>
          <w:rFonts w:hint="eastAsia" w:ascii="仿宋" w:eastAsia="仿宋"/>
          <w:b w:val="0"/>
          <w:bCs w:val="0"/>
        </w:rPr>
        <w:t>政拨款收入支出决算总表</w:t>
      </w:r>
      <w:bookmarkEnd w:id="62"/>
    </w:p>
    <w:p>
      <w:pPr>
        <w:pStyle w:val="3"/>
        <w:rPr>
          <w:rFonts w:ascii="仿宋" w:eastAsia="仿宋"/>
          <w:color w:val="000000"/>
        </w:rPr>
      </w:pPr>
      <w:bookmarkStart w:id="63" w:name="_Toc15396623"/>
      <w:r>
        <w:rPr>
          <w:rStyle w:val="17"/>
          <w:rFonts w:hint="eastAsia" w:ascii="仿宋" w:eastAsia="仿宋"/>
          <w:b w:val="0"/>
          <w:bCs w:val="0"/>
        </w:rPr>
        <w:t>五、</w:t>
      </w:r>
      <w:r>
        <w:rPr>
          <w:rFonts w:hint="eastAsia" w:ascii="仿宋" w:eastAsia="仿宋"/>
          <w:b w:val="0"/>
          <w:color w:val="000000"/>
        </w:rPr>
        <w:t>财</w:t>
      </w:r>
      <w:r>
        <w:rPr>
          <w:rStyle w:val="17"/>
          <w:rFonts w:hint="eastAsia" w:ascii="仿宋" w:eastAsia="仿宋"/>
          <w:b w:val="0"/>
          <w:bCs w:val="0"/>
        </w:rPr>
        <w:t>政拨款支出决算明细表（政府经济分类科目）</w:t>
      </w:r>
      <w:bookmarkEnd w:id="63"/>
    </w:p>
    <w:p>
      <w:pPr>
        <w:pStyle w:val="3"/>
        <w:rPr>
          <w:rFonts w:ascii="仿宋" w:eastAsia="仿宋"/>
          <w:color w:val="000000"/>
        </w:rPr>
      </w:pPr>
      <w:bookmarkStart w:id="64" w:name="_Toc15396624"/>
      <w:r>
        <w:rPr>
          <w:rStyle w:val="17"/>
          <w:rFonts w:hint="eastAsia" w:ascii="仿宋" w:eastAsia="仿宋"/>
          <w:b w:val="0"/>
          <w:bCs w:val="0"/>
        </w:rPr>
        <w:t>六、</w:t>
      </w:r>
      <w:r>
        <w:rPr>
          <w:rFonts w:hint="eastAsia" w:ascii="仿宋" w:eastAsia="仿宋"/>
          <w:b w:val="0"/>
          <w:color w:val="000000"/>
        </w:rPr>
        <w:t>一</w:t>
      </w:r>
      <w:r>
        <w:rPr>
          <w:rStyle w:val="17"/>
          <w:rFonts w:hint="eastAsia" w:ascii="仿宋" w:eastAsia="仿宋"/>
          <w:b w:val="0"/>
          <w:bCs w:val="0"/>
        </w:rPr>
        <w:t>般公共预算财政拨款支出决算表</w:t>
      </w:r>
      <w:bookmarkEnd w:id="64"/>
    </w:p>
    <w:p>
      <w:pPr>
        <w:pStyle w:val="3"/>
        <w:rPr>
          <w:rFonts w:ascii="仿宋" w:eastAsia="仿宋"/>
          <w:color w:val="000000"/>
        </w:rPr>
      </w:pPr>
      <w:bookmarkStart w:id="65" w:name="_Toc15396625"/>
      <w:r>
        <w:rPr>
          <w:rStyle w:val="17"/>
          <w:rFonts w:hint="eastAsia" w:ascii="仿宋" w:eastAsia="仿宋"/>
          <w:b w:val="0"/>
          <w:bCs w:val="0"/>
        </w:rPr>
        <w:t>七、</w:t>
      </w:r>
      <w:r>
        <w:rPr>
          <w:rFonts w:hint="eastAsia" w:ascii="仿宋" w:eastAsia="仿宋"/>
          <w:b w:val="0"/>
          <w:color w:val="000000"/>
        </w:rPr>
        <w:t>一</w:t>
      </w:r>
      <w:r>
        <w:rPr>
          <w:rStyle w:val="17"/>
          <w:rFonts w:hint="eastAsia" w:ascii="仿宋" w:eastAsia="仿宋"/>
          <w:b w:val="0"/>
          <w:bCs w:val="0"/>
        </w:rPr>
        <w:t>般公共预算财政拨款支出决算明细表</w:t>
      </w:r>
      <w:bookmarkEnd w:id="65"/>
    </w:p>
    <w:p>
      <w:pPr>
        <w:pStyle w:val="3"/>
        <w:rPr>
          <w:rFonts w:ascii="仿宋" w:eastAsia="仿宋"/>
          <w:color w:val="000000"/>
        </w:rPr>
      </w:pPr>
      <w:bookmarkStart w:id="66" w:name="_Toc15396626"/>
      <w:r>
        <w:rPr>
          <w:rStyle w:val="17"/>
          <w:rFonts w:hint="eastAsia" w:ascii="仿宋" w:eastAsia="仿宋"/>
          <w:b w:val="0"/>
          <w:bCs w:val="0"/>
        </w:rPr>
        <w:t>八、</w:t>
      </w:r>
      <w:r>
        <w:rPr>
          <w:rFonts w:hint="eastAsia" w:ascii="仿宋" w:eastAsia="仿宋"/>
          <w:b w:val="0"/>
          <w:color w:val="000000"/>
        </w:rPr>
        <w:t>一</w:t>
      </w:r>
      <w:r>
        <w:rPr>
          <w:rStyle w:val="17"/>
          <w:rFonts w:hint="eastAsia" w:ascii="仿宋" w:eastAsia="仿宋"/>
          <w:b w:val="0"/>
          <w:bCs w:val="0"/>
        </w:rPr>
        <w:t>般公共预算财政拨款基本支出决算表</w:t>
      </w:r>
      <w:bookmarkEnd w:id="66"/>
    </w:p>
    <w:p>
      <w:pPr>
        <w:pStyle w:val="3"/>
        <w:rPr>
          <w:rFonts w:ascii="仿宋" w:eastAsia="仿宋"/>
          <w:color w:val="000000"/>
        </w:rPr>
      </w:pPr>
      <w:bookmarkStart w:id="67" w:name="_Toc15396627"/>
      <w:r>
        <w:rPr>
          <w:rStyle w:val="17"/>
          <w:rFonts w:hint="eastAsia" w:ascii="仿宋" w:eastAsia="仿宋"/>
          <w:b w:val="0"/>
          <w:bCs w:val="0"/>
        </w:rPr>
        <w:t>九、</w:t>
      </w:r>
      <w:r>
        <w:rPr>
          <w:rFonts w:hint="eastAsia" w:ascii="仿宋" w:eastAsia="仿宋"/>
          <w:b w:val="0"/>
          <w:color w:val="000000"/>
        </w:rPr>
        <w:t>一</w:t>
      </w:r>
      <w:r>
        <w:rPr>
          <w:rStyle w:val="17"/>
          <w:rFonts w:hint="eastAsia" w:ascii="仿宋" w:eastAsia="仿宋"/>
          <w:b w:val="0"/>
          <w:bCs w:val="0"/>
        </w:rPr>
        <w:t>般公共预算财政拨款项目支出决算表</w:t>
      </w:r>
      <w:bookmarkEnd w:id="67"/>
    </w:p>
    <w:p>
      <w:pPr>
        <w:pStyle w:val="3"/>
        <w:rPr>
          <w:rFonts w:ascii="仿宋" w:eastAsia="仿宋"/>
          <w:color w:val="000000"/>
        </w:rPr>
      </w:pPr>
      <w:bookmarkStart w:id="68" w:name="_Toc15396628"/>
      <w:r>
        <w:rPr>
          <w:rStyle w:val="17"/>
          <w:rFonts w:hint="eastAsia" w:ascii="仿宋" w:eastAsia="仿宋"/>
          <w:b w:val="0"/>
          <w:bCs w:val="0"/>
        </w:rPr>
        <w:t>十、</w:t>
      </w:r>
      <w:r>
        <w:rPr>
          <w:rFonts w:hint="eastAsia" w:ascii="仿宋" w:eastAsia="仿宋"/>
          <w:b w:val="0"/>
          <w:color w:val="000000"/>
        </w:rPr>
        <w:t>一</w:t>
      </w:r>
      <w:r>
        <w:rPr>
          <w:rStyle w:val="17"/>
          <w:rFonts w:hint="eastAsia" w:ascii="仿宋" w:eastAsia="仿宋"/>
          <w:b w:val="0"/>
          <w:bCs w:val="0"/>
        </w:rPr>
        <w:t>般公共预算财政拨款“三公”经费支出决算表</w:t>
      </w:r>
      <w:bookmarkEnd w:id="68"/>
    </w:p>
    <w:p>
      <w:pPr>
        <w:pStyle w:val="3"/>
        <w:rPr>
          <w:rFonts w:ascii="仿宋" w:eastAsia="仿宋"/>
          <w:color w:val="000000"/>
        </w:rPr>
      </w:pPr>
      <w:bookmarkStart w:id="69" w:name="_Toc15396629"/>
      <w:r>
        <w:rPr>
          <w:rStyle w:val="17"/>
          <w:rFonts w:hint="eastAsia" w:ascii="仿宋" w:eastAsia="仿宋"/>
          <w:b w:val="0"/>
          <w:bCs w:val="0"/>
        </w:rPr>
        <w:t>十一、</w:t>
      </w:r>
      <w:r>
        <w:rPr>
          <w:rFonts w:hint="eastAsia" w:ascii="仿宋" w:eastAsia="仿宋"/>
          <w:b w:val="0"/>
          <w:color w:val="000000"/>
        </w:rPr>
        <w:t>政</w:t>
      </w:r>
      <w:r>
        <w:rPr>
          <w:rStyle w:val="17"/>
          <w:rFonts w:hint="eastAsia" w:ascii="仿宋" w:eastAsia="仿宋"/>
          <w:b w:val="0"/>
          <w:bCs w:val="0"/>
        </w:rPr>
        <w:t>府性基金预算财政拨款收入支出决算表</w:t>
      </w:r>
      <w:bookmarkEnd w:id="69"/>
    </w:p>
    <w:p>
      <w:pPr>
        <w:pStyle w:val="3"/>
        <w:rPr>
          <w:rFonts w:ascii="仿宋" w:eastAsia="仿宋"/>
          <w:color w:val="000000"/>
        </w:rPr>
      </w:pPr>
      <w:bookmarkStart w:id="70" w:name="_Toc15396630"/>
      <w:r>
        <w:rPr>
          <w:rStyle w:val="17"/>
          <w:rFonts w:hint="eastAsia" w:ascii="仿宋" w:eastAsia="仿宋"/>
          <w:b w:val="0"/>
          <w:bCs w:val="0"/>
        </w:rPr>
        <w:t>十二、</w:t>
      </w:r>
      <w:r>
        <w:rPr>
          <w:rFonts w:hint="eastAsia" w:ascii="仿宋" w:eastAsia="仿宋"/>
          <w:b w:val="0"/>
          <w:color w:val="000000"/>
        </w:rPr>
        <w:t>政</w:t>
      </w:r>
      <w:r>
        <w:rPr>
          <w:rStyle w:val="17"/>
          <w:rFonts w:hint="eastAsia" w:ascii="仿宋" w:eastAsia="仿宋"/>
          <w:b w:val="0"/>
          <w:bCs w:val="0"/>
        </w:rPr>
        <w:t>府性基金预算财政拨款“三公”经费支出决算表</w:t>
      </w:r>
      <w:bookmarkEnd w:id="70"/>
    </w:p>
    <w:p>
      <w:pPr>
        <w:pStyle w:val="3"/>
        <w:rPr>
          <w:rFonts w:ascii="仿宋" w:eastAsia="仿宋"/>
          <w:color w:val="000000"/>
        </w:rPr>
      </w:pPr>
      <w:bookmarkStart w:id="71" w:name="_Toc15396631"/>
      <w:r>
        <w:rPr>
          <w:rStyle w:val="17"/>
          <w:rFonts w:hint="eastAsia" w:ascii="仿宋" w:eastAsia="仿宋"/>
          <w:b w:val="0"/>
          <w:bCs w:val="0"/>
        </w:rPr>
        <w:t>十三、</w:t>
      </w:r>
      <w:r>
        <w:rPr>
          <w:rFonts w:hint="eastAsia" w:ascii="仿宋" w:eastAsia="仿宋"/>
          <w:b w:val="0"/>
          <w:color w:val="000000"/>
        </w:rPr>
        <w:t>国</w:t>
      </w:r>
      <w:r>
        <w:rPr>
          <w:rStyle w:val="17"/>
          <w:rFonts w:hint="eastAsia" w:ascii="仿宋" w:eastAsia="仿宋"/>
          <w:b w:val="0"/>
          <w:bCs w:val="0"/>
        </w:rPr>
        <w:t>有资本经营预算支出决算表</w:t>
      </w:r>
      <w:bookmarkEnd w:id="71"/>
    </w:p>
    <w:p>
      <w:pPr>
        <w:pStyle w:val="3"/>
        <w:rPr>
          <w:rFonts w:ascii="仿宋" w:eastAsia="仿宋"/>
          <w:color w:val="000000"/>
        </w:rPr>
      </w:pPr>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楷体">
    <w:panose1 w:val="02010609060101010101"/>
    <w:charset w:val="86"/>
    <w:family w:val="modern"/>
    <w:pitch w:val="default"/>
    <w:sig w:usb0="800002BF" w:usb1="38CF7CFA" w:usb2="00000016" w:usb3="00000000" w:csb0="00040001" w:csb1="00000000"/>
  </w:font>
  <w:font w:name="AR PL UKai CN">
    <w:altName w:val="Segoe Print"/>
    <w:panose1 w:val="00000000000000000000"/>
    <w:charset w:val="01"/>
    <w:family w:val="auto"/>
    <w:pitch w:val="default"/>
    <w:sig w:usb0="00000000" w:usb1="00000000" w:usb2="00000000" w:usb3="00000000" w:csb0="00000000" w:csb1="00000000"/>
  </w:font>
  <w:font w:name="Lucida Sans">
    <w:altName w:val="Lucida Sans Unicode"/>
    <w:panose1 w:val="020B0602030504020204"/>
    <w:charset w:val="01"/>
    <w:family w:val="auto"/>
    <w:pitch w:val="default"/>
    <w:sig w:usb0="00000000" w:usb1="00000000" w:usb2="00000000" w:usb3="00000000" w:csb0="00000000" w:csb1="00000000"/>
  </w:font>
  <w:font w:name="楷体_GB2312">
    <w:altName w:val="楷体"/>
    <w:panose1 w:val="00000000000000000000"/>
    <w:charset w:val="86"/>
    <w:family w:val="modern"/>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Segoe Print">
    <w:panose1 w:val="02000600000000000000"/>
    <w:charset w:val="00"/>
    <w:family w:val="auto"/>
    <w:pitch w:val="default"/>
    <w:sig w:usb0="0000028F" w:usb1="00000000" w:usb2="00000000" w:usb3="00000000" w:csb0="2000009F" w:csb1="47010000"/>
  </w:font>
  <w:font w:name="Lucida Sans Unicode">
    <w:panose1 w:val="020B0602030504020204"/>
    <w:charset w:val="00"/>
    <w:family w:val="auto"/>
    <w:pitch w:val="default"/>
    <w:sig w:usb0="80001AFF" w:usb1="0000396B" w:usb2="00000000" w:usb3="00000000" w:csb0="200000BF" w:csb1="D7F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44439983"/>
      <w:docPartList>
        <w:docPartGallery w:val="Quick Parts"/>
      </w:docPartList>
    </w:sdtPr>
    <w:sdtContent>
      <w:p>
        <w:pPr>
          <w:pStyle w:val="8"/>
          <w:jc w:val="center"/>
        </w:pPr>
        <w:r>
          <w:fldChar w:fldCharType="begin"/>
        </w:r>
        <w:r>
          <w:instrText xml:space="preserve">PAGE   \* MERGEFORMAT</w:instrText>
        </w:r>
        <w:r>
          <w:fldChar w:fldCharType="separate"/>
        </w:r>
        <w:r>
          <w:rPr>
            <w:lang w:val="zh-CN"/>
          </w:rPr>
          <w:t>20</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pPr>
        <w:tabs>
          <w:tab w:val="left" w:pos="0"/>
        </w:tabs>
        <w:ind w:left="0" w:firstLine="0"/>
      </w:pPr>
      <w:rPr>
        <w:rFonts w:hint="eastAsia"/>
      </w:rPr>
    </w:lvl>
  </w:abstractNum>
  <w:abstractNum w:abstractNumId="1">
    <w:nsid w:val="E2FA047D"/>
    <w:multiLevelType w:val="singleLevel"/>
    <w:tmpl w:val="E2FA047D"/>
    <w:lvl w:ilvl="0" w:tentative="0">
      <w:start w:val="3"/>
      <w:numFmt w:val="chineseCounting"/>
      <w:suff w:val="space"/>
      <w:lvlText w:val="第%1部分"/>
      <w:lvlJc w:val="left"/>
      <w:pPr>
        <w:tabs>
          <w:tab w:val="left" w:pos="0"/>
        </w:tabs>
        <w:ind w:left="0" w:firstLine="0"/>
      </w:pPr>
      <w:rPr>
        <w:rFonts w:hint="eastAsia"/>
      </w:rPr>
    </w:lvl>
  </w:abstractNum>
  <w:abstractNum w:abstractNumId="2">
    <w:nsid w:val="EC0BEF30"/>
    <w:multiLevelType w:val="singleLevel"/>
    <w:tmpl w:val="EC0BEF30"/>
    <w:lvl w:ilvl="0" w:tentative="0">
      <w:start w:val="1"/>
      <w:numFmt w:val="chineseCounting"/>
      <w:suff w:val="nothing"/>
      <w:lvlText w:val="（%1）"/>
      <w:lvlJc w:val="left"/>
      <w:pPr>
        <w:tabs>
          <w:tab w:val="left" w:pos="0"/>
        </w:tabs>
        <w:ind w:left="0" w:firstLine="0"/>
      </w:pPr>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tabs>
          <w:tab w:val="left" w:pos="0"/>
        </w:tabs>
        <w:ind w:left="1360" w:hanging="720"/>
      </w:pPr>
      <w:rPr>
        <w:rFonts w:hint="default"/>
        <w:b w:val="0"/>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abstractNum w:abstractNumId="4">
    <w:nsid w:val="1540C536"/>
    <w:multiLevelType w:val="singleLevel"/>
    <w:tmpl w:val="1540C536"/>
    <w:lvl w:ilvl="0" w:tentative="0">
      <w:start w:val="2"/>
      <w:numFmt w:val="chineseCounting"/>
      <w:suff w:val="nothing"/>
      <w:lvlText w:val="（%1）"/>
      <w:lvlJc w:val="left"/>
      <w:rPr>
        <w:rFonts w:hint="eastAsia"/>
      </w:rPr>
    </w:lvl>
  </w:abstractNum>
  <w:abstractNum w:abstractNumId="5">
    <w:nsid w:val="17F426B7"/>
    <w:multiLevelType w:val="multilevel"/>
    <w:tmpl w:val="17F426B7"/>
    <w:lvl w:ilvl="0" w:tentative="0">
      <w:start w:val="10"/>
      <w:numFmt w:val="japaneseCounting"/>
      <w:lvlText w:val="%1、"/>
      <w:lvlJc w:val="left"/>
      <w:pPr>
        <w:tabs>
          <w:tab w:val="left" w:pos="0"/>
        </w:tabs>
        <w:ind w:left="1429" w:hanging="720"/>
      </w:pPr>
      <w:rPr>
        <w:rFonts w:hint="default"/>
      </w:rPr>
    </w:lvl>
    <w:lvl w:ilvl="1" w:tentative="0">
      <w:start w:val="1"/>
      <w:numFmt w:val="lowerLetter"/>
      <w:lvlText w:val="%2)"/>
      <w:lvlJc w:val="left"/>
      <w:pPr>
        <w:tabs>
          <w:tab w:val="left" w:pos="0"/>
        </w:tabs>
        <w:ind w:left="1549" w:hanging="420"/>
      </w:pPr>
    </w:lvl>
    <w:lvl w:ilvl="2" w:tentative="0">
      <w:start w:val="1"/>
      <w:numFmt w:val="lowerRoman"/>
      <w:lvlText w:val="%3."/>
      <w:lvlJc w:val="right"/>
      <w:pPr>
        <w:tabs>
          <w:tab w:val="left" w:pos="0"/>
        </w:tabs>
        <w:ind w:left="1969" w:hanging="420"/>
      </w:pPr>
    </w:lvl>
    <w:lvl w:ilvl="3" w:tentative="0">
      <w:start w:val="1"/>
      <w:numFmt w:val="decimal"/>
      <w:lvlText w:val="%4."/>
      <w:lvlJc w:val="left"/>
      <w:pPr>
        <w:tabs>
          <w:tab w:val="left" w:pos="0"/>
        </w:tabs>
        <w:ind w:left="2389" w:hanging="420"/>
      </w:pPr>
    </w:lvl>
    <w:lvl w:ilvl="4" w:tentative="0">
      <w:start w:val="1"/>
      <w:numFmt w:val="lowerLetter"/>
      <w:lvlText w:val="%5)"/>
      <w:lvlJc w:val="left"/>
      <w:pPr>
        <w:tabs>
          <w:tab w:val="left" w:pos="0"/>
        </w:tabs>
        <w:ind w:left="2809" w:hanging="420"/>
      </w:pPr>
    </w:lvl>
    <w:lvl w:ilvl="5" w:tentative="0">
      <w:start w:val="1"/>
      <w:numFmt w:val="lowerRoman"/>
      <w:lvlText w:val="%6."/>
      <w:lvlJc w:val="right"/>
      <w:pPr>
        <w:tabs>
          <w:tab w:val="left" w:pos="0"/>
        </w:tabs>
        <w:ind w:left="3229" w:hanging="420"/>
      </w:pPr>
    </w:lvl>
    <w:lvl w:ilvl="6" w:tentative="0">
      <w:start w:val="1"/>
      <w:numFmt w:val="decimal"/>
      <w:lvlText w:val="%7."/>
      <w:lvlJc w:val="left"/>
      <w:pPr>
        <w:tabs>
          <w:tab w:val="left" w:pos="0"/>
        </w:tabs>
        <w:ind w:left="3649" w:hanging="420"/>
      </w:pPr>
    </w:lvl>
    <w:lvl w:ilvl="7" w:tentative="0">
      <w:start w:val="1"/>
      <w:numFmt w:val="lowerLetter"/>
      <w:lvlText w:val="%8)"/>
      <w:lvlJc w:val="left"/>
      <w:pPr>
        <w:tabs>
          <w:tab w:val="left" w:pos="0"/>
        </w:tabs>
        <w:ind w:left="4069" w:hanging="420"/>
      </w:pPr>
    </w:lvl>
    <w:lvl w:ilvl="8" w:tentative="0">
      <w:start w:val="1"/>
      <w:numFmt w:val="lowerRoman"/>
      <w:lvlText w:val="%9."/>
      <w:lvlJc w:val="right"/>
      <w:pPr>
        <w:tabs>
          <w:tab w:val="left" w:pos="0"/>
        </w:tabs>
        <w:ind w:left="4489" w:hanging="420"/>
      </w:pPr>
    </w:lvl>
  </w:abstractNum>
  <w:abstractNum w:abstractNumId="6">
    <w:nsid w:val="386D6DF3"/>
    <w:multiLevelType w:val="singleLevel"/>
    <w:tmpl w:val="386D6DF3"/>
    <w:lvl w:ilvl="0" w:tentative="0">
      <w:start w:val="3"/>
      <w:numFmt w:val="decimal"/>
      <w:lvlText w:val="%1."/>
      <w:lvlJc w:val="left"/>
      <w:pPr>
        <w:tabs>
          <w:tab w:val="left" w:pos="0"/>
        </w:tabs>
        <w:ind w:left="0" w:firstLine="0"/>
      </w:pPr>
    </w:lvl>
  </w:abstractNum>
  <w:num w:numId="1">
    <w:abstractNumId w:val="3"/>
  </w:num>
  <w:num w:numId="2">
    <w:abstractNumId w:val="0"/>
  </w:num>
  <w:num w:numId="3">
    <w:abstractNumId w:val="5"/>
  </w:num>
  <w:num w:numId="4">
    <w:abstractNumId w:val="2"/>
  </w:num>
  <w:num w:numId="5">
    <w:abstractNumId w:val="6"/>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2"/>
  </w:compat>
  <w:rsids>
    <w:rsidRoot w:val="0003052F"/>
    <w:rsid w:val="0003052F"/>
    <w:rsid w:val="000A45B3"/>
    <w:rsid w:val="00603A36"/>
    <w:rsid w:val="008B231B"/>
    <w:rsid w:val="00994CB7"/>
    <w:rsid w:val="00DB23F4"/>
    <w:rsid w:val="00F716BF"/>
    <w:rsid w:val="00FE6106"/>
    <w:rsid w:val="029E089A"/>
    <w:rsid w:val="038C42AC"/>
    <w:rsid w:val="03D12267"/>
    <w:rsid w:val="051803CF"/>
    <w:rsid w:val="05CE0646"/>
    <w:rsid w:val="074946D1"/>
    <w:rsid w:val="085A384D"/>
    <w:rsid w:val="086C57DA"/>
    <w:rsid w:val="087A4EC6"/>
    <w:rsid w:val="089242D4"/>
    <w:rsid w:val="08BC7FE1"/>
    <w:rsid w:val="0927598B"/>
    <w:rsid w:val="09C96AE4"/>
    <w:rsid w:val="09FF18E6"/>
    <w:rsid w:val="0B2769D7"/>
    <w:rsid w:val="0E3D2102"/>
    <w:rsid w:val="0EDC67ED"/>
    <w:rsid w:val="0EE2544C"/>
    <w:rsid w:val="10526393"/>
    <w:rsid w:val="113E5395"/>
    <w:rsid w:val="12EF050E"/>
    <w:rsid w:val="134842E3"/>
    <w:rsid w:val="13693AEC"/>
    <w:rsid w:val="148E2EC2"/>
    <w:rsid w:val="15412707"/>
    <w:rsid w:val="156F547B"/>
    <w:rsid w:val="15886789"/>
    <w:rsid w:val="16B20FE8"/>
    <w:rsid w:val="187F10B0"/>
    <w:rsid w:val="18B25C7C"/>
    <w:rsid w:val="19C213B7"/>
    <w:rsid w:val="1A3A03A8"/>
    <w:rsid w:val="1AFD5B29"/>
    <w:rsid w:val="1C2E4E60"/>
    <w:rsid w:val="1D126CBA"/>
    <w:rsid w:val="1FC234AE"/>
    <w:rsid w:val="20C073C2"/>
    <w:rsid w:val="213B2F82"/>
    <w:rsid w:val="2151332C"/>
    <w:rsid w:val="21B53640"/>
    <w:rsid w:val="224C74E9"/>
    <w:rsid w:val="238F7F69"/>
    <w:rsid w:val="25104869"/>
    <w:rsid w:val="25691A42"/>
    <w:rsid w:val="28274267"/>
    <w:rsid w:val="29530F78"/>
    <w:rsid w:val="2AB47EA9"/>
    <w:rsid w:val="2ADB45D8"/>
    <w:rsid w:val="2B1F0E6F"/>
    <w:rsid w:val="2CD269BA"/>
    <w:rsid w:val="2CE96A09"/>
    <w:rsid w:val="2DF21297"/>
    <w:rsid w:val="2F7C0183"/>
    <w:rsid w:val="2FAC5F30"/>
    <w:rsid w:val="356D2B14"/>
    <w:rsid w:val="362754EB"/>
    <w:rsid w:val="37D0427B"/>
    <w:rsid w:val="39742BC3"/>
    <w:rsid w:val="3A59289B"/>
    <w:rsid w:val="3AAE4746"/>
    <w:rsid w:val="3BCD2929"/>
    <w:rsid w:val="3C030455"/>
    <w:rsid w:val="3C924F31"/>
    <w:rsid w:val="3CFD1678"/>
    <w:rsid w:val="3D361A0A"/>
    <w:rsid w:val="3EC106CC"/>
    <w:rsid w:val="3F093AC1"/>
    <w:rsid w:val="3F3D68FE"/>
    <w:rsid w:val="3F6900D8"/>
    <w:rsid w:val="449671BC"/>
    <w:rsid w:val="44A775E8"/>
    <w:rsid w:val="44AE7EEC"/>
    <w:rsid w:val="4526769B"/>
    <w:rsid w:val="467A20F8"/>
    <w:rsid w:val="47B868DA"/>
    <w:rsid w:val="49146302"/>
    <w:rsid w:val="4B9C69FE"/>
    <w:rsid w:val="4C0217C0"/>
    <w:rsid w:val="4C467E53"/>
    <w:rsid w:val="4C7A342C"/>
    <w:rsid w:val="4D665B34"/>
    <w:rsid w:val="4DB75C9F"/>
    <w:rsid w:val="4E68320E"/>
    <w:rsid w:val="4F70497D"/>
    <w:rsid w:val="4F863E99"/>
    <w:rsid w:val="4FB20BE7"/>
    <w:rsid w:val="4FBB0C02"/>
    <w:rsid w:val="501464A2"/>
    <w:rsid w:val="504F6553"/>
    <w:rsid w:val="50DF5468"/>
    <w:rsid w:val="530614C6"/>
    <w:rsid w:val="534731D1"/>
    <w:rsid w:val="54017159"/>
    <w:rsid w:val="541E756E"/>
    <w:rsid w:val="54DD25CC"/>
    <w:rsid w:val="55244B77"/>
    <w:rsid w:val="5533455D"/>
    <w:rsid w:val="55A511B2"/>
    <w:rsid w:val="55F7721A"/>
    <w:rsid w:val="581B68F4"/>
    <w:rsid w:val="59F133F0"/>
    <w:rsid w:val="5AFC6709"/>
    <w:rsid w:val="5B1D69F2"/>
    <w:rsid w:val="5C412E25"/>
    <w:rsid w:val="5C5821C4"/>
    <w:rsid w:val="5CA949CF"/>
    <w:rsid w:val="5DA50F22"/>
    <w:rsid w:val="5FD32A12"/>
    <w:rsid w:val="600E5B1B"/>
    <w:rsid w:val="60211156"/>
    <w:rsid w:val="60BD5F66"/>
    <w:rsid w:val="62BF6234"/>
    <w:rsid w:val="638441C2"/>
    <w:rsid w:val="66C215F7"/>
    <w:rsid w:val="68A12E3E"/>
    <w:rsid w:val="691F0E9C"/>
    <w:rsid w:val="6BC21F2F"/>
    <w:rsid w:val="6D813CB5"/>
    <w:rsid w:val="6E9962CE"/>
    <w:rsid w:val="6E9E4140"/>
    <w:rsid w:val="6EF81D08"/>
    <w:rsid w:val="710976FC"/>
    <w:rsid w:val="71A87E65"/>
    <w:rsid w:val="726D012A"/>
    <w:rsid w:val="73B11FA0"/>
    <w:rsid w:val="73C74AE9"/>
    <w:rsid w:val="744358C1"/>
    <w:rsid w:val="76917FAE"/>
    <w:rsid w:val="77DB457C"/>
    <w:rsid w:val="77E6726D"/>
    <w:rsid w:val="789E66C4"/>
    <w:rsid w:val="793B4ACB"/>
    <w:rsid w:val="7967100B"/>
    <w:rsid w:val="7B0406CC"/>
    <w:rsid w:val="7BA83363"/>
    <w:rsid w:val="7C06572B"/>
    <w:rsid w:val="7DA83500"/>
    <w:rsid w:val="7EEF0826"/>
    <w:rsid w:val="7FFD384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unhideWhenUsed="0" w:uiPriority="0" w:semiHidden="0" w:name="heading 1"/>
    <w:lsdException w:unhideWhenUsed="0" w:uiPriority="0" w:semiHidden="0" w:name="heading 2"/>
    <w:lsdException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6"/>
    <w:uiPriority w:val="0"/>
    <w:pPr>
      <w:keepNext/>
      <w:keepLines/>
      <w:spacing w:before="340" w:after="330" w:line="578" w:lineRule="auto"/>
      <w:outlineLvl w:val="0"/>
    </w:pPr>
    <w:rPr>
      <w:b/>
      <w:bCs/>
      <w:kern w:val="44"/>
      <w:sz w:val="44"/>
      <w:szCs w:val="44"/>
    </w:rPr>
  </w:style>
  <w:style w:type="paragraph" w:styleId="3">
    <w:name w:val="heading 2"/>
    <w:basedOn w:val="1"/>
    <w:next w:val="1"/>
    <w:link w:val="17"/>
    <w:uiPriority w:val="0"/>
    <w:pPr>
      <w:keepNext/>
      <w:keepLines/>
      <w:spacing w:before="260" w:after="260" w:line="415" w:lineRule="auto"/>
      <w:outlineLvl w:val="1"/>
    </w:pPr>
    <w:rPr>
      <w:rFonts w:ascii="Cambria" w:hAnsi="Cambria"/>
      <w:b/>
      <w:bCs/>
      <w:sz w:val="32"/>
      <w:szCs w:val="32"/>
    </w:rPr>
  </w:style>
  <w:style w:type="paragraph" w:styleId="4">
    <w:name w:val="heading 3"/>
    <w:basedOn w:val="1"/>
    <w:next w:val="1"/>
    <w:uiPriority w:val="0"/>
    <w:pPr>
      <w:keepNext/>
      <w:keepLines/>
      <w:spacing w:before="260" w:after="260" w:line="415" w:lineRule="auto"/>
      <w:outlineLvl w:val="2"/>
    </w:pPr>
    <w:rPr>
      <w:b/>
      <w:bCs/>
      <w:sz w:val="32"/>
      <w:szCs w:val="32"/>
    </w:rPr>
  </w:style>
  <w:style w:type="character" w:default="1" w:styleId="13">
    <w:name w:val="Default Paragraph Font"/>
    <w:semiHidden/>
    <w:unhideWhenUsed/>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qFormat/>
    <w:uiPriority w:val="0"/>
    <w:pPr>
      <w:spacing w:beforeLines="30"/>
    </w:pPr>
    <w:rPr>
      <w:rFonts w:ascii="仿宋_GB2312" w:eastAsia="仿宋_GB2312"/>
      <w:kern w:val="0"/>
      <w:sz w:val="30"/>
    </w:rPr>
  </w:style>
  <w:style w:type="paragraph" w:styleId="6">
    <w:name w:val="toc 3"/>
    <w:basedOn w:val="1"/>
    <w:next w:val="1"/>
    <w:qFormat/>
    <w:uiPriority w:val="0"/>
    <w:pPr>
      <w:tabs>
        <w:tab w:val="right" w:leader="dot" w:pos="8296"/>
      </w:tabs>
      <w:ind w:left="400" w:leftChars="400"/>
    </w:pPr>
  </w:style>
  <w:style w:type="paragraph" w:styleId="7">
    <w:name w:val="Balloon Text"/>
    <w:basedOn w:val="1"/>
    <w:qFormat/>
    <w:uiPriority w:val="0"/>
    <w:rPr>
      <w:sz w:val="18"/>
      <w:szCs w:val="18"/>
    </w:rPr>
  </w:style>
  <w:style w:type="paragraph" w:styleId="8">
    <w:name w:val="footer"/>
    <w:basedOn w:val="1"/>
    <w:uiPriority w:val="0"/>
    <w:pPr>
      <w:tabs>
        <w:tab w:val="center" w:pos="4153"/>
        <w:tab w:val="right" w:pos="8306"/>
      </w:tabs>
      <w:snapToGrid w:val="0"/>
      <w:jc w:val="left"/>
    </w:pPr>
    <w:rPr>
      <w:rFonts w:ascii="Calibri" w:hAnsi="Calibri"/>
      <w:kern w:val="0"/>
      <w:sz w:val="18"/>
      <w:szCs w:val="18"/>
    </w:rPr>
  </w:style>
  <w:style w:type="paragraph" w:styleId="9">
    <w:name w:val="header"/>
    <w:basedOn w:val="1"/>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qFormat/>
    <w:uiPriority w:val="0"/>
    <w:pPr>
      <w:tabs>
        <w:tab w:val="right" w:leader="dot" w:pos="8296"/>
      </w:tabs>
      <w:spacing w:before="93"/>
      <w:jc w:val="center"/>
    </w:pPr>
    <w:rPr>
      <w:rFonts w:ascii="仿宋" w:eastAsia="仿宋"/>
      <w:sz w:val="28"/>
      <w:szCs w:val="28"/>
    </w:rPr>
  </w:style>
  <w:style w:type="paragraph" w:styleId="11">
    <w:name w:val="toc 2"/>
    <w:basedOn w:val="1"/>
    <w:next w:val="1"/>
    <w:uiPriority w:val="0"/>
    <w:pPr>
      <w:tabs>
        <w:tab w:val="right" w:leader="dot" w:pos="8296"/>
      </w:tabs>
      <w:ind w:left="200" w:leftChars="200"/>
    </w:pPr>
  </w:style>
  <w:style w:type="character" w:styleId="14">
    <w:name w:val="Strong"/>
    <w:basedOn w:val="13"/>
    <w:uiPriority w:val="0"/>
    <w:rPr>
      <w:b/>
    </w:rPr>
  </w:style>
  <w:style w:type="character" w:styleId="15">
    <w:name w:val="Hyperlink"/>
    <w:basedOn w:val="13"/>
    <w:uiPriority w:val="0"/>
    <w:rPr>
      <w:color w:val="0000FF"/>
      <w:u w:val="single"/>
    </w:rPr>
  </w:style>
  <w:style w:type="character" w:customStyle="1" w:styleId="16">
    <w:name w:val="标题 1 Char"/>
    <w:basedOn w:val="13"/>
    <w:link w:val="2"/>
    <w:qFormat/>
    <w:uiPriority w:val="0"/>
    <w:rPr>
      <w:rFonts w:ascii="Times New Roman" w:hAnsi="Times New Roman" w:eastAsia="宋体" w:cs="Times New Roman"/>
      <w:b/>
      <w:bCs/>
      <w:kern w:val="44"/>
      <w:sz w:val="44"/>
      <w:szCs w:val="44"/>
      <w:lang w:val="en-US" w:eastAsia="zh-CN" w:bidi="ar-SA"/>
    </w:rPr>
  </w:style>
  <w:style w:type="character" w:customStyle="1" w:styleId="17">
    <w:name w:val="标题 2 Char"/>
    <w:basedOn w:val="13"/>
    <w:link w:val="3"/>
    <w:uiPriority w:val="0"/>
    <w:rPr>
      <w:rFonts w:ascii="Cambria" w:hAnsi="Cambria" w:eastAsia="宋体" w:cs="Times New Roman"/>
      <w:b/>
      <w:bCs/>
      <w:kern w:val="2"/>
      <w:sz w:val="32"/>
      <w:szCs w:val="32"/>
      <w:lang w:val="en-US" w:eastAsia="zh-CN" w:bidi="ar-SA"/>
    </w:rPr>
  </w:style>
  <w:style w:type="character" w:customStyle="1" w:styleId="18">
    <w:name w:val="Header Char"/>
    <w:basedOn w:val="13"/>
    <w:uiPriority w:val="0"/>
    <w:rPr>
      <w:rFonts w:ascii="Times New Roman" w:hAnsi="Times New Roman"/>
      <w:sz w:val="18"/>
      <w:szCs w:val="18"/>
    </w:rPr>
  </w:style>
  <w:style w:type="character" w:customStyle="1" w:styleId="19">
    <w:name w:val="Footer Char"/>
    <w:basedOn w:val="13"/>
    <w:qFormat/>
    <w:uiPriority w:val="0"/>
    <w:rPr>
      <w:rFonts w:ascii="Times New Roman" w:hAnsi="Times New Roman"/>
      <w:sz w:val="18"/>
      <w:szCs w:val="18"/>
    </w:rPr>
  </w:style>
  <w:style w:type="character" w:customStyle="1" w:styleId="20">
    <w:name w:val="Body Text Char"/>
    <w:basedOn w:val="13"/>
    <w:qFormat/>
    <w:uiPriority w:val="0"/>
    <w:rPr>
      <w:rFonts w:ascii="Times New Roman" w:hAnsi="Times New Roman"/>
      <w:szCs w:val="24"/>
    </w:rPr>
  </w:style>
  <w:style w:type="paragraph" w:customStyle="1" w:styleId="21">
    <w:name w:val="Default"/>
    <w:qFormat/>
    <w:uiPriority w:val="0"/>
    <w:pPr>
      <w:widowControl w:val="0"/>
      <w:autoSpaceDE w:val="0"/>
      <w:autoSpaceDN w:val="0"/>
      <w:adjustRightInd w:val="0"/>
    </w:pPr>
    <w:rPr>
      <w:rFonts w:ascii="仿宋" w:hAnsi="Times New Roman" w:eastAsia="仿宋" w:cs="仿宋"/>
      <w:color w:val="000000"/>
      <w:sz w:val="24"/>
      <w:szCs w:val="24"/>
      <w:lang w:val="en-US" w:eastAsia="zh-CN" w:bidi="ar-SA"/>
    </w:rPr>
  </w:style>
  <w:style w:type="paragraph" w:styleId="22">
    <w:name w:val="List Paragraph"/>
    <w:basedOn w:val="1"/>
    <w:qFormat/>
    <w:uiPriority w:val="0"/>
    <w:pPr>
      <w:ind w:firstLine="200" w:firstLineChars="200"/>
    </w:pPr>
  </w:style>
  <w:style w:type="paragraph" w:customStyle="1" w:styleId="23">
    <w:name w:val="TOC 标题1"/>
    <w:basedOn w:val="2"/>
    <w:next w:val="1"/>
    <w:qFormat/>
    <w:uiPriority w:val="0"/>
    <w:pPr>
      <w:widowControl/>
      <w:spacing w:before="480" w:after="0" w:line="276" w:lineRule="auto"/>
      <w:jc w:val="left"/>
      <w:outlineLvl w:val="9"/>
    </w:pPr>
    <w:rPr>
      <w:rFonts w:ascii="Cambria" w:hAnsi="Cambria"/>
      <w:color w:val="376092"/>
      <w:kern w:val="0"/>
      <w:sz w:val="28"/>
      <w:szCs w:val="28"/>
    </w:rPr>
  </w:style>
  <w:style w:type="character" w:customStyle="1" w:styleId="24">
    <w:name w:val="NormalCharacter"/>
    <w:semiHidden/>
    <w:qFormat/>
    <w:uiPriority w:val="0"/>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Workbook6.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Workbook7.xlsx"/></Relationships>
</file>

<file path=word/charts/_rels/chart7.xml.rels><?xml version="1.0" encoding="UTF-8" standalone="yes"?>
<Relationships xmlns="http://schemas.openxmlformats.org/package/2006/relationships"><Relationship Id="rId1" Type="http://schemas.openxmlformats.org/officeDocument/2006/relationships/package" Target="../embeddings/Workbook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收、支决算结构图</a:t>
            </a:r>
            <a:endParaRPr lang="zh-CN"/>
          </a:p>
        </c:rich>
      </c:tx>
      <c:layout/>
      <c:overlay val="0"/>
      <c:spPr>
        <a:noFill/>
        <a:ln>
          <a:noFill/>
        </a:ln>
      </c:spPr>
    </c:title>
    <c:autoTitleDeleted val="0"/>
    <c:plotArea>
      <c:layout>
        <c:manualLayout>
          <c:layoutTarget val="inner"/>
          <c:xMode val="edge"/>
          <c:yMode val="edge"/>
          <c:x val="0.0899500000000001"/>
          <c:y val="0.225442207723137"/>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delete val="1"/>
          </c:dLbls>
          <c:cat>
            <c:strRef>
              <c:f>Sheet1!$A$2:$A$3</c:f>
              <c:strCache>
                <c:ptCount val="2"/>
                <c:pt idx="0">
                  <c:v>2019年 </c:v>
                </c:pt>
                <c:pt idx="1">
                  <c:v>2020年</c:v>
                </c:pt>
              </c:strCache>
            </c:strRef>
          </c:cat>
          <c:val>
            <c:numRef>
              <c:f>Sheet1!$B$2:$B$3</c:f>
              <c:numCache>
                <c:formatCode>General</c:formatCode>
                <c:ptCount val="2"/>
                <c:pt idx="0">
                  <c:v>1097.34</c:v>
                </c:pt>
                <c:pt idx="1">
                  <c:v>1336.61</c:v>
                </c:pt>
              </c:numCache>
            </c:numRef>
          </c:val>
        </c:ser>
        <c:ser>
          <c:idx val="1"/>
          <c:order val="1"/>
          <c:tx>
            <c:strRef>
              <c:f>Sheet1!$C$1</c:f>
              <c:strCache>
                <c:ptCount val="1"/>
                <c:pt idx="0">
                  <c:v>总支出</c:v>
                </c:pt>
              </c:strCache>
            </c:strRef>
          </c:tx>
          <c:spPr>
            <a:solidFill>
              <a:srgbClr val="C0504D"/>
            </a:solidFill>
            <a:ln>
              <a:noFill/>
            </a:ln>
          </c:spPr>
          <c:invertIfNegative val="0"/>
          <c:dLbls>
            <c:delete val="1"/>
          </c:dLbls>
          <c:cat>
            <c:strRef>
              <c:f>Sheet1!$A$2:$A$3</c:f>
              <c:strCache>
                <c:ptCount val="2"/>
                <c:pt idx="0">
                  <c:v>2019年 </c:v>
                </c:pt>
                <c:pt idx="1">
                  <c:v>2020年</c:v>
                </c:pt>
              </c:strCache>
            </c:strRef>
          </c:cat>
          <c:val>
            <c:numRef>
              <c:f>Sheet1!$C$2:$C$3</c:f>
              <c:numCache>
                <c:formatCode>General</c:formatCode>
                <c:ptCount val="2"/>
                <c:pt idx="0">
                  <c:v>1102.64</c:v>
                </c:pt>
                <c:pt idx="1">
                  <c:v>1262.03</c:v>
                </c:pt>
              </c:numCache>
            </c:numRef>
          </c:val>
        </c:ser>
        <c:dLbls>
          <c:showLegendKey val="0"/>
          <c:showVal val="0"/>
          <c:showCatName val="0"/>
          <c:showSerName val="0"/>
          <c:showPercent val="0"/>
          <c:showBubbleSize val="0"/>
        </c:dLbls>
        <c:gapWidth val="219"/>
        <c:overlap val="-27"/>
        <c:axId val="49150976"/>
        <c:axId val="99369728"/>
      </c:barChart>
      <c:catAx>
        <c:axId val="49150976"/>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99369728"/>
        <c:crosses val="autoZero"/>
        <c:auto val="1"/>
        <c:lblAlgn val="ctr"/>
        <c:lblOffset val="100"/>
        <c:noMultiLvlLbl val="0"/>
      </c:catAx>
      <c:valAx>
        <c:axId val="99369728"/>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49150976"/>
        <c:crossesAt val="1"/>
        <c:crossBetween val="between"/>
      </c:valAx>
      <c:spPr>
        <a:noFill/>
        <a:ln>
          <a:noFill/>
        </a:ln>
      </c:spPr>
    </c:plotArea>
    <c:legend>
      <c:legendPos val="b"/>
      <c:layout>
        <c:manualLayout>
          <c:xMode val="edge"/>
          <c:yMode val="edge"/>
          <c:x val="0.4013125"/>
          <c:y val="0.884927464961888"/>
        </c:manualLayout>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收入决算结构图</a:t>
            </a:r>
            <a:endParaRPr lang="zh-CN"/>
          </a:p>
        </c:rich>
      </c:tx>
      <c:layout/>
      <c:overlay val="0"/>
      <c:spPr>
        <a:noFill/>
        <a:ln>
          <a:noFill/>
        </a:ln>
      </c:spPr>
    </c:title>
    <c:autoTitleDeleted val="0"/>
    <c:plotArea>
      <c:layout/>
      <c:pieChart>
        <c:varyColors val="1"/>
        <c:ser>
          <c:idx val="0"/>
          <c:order val="0"/>
          <c:tx>
            <c:strRef>
              <c:f>'Sheet1 (2)'!$B$1</c:f>
              <c:strCache>
                <c:ptCount val="1"/>
                <c:pt idx="0">
                  <c:v>收入决算结构图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(2)'!$A$2:$A$3</c:f>
              <c:strCache>
                <c:ptCount val="2"/>
                <c:pt idx="0">
                  <c:v>一般公共预算财政拨款收入</c:v>
                </c:pt>
                <c:pt idx="1">
                  <c:v>其他收入</c:v>
                </c:pt>
              </c:strCache>
            </c:strRef>
          </c:cat>
          <c:val>
            <c:numRef>
              <c:f>'Sheet1 (2)'!$B$2:$B$3</c:f>
              <c:numCache>
                <c:formatCode>General</c:formatCode>
                <c:ptCount val="2"/>
                <c:pt idx="0">
                  <c:v>1198.43</c:v>
                </c:pt>
                <c:pt idx="1">
                  <c:v>138.18</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支出决算结构图</a:t>
            </a:r>
            <a:endParaRPr lang="zh-CN"/>
          </a:p>
        </c:rich>
      </c:tx>
      <c:layout/>
      <c:overlay val="0"/>
      <c:spPr>
        <a:noFill/>
        <a:ln>
          <a:noFill/>
        </a:ln>
      </c:spPr>
    </c:title>
    <c:autoTitleDeleted val="0"/>
    <c:plotArea>
      <c:layout/>
      <c:pieChart>
        <c:varyColors val="1"/>
        <c:ser>
          <c:idx val="0"/>
          <c:order val="0"/>
          <c:tx>
            <c:strRef>
              <c:f>'Sheet1 (3)'!$B$1</c:f>
              <c:strCache>
                <c:ptCount val="1"/>
                <c:pt idx="0">
                  <c:v>支出决算结构图</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0"/>
              <c:layout>
                <c:manualLayout>
                  <c:x val="-0.031990968"/>
                  <c:y val="-0.1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(3)'!$A$2:$A$3</c:f>
              <c:strCache>
                <c:ptCount val="2"/>
                <c:pt idx="0">
                  <c:v>基本支出</c:v>
                </c:pt>
                <c:pt idx="1">
                  <c:v>项目支出</c:v>
                </c:pt>
              </c:strCache>
            </c:strRef>
          </c:cat>
          <c:val>
            <c:numRef>
              <c:f>'Sheet1 (3)'!$B$2:$B$3</c:f>
              <c:numCache>
                <c:formatCode>General</c:formatCode>
                <c:ptCount val="2"/>
                <c:pt idx="0">
                  <c:v>1036.63</c:v>
                </c:pt>
                <c:pt idx="1">
                  <c:v>225.4</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财政拨款收、支决算总计变动情况</a:t>
            </a:r>
            <a:endParaRPr lang="zh-CN"/>
          </a:p>
        </c:rich>
      </c:tx>
      <c:layout/>
      <c:overlay val="0"/>
      <c:spPr>
        <a:noFill/>
        <a:ln>
          <a:noFill/>
        </a:ln>
      </c:spPr>
    </c:title>
    <c:autoTitleDeleted val="0"/>
    <c:plotArea>
      <c:layout/>
      <c:barChart>
        <c:barDir val="col"/>
        <c:grouping val="clustered"/>
        <c:varyColors val="0"/>
        <c:ser>
          <c:idx val="0"/>
          <c:order val="0"/>
          <c:tx>
            <c:strRef>
              <c:f>'Sheet1 (4)'!$A$2</c:f>
              <c:strCache>
                <c:ptCount val="1"/>
                <c:pt idx="0">
                  <c:v>2019年 </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1097.34</c:v>
                </c:pt>
                <c:pt idx="1">
                  <c:v>1102.64</c:v>
                </c:pt>
              </c:numCache>
            </c:numRef>
          </c:val>
        </c:ser>
        <c:ser>
          <c:idx val="1"/>
          <c:order val="1"/>
          <c:tx>
            <c:strRef>
              <c:f>'Sheet1 (4)'!$A$3</c:f>
              <c:strCache>
                <c:ptCount val="1"/>
                <c:pt idx="0">
                  <c:v>2020年</c:v>
                </c:pt>
              </c:strCache>
            </c:strRef>
          </c:tx>
          <c:spPr>
            <a:solidFill>
              <a:srgbClr val="C0504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1198.43</c:v>
                </c:pt>
                <c:pt idx="1">
                  <c:v>1262.03</c:v>
                </c:pt>
              </c:numCache>
            </c:numRef>
          </c:val>
        </c:ser>
        <c:dLbls>
          <c:showLegendKey val="0"/>
          <c:showVal val="1"/>
          <c:showCatName val="0"/>
          <c:showSerName val="0"/>
          <c:showPercent val="0"/>
          <c:showBubbleSize val="0"/>
        </c:dLbls>
        <c:gapWidth val="219"/>
        <c:overlap val="-27"/>
        <c:axId val="49008640"/>
        <c:axId val="49010176"/>
      </c:barChart>
      <c:catAx>
        <c:axId val="4900864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49010176"/>
        <c:crosses val="autoZero"/>
        <c:auto val="1"/>
        <c:lblAlgn val="ctr"/>
        <c:lblOffset val="100"/>
        <c:noMultiLvlLbl val="0"/>
      </c:catAx>
      <c:valAx>
        <c:axId val="49010176"/>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4900864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一般公共预算财政拨款支出决算变动情况</a:t>
            </a:r>
            <a:endParaRPr lang="zh-CN"/>
          </a:p>
        </c:rich>
      </c:tx>
      <c:layout/>
      <c:overlay val="0"/>
      <c:spPr>
        <a:noFill/>
        <a:ln>
          <a:noFill/>
        </a:ln>
      </c:spPr>
    </c:title>
    <c:autoTitleDeleted val="0"/>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ext>
            </c:extLst>
          </c:dLbls>
          <c:cat>
            <c:strRef>
              <c:f>'Sheet1 (5)'!$A$2:$A$3</c:f>
              <c:strCache>
                <c:ptCount val="2"/>
                <c:pt idx="0">
                  <c:v>2019年</c:v>
                </c:pt>
                <c:pt idx="1">
                  <c:v>2020年</c:v>
                </c:pt>
              </c:strCache>
            </c:strRef>
          </c:cat>
          <c:val>
            <c:numRef>
              <c:f>'Sheet1 (5)'!$B$2:$B$3</c:f>
              <c:numCache>
                <c:formatCode>General</c:formatCode>
                <c:ptCount val="2"/>
                <c:pt idx="0">
                  <c:v>1102.64</c:v>
                </c:pt>
                <c:pt idx="1">
                  <c:v>1036.63</c:v>
                </c:pt>
              </c:numCache>
            </c:numRef>
          </c:val>
        </c:ser>
        <c:dLbls>
          <c:showLegendKey val="0"/>
          <c:showVal val="1"/>
          <c:showCatName val="0"/>
          <c:showSerName val="0"/>
          <c:showPercent val="0"/>
          <c:showBubbleSize val="0"/>
        </c:dLbls>
        <c:gapWidth val="219"/>
        <c:overlap val="-27"/>
        <c:axId val="49067520"/>
        <c:axId val="49069056"/>
      </c:barChart>
      <c:catAx>
        <c:axId val="49067520"/>
        <c:scaling>
          <c:orientation val="minMax"/>
        </c:scaling>
        <c:delete val="0"/>
        <c:axPos val="b"/>
        <c:numFmt formatCode="General" sourceLinked="1"/>
        <c:majorTickMark val="none"/>
        <c:minorTickMark val="none"/>
        <c:tickLblPos val="nextTo"/>
        <c:spPr>
          <a:ln w="6350" cap="flat" cmpd="sng" algn="ctr">
            <a:solidFill>
              <a:srgbClr val="D9D9D9"/>
            </a:solid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49069056"/>
        <c:crosses val="autoZero"/>
        <c:auto val="1"/>
        <c:lblAlgn val="ctr"/>
        <c:lblOffset val="100"/>
        <c:noMultiLvlLbl val="0"/>
      </c:catAx>
      <c:valAx>
        <c:axId val="49069056"/>
        <c:scaling>
          <c:orientation val="minMax"/>
          <c:max val="4500"/>
          <c:min val="0"/>
        </c:scaling>
        <c:delete val="0"/>
        <c:axPos val="l"/>
        <c:majorGridlines>
          <c:spPr>
            <a:ln w="6350" cap="flat" cmpd="sng" algn="ctr">
              <a:solidFill>
                <a:srgbClr val="D9D9D9"/>
              </a:solidFill>
              <a:prstDash val="solid"/>
              <a:round/>
            </a:ln>
          </c:spPr>
        </c:majorGridlines>
        <c:numFmt formatCode="General" sourceLinked="1"/>
        <c:majorTickMark val="none"/>
        <c:minorTickMark val="none"/>
        <c:tickLblPos val="nextTo"/>
        <c:spPr>
          <a:ln w="9525" cap="flat" cmpd="sng" algn="ctr">
            <a:noFill/>
            <a:prstDash val="solid"/>
            <a:round/>
          </a:ln>
        </c:spPr>
        <c:txPr>
          <a:bodyPr rot="-6000000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crossAx val="49067520"/>
        <c:crossesAt val="1"/>
        <c:crossBetween val="between"/>
      </c:valAx>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gap"/>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一般公共预算财政拨款支出决算结构</a:t>
            </a:r>
            <a:endParaRPr lang="zh-CN"/>
          </a:p>
        </c:rich>
      </c:tx>
      <c:layout/>
      <c:overlay val="0"/>
      <c:spPr>
        <a:noFill/>
        <a:ln>
          <a:noFill/>
        </a:ln>
      </c:spPr>
    </c:title>
    <c:autoTitleDeleted val="0"/>
    <c:plotArea>
      <c:layout/>
      <c:pieChart>
        <c:varyColors val="1"/>
        <c:ser>
          <c:idx val="0"/>
          <c:order val="0"/>
          <c:tx>
            <c:strRef>
              <c:f>'Sheet1 (6)'!$B$1</c:f>
              <c:strCache>
                <c:ptCount val="1"/>
                <c:pt idx="0">
                  <c:v>一般公共预算财政拨款支出决算结构</c:v>
                </c:pt>
              </c:strCache>
            </c:strRef>
          </c:tx>
          <c:spPr>
            <a:solidFill>
              <a:srgbClr val="4F81BD"/>
            </a:solidFill>
            <a:ln>
              <a:noFill/>
            </a:ln>
          </c:spPr>
          <c:explosion val="0"/>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dLbl>
              <c:idx val="1"/>
              <c:layout>
                <c:manualLayout>
                  <c:x val="-0.020973645"/>
                  <c:y val="0.04419082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(6)'!$A$2:$A$3</c:f>
              <c:strCache>
                <c:ptCount val="2"/>
                <c:pt idx="0">
                  <c:v>人员经费</c:v>
                </c:pt>
                <c:pt idx="1">
                  <c:v>日常公用经费</c:v>
                </c:pt>
              </c:strCache>
            </c:strRef>
          </c:cat>
          <c:val>
            <c:numRef>
              <c:f>'Sheet1 (6)'!$B$2:$B$3</c:f>
              <c:numCache>
                <c:formatCode>General</c:formatCode>
                <c:ptCount val="2"/>
                <c:pt idx="0">
                  <c:v>979.18</c:v>
                </c:pt>
                <c:pt idx="1">
                  <c:v>57.45</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a:defRPr lang="zh-CN" sz="1400" b="0" i="0" u="none" strike="noStrike" kern="1200" baseline="0">
                <a:solidFill>
                  <a:srgbClr val="595959"/>
                </a:solidFill>
                <a:latin typeface="AR PL UKai CN"/>
                <a:ea typeface="AR PL UKai CN"/>
                <a:cs typeface="Lucida Sans" panose="020B0602030504020204"/>
              </a:defRPr>
            </a:pPr>
            <a:r>
              <a:rPr lang="zh-CN"/>
              <a:t>“三公”经费财政拨款支出结构</a:t>
            </a:r>
            <a:endParaRPr lang="zh-CN"/>
          </a:p>
        </c:rich>
      </c:tx>
      <c:layout/>
      <c:overlay val="0"/>
      <c:spPr>
        <a:noFill/>
        <a:ln>
          <a:noFill/>
        </a:ln>
      </c:spPr>
    </c:title>
    <c:autoTitleDeleted val="0"/>
    <c:plotArea>
      <c:layout/>
      <c:pieChart>
        <c:varyColors val="1"/>
        <c:ser>
          <c:idx val="0"/>
          <c:order val="0"/>
          <c:tx>
            <c:strRef>
              <c:f>'Sheet1 (7)'!$B$1</c:f>
              <c:strCache>
                <c:ptCount val="1"/>
                <c:pt idx="0">
                  <c:v>“三公”经费财政拨款支出结构</c:v>
                </c:pt>
              </c:strCache>
            </c:strRef>
          </c:tx>
          <c:spPr>
            <a:solidFill>
              <a:srgbClr val="4F81BD"/>
            </a:solidFill>
            <a:ln>
              <a:noFill/>
            </a:ln>
          </c:spPr>
          <c:explosion val="0"/>
          <c:dPt>
            <c:idx val="0"/>
            <c:bubble3D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9BBB59"/>
              </a:solidFill>
              <a:ln w="19050">
                <a:solidFill>
                  <a:srgbClr val="FFFFFF"/>
                </a:solidFill>
                <a:prstDash val="solid"/>
              </a:ln>
            </c:spPr>
          </c:dPt>
          <c:dLbls>
            <c:dLbl>
              <c:idx val="2"/>
              <c:layout>
                <c:manualLayout>
                  <c:x val="-0.07035216"/>
                  <c:y val="0.0052022664"/>
                </c:manualLayout>
              </c:layout>
              <c:dLblPos val="bestFit"/>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solidFill>
                    <a:latin typeface="AR PL UKai CN"/>
                    <a:ea typeface="AR PL UKai CN"/>
                    <a:cs typeface="Lucida Sans" panose="020B0602030504020204"/>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ext>
            </c:extLst>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c:v>
                </c:pt>
                <c:pt idx="1">
                  <c:v>42.68</c:v>
                </c:pt>
                <c:pt idx="2">
                  <c:v>0.4</c:v>
                </c:pt>
              </c:numCache>
            </c:numRef>
          </c:val>
        </c:ser>
        <c:dLbls>
          <c:showLegendKey val="0"/>
          <c:showVal val="1"/>
          <c:showCatName val="0"/>
          <c:showSerName val="0"/>
          <c:showPercent val="0"/>
          <c:showBubbleSize val="0"/>
          <c:showLeaderLines val="1"/>
        </c:dLbls>
        <c:firstSliceAng val="0"/>
      </c:pieChart>
      <c:spPr>
        <a:noFill/>
        <a:ln>
          <a:noFill/>
        </a:ln>
      </c:spPr>
    </c:plotArea>
    <c:legend>
      <c:legendPos val="b"/>
      <c:layout/>
      <c:overlay val="0"/>
      <c:spPr>
        <a:noFill/>
        <a:ln>
          <a:noFill/>
        </a:ln>
      </c:spPr>
      <c:txPr>
        <a:bodyPr rot="0" spcFirstLastPara="0" vertOverflow="ellipsis" vert="horz" wrap="square" anchor="ctr" anchorCtr="1"/>
        <a:lstStyle/>
        <a:p>
          <a:pPr>
            <a:defRPr lang="zh-CN" sz="900" b="0" i="0" u="none" strike="noStrike" kern="1200" baseline="0">
              <a:solidFill>
                <a:srgbClr val="595959"/>
              </a:solidFill>
              <a:latin typeface="AR PL UKai CN"/>
              <a:ea typeface="AR PL UKai CN"/>
              <a:cs typeface="Lucida Sans" panose="020B0602030504020204"/>
            </a:defRPr>
          </a:pPr>
        </a:p>
      </c:txPr>
    </c:legend>
    <c:plotVisOnly val="1"/>
    <c:dispBlanksAs val="zero"/>
    <c:showDLblsOverMax val="0"/>
  </c:chart>
  <c:spPr>
    <a:solidFill>
      <a:srgbClr val="FFFFFF"/>
    </a:solidFill>
    <a:ln w="6350" cap="flat" cmpd="sng" algn="ctr">
      <a:solidFill>
        <a:srgbClr val="D9D9D9"/>
      </a:solidFill>
      <a:prstDash val="solid"/>
      <a:round/>
    </a:ln>
  </c:spPr>
  <c:txPr>
    <a:bodyPr/>
    <a:lstStyle/>
    <a:p>
      <a:pPr>
        <a:defRPr lang="zh-CN" sz="1000" b="0" i="0" u="none" strike="noStrike" baseline="0">
          <a:solidFill>
            <a:srgbClr val="000000"/>
          </a:solidFill>
          <a:latin typeface="AR PL UKai CN"/>
          <a:ea typeface="AR PL UKai CN"/>
          <a:cs typeface="Lucida Sans" panose="020B0602030504020204"/>
        </a:defRPr>
      </a:pPr>
    </a:p>
  </c:txPr>
  <c:externalData r:id="rId1">
    <c:autoUpdate val="0"/>
  </c:externalData>
</c:chartSpac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31</Pages>
  <Words>2056</Words>
  <Characters>11725</Characters>
  <Lines>97</Lines>
  <Paragraphs>27</Paragraphs>
  <TotalTime>20</TotalTime>
  <ScaleCrop>false</ScaleCrop>
  <LinksUpToDate>false</LinksUpToDate>
  <CharactersWithSpaces>13754</CharactersWithSpaces>
  <Application>WPS Office_11.1.0.10938_F1E327BC-269C-435d-A152-05C5408002CA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平淡无奇</cp:lastModifiedBy>
  <cp:lastPrinted>2021-09-15T08:43:00Z</cp:lastPrinted>
  <dcterms:modified xsi:type="dcterms:W3CDTF">2021-09-27T08:54:44Z</dcterms:modified>
  <dc:title>四川省***</dc:title>
  <cp:revision>27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7446358C982B43FBBF5486ACE152A102</vt:lpwstr>
  </property>
</Properties>
</file>