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widowControl/>
        <w:ind w:right="75"/>
        <w:jc w:val="both"/>
        <w:rPr>
          <w:rFonts w:ascii="黑体" w:hAnsi="黑体" w:eastAsia="黑体" w:cs="黑体"/>
          <w:sz w:val="72"/>
          <w:szCs w:val="72"/>
          <w:shd w:val="clear" w:color="auto" w:fill="FFFFFF"/>
        </w:rPr>
      </w:pPr>
    </w:p>
    <w:p>
      <w:pPr>
        <w:pStyle w:val="9"/>
        <w:widowControl/>
        <w:ind w:right="75"/>
        <w:jc w:val="center"/>
        <w:rPr>
          <w:rFonts w:ascii="黑体" w:hAnsi="黑体" w:eastAsia="黑体" w:cs="黑体"/>
          <w:sz w:val="72"/>
          <w:szCs w:val="72"/>
        </w:rPr>
      </w:pPr>
      <w:r>
        <w:rPr>
          <w:rFonts w:hint="eastAsia" w:ascii="黑体" w:hAnsi="黑体" w:eastAsia="黑体" w:cs="黑体"/>
          <w:sz w:val="72"/>
          <w:szCs w:val="72"/>
          <w:shd w:val="clear" w:color="auto" w:fill="FFFFFF"/>
        </w:rPr>
        <w:t>2021年度</w:t>
      </w:r>
    </w:p>
    <w:p>
      <w:pPr>
        <w:pStyle w:val="9"/>
        <w:widowControl/>
        <w:ind w:right="75"/>
        <w:jc w:val="center"/>
        <w:rPr>
          <w:rFonts w:ascii="黑体" w:hAnsi="黑体" w:eastAsia="黑体" w:cs="黑体"/>
          <w:sz w:val="72"/>
          <w:szCs w:val="72"/>
          <w:shd w:val="clear" w:color="auto" w:fill="FFFFFF"/>
        </w:rPr>
      </w:pPr>
      <w:r>
        <w:rPr>
          <w:rFonts w:hint="eastAsia" w:ascii="黑体" w:hAnsi="黑体" w:eastAsia="黑体" w:cs="黑体"/>
          <w:sz w:val="72"/>
          <w:szCs w:val="72"/>
          <w:shd w:val="clear" w:color="auto" w:fill="FFFFFF"/>
        </w:rPr>
        <w:t>金川县公安局部门</w:t>
      </w:r>
    </w:p>
    <w:p>
      <w:pPr>
        <w:pStyle w:val="9"/>
        <w:widowControl/>
        <w:ind w:right="75"/>
        <w:jc w:val="center"/>
        <w:rPr>
          <w:rFonts w:ascii="黑体" w:hAnsi="黑体" w:eastAsia="黑体" w:cs="黑体"/>
          <w:sz w:val="72"/>
          <w:szCs w:val="72"/>
        </w:rPr>
      </w:pPr>
      <w:r>
        <w:rPr>
          <w:rFonts w:hint="eastAsia" w:ascii="黑体" w:hAnsi="黑体" w:eastAsia="黑体" w:cs="黑体"/>
          <w:sz w:val="72"/>
          <w:szCs w:val="72"/>
          <w:shd w:val="clear" w:color="auto" w:fill="FFFFFF"/>
        </w:rPr>
        <w:t>决算公开</w:t>
      </w:r>
    </w:p>
    <w:p>
      <w:pPr>
        <w:pStyle w:val="9"/>
        <w:widowControl/>
        <w:ind w:right="75"/>
        <w:jc w:val="center"/>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p>
    <w:p>
      <w:pPr>
        <w:pStyle w:val="9"/>
        <w:widowControl/>
        <w:ind w:right="75"/>
        <w:jc w:val="center"/>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p>
    <w:p>
      <w:pPr>
        <w:pStyle w:val="9"/>
        <w:widowControl/>
        <w:ind w:right="75"/>
        <w:jc w:val="center"/>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p>
    <w:p>
      <w:pPr>
        <w:pStyle w:val="9"/>
        <w:widowControl/>
        <w:ind w:right="75"/>
        <w:jc w:val="center"/>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p>
    <w:p>
      <w:pPr>
        <w:pStyle w:val="9"/>
        <w:widowControl/>
        <w:ind w:right="75"/>
        <w:jc w:val="center"/>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p>
    <w:p>
      <w:pPr>
        <w:pStyle w:val="9"/>
        <w:widowControl/>
        <w:ind w:right="75"/>
        <w:jc w:val="center"/>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p>
    <w:p>
      <w:pPr>
        <w:pStyle w:val="9"/>
        <w:widowControl/>
        <w:ind w:right="75"/>
        <w:jc w:val="center"/>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p>
    <w:p>
      <w:pPr>
        <w:pStyle w:val="9"/>
        <w:widowControl/>
        <w:ind w:right="75"/>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p>
    <w:p>
      <w:pPr>
        <w:pStyle w:val="9"/>
        <w:widowControl/>
        <w:ind w:right="75"/>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p>
    <w:p>
      <w:pPr>
        <w:pStyle w:val="9"/>
        <w:widowControl/>
        <w:ind w:right="75"/>
        <w:jc w:val="center"/>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p>
    <w:p>
      <w:pPr>
        <w:pStyle w:val="9"/>
        <w:widowControl/>
        <w:ind w:right="75"/>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p>
    <w:sdt>
      <w:sdtPr>
        <w:rPr>
          <w:rFonts w:ascii="宋体" w:hAnsi="宋体" w:eastAsia="宋体"/>
        </w:rPr>
        <w:id w:val="147465383"/>
        <w:docPartObj>
          <w:docPartGallery w:val="Table of Contents"/>
          <w:docPartUnique/>
        </w:docPartObj>
      </w:sdtPr>
      <w:sdtEndPr>
        <w:rPr>
          <w:rFonts w:hint="eastAsia" w:ascii="仿宋_GB2312" w:hAnsi="仿宋_GB2312" w:eastAsia="仿宋_GB2312" w:cs="仿宋_GB2312"/>
          <w:kern w:val="0"/>
          <w:sz w:val="24"/>
          <w:szCs w:val="32"/>
          <w:shd w:val="clear" w:color="auto" w:fill="FFFFFF"/>
        </w:rPr>
      </w:sdtEndPr>
      <w:sdtContent>
        <w:p>
          <w:pPr>
            <w:jc w:val="center"/>
          </w:pPr>
          <w:r>
            <w:rPr>
              <w:rFonts w:ascii="宋体" w:hAnsi="宋体" w:eastAsia="宋体"/>
            </w:rPr>
            <w:t>目录</w:t>
          </w:r>
        </w:p>
        <w:p>
          <w:pPr>
            <w:pStyle w:val="7"/>
            <w:tabs>
              <w:tab w:val="right" w:leader="dot" w:pos="8306"/>
            </w:tabs>
          </w:pP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TOC \o "1-3" \h \u </w:instrText>
          </w:r>
          <w:r>
            <w:rPr>
              <w:rFonts w:hint="eastAsia" w:ascii="仿宋_GB2312" w:hAnsi="仿宋_GB2312" w:eastAsia="仿宋_GB2312" w:cs="仿宋_GB2312"/>
              <w:sz w:val="32"/>
              <w:szCs w:val="32"/>
              <w:shd w:val="clear" w:color="auto" w:fill="FFFFFF"/>
            </w:rPr>
            <w:fldChar w:fldCharType="separate"/>
          </w:r>
          <w:r>
            <w:fldChar w:fldCharType="begin"/>
          </w:r>
          <w:r>
            <w:instrText xml:space="preserve"> HYPERLINK \l "_Toc22535" </w:instrText>
          </w:r>
          <w:r>
            <w:fldChar w:fldCharType="separate"/>
          </w:r>
          <w:r>
            <w:rPr>
              <w:rFonts w:hint="eastAsia" w:ascii="黑体" w:hAnsi="黑体" w:eastAsia="黑体" w:cs="黑体"/>
              <w:szCs w:val="44"/>
              <w:shd w:val="clear" w:color="auto" w:fill="FFFFFF"/>
            </w:rPr>
            <w:t>第一部分 部门概况</w:t>
          </w:r>
          <w:r>
            <w:tab/>
          </w:r>
          <w:r>
            <w:fldChar w:fldCharType="begin"/>
          </w:r>
          <w:r>
            <w:instrText xml:space="preserve"> PAGEREF _Toc22535 </w:instrText>
          </w:r>
          <w:r>
            <w:fldChar w:fldCharType="separate"/>
          </w:r>
          <w:r>
            <w:t>3</w:t>
          </w:r>
          <w:r>
            <w:fldChar w:fldCharType="end"/>
          </w:r>
          <w:r>
            <w:fldChar w:fldCharType="end"/>
          </w:r>
        </w:p>
        <w:p>
          <w:pPr>
            <w:pStyle w:val="8"/>
            <w:tabs>
              <w:tab w:val="right" w:leader="dot" w:pos="8306"/>
            </w:tabs>
          </w:pPr>
          <w:r>
            <w:fldChar w:fldCharType="begin"/>
          </w:r>
          <w:r>
            <w:instrText xml:space="preserve"> HYPERLINK \l "_Toc6082" </w:instrText>
          </w:r>
          <w:r>
            <w:fldChar w:fldCharType="separate"/>
          </w:r>
          <w:r>
            <w:rPr>
              <w:rFonts w:hint="eastAsia" w:ascii="仿宋_GB2312" w:hAnsi="仿宋_GB2312" w:eastAsia="仿宋_GB2312" w:cs="仿宋_GB2312"/>
              <w:szCs w:val="32"/>
              <w:shd w:val="clear" w:color="auto" w:fill="FFFFFF"/>
            </w:rPr>
            <w:t>一、基本职能及主要工作</w:t>
          </w:r>
          <w:r>
            <w:tab/>
          </w:r>
          <w:r>
            <w:fldChar w:fldCharType="begin"/>
          </w:r>
          <w:r>
            <w:instrText xml:space="preserve"> PAGEREF _Toc6082 </w:instrText>
          </w:r>
          <w:r>
            <w:fldChar w:fldCharType="separate"/>
          </w:r>
          <w:r>
            <w:t>3</w:t>
          </w:r>
          <w:r>
            <w:fldChar w:fldCharType="end"/>
          </w:r>
          <w:r>
            <w:fldChar w:fldCharType="end"/>
          </w:r>
        </w:p>
        <w:p>
          <w:pPr>
            <w:pStyle w:val="8"/>
            <w:tabs>
              <w:tab w:val="right" w:leader="dot" w:pos="8306"/>
            </w:tabs>
          </w:pPr>
          <w:r>
            <w:fldChar w:fldCharType="begin"/>
          </w:r>
          <w:r>
            <w:instrText xml:space="preserve"> HYPERLINK \l "_Toc14458" </w:instrText>
          </w:r>
          <w:r>
            <w:fldChar w:fldCharType="separate"/>
          </w:r>
          <w:r>
            <w:rPr>
              <w:rFonts w:hint="eastAsia" w:ascii="仿宋_GB2312" w:hAnsi="仿宋_GB2312" w:eastAsia="仿宋_GB2312" w:cs="仿宋_GB2312"/>
              <w:szCs w:val="32"/>
              <w:shd w:val="clear" w:color="auto" w:fill="FFFFFF"/>
            </w:rPr>
            <w:t>二、机构设置</w:t>
          </w:r>
          <w:r>
            <w:tab/>
          </w:r>
          <w:r>
            <w:fldChar w:fldCharType="begin"/>
          </w:r>
          <w:r>
            <w:instrText xml:space="preserve"> PAGEREF _Toc14458 </w:instrText>
          </w:r>
          <w:r>
            <w:fldChar w:fldCharType="separate"/>
          </w:r>
          <w:r>
            <w:t>4</w:t>
          </w:r>
          <w:r>
            <w:fldChar w:fldCharType="end"/>
          </w:r>
          <w:r>
            <w:fldChar w:fldCharType="end"/>
          </w:r>
        </w:p>
        <w:p>
          <w:pPr>
            <w:pStyle w:val="7"/>
            <w:tabs>
              <w:tab w:val="right" w:leader="dot" w:pos="8306"/>
            </w:tabs>
          </w:pPr>
          <w:r>
            <w:fldChar w:fldCharType="begin"/>
          </w:r>
          <w:r>
            <w:instrText xml:space="preserve"> HYPERLINK \l "_Toc8137" </w:instrText>
          </w:r>
          <w:r>
            <w:fldChar w:fldCharType="separate"/>
          </w:r>
          <w:r>
            <w:rPr>
              <w:rFonts w:hint="eastAsia" w:ascii="黑体" w:hAnsi="黑体" w:eastAsia="黑体" w:cs="黑体"/>
              <w:szCs w:val="32"/>
              <w:shd w:val="clear" w:color="auto" w:fill="FFFFFF"/>
            </w:rPr>
            <w:t>第二部分 2021年度部门决算情况说明</w:t>
          </w:r>
          <w:r>
            <w:tab/>
          </w:r>
          <w:r>
            <w:fldChar w:fldCharType="begin"/>
          </w:r>
          <w:r>
            <w:instrText xml:space="preserve"> PAGEREF _Toc8137 </w:instrText>
          </w:r>
          <w:r>
            <w:fldChar w:fldCharType="separate"/>
          </w:r>
          <w:r>
            <w:t>5</w:t>
          </w:r>
          <w:r>
            <w:fldChar w:fldCharType="end"/>
          </w:r>
          <w:r>
            <w:fldChar w:fldCharType="end"/>
          </w:r>
        </w:p>
        <w:p>
          <w:pPr>
            <w:pStyle w:val="8"/>
            <w:tabs>
              <w:tab w:val="right" w:leader="dot" w:pos="8306"/>
            </w:tabs>
          </w:pPr>
          <w:r>
            <w:fldChar w:fldCharType="begin"/>
          </w:r>
          <w:r>
            <w:instrText xml:space="preserve"> HYPERLINK \l "_Toc4585" </w:instrText>
          </w:r>
          <w:r>
            <w:fldChar w:fldCharType="separate"/>
          </w:r>
          <w:r>
            <w:rPr>
              <w:rFonts w:hint="eastAsia" w:ascii="仿宋_GB2312" w:hAnsi="仿宋_GB2312" w:eastAsia="仿宋_GB2312" w:cs="仿宋_GB2312"/>
              <w:szCs w:val="32"/>
              <w:shd w:val="clear" w:color="auto" w:fill="FFFFFF"/>
            </w:rPr>
            <w:t>一、收入支出决算总表</w:t>
          </w:r>
          <w:r>
            <w:tab/>
          </w:r>
          <w:r>
            <w:fldChar w:fldCharType="begin"/>
          </w:r>
          <w:r>
            <w:instrText xml:space="preserve"> PAGEREF _Toc4585 </w:instrText>
          </w:r>
          <w:r>
            <w:fldChar w:fldCharType="separate"/>
          </w:r>
          <w:r>
            <w:t>24</w:t>
          </w:r>
          <w:r>
            <w:fldChar w:fldCharType="end"/>
          </w:r>
          <w:r>
            <w:fldChar w:fldCharType="end"/>
          </w:r>
        </w:p>
        <w:p>
          <w:pPr>
            <w:pStyle w:val="8"/>
            <w:tabs>
              <w:tab w:val="right" w:leader="dot" w:pos="8306"/>
            </w:tabs>
          </w:pPr>
          <w:r>
            <w:fldChar w:fldCharType="begin"/>
          </w:r>
          <w:r>
            <w:instrText xml:space="preserve"> HYPERLINK \l "_Toc30226" </w:instrText>
          </w:r>
          <w:r>
            <w:fldChar w:fldCharType="separate"/>
          </w:r>
          <w:r>
            <w:rPr>
              <w:rFonts w:hint="eastAsia" w:ascii="仿宋_GB2312" w:hAnsi="仿宋_GB2312" w:eastAsia="仿宋_GB2312" w:cs="仿宋_GB2312"/>
              <w:szCs w:val="32"/>
              <w:shd w:val="clear" w:color="auto" w:fill="FFFFFF"/>
            </w:rPr>
            <w:t>二、收入决算表</w:t>
          </w:r>
          <w:r>
            <w:tab/>
          </w:r>
          <w:r>
            <w:fldChar w:fldCharType="begin"/>
          </w:r>
          <w:r>
            <w:instrText xml:space="preserve"> PAGEREF _Toc30226 </w:instrText>
          </w:r>
          <w:r>
            <w:fldChar w:fldCharType="separate"/>
          </w:r>
          <w:r>
            <w:t>24</w:t>
          </w:r>
          <w:r>
            <w:fldChar w:fldCharType="end"/>
          </w:r>
          <w:r>
            <w:fldChar w:fldCharType="end"/>
          </w:r>
        </w:p>
        <w:p>
          <w:pPr>
            <w:pStyle w:val="8"/>
            <w:tabs>
              <w:tab w:val="right" w:leader="dot" w:pos="8306"/>
            </w:tabs>
          </w:pPr>
          <w:r>
            <w:fldChar w:fldCharType="begin"/>
          </w:r>
          <w:r>
            <w:instrText xml:space="preserve"> HYPERLINK \l "_Toc16876" </w:instrText>
          </w:r>
          <w:r>
            <w:fldChar w:fldCharType="separate"/>
          </w:r>
          <w:r>
            <w:rPr>
              <w:rFonts w:hint="eastAsia" w:ascii="仿宋_GB2312" w:hAnsi="仿宋_GB2312" w:eastAsia="仿宋_GB2312" w:cs="仿宋_GB2312"/>
              <w:szCs w:val="32"/>
              <w:shd w:val="clear" w:color="auto" w:fill="FFFFFF"/>
            </w:rPr>
            <w:t>三、支出决算表</w:t>
          </w:r>
          <w:r>
            <w:tab/>
          </w:r>
          <w:r>
            <w:fldChar w:fldCharType="begin"/>
          </w:r>
          <w:r>
            <w:instrText xml:space="preserve"> PAGEREF _Toc16876 </w:instrText>
          </w:r>
          <w:r>
            <w:fldChar w:fldCharType="separate"/>
          </w:r>
          <w:r>
            <w:t>24</w:t>
          </w:r>
          <w:r>
            <w:fldChar w:fldCharType="end"/>
          </w:r>
          <w:r>
            <w:fldChar w:fldCharType="end"/>
          </w:r>
        </w:p>
        <w:p>
          <w:pPr>
            <w:pStyle w:val="8"/>
            <w:tabs>
              <w:tab w:val="right" w:leader="dot" w:pos="8306"/>
            </w:tabs>
          </w:pPr>
          <w:r>
            <w:fldChar w:fldCharType="begin"/>
          </w:r>
          <w:r>
            <w:instrText xml:space="preserve"> HYPERLINK \l "_Toc15760" </w:instrText>
          </w:r>
          <w:r>
            <w:fldChar w:fldCharType="separate"/>
          </w:r>
          <w:r>
            <w:rPr>
              <w:rFonts w:hint="eastAsia" w:ascii="仿宋_GB2312" w:hAnsi="仿宋_GB2312" w:eastAsia="仿宋_GB2312" w:cs="仿宋_GB2312"/>
              <w:szCs w:val="32"/>
              <w:shd w:val="clear" w:color="auto" w:fill="FFFFFF"/>
            </w:rPr>
            <w:t>四、财政拨款收入支出决算总表</w:t>
          </w:r>
          <w:r>
            <w:tab/>
          </w:r>
          <w:r>
            <w:fldChar w:fldCharType="begin"/>
          </w:r>
          <w:r>
            <w:instrText xml:space="preserve"> PAGEREF _Toc15760 </w:instrText>
          </w:r>
          <w:r>
            <w:fldChar w:fldCharType="separate"/>
          </w:r>
          <w:r>
            <w:t>24</w:t>
          </w:r>
          <w:r>
            <w:fldChar w:fldCharType="end"/>
          </w:r>
          <w:r>
            <w:fldChar w:fldCharType="end"/>
          </w:r>
        </w:p>
        <w:p>
          <w:pPr>
            <w:pStyle w:val="8"/>
            <w:tabs>
              <w:tab w:val="right" w:leader="dot" w:pos="8306"/>
            </w:tabs>
          </w:pPr>
          <w:r>
            <w:fldChar w:fldCharType="begin"/>
          </w:r>
          <w:r>
            <w:instrText xml:space="preserve"> HYPERLINK \l "_Toc5244" </w:instrText>
          </w:r>
          <w:r>
            <w:fldChar w:fldCharType="separate"/>
          </w:r>
          <w:r>
            <w:rPr>
              <w:rFonts w:hint="eastAsia" w:ascii="仿宋_GB2312" w:hAnsi="仿宋_GB2312" w:eastAsia="仿宋_GB2312" w:cs="仿宋_GB2312"/>
              <w:szCs w:val="32"/>
              <w:shd w:val="clear" w:color="auto" w:fill="FFFFFF"/>
            </w:rPr>
            <w:t>五、财政拨款支出决算明细表</w:t>
          </w:r>
          <w:r>
            <w:tab/>
          </w:r>
          <w:r>
            <w:fldChar w:fldCharType="begin"/>
          </w:r>
          <w:r>
            <w:instrText xml:space="preserve"> PAGEREF _Toc5244 </w:instrText>
          </w:r>
          <w:r>
            <w:fldChar w:fldCharType="separate"/>
          </w:r>
          <w:r>
            <w:t>24</w:t>
          </w:r>
          <w:r>
            <w:fldChar w:fldCharType="end"/>
          </w:r>
          <w:r>
            <w:fldChar w:fldCharType="end"/>
          </w:r>
        </w:p>
        <w:p>
          <w:pPr>
            <w:pStyle w:val="8"/>
            <w:tabs>
              <w:tab w:val="right" w:leader="dot" w:pos="8306"/>
            </w:tabs>
          </w:pPr>
          <w:r>
            <w:fldChar w:fldCharType="begin"/>
          </w:r>
          <w:r>
            <w:instrText xml:space="preserve"> HYPERLINK \l "_Toc15330" </w:instrText>
          </w:r>
          <w:r>
            <w:fldChar w:fldCharType="separate"/>
          </w:r>
          <w:r>
            <w:rPr>
              <w:rFonts w:hint="eastAsia" w:ascii="仿宋_GB2312" w:hAnsi="仿宋_GB2312" w:eastAsia="仿宋_GB2312" w:cs="仿宋_GB2312"/>
              <w:szCs w:val="32"/>
              <w:shd w:val="clear" w:color="auto" w:fill="FFFFFF"/>
            </w:rPr>
            <w:t>六、一般公共预算财政拨款支出决算表</w:t>
          </w:r>
          <w:r>
            <w:tab/>
          </w:r>
          <w:r>
            <w:fldChar w:fldCharType="begin"/>
          </w:r>
          <w:r>
            <w:instrText xml:space="preserve"> PAGEREF _Toc15330 </w:instrText>
          </w:r>
          <w:r>
            <w:fldChar w:fldCharType="separate"/>
          </w:r>
          <w:r>
            <w:t>24</w:t>
          </w:r>
          <w:r>
            <w:fldChar w:fldCharType="end"/>
          </w:r>
          <w:r>
            <w:fldChar w:fldCharType="end"/>
          </w:r>
        </w:p>
        <w:p>
          <w:pPr>
            <w:pStyle w:val="8"/>
            <w:tabs>
              <w:tab w:val="right" w:leader="dot" w:pos="8306"/>
            </w:tabs>
          </w:pPr>
          <w:r>
            <w:fldChar w:fldCharType="begin"/>
          </w:r>
          <w:r>
            <w:instrText xml:space="preserve"> HYPERLINK \l "_Toc25629" </w:instrText>
          </w:r>
          <w:r>
            <w:fldChar w:fldCharType="separate"/>
          </w:r>
          <w:r>
            <w:rPr>
              <w:rFonts w:hint="eastAsia" w:ascii="仿宋_GB2312" w:hAnsi="仿宋_GB2312" w:eastAsia="仿宋_GB2312" w:cs="仿宋_GB2312"/>
              <w:szCs w:val="32"/>
              <w:shd w:val="clear" w:color="auto" w:fill="FFFFFF"/>
            </w:rPr>
            <w:t>七、一般公共预算财政拨款支出决算明细表</w:t>
          </w:r>
          <w:r>
            <w:tab/>
          </w:r>
          <w:r>
            <w:fldChar w:fldCharType="begin"/>
          </w:r>
          <w:r>
            <w:instrText xml:space="preserve"> PAGEREF _Toc25629 </w:instrText>
          </w:r>
          <w:r>
            <w:fldChar w:fldCharType="separate"/>
          </w:r>
          <w:r>
            <w:t>24</w:t>
          </w:r>
          <w:r>
            <w:fldChar w:fldCharType="end"/>
          </w:r>
          <w:r>
            <w:fldChar w:fldCharType="end"/>
          </w:r>
        </w:p>
        <w:p>
          <w:pPr>
            <w:pStyle w:val="8"/>
            <w:tabs>
              <w:tab w:val="right" w:leader="dot" w:pos="8306"/>
            </w:tabs>
          </w:pPr>
          <w:r>
            <w:fldChar w:fldCharType="begin"/>
          </w:r>
          <w:r>
            <w:instrText xml:space="preserve"> HYPERLINK \l "_Toc26456" </w:instrText>
          </w:r>
          <w:r>
            <w:fldChar w:fldCharType="separate"/>
          </w:r>
          <w:r>
            <w:rPr>
              <w:rFonts w:hint="eastAsia" w:ascii="仿宋_GB2312" w:hAnsi="仿宋_GB2312" w:eastAsia="仿宋_GB2312" w:cs="仿宋_GB2312"/>
              <w:szCs w:val="32"/>
              <w:shd w:val="clear" w:color="auto" w:fill="FFFFFF"/>
            </w:rPr>
            <w:t>八、一般公共预算财政拨款基本支出决算表</w:t>
          </w:r>
          <w:r>
            <w:tab/>
          </w:r>
          <w:r>
            <w:fldChar w:fldCharType="begin"/>
          </w:r>
          <w:r>
            <w:instrText xml:space="preserve"> PAGEREF _Toc26456 </w:instrText>
          </w:r>
          <w:r>
            <w:fldChar w:fldCharType="separate"/>
          </w:r>
          <w:r>
            <w:t>24</w:t>
          </w:r>
          <w:r>
            <w:fldChar w:fldCharType="end"/>
          </w:r>
          <w:r>
            <w:fldChar w:fldCharType="end"/>
          </w:r>
        </w:p>
        <w:p>
          <w:pPr>
            <w:pStyle w:val="8"/>
            <w:tabs>
              <w:tab w:val="right" w:leader="dot" w:pos="8306"/>
            </w:tabs>
          </w:pPr>
          <w:r>
            <w:fldChar w:fldCharType="begin"/>
          </w:r>
          <w:r>
            <w:instrText xml:space="preserve"> HYPERLINK \l "_Toc9299" </w:instrText>
          </w:r>
          <w:r>
            <w:fldChar w:fldCharType="separate"/>
          </w:r>
          <w:r>
            <w:rPr>
              <w:rFonts w:hint="eastAsia" w:ascii="仿宋_GB2312" w:hAnsi="仿宋_GB2312" w:eastAsia="仿宋_GB2312" w:cs="仿宋_GB2312"/>
              <w:szCs w:val="32"/>
              <w:shd w:val="clear" w:color="auto" w:fill="FFFFFF"/>
            </w:rPr>
            <w:t>九、一般公共预算财政拨款项目支出决算表</w:t>
          </w:r>
          <w:r>
            <w:tab/>
          </w:r>
          <w:r>
            <w:fldChar w:fldCharType="begin"/>
          </w:r>
          <w:r>
            <w:instrText xml:space="preserve"> PAGEREF _Toc9299 </w:instrText>
          </w:r>
          <w:r>
            <w:fldChar w:fldCharType="separate"/>
          </w:r>
          <w:r>
            <w:t>24</w:t>
          </w:r>
          <w:r>
            <w:fldChar w:fldCharType="end"/>
          </w:r>
          <w:r>
            <w:fldChar w:fldCharType="end"/>
          </w:r>
        </w:p>
        <w:p>
          <w:pPr>
            <w:pStyle w:val="8"/>
            <w:tabs>
              <w:tab w:val="right" w:leader="dot" w:pos="8306"/>
            </w:tabs>
          </w:pPr>
          <w:r>
            <w:fldChar w:fldCharType="begin"/>
          </w:r>
          <w:r>
            <w:instrText xml:space="preserve"> HYPERLINK \l "_Toc10764" </w:instrText>
          </w:r>
          <w:r>
            <w:fldChar w:fldCharType="separate"/>
          </w:r>
          <w:r>
            <w:rPr>
              <w:rFonts w:hint="eastAsia" w:ascii="仿宋_GB2312" w:hAnsi="仿宋_GB2312" w:eastAsia="仿宋_GB2312" w:cs="仿宋_GB2312"/>
              <w:szCs w:val="32"/>
              <w:shd w:val="clear" w:color="auto" w:fill="FFFFFF"/>
            </w:rPr>
            <w:t>十、一般公共预算财政拨款“三公”经费支出决算表</w:t>
          </w:r>
          <w:r>
            <w:tab/>
          </w:r>
          <w:r>
            <w:fldChar w:fldCharType="begin"/>
          </w:r>
          <w:r>
            <w:instrText xml:space="preserve"> PAGEREF _Toc10764 </w:instrText>
          </w:r>
          <w:r>
            <w:fldChar w:fldCharType="separate"/>
          </w:r>
          <w:r>
            <w:t>24</w:t>
          </w:r>
          <w:r>
            <w:fldChar w:fldCharType="end"/>
          </w:r>
          <w:r>
            <w:fldChar w:fldCharType="end"/>
          </w:r>
        </w:p>
        <w:p>
          <w:pPr>
            <w:pStyle w:val="8"/>
            <w:tabs>
              <w:tab w:val="right" w:leader="dot" w:pos="8306"/>
            </w:tabs>
          </w:pPr>
          <w:r>
            <w:fldChar w:fldCharType="begin"/>
          </w:r>
          <w:r>
            <w:instrText xml:space="preserve"> HYPERLINK \l "_Toc28882" </w:instrText>
          </w:r>
          <w:r>
            <w:fldChar w:fldCharType="separate"/>
          </w:r>
          <w:r>
            <w:rPr>
              <w:rFonts w:hint="eastAsia" w:ascii="仿宋_GB2312" w:hAnsi="仿宋_GB2312" w:eastAsia="仿宋_GB2312" w:cs="仿宋_GB2312"/>
              <w:szCs w:val="32"/>
              <w:shd w:val="clear" w:color="auto" w:fill="FFFFFF"/>
            </w:rPr>
            <w:t>十一、政府性基金预算财政拨款收入支出决算表</w:t>
          </w:r>
          <w:r>
            <w:tab/>
          </w:r>
          <w:r>
            <w:fldChar w:fldCharType="begin"/>
          </w:r>
          <w:r>
            <w:instrText xml:space="preserve"> PAGEREF _Toc28882 </w:instrText>
          </w:r>
          <w:r>
            <w:fldChar w:fldCharType="separate"/>
          </w:r>
          <w:r>
            <w:t>24</w:t>
          </w:r>
          <w:r>
            <w:fldChar w:fldCharType="end"/>
          </w:r>
          <w:r>
            <w:fldChar w:fldCharType="end"/>
          </w:r>
        </w:p>
        <w:p>
          <w:pPr>
            <w:pStyle w:val="8"/>
            <w:tabs>
              <w:tab w:val="right" w:leader="dot" w:pos="8306"/>
            </w:tabs>
          </w:pPr>
          <w:r>
            <w:fldChar w:fldCharType="begin"/>
          </w:r>
          <w:r>
            <w:instrText xml:space="preserve"> HYPERLINK \l "_Toc10978" </w:instrText>
          </w:r>
          <w:r>
            <w:fldChar w:fldCharType="separate"/>
          </w:r>
          <w:r>
            <w:rPr>
              <w:rFonts w:hint="eastAsia" w:ascii="仿宋_GB2312" w:hAnsi="仿宋_GB2312" w:eastAsia="仿宋_GB2312" w:cs="仿宋_GB2312"/>
              <w:szCs w:val="32"/>
              <w:shd w:val="clear" w:color="auto" w:fill="FFFFFF"/>
            </w:rPr>
            <w:t>十二、政府性基金预算财政拨款“三公”经费支出决算表</w:t>
          </w:r>
          <w:r>
            <w:tab/>
          </w:r>
          <w:r>
            <w:fldChar w:fldCharType="begin"/>
          </w:r>
          <w:r>
            <w:instrText xml:space="preserve"> PAGEREF _Toc10978 </w:instrText>
          </w:r>
          <w:r>
            <w:fldChar w:fldCharType="separate"/>
          </w:r>
          <w:r>
            <w:t>25</w:t>
          </w:r>
          <w:r>
            <w:fldChar w:fldCharType="end"/>
          </w:r>
          <w:r>
            <w:fldChar w:fldCharType="end"/>
          </w:r>
        </w:p>
        <w:p>
          <w:pPr>
            <w:pStyle w:val="8"/>
            <w:tabs>
              <w:tab w:val="right" w:leader="dot" w:pos="8306"/>
            </w:tabs>
          </w:pPr>
          <w:r>
            <w:fldChar w:fldCharType="begin"/>
          </w:r>
          <w:r>
            <w:instrText xml:space="preserve"> HYPERLINK \l "_Toc20224" </w:instrText>
          </w:r>
          <w:r>
            <w:fldChar w:fldCharType="separate"/>
          </w:r>
          <w:r>
            <w:rPr>
              <w:rFonts w:hint="eastAsia" w:ascii="仿宋_GB2312" w:hAnsi="仿宋_GB2312" w:eastAsia="仿宋_GB2312" w:cs="仿宋_GB2312"/>
              <w:szCs w:val="32"/>
              <w:shd w:val="clear" w:color="auto" w:fill="FFFFFF"/>
            </w:rPr>
            <w:t>十三、国有资本经营预算财政拨款收入支出决算表</w:t>
          </w:r>
          <w:r>
            <w:tab/>
          </w:r>
          <w:r>
            <w:fldChar w:fldCharType="begin"/>
          </w:r>
          <w:r>
            <w:instrText xml:space="preserve"> PAGEREF _Toc20224 </w:instrText>
          </w:r>
          <w:r>
            <w:fldChar w:fldCharType="separate"/>
          </w:r>
          <w:r>
            <w:t>25</w:t>
          </w:r>
          <w:r>
            <w:fldChar w:fldCharType="end"/>
          </w:r>
          <w:r>
            <w:fldChar w:fldCharType="end"/>
          </w:r>
        </w:p>
        <w:p>
          <w:pPr>
            <w:pStyle w:val="8"/>
            <w:tabs>
              <w:tab w:val="right" w:leader="dot" w:pos="8306"/>
            </w:tabs>
          </w:pPr>
          <w:r>
            <w:fldChar w:fldCharType="begin"/>
          </w:r>
          <w:r>
            <w:instrText xml:space="preserve"> HYPERLINK \l "_Toc13163" </w:instrText>
          </w:r>
          <w:r>
            <w:fldChar w:fldCharType="separate"/>
          </w:r>
          <w:r>
            <w:rPr>
              <w:rFonts w:hint="eastAsia" w:ascii="仿宋_GB2312" w:hAnsi="仿宋_GB2312" w:eastAsia="仿宋_GB2312" w:cs="仿宋_GB2312"/>
              <w:szCs w:val="32"/>
              <w:shd w:val="clear" w:color="auto" w:fill="FFFFFF"/>
            </w:rPr>
            <w:t>十四、国有资本经营预算财政拨款支出决算表</w:t>
          </w:r>
          <w:r>
            <w:tab/>
          </w:r>
          <w:r>
            <w:fldChar w:fldCharType="begin"/>
          </w:r>
          <w:r>
            <w:instrText xml:space="preserve"> PAGEREF _Toc13163 </w:instrText>
          </w:r>
          <w:r>
            <w:fldChar w:fldCharType="separate"/>
          </w:r>
          <w:r>
            <w:t>25</w:t>
          </w:r>
          <w:r>
            <w:fldChar w:fldCharType="end"/>
          </w:r>
          <w:r>
            <w:fldChar w:fldCharType="end"/>
          </w:r>
        </w:p>
        <w:p>
          <w:pPr>
            <w:pStyle w:val="9"/>
            <w:widowControl/>
            <w:ind w:right="75"/>
            <w:jc w:val="cente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Cs w:val="32"/>
              <w:shd w:val="clear" w:color="auto" w:fill="FFFFFF"/>
            </w:rPr>
            <w:fldChar w:fldCharType="end"/>
          </w:r>
        </w:p>
      </w:sdtContent>
    </w:sdt>
    <w:p>
      <w:pPr>
        <w:pStyle w:val="9"/>
        <w:widowControl/>
        <w:ind w:right="75"/>
        <w:jc w:val="center"/>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p>
    <w:p>
      <w:pPr>
        <w:pStyle w:val="9"/>
        <w:widowControl/>
        <w:ind w:right="75"/>
        <w:jc w:val="center"/>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p>
    <w:p>
      <w:pPr>
        <w:pStyle w:val="9"/>
        <w:widowControl/>
        <w:ind w:right="75"/>
        <w:jc w:val="center"/>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p>
    <w:p>
      <w:pPr>
        <w:pStyle w:val="9"/>
        <w:widowControl/>
        <w:ind w:right="75"/>
        <w:jc w:val="center"/>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p>
    <w:p>
      <w:pPr>
        <w:pStyle w:val="9"/>
        <w:widowControl/>
        <w:ind w:right="75"/>
        <w:rPr>
          <w:rFonts w:ascii="仿宋_GB2312" w:hAnsi="仿宋_GB2312" w:eastAsia="仿宋_GB2312" w:cs="仿宋_GB2312"/>
          <w:sz w:val="32"/>
          <w:szCs w:val="32"/>
          <w:shd w:val="clear" w:color="auto" w:fill="FFFFFF"/>
        </w:rPr>
      </w:pPr>
    </w:p>
    <w:p>
      <w:pPr>
        <w:pStyle w:val="9"/>
        <w:widowControl/>
        <w:ind w:right="75"/>
        <w:rPr>
          <w:rFonts w:ascii="仿宋_GB2312" w:hAnsi="仿宋_GB2312" w:eastAsia="仿宋_GB2312" w:cs="仿宋_GB2312"/>
          <w:sz w:val="32"/>
          <w:szCs w:val="32"/>
        </w:rPr>
      </w:pPr>
    </w:p>
    <w:p>
      <w:pPr>
        <w:pStyle w:val="2"/>
        <w:widowControl/>
        <w:ind w:right="75"/>
        <w:jc w:val="center"/>
        <w:rPr>
          <w:rFonts w:hint="default" w:ascii="黑体" w:hAnsi="黑体" w:eastAsia="黑体" w:cs="黑体"/>
          <w:sz w:val="44"/>
          <w:szCs w:val="44"/>
        </w:rPr>
      </w:pPr>
      <w:bookmarkStart w:id="0" w:name="_Toc22535"/>
      <w:r>
        <w:rPr>
          <w:rFonts w:ascii="黑体" w:hAnsi="黑体" w:eastAsia="黑体" w:cs="黑体"/>
          <w:sz w:val="44"/>
          <w:szCs w:val="44"/>
          <w:shd w:val="clear" w:color="auto" w:fill="FFFFFF"/>
        </w:rPr>
        <w:t>第一部分 部门概况</w:t>
      </w:r>
      <w:bookmarkEnd w:id="0"/>
    </w:p>
    <w:p>
      <w:pPr>
        <w:pStyle w:val="9"/>
        <w:widowControl/>
        <w:ind w:right="75"/>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p>
    <w:p>
      <w:pPr>
        <w:pStyle w:val="3"/>
        <w:widowControl/>
        <w:ind w:right="75"/>
        <w:rPr>
          <w:rFonts w:hint="default" w:ascii="仿宋_GB2312" w:hAnsi="仿宋_GB2312" w:eastAsia="仿宋_GB2312" w:cs="仿宋_GB2312"/>
          <w:sz w:val="32"/>
          <w:szCs w:val="32"/>
        </w:rPr>
      </w:pPr>
      <w:bookmarkStart w:id="1" w:name="_Toc6082"/>
      <w:r>
        <w:rPr>
          <w:rFonts w:ascii="仿宋_GB2312" w:hAnsi="仿宋_GB2312" w:eastAsia="仿宋_GB2312" w:cs="仿宋_GB2312"/>
          <w:sz w:val="32"/>
          <w:szCs w:val="32"/>
          <w:shd w:val="clear" w:color="auto" w:fill="FFFFFF"/>
        </w:rPr>
        <w:t>一、基本职能及主要工作</w:t>
      </w:r>
      <w:bookmarkEnd w:id="1"/>
    </w:p>
    <w:p>
      <w:pPr>
        <w:pStyle w:val="9"/>
        <w:widowControl/>
        <w:spacing w:beforeAutospacing="0" w:afterAutospacing="0" w:line="560" w:lineRule="exact"/>
        <w:ind w:right="75"/>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（一）主要职能。</w:t>
      </w:r>
    </w:p>
    <w:p>
      <w:pPr>
        <w:pStyle w:val="9"/>
        <w:widowControl/>
        <w:shd w:val="clear" w:color="auto" w:fill="FFFFFF"/>
        <w:spacing w:beforeAutospacing="0" w:afterAutospacing="0" w:line="560" w:lineRule="exact"/>
        <w:ind w:firstLine="640" w:firstLineChars="200"/>
        <w:rPr>
          <w:rFonts w:ascii="仿宋_GB2312" w:hAnsi="仿宋_GB2312" w:eastAsia="仿宋_GB2312" w:cs="仿宋_GB2312"/>
          <w:sz w:val="32"/>
          <w:szCs w:val="32"/>
          <w:shd w:val="clear" w:color="auto" w:fill="FFFFFF"/>
        </w:rPr>
      </w:pPr>
      <w:r>
        <w:rPr>
          <w:rFonts w:hint="eastAsia" w:ascii="仿宋_GB2312" w:eastAsia="仿宋_GB2312"/>
          <w:sz w:val="32"/>
          <w:szCs w:val="32"/>
        </w:rPr>
        <w:t>公安机关是人民民主专政的重要工具，是国家治安行政和刑事执法机关，维护国家安全，维护社会治安秩序，保护公民的人身安全、人身自由和合法财产，保护公共财产，预防、制止和惩治违法犯罪活动。</w:t>
      </w:r>
    </w:p>
    <w:p>
      <w:pPr>
        <w:pStyle w:val="9"/>
        <w:widowControl/>
        <w:spacing w:beforeAutospacing="0" w:afterAutospacing="0" w:line="560" w:lineRule="exact"/>
        <w:ind w:right="75" w:firstLine="642"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（二）2021年重点工作完成情况。</w:t>
      </w:r>
    </w:p>
    <w:p>
      <w:pPr>
        <w:spacing w:line="560" w:lineRule="exact"/>
        <w:ind w:firstLine="642" w:firstLineChars="200"/>
        <w:rPr>
          <w:rFonts w:ascii="仿宋_GB2312" w:eastAsia="仿宋_GB2312"/>
          <w:color w:val="000000"/>
          <w:sz w:val="32"/>
          <w:szCs w:val="32"/>
        </w:rPr>
      </w:pPr>
      <w:r>
        <w:rPr>
          <w:rFonts w:hint="eastAsia" w:ascii="楷体_GB2312" w:eastAsia="楷体_GB2312"/>
          <w:b/>
          <w:sz w:val="32"/>
          <w:szCs w:val="32"/>
        </w:rPr>
        <w:t>1、坚持情报主导警务，</w:t>
      </w:r>
      <w:r>
        <w:rPr>
          <w:rFonts w:hint="eastAsia" w:ascii="楷体_GB2312" w:hAnsi="黑体" w:eastAsia="楷体_GB2312" w:cs="宋体"/>
          <w:b/>
          <w:color w:val="000000"/>
          <w:kern w:val="0"/>
          <w:sz w:val="32"/>
          <w:szCs w:val="32"/>
        </w:rPr>
        <w:t>全力维护社会稳定。</w:t>
      </w:r>
      <w:r>
        <w:rPr>
          <w:rFonts w:hint="eastAsia" w:ascii="仿宋_GB2312" w:eastAsia="仿宋_GB2312"/>
          <w:color w:val="000000"/>
          <w:sz w:val="32"/>
          <w:szCs w:val="32"/>
        </w:rPr>
        <w:t>围绕防控社会稳定风险，以“两会”、疫情防控及3月敏感期安保维稳为重点，统筹各节假日安保工作，有力确保了全国“两会”、3月敏感期以及系列重要节点全县社会政治稳定，社会稳定的局面得到更加巩固。</w:t>
      </w:r>
    </w:p>
    <w:p>
      <w:pPr>
        <w:spacing w:line="540" w:lineRule="exact"/>
        <w:ind w:firstLine="642" w:firstLineChars="200"/>
        <w:rPr>
          <w:rFonts w:ascii="仿宋_GB2312" w:hAnsi="仿宋_GB2312" w:eastAsia="仿宋_GB2312" w:cs="仿宋_GB2312"/>
          <w:sz w:val="32"/>
          <w:szCs w:val="32"/>
        </w:rPr>
      </w:pPr>
      <w:r>
        <w:rPr>
          <w:rFonts w:hint="eastAsia" w:ascii="楷体_GB2312" w:hAnsi="黑体" w:eastAsia="楷体_GB2312" w:cs="宋体"/>
          <w:b/>
          <w:color w:val="000000"/>
          <w:kern w:val="0"/>
          <w:sz w:val="32"/>
          <w:szCs w:val="32"/>
        </w:rPr>
        <w:t>2、</w:t>
      </w:r>
      <w:r>
        <w:rPr>
          <w:rFonts w:hint="eastAsia" w:ascii="楷体_GB2312" w:eastAsia="楷体_GB2312"/>
          <w:b/>
          <w:sz w:val="32"/>
          <w:szCs w:val="32"/>
        </w:rPr>
        <w:t>坚持狠抓公安主业，</w:t>
      </w:r>
      <w:r>
        <w:rPr>
          <w:rFonts w:hint="eastAsia" w:ascii="楷体_GB2312" w:hAnsi="黑体" w:eastAsia="楷体_GB2312" w:cs="宋体"/>
          <w:b/>
          <w:color w:val="000000"/>
          <w:kern w:val="0"/>
          <w:sz w:val="32"/>
          <w:szCs w:val="32"/>
        </w:rPr>
        <w:t>有力护航经济发展。</w:t>
      </w:r>
      <w:r>
        <w:rPr>
          <w:rFonts w:hint="eastAsia" w:ascii="仿宋_GB2312" w:hAnsi="宋体" w:eastAsia="仿宋_GB2312" w:cs="仿宋_GB2312"/>
          <w:color w:val="000000"/>
          <w:sz w:val="32"/>
          <w:szCs w:val="32"/>
        </w:rPr>
        <w:t>始终保持严打高压态势，</w:t>
      </w:r>
      <w:r>
        <w:rPr>
          <w:rFonts w:hint="eastAsia" w:ascii="仿宋_GB2312" w:hAnsi="Arial" w:eastAsia="仿宋_GB2312" w:cs="Arial"/>
          <w:color w:val="000000"/>
          <w:sz w:val="32"/>
          <w:szCs w:val="32"/>
        </w:rPr>
        <w:t>有效推</w:t>
      </w:r>
      <w:r>
        <w:rPr>
          <w:rFonts w:hint="eastAsia" w:ascii="仿宋_GB2312" w:hAnsi="宋体" w:eastAsia="仿宋_GB2312" w:cs="仿宋_GB2312"/>
          <w:color w:val="000000"/>
          <w:sz w:val="32"/>
          <w:szCs w:val="32"/>
        </w:rPr>
        <w:t>扫黑除恶、“奋进”系列行动等工作。同时结合疫情防控工作</w:t>
      </w:r>
      <w:r>
        <w:rPr>
          <w:rFonts w:hint="eastAsia" w:ascii="仿宋_GB2312" w:hAnsi="仿宋_GB2312" w:eastAsia="仿宋_GB2312" w:cs="仿宋_GB2312"/>
          <w:sz w:val="32"/>
          <w:szCs w:val="32"/>
        </w:rPr>
        <w:t>全力保障复工复产，</w:t>
      </w:r>
      <w:r>
        <w:rPr>
          <w:rFonts w:ascii="仿宋_GB2312" w:eastAsia="仿宋_GB2312"/>
          <w:sz w:val="32"/>
          <w:szCs w:val="32"/>
        </w:rPr>
        <w:t>及时解决和回应项目业主、重点工程建设单位以及相关经营产业方咨询、服务、诉求，加大对复工复产的检查力度，查漏补缺，及时整改隐患，在全力以赴做好疫情防控和社会稳定的前提下，助力企业复工复产</w:t>
      </w:r>
      <w:r>
        <w:rPr>
          <w:rFonts w:hint="eastAsia" w:ascii="仿宋_GB2312" w:eastAsia="仿宋_GB2312"/>
          <w:sz w:val="32"/>
          <w:szCs w:val="32"/>
        </w:rPr>
        <w:t>。</w:t>
      </w:r>
      <w:r>
        <w:rPr>
          <w:rFonts w:hint="eastAsia" w:ascii="仿宋_GB2312" w:hAnsi="仿宋_GB2312" w:eastAsia="仿宋_GB2312" w:cs="仿宋_GB2312"/>
          <w:sz w:val="32"/>
          <w:szCs w:val="32"/>
        </w:rPr>
        <w:t>截止目前，已完成对黑、恶所有线索核查、“清零”销号。</w:t>
      </w:r>
    </w:p>
    <w:p>
      <w:pPr>
        <w:spacing w:line="560" w:lineRule="exact"/>
        <w:ind w:firstLine="642" w:firstLineChars="200"/>
        <w:rPr>
          <w:rFonts w:ascii="仿宋_GB2312" w:hAnsi="仿宋_GB2312" w:eastAsia="仿宋_GB2312" w:cs="仿宋_GB2312"/>
          <w:sz w:val="32"/>
          <w:szCs w:val="32"/>
        </w:rPr>
      </w:pPr>
      <w:r>
        <w:rPr>
          <w:rFonts w:hint="eastAsia" w:ascii="楷体_GB2312" w:hAnsi="黑体" w:eastAsia="楷体_GB2312" w:cs="宋体"/>
          <w:b/>
          <w:color w:val="000000"/>
          <w:kern w:val="0"/>
          <w:sz w:val="32"/>
          <w:szCs w:val="32"/>
        </w:rPr>
        <w:t>3、</w:t>
      </w:r>
      <w:r>
        <w:rPr>
          <w:rFonts w:hint="eastAsia" w:ascii="楷体_GB2312" w:eastAsia="楷体_GB2312"/>
          <w:b/>
          <w:sz w:val="32"/>
          <w:szCs w:val="32"/>
        </w:rPr>
        <w:t>加强基层基础建设，</w:t>
      </w:r>
      <w:r>
        <w:rPr>
          <w:rFonts w:hint="eastAsia" w:ascii="楷体_GB2312" w:hAnsi="黑体" w:eastAsia="楷体_GB2312" w:cs="宋体"/>
          <w:b/>
          <w:color w:val="000000"/>
          <w:kern w:val="0"/>
          <w:sz w:val="32"/>
          <w:szCs w:val="32"/>
        </w:rPr>
        <w:t>强力保障公共安全。</w:t>
      </w:r>
      <w:r>
        <w:rPr>
          <w:rFonts w:hint="eastAsia" w:ascii="仿宋_GB2312" w:eastAsia="仿宋_GB2312"/>
          <w:color w:val="000000"/>
          <w:sz w:val="32"/>
          <w:szCs w:val="32"/>
        </w:rPr>
        <w:t>按照省厅、州局部署，以“六边六进”、“两联一进”等为载体，深入开展整治枪支爆炸物品违法犯罪专项行动。</w:t>
      </w:r>
      <w:r>
        <w:rPr>
          <w:rFonts w:hint="eastAsia" w:ascii="仿宋_GB2312" w:hAnsi="仿宋_GB2312" w:eastAsia="仿宋_GB2312"/>
          <w:color w:val="000000"/>
          <w:sz w:val="32"/>
        </w:rPr>
        <w:t>坚持大力强化治安、交通、消防、监所安全</w:t>
      </w:r>
      <w:r>
        <w:rPr>
          <w:rFonts w:hint="eastAsia" w:ascii="仿宋_GB2312" w:eastAsia="仿宋_GB2312"/>
          <w:color w:val="000000"/>
          <w:sz w:val="32"/>
          <w:szCs w:val="32"/>
        </w:rPr>
        <w:t>监管，强化隐患排查治理，层层压实工作责任，依法查处违法违规行为，全面提升安全监管能力水平。</w:t>
      </w:r>
    </w:p>
    <w:p>
      <w:pPr>
        <w:pStyle w:val="3"/>
        <w:widowControl/>
        <w:spacing w:beforeAutospacing="0" w:afterAutospacing="0" w:line="560" w:lineRule="exact"/>
        <w:ind w:right="75"/>
        <w:rPr>
          <w:rFonts w:hint="default" w:ascii="仿宋_GB2312" w:hAnsi="仿宋_GB2312" w:eastAsia="仿宋_GB2312" w:cs="仿宋_GB2312"/>
          <w:sz w:val="32"/>
          <w:szCs w:val="32"/>
        </w:rPr>
      </w:pPr>
      <w:bookmarkStart w:id="2" w:name="_Toc14458"/>
      <w:r>
        <w:rPr>
          <w:rFonts w:ascii="仿宋_GB2312" w:hAnsi="仿宋_GB2312" w:eastAsia="仿宋_GB2312" w:cs="仿宋_GB2312"/>
          <w:sz w:val="32"/>
          <w:szCs w:val="32"/>
          <w:shd w:val="clear" w:color="auto" w:fill="FFFFFF"/>
        </w:rPr>
        <w:t>二、机构设置</w:t>
      </w:r>
      <w:bookmarkEnd w:id="2"/>
    </w:p>
    <w:p>
      <w:pPr>
        <w:widowControl/>
        <w:spacing w:line="560" w:lineRule="exact"/>
        <w:ind w:right="75" w:firstLine="640" w:firstLineChars="200"/>
        <w:rPr>
          <w:rFonts w:ascii="仿宋_GB2312" w:hAnsi="仿宋_GB2312" w:eastAsia="仿宋_GB2312" w:cs="仿宋_GB2312"/>
          <w:sz w:val="32"/>
          <w:szCs w:val="32"/>
        </w:rPr>
      </w:pPr>
      <w:r>
        <w:rPr>
          <w:rFonts w:hint="eastAsia" w:ascii="仿宋_GB2312" w:hAnsi="宋体" w:eastAsia="仿宋_GB2312"/>
          <w:sz w:val="32"/>
        </w:rPr>
        <w:t>我局属独立编制机构和独立核算的行政单位。</w:t>
      </w:r>
      <w:r>
        <w:rPr>
          <w:rFonts w:hint="eastAsia" w:ascii="仿宋_GB2312" w:eastAsia="仿宋_GB2312"/>
          <w:bCs/>
          <w:color w:val="000000"/>
          <w:sz w:val="32"/>
          <w:szCs w:val="32"/>
        </w:rPr>
        <w:t>设</w:t>
      </w:r>
      <w:r>
        <w:rPr>
          <w:rFonts w:hint="eastAsia" w:ascii="仿宋_GB2312" w:eastAsia="仿宋_GB2312"/>
          <w:color w:val="000000"/>
          <w:sz w:val="32"/>
          <w:szCs w:val="32"/>
        </w:rPr>
        <w:t>统一核算机构为1个，</w:t>
      </w:r>
      <w:r>
        <w:rPr>
          <w:rFonts w:hint="eastAsia" w:ascii="仿宋_GB2312" w:hAnsi="宋体" w:eastAsia="仿宋_GB2312" w:cs="宋体"/>
          <w:kern w:val="0"/>
          <w:sz w:val="32"/>
          <w:szCs w:val="32"/>
        </w:rPr>
        <w:t>年末共有机构数是</w:t>
      </w:r>
      <w:r>
        <w:rPr>
          <w:rFonts w:hint="eastAsia" w:ascii="仿宋_GB2312" w:hAnsi="宋体" w:eastAsia="仿宋_GB2312"/>
          <w:sz w:val="32"/>
          <w:szCs w:val="32"/>
        </w:rPr>
        <w:t>36</w:t>
      </w:r>
      <w:r>
        <w:rPr>
          <w:rFonts w:hint="eastAsia" w:ascii="仿宋_GB2312" w:hAnsi="宋体" w:eastAsia="仿宋_GB2312" w:cs="宋体"/>
          <w:kern w:val="0"/>
          <w:sz w:val="32"/>
          <w:szCs w:val="32"/>
        </w:rPr>
        <w:t>个，其中</w:t>
      </w:r>
      <w:r>
        <w:rPr>
          <w:rFonts w:hint="eastAsia" w:ascii="仿宋_GB2312" w:hAnsi="宋体" w:eastAsia="仿宋_GB2312"/>
          <w:sz w:val="32"/>
          <w:szCs w:val="32"/>
        </w:rPr>
        <w:t>派出</w:t>
      </w:r>
      <w:r>
        <w:rPr>
          <w:rFonts w:hint="eastAsia" w:ascii="仿宋_GB2312" w:hAnsi="宋体" w:eastAsia="仿宋_GB2312" w:cs="宋体"/>
          <w:kern w:val="0"/>
          <w:sz w:val="32"/>
          <w:szCs w:val="32"/>
        </w:rPr>
        <w:t>机构</w:t>
      </w:r>
      <w:r>
        <w:rPr>
          <w:rFonts w:hint="eastAsia" w:ascii="仿宋_GB2312" w:hAnsi="宋体" w:eastAsia="仿宋_GB2312"/>
          <w:sz w:val="32"/>
          <w:szCs w:val="32"/>
        </w:rPr>
        <w:t>22</w:t>
      </w:r>
      <w:r>
        <w:rPr>
          <w:rFonts w:hint="eastAsia" w:ascii="仿宋_GB2312" w:hAnsi="宋体" w:eastAsia="仿宋_GB2312" w:cs="宋体"/>
          <w:kern w:val="0"/>
          <w:sz w:val="32"/>
          <w:szCs w:val="32"/>
        </w:rPr>
        <w:t>个、内设机构</w:t>
      </w:r>
      <w:r>
        <w:rPr>
          <w:rFonts w:hint="eastAsia" w:ascii="仿宋_GB2312" w:hAnsi="宋体" w:eastAsia="仿宋_GB2312"/>
          <w:sz w:val="32"/>
          <w:szCs w:val="32"/>
        </w:rPr>
        <w:t>14</w:t>
      </w:r>
      <w:r>
        <w:rPr>
          <w:rFonts w:hint="eastAsia" w:ascii="仿宋_GB2312" w:hAnsi="宋体" w:eastAsia="仿宋_GB2312" w:cs="宋体"/>
          <w:kern w:val="0"/>
          <w:sz w:val="32"/>
          <w:szCs w:val="32"/>
        </w:rPr>
        <w:t>个</w:t>
      </w:r>
      <w:r>
        <w:rPr>
          <w:rFonts w:hint="eastAsia" w:ascii="仿宋_GB2312" w:hAnsi="仿宋_GB2312" w:eastAsia="仿宋_GB2312" w:cs="仿宋_GB2312"/>
          <w:sz w:val="32"/>
          <w:szCs w:val="32"/>
          <w:shd w:val="clear" w:color="auto" w:fill="FFFFFF"/>
        </w:rPr>
        <w:t>纳入阿坝州金川县公安局</w:t>
      </w:r>
    </w:p>
    <w:p>
      <w:pPr>
        <w:pStyle w:val="2"/>
        <w:widowControl/>
        <w:ind w:right="75"/>
        <w:jc w:val="center"/>
        <w:rPr>
          <w:rFonts w:hint="default" w:ascii="仿宋_GB2312" w:hAnsi="仿宋_GB2312" w:eastAsia="仿宋_GB2312" w:cs="仿宋_GB2312"/>
          <w:sz w:val="32"/>
          <w:szCs w:val="32"/>
        </w:rPr>
      </w:pPr>
      <w:bookmarkStart w:id="3" w:name="_Toc8137"/>
      <w:r>
        <w:rPr>
          <w:rFonts w:ascii="黑体" w:hAnsi="黑体" w:eastAsia="黑体" w:cs="黑体"/>
          <w:sz w:val="32"/>
          <w:szCs w:val="32"/>
          <w:shd w:val="clear" w:color="auto" w:fill="FFFFFF"/>
        </w:rPr>
        <w:t>第二部分 2021年度部门决算情况说明</w:t>
      </w:r>
      <w:bookmarkEnd w:id="3"/>
    </w:p>
    <w:p>
      <w:pPr>
        <w:widowControl/>
        <w:numPr>
          <w:ilvl w:val="0"/>
          <w:numId w:val="1"/>
        </w:numPr>
        <w:spacing w:beforeAutospacing="1" w:afterAutospacing="1" w:line="520" w:lineRule="exact"/>
        <w:ind w:right="74"/>
        <w:rPr>
          <w:rFonts w:ascii="仿宋_GB2312" w:hAnsi="仿宋_GB2312" w:eastAsia="仿宋_GB2312" w:cs="仿宋_GB2312"/>
          <w:b/>
          <w:bCs/>
          <w:sz w:val="32"/>
          <w:szCs w:val="32"/>
        </w:rPr>
      </w:pPr>
      <w:r>
        <w:rPr>
          <w:rFonts w:hint="eastAsia" w:ascii="仿宋_GB2312" w:hAnsi="仿宋_GB2312" w:eastAsia="仿宋_GB2312" w:cs="仿宋_GB2312"/>
          <w:b/>
          <w:bCs/>
          <w:sz w:val="32"/>
          <w:szCs w:val="32"/>
          <w:shd w:val="clear" w:color="auto" w:fill="FFFFFF"/>
        </w:rPr>
        <w:t>一、收入支出决算总体情况说明</w:t>
      </w:r>
    </w:p>
    <w:p>
      <w:pPr>
        <w:pStyle w:val="9"/>
        <w:widowControl/>
        <w:spacing w:line="520" w:lineRule="exact"/>
        <w:ind w:right="74" w:firstLine="640" w:firstLineChars="200"/>
        <w:rPr>
          <w:rFonts w:ascii="仿宋_GB2312" w:hAnsi="仿宋" w:eastAsia="仿宋_GB2312"/>
          <w:sz w:val="32"/>
          <w:szCs w:val="32"/>
        </w:rPr>
      </w:pPr>
      <w:r>
        <w:rPr>
          <w:rFonts w:hint="eastAsia" w:ascii="仿宋_GB2312" w:hAnsi="仿宋_GB2312" w:eastAsia="仿宋_GB2312" w:cs="仿宋_GB2312"/>
          <w:sz w:val="32"/>
          <w:szCs w:val="32"/>
          <w:shd w:val="clear" w:color="auto" w:fill="FFFFFF"/>
        </w:rPr>
        <w:t>2021年度</w:t>
      </w:r>
      <w:r>
        <w:rPr>
          <w:rFonts w:hint="eastAsia" w:ascii="仿宋_GB2312" w:eastAsia="仿宋_GB2312"/>
          <w:sz w:val="32"/>
          <w:szCs w:val="32"/>
        </w:rPr>
        <w:t>收入5498.5万元</w:t>
      </w:r>
      <w:r>
        <w:rPr>
          <w:rFonts w:hint="eastAsia" w:ascii="仿宋_GB2312" w:hAnsi="仿宋_GB2312" w:eastAsia="仿宋_GB2312" w:cs="仿宋_GB2312"/>
          <w:sz w:val="32"/>
          <w:szCs w:val="32"/>
          <w:shd w:val="clear" w:color="auto" w:fill="FFFFFF"/>
        </w:rPr>
        <w:t>收、支总计5,892.93万元。与2020年相比，收</w:t>
      </w:r>
      <w:r>
        <w:rPr>
          <w:rFonts w:hint="eastAsia" w:ascii="仿宋_GB2312" w:eastAsia="仿宋_GB2312"/>
          <w:sz w:val="32"/>
          <w:szCs w:val="32"/>
        </w:rPr>
        <w:t>增长4.47%；与2020年相比支出增加835.28万元、增长16.51%。</w:t>
      </w:r>
      <w:r>
        <w:rPr>
          <w:rFonts w:hint="eastAsia" w:ascii="仿宋_GB2312" w:hAnsi="仿宋_GB2312" w:eastAsia="仿宋_GB2312" w:cs="仿宋_GB2312"/>
          <w:sz w:val="32"/>
          <w:szCs w:val="32"/>
          <w:shd w:val="clear" w:color="auto" w:fill="FFFFFF"/>
        </w:rPr>
        <w:t>主要变动</w:t>
      </w:r>
      <w:r>
        <w:rPr>
          <w:rFonts w:hint="eastAsia" w:ascii="仿宋_GB2312" w:hAnsi="仿宋" w:eastAsia="仿宋_GB2312"/>
          <w:sz w:val="32"/>
          <w:szCs w:val="32"/>
        </w:rPr>
        <w:t>原因是人员增加调资、各类保险增加、住房公积金调整等。</w:t>
      </w:r>
    </w:p>
    <w:p>
      <w:pPr>
        <w:pStyle w:val="9"/>
        <w:widowControl/>
        <w:ind w:right="75"/>
        <w:rPr>
          <w:rFonts w:ascii="仿宋_GB2312" w:hAnsi="仿宋_GB2312" w:eastAsia="仿宋_GB2312" w:cs="仿宋_GB2312"/>
          <w:sz w:val="32"/>
          <w:szCs w:val="32"/>
        </w:rPr>
      </w:pPr>
      <w: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Pr>
          <w:rFonts w:hint="eastAsia" w:ascii="仿宋_GB2312" w:hAnsi="仿宋_GB2312" w:eastAsia="仿宋_GB2312" w:cs="仿宋_GB2312"/>
          <w:sz w:val="32"/>
          <w:szCs w:val="32"/>
          <w:shd w:val="clear" w:color="auto" w:fill="FFFFFF"/>
        </w:rPr>
        <w:t> </w:t>
      </w:r>
    </w:p>
    <w:p>
      <w:pPr>
        <w:widowControl/>
        <w:spacing w:beforeAutospacing="1" w:afterAutospacing="1"/>
        <w:ind w:left="360" w:right="75"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shd w:val="clear" w:color="auto" w:fill="FFFFFF"/>
        </w:rPr>
        <w:t>二、收入决算情况说明</w:t>
      </w:r>
    </w:p>
    <w:p>
      <w:pPr>
        <w:pStyle w:val="9"/>
        <w:widowControl/>
        <w:ind w:right="75"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2021年本年收入合计5,498.50万元，其中：一般公共预算财政拨款收入5,498.50万元，占100.00%；政府性基金预算财政拨款收入0.00万元，占0.00%；国有资本经营预算财政拨款收入0.00万元，占0.00%；上级补助收入0.00万元，占0.00%；事业收入0.00万元，占0.00%%；经营收入0.00万元，占0.00%%；附属单位上缴收入0.00万元，占0.00%；其他收入0.00万元，占0.00%。 </w:t>
      </w:r>
    </w:p>
    <w:p>
      <w:pPr>
        <w:pStyle w:val="9"/>
        <w:widowControl/>
        <w:ind w:right="75"/>
        <w:rPr>
          <w:rFonts w:ascii="仿宋_GB2312" w:hAnsi="仿宋_GB2312" w:eastAsia="仿宋_GB2312" w:cs="仿宋_GB2312"/>
          <w:sz w:val="32"/>
          <w:szCs w:val="32"/>
        </w:rPr>
      </w:pPr>
      <w:r>
        <w:drawing>
          <wp:inline distT="0" distB="0" distL="114300" distR="114300">
            <wp:extent cx="4572000" cy="2743200"/>
            <wp:effectExtent l="4445" t="4445" r="1460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widowControl/>
        <w:spacing w:beforeAutospacing="1" w:afterAutospacing="1"/>
        <w:ind w:left="360" w:right="75"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shd w:val="clear" w:color="auto" w:fill="FFFFFF"/>
        </w:rPr>
        <w:t>三、支出决算情况说明</w:t>
      </w:r>
    </w:p>
    <w:p>
      <w:pPr>
        <w:pStyle w:val="9"/>
        <w:widowControl/>
        <w:ind w:right="75"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2021年本年支出合计5,892.93万元，其中：基本支出4,481.34万元，占76.05%；项目支出1,411.59万元，占23.95%；上缴上级支出0.00万元，占0.00%；经营支出0.00万元，占经营支出0.00万元，占 0.00%；对附属单位补助支出0.00万元，占0.00%。</w:t>
      </w:r>
    </w:p>
    <w:p>
      <w:pPr>
        <w:pStyle w:val="9"/>
        <w:widowControl/>
        <w:ind w:right="75"/>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r>
        <w:drawing>
          <wp:inline distT="0" distB="0" distL="114300" distR="114300">
            <wp:extent cx="4572000" cy="2743200"/>
            <wp:effectExtent l="4445" t="4445" r="14605" b="1460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9"/>
        <w:widowControl/>
        <w:ind w:right="75"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shd w:val="clear" w:color="auto" w:fill="FFFFFF"/>
        </w:rPr>
        <w:t>四、财政拨款收入支出决算总体情况说明</w:t>
      </w:r>
    </w:p>
    <w:p>
      <w:pPr>
        <w:ind w:firstLine="640" w:firstLineChars="200"/>
        <w:rPr>
          <w:rFonts w:ascii="仿宋_GB2312" w:hAnsi="仿宋" w:eastAsia="仿宋_GB2312"/>
          <w:sz w:val="32"/>
          <w:szCs w:val="32"/>
        </w:rPr>
      </w:pPr>
      <w:r>
        <w:rPr>
          <w:rFonts w:hint="eastAsia" w:ascii="仿宋_GB2312" w:hAnsi="仿宋_GB2312" w:eastAsia="仿宋_GB2312" w:cs="仿宋_GB2312"/>
          <w:sz w:val="32"/>
          <w:szCs w:val="32"/>
          <w:shd w:val="clear" w:color="auto" w:fill="FFFFFF"/>
        </w:rPr>
        <w:t>2021年财政拨款收、支总计5,892.93万元。与2020年相比，财政拨款收、支总计各增加/减少336.36万元，增长-26.57%。</w:t>
      </w:r>
      <w:r>
        <w:rPr>
          <w:rFonts w:hint="eastAsia" w:ascii="仿宋_GB2312" w:hAnsi="仿宋" w:eastAsia="仿宋_GB2312"/>
          <w:sz w:val="32"/>
          <w:szCs w:val="32"/>
        </w:rPr>
        <w:t>增长的主要原因是调资、各类保险增加、住房公积金调整等。</w:t>
      </w:r>
    </w:p>
    <w:p>
      <w:pPr>
        <w:pStyle w:val="9"/>
        <w:widowControl/>
        <w:ind w:right="75"/>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r>
        <w:drawing>
          <wp:inline distT="0" distB="0" distL="114300" distR="114300">
            <wp:extent cx="4572000" cy="2743200"/>
            <wp:effectExtent l="4445" t="4445" r="14605" b="1460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rFonts w:hint="eastAsia" w:ascii="仿宋_GB2312" w:hAnsi="仿宋_GB2312" w:eastAsia="仿宋_GB2312" w:cs="仿宋_GB2312"/>
          <w:sz w:val="32"/>
          <w:szCs w:val="32"/>
          <w:shd w:val="clear" w:color="auto" w:fill="FFFFFF"/>
        </w:rPr>
        <w:t> </w:t>
      </w:r>
    </w:p>
    <w:p>
      <w:pPr>
        <w:pStyle w:val="9"/>
        <w:widowControl/>
        <w:ind w:right="75"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shd w:val="clear" w:color="auto" w:fill="FFFFFF"/>
        </w:rPr>
        <w:t>五、</w:t>
      </w:r>
      <w:r>
        <w:rPr>
          <w:rStyle w:val="12"/>
          <w:rFonts w:hint="eastAsia" w:ascii="仿宋_GB2312" w:hAnsi="仿宋_GB2312" w:eastAsia="仿宋_GB2312" w:cs="仿宋_GB2312"/>
          <w:bCs/>
          <w:sz w:val="32"/>
          <w:szCs w:val="32"/>
          <w:shd w:val="clear" w:color="auto" w:fill="FFFFFF"/>
        </w:rPr>
        <w:t>一</w:t>
      </w:r>
      <w:r>
        <w:rPr>
          <w:rFonts w:hint="eastAsia" w:ascii="仿宋_GB2312" w:hAnsi="仿宋_GB2312" w:eastAsia="仿宋_GB2312" w:cs="仿宋_GB2312"/>
          <w:b/>
          <w:bCs/>
          <w:sz w:val="32"/>
          <w:szCs w:val="32"/>
          <w:shd w:val="clear" w:color="auto" w:fill="FFFFFF"/>
        </w:rPr>
        <w:t>般公共预算财政拨款支出决算情况说明</w:t>
      </w:r>
    </w:p>
    <w:p>
      <w:pPr>
        <w:pStyle w:val="9"/>
        <w:widowControl/>
        <w:ind w:right="75" w:firstLine="642" w:firstLineChars="200"/>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（一）一般公共预算财政拨款支出决算总体情况</w:t>
      </w:r>
    </w:p>
    <w:p>
      <w:pPr>
        <w:ind w:firstLine="640" w:firstLineChars="200"/>
        <w:rPr>
          <w:rFonts w:ascii="仿宋_GB2312" w:hAnsi="仿宋" w:eastAsia="仿宋_GB2312"/>
          <w:sz w:val="32"/>
          <w:szCs w:val="32"/>
        </w:rPr>
      </w:pPr>
      <w:r>
        <w:rPr>
          <w:rFonts w:hint="eastAsia" w:ascii="仿宋_GB2312" w:hAnsi="仿宋_GB2312" w:eastAsia="仿宋_GB2312" w:cs="仿宋_GB2312"/>
          <w:sz w:val="32"/>
          <w:szCs w:val="32"/>
          <w:shd w:val="clear" w:color="auto" w:fill="FFFFFF"/>
        </w:rPr>
        <w:t>2021年一般公共预算财政拨款支出5,892.93万元，占本年支出合计的100.00%。与2020年相比，一般公共预算财政拨款支出增加835.29万元，增长16.52%。主要变动原因是</w:t>
      </w:r>
      <w:r>
        <w:rPr>
          <w:rFonts w:hint="eastAsia" w:ascii="仿宋_GB2312" w:hAnsi="仿宋" w:eastAsia="仿宋_GB2312"/>
          <w:sz w:val="32"/>
          <w:szCs w:val="32"/>
        </w:rPr>
        <w:t>调资、各类保险增加、住房公积金调整等。</w:t>
      </w:r>
    </w:p>
    <w:p>
      <w:pPr>
        <w:pStyle w:val="9"/>
        <w:widowControl/>
        <w:ind w:right="75" w:firstLine="480" w:firstLineChars="200"/>
        <w:rPr>
          <w:rFonts w:ascii="仿宋_GB2312" w:hAnsi="仿宋_GB2312" w:eastAsia="仿宋_GB2312" w:cs="仿宋_GB2312"/>
          <w:sz w:val="32"/>
          <w:szCs w:val="32"/>
        </w:rPr>
      </w:pPr>
      <w:r>
        <w:drawing>
          <wp:inline distT="0" distB="0" distL="114300" distR="114300">
            <wp:extent cx="4572000" cy="2743200"/>
            <wp:effectExtent l="4445" t="4445" r="14605" b="14605"/>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hint="eastAsia" w:ascii="仿宋_GB2312" w:hAnsi="仿宋_GB2312" w:eastAsia="仿宋_GB2312" w:cs="仿宋_GB2312"/>
          <w:sz w:val="32"/>
          <w:szCs w:val="32"/>
          <w:shd w:val="clear" w:color="auto" w:fill="FFFFFF"/>
        </w:rPr>
        <w:t> </w:t>
      </w:r>
    </w:p>
    <w:p>
      <w:pPr>
        <w:pStyle w:val="9"/>
        <w:widowControl/>
        <w:ind w:right="75" w:firstLine="642" w:firstLineChars="200"/>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（二）一般公共预算财政拨款支出决算结构情况</w:t>
      </w:r>
    </w:p>
    <w:p>
      <w:pPr>
        <w:pStyle w:val="9"/>
        <w:widowControl/>
        <w:ind w:right="75"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2021年一般公共预算财政拨款支出5,892.93万元，主要用于以下方面:</w:t>
      </w:r>
      <w:r>
        <w:rPr>
          <w:rStyle w:val="12"/>
          <w:rFonts w:hint="eastAsia" w:ascii="仿宋_GB2312" w:hAnsi="仿宋_GB2312" w:eastAsia="仿宋_GB2312" w:cs="仿宋_GB2312"/>
          <w:sz w:val="32"/>
          <w:szCs w:val="32"/>
          <w:shd w:val="clear" w:color="auto" w:fill="FFFFFF"/>
        </w:rPr>
        <w:t>一般公共安全（类）</w:t>
      </w:r>
      <w:r>
        <w:rPr>
          <w:rFonts w:hint="eastAsia" w:ascii="仿宋_GB2312" w:hAnsi="仿宋_GB2312" w:eastAsia="仿宋_GB2312" w:cs="仿宋_GB2312"/>
          <w:sz w:val="32"/>
          <w:szCs w:val="32"/>
          <w:shd w:val="clear" w:color="auto" w:fill="FFFFFF"/>
        </w:rPr>
        <w:t>支出5052.3万元，占85.74%；</w:t>
      </w:r>
      <w:r>
        <w:rPr>
          <w:rStyle w:val="12"/>
          <w:rFonts w:hint="eastAsia" w:ascii="仿宋_GB2312" w:hAnsi="仿宋_GB2312" w:eastAsia="仿宋_GB2312" w:cs="仿宋_GB2312"/>
          <w:sz w:val="32"/>
          <w:szCs w:val="32"/>
          <w:shd w:val="clear" w:color="auto" w:fill="FFFFFF"/>
        </w:rPr>
        <w:t>教育支出（类）</w:t>
      </w:r>
      <w:r>
        <w:rPr>
          <w:rFonts w:hint="eastAsia" w:ascii="仿宋_GB2312" w:hAnsi="仿宋_GB2312" w:eastAsia="仿宋_GB2312" w:cs="仿宋_GB2312"/>
          <w:sz w:val="32"/>
          <w:szCs w:val="32"/>
          <w:shd w:val="clear" w:color="auto" w:fill="FFFFFF"/>
        </w:rPr>
        <w:t>0.00万元，占0.00%；</w:t>
      </w:r>
      <w:r>
        <w:rPr>
          <w:rStyle w:val="12"/>
          <w:rFonts w:hint="eastAsia" w:ascii="仿宋_GB2312" w:hAnsi="仿宋_GB2312" w:eastAsia="仿宋_GB2312" w:cs="仿宋_GB2312"/>
          <w:sz w:val="32"/>
          <w:szCs w:val="32"/>
          <w:shd w:val="clear" w:color="auto" w:fill="FFFFFF"/>
        </w:rPr>
        <w:t>科学技术（类）</w:t>
      </w:r>
      <w:r>
        <w:rPr>
          <w:rFonts w:hint="eastAsia" w:ascii="仿宋_GB2312" w:hAnsi="仿宋_GB2312" w:eastAsia="仿宋_GB2312" w:cs="仿宋_GB2312"/>
          <w:sz w:val="32"/>
          <w:szCs w:val="32"/>
          <w:shd w:val="clear" w:color="auto" w:fill="FFFFFF"/>
        </w:rPr>
        <w:t>支出0.00万元，占0.00%；</w:t>
      </w:r>
      <w:r>
        <w:rPr>
          <w:rStyle w:val="12"/>
          <w:rFonts w:hint="eastAsia" w:ascii="仿宋_GB2312" w:hAnsi="仿宋_GB2312" w:eastAsia="仿宋_GB2312" w:cs="仿宋_GB2312"/>
          <w:sz w:val="32"/>
          <w:szCs w:val="32"/>
          <w:shd w:val="clear" w:color="auto" w:fill="FFFFFF"/>
        </w:rPr>
        <w:t>文化旅游体育与传媒（类）支出0.00万元，占0.00%；社会保障和就业（类）</w:t>
      </w:r>
      <w:r>
        <w:rPr>
          <w:rFonts w:hint="eastAsia" w:ascii="仿宋_GB2312" w:hAnsi="仿宋_GB2312" w:eastAsia="仿宋_GB2312" w:cs="仿宋_GB2312"/>
          <w:sz w:val="32"/>
          <w:szCs w:val="32"/>
          <w:shd w:val="clear" w:color="auto" w:fill="FFFFFF"/>
        </w:rPr>
        <w:t>支出375.52万元，占6.37%；</w:t>
      </w:r>
      <w:r>
        <w:rPr>
          <w:rStyle w:val="12"/>
          <w:rFonts w:hint="eastAsia" w:ascii="仿宋_GB2312" w:hAnsi="仿宋_GB2312" w:eastAsia="仿宋_GB2312" w:cs="仿宋_GB2312"/>
          <w:sz w:val="32"/>
          <w:szCs w:val="32"/>
          <w:shd w:val="clear" w:color="auto" w:fill="FFFFFF"/>
        </w:rPr>
        <w:t>卫生健康支出</w:t>
      </w:r>
      <w:r>
        <w:rPr>
          <w:rFonts w:hint="eastAsia" w:ascii="仿宋_GB2312" w:hAnsi="仿宋_GB2312" w:eastAsia="仿宋_GB2312" w:cs="仿宋_GB2312"/>
          <w:sz w:val="32"/>
          <w:szCs w:val="32"/>
          <w:shd w:val="clear" w:color="auto" w:fill="FFFFFF"/>
        </w:rPr>
        <w:t>154.67万元，占2.62%；住房保障支出310.45万元，占5.27%。 </w:t>
      </w:r>
    </w:p>
    <w:p>
      <w:pPr>
        <w:pStyle w:val="9"/>
        <w:widowControl/>
        <w:ind w:right="75"/>
        <w:rPr>
          <w:rFonts w:ascii="仿宋_GB2312" w:hAnsi="仿宋_GB2312" w:eastAsia="仿宋_GB2312" w:cs="仿宋_GB2312"/>
          <w:sz w:val="32"/>
          <w:szCs w:val="32"/>
          <w:shd w:val="clear" w:color="auto" w:fill="FFFFFF"/>
        </w:rPr>
      </w:pPr>
      <w:r>
        <w:drawing>
          <wp:inline distT="0" distB="0" distL="114300" distR="114300">
            <wp:extent cx="4572000" cy="2743200"/>
            <wp:effectExtent l="4445" t="4445" r="14605"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hint="eastAsia" w:ascii="仿宋_GB2312" w:hAnsi="仿宋_GB2312" w:eastAsia="仿宋_GB2312" w:cs="仿宋_GB2312"/>
          <w:sz w:val="32"/>
          <w:szCs w:val="32"/>
          <w:shd w:val="clear" w:color="auto" w:fill="FFFFFF"/>
        </w:rPr>
        <w:t> </w:t>
      </w:r>
    </w:p>
    <w:p>
      <w:pPr>
        <w:pStyle w:val="9"/>
        <w:widowControl/>
        <w:ind w:right="75" w:firstLine="642" w:firstLineChars="200"/>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（三）一般公共预算财政拨款支出决算具体情况</w:t>
      </w:r>
    </w:p>
    <w:p>
      <w:pPr>
        <w:pStyle w:val="9"/>
        <w:widowControl/>
        <w:ind w:right="75" w:firstLine="642" w:firstLineChars="200"/>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2021年一般公共预算支出决算数为5,892.93</w:t>
      </w:r>
      <w:r>
        <w:rPr>
          <w:rFonts w:hint="eastAsia" w:ascii="仿宋_GB2312" w:hAnsi="仿宋_GB2312" w:eastAsia="仿宋_GB2312" w:cs="仿宋_GB2312"/>
          <w:sz w:val="32"/>
          <w:szCs w:val="32"/>
          <w:shd w:val="clear" w:color="auto" w:fill="FFFFFF"/>
        </w:rPr>
        <w:t>，</w:t>
      </w:r>
      <w:r>
        <w:rPr>
          <w:rStyle w:val="12"/>
          <w:rFonts w:hint="eastAsia" w:ascii="仿宋_GB2312" w:hAnsi="仿宋_GB2312" w:eastAsia="仿宋_GB2312" w:cs="仿宋_GB2312"/>
          <w:sz w:val="32"/>
          <w:szCs w:val="32"/>
          <w:shd w:val="clear" w:color="auto" w:fill="FFFFFF"/>
        </w:rPr>
        <w:t>完成预算100.00%。其中：</w:t>
      </w:r>
    </w:p>
    <w:p>
      <w:pPr>
        <w:ind w:firstLine="629" w:firstLineChars="196"/>
        <w:rPr>
          <w:rFonts w:ascii="仿宋_GB2312" w:eastAsia="仿宋_GB2312"/>
          <w:sz w:val="32"/>
          <w:szCs w:val="32"/>
        </w:rPr>
      </w:pPr>
      <w:r>
        <w:rPr>
          <w:rStyle w:val="12"/>
          <w:rFonts w:hint="eastAsia" w:ascii="仿宋_GB2312" w:eastAsia="仿宋_GB2312"/>
          <w:color w:val="000000"/>
          <w:sz w:val="32"/>
          <w:szCs w:val="32"/>
        </w:rPr>
        <w:t>1.一般公共服务（204）公共安全支出（20402）公安（2040201）行政运行:</w:t>
      </w:r>
      <w:r>
        <w:rPr>
          <w:rStyle w:val="12"/>
          <w:rFonts w:hint="eastAsia" w:ascii="仿宋_GB2312" w:eastAsia="仿宋_GB2312"/>
          <w:b w:val="0"/>
          <w:color w:val="000000"/>
          <w:sz w:val="32"/>
          <w:szCs w:val="32"/>
        </w:rPr>
        <w:t xml:space="preserve"> 支出决算为</w:t>
      </w:r>
      <w:r>
        <w:rPr>
          <w:rFonts w:hint="eastAsia" w:ascii="仿宋_GB2312" w:hAnsi="Times New Roman" w:eastAsia="仿宋_GB2312" w:cs="Times New Roman"/>
          <w:b w:val="0"/>
          <w:bCs/>
          <w:color w:val="000000"/>
          <w:sz w:val="32"/>
          <w:szCs w:val="32"/>
        </w:rPr>
        <w:t>3642.96</w:t>
      </w:r>
      <w:r>
        <w:rPr>
          <w:rStyle w:val="12"/>
          <w:rFonts w:hint="eastAsia" w:ascii="仿宋_GB2312" w:eastAsia="仿宋_GB2312"/>
          <w:b w:val="0"/>
          <w:color w:val="000000"/>
          <w:sz w:val="32"/>
          <w:szCs w:val="32"/>
        </w:rPr>
        <w:t>万元，完成预算100%，</w:t>
      </w:r>
      <w:r>
        <w:rPr>
          <w:rFonts w:hint="eastAsia" w:ascii="仿宋_GB2312" w:eastAsia="仿宋_GB2312"/>
          <w:sz w:val="32"/>
          <w:szCs w:val="32"/>
        </w:rPr>
        <w:t>决算数与预算数持平。</w:t>
      </w:r>
    </w:p>
    <w:p>
      <w:pPr>
        <w:spacing w:line="600" w:lineRule="exact"/>
        <w:ind w:firstLine="642" w:firstLineChars="200"/>
        <w:rPr>
          <w:rFonts w:hint="default" w:ascii="仿宋_GB2312" w:eastAsia="仿宋_GB2312"/>
          <w:b/>
          <w:color w:val="000000"/>
          <w:sz w:val="32"/>
          <w:szCs w:val="32"/>
        </w:rPr>
      </w:pPr>
      <w:r>
        <w:rPr>
          <w:rStyle w:val="12"/>
          <w:rFonts w:hint="eastAsia" w:ascii="楷体_GB2312" w:eastAsia="楷体_GB2312"/>
          <w:color w:val="000000"/>
          <w:sz w:val="32"/>
          <w:szCs w:val="32"/>
        </w:rPr>
        <w:t>2. 公共安全支出（204）公安（20402）一般行政管理事务（2040202）:</w:t>
      </w:r>
      <w:r>
        <w:rPr>
          <w:rStyle w:val="12"/>
          <w:rFonts w:hint="eastAsia" w:ascii="仿宋_GB2312" w:eastAsia="仿宋_GB2312"/>
          <w:b w:val="0"/>
          <w:color w:val="000000"/>
          <w:sz w:val="32"/>
          <w:szCs w:val="32"/>
        </w:rPr>
        <w:t>支出决算为1409.34万元，</w:t>
      </w:r>
      <w:r>
        <w:rPr>
          <w:rStyle w:val="12"/>
          <w:rFonts w:hint="default" w:ascii="仿宋_GB2312" w:eastAsia="仿宋_GB2312"/>
          <w:b w:val="0"/>
          <w:color w:val="000000"/>
          <w:sz w:val="32"/>
          <w:szCs w:val="32"/>
        </w:rPr>
        <w:t>预算数决算数</w:t>
      </w:r>
    </w:p>
    <w:p>
      <w:pPr>
        <w:ind w:firstLine="629" w:firstLineChars="196"/>
        <w:rPr>
          <w:rFonts w:ascii="仿宋_GB2312" w:eastAsia="仿宋_GB2312"/>
          <w:sz w:val="32"/>
          <w:szCs w:val="32"/>
        </w:rPr>
      </w:pPr>
      <w:r>
        <w:rPr>
          <w:rStyle w:val="12"/>
          <w:rFonts w:hint="eastAsia" w:ascii="楷体_GB2312" w:eastAsia="楷体_GB2312"/>
          <w:color w:val="000000"/>
          <w:sz w:val="32"/>
          <w:szCs w:val="32"/>
        </w:rPr>
        <w:t>3.社会保障和就业（208）社会保障和就业支出（05）行政事业单位离退休（05）  机关事业单位基本养老保险缴费支出:</w:t>
      </w:r>
      <w:r>
        <w:rPr>
          <w:rStyle w:val="12"/>
          <w:rFonts w:hint="eastAsia" w:ascii="楷体_GB2312" w:eastAsia="楷体_GB2312"/>
          <w:b w:val="0"/>
          <w:color w:val="000000"/>
          <w:sz w:val="32"/>
          <w:szCs w:val="32"/>
        </w:rPr>
        <w:t xml:space="preserve"> 支</w:t>
      </w:r>
      <w:r>
        <w:rPr>
          <w:rStyle w:val="12"/>
          <w:rFonts w:hint="eastAsia" w:ascii="仿宋_GB2312" w:eastAsia="仿宋_GB2312"/>
          <w:b w:val="0"/>
          <w:color w:val="000000"/>
          <w:sz w:val="32"/>
          <w:szCs w:val="32"/>
        </w:rPr>
        <w:t>出决算为250.40万元，完成预算100%，</w:t>
      </w:r>
      <w:r>
        <w:rPr>
          <w:rFonts w:hint="eastAsia" w:ascii="仿宋_GB2312" w:eastAsia="仿宋_GB2312"/>
          <w:sz w:val="32"/>
          <w:szCs w:val="32"/>
        </w:rPr>
        <w:t>决算数与预算数持平。</w:t>
      </w:r>
    </w:p>
    <w:p>
      <w:pPr>
        <w:ind w:firstLine="481" w:firstLineChars="150"/>
        <w:rPr>
          <w:rFonts w:ascii="仿宋_GB2312" w:eastAsia="仿宋_GB2312"/>
          <w:sz w:val="32"/>
          <w:szCs w:val="32"/>
        </w:rPr>
      </w:pPr>
      <w:r>
        <w:rPr>
          <w:rStyle w:val="12"/>
          <w:rFonts w:hint="eastAsia" w:ascii="楷体_GB2312" w:eastAsia="楷体_GB2312"/>
          <w:color w:val="000000"/>
          <w:sz w:val="32"/>
          <w:szCs w:val="32"/>
        </w:rPr>
        <w:t>4.社会保障和就业（208）社会保障和就业支出（05）行政事业单位离退休（06）机关事业单位职业年金缴费支出:</w:t>
      </w:r>
      <w:r>
        <w:rPr>
          <w:rStyle w:val="12"/>
          <w:rFonts w:hint="eastAsia" w:ascii="仿宋_GB2312" w:eastAsia="仿宋_GB2312"/>
          <w:b w:val="0"/>
          <w:color w:val="000000"/>
          <w:sz w:val="32"/>
          <w:szCs w:val="32"/>
        </w:rPr>
        <w:t xml:space="preserve"> 支出决算为125.12万元，完成预算100%，</w:t>
      </w:r>
      <w:r>
        <w:rPr>
          <w:rFonts w:hint="eastAsia" w:ascii="仿宋_GB2312" w:eastAsia="仿宋_GB2312"/>
          <w:sz w:val="32"/>
          <w:szCs w:val="32"/>
        </w:rPr>
        <w:t>决算数与预算数持平。</w:t>
      </w:r>
    </w:p>
    <w:p>
      <w:pPr>
        <w:ind w:firstLine="629" w:firstLineChars="196"/>
        <w:rPr>
          <w:rFonts w:ascii="仿宋_GB2312" w:eastAsia="仿宋_GB2312"/>
          <w:sz w:val="32"/>
          <w:szCs w:val="32"/>
        </w:rPr>
      </w:pPr>
      <w:r>
        <w:rPr>
          <w:rStyle w:val="12"/>
          <w:rFonts w:hint="eastAsia" w:ascii="仿宋_GB2312" w:eastAsia="仿宋_GB2312"/>
          <w:color w:val="000000"/>
          <w:sz w:val="32"/>
          <w:szCs w:val="32"/>
        </w:rPr>
        <w:t>5.医疗卫生与计划生育（210）医疗卫生与计划生育支出（21011）行政事业单位医疗（2101101）行政单位医疗:</w:t>
      </w:r>
      <w:r>
        <w:rPr>
          <w:rStyle w:val="12"/>
          <w:rFonts w:hint="eastAsia" w:ascii="仿宋_GB2312" w:eastAsia="仿宋_GB2312"/>
          <w:b w:val="0"/>
          <w:color w:val="000000"/>
          <w:sz w:val="32"/>
          <w:szCs w:val="32"/>
        </w:rPr>
        <w:t>支出决算为116.78万元，完成预算100%，</w:t>
      </w:r>
      <w:r>
        <w:rPr>
          <w:rFonts w:hint="eastAsia" w:ascii="仿宋_GB2312" w:eastAsia="仿宋_GB2312"/>
          <w:sz w:val="32"/>
          <w:szCs w:val="32"/>
        </w:rPr>
        <w:t>决算数与预算数持平。</w:t>
      </w:r>
    </w:p>
    <w:p>
      <w:pPr>
        <w:ind w:firstLine="629" w:firstLineChars="196"/>
        <w:rPr>
          <w:rFonts w:ascii="仿宋_GB2312" w:eastAsia="仿宋_GB2312"/>
          <w:sz w:val="32"/>
          <w:szCs w:val="32"/>
        </w:rPr>
      </w:pPr>
      <w:r>
        <w:rPr>
          <w:rStyle w:val="12"/>
          <w:rFonts w:hint="eastAsia" w:ascii="仿宋_GB2312" w:eastAsia="仿宋_GB2312"/>
          <w:color w:val="000000"/>
          <w:sz w:val="32"/>
          <w:szCs w:val="32"/>
        </w:rPr>
        <w:t>6.医疗卫生与计划生育（210）医疗卫生与计划生育支出（21011）行政事业单位医疗（2101103）公务员医疗补助:</w:t>
      </w:r>
      <w:r>
        <w:rPr>
          <w:rStyle w:val="12"/>
          <w:rFonts w:hint="eastAsia" w:ascii="仿宋_GB2312" w:eastAsia="仿宋_GB2312"/>
          <w:b w:val="0"/>
          <w:color w:val="000000"/>
          <w:sz w:val="32"/>
          <w:szCs w:val="32"/>
        </w:rPr>
        <w:t>支出决算为35.64万元，完成预算100%，</w:t>
      </w:r>
      <w:r>
        <w:rPr>
          <w:rFonts w:hint="eastAsia" w:ascii="仿宋_GB2312" w:eastAsia="仿宋_GB2312"/>
          <w:sz w:val="32"/>
          <w:szCs w:val="32"/>
        </w:rPr>
        <w:t>决算数与预算数持平。</w:t>
      </w:r>
    </w:p>
    <w:p>
      <w:pPr>
        <w:ind w:firstLine="627" w:firstLineChars="196"/>
        <w:rPr>
          <w:rFonts w:ascii="仿宋_GB2312" w:eastAsia="仿宋_GB2312"/>
          <w:sz w:val="32"/>
          <w:szCs w:val="32"/>
        </w:rPr>
      </w:pPr>
      <w:r>
        <w:rPr>
          <w:rFonts w:hint="eastAsia" w:ascii="仿宋_GB2312" w:eastAsia="仿宋_GB2312"/>
          <w:color w:val="000000"/>
          <w:sz w:val="32"/>
          <w:szCs w:val="32"/>
        </w:rPr>
        <w:t>7</w:t>
      </w:r>
      <w:r>
        <w:rPr>
          <w:rStyle w:val="12"/>
          <w:rFonts w:hint="eastAsia" w:ascii="仿宋_GB2312" w:eastAsia="仿宋_GB2312"/>
          <w:color w:val="000000"/>
          <w:sz w:val="32"/>
          <w:szCs w:val="32"/>
        </w:rPr>
        <w:t>.住房保障支出（221）住房改革支出（22102）住房改革支出（2210201）住房公积金:</w:t>
      </w:r>
      <w:r>
        <w:rPr>
          <w:rStyle w:val="12"/>
          <w:rFonts w:hint="eastAsia" w:ascii="仿宋_GB2312" w:eastAsia="仿宋_GB2312"/>
          <w:b w:val="0"/>
          <w:color w:val="000000"/>
          <w:sz w:val="32"/>
          <w:szCs w:val="32"/>
        </w:rPr>
        <w:t>支出决算为309.22万元，完成预算100%，</w:t>
      </w:r>
      <w:r>
        <w:rPr>
          <w:rFonts w:hint="eastAsia" w:ascii="仿宋_GB2312" w:eastAsia="仿宋_GB2312"/>
          <w:sz w:val="32"/>
          <w:szCs w:val="32"/>
        </w:rPr>
        <w:t>决算数与预算数持平。</w:t>
      </w:r>
    </w:p>
    <w:p>
      <w:pPr>
        <w:ind w:firstLine="629" w:firstLineChars="196"/>
        <w:rPr>
          <w:rFonts w:ascii="仿宋_GB2312" w:eastAsia="仿宋_GB2312"/>
          <w:sz w:val="32"/>
          <w:szCs w:val="32"/>
        </w:rPr>
      </w:pPr>
      <w:r>
        <w:rPr>
          <w:rStyle w:val="12"/>
          <w:rFonts w:hint="eastAsia" w:ascii="仿宋_GB2312" w:eastAsia="仿宋_GB2312"/>
          <w:color w:val="000000"/>
          <w:sz w:val="32"/>
          <w:szCs w:val="32"/>
        </w:rPr>
        <w:t>8.住房保障支出（221）住房改革支出（22102）购房补贴（2210203）:</w:t>
      </w:r>
      <w:r>
        <w:rPr>
          <w:rStyle w:val="12"/>
          <w:rFonts w:hint="eastAsia" w:ascii="仿宋_GB2312" w:eastAsia="仿宋_GB2312"/>
          <w:b w:val="0"/>
          <w:color w:val="000000"/>
          <w:sz w:val="32"/>
          <w:szCs w:val="32"/>
        </w:rPr>
        <w:t>支出决算为1.23万元，</w:t>
      </w:r>
      <w:r>
        <w:rPr>
          <w:rFonts w:hint="eastAsia" w:ascii="仿宋_GB2312" w:eastAsia="仿宋_GB2312"/>
          <w:sz w:val="32"/>
          <w:szCs w:val="32"/>
        </w:rPr>
        <w:t>决算数与预算数持平。</w:t>
      </w:r>
    </w:p>
    <w:p>
      <w:pPr>
        <w:pStyle w:val="9"/>
        <w:widowControl/>
        <w:ind w:right="75"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shd w:val="clear" w:color="auto" w:fill="FFFFFF"/>
        </w:rPr>
        <w:t>六</w:t>
      </w:r>
      <w:r>
        <w:rPr>
          <w:rStyle w:val="12"/>
          <w:rFonts w:hint="eastAsia" w:ascii="仿宋_GB2312" w:hAnsi="仿宋_GB2312" w:eastAsia="仿宋_GB2312" w:cs="仿宋_GB2312"/>
          <w:bCs/>
          <w:sz w:val="32"/>
          <w:szCs w:val="32"/>
          <w:shd w:val="clear" w:color="auto" w:fill="FFFFFF"/>
        </w:rPr>
        <w:t>、一</w:t>
      </w:r>
      <w:r>
        <w:rPr>
          <w:rFonts w:hint="eastAsia" w:ascii="仿宋_GB2312" w:hAnsi="仿宋_GB2312" w:eastAsia="仿宋_GB2312" w:cs="仿宋_GB2312"/>
          <w:b/>
          <w:bCs/>
          <w:sz w:val="32"/>
          <w:szCs w:val="32"/>
          <w:shd w:val="clear" w:color="auto" w:fill="FFFFFF"/>
        </w:rPr>
        <w:t>般公共预算财政拨款基本支出决算情况说明   </w:t>
      </w:r>
    </w:p>
    <w:p>
      <w:pPr>
        <w:pStyle w:val="9"/>
        <w:widowControl/>
        <w:ind w:right="75"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2021年一般公共预算财政拨款基本支出4,481.34万元，其中：</w:t>
      </w:r>
    </w:p>
    <w:p>
      <w:pPr>
        <w:pStyle w:val="9"/>
        <w:widowControl/>
        <w:ind w:right="75"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人员经费4,133.33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9"/>
        <w:widowControl/>
        <w:ind w:right="75"/>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公用经费348.02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 </w:t>
      </w:r>
    </w:p>
    <w:p>
      <w:pPr>
        <w:pStyle w:val="9"/>
        <w:widowControl/>
        <w:ind w:right="75"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shd w:val="clear" w:color="auto" w:fill="FFFFFF"/>
        </w:rPr>
        <w:t>七、“三公”经费财政拨款支出决算情况说明</w:t>
      </w:r>
    </w:p>
    <w:p>
      <w:pPr>
        <w:pStyle w:val="9"/>
        <w:widowControl/>
        <w:ind w:right="75" w:firstLine="321" w:firstLineChars="100"/>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（一）“三公”经费财政拨款支出决算总体情况说明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2021年“三公”经费财政拨款支出决算为313.63万元，完成预算100%，</w:t>
      </w:r>
      <w:r>
        <w:rPr>
          <w:rFonts w:hint="eastAsia" w:ascii="仿宋_GB2312" w:eastAsia="仿宋_GB2312"/>
          <w:sz w:val="32"/>
          <w:szCs w:val="32"/>
        </w:rPr>
        <w:t>决算数大于预算数。主要原因是2021年使用的公务用车购置费、公务用车运行维护费是上级下达的转移支付资金，不在年初预算内。</w:t>
      </w:r>
    </w:p>
    <w:p>
      <w:pPr>
        <w:pStyle w:val="9"/>
        <w:widowControl/>
        <w:ind w:right="75" w:firstLine="642" w:firstLineChars="200"/>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（二）“三公”经费财政拨款支出决算具体情况说明</w:t>
      </w:r>
    </w:p>
    <w:p>
      <w:pPr>
        <w:pStyle w:val="9"/>
        <w:widowControl/>
        <w:ind w:right="75"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2021年“三公”经费财政拨款支出决算中，因公出国（境）费支出决算0.00万元，占0.00%；公务用车购置及运行维护费支出决算310.05万元，占98.86%；公务接待费支出决算3.58万元，占1.14%。具体情况如下：</w:t>
      </w:r>
    </w:p>
    <w:p>
      <w:pPr>
        <w:pStyle w:val="9"/>
        <w:widowControl/>
        <w:ind w:left="719" w:leftChars="228" w:right="75" w:hanging="240" w:hangingChars="100"/>
      </w:pPr>
      <w:r>
        <w:drawing>
          <wp:inline distT="0" distB="0" distL="114300" distR="114300">
            <wp:extent cx="4572000" cy="2743200"/>
            <wp:effectExtent l="4445" t="4445" r="14605" b="14605"/>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9"/>
        <w:widowControl/>
        <w:ind w:right="75" w:firstLine="642" w:firstLineChars="200"/>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1.因公出国（境）经费支出</w:t>
      </w:r>
      <w:r>
        <w:rPr>
          <w:rFonts w:hint="eastAsia" w:ascii="仿宋_GB2312" w:hAnsi="仿宋_GB2312" w:eastAsia="仿宋_GB2312" w:cs="仿宋_GB2312"/>
          <w:sz w:val="32"/>
          <w:szCs w:val="32"/>
          <w:shd w:val="clear" w:color="auto" w:fill="FFFFFF"/>
        </w:rPr>
        <w:t>0.00万元，</w:t>
      </w:r>
      <w:r>
        <w:rPr>
          <w:rStyle w:val="12"/>
          <w:rFonts w:hint="eastAsia" w:ascii="仿宋_GB2312" w:hAnsi="仿宋_GB2312" w:eastAsia="仿宋_GB2312" w:cs="仿宋_GB2312"/>
          <w:sz w:val="32"/>
          <w:szCs w:val="32"/>
          <w:shd w:val="clear" w:color="auto" w:fill="FFFFFF"/>
        </w:rPr>
        <w:t>完成预算0.00%。</w:t>
      </w:r>
      <w:r>
        <w:rPr>
          <w:rFonts w:hint="eastAsia" w:ascii="仿宋_GB2312" w:hAnsi="仿宋_GB2312" w:eastAsia="仿宋_GB2312" w:cs="仿宋_GB2312"/>
          <w:sz w:val="32"/>
          <w:szCs w:val="32"/>
          <w:shd w:val="clear" w:color="auto" w:fill="FFFFFF"/>
        </w:rPr>
        <w:t>全年安排因公出国（境）团组0次，出国（境）0人。因公出国（境）支出决算比2020年增加0.00万元，增长0.00%。</w:t>
      </w:r>
    </w:p>
    <w:p>
      <w:pPr>
        <w:pStyle w:val="9"/>
        <w:widowControl/>
        <w:ind w:right="75" w:firstLine="642" w:firstLineChars="200"/>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2.公务用车购置及运行维护费支出</w:t>
      </w:r>
      <w:r>
        <w:rPr>
          <w:rFonts w:hint="eastAsia" w:ascii="仿宋_GB2312" w:hAnsi="仿宋_GB2312" w:eastAsia="仿宋_GB2312" w:cs="仿宋_GB2312"/>
          <w:sz w:val="32"/>
          <w:szCs w:val="32"/>
          <w:shd w:val="clear" w:color="auto" w:fill="FFFFFF"/>
        </w:rPr>
        <w:t>310.05万元,</w:t>
      </w:r>
      <w:r>
        <w:rPr>
          <w:rStyle w:val="12"/>
          <w:rFonts w:hint="eastAsia" w:ascii="仿宋_GB2312" w:hAnsi="仿宋_GB2312" w:eastAsia="仿宋_GB2312" w:cs="仿宋_GB2312"/>
          <w:sz w:val="32"/>
          <w:szCs w:val="32"/>
          <w:shd w:val="clear" w:color="auto" w:fill="FFFFFF"/>
        </w:rPr>
        <w:t>完成预算0.00%。</w:t>
      </w:r>
      <w:r>
        <w:rPr>
          <w:rFonts w:hint="eastAsia" w:ascii="仿宋_GB2312" w:hAnsi="仿宋_GB2312" w:eastAsia="仿宋_GB2312" w:cs="仿宋_GB2312"/>
          <w:sz w:val="32"/>
          <w:szCs w:val="32"/>
          <w:shd w:val="clear" w:color="auto" w:fill="FFFFFF"/>
        </w:rPr>
        <w:t>公务用车购置及运行维护费支出决算比2020年增加145.31万元，增长88.20%。主要原因是</w:t>
      </w:r>
      <w:r>
        <w:rPr>
          <w:rFonts w:hint="eastAsia" w:ascii="仿宋_GB2312" w:eastAsia="仿宋_GB2312"/>
          <w:sz w:val="32"/>
          <w:szCs w:val="32"/>
        </w:rPr>
        <w:t>维稳任务重、案件增多等</w:t>
      </w:r>
      <w:r>
        <w:rPr>
          <w:rFonts w:hint="eastAsia" w:ascii="仿宋_GB2312" w:hAnsi="仿宋_GB2312" w:eastAsia="仿宋_GB2312" w:cs="仿宋_GB2312"/>
          <w:sz w:val="32"/>
          <w:szCs w:val="32"/>
          <w:shd w:val="clear" w:color="auto" w:fill="FFFFFF"/>
        </w:rPr>
        <w:t>。</w:t>
      </w:r>
    </w:p>
    <w:p>
      <w:pPr>
        <w:pStyle w:val="9"/>
        <w:widowControl/>
        <w:ind w:right="75"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其中：</w:t>
      </w:r>
      <w:r>
        <w:rPr>
          <w:rStyle w:val="12"/>
          <w:rFonts w:hint="eastAsia" w:ascii="仿宋_GB2312" w:hAnsi="仿宋_GB2312" w:eastAsia="仿宋_GB2312" w:cs="仿宋_GB2312"/>
          <w:sz w:val="32"/>
          <w:szCs w:val="32"/>
          <w:shd w:val="clear" w:color="auto" w:fill="FFFFFF"/>
        </w:rPr>
        <w:t>公务用车购置支出</w:t>
      </w:r>
      <w:r>
        <w:rPr>
          <w:rFonts w:hint="eastAsia" w:ascii="仿宋_GB2312" w:hAnsi="仿宋_GB2312" w:eastAsia="仿宋_GB2312" w:cs="仿宋_GB2312"/>
          <w:sz w:val="32"/>
          <w:szCs w:val="32"/>
          <w:shd w:val="clear" w:color="auto" w:fill="FFFFFF"/>
        </w:rPr>
        <w:t>131.05万元。全年按规定更新购置公务用车5辆，其中：轿车0辆、金额0万元，越野车5辆、金额131.05万元，载客汽车0辆、金额0万元，主要用于执法执勤。截至2021年12月底，单位共有公务用车40辆，其中：轿车16辆、越野车21辆、载客汽车3辆。</w:t>
      </w:r>
    </w:p>
    <w:p>
      <w:pPr>
        <w:ind w:firstLine="629" w:firstLineChars="196"/>
        <w:rPr>
          <w:rFonts w:ascii="仿宋_GB2312" w:eastAsia="仿宋_GB2312"/>
          <w:sz w:val="32"/>
          <w:szCs w:val="32"/>
        </w:rPr>
      </w:pPr>
      <w:r>
        <w:rPr>
          <w:rStyle w:val="12"/>
          <w:rFonts w:hint="eastAsia" w:ascii="仿宋_GB2312" w:hAnsi="仿宋_GB2312" w:eastAsia="仿宋_GB2312" w:cs="仿宋_GB2312"/>
          <w:sz w:val="32"/>
          <w:szCs w:val="32"/>
          <w:shd w:val="clear" w:color="auto" w:fill="FFFFFF"/>
        </w:rPr>
        <w:t>公务用车运行维护费支出</w:t>
      </w:r>
      <w:r>
        <w:rPr>
          <w:rFonts w:hint="eastAsia" w:ascii="仿宋_GB2312" w:hAnsi="仿宋_GB2312" w:eastAsia="仿宋_GB2312" w:cs="仿宋_GB2312"/>
          <w:sz w:val="32"/>
          <w:szCs w:val="32"/>
          <w:shd w:val="clear" w:color="auto" w:fill="FFFFFF"/>
        </w:rPr>
        <w:t>179.00万元。</w:t>
      </w:r>
      <w:r>
        <w:rPr>
          <w:rFonts w:hint="eastAsia" w:ascii="仿宋_GB2312" w:eastAsia="仿宋_GB2312"/>
          <w:sz w:val="32"/>
          <w:szCs w:val="32"/>
        </w:rPr>
        <w:t>主要用于32辆执勤执法用车和8辆特种车辆的燃料费、维修费、过路过桥费、保险费等支出。决算数与预算数持平。</w:t>
      </w:r>
    </w:p>
    <w:p>
      <w:pPr>
        <w:pStyle w:val="9"/>
        <w:widowControl/>
        <w:ind w:right="75" w:firstLine="642" w:firstLineChars="200"/>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3.公务接待费支出</w:t>
      </w:r>
      <w:r>
        <w:rPr>
          <w:rFonts w:hint="eastAsia" w:ascii="仿宋_GB2312" w:hAnsi="仿宋_GB2312" w:eastAsia="仿宋_GB2312" w:cs="仿宋_GB2312"/>
          <w:sz w:val="32"/>
          <w:szCs w:val="32"/>
          <w:shd w:val="clear" w:color="auto" w:fill="FFFFFF"/>
        </w:rPr>
        <w:t>3.58万元，</w:t>
      </w:r>
      <w:r>
        <w:rPr>
          <w:rStyle w:val="12"/>
          <w:rFonts w:hint="eastAsia" w:ascii="仿宋_GB2312" w:hAnsi="仿宋_GB2312" w:eastAsia="仿宋_GB2312" w:cs="仿宋_GB2312"/>
          <w:sz w:val="32"/>
          <w:szCs w:val="32"/>
          <w:shd w:val="clear" w:color="auto" w:fill="FFFFFF"/>
        </w:rPr>
        <w:t>完成预算100%。</w:t>
      </w:r>
      <w:r>
        <w:rPr>
          <w:rFonts w:hint="eastAsia" w:ascii="仿宋_GB2312" w:hAnsi="仿宋_GB2312" w:eastAsia="仿宋_GB2312" w:cs="仿宋_GB2312"/>
          <w:sz w:val="32"/>
          <w:szCs w:val="32"/>
          <w:shd w:val="clear" w:color="auto" w:fill="FFFFFF"/>
        </w:rPr>
        <w:t>公务接待费支出决算比2020年增加-0.05万元，增长-1.39%。主要原因是严格执行中央“八项规定”厉行节俭。</w:t>
      </w:r>
    </w:p>
    <w:p>
      <w:pPr>
        <w:pStyle w:val="9"/>
        <w:widowControl/>
        <w:ind w:right="75" w:firstLine="642" w:firstLineChars="200"/>
        <w:rPr>
          <w:rFonts w:ascii="仿宋_GB2312" w:hAnsi="仿宋_GB2312" w:eastAsia="仿宋_GB2312" w:cs="仿宋_GB2312"/>
          <w:sz w:val="32"/>
          <w:szCs w:val="32"/>
          <w:shd w:val="clear" w:color="auto" w:fill="FFFFFF"/>
        </w:rPr>
      </w:pPr>
      <w:r>
        <w:rPr>
          <w:rStyle w:val="12"/>
          <w:rFonts w:hint="eastAsia" w:ascii="仿宋_GB2312" w:hAnsi="仿宋_GB2312" w:eastAsia="仿宋_GB2312" w:cs="仿宋_GB2312"/>
          <w:sz w:val="32"/>
          <w:szCs w:val="32"/>
          <w:shd w:val="clear" w:color="auto" w:fill="FFFFFF"/>
        </w:rPr>
        <w:t>国内公务接待支出</w:t>
      </w:r>
      <w:r>
        <w:rPr>
          <w:rFonts w:hint="eastAsia" w:ascii="仿宋_GB2312" w:hAnsi="仿宋_GB2312" w:eastAsia="仿宋_GB2312" w:cs="仿宋_GB2312"/>
          <w:sz w:val="32"/>
          <w:szCs w:val="32"/>
          <w:shd w:val="clear" w:color="auto" w:fill="FFFFFF"/>
        </w:rPr>
        <w:t>3.58万元，主要用于执行公务、开展业务活动开支的住宿费、用餐费。国内公务接待35批次，318人次（不包括陪同人员），共计支出3.58万元。</w:t>
      </w:r>
    </w:p>
    <w:p>
      <w:pPr>
        <w:pStyle w:val="9"/>
        <w:widowControl/>
        <w:ind w:right="75" w:firstLine="642" w:firstLineChars="200"/>
        <w:rPr>
          <w:rFonts w:ascii="仿宋_GB2312" w:hAnsi="仿宋_GB2312" w:eastAsia="仿宋_GB2312" w:cs="仿宋_GB2312"/>
          <w:sz w:val="32"/>
          <w:szCs w:val="32"/>
          <w:shd w:val="clear" w:color="auto" w:fill="FFFFFF"/>
        </w:rPr>
      </w:pPr>
      <w:r>
        <w:rPr>
          <w:rStyle w:val="12"/>
          <w:rFonts w:hint="eastAsia" w:ascii="仿宋_GB2312" w:hAnsi="仿宋_GB2312" w:eastAsia="仿宋_GB2312" w:cs="仿宋_GB2312"/>
          <w:sz w:val="32"/>
          <w:szCs w:val="32"/>
          <w:shd w:val="clear" w:color="auto" w:fill="FFFFFF"/>
        </w:rPr>
        <w:t>外事接待支出</w:t>
      </w:r>
      <w:r>
        <w:rPr>
          <w:rFonts w:hint="eastAsia" w:ascii="仿宋_GB2312" w:hAnsi="仿宋_GB2312" w:eastAsia="仿宋_GB2312" w:cs="仿宋_GB2312"/>
          <w:sz w:val="32"/>
          <w:szCs w:val="32"/>
          <w:shd w:val="clear" w:color="auto" w:fill="FFFFFF"/>
        </w:rPr>
        <w:t>0.00万元，外事接待0批次，0人，共计支出0.00万元。</w:t>
      </w:r>
    </w:p>
    <w:p>
      <w:pPr>
        <w:pStyle w:val="9"/>
        <w:widowControl/>
        <w:ind w:right="75"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shd w:val="clear" w:color="auto" w:fill="FFFFFF"/>
        </w:rPr>
        <w:t>八、政府性基金预算支出决算情况说明</w:t>
      </w:r>
    </w:p>
    <w:p>
      <w:pPr>
        <w:pStyle w:val="9"/>
        <w:widowControl/>
        <w:ind w:right="75"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2021年政府性基金预算财政拨款支出0.00万元。</w:t>
      </w:r>
    </w:p>
    <w:p>
      <w:pPr>
        <w:widowControl/>
        <w:spacing w:beforeAutospacing="1" w:afterAutospacing="1"/>
        <w:ind w:left="360" w:right="75"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国有资本经营预算支出决算情况说明</w:t>
      </w:r>
    </w:p>
    <w:p>
      <w:pPr>
        <w:pStyle w:val="9"/>
        <w:widowControl/>
        <w:ind w:right="75"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2021年国有资本经营预算财政拨款支出0.00万元。 </w:t>
      </w:r>
    </w:p>
    <w:p>
      <w:pPr>
        <w:widowControl/>
        <w:spacing w:beforeAutospacing="1" w:afterAutospacing="1"/>
        <w:ind w:left="360" w:right="75"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其他重要事项的情况说明</w:t>
      </w:r>
    </w:p>
    <w:p>
      <w:pPr>
        <w:pStyle w:val="9"/>
        <w:widowControl/>
        <w:ind w:right="75" w:firstLine="642" w:firstLineChars="200"/>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（一）机关运行经费支出情况</w:t>
      </w:r>
    </w:p>
    <w:p>
      <w:pPr>
        <w:pStyle w:val="9"/>
        <w:widowControl/>
        <w:ind w:right="75"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2021年，阿坝州金川县公安局机关运行经费支出348.02万元，比2020年增加2.90万元，增长0.84%，主要原因</w:t>
      </w:r>
      <w:r>
        <w:rPr>
          <w:rFonts w:hint="default" w:ascii="仿宋_GB2312" w:hAnsi="仿宋_GB2312" w:eastAsia="仿宋_GB2312" w:cs="仿宋_GB2312"/>
          <w:sz w:val="32"/>
          <w:szCs w:val="32"/>
          <w:shd w:val="clear" w:color="auto" w:fill="FFFFFF"/>
        </w:rPr>
        <w:t>人员增加公用经费相应增加</w:t>
      </w:r>
      <w:r>
        <w:rPr>
          <w:rFonts w:hint="eastAsia" w:ascii="仿宋_GB2312" w:hAnsi="仿宋_GB2312" w:eastAsia="仿宋_GB2312" w:cs="仿宋_GB2312"/>
          <w:sz w:val="32"/>
          <w:szCs w:val="32"/>
          <w:shd w:val="clear" w:color="auto" w:fill="FFFFFF"/>
        </w:rPr>
        <w:t>。</w:t>
      </w:r>
    </w:p>
    <w:p>
      <w:pPr>
        <w:pStyle w:val="9"/>
        <w:widowControl/>
        <w:ind w:right="75" w:firstLine="642" w:firstLineChars="200"/>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（二）政府采购支出情况</w:t>
      </w:r>
    </w:p>
    <w:p>
      <w:pPr>
        <w:pStyle w:val="9"/>
        <w:widowControl/>
        <w:ind w:right="75"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2021年，阿坝州金川县公安局政府采购支出总额259.04万元，其中：政府采购货物支出259.04万元、政府采购工程支出0.00万元、政府采购服务支出0.00万元。主要</w:t>
      </w:r>
      <w:r>
        <w:rPr>
          <w:rFonts w:hint="eastAsia" w:ascii="仿宋_GB2312" w:hAnsi="仿宋" w:eastAsia="仿宋_GB2312" w:cs="仿宋"/>
          <w:bCs/>
          <w:color w:val="000000"/>
          <w:sz w:val="32"/>
          <w:szCs w:val="32"/>
        </w:rPr>
        <w:t>公安装备采购及智慧监所专用设备采购</w:t>
      </w:r>
      <w:r>
        <w:rPr>
          <w:rFonts w:hint="eastAsia" w:ascii="仿宋_GB2312" w:hAnsi="仿宋_GB2312" w:eastAsia="仿宋_GB2312" w:cs="仿宋_GB2312"/>
          <w:sz w:val="32"/>
          <w:szCs w:val="32"/>
          <w:shd w:val="clear" w:color="auto" w:fill="FFFFFF"/>
        </w:rPr>
        <w:t>。授予中小企业合同金额259.04万元，占政府采购支出总额的100.00%，其中：授予小微企业合同金额259.04万元，占政府采购支出总额的100.00%。</w:t>
      </w:r>
    </w:p>
    <w:p>
      <w:pPr>
        <w:pStyle w:val="9"/>
        <w:widowControl/>
        <w:ind w:right="75" w:firstLine="642" w:firstLineChars="200"/>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（三）国有资产占有使用情况</w:t>
      </w:r>
    </w:p>
    <w:p>
      <w:pPr>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截至2021年12月31日，阿坝州金川县公安局共有车辆40辆，其中：主要领导干部用车0辆、</w:t>
      </w:r>
      <w:r>
        <w:rPr>
          <w:rFonts w:hint="eastAsia" w:ascii="仿宋_GB2312" w:eastAsia="仿宋_GB2312"/>
          <w:sz w:val="32"/>
          <w:szCs w:val="32"/>
        </w:rPr>
        <w:t>一般执法执勤用车32辆、特种专业技术用车8辆、其他用车0辆；单价50万元以上通用设备0台（套），单价100万元以上专用设备0台（套）。</w:t>
      </w:r>
    </w:p>
    <w:p>
      <w:pPr>
        <w:pStyle w:val="9"/>
        <w:widowControl/>
        <w:spacing w:beforeAutospacing="0" w:afterAutospacing="0" w:line="560" w:lineRule="exact"/>
        <w:ind w:right="75" w:firstLine="321" w:firstLineChars="100"/>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（四）预算绩效管理情况</w:t>
      </w:r>
    </w:p>
    <w:p>
      <w:pPr>
        <w:spacing w:line="560" w:lineRule="exact"/>
        <w:ind w:firstLine="642" w:firstLineChars="200"/>
        <w:rPr>
          <w:rFonts w:ascii="楷体_GB2312" w:eastAsia="楷体_GB2312"/>
          <w:b/>
          <w:sz w:val="32"/>
          <w:szCs w:val="32"/>
        </w:rPr>
      </w:pPr>
      <w:r>
        <w:rPr>
          <w:rFonts w:hint="eastAsia" w:ascii="楷体_GB2312" w:eastAsia="楷体_GB2312"/>
          <w:b/>
          <w:sz w:val="32"/>
          <w:szCs w:val="32"/>
        </w:rPr>
        <w:t>1.绩效目标管理情况。</w:t>
      </w:r>
    </w:p>
    <w:p>
      <w:pPr>
        <w:spacing w:line="560" w:lineRule="exact"/>
        <w:ind w:firstLine="480" w:firstLineChars="150"/>
        <w:rPr>
          <w:rFonts w:ascii="仿宋_GB2312" w:eastAsia="仿宋_GB2312"/>
          <w:sz w:val="32"/>
          <w:szCs w:val="32"/>
        </w:rPr>
      </w:pPr>
      <w:r>
        <w:rPr>
          <w:rFonts w:hint="eastAsia" w:ascii="仿宋_GB2312" w:eastAsia="仿宋_GB2312"/>
          <w:sz w:val="32"/>
          <w:szCs w:val="32"/>
        </w:rPr>
        <w:t>按照预算绩效管理要求，本部门对2021年一般公共预算项目支出开展了绩效目标管理，</w:t>
      </w:r>
      <w:r>
        <w:rPr>
          <w:rFonts w:hint="eastAsia" w:ascii="仿宋_GB2312" w:hAnsi="仿宋" w:eastAsia="仿宋_GB2312"/>
          <w:color w:val="333333"/>
          <w:sz w:val="32"/>
          <w:szCs w:val="32"/>
          <w:shd w:val="clear" w:color="auto" w:fill="FFFFFF"/>
        </w:rPr>
        <w:t xml:space="preserve">财政拨款安排支出主要用于保障单位正常运转、完成日常工作任务、维稳、办案、处置突发事件等工作 </w:t>
      </w:r>
      <w:r>
        <w:rPr>
          <w:rFonts w:hint="eastAsia" w:ascii="仿宋_GB2312" w:hAnsi="宋体" w:eastAsia="仿宋_GB2312" w:cs="宋体"/>
          <w:color w:val="000000"/>
          <w:kern w:val="0"/>
          <w:sz w:val="32"/>
          <w:lang w:val="zh-CN"/>
        </w:rPr>
        <w:t>；</w:t>
      </w:r>
      <w:r>
        <w:rPr>
          <w:rFonts w:hint="eastAsia" w:ascii="仿宋_GB2312" w:eastAsia="仿宋_GB2312"/>
          <w:sz w:val="32"/>
          <w:szCs w:val="32"/>
        </w:rPr>
        <w:t>上级补助办案（业务）经费保障大大缓解了县公安局经费不足的困难局面，减轻了公安机关业务办案经费支出和装备购置的压力，为民警侦察破案提供了强有力的经费保障，调动了民警工作积极性。并且严格按照有关政法经费分类保障管理办法确定的开支范围列支各项支出，并设置明细账，实行单独核算和反映，确保专款专用。实现预期目标，资金使用效益良好。</w:t>
      </w:r>
    </w:p>
    <w:p>
      <w:pPr>
        <w:ind w:firstLine="481" w:firstLineChars="150"/>
        <w:rPr>
          <w:rFonts w:ascii="楷体_GB2312" w:eastAsia="楷体_GB2312"/>
          <w:b/>
          <w:sz w:val="32"/>
          <w:szCs w:val="32"/>
        </w:rPr>
      </w:pPr>
      <w:r>
        <w:rPr>
          <w:rFonts w:hint="eastAsia" w:ascii="楷体_GB2312" w:eastAsia="楷体_GB2312"/>
          <w:b/>
          <w:sz w:val="32"/>
          <w:szCs w:val="32"/>
        </w:rPr>
        <w:t>2.部门整体支出绩效自评开展情况。</w:t>
      </w:r>
    </w:p>
    <w:p>
      <w:pPr>
        <w:ind w:firstLine="640" w:firstLineChars="200"/>
        <w:rPr>
          <w:rFonts w:ascii="仿宋_GB2312" w:hAnsi="仿宋_GB2312" w:eastAsia="仿宋_GB2312" w:cs="仿宋_GB2312"/>
          <w:sz w:val="32"/>
          <w:szCs w:val="32"/>
        </w:rPr>
      </w:pPr>
      <w:r>
        <w:rPr>
          <w:rFonts w:hint="eastAsia" w:ascii="仿宋_GB2312" w:eastAsia="仿宋_GB2312"/>
          <w:sz w:val="32"/>
          <w:szCs w:val="32"/>
        </w:rPr>
        <w:t>按照预算绩效管理要求，本部门对2021年整体支出开展绩效自评，自评得分88.36分。存在的问题：大多项目都还处于实施阶段，资金尚未支付，造成财政资金支出进度过慢。在今后的工作中，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继续加大项目实施力度，加快支出进度。</w:t>
      </w:r>
      <w:r>
        <w:rPr>
          <w:rFonts w:hint="eastAsia" w:ascii="仿宋_GB2312" w:hAnsi="仿宋_GB2312" w:eastAsia="仿宋_GB2312" w:cs="仿宋_GB2312"/>
          <w:sz w:val="32"/>
          <w:szCs w:val="32"/>
          <w:shd w:val="clear" w:color="auto" w:fill="FFFFFF"/>
        </w:rPr>
        <w:t> </w:t>
      </w:r>
    </w:p>
    <w:p>
      <w:pPr>
        <w:pStyle w:val="9"/>
        <w:widowControl/>
        <w:ind w:right="75"/>
        <w:jc w:val="center"/>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第三部分 名词解释</w:t>
      </w:r>
    </w:p>
    <w:p>
      <w:pPr>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ind w:firstLine="480" w:firstLineChars="150"/>
        <w:rPr>
          <w:rFonts w:ascii="仿宋_GB2312" w:eastAsia="仿宋_GB2312"/>
          <w:sz w:val="32"/>
          <w:szCs w:val="32"/>
        </w:rPr>
      </w:pPr>
      <w:r>
        <w:rPr>
          <w:rFonts w:hint="eastAsia" w:ascii="仿宋_GB2312" w:eastAsia="仿宋_GB2312"/>
          <w:sz w:val="32"/>
          <w:szCs w:val="32"/>
        </w:rPr>
        <w:t>2.年初结转和结余：指以前年度尚未完成、结转到本年按有关规定继续使用的资金。</w:t>
      </w:r>
    </w:p>
    <w:p>
      <w:pPr>
        <w:ind w:firstLine="480" w:firstLineChars="150"/>
        <w:rPr>
          <w:rFonts w:ascii="仿宋_GB2312" w:eastAsia="仿宋_GB2312"/>
          <w:sz w:val="32"/>
          <w:szCs w:val="32"/>
        </w:rPr>
      </w:pPr>
      <w:r>
        <w:rPr>
          <w:rFonts w:hint="eastAsia" w:ascii="仿宋_GB2312" w:eastAsia="仿宋_GB2312"/>
          <w:sz w:val="32"/>
          <w:szCs w:val="32"/>
        </w:rPr>
        <w:t>3、年末结转和结余：指单位按有关规定结转到下年或以后年度继续使用的资金。</w:t>
      </w:r>
    </w:p>
    <w:p>
      <w:pPr>
        <w:ind w:firstLine="640" w:firstLineChars="200"/>
        <w:rPr>
          <w:rFonts w:ascii="仿宋_GB2312" w:eastAsia="仿宋_GB2312"/>
          <w:sz w:val="32"/>
          <w:szCs w:val="32"/>
        </w:rPr>
      </w:pPr>
      <w:r>
        <w:rPr>
          <w:rFonts w:hint="eastAsia" w:ascii="仿宋_GB2312" w:eastAsia="仿宋_GB2312"/>
          <w:sz w:val="32"/>
          <w:szCs w:val="32"/>
        </w:rPr>
        <w:t>4.公共安全公安（类）204（款）02（项）01——行政运行：指反映行政单位（包括实行公务员管理的事业单位）的基本支出。</w:t>
      </w:r>
    </w:p>
    <w:p>
      <w:pPr>
        <w:ind w:firstLine="480" w:firstLineChars="150"/>
        <w:rPr>
          <w:rFonts w:ascii="仿宋_GB2312" w:eastAsia="仿宋_GB2312"/>
          <w:sz w:val="32"/>
          <w:szCs w:val="32"/>
        </w:rPr>
      </w:pPr>
      <w:r>
        <w:rPr>
          <w:rFonts w:hint="eastAsia" w:ascii="仿宋_GB2312" w:eastAsia="仿宋_GB2312"/>
          <w:sz w:val="32"/>
          <w:szCs w:val="32"/>
        </w:rPr>
        <w:t>5.公共安全公安（类）204（款）02（项）02——一般行政管理事务：指反映行政单位（包括实行公务员管理的事业单位）未单独设置项级科目的其他项目支出。</w:t>
      </w:r>
    </w:p>
    <w:p>
      <w:pPr>
        <w:ind w:firstLine="480" w:firstLineChars="150"/>
        <w:rPr>
          <w:rFonts w:ascii="仿宋_GB2312" w:eastAsia="仿宋_GB2312"/>
          <w:sz w:val="32"/>
          <w:szCs w:val="32"/>
        </w:rPr>
      </w:pPr>
      <w:r>
        <w:rPr>
          <w:rFonts w:hint="eastAsia" w:ascii="仿宋_GB2312" w:eastAsia="仿宋_GB2312"/>
          <w:sz w:val="32"/>
          <w:szCs w:val="32"/>
        </w:rPr>
        <w:t>6.社会保障和就业支出（类）208（款）05（项）05——机关事业单位基本养老保险缴费支出：反映机关事业单位实施养老保险制度的单位缴纳的基本养老保险费支出。</w:t>
      </w:r>
    </w:p>
    <w:p>
      <w:pPr>
        <w:ind w:firstLine="480" w:firstLineChars="150"/>
        <w:rPr>
          <w:rFonts w:ascii="仿宋_GB2312" w:eastAsia="仿宋_GB2312"/>
          <w:sz w:val="32"/>
          <w:szCs w:val="32"/>
        </w:rPr>
      </w:pPr>
      <w:r>
        <w:rPr>
          <w:rFonts w:hint="eastAsia" w:ascii="仿宋_GB2312" w:eastAsia="仿宋_GB2312"/>
          <w:sz w:val="32"/>
          <w:szCs w:val="32"/>
        </w:rPr>
        <w:t>7. 社会保障和就业支出（类）208（款）05（项）06——机关事业单位职业年金缴费支出：反映机关事业单位实施养老保险制度由单位缴纳的职业年金支出。</w:t>
      </w:r>
    </w:p>
    <w:p>
      <w:pPr>
        <w:ind w:firstLine="640" w:firstLineChars="200"/>
        <w:rPr>
          <w:rFonts w:ascii="仿宋_GB2312" w:eastAsia="仿宋_GB2312"/>
          <w:sz w:val="32"/>
          <w:szCs w:val="32"/>
        </w:rPr>
      </w:pPr>
      <w:r>
        <w:rPr>
          <w:rFonts w:hint="eastAsia" w:ascii="仿宋_GB2312" w:eastAsia="仿宋_GB2312"/>
          <w:sz w:val="32"/>
          <w:szCs w:val="32"/>
        </w:rPr>
        <w:t>8.医疗卫生与计划生育支出(类）210（款）05（项）01——行政单位医疗补助：反映财政部门集中安排的行政单位基本医疗保险缴费缴费经费。</w:t>
      </w:r>
    </w:p>
    <w:p>
      <w:pPr>
        <w:ind w:firstLine="640" w:firstLineChars="200"/>
        <w:rPr>
          <w:rFonts w:ascii="仿宋_GB2312" w:eastAsia="仿宋_GB2312"/>
          <w:sz w:val="32"/>
          <w:szCs w:val="32"/>
        </w:rPr>
      </w:pPr>
      <w:r>
        <w:rPr>
          <w:rFonts w:hint="eastAsia" w:ascii="仿宋_GB2312" w:eastAsia="仿宋_GB2312"/>
          <w:sz w:val="32"/>
          <w:szCs w:val="32"/>
        </w:rPr>
        <w:t>9.医疗卫生与计划生育支出(类）210（款）05（项）03——公务员医疗：反映财政部门集中安排的行政单位基本医疗保险缴费缴费经费。</w:t>
      </w:r>
    </w:p>
    <w:p>
      <w:pPr>
        <w:ind w:firstLine="480" w:firstLineChars="150"/>
        <w:rPr>
          <w:rFonts w:ascii="仿宋_GB2312" w:eastAsia="仿宋_GB2312"/>
          <w:sz w:val="32"/>
          <w:szCs w:val="32"/>
        </w:rPr>
      </w:pPr>
      <w:r>
        <w:rPr>
          <w:rFonts w:hint="eastAsia" w:ascii="仿宋_GB2312" w:eastAsia="仿宋_GB2312"/>
          <w:sz w:val="32"/>
          <w:szCs w:val="32"/>
        </w:rPr>
        <w:t>10.住房保障支出(类）221（款）02（项）01——住房公积金：反映行政事业单位按人力资源和社会保障部、财政部规定的基本工资和津贴补贴以及规定比例为职工缴纳的住房公积金。</w:t>
      </w:r>
    </w:p>
    <w:p>
      <w:pPr>
        <w:ind w:firstLine="480" w:firstLineChars="150"/>
        <w:rPr>
          <w:rFonts w:ascii="仿宋_GB2312" w:eastAsia="仿宋_GB2312"/>
          <w:sz w:val="32"/>
          <w:szCs w:val="32"/>
        </w:rPr>
      </w:pPr>
      <w:r>
        <w:rPr>
          <w:rFonts w:hint="eastAsia" w:ascii="仿宋_GB2312" w:eastAsia="仿宋_GB2312"/>
          <w:sz w:val="32"/>
          <w:szCs w:val="32"/>
        </w:rPr>
        <w:t>11.年末结转和结余：指本年度或以前年度预算安排、因客观条件发生变化无法按原计划实施，需延迟到以后年度按有关规定继续使用的资金。</w:t>
      </w:r>
    </w:p>
    <w:p>
      <w:pPr>
        <w:ind w:firstLine="800" w:firstLineChars="250"/>
        <w:rPr>
          <w:rFonts w:ascii="仿宋_GB2312" w:eastAsia="仿宋_GB2312"/>
          <w:sz w:val="32"/>
          <w:szCs w:val="32"/>
        </w:rPr>
      </w:pPr>
      <w:r>
        <w:rPr>
          <w:rFonts w:hint="eastAsia" w:ascii="仿宋_GB2312" w:eastAsia="仿宋_GB2312"/>
          <w:sz w:val="32"/>
          <w:szCs w:val="32"/>
        </w:rPr>
        <w:t>12.基本支出：指为保障机构正常运转、完成日常工作任务而发生的人员支出和公用支出。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13.项目支出：指在基本支出之外为完成特定行政任务和事业发展目标所发生的支出。</w:t>
      </w:r>
    </w:p>
    <w:p>
      <w:pPr>
        <w:ind w:firstLine="640" w:firstLineChars="200"/>
        <w:rPr>
          <w:rFonts w:ascii="仿宋_GB2312" w:eastAsia="仿宋_GB2312"/>
          <w:sz w:val="32"/>
          <w:szCs w:val="32"/>
        </w:rPr>
      </w:pPr>
      <w:r>
        <w:rPr>
          <w:rFonts w:hint="eastAsia" w:ascii="仿宋_GB2312" w:eastAsia="仿宋_GB2312"/>
          <w:sz w:val="32"/>
          <w:szCs w:val="32"/>
        </w:rPr>
        <w:t>14.“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9"/>
        <w:widowControl/>
        <w:ind w:right="75"/>
        <w:rPr>
          <w:rFonts w:ascii="仿宋_GB2312" w:eastAsia="仿宋_GB2312"/>
          <w:sz w:val="32"/>
          <w:szCs w:val="32"/>
        </w:rPr>
      </w:pPr>
      <w:r>
        <w:rPr>
          <w:rFonts w:hint="eastAsia" w:ascii="仿宋_GB2312" w:eastAsia="仿宋_GB2312"/>
          <w:sz w:val="32"/>
          <w:szCs w:val="32"/>
        </w:rPr>
        <w:t>15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pStyle w:val="9"/>
        <w:widowControl/>
        <w:ind w:right="75"/>
        <w:jc w:val="center"/>
        <w:rPr>
          <w:rFonts w:ascii="仿宋_GB2312" w:hAnsi="仿宋_GB2312" w:eastAsia="仿宋_GB2312" w:cs="仿宋_GB2312"/>
          <w:sz w:val="32"/>
          <w:szCs w:val="32"/>
        </w:rPr>
      </w:pPr>
      <w:r>
        <w:rPr>
          <w:rStyle w:val="12"/>
          <w:rFonts w:hint="eastAsia" w:ascii="仿宋_GB2312" w:hAnsi="仿宋_GB2312" w:eastAsia="仿宋_GB2312" w:cs="仿宋_GB2312"/>
          <w:sz w:val="32"/>
          <w:szCs w:val="32"/>
          <w:shd w:val="clear" w:color="auto" w:fill="FFFFFF"/>
        </w:rPr>
        <w:t>第四部分 附件</w:t>
      </w:r>
    </w:p>
    <w:p>
      <w:pPr>
        <w:pStyle w:val="9"/>
        <w:widowControl/>
        <w:ind w:right="75"/>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附件</w:t>
      </w:r>
    </w:p>
    <w:p>
      <w:pPr>
        <w:widowControl/>
        <w:adjustRightInd w:val="0"/>
        <w:snapToGrid w:val="0"/>
        <w:spacing w:line="560" w:lineRule="exact"/>
        <w:ind w:firstLine="720"/>
        <w:jc w:val="center"/>
        <w:rPr>
          <w:rFonts w:ascii="方正小标宋简体" w:hAnsi="宋体" w:eastAsia="方正小标宋简体"/>
          <w:sz w:val="44"/>
          <w:szCs w:val="44"/>
        </w:rPr>
      </w:pPr>
      <w:r>
        <w:rPr>
          <w:rFonts w:hint="eastAsia" w:ascii="方正小标宋简体" w:hAnsi="宋体" w:eastAsia="方正小标宋简体"/>
          <w:sz w:val="44"/>
          <w:szCs w:val="44"/>
        </w:rPr>
        <w:t>金川县公安局</w:t>
      </w:r>
      <w:r>
        <w:rPr>
          <w:rFonts w:ascii="方正小标宋简体" w:hAnsi="宋体" w:eastAsia="方正小标宋简体"/>
          <w:sz w:val="44"/>
          <w:szCs w:val="44"/>
        </w:rPr>
        <w:t>20</w:t>
      </w:r>
      <w:r>
        <w:rPr>
          <w:rFonts w:hint="eastAsia" w:ascii="方正小标宋简体" w:hAnsi="宋体" w:eastAsia="方正小标宋简体"/>
          <w:sz w:val="44"/>
          <w:szCs w:val="44"/>
        </w:rPr>
        <w:t>21年</w:t>
      </w:r>
    </w:p>
    <w:p>
      <w:pPr>
        <w:widowControl/>
        <w:adjustRightInd w:val="0"/>
        <w:snapToGrid w:val="0"/>
        <w:spacing w:line="560" w:lineRule="exact"/>
        <w:ind w:firstLine="720"/>
        <w:jc w:val="center"/>
        <w:rPr>
          <w:rFonts w:ascii="方正小标宋简体" w:hAnsi="宋体" w:eastAsia="方正小标宋简体"/>
          <w:sz w:val="44"/>
          <w:szCs w:val="44"/>
        </w:rPr>
      </w:pPr>
      <w:r>
        <w:rPr>
          <w:rFonts w:hint="eastAsia" w:ascii="方正小标宋简体" w:hAnsi="宋体" w:eastAsia="方正小标宋简体"/>
          <w:sz w:val="44"/>
          <w:szCs w:val="44"/>
        </w:rPr>
        <w:t>部门整体支出绩效自评报告</w:t>
      </w:r>
    </w:p>
    <w:p>
      <w:pPr>
        <w:widowControl/>
        <w:adjustRightInd w:val="0"/>
        <w:snapToGrid w:val="0"/>
        <w:spacing w:line="56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6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60" w:lineRule="exact"/>
        <w:ind w:firstLine="421" w:firstLineChars="200"/>
        <w:contextualSpacing/>
        <w:jc w:val="left"/>
        <w:rPr>
          <w:rFonts w:ascii="仿宋_GB2312" w:cs="宋体"/>
          <w:color w:val="000000"/>
          <w:kern w:val="0"/>
          <w:szCs w:val="32"/>
          <w:shd w:val="clear" w:color="auto" w:fill="FFFFFF"/>
          <w:lang w:val="zh-CN"/>
        </w:rPr>
      </w:pPr>
      <w:r>
        <w:rPr>
          <w:rFonts w:hint="eastAsia" w:ascii="仿宋_GB2312" w:cs="宋体"/>
          <w:b/>
          <w:bCs/>
          <w:color w:val="000000"/>
          <w:kern w:val="0"/>
          <w:szCs w:val="32"/>
          <w:shd w:val="clear" w:color="auto" w:fill="FFFFFF"/>
          <w:lang w:val="zh-CN"/>
        </w:rPr>
        <w:t>（一）机构组成。</w:t>
      </w:r>
      <w:r>
        <w:rPr>
          <w:rFonts w:hint="eastAsia" w:ascii="仿宋_GB2312" w:hAnsi="宋体" w:eastAsia="仿宋_GB2312"/>
          <w:sz w:val="32"/>
        </w:rPr>
        <w:t>我局属独立编制机构和独立核算的行政单位。</w:t>
      </w:r>
      <w:r>
        <w:rPr>
          <w:rFonts w:hint="eastAsia" w:ascii="仿宋_GB2312" w:eastAsia="仿宋_GB2312"/>
          <w:bCs/>
          <w:color w:val="000000"/>
          <w:sz w:val="32"/>
          <w:szCs w:val="32"/>
        </w:rPr>
        <w:t>设</w:t>
      </w:r>
      <w:r>
        <w:rPr>
          <w:rFonts w:hint="eastAsia" w:ascii="仿宋_GB2312" w:eastAsia="仿宋_GB2312"/>
          <w:color w:val="000000"/>
          <w:sz w:val="32"/>
          <w:szCs w:val="32"/>
        </w:rPr>
        <w:t>统一核算机构为1个，独立编制机构23个，</w:t>
      </w:r>
      <w:r>
        <w:rPr>
          <w:rFonts w:hint="eastAsia" w:ascii="仿宋_GB2312" w:hAnsi="宋体" w:eastAsia="仿宋_GB2312" w:cs="宋体"/>
          <w:kern w:val="0"/>
          <w:sz w:val="32"/>
          <w:szCs w:val="32"/>
        </w:rPr>
        <w:t>年末共有机构数是</w:t>
      </w:r>
      <w:r>
        <w:rPr>
          <w:rFonts w:hint="eastAsia" w:ascii="仿宋_GB2312" w:hAnsi="宋体" w:eastAsia="仿宋_GB2312"/>
          <w:sz w:val="32"/>
          <w:szCs w:val="32"/>
        </w:rPr>
        <w:t>36</w:t>
      </w:r>
      <w:r>
        <w:rPr>
          <w:rFonts w:hint="eastAsia" w:ascii="仿宋_GB2312" w:hAnsi="宋体" w:eastAsia="仿宋_GB2312" w:cs="宋体"/>
          <w:kern w:val="0"/>
          <w:sz w:val="32"/>
          <w:szCs w:val="32"/>
        </w:rPr>
        <w:t>个，其中</w:t>
      </w:r>
      <w:r>
        <w:rPr>
          <w:rFonts w:hint="eastAsia" w:ascii="仿宋_GB2312" w:hAnsi="宋体" w:eastAsia="仿宋_GB2312"/>
          <w:sz w:val="32"/>
          <w:szCs w:val="32"/>
        </w:rPr>
        <w:t>派出</w:t>
      </w:r>
      <w:r>
        <w:rPr>
          <w:rFonts w:hint="eastAsia" w:ascii="仿宋_GB2312" w:hAnsi="宋体" w:eastAsia="仿宋_GB2312" w:cs="宋体"/>
          <w:kern w:val="0"/>
          <w:sz w:val="32"/>
          <w:szCs w:val="32"/>
        </w:rPr>
        <w:t>机构</w:t>
      </w:r>
      <w:r>
        <w:rPr>
          <w:rFonts w:hint="eastAsia" w:ascii="仿宋_GB2312" w:hAnsi="宋体" w:eastAsia="仿宋_GB2312"/>
          <w:sz w:val="32"/>
          <w:szCs w:val="32"/>
        </w:rPr>
        <w:t>22</w:t>
      </w:r>
      <w:r>
        <w:rPr>
          <w:rFonts w:hint="eastAsia" w:ascii="仿宋_GB2312" w:hAnsi="宋体" w:eastAsia="仿宋_GB2312" w:cs="宋体"/>
          <w:kern w:val="0"/>
          <w:sz w:val="32"/>
          <w:szCs w:val="32"/>
        </w:rPr>
        <w:t>个、内设机构</w:t>
      </w:r>
      <w:r>
        <w:rPr>
          <w:rFonts w:hint="eastAsia" w:ascii="仿宋_GB2312" w:hAnsi="宋体" w:eastAsia="仿宋_GB2312"/>
          <w:sz w:val="32"/>
          <w:szCs w:val="32"/>
        </w:rPr>
        <w:t>14</w:t>
      </w:r>
      <w:r>
        <w:rPr>
          <w:rFonts w:hint="eastAsia" w:ascii="仿宋_GB2312" w:hAnsi="宋体" w:eastAsia="仿宋_GB2312" w:cs="宋体"/>
          <w:kern w:val="0"/>
          <w:sz w:val="32"/>
          <w:szCs w:val="32"/>
        </w:rPr>
        <w:t>个。</w:t>
      </w:r>
    </w:p>
    <w:p>
      <w:pPr>
        <w:widowControl/>
        <w:shd w:val="clear" w:color="auto" w:fill="FFFFFF"/>
        <w:spacing w:line="560" w:lineRule="exact"/>
        <w:ind w:firstLine="600"/>
        <w:jc w:val="left"/>
        <w:rPr>
          <w:rFonts w:ascii="仿宋_GB2312" w:cs="宋体"/>
          <w:b/>
          <w:bCs/>
          <w:color w:val="000000"/>
          <w:kern w:val="0"/>
          <w:szCs w:val="32"/>
          <w:shd w:val="clear" w:color="auto" w:fill="FFFFFF"/>
          <w:lang w:val="zh-CN"/>
        </w:rPr>
      </w:pPr>
      <w:r>
        <w:rPr>
          <w:rFonts w:hint="eastAsia" w:ascii="仿宋_GB2312" w:cs="宋体"/>
          <w:b/>
          <w:bCs/>
          <w:color w:val="000000"/>
          <w:kern w:val="0"/>
          <w:sz w:val="32"/>
          <w:szCs w:val="32"/>
          <w:shd w:val="clear" w:color="auto" w:fill="FFFFFF"/>
          <w:lang w:val="zh-CN"/>
        </w:rPr>
        <w:t>（二）机构职能。</w:t>
      </w:r>
    </w:p>
    <w:p>
      <w:pPr>
        <w:widowControl/>
        <w:shd w:val="clear" w:color="auto" w:fill="FFFFFF"/>
        <w:spacing w:line="560" w:lineRule="exact"/>
        <w:ind w:firstLine="600"/>
        <w:jc w:val="left"/>
        <w:rPr>
          <w:rFonts w:ascii="瀹嬩綋" w:hAnsi="瀹嬩綋" w:eastAsia="瀹嬩綋" w:cs="瀹嬩綋"/>
          <w:color w:val="000000"/>
          <w:sz w:val="16"/>
          <w:szCs w:val="16"/>
        </w:rPr>
      </w:pPr>
      <w:r>
        <w:rPr>
          <w:rFonts w:hint="eastAsia" w:ascii="仿宋" w:hAnsi="仿宋" w:eastAsia="仿宋" w:cs="仿宋"/>
          <w:color w:val="000000"/>
          <w:kern w:val="0"/>
          <w:sz w:val="30"/>
          <w:szCs w:val="30"/>
          <w:shd w:val="clear" w:color="auto" w:fill="FFFFFF"/>
        </w:rPr>
        <w:t>（1）预防、制止和侦查违法犯罪活动；</w:t>
      </w:r>
    </w:p>
    <w:p>
      <w:pPr>
        <w:widowControl/>
        <w:shd w:val="clear" w:color="auto" w:fill="FFFFFF"/>
        <w:spacing w:line="560" w:lineRule="exact"/>
        <w:ind w:firstLine="600"/>
        <w:jc w:val="left"/>
        <w:rPr>
          <w:rFonts w:ascii="瀹嬩綋" w:hAnsi="瀹嬩綋" w:eastAsia="瀹嬩綋" w:cs="瀹嬩綋"/>
          <w:color w:val="000000"/>
          <w:sz w:val="16"/>
          <w:szCs w:val="16"/>
        </w:rPr>
      </w:pPr>
      <w:r>
        <w:rPr>
          <w:rFonts w:hint="eastAsia" w:ascii="仿宋" w:hAnsi="仿宋" w:eastAsia="仿宋" w:cs="仿宋"/>
          <w:color w:val="000000"/>
          <w:kern w:val="0"/>
          <w:sz w:val="30"/>
          <w:szCs w:val="30"/>
          <w:shd w:val="clear" w:color="auto" w:fill="FFFFFF"/>
        </w:rPr>
        <w:t>（2）维护社会治安秩序，制止危害社会治安秩序的行为；</w:t>
      </w:r>
    </w:p>
    <w:p>
      <w:pPr>
        <w:widowControl/>
        <w:shd w:val="clear" w:color="auto" w:fill="FFFFFF"/>
        <w:spacing w:line="560" w:lineRule="exact"/>
        <w:ind w:firstLine="600"/>
        <w:jc w:val="left"/>
        <w:rPr>
          <w:rFonts w:ascii="瀹嬩綋" w:hAnsi="瀹嬩綋" w:eastAsia="瀹嬩綋" w:cs="瀹嬩綋"/>
          <w:color w:val="000000"/>
          <w:sz w:val="16"/>
          <w:szCs w:val="16"/>
        </w:rPr>
      </w:pPr>
      <w:r>
        <w:rPr>
          <w:rFonts w:hint="eastAsia" w:ascii="仿宋" w:hAnsi="仿宋" w:eastAsia="仿宋" w:cs="仿宋"/>
          <w:color w:val="000000"/>
          <w:kern w:val="0"/>
          <w:sz w:val="30"/>
          <w:szCs w:val="30"/>
          <w:shd w:val="clear" w:color="auto" w:fill="FFFFFF"/>
        </w:rPr>
        <w:t>（3）维护交通安全和交通秩序，处理交通事故；</w:t>
      </w:r>
    </w:p>
    <w:p>
      <w:pPr>
        <w:widowControl/>
        <w:shd w:val="clear" w:color="auto" w:fill="FFFFFF"/>
        <w:spacing w:line="560" w:lineRule="exact"/>
        <w:ind w:firstLine="600"/>
        <w:jc w:val="left"/>
        <w:rPr>
          <w:rFonts w:ascii="瀹嬩綋" w:hAnsi="瀹嬩綋" w:eastAsia="瀹嬩綋" w:cs="瀹嬩綋"/>
          <w:color w:val="000000"/>
          <w:sz w:val="16"/>
          <w:szCs w:val="16"/>
        </w:rPr>
      </w:pPr>
      <w:r>
        <w:rPr>
          <w:rFonts w:hint="eastAsia" w:ascii="仿宋" w:hAnsi="仿宋" w:eastAsia="仿宋" w:cs="仿宋"/>
          <w:color w:val="000000"/>
          <w:kern w:val="0"/>
          <w:sz w:val="30"/>
          <w:szCs w:val="30"/>
          <w:shd w:val="clear" w:color="auto" w:fill="FFFFFF"/>
        </w:rPr>
        <w:t>（4）组织、实施消防工作，实行消防监督；</w:t>
      </w:r>
    </w:p>
    <w:p>
      <w:pPr>
        <w:widowControl/>
        <w:shd w:val="clear" w:color="auto" w:fill="FFFFFF"/>
        <w:spacing w:line="560" w:lineRule="exact"/>
        <w:ind w:firstLine="600"/>
        <w:jc w:val="left"/>
        <w:rPr>
          <w:rFonts w:ascii="瀹嬩綋" w:hAnsi="瀹嬩綋" w:eastAsia="瀹嬩綋" w:cs="瀹嬩綋"/>
          <w:color w:val="000000"/>
          <w:sz w:val="16"/>
          <w:szCs w:val="16"/>
        </w:rPr>
      </w:pPr>
      <w:r>
        <w:rPr>
          <w:rFonts w:hint="eastAsia" w:ascii="仿宋" w:hAnsi="仿宋" w:eastAsia="仿宋" w:cs="仿宋"/>
          <w:color w:val="000000"/>
          <w:kern w:val="0"/>
          <w:sz w:val="30"/>
          <w:szCs w:val="30"/>
          <w:shd w:val="clear" w:color="auto" w:fill="FFFFFF"/>
        </w:rPr>
        <w:t>（5）管理枪支弹药、管制刀具和易燃易爆、剧毒、放射等危险物品；</w:t>
      </w:r>
    </w:p>
    <w:p>
      <w:pPr>
        <w:widowControl/>
        <w:shd w:val="clear" w:color="auto" w:fill="FFFFFF"/>
        <w:spacing w:line="560" w:lineRule="exact"/>
        <w:ind w:firstLine="600"/>
        <w:jc w:val="left"/>
        <w:rPr>
          <w:rFonts w:ascii="瀹嬩綋" w:hAnsi="瀹嬩綋" w:eastAsia="瀹嬩綋" w:cs="瀹嬩綋"/>
          <w:color w:val="000000"/>
          <w:sz w:val="16"/>
          <w:szCs w:val="16"/>
        </w:rPr>
      </w:pPr>
      <w:r>
        <w:rPr>
          <w:rFonts w:hint="eastAsia" w:ascii="仿宋" w:hAnsi="仿宋" w:eastAsia="仿宋" w:cs="仿宋"/>
          <w:color w:val="000000"/>
          <w:kern w:val="0"/>
          <w:sz w:val="30"/>
          <w:szCs w:val="30"/>
          <w:shd w:val="clear" w:color="auto" w:fill="FFFFFF"/>
        </w:rPr>
        <w:t>（6）对法律、法规制定的特种行业进行管理；</w:t>
      </w:r>
    </w:p>
    <w:p>
      <w:pPr>
        <w:widowControl/>
        <w:shd w:val="clear" w:color="auto" w:fill="FFFFFF"/>
        <w:spacing w:line="560" w:lineRule="exact"/>
        <w:ind w:firstLine="600"/>
        <w:jc w:val="left"/>
        <w:rPr>
          <w:rFonts w:ascii="瀹嬩綋" w:hAnsi="瀹嬩綋" w:eastAsia="瀹嬩綋" w:cs="瀹嬩綋"/>
          <w:color w:val="000000"/>
          <w:sz w:val="16"/>
          <w:szCs w:val="16"/>
        </w:rPr>
      </w:pPr>
      <w:r>
        <w:rPr>
          <w:rFonts w:hint="eastAsia" w:ascii="仿宋" w:hAnsi="仿宋" w:eastAsia="仿宋" w:cs="仿宋"/>
          <w:color w:val="000000"/>
          <w:kern w:val="0"/>
          <w:sz w:val="30"/>
          <w:szCs w:val="30"/>
          <w:shd w:val="clear" w:color="auto" w:fill="FFFFFF"/>
        </w:rPr>
        <w:t>（7）警卫国家规定的特定人员，守卫重要的场所和设施；</w:t>
      </w:r>
    </w:p>
    <w:p>
      <w:pPr>
        <w:widowControl/>
        <w:shd w:val="clear" w:color="auto" w:fill="FFFFFF"/>
        <w:spacing w:line="560" w:lineRule="exact"/>
        <w:ind w:firstLine="600"/>
        <w:jc w:val="left"/>
        <w:rPr>
          <w:rFonts w:ascii="瀹嬩綋" w:hAnsi="瀹嬩綋" w:eastAsia="瀹嬩綋" w:cs="瀹嬩綋"/>
          <w:color w:val="000000"/>
          <w:sz w:val="16"/>
          <w:szCs w:val="16"/>
        </w:rPr>
      </w:pPr>
      <w:r>
        <w:rPr>
          <w:rFonts w:hint="eastAsia" w:ascii="仿宋" w:hAnsi="仿宋" w:eastAsia="仿宋" w:cs="仿宋"/>
          <w:color w:val="000000"/>
          <w:kern w:val="0"/>
          <w:sz w:val="30"/>
          <w:szCs w:val="30"/>
          <w:shd w:val="clear" w:color="auto" w:fill="FFFFFF"/>
        </w:rPr>
        <w:t>（8）管理集会、游行、示威活动；</w:t>
      </w:r>
    </w:p>
    <w:p>
      <w:pPr>
        <w:widowControl/>
        <w:shd w:val="clear" w:color="auto" w:fill="FFFFFF"/>
        <w:spacing w:line="560" w:lineRule="exact"/>
        <w:ind w:firstLine="600"/>
        <w:jc w:val="left"/>
        <w:rPr>
          <w:rFonts w:ascii="瀹嬩綋" w:hAnsi="瀹嬩綋" w:eastAsia="瀹嬩綋" w:cs="瀹嬩綋"/>
          <w:color w:val="000000"/>
          <w:sz w:val="16"/>
          <w:szCs w:val="16"/>
        </w:rPr>
      </w:pPr>
      <w:r>
        <w:rPr>
          <w:rFonts w:hint="eastAsia" w:ascii="仿宋" w:hAnsi="仿宋" w:eastAsia="仿宋" w:cs="仿宋"/>
          <w:color w:val="000000"/>
          <w:kern w:val="0"/>
          <w:sz w:val="30"/>
          <w:szCs w:val="30"/>
          <w:shd w:val="clear" w:color="auto" w:fill="FFFFFF"/>
        </w:rPr>
        <w:t>（9）管理户政、国籍、入境出境事务和外国人在中国境内居留、旅行的有关事务；</w:t>
      </w:r>
    </w:p>
    <w:p>
      <w:pPr>
        <w:widowControl/>
        <w:shd w:val="clear" w:color="auto" w:fill="FFFFFF"/>
        <w:spacing w:line="560" w:lineRule="exact"/>
        <w:ind w:firstLine="600"/>
        <w:jc w:val="left"/>
        <w:rPr>
          <w:rFonts w:ascii="瀹嬩綋" w:hAnsi="瀹嬩綋" w:eastAsia="瀹嬩綋" w:cs="瀹嬩綋"/>
          <w:color w:val="000000"/>
          <w:sz w:val="16"/>
          <w:szCs w:val="16"/>
        </w:rPr>
      </w:pPr>
      <w:r>
        <w:rPr>
          <w:rFonts w:hint="eastAsia" w:ascii="仿宋" w:hAnsi="仿宋" w:eastAsia="仿宋" w:cs="仿宋"/>
          <w:color w:val="000000"/>
          <w:kern w:val="0"/>
          <w:sz w:val="30"/>
          <w:szCs w:val="30"/>
          <w:shd w:val="clear" w:color="auto" w:fill="FFFFFF"/>
        </w:rPr>
        <w:t>（10）维护国（边）境地区的治安秩序；</w:t>
      </w:r>
    </w:p>
    <w:p>
      <w:pPr>
        <w:widowControl/>
        <w:shd w:val="clear" w:color="auto" w:fill="FFFFFF"/>
        <w:spacing w:line="560" w:lineRule="exact"/>
        <w:ind w:firstLine="600"/>
        <w:jc w:val="left"/>
        <w:rPr>
          <w:rFonts w:ascii="仿宋" w:hAnsi="仿宋" w:eastAsia="仿宋" w:cs="仿宋"/>
          <w:color w:val="000000"/>
          <w:kern w:val="0"/>
          <w:sz w:val="30"/>
          <w:szCs w:val="30"/>
          <w:shd w:val="clear" w:color="auto" w:fill="FFFFFF"/>
        </w:rPr>
      </w:pPr>
      <w:r>
        <w:rPr>
          <w:rFonts w:hint="eastAsia" w:ascii="仿宋" w:hAnsi="仿宋" w:eastAsia="仿宋" w:cs="仿宋"/>
          <w:color w:val="000000"/>
          <w:kern w:val="0"/>
          <w:sz w:val="30"/>
          <w:szCs w:val="30"/>
          <w:shd w:val="clear" w:color="auto" w:fill="FFFFFF"/>
        </w:rPr>
        <w:t>（11）对犯罪嫌疑人、被告人以及短、残刑犯实施武装警戒看守，保障安全；</w:t>
      </w:r>
    </w:p>
    <w:p>
      <w:pPr>
        <w:widowControl/>
        <w:shd w:val="clear" w:color="auto" w:fill="FFFFFF"/>
        <w:spacing w:line="560" w:lineRule="exact"/>
        <w:ind w:firstLine="600"/>
        <w:jc w:val="left"/>
        <w:rPr>
          <w:rFonts w:ascii="瀹嬩綋" w:hAnsi="瀹嬩綋" w:eastAsia="瀹嬩綋" w:cs="瀹嬩綋"/>
          <w:color w:val="000000"/>
          <w:sz w:val="16"/>
          <w:szCs w:val="16"/>
        </w:rPr>
      </w:pPr>
      <w:r>
        <w:rPr>
          <w:rFonts w:hint="eastAsia" w:ascii="仿宋" w:hAnsi="仿宋" w:eastAsia="仿宋" w:cs="仿宋"/>
          <w:color w:val="000000"/>
          <w:kern w:val="0"/>
          <w:sz w:val="30"/>
          <w:szCs w:val="30"/>
          <w:shd w:val="clear" w:color="auto" w:fill="FFFFFF"/>
        </w:rPr>
        <w:t>（12）监督管理计算机信息系统的安全保护工作；</w:t>
      </w:r>
    </w:p>
    <w:p>
      <w:pPr>
        <w:widowControl/>
        <w:shd w:val="clear" w:color="auto" w:fill="FFFFFF"/>
        <w:spacing w:line="560" w:lineRule="exact"/>
        <w:ind w:firstLine="600"/>
        <w:jc w:val="left"/>
        <w:rPr>
          <w:rFonts w:ascii="瀹嬩綋" w:hAnsi="瀹嬩綋" w:eastAsia="瀹嬩綋" w:cs="瀹嬩綋"/>
          <w:color w:val="000000"/>
          <w:sz w:val="16"/>
          <w:szCs w:val="16"/>
        </w:rPr>
      </w:pPr>
      <w:r>
        <w:rPr>
          <w:rFonts w:hint="eastAsia" w:ascii="仿宋" w:hAnsi="仿宋" w:eastAsia="仿宋" w:cs="仿宋"/>
          <w:color w:val="000000"/>
          <w:kern w:val="0"/>
          <w:sz w:val="30"/>
          <w:szCs w:val="30"/>
          <w:shd w:val="clear" w:color="auto" w:fill="FFFFFF"/>
        </w:rPr>
        <w:t>（13）指导和监督国家机关、社会团体、企业事业组织和重点建设工程的治安保卫工作，指导治安保卫委员会等群众性组织的治安防范工作；</w:t>
      </w:r>
    </w:p>
    <w:p>
      <w:pPr>
        <w:widowControl/>
        <w:shd w:val="clear" w:color="auto" w:fill="FFFFFF"/>
        <w:spacing w:line="560" w:lineRule="exact"/>
        <w:ind w:firstLine="600"/>
        <w:jc w:val="left"/>
        <w:rPr>
          <w:rFonts w:ascii="瀹嬩綋" w:hAnsi="瀹嬩綋" w:eastAsia="瀹嬩綋" w:cs="瀹嬩綋"/>
          <w:color w:val="000000"/>
          <w:sz w:val="16"/>
          <w:szCs w:val="16"/>
        </w:rPr>
      </w:pPr>
      <w:r>
        <w:rPr>
          <w:rFonts w:hint="eastAsia" w:ascii="仿宋" w:hAnsi="仿宋" w:eastAsia="仿宋" w:cs="仿宋"/>
          <w:color w:val="000000"/>
          <w:kern w:val="0"/>
          <w:sz w:val="30"/>
          <w:szCs w:val="30"/>
          <w:shd w:val="clear" w:color="auto" w:fill="FFFFFF"/>
        </w:rPr>
        <w:t>（14）指导、监督全市公安机关开展禁毒、缉毒工作，承担市禁毒委员会办公室的日常工作；</w:t>
      </w:r>
    </w:p>
    <w:p>
      <w:pPr>
        <w:widowControl/>
        <w:shd w:val="clear" w:color="auto" w:fill="FFFFFF"/>
        <w:spacing w:line="560" w:lineRule="exact"/>
        <w:ind w:firstLine="600"/>
        <w:jc w:val="left"/>
        <w:rPr>
          <w:rFonts w:ascii="仿宋_GB2312" w:cs="宋体"/>
          <w:color w:val="000000"/>
          <w:kern w:val="0"/>
          <w:szCs w:val="32"/>
          <w:shd w:val="clear" w:color="auto" w:fill="FFFFFF"/>
          <w:lang w:val="zh-CN"/>
        </w:rPr>
      </w:pPr>
      <w:r>
        <w:rPr>
          <w:rFonts w:hint="eastAsia" w:ascii="仿宋" w:hAnsi="仿宋" w:eastAsia="仿宋" w:cs="仿宋"/>
          <w:color w:val="000000"/>
          <w:kern w:val="0"/>
          <w:sz w:val="30"/>
          <w:szCs w:val="30"/>
          <w:shd w:val="clear" w:color="auto" w:fill="FFFFFF"/>
        </w:rPr>
        <w:t>（15）法律、法规规定的其他职责。</w:t>
      </w:r>
    </w:p>
    <w:p>
      <w:pPr>
        <w:widowControl/>
        <w:adjustRightInd w:val="0"/>
        <w:snapToGrid w:val="0"/>
        <w:spacing w:line="560" w:lineRule="exact"/>
        <w:ind w:firstLine="642" w:firstLineChars="200"/>
        <w:contextualSpacing/>
        <w:jc w:val="left"/>
        <w:rPr>
          <w:rFonts w:ascii="仿宋_GB2312" w:hAnsi="宋体" w:cs="宋体"/>
          <w:b/>
          <w:bCs/>
          <w:kern w:val="0"/>
          <w:sz w:val="32"/>
          <w:szCs w:val="32"/>
        </w:rPr>
      </w:pPr>
      <w:r>
        <w:rPr>
          <w:rFonts w:hint="eastAsia" w:ascii="仿宋_GB2312" w:cs="宋体"/>
          <w:b/>
          <w:bCs/>
          <w:color w:val="000000"/>
          <w:kern w:val="0"/>
          <w:sz w:val="32"/>
          <w:szCs w:val="32"/>
          <w:shd w:val="clear" w:color="auto" w:fill="FFFFFF"/>
          <w:lang w:val="zh-CN"/>
        </w:rPr>
        <w:t>（三）人员概况。</w:t>
      </w:r>
    </w:p>
    <w:p>
      <w:pPr>
        <w:snapToGrid w:val="0"/>
        <w:spacing w:line="560" w:lineRule="exact"/>
        <w:ind w:firstLine="640" w:firstLineChars="200"/>
        <w:rPr>
          <w:lang w:val="zh-CN"/>
        </w:rPr>
      </w:pPr>
      <w:r>
        <w:rPr>
          <w:rFonts w:hint="eastAsia" w:ascii="仿宋_GB2312" w:eastAsia="仿宋_GB2312"/>
          <w:sz w:val="32"/>
          <w:szCs w:val="32"/>
        </w:rPr>
        <w:t>人员情况：我局总编制数169人（其中:政法编制159人，工勤编制10人）。2021年年末在职156人,其中政法机关人员148人</w:t>
      </w:r>
      <w:r>
        <w:rPr>
          <w:rFonts w:hint="eastAsia" w:ascii="仿宋_GB2312" w:eastAsia="仿宋_GB2312"/>
          <w:color w:val="000000"/>
          <w:sz w:val="32"/>
          <w:szCs w:val="32"/>
        </w:rPr>
        <w:t>、工勤8人</w:t>
      </w:r>
      <w:r>
        <w:rPr>
          <w:rFonts w:hint="eastAsia" w:ascii="仿宋_GB2312"/>
          <w:color w:val="000000"/>
          <w:sz w:val="32"/>
          <w:szCs w:val="32"/>
        </w:rPr>
        <w:t>，退休人员37人，辅警100人。</w:t>
      </w:r>
    </w:p>
    <w:p>
      <w:pPr>
        <w:widowControl/>
        <w:adjustRightInd w:val="0"/>
        <w:snapToGrid w:val="0"/>
        <w:spacing w:line="56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spacing w:line="560" w:lineRule="exact"/>
        <w:ind w:firstLine="642" w:firstLineChars="200"/>
        <w:rPr>
          <w:rFonts w:ascii="仿宋_GB2312" w:cs="宋体"/>
          <w:b/>
          <w:bCs/>
          <w:color w:val="000000"/>
          <w:kern w:val="0"/>
          <w:sz w:val="32"/>
          <w:szCs w:val="32"/>
          <w:shd w:val="clear" w:color="auto" w:fill="FFFFFF"/>
          <w:lang w:val="zh-CN"/>
        </w:rPr>
      </w:pPr>
      <w:r>
        <w:rPr>
          <w:rFonts w:hint="eastAsia" w:ascii="仿宋_GB2312" w:cs="宋体"/>
          <w:b/>
          <w:bCs/>
          <w:color w:val="000000"/>
          <w:kern w:val="0"/>
          <w:sz w:val="32"/>
          <w:szCs w:val="32"/>
          <w:shd w:val="clear" w:color="auto" w:fill="FFFFFF"/>
          <w:lang w:val="zh-CN"/>
        </w:rPr>
        <w:t>（一）部门财政资金收入情况。</w:t>
      </w:r>
    </w:p>
    <w:p>
      <w:pPr>
        <w:spacing w:line="560" w:lineRule="exact"/>
        <w:ind w:firstLine="640" w:firstLineChars="200"/>
        <w:rPr>
          <w:rFonts w:ascii="仿宋_GB2312"/>
          <w:szCs w:val="32"/>
        </w:rPr>
      </w:pPr>
      <w:r>
        <w:rPr>
          <w:rFonts w:hint="eastAsia" w:ascii="仿宋_GB2312" w:eastAsia="仿宋_GB2312"/>
          <w:sz w:val="32"/>
          <w:szCs w:val="32"/>
        </w:rPr>
        <w:t>2021年度财政拨款收入5498.5万元</w:t>
      </w:r>
      <w:r>
        <w:rPr>
          <w:rFonts w:hint="eastAsia" w:ascii="仿宋_GB2312"/>
          <w:sz w:val="32"/>
          <w:szCs w:val="32"/>
        </w:rPr>
        <w:t>，</w:t>
      </w:r>
      <w:r>
        <w:rPr>
          <w:rFonts w:hint="eastAsia" w:ascii="仿宋_GB2312" w:eastAsia="仿宋_GB2312"/>
          <w:sz w:val="32"/>
          <w:szCs w:val="32"/>
        </w:rPr>
        <w:t>与2020年相比，财政拨款收入增加1105.13万元、增长26.58%；</w:t>
      </w:r>
    </w:p>
    <w:p>
      <w:pPr>
        <w:spacing w:line="560" w:lineRule="exact"/>
        <w:ind w:firstLine="642" w:firstLineChars="200"/>
        <w:rPr>
          <w:rFonts w:ascii="仿宋_GB2312" w:cs="宋体"/>
          <w:b/>
          <w:bCs/>
          <w:color w:val="000000"/>
          <w:kern w:val="0"/>
          <w:sz w:val="32"/>
          <w:szCs w:val="32"/>
          <w:shd w:val="clear" w:color="auto" w:fill="FFFFFF"/>
          <w:lang w:val="zh-CN"/>
        </w:rPr>
      </w:pPr>
      <w:r>
        <w:rPr>
          <w:rFonts w:hint="eastAsia" w:ascii="仿宋_GB2312" w:cs="宋体"/>
          <w:b/>
          <w:bCs/>
          <w:color w:val="000000"/>
          <w:kern w:val="0"/>
          <w:sz w:val="32"/>
          <w:szCs w:val="32"/>
          <w:shd w:val="clear" w:color="auto" w:fill="FFFFFF"/>
        </w:rPr>
        <w:t>(二)</w:t>
      </w:r>
      <w:r>
        <w:rPr>
          <w:rFonts w:hint="eastAsia" w:ascii="仿宋_GB2312" w:cs="宋体"/>
          <w:b/>
          <w:bCs/>
          <w:color w:val="000000"/>
          <w:kern w:val="0"/>
          <w:sz w:val="32"/>
          <w:szCs w:val="32"/>
          <w:shd w:val="clear" w:color="auto" w:fill="FFFFFF"/>
          <w:lang w:val="zh-CN"/>
        </w:rPr>
        <w:t>部门财政资金支出情况。</w:t>
      </w:r>
    </w:p>
    <w:p>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0"/>
          <w:szCs w:val="30"/>
          <w:shd w:val="clear" w:color="auto" w:fill="FFFFFF"/>
        </w:rPr>
      </w:pPr>
      <w:r>
        <w:rPr>
          <w:rFonts w:hint="eastAsia" w:ascii="仿宋_GB2312" w:eastAsia="仿宋_GB2312"/>
          <w:sz w:val="32"/>
          <w:szCs w:val="32"/>
        </w:rPr>
        <w:t>2021年一般公共预算财政拨款支出</w:t>
      </w:r>
      <w:r>
        <w:rPr>
          <w:rFonts w:hint="eastAsia" w:ascii="仿宋_GB2312"/>
          <w:sz w:val="32"/>
          <w:szCs w:val="32"/>
        </w:rPr>
        <w:t>5892.93</w:t>
      </w:r>
      <w:r>
        <w:rPr>
          <w:rFonts w:hint="eastAsia" w:ascii="仿宋_GB2312" w:eastAsia="仿宋_GB2312"/>
          <w:sz w:val="32"/>
          <w:szCs w:val="32"/>
        </w:rPr>
        <w:t>万元，主要用于以下方面:公共安全支出5052.29万元，占85.73%；；社会保障和就业支出375.52万元，占6.37%；卫生健康支出154.67万元，占2.63%；住房保障支出310.45万元，占5.27%。</w:t>
      </w:r>
      <w:r>
        <w:rPr>
          <w:rFonts w:hint="eastAsia" w:ascii="仿宋" w:hAnsi="仿宋" w:eastAsia="仿宋" w:cs="仿宋"/>
          <w:color w:val="000000"/>
          <w:kern w:val="0"/>
          <w:sz w:val="30"/>
          <w:szCs w:val="30"/>
          <w:shd w:val="clear" w:color="auto" w:fill="FFFFFF"/>
        </w:rPr>
        <w:t>主要用于维护社会稳定，打击犯罪的实战工作和公安日常行政运行经费开支。</w:t>
      </w:r>
    </w:p>
    <w:p>
      <w:pPr>
        <w:widowControl/>
        <w:shd w:val="clear" w:color="auto" w:fill="FFFFFF"/>
        <w:spacing w:line="560" w:lineRule="exact"/>
        <w:ind w:firstLine="597"/>
        <w:jc w:val="left"/>
        <w:rPr>
          <w:rFonts w:ascii="瀹嬩綋" w:hAnsi="瀹嬩綋" w:eastAsia="瀹嬩綋" w:cs="瀹嬩綋"/>
          <w:color w:val="000000"/>
          <w:sz w:val="16"/>
          <w:szCs w:val="16"/>
        </w:rPr>
      </w:pPr>
      <w:r>
        <w:rPr>
          <w:rFonts w:hint="eastAsia" w:ascii="仿宋" w:hAnsi="仿宋" w:eastAsia="仿宋" w:cs="仿宋"/>
          <w:color w:val="000000"/>
          <w:kern w:val="0"/>
          <w:sz w:val="30"/>
          <w:szCs w:val="30"/>
          <w:shd w:val="clear" w:color="auto" w:fill="FFFFFF"/>
        </w:rPr>
        <w:t>2、 2021实际支出具体情况如下：</w:t>
      </w:r>
    </w:p>
    <w:p>
      <w:pPr>
        <w:widowControl/>
        <w:shd w:val="clear" w:color="auto" w:fill="FFFFFF"/>
        <w:spacing w:line="560" w:lineRule="exact"/>
        <w:ind w:right="300" w:firstLine="597"/>
        <w:jc w:val="right"/>
        <w:rPr>
          <w:rFonts w:ascii="瀹嬩綋" w:hAnsi="瀹嬩綋" w:eastAsia="瀹嬩綋" w:cs="瀹嬩綋"/>
          <w:color w:val="000000"/>
          <w:sz w:val="16"/>
          <w:szCs w:val="16"/>
        </w:rPr>
      </w:pPr>
      <w:r>
        <w:rPr>
          <w:rFonts w:hint="eastAsia" w:ascii="仿宋" w:hAnsi="仿宋" w:eastAsia="仿宋" w:cs="仿宋"/>
          <w:color w:val="000000"/>
          <w:kern w:val="0"/>
          <w:sz w:val="30"/>
          <w:szCs w:val="30"/>
          <w:shd w:val="clear" w:color="auto" w:fill="FFFFFF"/>
        </w:rPr>
        <w:t>单位：万元</w:t>
      </w:r>
    </w:p>
    <w:tbl>
      <w:tblPr>
        <w:tblStyle w:val="10"/>
        <w:tblpPr w:leftFromText="180" w:rightFromText="180" w:vertAnchor="text" w:horzAnchor="page" w:tblpX="2388" w:tblpY="67"/>
        <w:tblOverlap w:val="never"/>
        <w:tblW w:w="7416"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2308"/>
        <w:gridCol w:w="1738"/>
        <w:gridCol w:w="1684"/>
        <w:gridCol w:w="168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308" w:type="dxa"/>
            <w:tcBorders>
              <w:top w:val="outset" w:color="000000" w:sz="8" w:space="0"/>
              <w:left w:val="outset" w:color="000000" w:sz="8" w:space="0"/>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ascii="仿宋" w:hAnsi="仿宋" w:eastAsia="仿宋" w:cs="仿宋"/>
                <w:color w:val="000000"/>
                <w:kern w:val="0"/>
                <w:sz w:val="30"/>
                <w:szCs w:val="30"/>
              </w:rPr>
              <w:t>支出项目</w:t>
            </w:r>
          </w:p>
        </w:tc>
        <w:tc>
          <w:tcPr>
            <w:tcW w:w="1738" w:type="dxa"/>
            <w:tcBorders>
              <w:top w:val="outset" w:color="000000" w:sz="8" w:space="0"/>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ascii="仿宋" w:hAnsi="仿宋" w:eastAsia="仿宋" w:cs="仿宋"/>
                <w:color w:val="000000"/>
                <w:kern w:val="0"/>
                <w:sz w:val="30"/>
                <w:szCs w:val="30"/>
              </w:rPr>
              <w:t>基本支出</w:t>
            </w:r>
          </w:p>
        </w:tc>
        <w:tc>
          <w:tcPr>
            <w:tcW w:w="1684" w:type="dxa"/>
            <w:tcBorders>
              <w:top w:val="outset" w:color="000000" w:sz="8" w:space="0"/>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ascii="仿宋" w:hAnsi="仿宋" w:eastAsia="仿宋" w:cs="仿宋"/>
                <w:color w:val="000000"/>
                <w:kern w:val="0"/>
                <w:sz w:val="30"/>
                <w:szCs w:val="30"/>
              </w:rPr>
              <w:t>项目支出</w:t>
            </w:r>
          </w:p>
        </w:tc>
        <w:tc>
          <w:tcPr>
            <w:tcW w:w="1686" w:type="dxa"/>
            <w:tcBorders>
              <w:top w:val="outset" w:color="000000" w:sz="8" w:space="0"/>
              <w:left w:val="nil"/>
              <w:bottom w:val="outset" w:color="000000" w:sz="8" w:space="0"/>
              <w:right w:val="outset" w:color="000000" w:sz="8" w:space="0"/>
            </w:tcBorders>
            <w:shd w:val="clear" w:color="auto" w:fill="FFFFFF"/>
            <w:tcMar>
              <w:top w:w="24" w:type="dxa"/>
              <w:left w:w="24" w:type="dxa"/>
              <w:bottom w:w="24" w:type="dxa"/>
              <w:right w:w="24" w:type="dxa"/>
            </w:tcMar>
          </w:tcPr>
          <w:p>
            <w:pPr>
              <w:widowControl/>
              <w:spacing w:line="560" w:lineRule="exact"/>
              <w:jc w:val="center"/>
            </w:pPr>
            <w:r>
              <w:rPr>
                <w:rFonts w:hint="eastAsia" w:ascii="仿宋" w:hAnsi="仿宋" w:eastAsia="仿宋" w:cs="仿宋"/>
                <w:color w:val="000000"/>
                <w:kern w:val="0"/>
                <w:sz w:val="30"/>
                <w:szCs w:val="30"/>
              </w:rPr>
              <w:t>合计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308" w:type="dxa"/>
            <w:tcBorders>
              <w:top w:val="nil"/>
              <w:left w:val="outset" w:color="000000" w:sz="8" w:space="0"/>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ascii="仿宋" w:hAnsi="仿宋" w:eastAsia="仿宋" w:cs="仿宋"/>
                <w:color w:val="000000"/>
                <w:kern w:val="0"/>
                <w:sz w:val="30"/>
                <w:szCs w:val="30"/>
              </w:rPr>
              <w:t>工资福利支出</w:t>
            </w:r>
          </w:p>
        </w:tc>
        <w:tc>
          <w:tcPr>
            <w:tcW w:w="1738"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rPr>
                <w:rFonts w:ascii="仿宋_GB2312" w:hAnsi="仿宋_GB2312" w:cs="仿宋_GB2312"/>
                <w:szCs w:val="32"/>
              </w:rPr>
            </w:pPr>
            <w:r>
              <w:rPr>
                <w:rFonts w:hint="eastAsia" w:ascii="仿宋_GB2312" w:hAnsi="仿宋_GB2312" w:eastAsia="仿宋_GB2312" w:cs="仿宋_GB2312"/>
                <w:sz w:val="32"/>
                <w:szCs w:val="32"/>
              </w:rPr>
              <w:t>3207.46</w:t>
            </w:r>
          </w:p>
        </w:tc>
        <w:tc>
          <w:tcPr>
            <w:tcW w:w="1684"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rPr>
                <w:rFonts w:ascii="仿宋_GB2312" w:hAnsi="仿宋_GB2312" w:cs="仿宋_GB2312"/>
                <w:szCs w:val="32"/>
              </w:rPr>
            </w:pPr>
          </w:p>
        </w:tc>
        <w:tc>
          <w:tcPr>
            <w:tcW w:w="1686"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left"/>
              <w:textAlignment w:val="center"/>
              <w:rPr>
                <w:rFonts w:ascii="仿宋_GB2312" w:hAnsi="仿宋_GB2312" w:cs="仿宋_GB2312"/>
                <w:szCs w:val="32"/>
              </w:rPr>
            </w:pPr>
            <w:r>
              <w:rPr>
                <w:rFonts w:hint="eastAsia" w:ascii="仿宋_GB2312" w:hAnsi="仿宋_GB2312" w:eastAsia="仿宋_GB2312" w:cs="仿宋_GB2312"/>
                <w:color w:val="000000"/>
                <w:kern w:val="0"/>
                <w:sz w:val="32"/>
                <w:szCs w:val="32"/>
              </w:rPr>
              <w:t>3207.46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308" w:type="dxa"/>
            <w:tcBorders>
              <w:top w:val="nil"/>
              <w:left w:val="outset" w:color="000000" w:sz="8" w:space="0"/>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ascii="仿宋" w:hAnsi="仿宋" w:eastAsia="仿宋" w:cs="仿宋"/>
                <w:color w:val="000000"/>
                <w:kern w:val="0"/>
                <w:sz w:val="30"/>
                <w:szCs w:val="30"/>
              </w:rPr>
              <w:t>商品和服务支出</w:t>
            </w:r>
          </w:p>
        </w:tc>
        <w:tc>
          <w:tcPr>
            <w:tcW w:w="1738"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rPr>
                <w:rFonts w:ascii="仿宋_GB2312" w:hAnsi="仿宋_GB2312" w:cs="仿宋_GB2312"/>
                <w:szCs w:val="32"/>
              </w:rPr>
            </w:pPr>
            <w:r>
              <w:rPr>
                <w:rFonts w:hint="eastAsia" w:ascii="仿宋_GB2312" w:hAnsi="仿宋_GB2312" w:eastAsia="仿宋_GB2312" w:cs="仿宋_GB2312"/>
                <w:sz w:val="32"/>
                <w:szCs w:val="32"/>
              </w:rPr>
              <w:t>348.02</w:t>
            </w:r>
          </w:p>
        </w:tc>
        <w:tc>
          <w:tcPr>
            <w:tcW w:w="1684"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rPr>
                <w:rFonts w:ascii="仿宋_GB2312" w:hAnsi="仿宋_GB2312" w:cs="仿宋_GB2312"/>
                <w:szCs w:val="32"/>
              </w:rPr>
            </w:pPr>
            <w:r>
              <w:rPr>
                <w:rFonts w:hint="eastAsia" w:ascii="仿宋_GB2312" w:hAnsi="仿宋_GB2312" w:eastAsia="仿宋_GB2312" w:cs="仿宋_GB2312"/>
                <w:sz w:val="32"/>
                <w:szCs w:val="32"/>
              </w:rPr>
              <w:t>865.63</w:t>
            </w:r>
          </w:p>
        </w:tc>
        <w:tc>
          <w:tcPr>
            <w:tcW w:w="1686"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left"/>
              <w:textAlignment w:val="center"/>
              <w:rPr>
                <w:rFonts w:ascii="仿宋_GB2312" w:hAnsi="仿宋_GB2312" w:cs="仿宋_GB2312"/>
                <w:szCs w:val="32"/>
              </w:rPr>
            </w:pPr>
            <w:r>
              <w:rPr>
                <w:rFonts w:hint="eastAsia" w:ascii="仿宋_GB2312" w:hAnsi="仿宋_GB2312" w:eastAsia="仿宋_GB2312" w:cs="仿宋_GB2312"/>
                <w:color w:val="000000"/>
                <w:kern w:val="0"/>
                <w:sz w:val="32"/>
                <w:szCs w:val="32"/>
              </w:rPr>
              <w:t>1213.65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c>
          <w:tcPr>
            <w:tcW w:w="2308" w:type="dxa"/>
            <w:tcBorders>
              <w:top w:val="nil"/>
              <w:left w:val="outset" w:color="000000" w:sz="8" w:space="0"/>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ascii="仿宋" w:hAnsi="仿宋" w:eastAsia="仿宋" w:cs="仿宋"/>
                <w:color w:val="000000"/>
                <w:kern w:val="0"/>
                <w:sz w:val="30"/>
                <w:szCs w:val="30"/>
              </w:rPr>
              <w:t>对个人和家庭的补助</w:t>
            </w:r>
          </w:p>
        </w:tc>
        <w:tc>
          <w:tcPr>
            <w:tcW w:w="1738"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rPr>
                <w:rFonts w:ascii="仿宋_GB2312" w:hAnsi="仿宋_GB2312" w:cs="仿宋_GB2312"/>
                <w:szCs w:val="32"/>
              </w:rPr>
            </w:pPr>
            <w:r>
              <w:rPr>
                <w:rFonts w:hint="eastAsia" w:ascii="仿宋_GB2312" w:hAnsi="仿宋_GB2312" w:eastAsia="仿宋_GB2312" w:cs="仿宋_GB2312"/>
                <w:sz w:val="32"/>
                <w:szCs w:val="32"/>
              </w:rPr>
              <w:t>928.87</w:t>
            </w:r>
          </w:p>
        </w:tc>
        <w:tc>
          <w:tcPr>
            <w:tcW w:w="1684"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left"/>
              <w:rPr>
                <w:rFonts w:ascii="仿宋_GB2312" w:hAnsi="仿宋_GB2312" w:cs="仿宋_GB2312"/>
                <w:szCs w:val="32"/>
              </w:rPr>
            </w:pPr>
            <w:r>
              <w:rPr>
                <w:rFonts w:hint="eastAsia" w:ascii="仿宋_GB2312" w:hAnsi="仿宋_GB2312" w:eastAsia="仿宋_GB2312" w:cs="仿宋_GB2312"/>
                <w:color w:val="000000"/>
                <w:kern w:val="0"/>
                <w:sz w:val="32"/>
                <w:szCs w:val="32"/>
              </w:rPr>
              <w:t>   23.61</w:t>
            </w:r>
          </w:p>
        </w:tc>
        <w:tc>
          <w:tcPr>
            <w:tcW w:w="1686"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left"/>
              <w:textAlignment w:val="center"/>
              <w:rPr>
                <w:rFonts w:ascii="仿宋_GB2312" w:hAnsi="仿宋_GB2312" w:cs="仿宋_GB2312"/>
                <w:szCs w:val="32"/>
              </w:rPr>
            </w:pPr>
            <w:r>
              <w:rPr>
                <w:rFonts w:hint="eastAsia" w:ascii="仿宋_GB2312" w:hAnsi="仿宋_GB2312" w:eastAsia="仿宋_GB2312" w:cs="仿宋_GB2312"/>
                <w:color w:val="000000"/>
                <w:kern w:val="0"/>
                <w:sz w:val="32"/>
                <w:szCs w:val="32"/>
              </w:rPr>
              <w:t>952.48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308" w:type="dxa"/>
            <w:tcBorders>
              <w:top w:val="nil"/>
              <w:left w:val="outset" w:color="000000" w:sz="8" w:space="0"/>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ascii="仿宋" w:hAnsi="仿宋" w:eastAsia="仿宋" w:cs="仿宋"/>
                <w:color w:val="000000"/>
                <w:kern w:val="0"/>
                <w:sz w:val="30"/>
                <w:szCs w:val="30"/>
              </w:rPr>
              <w:t>其他资本性支出</w:t>
            </w:r>
          </w:p>
        </w:tc>
        <w:tc>
          <w:tcPr>
            <w:tcW w:w="1738"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rPr>
                <w:rFonts w:ascii="仿宋_GB2312" w:hAnsi="仿宋_GB2312" w:cs="仿宋_GB2312"/>
                <w:szCs w:val="32"/>
              </w:rPr>
            </w:pPr>
          </w:p>
        </w:tc>
        <w:tc>
          <w:tcPr>
            <w:tcW w:w="1684"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rPr>
                <w:rFonts w:ascii="仿宋_GB2312" w:hAnsi="仿宋_GB2312" w:cs="仿宋_GB2312"/>
                <w:szCs w:val="32"/>
              </w:rPr>
            </w:pPr>
            <w:r>
              <w:rPr>
                <w:rFonts w:hint="eastAsia" w:ascii="仿宋_GB2312" w:hAnsi="仿宋_GB2312" w:eastAsia="仿宋_GB2312" w:cs="仿宋_GB2312"/>
                <w:sz w:val="32"/>
                <w:szCs w:val="32"/>
              </w:rPr>
              <w:t>522.35</w:t>
            </w:r>
          </w:p>
        </w:tc>
        <w:tc>
          <w:tcPr>
            <w:tcW w:w="1686"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left"/>
              <w:textAlignment w:val="center"/>
              <w:rPr>
                <w:rFonts w:ascii="仿宋_GB2312" w:hAnsi="仿宋_GB2312" w:cs="仿宋_GB2312"/>
                <w:szCs w:val="32"/>
              </w:rPr>
            </w:pPr>
            <w:r>
              <w:rPr>
                <w:rFonts w:hint="eastAsia" w:ascii="仿宋_GB2312" w:hAnsi="仿宋_GB2312" w:eastAsia="仿宋_GB2312" w:cs="仿宋_GB2312"/>
                <w:color w:val="000000"/>
                <w:kern w:val="0"/>
                <w:sz w:val="32"/>
                <w:szCs w:val="32"/>
              </w:rPr>
              <w:t>522.35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308" w:type="dxa"/>
            <w:tcBorders>
              <w:top w:val="nil"/>
              <w:left w:val="outset" w:color="000000" w:sz="8" w:space="0"/>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ascii="仿宋" w:hAnsi="仿宋" w:eastAsia="仿宋" w:cs="仿宋"/>
                <w:color w:val="000000"/>
                <w:kern w:val="0"/>
                <w:sz w:val="30"/>
                <w:szCs w:val="30"/>
              </w:rPr>
              <w:t>基本建设支出</w:t>
            </w:r>
          </w:p>
        </w:tc>
        <w:tc>
          <w:tcPr>
            <w:tcW w:w="1738"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rPr>
                <w:rFonts w:ascii="仿宋_GB2312" w:hAnsi="仿宋_GB2312" w:cs="仿宋_GB2312"/>
                <w:szCs w:val="32"/>
              </w:rPr>
            </w:pPr>
          </w:p>
        </w:tc>
        <w:tc>
          <w:tcPr>
            <w:tcW w:w="1684"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rPr>
                <w:rFonts w:ascii="仿宋_GB2312" w:hAnsi="仿宋_GB2312" w:cs="仿宋_GB2312"/>
                <w:szCs w:val="32"/>
              </w:rPr>
            </w:pPr>
          </w:p>
        </w:tc>
        <w:tc>
          <w:tcPr>
            <w:tcW w:w="1686"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bottom"/>
          </w:tcPr>
          <w:p>
            <w:pPr>
              <w:widowControl/>
              <w:spacing w:line="560" w:lineRule="exact"/>
              <w:jc w:val="center"/>
              <w:rPr>
                <w:rFonts w:ascii="仿宋_GB2312" w:hAnsi="仿宋_GB2312" w:cs="仿宋_GB2312"/>
                <w:szCs w:val="32"/>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308" w:type="dxa"/>
            <w:tcBorders>
              <w:top w:val="nil"/>
              <w:left w:val="outset" w:color="000000" w:sz="8" w:space="0"/>
              <w:bottom w:val="nil"/>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ascii="仿宋" w:hAnsi="仿宋" w:eastAsia="仿宋" w:cs="仿宋"/>
                <w:color w:val="000000"/>
                <w:kern w:val="0"/>
                <w:sz w:val="30"/>
                <w:szCs w:val="30"/>
              </w:rPr>
              <w:t>合计</w:t>
            </w:r>
          </w:p>
        </w:tc>
        <w:tc>
          <w:tcPr>
            <w:tcW w:w="1738" w:type="dxa"/>
            <w:tcBorders>
              <w:top w:val="nil"/>
              <w:left w:val="nil"/>
              <w:bottom w:val="nil"/>
              <w:right w:val="outset" w:color="000000" w:sz="8" w:space="0"/>
            </w:tcBorders>
            <w:shd w:val="clear" w:color="auto" w:fill="FFFFFF"/>
            <w:tcMar>
              <w:top w:w="24" w:type="dxa"/>
              <w:left w:w="24" w:type="dxa"/>
              <w:bottom w:w="24" w:type="dxa"/>
              <w:right w:w="24" w:type="dxa"/>
            </w:tcMar>
            <w:vAlign w:val="center"/>
          </w:tcPr>
          <w:p>
            <w:pPr>
              <w:widowControl/>
              <w:spacing w:line="560" w:lineRule="exact"/>
              <w:jc w:val="left"/>
              <w:textAlignment w:val="center"/>
              <w:rPr>
                <w:rFonts w:ascii="仿宋_GB2312" w:hAnsi="仿宋_GB2312" w:cs="仿宋_GB2312"/>
                <w:szCs w:val="32"/>
              </w:rPr>
            </w:pPr>
            <w:r>
              <w:rPr>
                <w:rFonts w:hint="eastAsia" w:ascii="仿宋_GB2312" w:hAnsi="仿宋_GB2312" w:eastAsia="仿宋_GB2312" w:cs="仿宋_GB2312"/>
                <w:color w:val="000000"/>
                <w:kern w:val="0"/>
                <w:sz w:val="32"/>
                <w:szCs w:val="32"/>
              </w:rPr>
              <w:t>4484.35</w:t>
            </w:r>
          </w:p>
        </w:tc>
        <w:tc>
          <w:tcPr>
            <w:tcW w:w="1684" w:type="dxa"/>
            <w:tcBorders>
              <w:top w:val="nil"/>
              <w:left w:val="nil"/>
              <w:bottom w:val="nil"/>
              <w:right w:val="outset" w:color="000000" w:sz="8" w:space="0"/>
            </w:tcBorders>
            <w:shd w:val="clear" w:color="auto" w:fill="FFFFFF"/>
            <w:tcMar>
              <w:top w:w="24" w:type="dxa"/>
              <w:left w:w="24" w:type="dxa"/>
              <w:bottom w:w="24" w:type="dxa"/>
              <w:right w:w="24" w:type="dxa"/>
            </w:tcMar>
            <w:vAlign w:val="center"/>
          </w:tcPr>
          <w:p>
            <w:pPr>
              <w:widowControl/>
              <w:spacing w:line="560" w:lineRule="exact"/>
              <w:jc w:val="left"/>
              <w:textAlignment w:val="center"/>
              <w:rPr>
                <w:rFonts w:ascii="仿宋_GB2312" w:hAnsi="仿宋_GB2312" w:cs="仿宋_GB2312"/>
                <w:szCs w:val="32"/>
              </w:rPr>
            </w:pPr>
            <w:r>
              <w:rPr>
                <w:rFonts w:hint="eastAsia" w:ascii="仿宋_GB2312" w:hAnsi="仿宋_GB2312" w:eastAsia="仿宋_GB2312" w:cs="仿宋_GB2312"/>
                <w:color w:val="000000"/>
                <w:kern w:val="0"/>
                <w:sz w:val="32"/>
                <w:szCs w:val="32"/>
              </w:rPr>
              <w:t>1411.59</w:t>
            </w:r>
          </w:p>
        </w:tc>
        <w:tc>
          <w:tcPr>
            <w:tcW w:w="1686" w:type="dxa"/>
            <w:tcBorders>
              <w:top w:val="nil"/>
              <w:left w:val="nil"/>
              <w:bottom w:val="nil"/>
              <w:right w:val="outset" w:color="000000" w:sz="8" w:space="0"/>
            </w:tcBorders>
            <w:shd w:val="clear" w:color="auto" w:fill="FFFFFF"/>
            <w:tcMar>
              <w:top w:w="24" w:type="dxa"/>
              <w:left w:w="24" w:type="dxa"/>
              <w:bottom w:w="24" w:type="dxa"/>
              <w:right w:w="24" w:type="dxa"/>
            </w:tcMar>
            <w:vAlign w:val="center"/>
          </w:tcPr>
          <w:p>
            <w:pPr>
              <w:widowControl/>
              <w:spacing w:line="560" w:lineRule="exact"/>
              <w:jc w:val="left"/>
              <w:textAlignment w:val="center"/>
              <w:rPr>
                <w:rFonts w:ascii="仿宋_GB2312" w:hAnsi="仿宋_GB2312" w:cs="仿宋_GB2312"/>
                <w:szCs w:val="32"/>
              </w:rPr>
            </w:pPr>
            <w:r>
              <w:rPr>
                <w:rFonts w:hint="eastAsia" w:ascii="仿宋_GB2312" w:hAnsi="仿宋_GB2312" w:eastAsia="仿宋_GB2312" w:cs="仿宋_GB2312"/>
                <w:color w:val="000000"/>
                <w:kern w:val="0"/>
                <w:sz w:val="32"/>
                <w:szCs w:val="32"/>
              </w:rPr>
              <w:t>5895.94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c>
          <w:tcPr>
            <w:tcW w:w="2308" w:type="dxa"/>
            <w:tcBorders>
              <w:top w:val="nil"/>
              <w:left w:val="outset" w:color="000000" w:sz="8" w:space="0"/>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rPr>
                <w:rFonts w:ascii="仿宋" w:hAnsi="仿宋" w:eastAsia="仿宋" w:cs="仿宋"/>
                <w:color w:val="000000"/>
                <w:kern w:val="0"/>
                <w:sz w:val="30"/>
                <w:szCs w:val="30"/>
              </w:rPr>
            </w:pPr>
          </w:p>
        </w:tc>
        <w:tc>
          <w:tcPr>
            <w:tcW w:w="1738"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left"/>
              <w:textAlignment w:val="center"/>
              <w:rPr>
                <w:rFonts w:ascii="仿宋_GB2312" w:hAnsi="仿宋_GB2312" w:cs="仿宋_GB2312"/>
                <w:color w:val="000000"/>
                <w:kern w:val="0"/>
                <w:szCs w:val="32"/>
              </w:rPr>
            </w:pPr>
          </w:p>
        </w:tc>
        <w:tc>
          <w:tcPr>
            <w:tcW w:w="1684"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left"/>
              <w:textAlignment w:val="center"/>
              <w:rPr>
                <w:rFonts w:ascii="仿宋_GB2312" w:hAnsi="仿宋_GB2312" w:cs="仿宋_GB2312"/>
                <w:color w:val="000000"/>
                <w:kern w:val="0"/>
                <w:szCs w:val="32"/>
              </w:rPr>
            </w:pPr>
          </w:p>
        </w:tc>
        <w:tc>
          <w:tcPr>
            <w:tcW w:w="1686"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left"/>
              <w:textAlignment w:val="center"/>
              <w:rPr>
                <w:rFonts w:ascii="仿宋_GB2312" w:hAnsi="仿宋_GB2312" w:cs="仿宋_GB2312"/>
                <w:color w:val="000000"/>
                <w:kern w:val="0"/>
                <w:szCs w:val="32"/>
              </w:rPr>
            </w:pPr>
          </w:p>
        </w:tc>
      </w:tr>
    </w:tbl>
    <w:p>
      <w:pPr>
        <w:widowControl/>
        <w:adjustRightInd w:val="0"/>
        <w:snapToGrid w:val="0"/>
        <w:spacing w:line="560" w:lineRule="exact"/>
        <w:contextualSpacing/>
        <w:jc w:val="left"/>
        <w:rPr>
          <w:rFonts w:ascii="黑体" w:eastAsia="黑体" w:cs="宋体"/>
          <w:color w:val="000000"/>
          <w:kern w:val="0"/>
          <w:szCs w:val="32"/>
          <w:shd w:val="clear" w:color="auto" w:fill="FFFFFF"/>
        </w:rPr>
      </w:pPr>
    </w:p>
    <w:p>
      <w:pPr>
        <w:widowControl/>
        <w:shd w:val="clear" w:color="auto" w:fill="FFFFFF"/>
        <w:spacing w:line="560" w:lineRule="exact"/>
        <w:ind w:firstLine="600"/>
        <w:jc w:val="left"/>
        <w:rPr>
          <w:rFonts w:ascii="瀹嬩綋" w:hAnsi="瀹嬩綋" w:eastAsia="瀹嬩綋" w:cs="瀹嬩綋"/>
          <w:color w:val="000000"/>
          <w:sz w:val="16"/>
          <w:szCs w:val="16"/>
        </w:rPr>
      </w:pPr>
      <w:r>
        <w:rPr>
          <w:rFonts w:hint="eastAsia" w:ascii="仿宋" w:hAnsi="仿宋" w:eastAsia="仿宋" w:cs="仿宋"/>
          <w:b/>
          <w:bCs/>
          <w:color w:val="000000"/>
          <w:kern w:val="0"/>
          <w:sz w:val="30"/>
          <w:szCs w:val="30"/>
          <w:shd w:val="clear" w:color="auto" w:fill="FFFFFF"/>
        </w:rPr>
        <w:t>3</w:t>
      </w:r>
    </w:p>
    <w:p>
      <w:pPr>
        <w:widowControl/>
        <w:shd w:val="clear" w:color="auto" w:fill="FFFFFF"/>
        <w:spacing w:line="560" w:lineRule="exact"/>
        <w:ind w:right="40"/>
        <w:jc w:val="right"/>
        <w:rPr>
          <w:rFonts w:hint="eastAsia" w:ascii="仿宋" w:hAnsi="仿宋" w:eastAsia="仿宋" w:cs="仿宋"/>
          <w:color w:val="000000"/>
          <w:kern w:val="0"/>
          <w:sz w:val="30"/>
          <w:szCs w:val="30"/>
          <w:shd w:val="clear" w:color="auto" w:fill="FFFFFF"/>
        </w:rPr>
      </w:pPr>
      <w:r>
        <w:rPr>
          <w:rFonts w:hint="eastAsia" w:ascii="仿宋" w:hAnsi="仿宋" w:eastAsia="仿宋" w:cs="仿宋"/>
          <w:color w:val="000000"/>
          <w:kern w:val="0"/>
          <w:sz w:val="30"/>
          <w:szCs w:val="30"/>
          <w:shd w:val="clear" w:color="auto" w:fill="FFFFFF"/>
        </w:rPr>
        <w:t> </w:t>
      </w:r>
    </w:p>
    <w:p>
      <w:pPr>
        <w:widowControl/>
        <w:shd w:val="clear" w:color="auto" w:fill="FFFFFF"/>
        <w:spacing w:line="560" w:lineRule="exact"/>
        <w:ind w:right="40"/>
        <w:jc w:val="right"/>
        <w:rPr>
          <w:rFonts w:hint="eastAsia" w:ascii="仿宋" w:hAnsi="仿宋" w:eastAsia="仿宋" w:cs="仿宋"/>
          <w:color w:val="000000"/>
          <w:kern w:val="0"/>
          <w:sz w:val="30"/>
          <w:szCs w:val="30"/>
          <w:shd w:val="clear" w:color="auto" w:fill="FFFFFF"/>
        </w:rPr>
      </w:pPr>
    </w:p>
    <w:p>
      <w:pPr>
        <w:widowControl/>
        <w:shd w:val="clear" w:color="auto" w:fill="FFFFFF"/>
        <w:spacing w:line="560" w:lineRule="exact"/>
        <w:ind w:right="40"/>
        <w:jc w:val="right"/>
        <w:rPr>
          <w:rFonts w:hint="eastAsia" w:ascii="仿宋" w:hAnsi="仿宋" w:eastAsia="仿宋" w:cs="仿宋"/>
          <w:color w:val="000000"/>
          <w:kern w:val="0"/>
          <w:sz w:val="30"/>
          <w:szCs w:val="30"/>
          <w:shd w:val="clear" w:color="auto" w:fill="FFFFFF"/>
        </w:rPr>
      </w:pPr>
    </w:p>
    <w:p>
      <w:pPr>
        <w:widowControl/>
        <w:shd w:val="clear" w:color="auto" w:fill="FFFFFF"/>
        <w:spacing w:line="560" w:lineRule="exact"/>
        <w:ind w:firstLine="600"/>
        <w:jc w:val="left"/>
        <w:rPr>
          <w:rFonts w:ascii="瀹嬩綋" w:hAnsi="瀹嬩綋" w:eastAsia="瀹嬩綋" w:cs="瀹嬩綋"/>
          <w:b/>
          <w:bCs/>
          <w:color w:val="000000"/>
          <w:sz w:val="16"/>
          <w:szCs w:val="16"/>
        </w:rPr>
      </w:pPr>
      <w:r>
        <w:rPr>
          <w:rFonts w:hint="eastAsia" w:ascii="仿宋" w:hAnsi="仿宋" w:eastAsia="仿宋" w:cs="仿宋"/>
          <w:b/>
          <w:bCs/>
          <w:color w:val="000000"/>
          <w:kern w:val="0"/>
          <w:sz w:val="30"/>
          <w:szCs w:val="30"/>
          <w:shd w:val="clear" w:color="auto" w:fill="FFFFFF"/>
        </w:rPr>
        <w:t>“</w:t>
      </w:r>
    </w:p>
    <w:p>
      <w:pPr>
        <w:widowControl/>
        <w:shd w:val="clear" w:color="auto" w:fill="FFFFFF"/>
        <w:spacing w:line="560" w:lineRule="exact"/>
        <w:ind w:right="40"/>
        <w:jc w:val="right"/>
        <w:rPr>
          <w:rFonts w:hint="eastAsia" w:ascii="仿宋" w:hAnsi="仿宋" w:eastAsia="仿宋" w:cs="仿宋"/>
          <w:color w:val="000000"/>
          <w:kern w:val="0"/>
          <w:sz w:val="30"/>
          <w:szCs w:val="30"/>
          <w:shd w:val="clear" w:color="auto" w:fill="FFFFFF"/>
        </w:rPr>
      </w:pPr>
    </w:p>
    <w:p>
      <w:pPr>
        <w:widowControl/>
        <w:shd w:val="clear" w:color="auto" w:fill="FFFFFF"/>
        <w:spacing w:line="560" w:lineRule="exact"/>
        <w:ind w:firstLine="600"/>
        <w:jc w:val="left"/>
        <w:rPr>
          <w:rFonts w:hint="eastAsia" w:ascii="仿宋" w:hAnsi="仿宋" w:eastAsia="仿宋" w:cs="仿宋"/>
          <w:color w:val="000000"/>
          <w:kern w:val="0"/>
          <w:sz w:val="30"/>
          <w:szCs w:val="30"/>
          <w:shd w:val="clear" w:color="auto" w:fill="FFFFFF"/>
        </w:rPr>
      </w:pPr>
      <w:r>
        <w:rPr>
          <w:rFonts w:hint="eastAsia" w:ascii="仿宋" w:hAnsi="仿宋" w:eastAsia="仿宋" w:cs="仿宋"/>
          <w:color w:val="000000"/>
          <w:kern w:val="0"/>
          <w:sz w:val="30"/>
          <w:szCs w:val="30"/>
          <w:shd w:val="clear" w:color="auto" w:fill="FFFFFF"/>
        </w:rPr>
        <w:t>2</w:t>
      </w:r>
    </w:p>
    <w:p>
      <w:pPr>
        <w:widowControl/>
        <w:shd w:val="clear" w:color="auto" w:fill="FFFFFF"/>
        <w:spacing w:line="560" w:lineRule="exact"/>
        <w:ind w:firstLine="600"/>
        <w:jc w:val="left"/>
        <w:rPr>
          <w:rFonts w:hint="eastAsia" w:ascii="仿宋" w:hAnsi="仿宋" w:eastAsia="仿宋" w:cs="仿宋"/>
          <w:color w:val="000000"/>
          <w:kern w:val="0"/>
          <w:sz w:val="30"/>
          <w:szCs w:val="30"/>
          <w:shd w:val="clear" w:color="auto" w:fill="FFFFFF"/>
        </w:rPr>
      </w:pPr>
    </w:p>
    <w:p>
      <w:pPr>
        <w:widowControl/>
        <w:shd w:val="clear" w:color="auto" w:fill="FFFFFF"/>
        <w:spacing w:line="560" w:lineRule="exact"/>
        <w:ind w:firstLine="600"/>
        <w:jc w:val="left"/>
        <w:rPr>
          <w:rFonts w:hint="eastAsia" w:ascii="仿宋" w:hAnsi="仿宋" w:eastAsia="仿宋" w:cs="仿宋"/>
          <w:color w:val="000000"/>
          <w:kern w:val="0"/>
          <w:sz w:val="30"/>
          <w:szCs w:val="30"/>
          <w:shd w:val="clear" w:color="auto" w:fill="FFFFFF"/>
        </w:rPr>
      </w:pPr>
    </w:p>
    <w:p>
      <w:pPr>
        <w:widowControl/>
        <w:shd w:val="clear" w:color="auto" w:fill="FFFFFF"/>
        <w:spacing w:line="560" w:lineRule="exact"/>
        <w:ind w:firstLine="600"/>
        <w:jc w:val="left"/>
        <w:rPr>
          <w:rFonts w:hint="eastAsia" w:ascii="仿宋" w:hAnsi="仿宋" w:eastAsia="仿宋" w:cs="仿宋"/>
          <w:color w:val="000000"/>
          <w:kern w:val="0"/>
          <w:sz w:val="30"/>
          <w:szCs w:val="30"/>
          <w:shd w:val="clear" w:color="auto" w:fill="FFFFFF"/>
        </w:rPr>
      </w:pPr>
    </w:p>
    <w:p>
      <w:pPr>
        <w:widowControl/>
        <w:shd w:val="clear" w:color="auto" w:fill="FFFFFF"/>
        <w:spacing w:line="560" w:lineRule="exact"/>
        <w:ind w:firstLine="600"/>
        <w:jc w:val="left"/>
        <w:rPr>
          <w:rFonts w:ascii="瀹嬩綋" w:hAnsi="瀹嬩綋" w:eastAsia="瀹嬩綋" w:cs="瀹嬩綋"/>
          <w:b/>
          <w:bCs/>
          <w:color w:val="000000"/>
          <w:sz w:val="16"/>
          <w:szCs w:val="16"/>
        </w:rPr>
      </w:pPr>
      <w:r>
        <w:rPr>
          <w:rFonts w:hint="eastAsia" w:ascii="仿宋" w:hAnsi="仿宋" w:eastAsia="仿宋" w:cs="仿宋"/>
          <w:b/>
          <w:bCs/>
          <w:color w:val="000000"/>
          <w:kern w:val="0"/>
          <w:sz w:val="30"/>
          <w:szCs w:val="30"/>
          <w:shd w:val="clear" w:color="auto" w:fill="FFFFFF"/>
        </w:rPr>
        <w:t>三公”经费预算执行情况</w:t>
      </w:r>
    </w:p>
    <w:p>
      <w:pPr>
        <w:widowControl/>
        <w:shd w:val="clear" w:color="auto" w:fill="FFFFFF"/>
        <w:spacing w:line="560" w:lineRule="exact"/>
        <w:ind w:firstLine="600"/>
        <w:jc w:val="left"/>
        <w:rPr>
          <w:rFonts w:hint="eastAsia" w:ascii="仿宋" w:hAnsi="仿宋" w:eastAsia="仿宋" w:cs="仿宋"/>
          <w:color w:val="000000"/>
          <w:kern w:val="0"/>
          <w:sz w:val="30"/>
          <w:szCs w:val="30"/>
          <w:shd w:val="clear" w:color="auto" w:fill="FFFFFF"/>
        </w:rPr>
      </w:pPr>
      <w:r>
        <w:rPr>
          <w:rFonts w:hint="default" w:ascii="仿宋" w:hAnsi="仿宋" w:eastAsia="仿宋" w:cs="仿宋"/>
          <w:color w:val="000000"/>
          <w:kern w:val="0"/>
          <w:sz w:val="30"/>
          <w:szCs w:val="30"/>
          <w:shd w:val="clear" w:color="auto" w:fill="FFFFFF"/>
        </w:rPr>
        <w:t>2021</w:t>
      </w:r>
      <w:r>
        <w:rPr>
          <w:rFonts w:hint="eastAsia" w:ascii="仿宋" w:hAnsi="仿宋" w:eastAsia="仿宋" w:cs="仿宋"/>
          <w:color w:val="000000"/>
          <w:kern w:val="0"/>
          <w:sz w:val="30"/>
          <w:szCs w:val="30"/>
          <w:shd w:val="clear" w:color="auto" w:fill="FFFFFF"/>
        </w:rPr>
        <w:t>年度“三公”费支出合计313.63万元，其中公务接待费3.58万元，公车运行维护费179万元，公务用车购置费131.05万元。</w:t>
      </w:r>
    </w:p>
    <w:p>
      <w:pPr>
        <w:widowControl/>
        <w:shd w:val="clear" w:color="auto" w:fill="FFFFFF"/>
        <w:spacing w:line="560" w:lineRule="exact"/>
        <w:ind w:right="40"/>
        <w:jc w:val="right"/>
        <w:rPr>
          <w:rFonts w:hint="eastAsia" w:ascii="仿宋" w:hAnsi="仿宋" w:eastAsia="仿宋" w:cs="仿宋"/>
          <w:color w:val="000000"/>
          <w:kern w:val="0"/>
          <w:sz w:val="30"/>
          <w:szCs w:val="30"/>
          <w:shd w:val="clear" w:color="auto" w:fill="FFFFFF"/>
        </w:rPr>
      </w:pPr>
    </w:p>
    <w:tbl>
      <w:tblPr>
        <w:tblStyle w:val="10"/>
        <w:tblpPr w:leftFromText="180" w:rightFromText="180" w:vertAnchor="text" w:horzAnchor="page" w:tblpX="2224" w:tblpY="12"/>
        <w:tblOverlap w:val="never"/>
        <w:tblW w:w="764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1973"/>
        <w:gridCol w:w="1699"/>
        <w:gridCol w:w="1843"/>
        <w:gridCol w:w="212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973" w:type="dxa"/>
            <w:tcBorders>
              <w:top w:val="outset" w:color="000000" w:sz="8" w:space="0"/>
              <w:left w:val="outset" w:color="000000" w:sz="8" w:space="0"/>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ind w:firstLine="600"/>
              <w:jc w:val="center"/>
            </w:pPr>
            <w:r>
              <w:rPr>
                <w:rFonts w:hint="eastAsia" w:ascii="仿宋" w:hAnsi="仿宋" w:eastAsia="仿宋" w:cs="仿宋"/>
                <w:color w:val="000000"/>
                <w:kern w:val="0"/>
                <w:sz w:val="30"/>
                <w:szCs w:val="30"/>
              </w:rPr>
              <w:t> </w:t>
            </w:r>
          </w:p>
        </w:tc>
        <w:tc>
          <w:tcPr>
            <w:tcW w:w="1699" w:type="dxa"/>
            <w:tcBorders>
              <w:top w:val="outset" w:color="000000" w:sz="8" w:space="0"/>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ascii="仿宋" w:hAnsi="仿宋" w:eastAsia="仿宋" w:cs="仿宋"/>
                <w:color w:val="000000"/>
                <w:kern w:val="0"/>
                <w:sz w:val="30"/>
                <w:szCs w:val="30"/>
              </w:rPr>
              <w:t>基本支出</w:t>
            </w:r>
          </w:p>
        </w:tc>
        <w:tc>
          <w:tcPr>
            <w:tcW w:w="1843" w:type="dxa"/>
            <w:tcBorders>
              <w:top w:val="outset" w:color="000000" w:sz="8" w:space="0"/>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ascii="仿宋" w:hAnsi="仿宋" w:eastAsia="仿宋" w:cs="仿宋"/>
                <w:color w:val="000000"/>
                <w:kern w:val="0"/>
                <w:sz w:val="30"/>
                <w:szCs w:val="30"/>
              </w:rPr>
              <w:t>项目支出</w:t>
            </w:r>
          </w:p>
        </w:tc>
        <w:tc>
          <w:tcPr>
            <w:tcW w:w="2129" w:type="dxa"/>
            <w:tcBorders>
              <w:top w:val="outset" w:color="000000" w:sz="8" w:space="0"/>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ascii="仿宋" w:hAnsi="仿宋" w:eastAsia="仿宋" w:cs="仿宋"/>
                <w:color w:val="000000"/>
                <w:kern w:val="0"/>
                <w:sz w:val="30"/>
                <w:szCs w:val="30"/>
              </w:rPr>
              <w:t>合计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973" w:type="dxa"/>
            <w:tcBorders>
              <w:top w:val="nil"/>
              <w:left w:val="outset" w:color="000000" w:sz="8" w:space="0"/>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ascii="仿宋" w:hAnsi="仿宋" w:eastAsia="仿宋" w:cs="仿宋"/>
                <w:color w:val="000000"/>
                <w:kern w:val="0"/>
                <w:sz w:val="30"/>
                <w:szCs w:val="30"/>
              </w:rPr>
              <w:t>公务接待费</w:t>
            </w:r>
          </w:p>
        </w:tc>
        <w:tc>
          <w:tcPr>
            <w:tcW w:w="1699"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rPr>
              <w:t>3.58</w:t>
            </w:r>
          </w:p>
        </w:tc>
        <w:tc>
          <w:tcPr>
            <w:tcW w:w="1843"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ind w:firstLine="750"/>
              <w:jc w:val="left"/>
            </w:pPr>
          </w:p>
        </w:tc>
        <w:tc>
          <w:tcPr>
            <w:tcW w:w="2129"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rPr>
              <w:t>3.58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973" w:type="dxa"/>
            <w:tcBorders>
              <w:top w:val="nil"/>
              <w:left w:val="outset" w:color="000000" w:sz="8" w:space="0"/>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ascii="仿宋" w:hAnsi="仿宋" w:eastAsia="仿宋" w:cs="仿宋"/>
                <w:color w:val="000000"/>
                <w:kern w:val="0"/>
                <w:sz w:val="30"/>
                <w:szCs w:val="30"/>
              </w:rPr>
              <w:t>公车运行维护</w:t>
            </w:r>
          </w:p>
        </w:tc>
        <w:tc>
          <w:tcPr>
            <w:tcW w:w="1699"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rPr>
              <w:t>40</w:t>
            </w:r>
          </w:p>
        </w:tc>
        <w:tc>
          <w:tcPr>
            <w:tcW w:w="1843"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rPr>
              <w:t>139</w:t>
            </w:r>
          </w:p>
        </w:tc>
        <w:tc>
          <w:tcPr>
            <w:tcW w:w="2129"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rPr>
              <w:t>179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c>
          <w:tcPr>
            <w:tcW w:w="1973" w:type="dxa"/>
            <w:tcBorders>
              <w:top w:val="nil"/>
              <w:left w:val="outset" w:color="000000" w:sz="8" w:space="0"/>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ascii="仿宋" w:hAnsi="仿宋" w:eastAsia="仿宋" w:cs="仿宋"/>
                <w:color w:val="000000"/>
                <w:kern w:val="0"/>
                <w:sz w:val="30"/>
                <w:szCs w:val="30"/>
              </w:rPr>
              <w:t>因公出国费用</w:t>
            </w:r>
          </w:p>
        </w:tc>
        <w:tc>
          <w:tcPr>
            <w:tcW w:w="1699"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rPr>
              <w:t>0</w:t>
            </w:r>
          </w:p>
        </w:tc>
        <w:tc>
          <w:tcPr>
            <w:tcW w:w="1843"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ind w:firstLine="750"/>
              <w:jc w:val="left"/>
            </w:pPr>
            <w:r>
              <w:rPr>
                <w:rFonts w:hint="eastAsia"/>
              </w:rPr>
              <w:t>0</w:t>
            </w:r>
          </w:p>
        </w:tc>
        <w:tc>
          <w:tcPr>
            <w:tcW w:w="2129"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ascii="仿宋" w:hAnsi="仿宋" w:eastAsia="仿宋" w:cs="仿宋"/>
                <w:color w:val="000000"/>
                <w:kern w:val="0"/>
                <w:sz w:val="30"/>
                <w:szCs w:val="3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973" w:type="dxa"/>
            <w:tcBorders>
              <w:top w:val="nil"/>
              <w:left w:val="outset" w:color="000000" w:sz="8" w:space="0"/>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ascii="仿宋" w:hAnsi="仿宋" w:eastAsia="仿宋" w:cs="仿宋"/>
                <w:color w:val="000000"/>
                <w:kern w:val="0"/>
                <w:sz w:val="30"/>
                <w:szCs w:val="30"/>
              </w:rPr>
              <w:t>公务车购置费</w:t>
            </w:r>
          </w:p>
        </w:tc>
        <w:tc>
          <w:tcPr>
            <w:tcW w:w="1699"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p>
        </w:tc>
        <w:tc>
          <w:tcPr>
            <w:tcW w:w="1843"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ind w:firstLine="450"/>
            </w:pPr>
            <w:r>
              <w:rPr>
                <w:rFonts w:hint="eastAsia"/>
              </w:rPr>
              <w:t>131.05</w:t>
            </w:r>
          </w:p>
        </w:tc>
        <w:tc>
          <w:tcPr>
            <w:tcW w:w="2129"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rPr>
              <w:t>131.05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973" w:type="dxa"/>
            <w:tcBorders>
              <w:top w:val="nil"/>
              <w:left w:val="outset" w:color="000000" w:sz="8" w:space="0"/>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ascii="仿宋" w:hAnsi="仿宋" w:eastAsia="仿宋" w:cs="仿宋"/>
                <w:color w:val="000000"/>
                <w:kern w:val="0"/>
                <w:sz w:val="30"/>
                <w:szCs w:val="30"/>
              </w:rPr>
              <w:t>合计</w:t>
            </w:r>
          </w:p>
        </w:tc>
        <w:tc>
          <w:tcPr>
            <w:tcW w:w="1699"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rPr>
              <w:t>43.58</w:t>
            </w:r>
          </w:p>
        </w:tc>
        <w:tc>
          <w:tcPr>
            <w:tcW w:w="1843"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rPr>
              <w:t>270.05</w:t>
            </w:r>
          </w:p>
        </w:tc>
        <w:tc>
          <w:tcPr>
            <w:tcW w:w="2129" w:type="dxa"/>
            <w:tcBorders>
              <w:top w:val="nil"/>
              <w:left w:val="nil"/>
              <w:bottom w:val="outset" w:color="000000" w:sz="8" w:space="0"/>
              <w:right w:val="outset" w:color="000000" w:sz="8" w:space="0"/>
            </w:tcBorders>
            <w:shd w:val="clear" w:color="auto" w:fill="FFFFFF"/>
            <w:tcMar>
              <w:top w:w="24" w:type="dxa"/>
              <w:left w:w="24" w:type="dxa"/>
              <w:bottom w:w="24" w:type="dxa"/>
              <w:right w:w="24" w:type="dxa"/>
            </w:tcMar>
            <w:vAlign w:val="center"/>
          </w:tcPr>
          <w:p>
            <w:pPr>
              <w:widowControl/>
              <w:spacing w:line="560" w:lineRule="exact"/>
              <w:jc w:val="center"/>
            </w:pPr>
            <w:r>
              <w:rPr>
                <w:rFonts w:hint="eastAsia"/>
              </w:rPr>
              <w:t>313.63</w:t>
            </w:r>
          </w:p>
        </w:tc>
      </w:tr>
    </w:tbl>
    <w:p>
      <w:pPr>
        <w:widowControl/>
        <w:adjustRightInd w:val="0"/>
        <w:snapToGrid w:val="0"/>
        <w:spacing w:line="560" w:lineRule="exact"/>
        <w:ind w:firstLine="420" w:firstLineChars="200"/>
        <w:contextualSpacing/>
        <w:jc w:val="left"/>
        <w:rPr>
          <w:rFonts w:ascii="黑体" w:eastAsia="黑体" w:cs="宋体"/>
          <w:color w:val="000000"/>
          <w:kern w:val="0"/>
          <w:szCs w:val="32"/>
          <w:shd w:val="clear" w:color="auto" w:fill="FFFFFF"/>
        </w:rPr>
      </w:pPr>
    </w:p>
    <w:p>
      <w:pPr>
        <w:widowControl/>
        <w:adjustRightInd w:val="0"/>
        <w:snapToGrid w:val="0"/>
        <w:spacing w:line="560" w:lineRule="exact"/>
        <w:ind w:firstLine="420" w:firstLineChars="200"/>
        <w:contextualSpacing/>
        <w:jc w:val="left"/>
        <w:rPr>
          <w:rFonts w:ascii="黑体" w:eastAsia="黑体" w:cs="宋体"/>
          <w:color w:val="000000"/>
          <w:kern w:val="0"/>
          <w:szCs w:val="32"/>
          <w:shd w:val="clear" w:color="auto" w:fill="FFFFFF"/>
        </w:rPr>
      </w:pPr>
    </w:p>
    <w:p>
      <w:pPr>
        <w:widowControl/>
        <w:numPr>
          <w:ilvl w:val="0"/>
          <w:numId w:val="2"/>
        </w:numPr>
        <w:adjustRightInd w:val="0"/>
        <w:snapToGrid w:val="0"/>
        <w:spacing w:line="56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部门整体预算绩效管理情况</w:t>
      </w:r>
    </w:p>
    <w:p>
      <w:pPr>
        <w:widowControl/>
        <w:adjustRightInd w:val="0"/>
        <w:snapToGrid w:val="0"/>
        <w:spacing w:line="560" w:lineRule="exact"/>
        <w:ind w:firstLine="642" w:firstLineChars="200"/>
        <w:contextualSpacing/>
        <w:jc w:val="left"/>
        <w:rPr>
          <w:rFonts w:ascii="仿宋_GB2312" w:cs="宋体"/>
          <w:b/>
          <w:bCs/>
          <w:color w:val="000000"/>
          <w:kern w:val="0"/>
          <w:sz w:val="32"/>
          <w:szCs w:val="32"/>
          <w:shd w:val="clear" w:color="auto" w:fill="FFFFFF"/>
          <w:lang w:val="zh-CN"/>
        </w:rPr>
      </w:pPr>
      <w:r>
        <w:rPr>
          <w:rFonts w:hint="eastAsia" w:ascii="仿宋_GB2312" w:cs="宋体"/>
          <w:b/>
          <w:bCs/>
          <w:color w:val="000000"/>
          <w:kern w:val="0"/>
          <w:sz w:val="32"/>
          <w:szCs w:val="32"/>
          <w:shd w:val="clear" w:color="auto" w:fill="FFFFFF"/>
          <w:lang w:val="zh-CN"/>
        </w:rPr>
        <w:t>（一）部门预算管理。</w:t>
      </w:r>
    </w:p>
    <w:p>
      <w:pPr>
        <w:widowControl/>
        <w:adjustRightInd w:val="0"/>
        <w:snapToGrid w:val="0"/>
        <w:spacing w:line="560" w:lineRule="exact"/>
        <w:ind w:firstLine="720"/>
        <w:jc w:val="left"/>
        <w:rPr>
          <w:rFonts w:ascii="仿宋" w:hAnsi="仿宋" w:eastAsia="仿宋" w:cs="仿宋"/>
          <w:color w:val="000000"/>
          <w:kern w:val="0"/>
          <w:szCs w:val="32"/>
          <w:lang w:val="zh-CN"/>
        </w:rPr>
      </w:pPr>
      <w:r>
        <w:rPr>
          <w:rFonts w:hint="eastAsia" w:ascii="仿宋" w:hAnsi="仿宋" w:eastAsia="仿宋" w:cs="仿宋"/>
          <w:color w:val="000000"/>
          <w:kern w:val="0"/>
          <w:sz w:val="32"/>
          <w:szCs w:val="32"/>
          <w:shd w:val="clear" w:color="auto" w:fill="FFFFFF"/>
        </w:rPr>
        <w:t>2021年预算编制</w:t>
      </w:r>
      <w:r>
        <w:rPr>
          <w:rFonts w:hint="eastAsia" w:ascii="仿宋" w:hAnsi="仿宋" w:eastAsia="仿宋" w:cs="仿宋"/>
          <w:color w:val="333333"/>
          <w:sz w:val="32"/>
          <w:szCs w:val="32"/>
          <w:shd w:val="clear" w:color="auto" w:fill="FFFFFF"/>
        </w:rPr>
        <w:t>严格按照县级部门预算编制通知和有关要求，</w:t>
      </w:r>
      <w:r>
        <w:rPr>
          <w:rFonts w:hint="eastAsia" w:ascii="仿宋" w:hAnsi="仿宋" w:eastAsia="仿宋" w:cs="仿宋"/>
          <w:color w:val="000000"/>
          <w:kern w:val="0"/>
          <w:sz w:val="32"/>
          <w:szCs w:val="32"/>
          <w:shd w:val="clear" w:color="auto" w:fill="FFFFFF"/>
        </w:rPr>
        <w:t>遵守国家编制的原则，</w:t>
      </w:r>
      <w:r>
        <w:rPr>
          <w:rFonts w:hint="eastAsia" w:ascii="仿宋" w:hAnsi="仿宋" w:eastAsia="仿宋" w:cs="仿宋"/>
          <w:color w:val="333333"/>
          <w:sz w:val="32"/>
          <w:szCs w:val="32"/>
          <w:shd w:val="clear" w:color="auto" w:fill="FFFFFF"/>
        </w:rPr>
        <w:t>按时完成2021年预算编制工作，并按时提交部门预算报告，预算编制全面、科学。政法转移支付资金下达后严格按照公安机关经费支出范围，结合实际进行科目编制。</w:t>
      </w:r>
    </w:p>
    <w:p>
      <w:pPr>
        <w:widowControl/>
        <w:adjustRightInd w:val="0"/>
        <w:snapToGrid w:val="0"/>
        <w:spacing w:line="560" w:lineRule="exact"/>
        <w:ind w:left="315" w:leftChars="150"/>
        <w:jc w:val="left"/>
        <w:rPr>
          <w:rFonts w:ascii="仿宋" w:hAnsi="仿宋" w:eastAsia="仿宋" w:cs="仿宋"/>
          <w:b/>
          <w:bCs/>
          <w:color w:val="000000"/>
          <w:kern w:val="0"/>
          <w:szCs w:val="32"/>
          <w:lang w:val="zh-CN"/>
        </w:rPr>
      </w:pPr>
      <w:r>
        <w:rPr>
          <w:rFonts w:hint="eastAsia" w:ascii="仿宋" w:hAnsi="仿宋" w:eastAsia="仿宋" w:cs="仿宋"/>
          <w:b/>
          <w:bCs/>
          <w:color w:val="000000"/>
          <w:kern w:val="0"/>
          <w:sz w:val="32"/>
          <w:szCs w:val="32"/>
          <w:lang w:val="zh-CN"/>
        </w:rPr>
        <w:t>（二）执行管理情况。</w:t>
      </w:r>
    </w:p>
    <w:p>
      <w:pPr>
        <w:widowControl/>
        <w:adjustRightInd w:val="0"/>
        <w:snapToGrid w:val="0"/>
        <w:spacing w:line="560" w:lineRule="exact"/>
        <w:ind w:firstLine="640" w:firstLineChars="200"/>
        <w:jc w:val="left"/>
        <w:rPr>
          <w:rFonts w:ascii="仿宋" w:hAnsi="仿宋" w:eastAsia="仿宋" w:cs="仿宋"/>
          <w:color w:val="000000"/>
          <w:kern w:val="0"/>
          <w:szCs w:val="32"/>
          <w:lang w:val="zh-CN"/>
        </w:rPr>
      </w:pPr>
      <w:r>
        <w:rPr>
          <w:rFonts w:hint="eastAsia" w:ascii="仿宋_GB2312" w:hAnsi="仿宋_GB2312" w:eastAsia="仿宋_GB2312" w:cs="仿宋_GB2312"/>
          <w:sz w:val="32"/>
          <w:szCs w:val="32"/>
          <w:shd w:val="clear" w:color="auto" w:fill="FFFFFF"/>
        </w:rPr>
        <w:t>202</w:t>
      </w:r>
      <w:r>
        <w:rPr>
          <w:rFonts w:hint="eastAsia" w:ascii="仿宋_GB2312" w:hAnsi="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年度全部预算已执行到位，按照上级要求根据对年度整体预算绩效评价结果，</w:t>
      </w:r>
      <w:r>
        <w:rPr>
          <w:rFonts w:hint="eastAsia" w:ascii="仿宋" w:hAnsi="仿宋" w:eastAsia="仿宋" w:cs="仿宋"/>
          <w:sz w:val="32"/>
          <w:szCs w:val="32"/>
        </w:rPr>
        <w:t>2021年支出5895.94万元，其中基本支出4484.35万元、项目支出</w:t>
      </w:r>
      <w:r>
        <w:rPr>
          <w:rFonts w:hint="eastAsia" w:ascii="仿宋_GB2312" w:hAnsi="仿宋_GB2312" w:eastAsia="仿宋_GB2312" w:cs="仿宋_GB2312"/>
          <w:color w:val="000000"/>
          <w:kern w:val="0"/>
          <w:sz w:val="32"/>
          <w:szCs w:val="32"/>
        </w:rPr>
        <w:t>1411.59</w:t>
      </w:r>
      <w:r>
        <w:rPr>
          <w:rFonts w:hint="eastAsia" w:ascii="仿宋" w:hAnsi="仿宋" w:eastAsia="仿宋" w:cs="仿宋"/>
          <w:sz w:val="32"/>
          <w:szCs w:val="32"/>
        </w:rPr>
        <w:t>万元，完成预算100%。实现预期目标，资金使用效益良好。</w:t>
      </w:r>
    </w:p>
    <w:p>
      <w:pPr>
        <w:widowControl/>
        <w:adjustRightInd w:val="0"/>
        <w:snapToGrid w:val="0"/>
        <w:spacing w:line="560" w:lineRule="exact"/>
        <w:ind w:firstLine="642" w:firstLineChars="200"/>
        <w:contextualSpacing/>
        <w:jc w:val="left"/>
        <w:rPr>
          <w:rFonts w:ascii="仿宋_GB2312" w:cs="宋体"/>
          <w:b/>
          <w:bCs/>
          <w:color w:val="000000"/>
          <w:kern w:val="0"/>
          <w:sz w:val="32"/>
          <w:szCs w:val="32"/>
          <w:shd w:val="clear" w:color="auto" w:fill="FFFFFF"/>
          <w:lang w:val="zh-CN"/>
        </w:rPr>
      </w:pPr>
      <w:r>
        <w:rPr>
          <w:rFonts w:hint="eastAsia" w:ascii="仿宋_GB2312" w:cs="宋体"/>
          <w:b/>
          <w:bCs/>
          <w:color w:val="000000"/>
          <w:kern w:val="0"/>
          <w:sz w:val="32"/>
          <w:szCs w:val="32"/>
          <w:shd w:val="clear" w:color="auto" w:fill="FFFFFF"/>
          <w:lang w:val="zh-CN"/>
        </w:rPr>
        <w:t>（三）结果应用情况。</w:t>
      </w:r>
    </w:p>
    <w:p>
      <w:pPr>
        <w:widowControl/>
        <w:shd w:val="clear" w:color="auto" w:fill="FFFFFF"/>
        <w:spacing w:line="560" w:lineRule="exact"/>
        <w:ind w:firstLine="600"/>
        <w:jc w:val="left"/>
        <w:rPr>
          <w:rFonts w:ascii="仿宋_GB2312" w:hAnsi="仿宋_GB2312" w:cs="仿宋_GB2312"/>
          <w:color w:val="000000"/>
          <w:szCs w:val="32"/>
        </w:rPr>
      </w:pPr>
      <w:r>
        <w:rPr>
          <w:rFonts w:hint="eastAsia" w:ascii="仿宋_GB2312" w:hAnsi="仿宋_GB2312" w:eastAsia="仿宋_GB2312" w:cs="仿宋_GB2312"/>
          <w:color w:val="000000"/>
          <w:kern w:val="0"/>
          <w:sz w:val="32"/>
          <w:szCs w:val="32"/>
          <w:shd w:val="clear" w:color="auto" w:fill="FFFFFF"/>
        </w:rPr>
        <w:t>根据《部门整体支出绩效评价指标》评分，得分</w:t>
      </w:r>
      <w:r>
        <w:rPr>
          <w:rFonts w:hint="eastAsia" w:ascii="仿宋_GB2312" w:hAnsi="仿宋_GB2312" w:cs="仿宋_GB2312"/>
          <w:color w:val="000000"/>
          <w:kern w:val="0"/>
          <w:sz w:val="32"/>
          <w:szCs w:val="32"/>
          <w:shd w:val="clear" w:color="auto" w:fill="FFFFFF"/>
        </w:rPr>
        <w:t>89</w:t>
      </w:r>
      <w:r>
        <w:rPr>
          <w:rFonts w:hint="eastAsia" w:ascii="仿宋_GB2312" w:hAnsi="仿宋_GB2312" w:eastAsia="仿宋_GB2312" w:cs="仿宋_GB2312"/>
          <w:color w:val="000000"/>
          <w:kern w:val="0"/>
          <w:sz w:val="32"/>
          <w:szCs w:val="32"/>
          <w:shd w:val="clear" w:color="auto" w:fill="FFFFFF"/>
        </w:rPr>
        <w:t>分，绩效评价等级为“</w:t>
      </w:r>
      <w:r>
        <w:rPr>
          <w:rFonts w:hint="eastAsia" w:ascii="仿宋_GB2312" w:hAnsi="仿宋_GB2312" w:cs="仿宋_GB2312"/>
          <w:color w:val="000000"/>
          <w:kern w:val="0"/>
          <w:sz w:val="32"/>
          <w:szCs w:val="32"/>
          <w:shd w:val="clear" w:color="auto" w:fill="FFFFFF"/>
        </w:rPr>
        <w:t>良</w:t>
      </w:r>
      <w:r>
        <w:rPr>
          <w:rFonts w:hint="eastAsia" w:ascii="仿宋_GB2312" w:hAnsi="仿宋_GB2312" w:eastAsia="仿宋_GB2312" w:cs="仿宋_GB2312"/>
          <w:color w:val="000000"/>
          <w:kern w:val="0"/>
          <w:sz w:val="32"/>
          <w:szCs w:val="32"/>
          <w:shd w:val="clear" w:color="auto" w:fill="FFFFFF"/>
        </w:rPr>
        <w:t>”。主要绩效如下：</w:t>
      </w:r>
    </w:p>
    <w:p>
      <w:pPr>
        <w:widowControl/>
        <w:shd w:val="clear" w:color="auto" w:fill="FFFFFF"/>
        <w:spacing w:line="560" w:lineRule="exact"/>
        <w:ind w:firstLine="600"/>
        <w:jc w:val="left"/>
        <w:rPr>
          <w:rFonts w:ascii="仿宋_GB2312" w:hAnsi="仿宋_GB2312" w:cs="仿宋_GB2312"/>
          <w:color w:val="000000"/>
          <w:szCs w:val="32"/>
        </w:rPr>
      </w:pPr>
      <w:r>
        <w:rPr>
          <w:rFonts w:hint="eastAsia" w:ascii="仿宋_GB2312" w:hAnsi="仿宋_GB2312" w:eastAsia="仿宋_GB2312" w:cs="仿宋_GB2312"/>
          <w:color w:val="000000"/>
          <w:kern w:val="0"/>
          <w:sz w:val="32"/>
          <w:szCs w:val="32"/>
          <w:shd w:val="clear" w:color="auto" w:fill="FFFFFF"/>
        </w:rPr>
        <w:t>维稳安保方面。坚持“稳”字当头，以推进各类专项行动为契机，扎实做好源头治理和重点稳控工作，有力捍卫政治安全，探索推进信访、维稳机制有机融合，有效防范化解社会面风险，确保了全市社会大局平稳可控。</w:t>
      </w:r>
    </w:p>
    <w:p>
      <w:pPr>
        <w:widowControl/>
        <w:shd w:val="clear" w:color="auto" w:fill="FFFFFF"/>
        <w:spacing w:line="560" w:lineRule="exact"/>
        <w:ind w:firstLine="600"/>
        <w:jc w:val="left"/>
        <w:rPr>
          <w:rFonts w:ascii="仿宋_GB2312" w:hAnsi="仿宋_GB2312" w:cs="仿宋_GB2312"/>
          <w:color w:val="000000"/>
          <w:szCs w:val="32"/>
        </w:rPr>
      </w:pPr>
      <w:r>
        <w:rPr>
          <w:rFonts w:hint="eastAsia" w:ascii="仿宋_GB2312" w:hAnsi="仿宋_GB2312" w:eastAsia="仿宋_GB2312" w:cs="仿宋_GB2312"/>
          <w:color w:val="000000"/>
          <w:kern w:val="0"/>
          <w:sz w:val="32"/>
          <w:szCs w:val="32"/>
          <w:shd w:val="clear" w:color="auto" w:fill="FFFFFF"/>
        </w:rPr>
        <w:t>打击违法犯罪方面。集中打击“盗抢骗”“黄赌毒”“食药环”等违法犯罪，常态化开展扫黑除恶斗争。</w:t>
      </w:r>
    </w:p>
    <w:p>
      <w:pPr>
        <w:widowControl/>
        <w:adjustRightInd w:val="0"/>
        <w:snapToGrid w:val="0"/>
        <w:spacing w:line="560" w:lineRule="exact"/>
        <w:ind w:firstLine="640" w:firstLineChars="200"/>
        <w:contextualSpacing/>
        <w:jc w:val="left"/>
        <w:rPr>
          <w:rFonts w:ascii="黑体" w:eastAsia="黑体" w:cs="宋体"/>
          <w:color w:val="000000"/>
          <w:kern w:val="0"/>
          <w:sz w:val="32"/>
          <w:szCs w:val="32"/>
          <w:shd w:val="clear" w:color="auto" w:fill="FFFFFF"/>
        </w:rPr>
      </w:pPr>
      <w:bookmarkStart w:id="18" w:name="_GoBack"/>
      <w:r>
        <w:rPr>
          <w:rFonts w:hint="eastAsia" w:ascii="黑体" w:eastAsia="黑体" w:cs="宋体"/>
          <w:color w:val="000000"/>
          <w:kern w:val="0"/>
          <w:sz w:val="32"/>
          <w:szCs w:val="32"/>
          <w:shd w:val="clear" w:color="auto" w:fill="FFFFFF"/>
        </w:rPr>
        <w:t>四、评价结论及建议</w:t>
      </w:r>
    </w:p>
    <w:bookmarkEnd w:id="18"/>
    <w:p>
      <w:pPr>
        <w:pStyle w:val="9"/>
        <w:widowControl/>
        <w:shd w:val="clear" w:color="auto" w:fill="FFFFFF"/>
        <w:spacing w:beforeAutospacing="0" w:afterAutospacing="0" w:line="560" w:lineRule="exact"/>
        <w:ind w:firstLine="642" w:firstLineChars="200"/>
        <w:rPr>
          <w:rFonts w:ascii="仿宋_GB2312" w:hAnsi="仿宋_GB2312" w:cs="仿宋_GB2312"/>
          <w:sz w:val="32"/>
          <w:szCs w:val="32"/>
          <w:shd w:val="clear" w:color="auto" w:fill="FFFFFF"/>
        </w:rPr>
      </w:pPr>
      <w:r>
        <w:rPr>
          <w:rFonts w:hint="eastAsia" w:ascii="仿宋_GB2312" w:hAnsi="仿宋_GB2312" w:cs="仿宋_GB2312"/>
          <w:b/>
          <w:bCs/>
          <w:sz w:val="32"/>
          <w:szCs w:val="32"/>
          <w:shd w:val="clear" w:color="auto" w:fill="FFFFFF"/>
        </w:rPr>
        <w:t>（一）</w:t>
      </w:r>
      <w:r>
        <w:rPr>
          <w:rFonts w:hint="eastAsia" w:ascii="仿宋_GB2312" w:hAnsi="仿宋_GB2312" w:eastAsia="仿宋_GB2312" w:cs="仿宋_GB2312"/>
          <w:b/>
          <w:bCs/>
          <w:sz w:val="32"/>
          <w:szCs w:val="32"/>
          <w:shd w:val="clear" w:color="auto" w:fill="FFFFFF"/>
        </w:rPr>
        <w:t>评价结果：</w:t>
      </w:r>
      <w:r>
        <w:rPr>
          <w:rFonts w:hint="eastAsia" w:ascii="仿宋_GB2312" w:hAnsi="仿宋_GB2312" w:eastAsia="仿宋_GB2312" w:cs="仿宋_GB2312"/>
          <w:sz w:val="32"/>
          <w:szCs w:val="32"/>
          <w:shd w:val="clear" w:color="auto" w:fill="FFFFFF"/>
        </w:rPr>
        <w:t>202</w:t>
      </w:r>
      <w:r>
        <w:rPr>
          <w:rFonts w:hint="eastAsia" w:ascii="仿宋_GB2312" w:hAnsi="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年</w:t>
      </w:r>
      <w:r>
        <w:rPr>
          <w:rFonts w:hint="eastAsia" w:ascii="仿宋_GB2312" w:hAnsi="仿宋_GB2312" w:cs="仿宋_GB2312"/>
          <w:sz w:val="32"/>
          <w:szCs w:val="32"/>
          <w:shd w:val="clear" w:color="auto" w:fill="FFFFFF"/>
        </w:rPr>
        <w:t>金</w:t>
      </w:r>
      <w:r>
        <w:rPr>
          <w:rFonts w:hint="eastAsia" w:ascii="仿宋_GB2312" w:hAnsi="仿宋_GB2312" w:eastAsia="仿宋_GB2312" w:cs="仿宋_GB2312"/>
          <w:sz w:val="32"/>
          <w:szCs w:val="32"/>
          <w:shd w:val="clear" w:color="auto" w:fill="FFFFFF"/>
        </w:rPr>
        <w:t>川县公安局部门整体支出绩效评</w:t>
      </w:r>
      <w:r>
        <w:rPr>
          <w:rFonts w:hint="eastAsia" w:ascii="仿宋_GB2312" w:hAnsi="仿宋_GB2312" w:cs="仿宋_GB2312"/>
          <w:sz w:val="32"/>
          <w:szCs w:val="32"/>
          <w:shd w:val="clear" w:color="auto" w:fill="FFFFFF"/>
        </w:rPr>
        <w:t>价</w:t>
      </w:r>
      <w:r>
        <w:rPr>
          <w:rFonts w:hint="eastAsia" w:ascii="仿宋_GB2312" w:hAnsi="仿宋_GB2312" w:eastAsia="仿宋_GB2312" w:cs="仿宋_GB2312"/>
          <w:sz w:val="32"/>
          <w:szCs w:val="32"/>
          <w:shd w:val="clear" w:color="auto" w:fill="FFFFFF"/>
        </w:rPr>
        <w:t>支出具体由相关部门按计划实施，圆满完成各项预期任务及目标。</w:t>
      </w:r>
    </w:p>
    <w:p>
      <w:pPr>
        <w:pStyle w:val="9"/>
        <w:widowControl/>
        <w:shd w:val="clear" w:color="auto" w:fill="FFFFFF"/>
        <w:spacing w:beforeAutospacing="0" w:afterAutospacing="0" w:line="560" w:lineRule="exact"/>
        <w:ind w:firstLine="642" w:firstLineChars="200"/>
        <w:rPr>
          <w:rFonts w:ascii="仿宋_GB2312" w:hAnsi="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w:t>
      </w:r>
      <w:r>
        <w:rPr>
          <w:rFonts w:hint="eastAsia" w:ascii="仿宋_GB2312" w:hAnsi="仿宋_GB2312" w:cs="仿宋_GB2312"/>
          <w:b/>
          <w:bCs/>
          <w:sz w:val="32"/>
          <w:szCs w:val="32"/>
          <w:shd w:val="clear" w:color="auto" w:fill="FFFFFF"/>
        </w:rPr>
        <w:t>二</w:t>
      </w:r>
      <w:r>
        <w:rPr>
          <w:rFonts w:hint="eastAsia" w:ascii="仿宋_GB2312" w:hAnsi="仿宋_GB2312" w:eastAsia="仿宋_GB2312" w:cs="仿宋_GB2312"/>
          <w:b/>
          <w:bCs/>
          <w:sz w:val="32"/>
          <w:szCs w:val="32"/>
          <w:shd w:val="clear" w:color="auto" w:fill="FFFFFF"/>
        </w:rPr>
        <w:t>）主要绩效：</w:t>
      </w:r>
      <w:r>
        <w:rPr>
          <w:rFonts w:hint="eastAsia" w:ascii="仿宋_GB2312" w:hAnsi="仿宋_GB2312" w:eastAsia="仿宋_GB2312" w:cs="仿宋_GB2312"/>
          <w:sz w:val="32"/>
          <w:szCs w:val="32"/>
          <w:shd w:val="clear" w:color="auto" w:fill="FFFFFF"/>
        </w:rPr>
        <w:t>202</w:t>
      </w:r>
      <w:r>
        <w:rPr>
          <w:rFonts w:hint="eastAsia" w:ascii="仿宋_GB2312" w:hAnsi="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年以来，县局紧紧围绕市局跨越发展的总体部署，充分发挥自身职能作用，扎实做好反恐维稳、打击犯罪、治安管理、服务经济发展等各项公安工作，全力守护平安、和谐辖区环境。</w:t>
      </w:r>
    </w:p>
    <w:p>
      <w:pPr>
        <w:pStyle w:val="9"/>
        <w:widowControl/>
        <w:shd w:val="clear" w:color="auto" w:fill="FFFFFF"/>
        <w:spacing w:beforeAutospacing="0" w:afterAutospacing="0" w:line="560" w:lineRule="exact"/>
        <w:ind w:left="420" w:firstLine="321" w:firstLineChars="100"/>
        <w:rPr>
          <w:rFonts w:ascii="仿宋_GB2312" w:hAnsi="仿宋_GB2312" w:cs="仿宋_GB2312"/>
          <w:sz w:val="32"/>
          <w:szCs w:val="32"/>
        </w:rPr>
      </w:pPr>
      <w:r>
        <w:rPr>
          <w:rFonts w:hint="eastAsia" w:ascii="仿宋_GB2312" w:hAnsi="仿宋_GB2312" w:eastAsia="仿宋_GB2312" w:cs="仿宋_GB2312"/>
          <w:b/>
          <w:bCs/>
          <w:sz w:val="32"/>
          <w:szCs w:val="32"/>
          <w:shd w:val="clear" w:color="auto" w:fill="FFFFFF"/>
        </w:rPr>
        <w:t>1.年度目标完成情况</w:t>
      </w:r>
    </w:p>
    <w:p>
      <w:pPr>
        <w:pStyle w:val="9"/>
        <w:widowControl/>
        <w:shd w:val="clear" w:color="auto" w:fill="FFFFFF"/>
        <w:spacing w:beforeAutospacing="0" w:afterAutospacing="0" w:line="560" w:lineRule="exact"/>
        <w:ind w:firstLine="739" w:firstLineChars="231"/>
        <w:jc w:val="both"/>
        <w:rPr>
          <w:rFonts w:ascii="仿宋_GB2312" w:hAnsi="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我局202</w:t>
      </w:r>
      <w:r>
        <w:rPr>
          <w:rFonts w:hint="eastAsia" w:ascii="仿宋_GB2312" w:hAnsi="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年部门绩效目标的制定，严格按照202</w:t>
      </w:r>
      <w:r>
        <w:rPr>
          <w:rFonts w:hint="eastAsia" w:ascii="仿宋_GB2312" w:hAnsi="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年的工作进行了分析，编制了部门预算，并按照预算绩效管理的要求，制定了绩效目标，做到绩效目标与实际工作“统一化、准确化、具体化、定量化”以便理解和测量。在202</w:t>
      </w:r>
      <w:r>
        <w:rPr>
          <w:rFonts w:hint="eastAsia" w:ascii="仿宋_GB2312" w:hAnsi="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年的预算执行中，严格、逐一对照绩效目标全面完成202</w:t>
      </w:r>
      <w:r>
        <w:rPr>
          <w:rFonts w:hint="eastAsia" w:ascii="仿宋_GB2312" w:hAnsi="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年预算收支情况。在执行过程中，除因落实国家政策、发生不可抗力、上级部门临时交办而必须调整预算外，严格按照批复执行预算。本年度基本按照进度执行，全面完成预算。在下属单位的管理上，制定相关管理办法，确保单位经费合规合理使用。单位无违规记录情况。</w:t>
      </w:r>
    </w:p>
    <w:p>
      <w:pPr>
        <w:pStyle w:val="9"/>
        <w:widowControl/>
        <w:shd w:val="clear" w:color="auto" w:fill="FFFFFF"/>
        <w:spacing w:beforeAutospacing="0" w:afterAutospacing="0" w:line="560" w:lineRule="exact"/>
        <w:ind w:firstLine="742" w:firstLineChars="231"/>
        <w:jc w:val="both"/>
        <w:rPr>
          <w:rFonts w:ascii="仿宋_GB2312" w:hAnsi="仿宋_GB2312" w:cs="仿宋_GB2312"/>
          <w:sz w:val="32"/>
          <w:szCs w:val="32"/>
        </w:rPr>
      </w:pPr>
      <w:r>
        <w:rPr>
          <w:rFonts w:hint="eastAsia" w:ascii="仿宋_GB2312" w:hAnsi="仿宋_GB2312" w:eastAsia="仿宋_GB2312" w:cs="仿宋_GB2312"/>
          <w:b/>
          <w:bCs/>
          <w:sz w:val="32"/>
          <w:szCs w:val="32"/>
          <w:shd w:val="clear" w:color="auto" w:fill="FFFFFF"/>
        </w:rPr>
        <w:t>2.预算编制情况（年初预算）</w:t>
      </w:r>
    </w:p>
    <w:p>
      <w:pPr>
        <w:pStyle w:val="9"/>
        <w:widowControl/>
        <w:shd w:val="clear" w:color="auto" w:fill="FFFFFF"/>
        <w:spacing w:beforeAutospacing="0" w:afterAutospacing="0" w:line="560" w:lineRule="exact"/>
        <w:ind w:firstLine="739" w:firstLineChars="231"/>
        <w:jc w:val="both"/>
        <w:rPr>
          <w:rFonts w:ascii="仿宋_GB2312" w:hAnsi="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202</w:t>
      </w:r>
      <w:r>
        <w:rPr>
          <w:rFonts w:hint="eastAsia" w:ascii="仿宋_GB2312" w:hAnsi="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年一般公共预算总数</w:t>
      </w:r>
      <w:r>
        <w:rPr>
          <w:rFonts w:hint="eastAsia" w:ascii="仿宋_GB2312" w:hAnsi="仿宋_GB2312" w:cs="仿宋_GB2312"/>
          <w:sz w:val="32"/>
          <w:szCs w:val="32"/>
          <w:shd w:val="clear" w:color="auto" w:fill="FFFFFF"/>
        </w:rPr>
        <w:t>3581.53</w:t>
      </w:r>
      <w:r>
        <w:rPr>
          <w:rFonts w:hint="eastAsia" w:ascii="仿宋_GB2312" w:hAnsi="仿宋_GB2312" w:eastAsia="仿宋_GB2312" w:cs="仿宋_GB2312"/>
          <w:sz w:val="32"/>
          <w:szCs w:val="32"/>
          <w:shd w:val="clear" w:color="auto" w:fill="FFFFFF"/>
        </w:rPr>
        <w:t>万元，其中：人员支出</w:t>
      </w:r>
      <w:r>
        <w:rPr>
          <w:rFonts w:hint="eastAsia" w:ascii="仿宋_GB2312" w:hAnsi="仿宋_GB2312" w:cs="仿宋_GB2312"/>
          <w:sz w:val="32"/>
          <w:szCs w:val="32"/>
          <w:shd w:val="clear" w:color="auto" w:fill="FFFFFF"/>
        </w:rPr>
        <w:t>3150.02</w:t>
      </w:r>
      <w:r>
        <w:rPr>
          <w:rFonts w:hint="eastAsia" w:ascii="仿宋_GB2312" w:hAnsi="仿宋_GB2312" w:eastAsia="仿宋_GB2312" w:cs="仿宋_GB2312"/>
          <w:sz w:val="32"/>
          <w:szCs w:val="32"/>
          <w:shd w:val="clear" w:color="auto" w:fill="FFFFFF"/>
        </w:rPr>
        <w:t>万元，日常公用经费支出</w:t>
      </w:r>
      <w:r>
        <w:rPr>
          <w:rFonts w:hint="eastAsia" w:ascii="仿宋_GB2312" w:hAnsi="仿宋_GB2312" w:cs="仿宋_GB2312"/>
          <w:sz w:val="32"/>
          <w:szCs w:val="32"/>
          <w:shd w:val="clear" w:color="auto" w:fill="FFFFFF"/>
        </w:rPr>
        <w:t>370.4</w:t>
      </w:r>
      <w:r>
        <w:rPr>
          <w:rFonts w:hint="eastAsia" w:ascii="仿宋_GB2312" w:hAnsi="仿宋_GB2312" w:eastAsia="仿宋_GB2312" w:cs="仿宋_GB2312"/>
          <w:sz w:val="32"/>
          <w:szCs w:val="32"/>
          <w:shd w:val="clear" w:color="auto" w:fill="FFFFFF"/>
        </w:rPr>
        <w:t>万元，对个人和家庭的补助支出</w:t>
      </w:r>
      <w:r>
        <w:rPr>
          <w:rFonts w:hint="eastAsia" w:ascii="仿宋_GB2312" w:hAnsi="仿宋_GB2312" w:cs="仿宋_GB2312"/>
          <w:sz w:val="32"/>
          <w:szCs w:val="32"/>
          <w:shd w:val="clear" w:color="auto" w:fill="FFFFFF"/>
        </w:rPr>
        <w:t>61.11</w:t>
      </w:r>
      <w:r>
        <w:rPr>
          <w:rFonts w:hint="eastAsia" w:ascii="仿宋_GB2312" w:hAnsi="仿宋_GB2312" w:eastAsia="仿宋_GB2312" w:cs="仿宋_GB2312"/>
          <w:sz w:val="32"/>
          <w:szCs w:val="32"/>
          <w:shd w:val="clear" w:color="auto" w:fill="FFFFFF"/>
        </w:rPr>
        <w:t>万元。</w:t>
      </w:r>
    </w:p>
    <w:p>
      <w:pPr>
        <w:pStyle w:val="9"/>
        <w:widowControl/>
        <w:shd w:val="clear" w:color="auto" w:fill="FFFFFF"/>
        <w:spacing w:beforeAutospacing="0" w:afterAutospacing="0" w:line="560" w:lineRule="exact"/>
        <w:ind w:firstLine="739" w:firstLineChars="231"/>
        <w:jc w:val="both"/>
        <w:rPr>
          <w:rFonts w:ascii="仿宋_GB2312" w:hAnsi="仿宋_GB2312" w:cs="仿宋_GB2312"/>
          <w:sz w:val="32"/>
          <w:szCs w:val="32"/>
        </w:rPr>
      </w:pPr>
      <w:r>
        <w:rPr>
          <w:rFonts w:hint="eastAsia" w:ascii="仿宋_GB2312" w:hAnsi="仿宋_GB2312" w:eastAsia="仿宋_GB2312" w:cs="仿宋_GB2312"/>
          <w:sz w:val="32"/>
          <w:szCs w:val="32"/>
          <w:shd w:val="clear" w:color="auto" w:fill="FFFFFF"/>
        </w:rPr>
        <w:t>3.</w:t>
      </w:r>
      <w:r>
        <w:rPr>
          <w:rFonts w:hint="eastAsia" w:ascii="仿宋_GB2312" w:hAnsi="仿宋_GB2312" w:eastAsia="仿宋_GB2312" w:cs="仿宋_GB2312"/>
          <w:b/>
          <w:bCs/>
          <w:sz w:val="32"/>
          <w:szCs w:val="32"/>
          <w:shd w:val="clear" w:color="auto" w:fill="FFFFFF"/>
        </w:rPr>
        <w:t>预算执行情况</w:t>
      </w:r>
    </w:p>
    <w:p>
      <w:pPr>
        <w:pStyle w:val="9"/>
        <w:widowControl/>
        <w:shd w:val="clear" w:color="auto" w:fill="FFFFFF"/>
        <w:spacing w:beforeAutospacing="0" w:afterAutospacing="0" w:line="560" w:lineRule="exact"/>
        <w:ind w:firstLine="739" w:firstLineChars="231"/>
        <w:jc w:val="both"/>
        <w:rPr>
          <w:rFonts w:ascii="仿宋_GB2312" w:hAnsi="仿宋_GB2312" w:cs="仿宋_GB2312"/>
          <w:sz w:val="32"/>
          <w:szCs w:val="32"/>
        </w:rPr>
      </w:pPr>
      <w:r>
        <w:rPr>
          <w:rFonts w:hint="eastAsia" w:ascii="仿宋_GB2312" w:hAnsi="仿宋_GB2312" w:eastAsia="仿宋_GB2312" w:cs="仿宋_GB2312"/>
          <w:sz w:val="32"/>
          <w:szCs w:val="32"/>
          <w:shd w:val="clear" w:color="auto" w:fill="FFFFFF"/>
        </w:rPr>
        <w:t>202</w:t>
      </w:r>
      <w:r>
        <w:rPr>
          <w:rFonts w:hint="eastAsia" w:ascii="仿宋_GB2312" w:hAnsi="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年度全部预算已执行到位，按照上级要求根据对年度整体预算绩效评价结果，我们应进一步加强绩效目标公开和自评公开、提高资金使用效益，提升资金管理水平、优化财政支出结构、公共资源合理配置促进资金绩效理念增强以及财政支出管理加强。</w:t>
      </w:r>
    </w:p>
    <w:p>
      <w:pPr>
        <w:pStyle w:val="9"/>
        <w:widowControl/>
        <w:shd w:val="clear" w:color="auto" w:fill="FFFFFF"/>
        <w:spacing w:beforeAutospacing="0" w:afterAutospacing="0" w:line="560" w:lineRule="exact"/>
        <w:ind w:firstLine="739" w:firstLineChars="231"/>
        <w:jc w:val="both"/>
        <w:rPr>
          <w:rFonts w:ascii="仿宋_GB2312" w:hAnsi="仿宋_GB2312" w:cs="仿宋_GB2312"/>
          <w:sz w:val="32"/>
          <w:szCs w:val="32"/>
        </w:rPr>
      </w:pPr>
      <w:r>
        <w:rPr>
          <w:rFonts w:hint="eastAsia" w:ascii="仿宋_GB2312" w:hAnsi="仿宋_GB2312" w:eastAsia="仿宋_GB2312" w:cs="仿宋_GB2312"/>
          <w:sz w:val="32"/>
          <w:szCs w:val="32"/>
          <w:shd w:val="clear" w:color="auto" w:fill="FFFFFF"/>
        </w:rPr>
        <w:t>4.</w:t>
      </w:r>
      <w:r>
        <w:rPr>
          <w:rFonts w:hint="eastAsia" w:ascii="仿宋_GB2312" w:hAnsi="仿宋_GB2312" w:eastAsia="仿宋_GB2312" w:cs="仿宋_GB2312"/>
          <w:b/>
          <w:bCs/>
          <w:sz w:val="32"/>
          <w:szCs w:val="32"/>
          <w:shd w:val="clear" w:color="auto" w:fill="FFFFFF"/>
        </w:rPr>
        <w:t>预算完成结果情况</w:t>
      </w:r>
    </w:p>
    <w:p>
      <w:pPr>
        <w:pStyle w:val="9"/>
        <w:widowControl/>
        <w:shd w:val="clear" w:color="auto" w:fill="FFFFFF"/>
        <w:spacing w:beforeAutospacing="0" w:afterAutospacing="0" w:line="560" w:lineRule="exact"/>
        <w:ind w:firstLine="739" w:firstLineChars="231"/>
        <w:jc w:val="both"/>
        <w:rPr>
          <w:rFonts w:ascii="仿宋_GB2312" w:hAnsi="仿宋_GB2312" w:cs="仿宋_GB2312"/>
          <w:sz w:val="32"/>
          <w:szCs w:val="32"/>
        </w:rPr>
      </w:pPr>
      <w:r>
        <w:rPr>
          <w:rFonts w:hint="eastAsia" w:ascii="仿宋_GB2312" w:hAnsi="仿宋_GB2312" w:eastAsia="仿宋_GB2312" w:cs="仿宋_GB2312"/>
          <w:sz w:val="32"/>
          <w:szCs w:val="32"/>
          <w:shd w:val="clear" w:color="auto" w:fill="FFFFFF"/>
        </w:rPr>
        <w:t>202</w:t>
      </w:r>
      <w:r>
        <w:rPr>
          <w:rFonts w:hint="eastAsia" w:ascii="仿宋_GB2312" w:hAnsi="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年</w:t>
      </w:r>
      <w:r>
        <w:rPr>
          <w:rFonts w:hint="eastAsia" w:ascii="仿宋_GB2312" w:hAnsi="仿宋_GB2312" w:cs="仿宋_GB2312"/>
          <w:sz w:val="32"/>
          <w:szCs w:val="32"/>
          <w:shd w:val="clear" w:color="auto" w:fill="FFFFFF"/>
        </w:rPr>
        <w:t>金</w:t>
      </w:r>
      <w:r>
        <w:rPr>
          <w:rFonts w:hint="eastAsia" w:ascii="仿宋_GB2312" w:hAnsi="仿宋_GB2312" w:eastAsia="仿宋_GB2312" w:cs="仿宋_GB2312"/>
          <w:sz w:val="32"/>
          <w:szCs w:val="32"/>
          <w:shd w:val="clear" w:color="auto" w:fill="FFFFFF"/>
        </w:rPr>
        <w:t>川县公安局预算202</w:t>
      </w:r>
      <w:r>
        <w:rPr>
          <w:rFonts w:hint="eastAsia" w:ascii="仿宋_GB2312" w:hAnsi="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年一般公共预算总数</w:t>
      </w:r>
      <w:r>
        <w:rPr>
          <w:rFonts w:hint="eastAsia" w:ascii="仿宋_GB2312" w:hAnsi="仿宋_GB2312" w:cs="仿宋_GB2312"/>
          <w:sz w:val="32"/>
          <w:szCs w:val="32"/>
          <w:shd w:val="clear" w:color="auto" w:fill="FFFFFF"/>
        </w:rPr>
        <w:t>5895.94</w:t>
      </w:r>
      <w:r>
        <w:rPr>
          <w:rFonts w:hint="eastAsia" w:ascii="仿宋_GB2312" w:hAnsi="仿宋_GB2312" w:eastAsia="仿宋_GB2312" w:cs="仿宋_GB2312"/>
          <w:sz w:val="32"/>
          <w:szCs w:val="32"/>
          <w:shd w:val="clear" w:color="auto" w:fill="FFFFFF"/>
        </w:rPr>
        <w:t>万元，其中：人员支出</w:t>
      </w:r>
      <w:r>
        <w:rPr>
          <w:rFonts w:hint="eastAsia" w:ascii="仿宋_GB2312" w:hAnsi="仿宋_GB2312" w:cs="仿宋_GB2312"/>
          <w:sz w:val="32"/>
          <w:szCs w:val="32"/>
          <w:shd w:val="clear" w:color="auto" w:fill="FFFFFF"/>
        </w:rPr>
        <w:t>4133.32</w:t>
      </w:r>
      <w:r>
        <w:rPr>
          <w:rFonts w:hint="eastAsia" w:ascii="仿宋_GB2312" w:hAnsi="仿宋_GB2312" w:eastAsia="仿宋_GB2312" w:cs="仿宋_GB2312"/>
          <w:sz w:val="32"/>
          <w:szCs w:val="32"/>
          <w:shd w:val="clear" w:color="auto" w:fill="FFFFFF"/>
        </w:rPr>
        <w:t>万元，日常公用经费支出</w:t>
      </w:r>
      <w:r>
        <w:rPr>
          <w:rFonts w:hint="eastAsia" w:ascii="仿宋_GB2312" w:hAnsi="仿宋_GB2312" w:cs="仿宋_GB2312"/>
          <w:sz w:val="32"/>
          <w:szCs w:val="32"/>
          <w:shd w:val="clear" w:color="auto" w:fill="FFFFFF"/>
        </w:rPr>
        <w:t>348.02</w:t>
      </w:r>
      <w:r>
        <w:rPr>
          <w:rFonts w:hint="eastAsia" w:ascii="仿宋_GB2312" w:hAnsi="仿宋_GB2312" w:eastAsia="仿宋_GB2312" w:cs="仿宋_GB2312"/>
          <w:sz w:val="32"/>
          <w:szCs w:val="32"/>
          <w:shd w:val="clear" w:color="auto" w:fill="FFFFFF"/>
        </w:rPr>
        <w:t>万元，对个人和家庭的补助支出</w:t>
      </w:r>
      <w:r>
        <w:rPr>
          <w:rFonts w:hint="eastAsia" w:ascii="仿宋_GB2312" w:hAnsi="仿宋_GB2312" w:cs="仿宋_GB2312"/>
          <w:sz w:val="32"/>
          <w:szCs w:val="32"/>
          <w:shd w:val="clear" w:color="auto" w:fill="FFFFFF"/>
        </w:rPr>
        <w:t>949.48</w:t>
      </w:r>
      <w:r>
        <w:rPr>
          <w:rFonts w:hint="eastAsia" w:ascii="仿宋_GB2312" w:hAnsi="仿宋_GB2312" w:eastAsia="仿宋_GB2312" w:cs="仿宋_GB2312"/>
          <w:sz w:val="32"/>
          <w:szCs w:val="32"/>
          <w:shd w:val="clear" w:color="auto" w:fill="FFFFFF"/>
        </w:rPr>
        <w:t>万元。政法转移支付资金</w:t>
      </w:r>
      <w:r>
        <w:rPr>
          <w:rFonts w:hint="eastAsia" w:ascii="仿宋_GB2312" w:hAnsi="仿宋_GB2312" w:cs="仿宋_GB2312"/>
          <w:sz w:val="32"/>
          <w:szCs w:val="32"/>
          <w:shd w:val="clear" w:color="auto" w:fill="FFFFFF"/>
        </w:rPr>
        <w:t>865.63</w:t>
      </w:r>
      <w:r>
        <w:rPr>
          <w:rFonts w:hint="eastAsia" w:ascii="仿宋_GB2312" w:hAnsi="仿宋_GB2312" w:eastAsia="仿宋_GB2312" w:cs="仿宋_GB2312"/>
          <w:sz w:val="32"/>
          <w:szCs w:val="32"/>
          <w:shd w:val="clear" w:color="auto" w:fill="FFFFFF"/>
        </w:rPr>
        <w:t>万元</w:t>
      </w:r>
      <w:r>
        <w:rPr>
          <w:rFonts w:hint="eastAsia" w:ascii="仿宋_GB2312" w:hAnsi="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按上级要求全部完成并执行到位。</w:t>
      </w:r>
    </w:p>
    <w:p>
      <w:pPr>
        <w:pStyle w:val="9"/>
        <w:widowControl/>
        <w:shd w:val="clear" w:color="auto" w:fill="FFFFFF"/>
        <w:spacing w:beforeAutospacing="0" w:afterAutospacing="0" w:line="560" w:lineRule="exact"/>
        <w:ind w:firstLine="739" w:firstLineChars="231"/>
        <w:jc w:val="both"/>
        <w:rPr>
          <w:rFonts w:ascii="仿宋_GB2312" w:hAnsi="仿宋_GB2312" w:cs="仿宋_GB2312"/>
          <w:sz w:val="32"/>
          <w:szCs w:val="32"/>
        </w:rPr>
      </w:pPr>
      <w:r>
        <w:rPr>
          <w:rFonts w:hint="eastAsia" w:ascii="仿宋_GB2312" w:hAnsi="仿宋_GB2312" w:eastAsia="仿宋_GB2312" w:cs="仿宋_GB2312"/>
          <w:sz w:val="32"/>
          <w:szCs w:val="32"/>
          <w:shd w:val="clear" w:color="auto" w:fill="FFFFFF"/>
        </w:rPr>
        <w:t>5.</w:t>
      </w:r>
      <w:r>
        <w:rPr>
          <w:rFonts w:hint="eastAsia" w:ascii="仿宋_GB2312" w:hAnsi="仿宋_GB2312" w:eastAsia="仿宋_GB2312" w:cs="仿宋_GB2312"/>
          <w:b/>
          <w:bCs/>
          <w:sz w:val="32"/>
          <w:szCs w:val="32"/>
          <w:shd w:val="clear" w:color="auto" w:fill="FFFFFF"/>
        </w:rPr>
        <w:t>绩效公开、整改情况</w:t>
      </w:r>
    </w:p>
    <w:p>
      <w:pPr>
        <w:pStyle w:val="9"/>
        <w:widowControl/>
        <w:shd w:val="clear" w:color="auto" w:fill="FFFFFF"/>
        <w:spacing w:beforeAutospacing="0" w:afterAutospacing="0" w:line="560" w:lineRule="exact"/>
        <w:ind w:firstLine="739" w:firstLineChars="231"/>
        <w:jc w:val="both"/>
        <w:rPr>
          <w:rFonts w:ascii="仿宋_GB2312" w:hAnsi="仿宋_GB2312" w:cs="仿宋_GB2312"/>
          <w:sz w:val="32"/>
          <w:szCs w:val="32"/>
        </w:rPr>
      </w:pPr>
      <w:r>
        <w:rPr>
          <w:rFonts w:hint="eastAsia" w:ascii="仿宋_GB2312" w:hAnsi="仿宋_GB2312" w:eastAsia="仿宋_GB2312" w:cs="仿宋_GB2312"/>
          <w:sz w:val="32"/>
          <w:szCs w:val="32"/>
          <w:shd w:val="clear" w:color="auto" w:fill="FFFFFF"/>
        </w:rPr>
        <w:t>部门整体支出情况良好，从预算到执行和收入、支出及信息公开，都要严格按相关制度要求进行，全年收支平衡，有效保证了机构运转，圆满完成了上级下达的目标任务，取得了较大的社会效益和经济效益，通过加强预算收支管理，不断建立健全内部管理制度，梳理内部管理流程，部门整体支出管理情况得到提升。</w:t>
      </w:r>
    </w:p>
    <w:p>
      <w:pPr>
        <w:pStyle w:val="9"/>
        <w:widowControl/>
        <w:shd w:val="clear" w:color="auto" w:fill="FFFFFF"/>
        <w:spacing w:beforeAutospacing="0" w:afterAutospacing="0" w:line="560" w:lineRule="exact"/>
        <w:ind w:firstLine="742" w:firstLineChars="231"/>
        <w:jc w:val="both"/>
        <w:rPr>
          <w:rFonts w:ascii="仿宋_GB2312" w:hAnsi="仿宋_GB2312" w:cs="仿宋_GB2312"/>
          <w:sz w:val="32"/>
          <w:szCs w:val="32"/>
        </w:rPr>
      </w:pPr>
      <w:r>
        <w:rPr>
          <w:rFonts w:hint="eastAsia" w:ascii="仿宋_GB2312" w:hAnsi="仿宋_GB2312" w:eastAsia="仿宋_GB2312" w:cs="仿宋_GB2312"/>
          <w:b/>
          <w:bCs/>
          <w:sz w:val="32"/>
          <w:szCs w:val="32"/>
          <w:shd w:val="clear" w:color="auto" w:fill="FFFFFF"/>
        </w:rPr>
        <w:t>6.绩效管理工作开展情况</w:t>
      </w:r>
    </w:p>
    <w:p>
      <w:pPr>
        <w:pStyle w:val="9"/>
        <w:widowControl/>
        <w:shd w:val="clear" w:color="auto" w:fill="FFFFFF"/>
        <w:spacing w:beforeAutospacing="0" w:afterAutospacing="0" w:line="560" w:lineRule="exact"/>
        <w:ind w:firstLine="739" w:firstLineChars="231"/>
        <w:jc w:val="both"/>
        <w:rPr>
          <w:rFonts w:ascii="仿宋_GB2312" w:hAnsi="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我局制定了多项管理办法，并严格按照管理办法执行。严格按照预算开支。没有超标准、超规模、超范围开支 ，严格开支管理，所有的专项资金做到了专款专用，不存在挤占、截流、挪用的情况。加强内部检查审计，进行定期不定期的检查、审计，确保资金落实到位。</w:t>
      </w:r>
    </w:p>
    <w:p>
      <w:pPr>
        <w:rPr>
          <w:rFonts w:ascii="仿宋_GB2312" w:eastAsia="仿宋_GB2312"/>
          <w:sz w:val="32"/>
          <w:szCs w:val="32"/>
        </w:rPr>
      </w:pPr>
      <w:r>
        <w:rPr>
          <w:rFonts w:hint="eastAsia" w:ascii="仿宋_GB2312" w:eastAsia="仿宋_GB2312"/>
          <w:sz w:val="32"/>
          <w:szCs w:val="32"/>
        </w:rPr>
        <w:t xml:space="preserve">    评价结论。根据部门支出绩效评价指标体系进行单位自评，圆满完成绩效自评工作，圆满完成州公安局和县县委县政府的重要工作、目标任务。按照预算绩效管理要求，本部门对2021年整体支出开展绩效自评，自评得分88.36分。</w:t>
      </w:r>
    </w:p>
    <w:tbl>
      <w:tblPr>
        <w:tblStyle w:val="10"/>
        <w:tblW w:w="9563" w:type="dxa"/>
        <w:tblInd w:w="178" w:type="dxa"/>
        <w:tblLayout w:type="fixed"/>
        <w:tblCellMar>
          <w:top w:w="0" w:type="dxa"/>
          <w:left w:w="108" w:type="dxa"/>
          <w:bottom w:w="0" w:type="dxa"/>
          <w:right w:w="108" w:type="dxa"/>
        </w:tblCellMar>
      </w:tblPr>
      <w:tblGrid>
        <w:gridCol w:w="1680"/>
        <w:gridCol w:w="1658"/>
        <w:gridCol w:w="1670"/>
        <w:gridCol w:w="992"/>
        <w:gridCol w:w="1113"/>
        <w:gridCol w:w="1309"/>
        <w:gridCol w:w="1141"/>
      </w:tblGrid>
      <w:tr>
        <w:tblPrEx>
          <w:tblCellMar>
            <w:top w:w="0" w:type="dxa"/>
            <w:left w:w="108" w:type="dxa"/>
            <w:bottom w:w="0" w:type="dxa"/>
            <w:right w:w="108" w:type="dxa"/>
          </w:tblCellMar>
        </w:tblPrEx>
        <w:trPr>
          <w:trHeight w:val="491" w:hRule="atLeast"/>
        </w:trPr>
        <w:tc>
          <w:tcPr>
            <w:tcW w:w="5008"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rPr>
              <w:t>绩效指标</w:t>
            </w:r>
          </w:p>
        </w:tc>
        <w:tc>
          <w:tcPr>
            <w:tcW w:w="99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rPr>
              <w:t>指标分值</w:t>
            </w:r>
          </w:p>
        </w:tc>
        <w:tc>
          <w:tcPr>
            <w:tcW w:w="111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rPr>
              <w:t>不计分</w:t>
            </w:r>
          </w:p>
        </w:tc>
        <w:tc>
          <w:tcPr>
            <w:tcW w:w="130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rPr>
              <w:t>得分</w:t>
            </w:r>
          </w:p>
        </w:tc>
        <w:tc>
          <w:tcPr>
            <w:tcW w:w="114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rPr>
              <w:t>扣分</w:t>
            </w:r>
          </w:p>
        </w:tc>
      </w:tr>
      <w:tr>
        <w:tblPrEx>
          <w:tblCellMar>
            <w:top w:w="0" w:type="dxa"/>
            <w:left w:w="108" w:type="dxa"/>
            <w:bottom w:w="0" w:type="dxa"/>
            <w:right w:w="108" w:type="dxa"/>
          </w:tblCellMar>
        </w:tblPrEx>
        <w:trPr>
          <w:trHeight w:val="472" w:hRule="atLeast"/>
        </w:trPr>
        <w:tc>
          <w:tcPr>
            <w:tcW w:w="16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rPr>
              <w:t>一级指标</w:t>
            </w:r>
          </w:p>
        </w:tc>
        <w:tc>
          <w:tcPr>
            <w:tcW w:w="16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rPr>
              <w:t>二级指标</w:t>
            </w: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rPr>
              <w:t>三级指标</w:t>
            </w: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b/>
                <w:bCs/>
                <w:color w:val="000000"/>
                <w:szCs w:val="21"/>
              </w:rPr>
            </w:pPr>
          </w:p>
        </w:tc>
        <w:tc>
          <w:tcPr>
            <w:tcW w:w="111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b/>
                <w:bCs/>
                <w:color w:val="000000"/>
                <w:szCs w:val="21"/>
              </w:rPr>
            </w:pPr>
          </w:p>
        </w:tc>
        <w:tc>
          <w:tcPr>
            <w:tcW w:w="130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b/>
                <w:bCs/>
                <w:color w:val="000000"/>
                <w:szCs w:val="21"/>
              </w:rPr>
            </w:pPr>
          </w:p>
        </w:tc>
        <w:tc>
          <w:tcPr>
            <w:tcW w:w="114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b/>
                <w:bCs/>
                <w:color w:val="000000"/>
                <w:szCs w:val="21"/>
              </w:rPr>
            </w:pPr>
          </w:p>
        </w:tc>
      </w:tr>
      <w:tr>
        <w:tblPrEx>
          <w:tblCellMar>
            <w:top w:w="0" w:type="dxa"/>
            <w:left w:w="108" w:type="dxa"/>
            <w:bottom w:w="0" w:type="dxa"/>
            <w:right w:w="108" w:type="dxa"/>
          </w:tblCellMar>
        </w:tblPrEx>
        <w:trPr>
          <w:trHeight w:val="657" w:hRule="atLeast"/>
        </w:trPr>
        <w:tc>
          <w:tcPr>
            <w:tcW w:w="6000" w:type="dxa"/>
            <w:gridSpan w:val="4"/>
            <w:tcBorders>
              <w:top w:val="single" w:color="000000" w:sz="4" w:space="0"/>
              <w:left w:val="single" w:color="000000" w:sz="4" w:space="0"/>
              <w:bottom w:val="single" w:color="000000" w:sz="4" w:space="0"/>
              <w:right w:val="nil"/>
            </w:tcBorders>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rPr>
              <w:t>合计</w:t>
            </w:r>
          </w:p>
        </w:tc>
        <w:tc>
          <w:tcPr>
            <w:tcW w:w="111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rPr>
              <w:t xml:space="preserve">0.00 </w:t>
            </w: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rPr>
              <w:t xml:space="preserve">87.16 </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rPr>
              <w:t xml:space="preserve">12.84 </w:t>
            </w:r>
          </w:p>
        </w:tc>
      </w:tr>
      <w:tr>
        <w:tblPrEx>
          <w:tblCellMar>
            <w:top w:w="0" w:type="dxa"/>
            <w:left w:w="108" w:type="dxa"/>
            <w:bottom w:w="0" w:type="dxa"/>
            <w:right w:w="108" w:type="dxa"/>
          </w:tblCellMar>
        </w:tblPrEx>
        <w:trPr>
          <w:trHeight w:val="315" w:hRule="atLeast"/>
        </w:trPr>
        <w:tc>
          <w:tcPr>
            <w:tcW w:w="168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部门预算管理（60分）</w:t>
            </w:r>
          </w:p>
        </w:tc>
        <w:tc>
          <w:tcPr>
            <w:tcW w:w="165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预算编制（24分）</w:t>
            </w: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目标制定</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8</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8.00 </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0.00 </w:t>
            </w:r>
          </w:p>
        </w:tc>
      </w:tr>
      <w:tr>
        <w:tblPrEx>
          <w:tblCellMar>
            <w:top w:w="0" w:type="dxa"/>
            <w:left w:w="108" w:type="dxa"/>
            <w:bottom w:w="0" w:type="dxa"/>
            <w:right w:w="108" w:type="dxa"/>
          </w:tblCellMar>
        </w:tblPrEx>
        <w:trPr>
          <w:trHeight w:val="315" w:hRule="atLeast"/>
        </w:trPr>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目标实现</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8</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8.00 </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0.00 </w:t>
            </w:r>
          </w:p>
        </w:tc>
      </w:tr>
      <w:tr>
        <w:tblPrEx>
          <w:tblCellMar>
            <w:top w:w="0" w:type="dxa"/>
            <w:left w:w="108" w:type="dxa"/>
            <w:bottom w:w="0" w:type="dxa"/>
            <w:right w:w="108" w:type="dxa"/>
          </w:tblCellMar>
        </w:tblPrEx>
        <w:trPr>
          <w:trHeight w:val="315" w:hRule="atLeast"/>
        </w:trPr>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编制准确</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8</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8.00 </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0.00 </w:t>
            </w:r>
          </w:p>
        </w:tc>
      </w:tr>
      <w:tr>
        <w:tblPrEx>
          <w:tblCellMar>
            <w:top w:w="0" w:type="dxa"/>
            <w:left w:w="108" w:type="dxa"/>
            <w:bottom w:w="0" w:type="dxa"/>
            <w:right w:w="108" w:type="dxa"/>
          </w:tblCellMar>
        </w:tblPrEx>
        <w:trPr>
          <w:trHeight w:val="339" w:hRule="atLeast"/>
        </w:trPr>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                                                                             预算执行（20分）</w:t>
            </w: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支出控制</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6</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0.00 </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6.00 </w:t>
            </w:r>
          </w:p>
        </w:tc>
      </w:tr>
      <w:tr>
        <w:tblPrEx>
          <w:tblCellMar>
            <w:top w:w="0" w:type="dxa"/>
            <w:left w:w="108" w:type="dxa"/>
            <w:bottom w:w="0" w:type="dxa"/>
            <w:right w:w="108" w:type="dxa"/>
          </w:tblCellMar>
        </w:tblPrEx>
        <w:trPr>
          <w:trHeight w:val="315" w:hRule="atLeast"/>
        </w:trPr>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动态调整</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8</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8.00 </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0.00 </w:t>
            </w:r>
          </w:p>
        </w:tc>
      </w:tr>
      <w:tr>
        <w:tblPrEx>
          <w:tblCellMar>
            <w:top w:w="0" w:type="dxa"/>
            <w:left w:w="108" w:type="dxa"/>
            <w:bottom w:w="0" w:type="dxa"/>
            <w:right w:w="108" w:type="dxa"/>
          </w:tblCellMar>
        </w:tblPrEx>
        <w:trPr>
          <w:trHeight w:val="480" w:hRule="atLeast"/>
        </w:trPr>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执行进度-6月预算执行情况</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2</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2.00</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0.00</w:t>
            </w:r>
          </w:p>
        </w:tc>
      </w:tr>
      <w:tr>
        <w:tblPrEx>
          <w:tblCellMar>
            <w:top w:w="0" w:type="dxa"/>
            <w:left w:w="108" w:type="dxa"/>
            <w:bottom w:w="0" w:type="dxa"/>
            <w:right w:w="108" w:type="dxa"/>
          </w:tblCellMar>
        </w:tblPrEx>
        <w:trPr>
          <w:trHeight w:val="480" w:hRule="atLeast"/>
        </w:trPr>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执行进度-9月预算执行情况</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2</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1.81</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0.19</w:t>
            </w:r>
          </w:p>
        </w:tc>
      </w:tr>
      <w:tr>
        <w:tblPrEx>
          <w:tblCellMar>
            <w:top w:w="0" w:type="dxa"/>
            <w:left w:w="108" w:type="dxa"/>
            <w:bottom w:w="0" w:type="dxa"/>
            <w:right w:w="108" w:type="dxa"/>
          </w:tblCellMar>
        </w:tblPrEx>
        <w:trPr>
          <w:trHeight w:val="720" w:hRule="atLeast"/>
        </w:trPr>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执行进度-11月预算执行情况</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2</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1.80</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0.20</w:t>
            </w:r>
          </w:p>
        </w:tc>
      </w:tr>
      <w:tr>
        <w:tblPrEx>
          <w:tblCellMar>
            <w:top w:w="0" w:type="dxa"/>
            <w:left w:w="108" w:type="dxa"/>
            <w:bottom w:w="0" w:type="dxa"/>
            <w:right w:w="108" w:type="dxa"/>
          </w:tblCellMar>
        </w:tblPrEx>
        <w:trPr>
          <w:trHeight w:val="315" w:hRule="atLeast"/>
        </w:trPr>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完成结果（16分）</w:t>
            </w: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预算完成</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8</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8.00 </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0.00 </w:t>
            </w:r>
          </w:p>
        </w:tc>
      </w:tr>
      <w:tr>
        <w:tblPrEx>
          <w:tblCellMar>
            <w:top w:w="0" w:type="dxa"/>
            <w:left w:w="108" w:type="dxa"/>
            <w:bottom w:w="0" w:type="dxa"/>
            <w:right w:w="108" w:type="dxa"/>
          </w:tblCellMar>
        </w:tblPrEx>
        <w:trPr>
          <w:trHeight w:val="315" w:hRule="atLeast"/>
        </w:trPr>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违规记录</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8</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8.00 </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0.00 </w:t>
            </w:r>
          </w:p>
        </w:tc>
      </w:tr>
      <w:tr>
        <w:tblPrEx>
          <w:tblCellMar>
            <w:top w:w="0" w:type="dxa"/>
            <w:left w:w="108" w:type="dxa"/>
            <w:bottom w:w="0" w:type="dxa"/>
            <w:right w:w="108" w:type="dxa"/>
          </w:tblCellMar>
        </w:tblPrEx>
        <w:trPr>
          <w:trHeight w:val="315" w:hRule="atLeast"/>
        </w:trPr>
        <w:tc>
          <w:tcPr>
            <w:tcW w:w="1680" w:type="dxa"/>
            <w:vMerge w:val="restart"/>
            <w:tcBorders>
              <w:top w:val="nil"/>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专项预算管理（20分）</w:t>
            </w:r>
          </w:p>
        </w:tc>
        <w:tc>
          <w:tcPr>
            <w:tcW w:w="165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项目决策（8分）</w:t>
            </w: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程序严密</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3</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3.00 </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0.00 </w:t>
            </w:r>
          </w:p>
        </w:tc>
      </w:tr>
      <w:tr>
        <w:tblPrEx>
          <w:tblCellMar>
            <w:top w:w="0" w:type="dxa"/>
            <w:left w:w="108" w:type="dxa"/>
            <w:bottom w:w="0" w:type="dxa"/>
            <w:right w:w="108" w:type="dxa"/>
          </w:tblCellMar>
        </w:tblPrEx>
        <w:trPr>
          <w:trHeight w:val="315" w:hRule="atLeast"/>
        </w:trPr>
        <w:tc>
          <w:tcPr>
            <w:tcW w:w="1680" w:type="dxa"/>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规划合理</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3</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3.00 </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0.00 </w:t>
            </w:r>
          </w:p>
        </w:tc>
      </w:tr>
      <w:tr>
        <w:tblPrEx>
          <w:tblCellMar>
            <w:top w:w="0" w:type="dxa"/>
            <w:left w:w="108" w:type="dxa"/>
            <w:bottom w:w="0" w:type="dxa"/>
            <w:right w:w="108" w:type="dxa"/>
          </w:tblCellMar>
        </w:tblPrEx>
        <w:trPr>
          <w:trHeight w:val="404" w:hRule="atLeast"/>
        </w:trPr>
        <w:tc>
          <w:tcPr>
            <w:tcW w:w="1680" w:type="dxa"/>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结果符合</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2</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1.50</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0.5</w:t>
            </w:r>
          </w:p>
        </w:tc>
      </w:tr>
      <w:tr>
        <w:tblPrEx>
          <w:tblCellMar>
            <w:top w:w="0" w:type="dxa"/>
            <w:left w:w="108" w:type="dxa"/>
            <w:bottom w:w="0" w:type="dxa"/>
            <w:right w:w="108" w:type="dxa"/>
          </w:tblCellMar>
        </w:tblPrEx>
        <w:trPr>
          <w:trHeight w:val="315" w:hRule="atLeast"/>
        </w:trPr>
        <w:tc>
          <w:tcPr>
            <w:tcW w:w="1680" w:type="dxa"/>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项目实施（4分）</w:t>
            </w: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分配科学</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2</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2.00 </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0.00 </w:t>
            </w:r>
          </w:p>
        </w:tc>
      </w:tr>
      <w:tr>
        <w:tblPrEx>
          <w:tblCellMar>
            <w:top w:w="0" w:type="dxa"/>
            <w:left w:w="108" w:type="dxa"/>
            <w:bottom w:w="0" w:type="dxa"/>
            <w:right w:w="108" w:type="dxa"/>
          </w:tblCellMar>
        </w:tblPrEx>
        <w:trPr>
          <w:trHeight w:val="480" w:hRule="atLeast"/>
        </w:trPr>
        <w:tc>
          <w:tcPr>
            <w:tcW w:w="1680" w:type="dxa"/>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分配（支付）及时</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2</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2.00 </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0.00 </w:t>
            </w:r>
          </w:p>
        </w:tc>
      </w:tr>
      <w:tr>
        <w:tblPrEx>
          <w:tblCellMar>
            <w:top w:w="0" w:type="dxa"/>
            <w:left w:w="108" w:type="dxa"/>
            <w:bottom w:w="0" w:type="dxa"/>
            <w:right w:w="108" w:type="dxa"/>
          </w:tblCellMar>
        </w:tblPrEx>
        <w:trPr>
          <w:trHeight w:val="720" w:hRule="atLeast"/>
        </w:trPr>
        <w:tc>
          <w:tcPr>
            <w:tcW w:w="1680" w:type="dxa"/>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完成结果（8分）</w:t>
            </w: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预算完成-资金拨付</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1</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1.00</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0.00</w:t>
            </w:r>
          </w:p>
        </w:tc>
      </w:tr>
      <w:tr>
        <w:tblPrEx>
          <w:tblCellMar>
            <w:top w:w="0" w:type="dxa"/>
            <w:left w:w="108" w:type="dxa"/>
            <w:bottom w:w="0" w:type="dxa"/>
            <w:right w:w="108" w:type="dxa"/>
          </w:tblCellMar>
        </w:tblPrEx>
        <w:trPr>
          <w:trHeight w:val="480" w:hRule="atLeast"/>
        </w:trPr>
        <w:tc>
          <w:tcPr>
            <w:tcW w:w="1680" w:type="dxa"/>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预算完成-规范实施</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3</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3.00 </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0.00 </w:t>
            </w:r>
          </w:p>
        </w:tc>
      </w:tr>
      <w:tr>
        <w:tblPrEx>
          <w:tblCellMar>
            <w:top w:w="0" w:type="dxa"/>
            <w:left w:w="108" w:type="dxa"/>
            <w:bottom w:w="0" w:type="dxa"/>
            <w:right w:w="108" w:type="dxa"/>
          </w:tblCellMar>
        </w:tblPrEx>
        <w:trPr>
          <w:trHeight w:val="349" w:hRule="atLeast"/>
        </w:trPr>
        <w:tc>
          <w:tcPr>
            <w:tcW w:w="1680" w:type="dxa"/>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实施绩效</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3</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2.00 </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1.00 </w:t>
            </w:r>
          </w:p>
        </w:tc>
      </w:tr>
      <w:tr>
        <w:tblPrEx>
          <w:tblCellMar>
            <w:top w:w="0" w:type="dxa"/>
            <w:left w:w="108" w:type="dxa"/>
            <w:bottom w:w="0" w:type="dxa"/>
            <w:right w:w="108" w:type="dxa"/>
          </w:tblCellMar>
        </w:tblPrEx>
        <w:trPr>
          <w:trHeight w:val="480" w:hRule="atLeast"/>
        </w:trPr>
        <w:tc>
          <w:tcPr>
            <w:tcW w:w="1680" w:type="dxa"/>
            <w:vMerge w:val="continue"/>
            <w:tcBorders>
              <w:top w:val="nil"/>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违规记录-监督部门检查</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1</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1.00 </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0.00 </w:t>
            </w:r>
          </w:p>
        </w:tc>
      </w:tr>
      <w:tr>
        <w:tblPrEx>
          <w:tblCellMar>
            <w:top w:w="0" w:type="dxa"/>
            <w:left w:w="108" w:type="dxa"/>
            <w:bottom w:w="0" w:type="dxa"/>
            <w:right w:w="108" w:type="dxa"/>
          </w:tblCellMar>
        </w:tblPrEx>
        <w:trPr>
          <w:trHeight w:val="480" w:hRule="atLeast"/>
        </w:trPr>
        <w:tc>
          <w:tcPr>
            <w:tcW w:w="168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绩效结果应用（10分）</w:t>
            </w:r>
          </w:p>
        </w:tc>
        <w:tc>
          <w:tcPr>
            <w:tcW w:w="16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信息公开（2分）</w:t>
            </w: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自评公开</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2</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2.00 </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0.00 </w:t>
            </w:r>
          </w:p>
        </w:tc>
      </w:tr>
      <w:tr>
        <w:tblPrEx>
          <w:tblCellMar>
            <w:top w:w="0" w:type="dxa"/>
            <w:left w:w="108" w:type="dxa"/>
            <w:bottom w:w="0" w:type="dxa"/>
            <w:right w:w="108" w:type="dxa"/>
          </w:tblCellMar>
        </w:tblPrEx>
        <w:trPr>
          <w:trHeight w:val="315" w:hRule="atLeast"/>
        </w:trPr>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整改反馈（8分）</w:t>
            </w: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结果整改</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4</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4.00 </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0.00 </w:t>
            </w:r>
          </w:p>
        </w:tc>
      </w:tr>
      <w:tr>
        <w:tblPrEx>
          <w:tblCellMar>
            <w:top w:w="0" w:type="dxa"/>
            <w:left w:w="108" w:type="dxa"/>
            <w:bottom w:w="0" w:type="dxa"/>
            <w:right w:w="108" w:type="dxa"/>
          </w:tblCellMar>
        </w:tblPrEx>
        <w:trPr>
          <w:trHeight w:val="315" w:hRule="atLeast"/>
        </w:trPr>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5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应用反馈</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4</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4.00 </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0.00 </w:t>
            </w:r>
          </w:p>
        </w:tc>
      </w:tr>
      <w:tr>
        <w:tblPrEx>
          <w:tblCellMar>
            <w:top w:w="0" w:type="dxa"/>
            <w:left w:w="108" w:type="dxa"/>
            <w:bottom w:w="0" w:type="dxa"/>
            <w:right w:w="108" w:type="dxa"/>
          </w:tblCellMar>
        </w:tblPrEx>
        <w:trPr>
          <w:trHeight w:val="480" w:hRule="atLeast"/>
        </w:trPr>
        <w:tc>
          <w:tcPr>
            <w:tcW w:w="168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Cs w:val="21"/>
              </w:rPr>
              <w:t>自评质量（10分）</w:t>
            </w:r>
          </w:p>
        </w:tc>
        <w:tc>
          <w:tcPr>
            <w:tcW w:w="16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自评质量（10分）</w:t>
            </w:r>
          </w:p>
        </w:tc>
        <w:tc>
          <w:tcPr>
            <w:tcW w:w="1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自评准确</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10</w:t>
            </w:r>
          </w:p>
        </w:tc>
        <w:tc>
          <w:tcPr>
            <w:tcW w:w="1113"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Cs w:val="21"/>
              </w:rPr>
            </w:pPr>
          </w:p>
        </w:tc>
        <w:tc>
          <w:tcPr>
            <w:tcW w:w="1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6.25</w:t>
            </w:r>
          </w:p>
        </w:tc>
        <w:tc>
          <w:tcPr>
            <w:tcW w:w="1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 xml:space="preserve">3.75 </w:t>
            </w:r>
          </w:p>
        </w:tc>
      </w:tr>
      <w:tr>
        <w:tblPrEx>
          <w:tblCellMar>
            <w:top w:w="0" w:type="dxa"/>
            <w:left w:w="108" w:type="dxa"/>
            <w:bottom w:w="0" w:type="dxa"/>
            <w:right w:w="108" w:type="dxa"/>
          </w:tblCellMar>
        </w:tblPrEx>
        <w:trPr>
          <w:trHeight w:val="537" w:hRule="atLeast"/>
        </w:trPr>
        <w:tc>
          <w:tcPr>
            <w:tcW w:w="5008"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部门评价总分</w:t>
            </w:r>
          </w:p>
        </w:tc>
        <w:tc>
          <w:tcPr>
            <w:tcW w:w="9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rPr>
              <w:t>100</w:t>
            </w:r>
          </w:p>
        </w:tc>
        <w:tc>
          <w:tcPr>
            <w:tcW w:w="3563"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bCs/>
                <w:color w:val="000000"/>
                <w:szCs w:val="21"/>
              </w:rPr>
            </w:pPr>
            <w:r>
              <w:rPr>
                <w:rFonts w:hint="eastAsia" w:ascii="仿宋" w:hAnsi="仿宋" w:eastAsia="仿宋" w:cs="仿宋"/>
                <w:b/>
                <w:bCs/>
                <w:color w:val="000000"/>
                <w:kern w:val="0"/>
                <w:szCs w:val="21"/>
              </w:rPr>
              <w:t>88.36</w:t>
            </w:r>
          </w:p>
        </w:tc>
      </w:tr>
    </w:tbl>
    <w:p>
      <w:pPr>
        <w:widowControl/>
        <w:adjustRightInd w:val="0"/>
        <w:snapToGrid w:val="0"/>
        <w:spacing w:line="560" w:lineRule="exact"/>
        <w:ind w:firstLine="642" w:firstLineChars="200"/>
        <w:contextualSpacing/>
        <w:jc w:val="left"/>
        <w:rPr>
          <w:rFonts w:ascii="仿宋_GB2312" w:cs="宋体"/>
          <w:b/>
          <w:bCs/>
          <w:color w:val="000000"/>
          <w:kern w:val="0"/>
          <w:sz w:val="32"/>
          <w:szCs w:val="32"/>
          <w:shd w:val="clear" w:color="auto" w:fill="FFFFFF"/>
          <w:lang w:val="zh-CN"/>
        </w:rPr>
      </w:pPr>
      <w:r>
        <w:rPr>
          <w:rFonts w:hint="eastAsia" w:ascii="仿宋_GB2312" w:cs="宋体"/>
          <w:b/>
          <w:bCs/>
          <w:color w:val="000000"/>
          <w:kern w:val="0"/>
          <w:sz w:val="32"/>
          <w:szCs w:val="32"/>
          <w:shd w:val="clear" w:color="auto" w:fill="FFFFFF"/>
          <w:lang w:val="zh-CN"/>
        </w:rPr>
        <w:t>（三）存在问题。</w:t>
      </w:r>
    </w:p>
    <w:p>
      <w:pPr>
        <w:spacing w:line="560" w:lineRule="exact"/>
        <w:ind w:firstLine="642" w:firstLineChars="200"/>
        <w:outlineLvl w:val="0"/>
        <w:rPr>
          <w:rFonts w:ascii="仿宋" w:hAnsi="仿宋" w:eastAsia="仿宋" w:cs="仿宋"/>
          <w:b/>
          <w:bCs/>
          <w:szCs w:val="32"/>
        </w:rPr>
      </w:pPr>
      <w:r>
        <w:rPr>
          <w:rFonts w:hint="eastAsia" w:ascii="仿宋" w:hAnsi="仿宋" w:eastAsia="仿宋" w:cs="仿宋"/>
          <w:b/>
          <w:bCs/>
          <w:sz w:val="32"/>
          <w:szCs w:val="32"/>
        </w:rPr>
        <w:t>1、支出控制不到位</w:t>
      </w:r>
    </w:p>
    <w:p>
      <w:pPr>
        <w:spacing w:line="560" w:lineRule="exact"/>
        <w:ind w:firstLine="640" w:firstLineChars="200"/>
        <w:outlineLvl w:val="0"/>
        <w:rPr>
          <w:rFonts w:ascii="仿宋" w:hAnsi="仿宋" w:eastAsia="仿宋" w:cs="仿宋"/>
          <w:szCs w:val="32"/>
        </w:rPr>
      </w:pPr>
      <w:r>
        <w:rPr>
          <w:rFonts w:hint="eastAsia" w:ascii="仿宋" w:hAnsi="仿宋" w:eastAsia="仿宋" w:cs="仿宋"/>
          <w:sz w:val="32"/>
          <w:szCs w:val="32"/>
        </w:rPr>
        <w:t>单位日常公用经费中办公费、印刷费、水费、电费和物业管理费等科目年初预算数与决算数偏差度大。存在问题的主要原因：一是看守所经费为年内追加，二是年内使用办公费、印刷费、差旅费、公务用车运行维护费为上级下达专用资金。</w:t>
      </w:r>
    </w:p>
    <w:p>
      <w:pPr>
        <w:spacing w:line="560" w:lineRule="exact"/>
        <w:ind w:firstLine="642" w:firstLineChars="200"/>
        <w:outlineLvl w:val="0"/>
        <w:rPr>
          <w:rFonts w:ascii="仿宋" w:hAnsi="仿宋" w:eastAsia="仿宋" w:cs="仿宋"/>
          <w:b/>
          <w:bCs/>
          <w:szCs w:val="32"/>
        </w:rPr>
      </w:pPr>
      <w:r>
        <w:rPr>
          <w:rFonts w:hint="eastAsia" w:ascii="仿宋" w:hAnsi="仿宋" w:eastAsia="仿宋" w:cs="仿宋"/>
          <w:b/>
          <w:bCs/>
          <w:sz w:val="32"/>
          <w:szCs w:val="32"/>
        </w:rPr>
        <w:t>2、执行进度缓慢</w:t>
      </w:r>
    </w:p>
    <w:p>
      <w:pPr>
        <w:spacing w:line="560" w:lineRule="exact"/>
        <w:ind w:firstLine="640" w:firstLineChars="200"/>
        <w:outlineLvl w:val="0"/>
        <w:rPr>
          <w:rFonts w:ascii="仿宋" w:hAnsi="仿宋" w:eastAsia="仿宋" w:cs="仿宋"/>
          <w:szCs w:val="32"/>
        </w:rPr>
      </w:pPr>
      <w:r>
        <w:rPr>
          <w:rFonts w:hint="eastAsia" w:ascii="仿宋" w:hAnsi="仿宋" w:eastAsia="仿宋" w:cs="仿宋"/>
          <w:sz w:val="32"/>
          <w:szCs w:val="32"/>
        </w:rPr>
        <w:t>单位每月支付未达到标准的序时进度要求。主要原因是维稳、疫情防控等重点工作使账务没有按时报销。</w:t>
      </w:r>
    </w:p>
    <w:p>
      <w:pPr>
        <w:widowControl/>
        <w:adjustRightInd w:val="0"/>
        <w:snapToGrid w:val="0"/>
        <w:spacing w:line="560" w:lineRule="exact"/>
        <w:ind w:firstLine="642" w:firstLineChars="200"/>
        <w:jc w:val="left"/>
        <w:rPr>
          <w:rFonts w:ascii="仿宋_GB2312" w:cs="宋体"/>
          <w:b/>
          <w:bCs/>
          <w:color w:val="000000"/>
          <w:kern w:val="0"/>
          <w:sz w:val="32"/>
          <w:szCs w:val="32"/>
          <w:shd w:val="clear" w:color="auto" w:fill="FFFFFF"/>
          <w:lang w:val="zh-CN"/>
        </w:rPr>
      </w:pPr>
      <w:r>
        <w:rPr>
          <w:rFonts w:hint="eastAsia" w:ascii="仿宋_GB2312" w:cs="宋体"/>
          <w:b/>
          <w:bCs/>
          <w:color w:val="000000"/>
          <w:kern w:val="0"/>
          <w:sz w:val="32"/>
          <w:szCs w:val="32"/>
          <w:shd w:val="clear" w:color="auto" w:fill="FFFFFF"/>
          <w:lang w:val="zh-CN"/>
        </w:rPr>
        <w:t>（四）改进建议。</w:t>
      </w:r>
    </w:p>
    <w:p>
      <w:pPr>
        <w:pStyle w:val="9"/>
        <w:spacing w:beforeAutospacing="0" w:afterAutospacing="0" w:line="560" w:lineRule="exact"/>
        <w:ind w:firstLine="480"/>
        <w:rPr>
          <w:rFonts w:ascii="仿宋" w:hAnsi="仿宋" w:eastAsia="仿宋" w:cs="仿宋"/>
          <w:color w:val="323232"/>
          <w:sz w:val="32"/>
          <w:szCs w:val="32"/>
        </w:rPr>
      </w:pPr>
      <w:r>
        <w:rPr>
          <w:rFonts w:hint="eastAsia" w:ascii="仿宋" w:hAnsi="仿宋" w:eastAsia="仿宋" w:cs="仿宋"/>
          <w:b/>
          <w:bCs/>
          <w:color w:val="323232"/>
          <w:sz w:val="32"/>
          <w:szCs w:val="32"/>
        </w:rPr>
        <w:t>1、加快资金使用进度。</w:t>
      </w:r>
      <w:r>
        <w:rPr>
          <w:rFonts w:hint="eastAsia" w:ascii="仿宋" w:hAnsi="仿宋" w:eastAsia="仿宋" w:cs="仿宋"/>
          <w:color w:val="323232"/>
          <w:sz w:val="32"/>
          <w:szCs w:val="32"/>
        </w:rPr>
        <w:t>加提高对资金使用进度情况的认识，让各科室负责人高度重视，每月的账每月报，尽量不在年底一次性报销，避免造成“年底突击用钱”的现象。</w:t>
      </w:r>
    </w:p>
    <w:p>
      <w:pPr>
        <w:pStyle w:val="9"/>
        <w:spacing w:beforeAutospacing="0" w:afterAutospacing="0" w:line="560" w:lineRule="exact"/>
        <w:ind w:firstLine="480"/>
        <w:rPr>
          <w:rFonts w:ascii="仿宋" w:hAnsi="仿宋" w:eastAsia="仿宋" w:cs="仿宋"/>
          <w:b/>
          <w:bCs/>
          <w:color w:val="323232"/>
          <w:sz w:val="32"/>
          <w:szCs w:val="32"/>
        </w:rPr>
      </w:pPr>
      <w:r>
        <w:rPr>
          <w:rFonts w:hint="eastAsia" w:ascii="仿宋" w:hAnsi="仿宋" w:eastAsia="仿宋" w:cs="仿宋"/>
          <w:b/>
          <w:bCs/>
          <w:color w:val="323232"/>
          <w:sz w:val="32"/>
          <w:szCs w:val="32"/>
        </w:rPr>
        <w:t>2、严格预算执行</w:t>
      </w:r>
    </w:p>
    <w:p>
      <w:pPr>
        <w:pStyle w:val="9"/>
        <w:spacing w:beforeAutospacing="0" w:afterAutospacing="0" w:line="560" w:lineRule="exact"/>
        <w:ind w:firstLine="480"/>
        <w:jc w:val="both"/>
        <w:rPr>
          <w:rFonts w:ascii="仿宋" w:hAnsi="仿宋" w:eastAsia="仿宋" w:cs="仿宋"/>
          <w:color w:val="323232"/>
          <w:sz w:val="32"/>
          <w:szCs w:val="32"/>
        </w:rPr>
      </w:pPr>
      <w:r>
        <w:rPr>
          <w:rFonts w:hint="eastAsia" w:ascii="仿宋" w:hAnsi="仿宋" w:eastAsia="仿宋" w:cs="仿宋"/>
          <w:color w:val="323232"/>
          <w:sz w:val="32"/>
          <w:szCs w:val="32"/>
        </w:rPr>
        <w:t>一是严格预算约束。预算一旦被确定下来，任何人不得进行更改、增删，预算“突破”需经人民代表大会讨论通过并且预算按照严格的审批程序进行。二是加快项目投资计划的下达和落实项目资金分配方案。三是项目支出方面严格管理，逐步提高项目支出的进度执行情况。四是规范资金使用，避免“突击花钱”。五是对预算执行分析能力和信息反馈的速度进行强化。预算单位定期统计分析预算执行的有关信息，切实解决申报预算积极主动、预算执行工作进度迟缓问题。</w:t>
      </w:r>
    </w:p>
    <w:p>
      <w:pPr>
        <w:rPr>
          <w:rFonts w:ascii="仿宋_GB2312" w:eastAsia="仿宋_GB2312"/>
          <w:sz w:val="32"/>
          <w:szCs w:val="32"/>
        </w:rPr>
      </w:pPr>
    </w:p>
    <w:p>
      <w:pPr>
        <w:pStyle w:val="9"/>
        <w:widowControl/>
        <w:ind w:right="75"/>
        <w:jc w:val="center"/>
        <w:rPr>
          <w:rStyle w:val="12"/>
          <w:rFonts w:hint="eastAsia" w:ascii="仿宋_GB2312" w:hAnsi="仿宋_GB2312" w:eastAsia="仿宋_GB2312" w:cs="仿宋_GB2312"/>
          <w:sz w:val="32"/>
          <w:szCs w:val="32"/>
          <w:shd w:val="clear" w:color="auto" w:fill="FFFFFF"/>
        </w:rPr>
      </w:pPr>
    </w:p>
    <w:p>
      <w:pPr>
        <w:pStyle w:val="9"/>
        <w:widowControl/>
        <w:ind w:right="75"/>
        <w:jc w:val="center"/>
        <w:rPr>
          <w:rStyle w:val="12"/>
          <w:rFonts w:hint="eastAsia" w:ascii="仿宋_GB2312" w:hAnsi="仿宋_GB2312" w:eastAsia="仿宋_GB2312" w:cs="仿宋_GB2312"/>
          <w:sz w:val="32"/>
          <w:szCs w:val="32"/>
          <w:shd w:val="clear" w:color="auto" w:fill="FFFFFF"/>
        </w:rPr>
      </w:pPr>
    </w:p>
    <w:p>
      <w:pPr>
        <w:pStyle w:val="9"/>
        <w:widowControl/>
        <w:ind w:right="75"/>
        <w:jc w:val="center"/>
        <w:rPr>
          <w:rStyle w:val="12"/>
          <w:rFonts w:hint="eastAsia" w:ascii="仿宋_GB2312" w:hAnsi="仿宋_GB2312" w:eastAsia="仿宋_GB2312" w:cs="仿宋_GB2312"/>
          <w:sz w:val="32"/>
          <w:szCs w:val="32"/>
          <w:shd w:val="clear" w:color="auto" w:fill="FFFFFF"/>
        </w:rPr>
      </w:pPr>
    </w:p>
    <w:p>
      <w:pPr>
        <w:pStyle w:val="9"/>
        <w:widowControl/>
        <w:ind w:right="75"/>
        <w:jc w:val="center"/>
        <w:rPr>
          <w:rStyle w:val="12"/>
          <w:rFonts w:hint="eastAsia" w:ascii="仿宋_GB2312" w:hAnsi="仿宋_GB2312" w:eastAsia="仿宋_GB2312" w:cs="仿宋_GB2312"/>
          <w:sz w:val="32"/>
          <w:szCs w:val="32"/>
          <w:shd w:val="clear" w:color="auto" w:fill="FFFFFF"/>
        </w:rPr>
      </w:pPr>
    </w:p>
    <w:p>
      <w:pPr>
        <w:pStyle w:val="9"/>
        <w:widowControl/>
        <w:ind w:right="75"/>
        <w:jc w:val="center"/>
        <w:rPr>
          <w:rFonts w:ascii="仿宋_GB2312" w:hAnsi="仿宋_GB2312" w:eastAsia="仿宋_GB2312" w:cs="仿宋_GB2312"/>
          <w:sz w:val="44"/>
          <w:szCs w:val="44"/>
        </w:rPr>
      </w:pPr>
      <w:r>
        <w:rPr>
          <w:rStyle w:val="12"/>
          <w:rFonts w:hint="eastAsia" w:ascii="仿宋_GB2312" w:hAnsi="仿宋_GB2312" w:eastAsia="仿宋_GB2312" w:cs="仿宋_GB2312"/>
          <w:sz w:val="44"/>
          <w:szCs w:val="44"/>
          <w:shd w:val="clear" w:color="auto" w:fill="FFFFFF"/>
        </w:rPr>
        <w:t>第五部分 附表</w:t>
      </w:r>
    </w:p>
    <w:p>
      <w:pPr>
        <w:pStyle w:val="3"/>
        <w:widowControl/>
        <w:ind w:right="75"/>
        <w:rPr>
          <w:rFonts w:hint="default" w:ascii="仿宋_GB2312" w:hAnsi="仿宋_GB2312" w:eastAsia="仿宋_GB2312" w:cs="仿宋_GB2312"/>
          <w:sz w:val="32"/>
          <w:szCs w:val="32"/>
        </w:rPr>
      </w:pPr>
      <w:bookmarkStart w:id="4" w:name="_Toc4585"/>
      <w:r>
        <w:rPr>
          <w:rFonts w:ascii="仿宋_GB2312" w:hAnsi="仿宋_GB2312" w:eastAsia="仿宋_GB2312" w:cs="仿宋_GB2312"/>
          <w:sz w:val="32"/>
          <w:szCs w:val="32"/>
          <w:shd w:val="clear" w:color="auto" w:fill="FFFFFF"/>
        </w:rPr>
        <w:t>一、收入支出决算总表</w:t>
      </w:r>
      <w:bookmarkEnd w:id="4"/>
    </w:p>
    <w:p>
      <w:pPr>
        <w:pStyle w:val="3"/>
        <w:widowControl/>
        <w:ind w:right="75"/>
        <w:rPr>
          <w:rFonts w:hint="default" w:ascii="仿宋_GB2312" w:hAnsi="仿宋_GB2312" w:eastAsia="仿宋_GB2312" w:cs="仿宋_GB2312"/>
          <w:sz w:val="32"/>
          <w:szCs w:val="32"/>
        </w:rPr>
      </w:pPr>
      <w:bookmarkStart w:id="5" w:name="_Toc30226"/>
      <w:r>
        <w:rPr>
          <w:rFonts w:ascii="仿宋_GB2312" w:hAnsi="仿宋_GB2312" w:eastAsia="仿宋_GB2312" w:cs="仿宋_GB2312"/>
          <w:sz w:val="32"/>
          <w:szCs w:val="32"/>
          <w:shd w:val="clear" w:color="auto" w:fill="FFFFFF"/>
        </w:rPr>
        <w:t>二、收入决算表</w:t>
      </w:r>
      <w:bookmarkEnd w:id="5"/>
    </w:p>
    <w:p>
      <w:pPr>
        <w:pStyle w:val="3"/>
        <w:widowControl/>
        <w:ind w:right="75"/>
        <w:rPr>
          <w:rFonts w:hint="default" w:ascii="仿宋_GB2312" w:hAnsi="仿宋_GB2312" w:eastAsia="仿宋_GB2312" w:cs="仿宋_GB2312"/>
          <w:sz w:val="32"/>
          <w:szCs w:val="32"/>
        </w:rPr>
      </w:pPr>
      <w:bookmarkStart w:id="6" w:name="_Toc16876"/>
      <w:r>
        <w:rPr>
          <w:rFonts w:ascii="仿宋_GB2312" w:hAnsi="仿宋_GB2312" w:eastAsia="仿宋_GB2312" w:cs="仿宋_GB2312"/>
          <w:sz w:val="32"/>
          <w:szCs w:val="32"/>
          <w:shd w:val="clear" w:color="auto" w:fill="FFFFFF"/>
        </w:rPr>
        <w:t>三、支出决算表</w:t>
      </w:r>
      <w:bookmarkEnd w:id="6"/>
    </w:p>
    <w:p>
      <w:pPr>
        <w:pStyle w:val="3"/>
        <w:widowControl/>
        <w:ind w:right="75"/>
        <w:rPr>
          <w:rFonts w:hint="default" w:ascii="仿宋_GB2312" w:hAnsi="仿宋_GB2312" w:eastAsia="仿宋_GB2312" w:cs="仿宋_GB2312"/>
          <w:sz w:val="32"/>
          <w:szCs w:val="32"/>
        </w:rPr>
      </w:pPr>
      <w:bookmarkStart w:id="7" w:name="_Toc15760"/>
      <w:r>
        <w:rPr>
          <w:rFonts w:ascii="仿宋_GB2312" w:hAnsi="仿宋_GB2312" w:eastAsia="仿宋_GB2312" w:cs="仿宋_GB2312"/>
          <w:sz w:val="32"/>
          <w:szCs w:val="32"/>
          <w:shd w:val="clear" w:color="auto" w:fill="FFFFFF"/>
        </w:rPr>
        <w:t>四、财政拨款收入支出决算总表</w:t>
      </w:r>
      <w:bookmarkEnd w:id="7"/>
    </w:p>
    <w:p>
      <w:pPr>
        <w:pStyle w:val="3"/>
        <w:widowControl/>
        <w:ind w:right="75"/>
        <w:rPr>
          <w:rFonts w:hint="default" w:ascii="仿宋_GB2312" w:hAnsi="仿宋_GB2312" w:eastAsia="仿宋_GB2312" w:cs="仿宋_GB2312"/>
          <w:sz w:val="32"/>
          <w:szCs w:val="32"/>
        </w:rPr>
      </w:pPr>
      <w:bookmarkStart w:id="8" w:name="_Toc5244"/>
      <w:r>
        <w:rPr>
          <w:rFonts w:ascii="仿宋_GB2312" w:hAnsi="仿宋_GB2312" w:eastAsia="仿宋_GB2312" w:cs="仿宋_GB2312"/>
          <w:sz w:val="32"/>
          <w:szCs w:val="32"/>
          <w:shd w:val="clear" w:color="auto" w:fill="FFFFFF"/>
        </w:rPr>
        <w:t>五、财政拨款支出决算明细表</w:t>
      </w:r>
      <w:bookmarkEnd w:id="8"/>
    </w:p>
    <w:p>
      <w:pPr>
        <w:pStyle w:val="3"/>
        <w:widowControl/>
        <w:ind w:right="75"/>
        <w:rPr>
          <w:rFonts w:hint="default" w:ascii="仿宋_GB2312" w:hAnsi="仿宋_GB2312" w:eastAsia="仿宋_GB2312" w:cs="仿宋_GB2312"/>
          <w:sz w:val="32"/>
          <w:szCs w:val="32"/>
        </w:rPr>
      </w:pPr>
      <w:bookmarkStart w:id="9" w:name="_Toc15330"/>
      <w:r>
        <w:rPr>
          <w:rFonts w:ascii="仿宋_GB2312" w:hAnsi="仿宋_GB2312" w:eastAsia="仿宋_GB2312" w:cs="仿宋_GB2312"/>
          <w:sz w:val="32"/>
          <w:szCs w:val="32"/>
          <w:shd w:val="clear" w:color="auto" w:fill="FFFFFF"/>
        </w:rPr>
        <w:t>六、一般公共预算财政拨款支出决算表</w:t>
      </w:r>
      <w:bookmarkEnd w:id="9"/>
    </w:p>
    <w:p>
      <w:pPr>
        <w:pStyle w:val="3"/>
        <w:widowControl/>
        <w:ind w:right="75"/>
        <w:rPr>
          <w:rFonts w:hint="default" w:ascii="仿宋_GB2312" w:hAnsi="仿宋_GB2312" w:eastAsia="仿宋_GB2312" w:cs="仿宋_GB2312"/>
          <w:sz w:val="32"/>
          <w:szCs w:val="32"/>
        </w:rPr>
      </w:pPr>
      <w:bookmarkStart w:id="10" w:name="_Toc25629"/>
      <w:r>
        <w:rPr>
          <w:rFonts w:ascii="仿宋_GB2312" w:hAnsi="仿宋_GB2312" w:eastAsia="仿宋_GB2312" w:cs="仿宋_GB2312"/>
          <w:sz w:val="32"/>
          <w:szCs w:val="32"/>
          <w:shd w:val="clear" w:color="auto" w:fill="FFFFFF"/>
        </w:rPr>
        <w:t>七、一般公共预算财政拨款支出决算明细表</w:t>
      </w:r>
      <w:bookmarkEnd w:id="10"/>
    </w:p>
    <w:p>
      <w:pPr>
        <w:pStyle w:val="3"/>
        <w:widowControl/>
        <w:ind w:right="75"/>
        <w:rPr>
          <w:rFonts w:hint="default" w:ascii="仿宋_GB2312" w:hAnsi="仿宋_GB2312" w:eastAsia="仿宋_GB2312" w:cs="仿宋_GB2312"/>
          <w:sz w:val="32"/>
          <w:szCs w:val="32"/>
        </w:rPr>
      </w:pPr>
      <w:bookmarkStart w:id="11" w:name="_Toc26456"/>
      <w:r>
        <w:rPr>
          <w:rFonts w:ascii="仿宋_GB2312" w:hAnsi="仿宋_GB2312" w:eastAsia="仿宋_GB2312" w:cs="仿宋_GB2312"/>
          <w:sz w:val="32"/>
          <w:szCs w:val="32"/>
          <w:shd w:val="clear" w:color="auto" w:fill="FFFFFF"/>
        </w:rPr>
        <w:t>八、一般公共预算财政拨款基本支出决算表</w:t>
      </w:r>
      <w:bookmarkEnd w:id="11"/>
    </w:p>
    <w:p>
      <w:pPr>
        <w:pStyle w:val="3"/>
        <w:widowControl/>
        <w:ind w:right="75"/>
        <w:rPr>
          <w:rFonts w:hint="default" w:ascii="仿宋_GB2312" w:hAnsi="仿宋_GB2312" w:eastAsia="仿宋_GB2312" w:cs="仿宋_GB2312"/>
          <w:sz w:val="32"/>
          <w:szCs w:val="32"/>
        </w:rPr>
      </w:pPr>
      <w:bookmarkStart w:id="12" w:name="_Toc9299"/>
      <w:r>
        <w:rPr>
          <w:rFonts w:ascii="仿宋_GB2312" w:hAnsi="仿宋_GB2312" w:eastAsia="仿宋_GB2312" w:cs="仿宋_GB2312"/>
          <w:sz w:val="32"/>
          <w:szCs w:val="32"/>
          <w:shd w:val="clear" w:color="auto" w:fill="FFFFFF"/>
        </w:rPr>
        <w:t>九、一般公共预算财政拨款项目支出决算表</w:t>
      </w:r>
      <w:bookmarkEnd w:id="12"/>
    </w:p>
    <w:p>
      <w:pPr>
        <w:pStyle w:val="3"/>
        <w:widowControl/>
        <w:ind w:right="75"/>
        <w:rPr>
          <w:rFonts w:hint="default" w:ascii="仿宋_GB2312" w:hAnsi="仿宋_GB2312" w:eastAsia="仿宋_GB2312" w:cs="仿宋_GB2312"/>
          <w:sz w:val="32"/>
          <w:szCs w:val="32"/>
        </w:rPr>
      </w:pPr>
      <w:bookmarkStart w:id="13" w:name="_Toc10764"/>
      <w:r>
        <w:rPr>
          <w:rFonts w:ascii="仿宋_GB2312" w:hAnsi="仿宋_GB2312" w:eastAsia="仿宋_GB2312" w:cs="仿宋_GB2312"/>
          <w:sz w:val="32"/>
          <w:szCs w:val="32"/>
          <w:shd w:val="clear" w:color="auto" w:fill="FFFFFF"/>
        </w:rPr>
        <w:t>十、一般公共预算财政拨款“三公”经费支出决算表</w:t>
      </w:r>
      <w:bookmarkEnd w:id="13"/>
    </w:p>
    <w:p>
      <w:pPr>
        <w:pStyle w:val="3"/>
        <w:widowControl/>
        <w:ind w:right="75"/>
        <w:rPr>
          <w:rFonts w:hint="default" w:ascii="仿宋_GB2312" w:hAnsi="仿宋_GB2312" w:eastAsia="仿宋_GB2312" w:cs="仿宋_GB2312"/>
          <w:sz w:val="32"/>
          <w:szCs w:val="32"/>
        </w:rPr>
      </w:pPr>
      <w:bookmarkStart w:id="14" w:name="_Toc28882"/>
      <w:r>
        <w:rPr>
          <w:rFonts w:ascii="仿宋_GB2312" w:hAnsi="仿宋_GB2312" w:eastAsia="仿宋_GB2312" w:cs="仿宋_GB2312"/>
          <w:sz w:val="32"/>
          <w:szCs w:val="32"/>
          <w:shd w:val="clear" w:color="auto" w:fill="FFFFFF"/>
        </w:rPr>
        <w:t>十一、政府性基金预算财政拨款收入支出决算表</w:t>
      </w:r>
      <w:bookmarkEnd w:id="14"/>
    </w:p>
    <w:p>
      <w:pPr>
        <w:pStyle w:val="3"/>
        <w:widowControl/>
        <w:ind w:right="75"/>
        <w:rPr>
          <w:rFonts w:hint="default" w:ascii="仿宋_GB2312" w:hAnsi="仿宋_GB2312" w:eastAsia="仿宋_GB2312" w:cs="仿宋_GB2312"/>
          <w:sz w:val="32"/>
          <w:szCs w:val="32"/>
        </w:rPr>
      </w:pPr>
      <w:bookmarkStart w:id="15" w:name="_Toc10978"/>
      <w:r>
        <w:rPr>
          <w:rFonts w:ascii="仿宋_GB2312" w:hAnsi="仿宋_GB2312" w:eastAsia="仿宋_GB2312" w:cs="仿宋_GB2312"/>
          <w:sz w:val="32"/>
          <w:szCs w:val="32"/>
          <w:shd w:val="clear" w:color="auto" w:fill="FFFFFF"/>
        </w:rPr>
        <w:t>十二、政府性基金预算财政拨款“三公”经费支出决算表</w:t>
      </w:r>
      <w:bookmarkEnd w:id="15"/>
    </w:p>
    <w:p>
      <w:pPr>
        <w:pStyle w:val="3"/>
        <w:widowControl/>
        <w:ind w:right="75"/>
        <w:rPr>
          <w:rFonts w:hint="default" w:ascii="仿宋_GB2312" w:hAnsi="仿宋_GB2312" w:eastAsia="仿宋_GB2312" w:cs="仿宋_GB2312"/>
          <w:sz w:val="32"/>
          <w:szCs w:val="32"/>
        </w:rPr>
      </w:pPr>
      <w:bookmarkStart w:id="16" w:name="_Toc20224"/>
      <w:r>
        <w:rPr>
          <w:rFonts w:ascii="仿宋_GB2312" w:hAnsi="仿宋_GB2312" w:eastAsia="仿宋_GB2312" w:cs="仿宋_GB2312"/>
          <w:sz w:val="32"/>
          <w:szCs w:val="32"/>
          <w:shd w:val="clear" w:color="auto" w:fill="FFFFFF"/>
        </w:rPr>
        <w:t>十三、国有资本经营预算财政拨款收入支出决算表</w:t>
      </w:r>
      <w:bookmarkEnd w:id="16"/>
    </w:p>
    <w:p>
      <w:pPr>
        <w:pStyle w:val="3"/>
        <w:widowControl/>
        <w:ind w:right="75"/>
        <w:rPr>
          <w:rFonts w:hint="default" w:ascii="仿宋_GB2312" w:hAnsi="仿宋_GB2312" w:eastAsia="仿宋_GB2312" w:cs="仿宋_GB2312"/>
          <w:sz w:val="32"/>
          <w:szCs w:val="32"/>
        </w:rPr>
      </w:pPr>
      <w:bookmarkStart w:id="17" w:name="_Toc13163"/>
      <w:r>
        <w:rPr>
          <w:rFonts w:ascii="仿宋_GB2312" w:hAnsi="仿宋_GB2312" w:eastAsia="仿宋_GB2312" w:cs="仿宋_GB2312"/>
          <w:sz w:val="32"/>
          <w:szCs w:val="32"/>
          <w:shd w:val="clear" w:color="auto" w:fill="FFFFFF"/>
        </w:rPr>
        <w:t>十四、国有资本经营预算财政拨款支出决算表</w:t>
      </w:r>
      <w:bookmarkEnd w:id="17"/>
    </w:p>
    <w:p>
      <w:pPr>
        <w:pStyle w:val="9"/>
        <w:widowControl/>
        <w:ind w:right="75"/>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十四、国有资本经营预算财政拨款支出决算表</w:t>
      </w:r>
    </w:p>
    <w:p>
      <w:pPr>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altName w:val="方正小标宋_GBK"/>
    <w:panose1 w:val="02010601030101010101"/>
    <w:charset w:val="86"/>
    <w:family w:val="auto"/>
    <w:pitch w:val="default"/>
    <w:sig w:usb0="00000000" w:usb1="00000000" w:usb2="00000010" w:usb3="00000000" w:csb0="00040000" w:csb1="00000000"/>
  </w:font>
  <w:font w:name="瀹嬩綋">
    <w:altName w:val="仿宋_GB2312"/>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AR PL UKai CN">
    <w:panose1 w:val="02000503000000000000"/>
    <w:charset w:val="86"/>
    <w:family w:val="auto"/>
    <w:pitch w:val="default"/>
    <w:sig w:usb0="A00002FF" w:usb1="3ACFFDFF" w:usb2="00000036" w:usb3="00000000" w:csb0="2016009F" w:csb1="DFD7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大标宋_GBK">
    <w:panose1 w:val="02000000000000000000"/>
    <w:charset w:val="86"/>
    <w:family w:val="auto"/>
    <w:pitch w:val="default"/>
    <w:sig w:usb0="A00002BF" w:usb1="08CF7CFA"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63636C"/>
    <w:multiLevelType w:val="multilevel"/>
    <w:tmpl w:val="AB63636C"/>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2DC5E3C1"/>
    <w:multiLevelType w:val="singleLevel"/>
    <w:tmpl w:val="2DC5E3C1"/>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diMGRkYmE4NzIyNGY5MzVlMGI1Y2FiYTdhZjVkMzAifQ=="/>
  </w:docVars>
  <w:rsids>
    <w:rsidRoot w:val="655B5741"/>
    <w:rsid w:val="00027459"/>
    <w:rsid w:val="00A777AF"/>
    <w:rsid w:val="37FB8392"/>
    <w:rsid w:val="3D8E5DD6"/>
    <w:rsid w:val="4569098E"/>
    <w:rsid w:val="54061B64"/>
    <w:rsid w:val="5C864824"/>
    <w:rsid w:val="655B5741"/>
    <w:rsid w:val="6AD86DB4"/>
    <w:rsid w:val="6CFA7E3C"/>
    <w:rsid w:val="9BDBB3B4"/>
    <w:rsid w:val="BFBBB921"/>
    <w:rsid w:val="DFCF70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39"/>
    <w:qFormat/>
    <w:uiPriority w:val="0"/>
    <w:rPr>
      <w:sz w:val="18"/>
      <w:szCs w:val="18"/>
    </w:rPr>
  </w:style>
  <w:style w:type="paragraph" w:styleId="5">
    <w:name w:val="footer"/>
    <w:basedOn w:val="1"/>
    <w:link w:val="38"/>
    <w:qFormat/>
    <w:uiPriority w:val="0"/>
    <w:pPr>
      <w:tabs>
        <w:tab w:val="center" w:pos="4153"/>
        <w:tab w:val="right" w:pos="8306"/>
      </w:tabs>
      <w:snapToGrid w:val="0"/>
      <w:jc w:val="left"/>
    </w:pPr>
    <w:rPr>
      <w:sz w:val="18"/>
      <w:szCs w:val="18"/>
    </w:rPr>
  </w:style>
  <w:style w:type="paragraph" w:styleId="6">
    <w:name w:val="header"/>
    <w:basedOn w:val="1"/>
    <w:link w:val="37"/>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spacing w:beforeAutospacing="1" w:afterAutospacing="1"/>
      <w:jc w:val="left"/>
    </w:pPr>
    <w:rPr>
      <w:rFonts w:cs="Times New Roman"/>
      <w:kern w:val="0"/>
      <w:sz w:val="24"/>
    </w:rPr>
  </w:style>
  <w:style w:type="character" w:styleId="12">
    <w:name w:val="Strong"/>
    <w:basedOn w:val="11"/>
    <w:qFormat/>
    <w:uiPriority w:val="0"/>
    <w:rPr>
      <w:b/>
    </w:rPr>
  </w:style>
  <w:style w:type="character" w:styleId="13">
    <w:name w:val="FollowedHyperlink"/>
    <w:basedOn w:val="11"/>
    <w:qFormat/>
    <w:uiPriority w:val="0"/>
    <w:rPr>
      <w:color w:val="800080"/>
      <w:u w:val="none"/>
    </w:rPr>
  </w:style>
  <w:style w:type="character" w:styleId="14">
    <w:name w:val="HTML Definition"/>
    <w:basedOn w:val="11"/>
    <w:qFormat/>
    <w:uiPriority w:val="0"/>
  </w:style>
  <w:style w:type="character" w:styleId="15">
    <w:name w:val="HTML Variable"/>
    <w:basedOn w:val="11"/>
    <w:qFormat/>
    <w:uiPriority w:val="0"/>
  </w:style>
  <w:style w:type="character" w:styleId="16">
    <w:name w:val="Hyperlink"/>
    <w:basedOn w:val="11"/>
    <w:qFormat/>
    <w:uiPriority w:val="0"/>
    <w:rPr>
      <w:color w:val="0000FF"/>
      <w:u w:val="none"/>
    </w:rPr>
  </w:style>
  <w:style w:type="character" w:styleId="17">
    <w:name w:val="HTML Code"/>
    <w:basedOn w:val="11"/>
    <w:qFormat/>
    <w:uiPriority w:val="0"/>
    <w:rPr>
      <w:rFonts w:ascii="Courier New" w:hAnsi="Courier New"/>
      <w:sz w:val="20"/>
    </w:rPr>
  </w:style>
  <w:style w:type="character" w:styleId="18">
    <w:name w:val="HTML Cite"/>
    <w:basedOn w:val="11"/>
    <w:qFormat/>
    <w:uiPriority w:val="0"/>
  </w:style>
  <w:style w:type="character" w:customStyle="1" w:styleId="19">
    <w:name w:val="image"/>
    <w:basedOn w:val="11"/>
    <w:qFormat/>
    <w:uiPriority w:val="0"/>
  </w:style>
  <w:style w:type="character" w:customStyle="1" w:styleId="20">
    <w:name w:val="image1"/>
    <w:basedOn w:val="11"/>
    <w:qFormat/>
    <w:uiPriority w:val="0"/>
  </w:style>
  <w:style w:type="character" w:customStyle="1" w:styleId="21">
    <w:name w:val="image2"/>
    <w:basedOn w:val="11"/>
    <w:qFormat/>
    <w:uiPriority w:val="0"/>
  </w:style>
  <w:style w:type="character" w:customStyle="1" w:styleId="22">
    <w:name w:val="item-middle"/>
    <w:basedOn w:val="11"/>
    <w:qFormat/>
    <w:uiPriority w:val="0"/>
  </w:style>
  <w:style w:type="character" w:customStyle="1" w:styleId="23">
    <w:name w:val="clicked1"/>
    <w:basedOn w:val="11"/>
    <w:qFormat/>
    <w:uiPriority w:val="0"/>
  </w:style>
  <w:style w:type="character" w:customStyle="1" w:styleId="24">
    <w:name w:val="clicked2"/>
    <w:basedOn w:val="11"/>
    <w:qFormat/>
    <w:uiPriority w:val="0"/>
    <w:rPr>
      <w:color w:val="000000"/>
    </w:rPr>
  </w:style>
  <w:style w:type="character" w:customStyle="1" w:styleId="25">
    <w:name w:val="clicked3"/>
    <w:basedOn w:val="11"/>
    <w:qFormat/>
    <w:uiPriority w:val="0"/>
  </w:style>
  <w:style w:type="character" w:customStyle="1" w:styleId="26">
    <w:name w:val="directchildrenspan"/>
    <w:basedOn w:val="11"/>
    <w:qFormat/>
    <w:uiPriority w:val="0"/>
  </w:style>
  <w:style w:type="character" w:customStyle="1" w:styleId="27">
    <w:name w:val="button-hover"/>
    <w:basedOn w:val="11"/>
    <w:qFormat/>
    <w:uiPriority w:val="0"/>
  </w:style>
  <w:style w:type="character" w:customStyle="1" w:styleId="28">
    <w:name w:val="button-hover1"/>
    <w:basedOn w:val="11"/>
    <w:qFormat/>
    <w:uiPriority w:val="0"/>
  </w:style>
  <w:style w:type="character" w:customStyle="1" w:styleId="29">
    <w:name w:val="ui-state-hover21"/>
    <w:basedOn w:val="11"/>
    <w:qFormat/>
    <w:uiPriority w:val="0"/>
  </w:style>
  <w:style w:type="character" w:customStyle="1" w:styleId="30">
    <w:name w:val="group"/>
    <w:basedOn w:val="11"/>
    <w:qFormat/>
    <w:uiPriority w:val="0"/>
  </w:style>
  <w:style w:type="character" w:customStyle="1" w:styleId="31">
    <w:name w:val="ui-state-default10"/>
    <w:basedOn w:val="11"/>
    <w:qFormat/>
    <w:uiPriority w:val="0"/>
  </w:style>
  <w:style w:type="character" w:customStyle="1" w:styleId="32">
    <w:name w:val="ui-state-default11"/>
    <w:basedOn w:val="11"/>
    <w:qFormat/>
    <w:uiPriority w:val="0"/>
  </w:style>
  <w:style w:type="character" w:customStyle="1" w:styleId="33">
    <w:name w:val="ui-state-active6"/>
    <w:basedOn w:val="11"/>
    <w:qFormat/>
    <w:uiPriority w:val="0"/>
  </w:style>
  <w:style w:type="character" w:customStyle="1" w:styleId="34">
    <w:name w:val="imgspan"/>
    <w:basedOn w:val="11"/>
    <w:qFormat/>
    <w:uiPriority w:val="0"/>
  </w:style>
  <w:style w:type="character" w:customStyle="1" w:styleId="35">
    <w:name w:val="ui-icon33"/>
    <w:basedOn w:val="11"/>
    <w:qFormat/>
    <w:uiPriority w:val="0"/>
  </w:style>
  <w:style w:type="character" w:customStyle="1" w:styleId="36">
    <w:name w:val="newstitle"/>
    <w:basedOn w:val="11"/>
    <w:qFormat/>
    <w:uiPriority w:val="0"/>
    <w:rPr>
      <w:b/>
      <w:color w:val="000000"/>
      <w:sz w:val="24"/>
      <w:szCs w:val="24"/>
    </w:rPr>
  </w:style>
  <w:style w:type="character" w:customStyle="1" w:styleId="37">
    <w:name w:val="页眉 Char"/>
    <w:basedOn w:val="11"/>
    <w:link w:val="6"/>
    <w:qFormat/>
    <w:uiPriority w:val="0"/>
    <w:rPr>
      <w:rFonts w:asciiTheme="minorHAnsi" w:hAnsiTheme="minorHAnsi" w:eastAsiaTheme="minorEastAsia" w:cstheme="minorBidi"/>
      <w:kern w:val="2"/>
      <w:sz w:val="18"/>
      <w:szCs w:val="18"/>
    </w:rPr>
  </w:style>
  <w:style w:type="character" w:customStyle="1" w:styleId="38">
    <w:name w:val="页脚 Char"/>
    <w:basedOn w:val="11"/>
    <w:link w:val="5"/>
    <w:qFormat/>
    <w:uiPriority w:val="0"/>
    <w:rPr>
      <w:rFonts w:asciiTheme="minorHAnsi" w:hAnsiTheme="minorHAnsi" w:eastAsiaTheme="minorEastAsia" w:cstheme="minorBidi"/>
      <w:kern w:val="2"/>
      <w:sz w:val="18"/>
      <w:szCs w:val="18"/>
    </w:rPr>
  </w:style>
  <w:style w:type="character" w:customStyle="1" w:styleId="39">
    <w:name w:val="批注框文本 Char"/>
    <w:basedOn w:val="11"/>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20844;&#23433;&#23616;%202023&#24180;&#24230;&#32771;&#26680;&#22870;&#20449;&#24687;&#32479;&#35745;&#34920;&#65288;&#31532;&#20108;&#27425;&#65289;%20-%20&#21103;&#26412;.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20844;&#23433;&#23616;%202023&#24180;&#24230;&#32771;&#26680;&#22870;&#20449;&#24687;&#32479;&#35745;&#34920;&#65288;&#31532;&#20108;&#27425;&#65289;%20-%20&#21103;&#26412;.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0844;&#23433;&#23616;%202023&#24180;&#24230;&#32771;&#26680;&#22870;&#20449;&#24687;&#32479;&#35745;&#34920;&#65288;&#31532;&#20108;&#27425;&#65289;%20-%20&#21103;&#26412;.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0844;&#23433;&#23616;%202023&#24180;&#24230;&#32771;&#26680;&#22870;&#20449;&#24687;&#32479;&#35745;&#34920;&#65288;&#31532;&#20108;&#27425;&#65289;%20-%20&#21103;&#26412;.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0844;&#23433;&#23616;%202023&#24180;&#24230;&#32771;&#26680;&#22870;&#20449;&#24687;&#32479;&#35745;&#34920;&#65288;&#31532;&#20108;&#27425;&#65289;%20-%20&#21103;&#26412;.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0844;&#23433;&#23616;%202023&#24180;&#24230;&#32771;&#26680;&#22870;&#20449;&#24687;&#32479;&#35745;&#34920;&#65288;&#31532;&#20108;&#27425;&#65289;%20-%20&#21103;&#26412;.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0844;&#23433;&#23616;%202023&#24180;&#24230;&#32771;&#26680;&#22870;&#20449;&#24687;&#32479;&#35745;&#34920;&#65288;&#31532;&#20108;&#27425;&#65289;%20-%20&#21103;&#264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收入支出绝缘结构图</a:t>
            </a:r>
          </a:p>
        </c:rich>
      </c:tx>
      <c:layout/>
      <c:overlay val="0"/>
      <c:spPr>
        <a:noFill/>
        <a:ln>
          <a:noFill/>
        </a:ln>
        <a:effectLst/>
      </c:spPr>
    </c:title>
    <c:autoTitleDeleted val="0"/>
    <c:plotArea>
      <c:layout/>
      <c:barChart>
        <c:barDir val="col"/>
        <c:grouping val="clustered"/>
        <c:varyColors val="0"/>
        <c:ser>
          <c:idx val="0"/>
          <c:order val="0"/>
          <c:tx>
            <c:strRef>
              <c:f>'[公安局 2023年度考核奖信息统计表（第二次） - 副本.xlsx]Sheet3'!$A$2</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'[公安局 2023年度考核奖信息统计表（第二次） - 副本.xlsx]Sheet3'!$B$1:$C$1</c:f>
              <c:numCache>
                <c:formatCode>General</c:formatCode>
                <c:ptCount val="2"/>
                <c:pt idx="0">
                  <c:v>2020</c:v>
                </c:pt>
                <c:pt idx="1">
                  <c:v>2021</c:v>
                </c:pt>
              </c:numCache>
            </c:numRef>
          </c:cat>
          <c:val>
            <c:numRef>
              <c:f>'[公安局 2023年度考核奖信息统计表（第二次） - 副本.xlsx]Sheet3'!$B$2:$C$2</c:f>
              <c:numCache>
                <c:formatCode>General</c:formatCode>
                <c:ptCount val="2"/>
                <c:pt idx="0">
                  <c:v>5263.12</c:v>
                </c:pt>
                <c:pt idx="1">
                  <c:v>5498.5</c:v>
                </c:pt>
              </c:numCache>
            </c:numRef>
          </c:val>
        </c:ser>
        <c:ser>
          <c:idx val="1"/>
          <c:order val="1"/>
          <c:tx>
            <c:strRef>
              <c:f>'[公安局 2023年度考核奖信息统计表（第二次） - 副本.xlsx]Sheet3'!$A$3</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'[公安局 2023年度考核奖信息统计表（第二次） - 副本.xlsx]Sheet3'!$B$1:$C$1</c:f>
              <c:numCache>
                <c:formatCode>General</c:formatCode>
                <c:ptCount val="2"/>
                <c:pt idx="0">
                  <c:v>2020</c:v>
                </c:pt>
                <c:pt idx="1">
                  <c:v>2021</c:v>
                </c:pt>
              </c:numCache>
            </c:numRef>
          </c:cat>
          <c:val>
            <c:numRef>
              <c:f>'[公安局 2023年度考核奖信息统计表（第二次） - 副本.xlsx]Sheet3'!$B$3:$C$3</c:f>
              <c:numCache>
                <c:formatCode>General</c:formatCode>
                <c:ptCount val="2"/>
                <c:pt idx="0">
                  <c:v>5057.65</c:v>
                </c:pt>
                <c:pt idx="1">
                  <c:v>5892.93</c:v>
                </c:pt>
              </c:numCache>
            </c:numRef>
          </c:val>
        </c:ser>
        <c:dLbls>
          <c:showLegendKey val="0"/>
          <c:showVal val="1"/>
          <c:showCatName val="0"/>
          <c:showSerName val="0"/>
          <c:showPercent val="0"/>
          <c:showBubbleSize val="0"/>
        </c:dLbls>
        <c:gapWidth val="219"/>
        <c:overlap val="-27"/>
        <c:axId val="72138112"/>
        <c:axId val="72361088"/>
      </c:barChart>
      <c:catAx>
        <c:axId val="7213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361088"/>
        <c:crosses val="autoZero"/>
        <c:auto val="1"/>
        <c:lblAlgn val="ctr"/>
        <c:lblOffset val="100"/>
        <c:noMultiLvlLbl val="0"/>
      </c:catAx>
      <c:valAx>
        <c:axId val="72361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13811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收入支出绝缘结构图</a:t>
            </a:r>
          </a:p>
        </c:rich>
      </c:tx>
      <c:layout/>
      <c:overlay val="0"/>
      <c:spPr>
        <a:noFill/>
        <a:ln>
          <a:noFill/>
        </a:ln>
        <a:effectLst/>
      </c:spPr>
    </c:title>
    <c:autoTitleDeleted val="0"/>
    <c:plotArea>
      <c:layout/>
      <c:barChart>
        <c:barDir val="col"/>
        <c:grouping val="clustered"/>
        <c:varyColors val="0"/>
        <c:ser>
          <c:idx val="0"/>
          <c:order val="0"/>
          <c:tx>
            <c:strRef>
              <c:f>'[公安局 2023年度考核奖信息统计表（第二次） - 副本.xlsx]Sheet3'!$A$2</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'[公安局 2023年度考核奖信息统计表（第二次） - 副本.xlsx]Sheet3'!$B$1:$C$1</c:f>
              <c:numCache>
                <c:formatCode>General</c:formatCode>
                <c:ptCount val="2"/>
                <c:pt idx="0">
                  <c:v>2020</c:v>
                </c:pt>
                <c:pt idx="1">
                  <c:v>2021</c:v>
                </c:pt>
              </c:numCache>
            </c:numRef>
          </c:cat>
          <c:val>
            <c:numRef>
              <c:f>'[公安局 2023年度考核奖信息统计表（第二次） - 副本.xlsx]Sheet3'!$B$2:$C$2</c:f>
              <c:numCache>
                <c:formatCode>General</c:formatCode>
                <c:ptCount val="2"/>
                <c:pt idx="0">
                  <c:v>5263.12</c:v>
                </c:pt>
                <c:pt idx="1">
                  <c:v>5498.5</c:v>
                </c:pt>
              </c:numCache>
            </c:numRef>
          </c:val>
        </c:ser>
        <c:ser>
          <c:idx val="1"/>
          <c:order val="1"/>
          <c:tx>
            <c:strRef>
              <c:f>'[公安局 2023年度考核奖信息统计表（第二次） - 副本.xlsx]Sheet3'!$A$3</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'[公安局 2023年度考核奖信息统计表（第二次） - 副本.xlsx]Sheet3'!$B$1:$C$1</c:f>
              <c:numCache>
                <c:formatCode>General</c:formatCode>
                <c:ptCount val="2"/>
                <c:pt idx="0">
                  <c:v>2020</c:v>
                </c:pt>
                <c:pt idx="1">
                  <c:v>2021</c:v>
                </c:pt>
              </c:numCache>
            </c:numRef>
          </c:cat>
          <c:val>
            <c:numRef>
              <c:f>'[公安局 2023年度考核奖信息统计表（第二次） - 副本.xlsx]Sheet3'!$B$3:$C$3</c:f>
              <c:numCache>
                <c:formatCode>General</c:formatCode>
                <c:ptCount val="2"/>
                <c:pt idx="0">
                  <c:v>5057.65</c:v>
                </c:pt>
                <c:pt idx="1">
                  <c:v>5892.93</c:v>
                </c:pt>
              </c:numCache>
            </c:numRef>
          </c:val>
        </c:ser>
        <c:dLbls>
          <c:showLegendKey val="0"/>
          <c:showVal val="1"/>
          <c:showCatName val="0"/>
          <c:showSerName val="0"/>
          <c:showPercent val="0"/>
          <c:showBubbleSize val="0"/>
        </c:dLbls>
        <c:gapWidth val="219"/>
        <c:overlap val="-27"/>
        <c:axId val="75725824"/>
        <c:axId val="80149888"/>
      </c:barChart>
      <c:catAx>
        <c:axId val="7572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149888"/>
        <c:crosses val="autoZero"/>
        <c:auto val="1"/>
        <c:lblAlgn val="ctr"/>
        <c:lblOffset val="100"/>
        <c:noMultiLvlLbl val="0"/>
      </c:catAx>
      <c:valAx>
        <c:axId val="8014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7258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'[公安局 2023年度考核奖信息统计表（第二次） - 副本.xlsx]Sheet3'!$A$2:$A$3</c:f>
              <c:strCache>
                <c:ptCount val="2"/>
                <c:pt idx="0">
                  <c:v>一般公共预算拨款收入</c:v>
                </c:pt>
                <c:pt idx="1">
                  <c:v>其他收入</c:v>
                </c:pt>
              </c:strCache>
            </c:strRef>
          </c:cat>
          <c:val>
            <c:numRef>
              <c:f>'[公安局 2023年度考核奖信息统计表（第二次） - 副本.xlsx]Sheet3'!$B$2:$B$3</c:f>
              <c:numCache>
                <c:formatCode>General</c:formatCode>
                <c:ptCount val="2"/>
                <c:pt idx="0">
                  <c:v>5498.5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财政拨款收、支决算结构图</a:t>
            </a:r>
          </a:p>
        </c:rich>
      </c:tx>
      <c:layout>
        <c:manualLayout>
          <c:xMode val="edge"/>
          <c:yMode val="edge"/>
          <c:x val="0.443611111111111"/>
          <c:y val="0.0277777777777778"/>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'[公安局 2023年度考核奖信息统计表（第二次） - 副本.xlsx]Sheet3'!$A$2:$A$3</c:f>
              <c:strCache>
                <c:ptCount val="2"/>
                <c:pt idx="0">
                  <c:v>收入</c:v>
                </c:pt>
                <c:pt idx="1">
                  <c:v>支出</c:v>
                </c:pt>
              </c:strCache>
            </c:strRef>
          </c:cat>
          <c:val>
            <c:numRef>
              <c:f>'[公安局 2023年度考核奖信息统计表（第二次） - 副本.xlsx]Sheet3'!$B$2:$B$3</c:f>
              <c:numCache>
                <c:formatCode>General</c:formatCode>
                <c:ptCount val="2"/>
                <c:pt idx="0">
                  <c:v>5498.5</c:v>
                </c:pt>
                <c:pt idx="1">
                  <c:v>5892.93</c:v>
                </c:pt>
              </c:numCache>
            </c:numRef>
          </c:val>
        </c:ser>
        <c:dLbls>
          <c:showLegendKey val="0"/>
          <c:showVal val="1"/>
          <c:showCatName val="0"/>
          <c:showSerName val="0"/>
          <c:showPercent val="0"/>
          <c:showBubbleSize val="0"/>
        </c:dLbls>
        <c:gapWidth val="219"/>
        <c:overlap val="-27"/>
        <c:axId val="258201088"/>
        <c:axId val="258202624"/>
      </c:barChart>
      <c:catAx>
        <c:axId val="2582010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8202624"/>
        <c:crosses val="autoZero"/>
        <c:auto val="1"/>
        <c:lblAlgn val="ctr"/>
        <c:lblOffset val="100"/>
        <c:noMultiLvlLbl val="0"/>
      </c:catAx>
      <c:valAx>
        <c:axId val="258202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8201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财政拨款支出决算变动情况图</a:t>
            </a:r>
          </a:p>
        </c:rich>
      </c:tx>
      <c:layout/>
      <c:overlay val="0"/>
      <c:spPr>
        <a:noFill/>
        <a:ln>
          <a:noFill/>
        </a:ln>
        <a:effectLst/>
      </c:spPr>
    </c:title>
    <c:autoTitleDeleted val="0"/>
    <c:plotArea>
      <c:layout/>
      <c:barChart>
        <c:barDir val="col"/>
        <c:grouping val="clustered"/>
        <c:varyColors val="0"/>
        <c:ser>
          <c:idx val="0"/>
          <c:order val="0"/>
          <c:tx>
            <c:strRef>
              <c:f>'[公安局 2023年度考核奖信息统计表（第二次） - 副本.xlsx]Sheet3'!$A$2</c:f>
              <c:strCache>
                <c:ptCount val="1"/>
                <c:pt idx="0">
                  <c:v>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'[公安局 2023年度考核奖信息统计表（第二次） - 副本.xlsx]Sheet3'!$B$1:$C$1</c:f>
              <c:strCache>
                <c:ptCount val="2"/>
                <c:pt idx="0">
                  <c:v>2020年</c:v>
                </c:pt>
                <c:pt idx="1">
                  <c:v>2021年</c:v>
                </c:pt>
              </c:strCache>
            </c:strRef>
          </c:cat>
          <c:val>
            <c:numRef>
              <c:f>'[公安局 2023年度考核奖信息统计表（第二次） - 副本.xlsx]Sheet3'!$B$2:$C$2</c:f>
              <c:numCache>
                <c:formatCode>General</c:formatCode>
                <c:ptCount val="2"/>
                <c:pt idx="0">
                  <c:v>5057.65</c:v>
                </c:pt>
                <c:pt idx="1">
                  <c:v>5892.93</c:v>
                </c:pt>
              </c:numCache>
            </c:numRef>
          </c:val>
        </c:ser>
        <c:dLbls>
          <c:showLegendKey val="0"/>
          <c:showVal val="1"/>
          <c:showCatName val="0"/>
          <c:showSerName val="0"/>
          <c:showPercent val="0"/>
          <c:showBubbleSize val="0"/>
        </c:dLbls>
        <c:gapWidth val="219"/>
        <c:overlap val="-27"/>
        <c:axId val="258969984"/>
        <c:axId val="258971904"/>
      </c:barChart>
      <c:catAx>
        <c:axId val="2589699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8971904"/>
        <c:crosses val="autoZero"/>
        <c:auto val="1"/>
        <c:lblAlgn val="ctr"/>
        <c:lblOffset val="100"/>
        <c:noMultiLvlLbl val="0"/>
      </c:catAx>
      <c:valAx>
        <c:axId val="258971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8969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'[公安局 2023年度考核奖信息统计表（第二次） - 副本.xlsx]Sheet3'!$A$2</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'[公安局 2023年度考核奖信息统计表（第二次） - 副本.xlsx]Sheet3'!$B$1:$E$1</c:f>
              <c:strCache>
                <c:ptCount val="4"/>
                <c:pt idx="0">
                  <c:v>一般公共安全支出</c:v>
                </c:pt>
                <c:pt idx="1">
                  <c:v>社会保障和就业支出</c:v>
                </c:pt>
                <c:pt idx="2">
                  <c:v>卫生健康支出</c:v>
                </c:pt>
                <c:pt idx="3">
                  <c:v>住房保障支出</c:v>
                </c:pt>
              </c:strCache>
            </c:strRef>
          </c:cat>
          <c:val>
            <c:numRef>
              <c:f>'[公安局 2023年度考核奖信息统计表（第二次） - 副本.xlsx]Sheet3'!$B$2:$E$2</c:f>
              <c:numCache>
                <c:formatCode>General</c:formatCode>
                <c:ptCount val="4"/>
                <c:pt idx="0">
                  <c:v>5052.3</c:v>
                </c:pt>
                <c:pt idx="1">
                  <c:v>375.52</c:v>
                </c:pt>
                <c:pt idx="2">
                  <c:v>154.67</c:v>
                </c:pt>
                <c:pt idx="3">
                  <c:v>310.45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'[公安局 2023年度考核奖信息统计表（第二次） - 副本.xlsx]Sheet3'!$A$2</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'[公安局 2023年度考核奖信息统计表（第二次） - 副本.xlsx]Sheet3'!$B$1:$D$1</c:f>
              <c:strCache>
                <c:ptCount val="3"/>
                <c:pt idx="0">
                  <c:v>因公出国（境）</c:v>
                </c:pt>
                <c:pt idx="1">
                  <c:v>公务用车购置及运行维护费支出</c:v>
                </c:pt>
                <c:pt idx="2">
                  <c:v>公务接待</c:v>
                </c:pt>
              </c:strCache>
            </c:strRef>
          </c:cat>
          <c:val>
            <c:numRef>
              <c:f>'[公安局 2023年度考核奖信息统计表（第二次） - 副本.xlsx]Sheet3'!$B$2:$D$2</c:f>
              <c:numCache>
                <c:formatCode>General</c:formatCode>
                <c:ptCount val="3"/>
                <c:pt idx="0">
                  <c:v>0</c:v>
                </c:pt>
                <c:pt idx="1">
                  <c:v>310.05</c:v>
                </c:pt>
                <c:pt idx="2">
                  <c:v>3.58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8925</Words>
  <Characters>2904</Characters>
  <Lines>24</Lines>
  <Paragraphs>23</Paragraphs>
  <TotalTime>1</TotalTime>
  <ScaleCrop>false</ScaleCrop>
  <LinksUpToDate>false</LinksUpToDate>
  <CharactersWithSpaces>11806</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2023-09-20T23:57:00Z</dcterms:created>
  <dc:creator>3</dc:creator>
  <cp:lastModifiedBy>user</cp:lastModifiedBy>
  <dcterms:modified xsi:type="dcterms:W3CDTF">2023-09-21T10:16:19Z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801672BD1E1B4299B3CA09DB847EFAB6_12</vt:lpwstr>
  </property>
</Properties>
</file>