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6357F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金川县2026年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信访局</w:t>
      </w: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65F15DAA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7149DD82">
      <w:pPr>
        <w:pStyle w:val="2"/>
        <w:jc w:val="left"/>
      </w:pPr>
    </w:p>
    <w:p w14:paraId="6E65F60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年，我单位部门预算180.84万元 ，均严格按绩效管理要求实现项目绩效目标管理，其中重点项目预算0个，现将情况说明如下：</w:t>
      </w:r>
    </w:p>
    <w:p w14:paraId="2D264344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B677B6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年本级部门预算整体绩效目标申报和0个项目预算绩效目标申报，并编报0个项目预算事前绩效评估</w:t>
      </w:r>
      <w:bookmarkStart w:id="0" w:name="_GoBack"/>
      <w:bookmarkEnd w:id="0"/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报告。</w:t>
      </w:r>
    </w:p>
    <w:p w14:paraId="3CC16EC3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tbl>
      <w:tblPr>
        <w:tblStyle w:val="7"/>
        <w:tblW w:w="4858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"/>
        <w:gridCol w:w="538"/>
        <w:gridCol w:w="629"/>
        <w:gridCol w:w="100"/>
        <w:gridCol w:w="1218"/>
        <w:gridCol w:w="201"/>
        <w:gridCol w:w="1029"/>
        <w:gridCol w:w="329"/>
        <w:gridCol w:w="358"/>
        <w:gridCol w:w="60"/>
        <w:gridCol w:w="224"/>
        <w:gridCol w:w="214"/>
        <w:gridCol w:w="579"/>
        <w:gridCol w:w="437"/>
        <w:gridCol w:w="615"/>
        <w:gridCol w:w="379"/>
        <w:gridCol w:w="160"/>
        <w:gridCol w:w="779"/>
      </w:tblGrid>
      <w:tr w14:paraId="7BDA3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5000" w:type="pct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FFFFFF"/>
            <w:vAlign w:val="center"/>
          </w:tcPr>
          <w:p w14:paraId="6A840F69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32"/>
                <w:szCs w:val="3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32"/>
                <w:szCs w:val="32"/>
              </w:rPr>
              <w:t>部门（单位）整体支出绩效目标申报表</w:t>
            </w:r>
          </w:p>
        </w:tc>
      </w:tr>
      <w:tr w14:paraId="7C957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5000" w:type="pct"/>
            <w:gridSpan w:val="18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DD51F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预算年度: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2026</w:t>
            </w:r>
          </w:p>
        </w:tc>
      </w:tr>
      <w:tr w14:paraId="58A670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260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41BB88FE">
            <w:pPr>
              <w:widowControl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预算（单位）名称：</w:t>
            </w:r>
          </w:p>
        </w:tc>
        <w:tc>
          <w:tcPr>
            <w:tcW w:w="2829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37813C64">
            <w:pPr>
              <w:widowControl/>
              <w:jc w:val="left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120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-县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信访局</w:t>
            </w:r>
          </w:p>
        </w:tc>
        <w:tc>
          <w:tcPr>
            <w:tcW w:w="1910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C22D5C">
            <w:pPr>
              <w:widowControl/>
              <w:jc w:val="right"/>
              <w:textAlignment w:val="center"/>
              <w:rPr>
                <w:rFonts w:ascii="宋体" w:hAnsi="宋体" w:cs="宋体"/>
                <w:b/>
                <w:bCs/>
                <w:color w:val="FF0000"/>
                <w:sz w:val="22"/>
                <w:szCs w:val="22"/>
              </w:rPr>
            </w:pPr>
          </w:p>
        </w:tc>
      </w:tr>
      <w:tr w14:paraId="6E1953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60" w:type="pct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054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总体资金情况（元）</w:t>
            </w:r>
          </w:p>
        </w:tc>
        <w:tc>
          <w:tcPr>
            <w:tcW w:w="704" w:type="pct"/>
            <w:gridSpan w:val="2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B67E5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预算支出总额</w:t>
            </w:r>
          </w:p>
        </w:tc>
        <w:tc>
          <w:tcPr>
            <w:tcW w:w="1953" w:type="pct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F58AE2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基本支出</w:t>
            </w:r>
          </w:p>
        </w:tc>
        <w:tc>
          <w:tcPr>
            <w:tcW w:w="2081" w:type="pct"/>
            <w:gridSpan w:val="9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68C9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项目支出</w:t>
            </w:r>
          </w:p>
        </w:tc>
      </w:tr>
      <w:tr w14:paraId="4AF198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2B60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11B70B7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46B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409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2A2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15F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  <w:tc>
          <w:tcPr>
            <w:tcW w:w="6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66EC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6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4EB3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财政拨款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D5BA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专户资金</w:t>
            </w:r>
          </w:p>
        </w:tc>
        <w:tc>
          <w:tcPr>
            <w:tcW w:w="5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33C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单位资金</w:t>
            </w:r>
          </w:p>
        </w:tc>
      </w:tr>
      <w:tr w14:paraId="75C74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2" w:hRule="atLeast"/>
        </w:trPr>
        <w:tc>
          <w:tcPr>
            <w:tcW w:w="260" w:type="pct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B7D26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0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5FEE51A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180.84</w:t>
            </w:r>
          </w:p>
        </w:tc>
        <w:tc>
          <w:tcPr>
            <w:tcW w:w="79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EDCF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180.84</w:t>
            </w:r>
          </w:p>
        </w:tc>
        <w:tc>
          <w:tcPr>
            <w:tcW w:w="74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F5AF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180.84</w:t>
            </w:r>
          </w:p>
        </w:tc>
        <w:tc>
          <w:tcPr>
            <w:tcW w:w="1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CB79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089B4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5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548E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63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1A3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0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9D0D1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56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375ACA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0</w:t>
            </w:r>
          </w:p>
        </w:tc>
      </w:tr>
      <w:tr w14:paraId="4D84A8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D673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整体绩效目标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1B43051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</w:rPr>
              <w:t>根据县委、县政府关于2024年全县工作的总体部署，负责全县群众来信、来访接待工作，同时负责重大节日或活动期间驻京、驻蓉信访维稳工作，做好群众越级走访信访相关政策宣传、网上信访工作的办理及全县范围内信访业务指导和培训工作。</w:t>
            </w:r>
          </w:p>
        </w:tc>
      </w:tr>
      <w:tr w14:paraId="37808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1D16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年度主要任务</w:t>
            </w: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84C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任务名称</w:t>
            </w:r>
          </w:p>
        </w:tc>
        <w:tc>
          <w:tcPr>
            <w:tcW w:w="3974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4CF2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主要内容</w:t>
            </w:r>
          </w:p>
        </w:tc>
      </w:tr>
      <w:tr w14:paraId="4AB90E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66E7B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1A73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做好信访条例宣传</w:t>
            </w:r>
          </w:p>
        </w:tc>
        <w:tc>
          <w:tcPr>
            <w:tcW w:w="3974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6F575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深入基层，充分做好信访条例宣传工作。</w:t>
            </w:r>
          </w:p>
        </w:tc>
      </w:tr>
      <w:tr w14:paraId="2814FB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6AEBC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76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6C1EF2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提升信访业务能力</w:t>
            </w:r>
          </w:p>
        </w:tc>
        <w:tc>
          <w:tcPr>
            <w:tcW w:w="3974" w:type="pct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B3ED7"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加强内部规范管理，不断提升队伍建设，提高工作</w:t>
            </w: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效率、能力。</w:t>
            </w:r>
          </w:p>
        </w:tc>
      </w:tr>
      <w:tr w14:paraId="3DB160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DE5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门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整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体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效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情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况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83D1561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808080"/>
                <w:sz w:val="28"/>
                <w:szCs w:val="28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808080"/>
                <w:kern w:val="0"/>
                <w:sz w:val="28"/>
                <w:szCs w:val="28"/>
              </w:rPr>
              <w:t>年度绩效指标</w:t>
            </w:r>
          </w:p>
        </w:tc>
      </w:tr>
      <w:tr w14:paraId="25B28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4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B13C5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33F64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一级指标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3134C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二级指标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8E490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 xml:space="preserve"> 三级指标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5EF4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绩效指标性质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9192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绩效指标值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2398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绩效度量单位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318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权重</w:t>
            </w:r>
          </w:p>
        </w:tc>
      </w:tr>
      <w:tr w14:paraId="09A047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E196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 w:val="restart"/>
            <w:tcBorders>
              <w:top w:val="single" w:color="000000" w:sz="4" w:space="0"/>
              <w:left w:val="single" w:color="000000" w:sz="4" w:space="0"/>
              <w:right w:val="nil"/>
            </w:tcBorders>
            <w:shd w:val="clear" w:color="auto" w:fill="auto"/>
            <w:vAlign w:val="center"/>
          </w:tcPr>
          <w:p w14:paraId="1FA99EC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产出指标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588B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时效指标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ACBEB6C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信访事件受理时效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985B5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≤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C9F04C3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15</w:t>
            </w:r>
          </w:p>
        </w:tc>
        <w:tc>
          <w:tcPr>
            <w:tcW w:w="6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6C7D">
            <w:pPr>
              <w:widowControl/>
              <w:tabs>
                <w:tab w:val="center" w:pos="574"/>
              </w:tabs>
              <w:spacing w:line="480" w:lineRule="auto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天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D55B040">
            <w:pPr>
              <w:spacing w:line="480" w:lineRule="auto"/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18"/>
                <w:lang w:val="en-US" w:eastAsia="zh-CN"/>
              </w:rPr>
              <w:t>20</w:t>
            </w:r>
          </w:p>
        </w:tc>
      </w:tr>
      <w:tr w14:paraId="4810C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82F83">
            <w:pPr>
              <w:widowControl/>
              <w:jc w:val="left"/>
              <w:textAlignment w:val="center"/>
            </w:pPr>
          </w:p>
        </w:tc>
        <w:tc>
          <w:tcPr>
            <w:tcW w:w="324" w:type="pct"/>
            <w:vMerge w:val="continue"/>
            <w:tcBorders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1411E5D">
            <w:pPr>
              <w:widowControl/>
              <w:jc w:val="left"/>
              <w:textAlignment w:val="center"/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18BB8">
            <w:pPr>
              <w:widowControl/>
              <w:jc w:val="left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数量指标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B7BACF2">
            <w:pPr>
              <w:widowControl/>
              <w:jc w:val="left"/>
              <w:textAlignment w:val="center"/>
              <w:rPr>
                <w:rFonts w:hint="eastAsia"/>
              </w:rPr>
            </w:pPr>
            <w:r>
              <w:rPr>
                <w:rFonts w:hint="eastAsia"/>
              </w:rPr>
              <w:t>信访案件处理率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792963">
            <w:pPr>
              <w:widowControl/>
              <w:spacing w:line="480" w:lineRule="auto"/>
              <w:jc w:val="center"/>
              <w:textAlignment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=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EAA96B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100</w:t>
            </w:r>
          </w:p>
        </w:tc>
        <w:tc>
          <w:tcPr>
            <w:tcW w:w="6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3F976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%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30C9F0C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10</w:t>
            </w:r>
          </w:p>
        </w:tc>
      </w:tr>
      <w:tr w14:paraId="25C5F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F987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759C83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329849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sz w:val="22"/>
                <w:szCs w:val="22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color w:val="000000"/>
                <w:sz w:val="22"/>
                <w:szCs w:val="22"/>
              </w:rPr>
              <w:t>指标</w:t>
            </w:r>
          </w:p>
        </w:tc>
        <w:tc>
          <w:tcPr>
            <w:tcW w:w="1072" w:type="pct"/>
            <w:gridSpan w:val="4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6EE4D5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信访业务指导和培训</w:t>
            </w:r>
          </w:p>
        </w:tc>
        <w:tc>
          <w:tcPr>
            <w:tcW w:w="264" w:type="pct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F54BF3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2799103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96" w:type="pct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EBC95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  <w:lang w:val="en-US" w:eastAsia="zh-CN"/>
              </w:rPr>
              <w:t>次</w:t>
            </w:r>
          </w:p>
        </w:tc>
        <w:tc>
          <w:tcPr>
            <w:tcW w:w="470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AEB3CF9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1BE489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57EB0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6E5C1BA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08709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质量指标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5A3CA19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信访事件化解率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7FE5DB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15FA96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9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00385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9F7B4B2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090AC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DD5FA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848610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3C3E642">
            <w:pPr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质量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7704D4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群众复访率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3E936F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≤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EAEF329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027DF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ECFE35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10</w:t>
            </w:r>
          </w:p>
        </w:tc>
      </w:tr>
      <w:tr w14:paraId="72730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260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2BCDC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0CA74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效益指标</w:t>
            </w:r>
          </w:p>
        </w:tc>
        <w:tc>
          <w:tcPr>
            <w:tcW w:w="1297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38FCA1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经济效益指标</w:t>
            </w:r>
          </w:p>
        </w:tc>
        <w:tc>
          <w:tcPr>
            <w:tcW w:w="1072" w:type="pct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882D7CC">
            <w:pPr>
              <w:jc w:val="left"/>
              <w:rPr>
                <w:rFonts w:hint="eastAsia"/>
              </w:rPr>
            </w:pPr>
          </w:p>
          <w:p w14:paraId="43170EC8">
            <w:pPr>
              <w:jc w:val="left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</w:rPr>
              <w:t>群众合理诉求通过落实率</w:t>
            </w:r>
          </w:p>
        </w:tc>
        <w:tc>
          <w:tcPr>
            <w:tcW w:w="264" w:type="pct"/>
            <w:gridSpan w:val="2"/>
            <w:tcBorders>
              <w:top w:val="single" w:color="000000" w:sz="4" w:space="0"/>
              <w:left w:val="nil"/>
              <w:right w:val="single" w:color="000000" w:sz="4" w:space="0"/>
            </w:tcBorders>
            <w:shd w:val="clear" w:color="auto" w:fill="auto"/>
          </w:tcPr>
          <w:p w14:paraId="10121A6E">
            <w:pPr>
              <w:spacing w:line="480" w:lineRule="auto"/>
              <w:jc w:val="center"/>
              <w:rPr>
                <w:rFonts w:hint="eastAsia" w:ascii="宋体" w:hAnsi="宋体"/>
                <w:color w:val="000000"/>
                <w:sz w:val="18"/>
              </w:rPr>
            </w:pPr>
          </w:p>
          <w:p w14:paraId="2B768DA7">
            <w:pPr>
              <w:spacing w:line="480" w:lineRule="auto"/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18"/>
              </w:rPr>
              <w:t>≥</w:t>
            </w:r>
          </w:p>
        </w:tc>
        <w:tc>
          <w:tcPr>
            <w:tcW w:w="613" w:type="pct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</w:tcPr>
          <w:p w14:paraId="598B5574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696" w:type="pct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5D393">
            <w:pPr>
              <w:widowControl/>
              <w:spacing w:line="480" w:lineRule="auto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18"/>
                <w:szCs w:val="18"/>
              </w:rPr>
              <w:t>%</w:t>
            </w:r>
          </w:p>
        </w:tc>
        <w:tc>
          <w:tcPr>
            <w:tcW w:w="4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D4CCB1B">
            <w:pPr>
              <w:spacing w:line="480" w:lineRule="auto"/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18"/>
                <w:szCs w:val="18"/>
              </w:rPr>
              <w:t>15</w:t>
            </w:r>
          </w:p>
        </w:tc>
      </w:tr>
      <w:tr w14:paraId="3C6A3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2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5B86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其他说明</w:t>
            </w:r>
          </w:p>
        </w:tc>
        <w:tc>
          <w:tcPr>
            <w:tcW w:w="4739" w:type="pct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96B1E28">
            <w:pPr>
              <w:widowControl/>
              <w:jc w:val="left"/>
              <w:textAlignment w:val="top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.</w:t>
            </w:r>
          </w:p>
        </w:tc>
      </w:tr>
    </w:tbl>
    <w:p w14:paraId="77C1F27D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</w:p>
    <w:p w14:paraId="6DDBC746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10D5F52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重点项目：无</w:t>
      </w:r>
    </w:p>
    <w:p w14:paraId="7D450007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项目年度绩效目标：无</w:t>
      </w:r>
    </w:p>
    <w:p w14:paraId="2F3B0C3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绩效指标设置情况：细化指标0个，包括产出指标、成本指标、效益指标和满意度指标。</w:t>
      </w:r>
    </w:p>
    <w:p w14:paraId="166BB692">
      <w:pPr>
        <w:pStyle w:val="2"/>
        <w:rPr>
          <w:rFonts w:hint="eastAsia"/>
          <w:lang w:val="en-US" w:eastAsia="zh-CN"/>
        </w:rPr>
      </w:pPr>
    </w:p>
    <w:tbl>
      <w:tblPr>
        <w:tblStyle w:val="7"/>
        <w:tblW w:w="785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2"/>
        <w:gridCol w:w="1260"/>
        <w:gridCol w:w="1665"/>
        <w:gridCol w:w="705"/>
        <w:gridCol w:w="840"/>
        <w:gridCol w:w="1080"/>
        <w:gridCol w:w="1110"/>
      </w:tblGrid>
      <w:tr w14:paraId="5B17D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4E15C0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一级指标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56271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二级指标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CCFD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三级指标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F0A9B">
            <w:pPr>
              <w:widowControl/>
              <w:jc w:val="left"/>
              <w:textAlignment w:val="center"/>
              <w:rPr>
                <w:rStyle w:val="9"/>
              </w:rPr>
            </w:pPr>
            <w:r>
              <w:rPr>
                <w:rStyle w:val="9"/>
                <w:rFonts w:hint="eastAsia"/>
              </w:rPr>
              <w:t>指标性质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2A94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指标值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7C7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度量单位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7EFF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权重</w:t>
            </w:r>
          </w:p>
        </w:tc>
      </w:tr>
      <w:tr w14:paraId="3E68A7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BBFA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5AA6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质量指标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12D6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78C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82FB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AE78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2527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5C1D6D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1F7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08E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时效指标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11A5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F870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E026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2032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AC72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3AD71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A4CD2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成本指标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2A23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经济成本指标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D4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960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3D08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F3B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FBC0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9C64C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75B0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3CF2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41C19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454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826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E196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C7FB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1FBC0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1549B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效益指标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79E0C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社会效益指标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A73C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E9E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0D63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824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7958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25221C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EB68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满意度指标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9F95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服务对象满意度指标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DED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635EA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9EB9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42F9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F62A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3216E3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1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B94A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产出指标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0214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Style w:val="9"/>
              </w:rPr>
              <w:t>数量指标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8410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3C9B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76D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11231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86EAE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2822313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ialog . plai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rsids>
    <w:rsidRoot w:val="00000000"/>
    <w:rsid w:val="276A667A"/>
    <w:rsid w:val="2E0D36CA"/>
    <w:rsid w:val="4DDD55AE"/>
    <w:rsid w:val="7A9843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customStyle="1" w:styleId="9">
    <w:name w:val="font21"/>
    <w:basedOn w:val="8"/>
    <w:autoRedefine/>
    <w:qFormat/>
    <w:uiPriority w:val="0"/>
    <w:rPr>
      <w:rFonts w:ascii="Dialog . plain" w:hAnsi="Dialog . plain" w:eastAsia="Dialog . plain" w:cs="Dialog . plai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3</Pages>
  <Words>334</Words>
  <Characters>353</Characters>
  <Lines>23</Lines>
  <Paragraphs>15</Paragraphs>
  <TotalTime>0</TotalTime>
  <ScaleCrop>false</ScaleCrop>
  <LinksUpToDate>false</LinksUpToDate>
  <CharactersWithSpaces>354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三炸萌吗</cp:lastModifiedBy>
  <dcterms:modified xsi:type="dcterms:W3CDTF">2026-03-10T08:29:44Z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eyJoZGlkIjoiOTU0Y2VjMWJjMmYzNDc3ODMzMzg4YTZlY2VjY2VjZDkiLCJ1c2VySWQiOiIzNzMzMzg3MjUifQ==</vt:lpwstr>
  </property>
  <property fmtid="{D5CDD505-2E9C-101B-9397-08002B2CF9AE}" pid="4" name="ICV">
    <vt:lpwstr>DB1272B0FD454589A3FB1421C6831A85_12</vt:lpwstr>
  </property>
</Properties>
</file>