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</w:t>
      </w:r>
      <w:r>
        <w:rPr>
          <w:rFonts w:ascii="Times New Roman" w:eastAsia="方正大标宋_GBK" w:cs="Times New Roman" w:hAnsi="Times New Roman" w:hint="eastAsia"/>
          <w:color w:val="333333"/>
          <w:kern w:val="0"/>
          <w:sz w:val="44"/>
          <w:szCs w:val="44"/>
          <w:lang w:val="en-US" w:eastAsia="zh-CN" w:bidi="ar-SA"/>
        </w:rPr>
        <w:t>信访</w:t>
      </w:r>
      <w:r>
        <w:rPr>
          <w:rFonts w:ascii="Times New Roman" w:eastAsia="方正大标宋_GBK" w:cs="Times New Roman" w:hAnsi="Times New Roman"/>
          <w:color w:val="333333"/>
          <w:kern w:val="0"/>
          <w:sz w:val="44"/>
          <w:szCs w:val="44"/>
          <w:lang w:val="en-US" w:eastAsia="zh-CN" w:bidi="ar-SA"/>
        </w:rPr>
        <w:t>局</w:t>
      </w: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2024年，我单位部门预算168.18万元 ，均严格按绩效管理要求实现项目绩效目标管理，其中重点项目预算18个，现将情况说明如下：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完成了2024年本级部门预算整体绩效目标申报和18个项目预算绩效目标申报，并编报18个项目预算事前绩效评估报告。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贯彻国家有关旅游景区管理的法律、法规和方针政策,制定景区的各项管理制度,统一管理景区；负责对外联络和协调工作,及时反映职工意见,提供准确信息,做好上传下达工作；负责文秘、文书档案,政务信息,保密等工作；负责会议的准备、组织、总务、后勤管理工作。负责中心党风廉政建设、纪检工作；工会工作；负责财务工作,负责组织、人事和社会保障,档案管理工作；负责机密文电、信件的传递工作；负责受理和接待群众的来信来访,转办和协调来访案件;负责社会治安综合治理及精神文明建设日常工作;维护景区和社会稳定工作;负责游客关于景区情况的咨询介绍工作；负责协调或处理在景区内发生的旅游投诉事宜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重点项目1：单位申报项目名称1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津贴补贴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重点项目2：单位申报项目名称2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奖金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3基本工资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4其他社会保障缴费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6住房公积金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重点项目6：单位申报项目名称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7机关事业单位基本养老保险缴费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重点项目7：单位申报项目名称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8职业年金缴费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重点项目8：单位申报项目名称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9职工基本医疗保险缴费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重点项目9：单位申报项目名称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10公务员医疗补助缴费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0：单位申报项目名称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11奖励金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12奖金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13电费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left="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14劳务费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15水费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16差旅费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6：单位申报项目名称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17公务用车运行维护费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18办公费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hint="eastAsi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8：单位申报项目名称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19邮电费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大标宋_GBK">
    <w:panose1 w:val="02000000000000000000"/>
    <w:charset w:val="86"/>
    <w:family w:val="script"/>
    <w:pitch w:val="variable"/>
    <w:sig w:usb0="A00002BF" w:usb1="08CF7CFA" w:usb2="00000000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Yozo_Office27021597764231179</Application>
  <Pages>4</Pages>
  <Words>1673</Words>
  <Characters>1709</Characters>
  <Lines>101</Lines>
  <Paragraphs>61</Paragraphs>
  <CharactersWithSpaces>1711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2024-03-06T06:56:55Z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2052-11.1.0.9339</vt:lpwstr>
  </property>
  <property fmtid="{D5CDD505-2E9C-101B-9397-08002B2CF9AE}" pid="3" name="ICV">
    <vt:lpwstr>3D341E3728DE4629B7BF94E8E63A2BCA_13</vt:lpwstr>
  </property>
</Properties>
</file>