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475"/>
      <w:bookmarkStart w:id="2" w:name="_Toc15377193"/>
      <w:bookmarkStart w:id="3" w:name="_Toc15378441"/>
      <w:bookmarkStart w:id="4" w:name="_Toc15377425"/>
      <w:bookmarkStart w:id="5" w:name="_Toc15396597"/>
      <w:r>
        <w:rPr>
          <w:rFonts w:hint="eastAsia" w:ascii="黑体" w:eastAsia="黑体"/>
          <w:color w:val="000000"/>
          <w:sz w:val="72"/>
          <w:szCs w:val="72"/>
        </w:rPr>
        <w:t>2020</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96476"/>
      <w:bookmarkStart w:id="7" w:name="_Toc15377194"/>
      <w:bookmarkStart w:id="8" w:name="_Toc15396598"/>
      <w:bookmarkStart w:id="9" w:name="_Toc15377426"/>
      <w:bookmarkStart w:id="10" w:name="_Toc15378442"/>
      <w:r>
        <w:rPr>
          <w:rFonts w:hint="eastAsia" w:ascii="方正小标宋简体" w:eastAsia="方正小标宋简体"/>
          <w:color w:val="000000"/>
          <w:sz w:val="72"/>
          <w:szCs w:val="72"/>
        </w:rPr>
        <w:t>四川省阿坝州</w:t>
      </w:r>
      <w:bookmarkEnd w:id="0"/>
      <w:bookmarkStart w:id="11" w:name="_Toc15306268"/>
      <w:r>
        <w:rPr>
          <w:rFonts w:hint="eastAsia" w:ascii="方正小标宋简体" w:eastAsia="方正小标宋简体"/>
          <w:color w:val="000000"/>
          <w:sz w:val="72"/>
          <w:szCs w:val="72"/>
        </w:rPr>
        <w:t>金川县</w:t>
      </w:r>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信访局部门决算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pPr>
      <w:r>
        <w:rPr>
          <w:rFonts w:hint="eastAsia"/>
        </w:rPr>
        <w:t>公开时间：2021年8月3日</w:t>
      </w:r>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5</w:t>
      </w:r>
      <w:r>
        <w:rPr>
          <w:rFonts w:hint="eastAsia"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5</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5</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5</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ascii="仿宋" w:eastAsia="仿宋"/>
          <w:sz w:val="28"/>
          <w:szCs w:val="28"/>
        </w:rPr>
        <w:fldChar w:fldCharType="end"/>
      </w:r>
      <w:r>
        <w:rPr>
          <w:rFonts w:hint="eastAsia" w:ascii="仿宋" w:eastAsia="仿宋"/>
          <w:sz w:val="28"/>
          <w:szCs w:val="28"/>
        </w:rPr>
        <w:t>9</w:t>
      </w:r>
    </w:p>
    <w:p>
      <w:pPr>
        <w:pStyle w:val="12"/>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0</w:t>
      </w:r>
    </w:p>
    <w:p>
      <w:pPr>
        <w:pStyle w:val="12"/>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1</w:t>
      </w:r>
    </w:p>
    <w:p>
      <w:pPr>
        <w:pStyle w:val="12"/>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2"/>
        <w:ind w:left="420"/>
        <w:rPr>
          <w:rFonts w:ascii="仿宋" w:eastAsia="仿宋"/>
          <w:sz w:val="28"/>
          <w:szCs w:val="28"/>
        </w:rPr>
      </w:pPr>
      <w:r>
        <w:rPr>
          <w:rStyle w:val="16"/>
          <w:rFonts w:hint="eastAsia" w:ascii="仿宋" w:eastAsia="仿宋"/>
          <w:bCs/>
          <w:sz w:val="28"/>
          <w:szCs w:val="28"/>
        </w:rPr>
        <w:t xml:space="preserve"> 十、预算绩效情况说明..................................12</w:t>
      </w:r>
    </w:p>
    <w:p/>
    <w:p>
      <w:pPr>
        <w:pStyle w:val="12"/>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12</w:t>
      </w:r>
      <w:r>
        <w:rPr>
          <w:rFonts w:hint="eastAsia" w:ascii="仿宋" w:eastAsia="仿宋"/>
          <w:sz w:val="28"/>
          <w:szCs w:val="28"/>
        </w:rPr>
        <w:fldChar w:fldCharType="end"/>
      </w:r>
    </w:p>
    <w:p>
      <w:pPr>
        <w:pStyle w:val="11"/>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1</w:t>
      </w:r>
      <w:r>
        <w:rPr>
          <w:rFonts w:hint="eastAsia"/>
        </w:rPr>
        <w:fldChar w:fldCharType="end"/>
      </w:r>
      <w:r>
        <w:rPr>
          <w:rFonts w:hint="eastAsia"/>
        </w:rPr>
        <w:t>3</w:t>
      </w:r>
    </w:p>
    <w:p>
      <w:pPr>
        <w:pStyle w:val="11"/>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1</w:t>
      </w:r>
      <w:r>
        <w:rPr>
          <w:rFonts w:hint="eastAsia"/>
        </w:rPr>
        <w:fldChar w:fldCharType="end"/>
      </w:r>
      <w:r>
        <w:rPr>
          <w:rFonts w:hint="eastAsia"/>
        </w:rPr>
        <w:t>6</w:t>
      </w:r>
    </w:p>
    <w:p>
      <w:pPr>
        <w:pStyle w:val="12"/>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6</w:t>
      </w:r>
    </w:p>
    <w:p>
      <w:pPr>
        <w:pStyle w:val="11"/>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rPr>
          <w:rFonts w:hint="eastAsia"/>
        </w:rPr>
        <w:fldChar w:fldCharType="end"/>
      </w:r>
      <w:r>
        <w:rPr>
          <w:rFonts w:hint="eastAsia"/>
        </w:rPr>
        <w:t>1</w:t>
      </w:r>
    </w:p>
    <w:p>
      <w:pPr>
        <w:pStyle w:val="12"/>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1</w:t>
      </w:r>
    </w:p>
    <w:p>
      <w:pPr>
        <w:pStyle w:val="12"/>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1</w:t>
      </w:r>
    </w:p>
    <w:p>
      <w:pPr>
        <w:pStyle w:val="12"/>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1</w:t>
      </w:r>
    </w:p>
    <w:p>
      <w:pPr>
        <w:pStyle w:val="12"/>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1</w:t>
      </w:r>
    </w:p>
    <w:p>
      <w:pPr>
        <w:pStyle w:val="12"/>
        <w:ind w:left="42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1</w:t>
      </w:r>
    </w:p>
    <w:p>
      <w:pPr>
        <w:pStyle w:val="12"/>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1</w:t>
      </w:r>
    </w:p>
    <w:p>
      <w:pPr>
        <w:pStyle w:val="12"/>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1</w:t>
      </w:r>
    </w:p>
    <w:p>
      <w:pPr>
        <w:pStyle w:val="12"/>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1</w:t>
      </w:r>
    </w:p>
    <w:p>
      <w:pPr>
        <w:pStyle w:val="12"/>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1</w:t>
      </w:r>
    </w:p>
    <w:p>
      <w:pPr>
        <w:pStyle w:val="12"/>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1</w:t>
      </w:r>
    </w:p>
    <w:p>
      <w:pPr>
        <w:pStyle w:val="12"/>
        <w:ind w:left="420"/>
        <w:rPr>
          <w:rFonts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1</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96599"/>
      <w:bookmarkStart w:id="13" w:name="_Toc15377196"/>
      <w:r>
        <w:rPr>
          <w:rFonts w:ascii="黑体" w:eastAsia="黑体"/>
          <w:b/>
        </w:rPr>
        <w:br w:type="page"/>
      </w:r>
    </w:p>
    <w:p>
      <w:pPr>
        <w:pStyle w:val="3"/>
        <w:jc w:val="center"/>
        <w:rPr>
          <w:rFonts w:ascii="黑体" w:eastAsia="黑体"/>
          <w:color w:val="000000"/>
          <w:sz w:val="32"/>
          <w:szCs w:val="32"/>
        </w:rPr>
      </w:pPr>
      <w:r>
        <w:rPr>
          <w:rFonts w:hint="eastAsia" w:ascii="黑体" w:eastAsia="黑体"/>
          <w:b w:val="0"/>
        </w:rPr>
        <w:t xml:space="preserve">第一部分 </w:t>
      </w:r>
      <w:r>
        <w:rPr>
          <w:rStyle w:val="17"/>
          <w:rFonts w:hint="eastAsia" w:ascii="黑体" w:eastAsia="黑体"/>
          <w:b w:val="0"/>
          <w:bCs w:val="0"/>
        </w:rPr>
        <w:t>部门概况</w:t>
      </w:r>
      <w:bookmarkEnd w:id="12"/>
      <w:bookmarkEnd w:id="13"/>
    </w:p>
    <w:p>
      <w:pPr>
        <w:pStyle w:val="4"/>
        <w:spacing w:before="0" w:after="0" w:line="240" w:lineRule="auto"/>
        <w:ind w:left="640" w:hanging="640" w:hangingChars="200"/>
        <w:rPr>
          <w:rStyle w:val="18"/>
          <w:rFonts w:ascii="黑体" w:eastAsia="黑体"/>
          <w:b w:val="0"/>
          <w:bCs w:val="0"/>
        </w:rPr>
      </w:pPr>
      <w:bookmarkStart w:id="14" w:name="_Toc15377197"/>
      <w:bookmarkStart w:id="15" w:name="_Toc15396600"/>
      <w:r>
        <w:rPr>
          <w:rFonts w:hint="eastAsia" w:ascii="黑体" w:eastAsia="黑体"/>
          <w:b w:val="0"/>
          <w:color w:val="000000"/>
        </w:rPr>
        <w:t>一、基</w:t>
      </w:r>
      <w:r>
        <w:rPr>
          <w:rStyle w:val="18"/>
          <w:rFonts w:hint="eastAsia" w:ascii="黑体" w:eastAsia="黑体"/>
          <w:b w:val="0"/>
          <w:bCs w:val="0"/>
        </w:rPr>
        <w:t>本职能及主要工作</w:t>
      </w:r>
      <w:bookmarkEnd w:id="14"/>
      <w:bookmarkEnd w:id="15"/>
      <w:bookmarkStart w:id="16" w:name="_Toc15377198"/>
      <w:bookmarkStart w:id="17" w:name="_Toc15378445"/>
    </w:p>
    <w:p>
      <w:pPr>
        <w:pStyle w:val="4"/>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7199"/>
      <w:bookmarkStart w:id="19" w:name="_Toc15378446"/>
    </w:p>
    <w:p>
      <w:pPr>
        <w:spacing w:line="560" w:lineRule="exact"/>
        <w:ind w:firstLine="643" w:firstLineChars="200"/>
        <w:rPr>
          <w:rFonts w:ascii="仿宋_GB2312" w:hAnsi="仿宋_GB2312"/>
          <w:szCs w:val="32"/>
        </w:rPr>
      </w:pPr>
      <w:r>
        <w:rPr>
          <w:rFonts w:hint="eastAsia" w:ascii="仿宋_GB2312" w:eastAsia="仿宋_GB2312"/>
          <w:b/>
          <w:bCs/>
          <w:color w:val="000000"/>
          <w:sz w:val="32"/>
          <w:szCs w:val="32"/>
        </w:rPr>
        <w:t>一是</w:t>
      </w:r>
      <w:r>
        <w:rPr>
          <w:rFonts w:hint="eastAsia" w:ascii="仿宋_GB2312" w:hAnsi="宋体" w:eastAsia="仿宋_GB2312" w:cs="宋体"/>
          <w:kern w:val="0"/>
          <w:sz w:val="32"/>
          <w:szCs w:val="32"/>
        </w:rPr>
        <w:t>负责全县群众来信、来访接待工作，保证信访渠道畅通；及时准确地向县委、县政府领导反映群众来信、来访提出的宝贵意见和建议；综合分析信息，开展调查研究，提出制定有关政策的建议</w:t>
      </w:r>
      <w:r>
        <w:rPr>
          <w:rFonts w:hint="eastAsia" w:ascii="仿宋_GB2312" w:eastAsia="仿宋_GB2312"/>
          <w:sz w:val="32"/>
          <w:szCs w:val="32"/>
        </w:rPr>
        <w:t>。</w:t>
      </w:r>
      <w:r>
        <w:rPr>
          <w:rFonts w:hint="eastAsia" w:ascii="仿宋_GB2312" w:eastAsia="仿宋_GB2312"/>
          <w:b/>
          <w:color w:val="000000"/>
          <w:sz w:val="32"/>
          <w:szCs w:val="32"/>
        </w:rPr>
        <w:t>二是</w:t>
      </w:r>
      <w:r>
        <w:rPr>
          <w:rFonts w:hint="eastAsia" w:ascii="仿宋_GB2312" w:hAnsi="宋体" w:eastAsia="仿宋_GB2312" w:cs="宋体"/>
          <w:kern w:val="0"/>
          <w:sz w:val="32"/>
          <w:szCs w:val="32"/>
        </w:rPr>
        <w:t>承办县委、县人民政府领导同志交办的信访事项，督促检查领导同志有关信访事项的落实情况。督促检查重要信访事项的处理和落实</w:t>
      </w:r>
      <w:r>
        <w:rPr>
          <w:rFonts w:hint="eastAsia" w:ascii="仿宋_GB2312" w:eastAsia="仿宋_GB2312"/>
          <w:sz w:val="32"/>
          <w:szCs w:val="32"/>
        </w:rPr>
        <w:t>。</w:t>
      </w:r>
      <w:r>
        <w:rPr>
          <w:rFonts w:hint="eastAsia" w:ascii="仿宋_GB2312" w:eastAsia="仿宋_GB2312"/>
          <w:b/>
          <w:color w:val="000000"/>
          <w:sz w:val="32"/>
          <w:szCs w:val="32"/>
        </w:rPr>
        <w:t>三是</w:t>
      </w:r>
      <w:r>
        <w:rPr>
          <w:rFonts w:hint="eastAsia" w:ascii="仿宋_GB2312" w:hAnsi="宋体" w:eastAsia="仿宋_GB2312" w:cs="宋体"/>
          <w:kern w:val="0"/>
          <w:sz w:val="32"/>
          <w:szCs w:val="32"/>
        </w:rPr>
        <w:t>协调处理全县辖区内的主要信访问题，协调处理群众集体上访和异常、突发信访事项，检查、指导、协调各乡镇、部门信访工作</w:t>
      </w:r>
      <w:r>
        <w:rPr>
          <w:rFonts w:hint="eastAsia" w:ascii="仿宋_GB2312" w:eastAsia="仿宋_GB2312"/>
          <w:sz w:val="32"/>
          <w:szCs w:val="32"/>
        </w:rPr>
        <w:t>。</w:t>
      </w:r>
      <w:r>
        <w:rPr>
          <w:rFonts w:hint="eastAsia" w:ascii="仿宋_GB2312" w:eastAsia="仿宋_GB2312"/>
          <w:b/>
          <w:bCs/>
          <w:sz w:val="32"/>
          <w:szCs w:val="32"/>
        </w:rPr>
        <w:t>四是</w:t>
      </w:r>
      <w:r>
        <w:rPr>
          <w:rFonts w:hint="eastAsia" w:ascii="仿宋_GB2312" w:hAnsi="宋体" w:eastAsia="仿宋_GB2312" w:cs="宋体"/>
          <w:kern w:val="0"/>
          <w:sz w:val="32"/>
          <w:szCs w:val="32"/>
        </w:rPr>
        <w:t>完成县委、县政府交办的其他事项</w:t>
      </w:r>
      <w:r>
        <w:rPr>
          <w:rFonts w:hint="eastAsia" w:ascii="仿宋_GB2312" w:eastAsia="仿宋_GB2312"/>
          <w:sz w:val="32"/>
          <w:szCs w:val="32"/>
        </w:rPr>
        <w:t>。</w:t>
      </w:r>
    </w:p>
    <w:p>
      <w:pPr>
        <w:pStyle w:val="4"/>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8"/>
      <w:bookmarkEnd w:id="19"/>
    </w:p>
    <w:p>
      <w:pPr>
        <w:spacing w:line="560" w:lineRule="exact"/>
        <w:ind w:firstLine="643" w:firstLineChars="200"/>
        <w:rPr>
          <w:rFonts w:ascii="仿宋_GB2312" w:eastAsia="仿宋_GB2312"/>
          <w:sz w:val="32"/>
          <w:szCs w:val="32"/>
        </w:rPr>
      </w:pPr>
      <w:r>
        <w:rPr>
          <w:rFonts w:hint="eastAsia" w:ascii="仿宋_GB2312" w:hAnsi="宋体" w:eastAsia="仿宋_GB2312" w:cs="宋体"/>
          <w:b/>
          <w:bCs/>
          <w:kern w:val="0"/>
          <w:sz w:val="32"/>
          <w:szCs w:val="32"/>
        </w:rPr>
        <w:t>一是</w:t>
      </w:r>
      <w:r>
        <w:rPr>
          <w:rFonts w:hint="eastAsia" w:ascii="仿宋_GB2312" w:hAnsi="宋体" w:eastAsia="仿宋_GB2312" w:cs="宋体"/>
          <w:kern w:val="0"/>
          <w:sz w:val="32"/>
          <w:szCs w:val="32"/>
        </w:rPr>
        <w:t>信访秩序进一步好转，信访群众从以前的闹到现在的说，真实的体现了信访秩序转变带来的和谐；</w:t>
      </w:r>
      <w:r>
        <w:rPr>
          <w:rFonts w:hint="eastAsia" w:ascii="仿宋_GB2312" w:hAnsi="宋体" w:eastAsia="仿宋_GB2312" w:cs="宋体"/>
          <w:b/>
          <w:bCs/>
          <w:kern w:val="0"/>
          <w:sz w:val="32"/>
          <w:szCs w:val="32"/>
        </w:rPr>
        <w:t>二是</w:t>
      </w:r>
      <w:r>
        <w:rPr>
          <w:rFonts w:hint="eastAsia" w:ascii="仿宋_GB2312" w:hAnsi="宋体" w:eastAsia="仿宋_GB2312" w:cs="宋体"/>
          <w:kern w:val="0"/>
          <w:sz w:val="32"/>
          <w:szCs w:val="32"/>
        </w:rPr>
        <w:t>群众满意度大幅提升，以前金川信访群众对信访事项处理的满意率排名全州倒数第一，</w:t>
      </w:r>
      <w:r>
        <w:rPr>
          <w:rFonts w:hint="eastAsia" w:ascii="仿宋_GB2312" w:hAnsi="宋体" w:eastAsia="仿宋_GB2312" w:cs="宋体"/>
          <w:kern w:val="0"/>
          <w:sz w:val="32"/>
          <w:szCs w:val="32"/>
          <w:lang w:eastAsia="zh-CN"/>
        </w:rPr>
        <w:t>截至目前</w:t>
      </w:r>
      <w:r>
        <w:rPr>
          <w:rFonts w:hint="eastAsia" w:ascii="仿宋_GB2312" w:hAnsi="宋体" w:eastAsia="仿宋_GB2312" w:cs="宋体"/>
          <w:kern w:val="0"/>
          <w:sz w:val="32"/>
          <w:szCs w:val="32"/>
        </w:rPr>
        <w:t>，已经排名全州第一；</w:t>
      </w:r>
      <w:r>
        <w:rPr>
          <w:rFonts w:hint="eastAsia" w:ascii="仿宋_GB2312" w:hAnsi="宋体" w:eastAsia="仿宋_GB2312" w:cs="宋体"/>
          <w:b/>
          <w:bCs/>
          <w:kern w:val="0"/>
          <w:sz w:val="32"/>
          <w:szCs w:val="32"/>
        </w:rPr>
        <w:t>三是</w:t>
      </w:r>
      <w:r>
        <w:rPr>
          <w:rFonts w:hint="eastAsia" w:ascii="仿宋_GB2312" w:hAnsi="宋体" w:eastAsia="仿宋_GB2312" w:cs="宋体"/>
          <w:kern w:val="0"/>
          <w:sz w:val="32"/>
          <w:szCs w:val="32"/>
        </w:rPr>
        <w:t>群众信访渠道多样化，从以前的单一走访到现在的群众电话访、网上投诉、领导信箱等多种方式信访，方便群众的同时又提高了工作效率；</w:t>
      </w:r>
      <w:r>
        <w:rPr>
          <w:rFonts w:hint="eastAsia" w:ascii="仿宋_GB2312" w:hAnsi="宋体" w:eastAsia="仿宋_GB2312" w:cs="宋体"/>
          <w:b/>
          <w:bCs/>
          <w:kern w:val="0"/>
          <w:sz w:val="32"/>
          <w:szCs w:val="32"/>
        </w:rPr>
        <w:t>四是</w:t>
      </w:r>
      <w:r>
        <w:rPr>
          <w:rFonts w:hint="eastAsia" w:ascii="仿宋_GB2312" w:hAnsi="宋体" w:eastAsia="仿宋_GB2312" w:cs="宋体"/>
          <w:kern w:val="0"/>
          <w:sz w:val="32"/>
          <w:szCs w:val="32"/>
        </w:rPr>
        <w:t>信访量逐步下降，尤其是集体访，金川从全州第一降至全州倒数，这都得益于历史遗留问题和信访疑难案件的化解工作的开展</w:t>
      </w:r>
      <w:r>
        <w:rPr>
          <w:rFonts w:hint="eastAsia" w:ascii="仿宋_GB2312" w:eastAsia="仿宋_GB2312"/>
          <w:sz w:val="32"/>
          <w:szCs w:val="32"/>
        </w:rPr>
        <w:t>。</w:t>
      </w:r>
      <w:bookmarkStart w:id="20" w:name="_Toc15377200"/>
      <w:bookmarkStart w:id="21" w:name="_Toc15396601"/>
    </w:p>
    <w:p>
      <w:pPr>
        <w:pStyle w:val="2"/>
        <w:ind w:left="1060" w:hanging="640"/>
        <w:rPr>
          <w:rFonts w:ascii="仿宋_GB2312" w:eastAsia="仿宋_GB2312"/>
          <w:sz w:val="32"/>
          <w:szCs w:val="32"/>
        </w:rPr>
      </w:pPr>
    </w:p>
    <w:p/>
    <w:p>
      <w:pPr>
        <w:numPr>
          <w:ilvl w:val="0"/>
          <w:numId w:val="1"/>
        </w:numPr>
        <w:spacing w:line="578" w:lineRule="exact"/>
        <w:ind w:firstLine="640" w:firstLineChars="200"/>
        <w:rPr>
          <w:rStyle w:val="18"/>
          <w:rFonts w:ascii="黑体" w:eastAsia="黑体"/>
          <w:b w:val="0"/>
          <w:bCs w:val="0"/>
        </w:rPr>
      </w:pPr>
      <w:r>
        <w:rPr>
          <w:rStyle w:val="18"/>
          <w:rFonts w:hint="eastAsia" w:ascii="黑体" w:eastAsia="黑体"/>
          <w:b w:val="0"/>
          <w:bCs w:val="0"/>
        </w:rPr>
        <w:t>机构设置</w:t>
      </w:r>
      <w:bookmarkEnd w:id="20"/>
      <w:bookmarkEnd w:id="21"/>
    </w:p>
    <w:p>
      <w:pPr>
        <w:snapToGrid w:val="0"/>
        <w:spacing w:line="360" w:lineRule="auto"/>
        <w:rPr>
          <w:rFonts w:ascii="仿宋_GB2312" w:eastAsia="仿宋_GB2312"/>
          <w:sz w:val="30"/>
          <w:szCs w:val="30"/>
        </w:rPr>
      </w:pPr>
      <w:r>
        <w:rPr>
          <w:rFonts w:hint="eastAsia" w:ascii="仿宋_GB2312" w:eastAsia="仿宋_GB2312"/>
          <w:sz w:val="30"/>
          <w:szCs w:val="30"/>
        </w:rPr>
        <w:t xml:space="preserve">    金川县信访局是</w:t>
      </w:r>
      <w:r>
        <w:rPr>
          <w:rFonts w:hint="eastAsia" w:ascii="仿宋_GB2312" w:eastAsia="仿宋_GB2312"/>
          <w:bCs/>
          <w:color w:val="000000"/>
          <w:sz w:val="32"/>
          <w:szCs w:val="32"/>
        </w:rPr>
        <w:t>政府组成部门，下列内设机构综合股，以及统一</w:t>
      </w:r>
      <w:r>
        <w:rPr>
          <w:rFonts w:hint="eastAsia" w:ascii="仿宋_GB2312" w:eastAsia="仿宋_GB2312"/>
          <w:sz w:val="30"/>
          <w:szCs w:val="30"/>
        </w:rPr>
        <w:t>核算机构1个，独立编制机构1个，且为行政单位。</w:t>
      </w:r>
    </w:p>
    <w:p>
      <w:pPr>
        <w:snapToGrid w:val="0"/>
        <w:spacing w:line="360" w:lineRule="auto"/>
        <w:rPr>
          <w:rFonts w:ascii="楷体" w:hAnsi="楷体" w:eastAsia="楷体" w:cs="楷体"/>
          <w:b/>
          <w:bCs/>
          <w:sz w:val="30"/>
          <w:szCs w:val="30"/>
        </w:rPr>
      </w:pPr>
      <w:r>
        <w:rPr>
          <w:rFonts w:hint="eastAsia" w:ascii="仿宋_GB2312" w:eastAsia="仿宋_GB2312"/>
          <w:sz w:val="30"/>
          <w:szCs w:val="30"/>
        </w:rPr>
        <w:t>　　我局2020年年末在职9人，离休0人，遗嘱0人。总编制数10人（其中</w:t>
      </w:r>
      <w:r>
        <w:rPr>
          <w:rFonts w:hint="eastAsia" w:ascii="仿宋_GB2312" w:eastAsia="仿宋_GB2312"/>
          <w:sz w:val="30"/>
          <w:szCs w:val="30"/>
          <w:lang w:eastAsia="zh-CN"/>
        </w:rPr>
        <w:t>：</w:t>
      </w:r>
      <w:r>
        <w:rPr>
          <w:rFonts w:hint="eastAsia" w:ascii="仿宋_GB2312" w:eastAsia="仿宋_GB2312"/>
          <w:sz w:val="30"/>
          <w:szCs w:val="30"/>
        </w:rPr>
        <w:t>行政编制4人，工勤编制1人、事业</w:t>
      </w:r>
      <w:r>
        <w:rPr>
          <w:rFonts w:hint="eastAsia" w:ascii="仿宋_GB2312" w:eastAsia="仿宋_GB2312"/>
          <w:bCs/>
          <w:sz w:val="30"/>
          <w:szCs w:val="30"/>
        </w:rPr>
        <w:t>编制5人</w:t>
      </w:r>
      <w:r>
        <w:rPr>
          <w:rFonts w:hint="eastAsia" w:ascii="仿宋_GB2312" w:eastAsia="仿宋_GB2312"/>
          <w:sz w:val="30"/>
          <w:szCs w:val="30"/>
        </w:rPr>
        <w:t>）。</w:t>
      </w:r>
    </w:p>
    <w:p>
      <w:pPr>
        <w:pStyle w:val="3"/>
        <w:ind w:right="440"/>
        <w:jc w:val="center"/>
      </w:pPr>
      <w:bookmarkStart w:id="22" w:name="_Toc15377204"/>
      <w:bookmarkStart w:id="23" w:name="_Toc15396602"/>
      <w:r>
        <w:rPr>
          <w:rFonts w:hint="eastAsia" w:ascii="黑体" w:eastAsia="黑体"/>
          <w:b w:val="0"/>
          <w:color w:val="000000"/>
        </w:rPr>
        <w:t xml:space="preserve"> 第二部分</w:t>
      </w:r>
      <w:r>
        <w:rPr>
          <w:rFonts w:hint="eastAsia" w:ascii="黑体" w:eastAsia="黑体"/>
          <w:color w:val="000000"/>
        </w:rPr>
        <w:t xml:space="preserve"> </w:t>
      </w:r>
      <w:r>
        <w:rPr>
          <w:rStyle w:val="17"/>
          <w:rFonts w:hint="eastAsia" w:ascii="黑体" w:eastAsia="黑体"/>
          <w:b w:val="0"/>
          <w:bCs w:val="0"/>
        </w:rPr>
        <w:t>2020年度部门决算情况说明</w:t>
      </w:r>
      <w:bookmarkEnd w:id="22"/>
      <w:bookmarkEnd w:id="23"/>
    </w:p>
    <w:p>
      <w:pPr>
        <w:pStyle w:val="23"/>
        <w:numPr>
          <w:ilvl w:val="0"/>
          <w:numId w:val="2"/>
        </w:numPr>
        <w:ind w:left="0" w:firstLine="0" w:firstLineChars="0"/>
        <w:outlineLvl w:val="1"/>
        <w:rPr>
          <w:rStyle w:val="18"/>
          <w:rFonts w:ascii="黑体" w:eastAsia="黑体"/>
          <w:b w:val="0"/>
        </w:rPr>
      </w:pPr>
      <w:bookmarkStart w:id="24" w:name="_Toc15396603"/>
      <w:bookmarkStart w:id="25" w:name="_Toc15377205"/>
      <w:r>
        <w:rPr>
          <w:rFonts w:hint="eastAsia" w:ascii="黑体" w:eastAsia="黑体"/>
          <w:color w:val="000000"/>
          <w:sz w:val="32"/>
          <w:szCs w:val="32"/>
        </w:rPr>
        <w:t>收</w:t>
      </w:r>
      <w:r>
        <w:rPr>
          <w:rStyle w:val="18"/>
          <w:rFonts w:hint="eastAsia" w:ascii="黑体" w:eastAsia="黑体"/>
          <w:b w:val="0"/>
        </w:rPr>
        <w:t>入支出决算总体情况说明</w:t>
      </w:r>
      <w:bookmarkEnd w:id="24"/>
      <w:bookmarkEnd w:id="25"/>
    </w:p>
    <w:p>
      <w:pPr>
        <w:snapToGrid w:val="0"/>
        <w:spacing w:line="520" w:lineRule="exact"/>
        <w:ind w:firstLine="632" w:firstLineChars="200"/>
        <w:rPr>
          <w:rFonts w:ascii="仿宋_GB2312" w:eastAsia="仿宋_GB2312"/>
          <w:color w:val="000000"/>
          <w:spacing w:val="-2"/>
          <w:sz w:val="32"/>
          <w:szCs w:val="32"/>
        </w:rPr>
      </w:pPr>
      <w:r>
        <w:rPr>
          <w:rFonts w:hint="eastAsia" w:ascii="仿宋_GB2312" w:eastAsia="仿宋_GB2312"/>
          <w:color w:val="000000"/>
          <w:spacing w:val="-2"/>
          <w:sz w:val="32"/>
          <w:szCs w:val="32"/>
        </w:rPr>
        <w:t>2020年度总收入172.21万元，较上年收入减少14.32万元，减少7.7%。减少的主要原因是2020年更加规范财务核算，以及人员减少。</w:t>
      </w:r>
    </w:p>
    <w:p>
      <w:pPr>
        <w:snapToGrid w:val="0"/>
        <w:spacing w:line="520" w:lineRule="exact"/>
        <w:ind w:firstLine="632" w:firstLineChars="200"/>
        <w:rPr>
          <w:rFonts w:ascii="仿宋" w:eastAsia="仿宋"/>
          <w:sz w:val="32"/>
          <w:szCs w:val="32"/>
        </w:rPr>
      </w:pPr>
      <w:r>
        <w:rPr>
          <w:rFonts w:hint="eastAsia" w:ascii="仿宋_GB2312" w:eastAsia="仿宋_GB2312"/>
          <w:spacing w:val="-2"/>
          <w:sz w:val="32"/>
          <w:szCs w:val="32"/>
        </w:rPr>
        <w:t>2020年总支出172.21万元，较上年支出减少14.32万元，减少7.7%。主要原因是当年部门预算安排项目经费较上年有所减少。</w:t>
      </w:r>
    </w:p>
    <w:p>
      <w:pPr>
        <w:spacing w:line="600" w:lineRule="exact"/>
        <w:ind w:firstLine="640" w:firstLineChars="200"/>
        <w:rPr>
          <w:rStyle w:val="18"/>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314960</wp:posOffset>
            </wp:positionH>
            <wp:positionV relativeFrom="paragraph">
              <wp:posOffset>38100</wp:posOffset>
            </wp:positionV>
            <wp:extent cx="4668520" cy="2026920"/>
            <wp:effectExtent l="4445" t="5080" r="13335" b="635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6" w:name="_Toc15396604"/>
      <w:bookmarkStart w:id="27" w:name="_Toc15377206"/>
      <w:r>
        <w:rPr>
          <w:rFonts w:hint="eastAsia" w:ascii="黑体" w:eastAsia="黑体"/>
          <w:color w:val="000000"/>
          <w:sz w:val="32"/>
          <w:szCs w:val="32"/>
        </w:rPr>
        <w:t>二、收入决</w:t>
      </w:r>
      <w:r>
        <w:rPr>
          <w:rStyle w:val="18"/>
          <w:rFonts w:hint="eastAsia" w:ascii="黑体" w:eastAsia="黑体"/>
          <w:b w:val="0"/>
        </w:rPr>
        <w:t>算情况说明</w:t>
      </w:r>
      <w:bookmarkEnd w:id="26"/>
      <w:bookmarkEnd w:id="27"/>
    </w:p>
    <w:p>
      <w:pPr>
        <w:spacing w:line="600" w:lineRule="exact"/>
        <w:ind w:firstLine="640" w:firstLineChars="200"/>
        <w:outlineLvl w:val="1"/>
        <w:rPr>
          <w:rFonts w:ascii="仿宋" w:eastAsia="仿宋"/>
          <w:color w:val="000000"/>
          <w:sz w:val="32"/>
          <w:szCs w:val="32"/>
        </w:rPr>
      </w:pPr>
      <w:r>
        <w:rPr>
          <w:rFonts w:hint="eastAsia" w:ascii="仿宋" w:eastAsia="仿宋"/>
          <w:color w:val="000000"/>
          <w:sz w:val="32"/>
          <w:szCs w:val="32"/>
        </w:rPr>
        <w:t>2020年总收入172.21万元，其中：一般公共预算财政拨款收入172.21万元，占100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p>
    <w:p>
      <w:pPr>
        <w:spacing w:line="600" w:lineRule="exact"/>
        <w:ind w:firstLine="640" w:firstLineChars="200"/>
        <w:outlineLvl w:val="1"/>
        <w:rPr>
          <w:rStyle w:val="18"/>
          <w:rFonts w:ascii="黑体" w:eastAsia="黑体"/>
          <w:b w:val="0"/>
        </w:rPr>
      </w:pPr>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177165</wp:posOffset>
            </wp:positionH>
            <wp:positionV relativeFrom="paragraph">
              <wp:posOffset>134620</wp:posOffset>
            </wp:positionV>
            <wp:extent cx="5276850" cy="2021840"/>
            <wp:effectExtent l="4445" t="4445" r="14605" b="12065"/>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28" w:name="_Toc15377207"/>
      <w:bookmarkStart w:id="29" w:name="_Toc15396605"/>
      <w:r>
        <w:rPr>
          <w:rFonts w:hint="eastAsia" w:ascii="黑体" w:eastAsia="黑体"/>
          <w:color w:val="000000"/>
          <w:sz w:val="32"/>
          <w:szCs w:val="32"/>
        </w:rPr>
        <w:t>三、支出决</w:t>
      </w:r>
      <w:r>
        <w:rPr>
          <w:rStyle w:val="18"/>
          <w:rFonts w:hint="eastAsia" w:ascii="黑体" w:eastAsia="黑体"/>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2020年本年总支出172.21万元，其中：基本支出166.7万元，占96.8%；项目支出5.48万元，占3.2%；上缴上级支出0万元，占0%；经营支出0万元，占0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64770</wp:posOffset>
            </wp:positionH>
            <wp:positionV relativeFrom="paragraph">
              <wp:posOffset>227330</wp:posOffset>
            </wp:positionV>
            <wp:extent cx="5045710" cy="1992630"/>
            <wp:effectExtent l="4445" t="4445" r="17145" b="22225"/>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8"/>
          <w:rFonts w:ascii="黑体" w:eastAsia="黑体"/>
          <w:b w:val="0"/>
        </w:rPr>
      </w:pPr>
      <w:bookmarkStart w:id="30" w:name="_Toc15396606"/>
      <w:bookmarkStart w:id="31" w:name="_Toc15377208"/>
      <w:r>
        <w:rPr>
          <w:rFonts w:hint="eastAsia" w:ascii="黑体" w:eastAsia="黑体"/>
          <w:color w:val="000000"/>
          <w:sz w:val="32"/>
          <w:szCs w:val="32"/>
        </w:rPr>
        <w:t>四、财</w:t>
      </w:r>
      <w:r>
        <w:rPr>
          <w:rStyle w:val="18"/>
          <w:rFonts w:hint="eastAsia" w:ascii="黑体" w:eastAsia="黑体"/>
          <w:b w:val="0"/>
        </w:rPr>
        <w:t>政拨款收入支出决算总体情况说明</w:t>
      </w:r>
      <w:bookmarkEnd w:id="30"/>
      <w:bookmarkEnd w:id="31"/>
    </w:p>
    <w:p>
      <w:pPr>
        <w:snapToGrid w:val="0"/>
        <w:spacing w:line="520" w:lineRule="exact"/>
        <w:ind w:firstLine="640" w:firstLineChars="200"/>
        <w:rPr>
          <w:rFonts w:ascii="仿宋" w:eastAsia="仿宋"/>
          <w:sz w:val="32"/>
          <w:szCs w:val="32"/>
        </w:rPr>
      </w:pPr>
      <w:r>
        <w:rPr>
          <w:rFonts w:hint="eastAsia" w:ascii="仿宋" w:eastAsia="仿宋"/>
          <w:color w:val="000000"/>
          <w:sz w:val="32"/>
          <w:szCs w:val="32"/>
        </w:rPr>
        <w:t>2020年财政拨款收入172.21万元。与2019年相比，一般公共预算财政拨款收入较上年减少</w:t>
      </w:r>
      <w:r>
        <w:rPr>
          <w:rFonts w:hint="eastAsia" w:ascii="仿宋_GB2312" w:eastAsia="仿宋_GB2312"/>
          <w:color w:val="000000"/>
          <w:spacing w:val="-2"/>
          <w:sz w:val="32"/>
          <w:szCs w:val="32"/>
        </w:rPr>
        <w:t>14.32万元，减少7.7%</w:t>
      </w:r>
      <w:r>
        <w:rPr>
          <w:rFonts w:hint="eastAsia" w:ascii="仿宋" w:eastAsia="仿宋"/>
          <w:color w:val="000000"/>
          <w:sz w:val="32"/>
          <w:szCs w:val="32"/>
        </w:rPr>
        <w:t>。减少的主要原因是</w:t>
      </w:r>
      <w:r>
        <w:rPr>
          <w:rFonts w:hint="eastAsia" w:ascii="仿宋_GB2312" w:eastAsia="仿宋_GB2312"/>
          <w:spacing w:val="-2"/>
          <w:sz w:val="32"/>
          <w:szCs w:val="32"/>
        </w:rPr>
        <w:t>当年部门预算安排项目经费以及在职人员较上年有所减少。</w:t>
      </w:r>
    </w:p>
    <w:p>
      <w:pPr>
        <w:snapToGrid w:val="0"/>
        <w:spacing w:line="520" w:lineRule="exact"/>
        <w:ind w:firstLine="640" w:firstLineChars="200"/>
        <w:rPr>
          <w:rFonts w:ascii="仿宋" w:eastAsia="仿宋"/>
          <w:color w:val="FF0000"/>
          <w:sz w:val="32"/>
          <w:szCs w:val="32"/>
        </w:rPr>
      </w:pPr>
      <w:r>
        <w:rPr>
          <w:rFonts w:hint="eastAsia" w:ascii="仿宋" w:eastAsia="仿宋"/>
          <w:color w:val="000000"/>
          <w:sz w:val="32"/>
          <w:szCs w:val="32"/>
        </w:rPr>
        <w:t>2020年财政拨款支出172.21万元，</w:t>
      </w:r>
      <w:r>
        <w:rPr>
          <w:rFonts w:hint="eastAsia" w:ascii="仿宋" w:eastAsia="仿宋"/>
          <w:sz w:val="32"/>
          <w:szCs w:val="32"/>
        </w:rPr>
        <w:t>较上年支出减少</w:t>
      </w:r>
      <w:r>
        <w:rPr>
          <w:rFonts w:hint="eastAsia" w:ascii="仿宋_GB2312" w:eastAsia="仿宋_GB2312"/>
          <w:color w:val="000000"/>
          <w:spacing w:val="-2"/>
          <w:sz w:val="32"/>
          <w:szCs w:val="32"/>
        </w:rPr>
        <w:t>14.32万元，减少7.7%</w:t>
      </w:r>
      <w:r>
        <w:rPr>
          <w:rFonts w:hint="eastAsia" w:ascii="仿宋_GB2312" w:eastAsia="仿宋_GB2312"/>
          <w:spacing w:val="-2"/>
          <w:sz w:val="32"/>
          <w:szCs w:val="32"/>
        </w:rPr>
        <w:t>。</w:t>
      </w:r>
    </w:p>
    <w:p>
      <w:pPr>
        <w:spacing w:line="600" w:lineRule="exact"/>
        <w:ind w:firstLine="640" w:firstLineChars="200"/>
        <w:rPr>
          <w:rStyle w:val="18"/>
          <w:rFonts w:ascii="黑体" w:eastAsia="黑体"/>
          <w:b w:val="0"/>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93345</wp:posOffset>
            </wp:positionH>
            <wp:positionV relativeFrom="paragraph">
              <wp:posOffset>222250</wp:posOffset>
            </wp:positionV>
            <wp:extent cx="5026660" cy="2065655"/>
            <wp:effectExtent l="4445" t="4445" r="17145" b="635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2" w:name="_Toc15377209"/>
      <w:bookmarkStart w:id="33" w:name="_Toc15396607"/>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ascii="仿宋_GB2312" w:eastAsia="仿宋_GB2312"/>
          <w:spacing w:val="-2"/>
          <w:sz w:val="32"/>
          <w:szCs w:val="32"/>
        </w:rPr>
      </w:pPr>
      <w:r>
        <w:rPr>
          <w:rFonts w:hint="eastAsia" w:ascii="仿宋" w:eastAsia="仿宋"/>
          <w:color w:val="000000"/>
          <w:sz w:val="32"/>
          <w:szCs w:val="32"/>
        </w:rPr>
        <w:t>2020年</w:t>
      </w:r>
      <w:r>
        <w:rPr>
          <w:rFonts w:hint="eastAsia" w:ascii="仿宋_GB2312" w:eastAsia="仿宋_GB2312"/>
          <w:spacing w:val="-2"/>
          <w:sz w:val="32"/>
          <w:szCs w:val="32"/>
        </w:rPr>
        <w:t>一般公共预算财政拨款支出172.21万元，</w:t>
      </w:r>
      <w:r>
        <w:rPr>
          <w:rFonts w:hint="eastAsia" w:ascii="仿宋" w:eastAsia="仿宋"/>
          <w:color w:val="000000"/>
          <w:sz w:val="32"/>
          <w:szCs w:val="32"/>
        </w:rPr>
        <w:t>占本年总支出的96.8</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rPr>
        <w:t>9年相比，一般公共预算财政拨款</w:t>
      </w:r>
      <w:r>
        <w:rPr>
          <w:rFonts w:hint="eastAsia" w:ascii="仿宋_GB2312" w:eastAsia="仿宋_GB2312"/>
          <w:spacing w:val="-2"/>
          <w:sz w:val="32"/>
          <w:szCs w:val="32"/>
        </w:rPr>
        <w:t>支出减少14.32万元，减少7.7%。主要原因一是当年安排部门预算项目经费较上年有所减少。</w:t>
      </w: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177165</wp:posOffset>
            </wp:positionH>
            <wp:positionV relativeFrom="paragraph">
              <wp:posOffset>114300</wp:posOffset>
            </wp:positionV>
            <wp:extent cx="4678045" cy="2410460"/>
            <wp:effectExtent l="5080" t="4445" r="22225" b="23495"/>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hint="eastAsia" w:ascii="仿宋" w:eastAsia="仿宋"/>
          <w:color w:val="000000"/>
          <w:sz w:val="32"/>
          <w:szCs w:val="32"/>
        </w:rPr>
        <w:t>2020年一般公共预算财政拨款支出172.21万元，主要用于以下方面</w:t>
      </w:r>
      <w:r>
        <w:rPr>
          <w:rFonts w:hint="eastAsia" w:ascii="仿宋" w:eastAsia="仿宋"/>
          <w:color w:val="000000"/>
          <w:sz w:val="32"/>
          <w:szCs w:val="32"/>
          <w:lang w:eastAsia="zh-CN"/>
        </w:rPr>
        <w:t>：</w:t>
      </w:r>
      <w:r>
        <w:rPr>
          <w:rFonts w:hint="eastAsia" w:ascii="仿宋" w:eastAsia="仿宋"/>
          <w:b/>
          <w:color w:val="000000"/>
          <w:sz w:val="32"/>
          <w:szCs w:val="32"/>
        </w:rPr>
        <w:t>一般公共服务（类）</w:t>
      </w:r>
      <w:r>
        <w:rPr>
          <w:rFonts w:hint="eastAsia" w:ascii="仿宋" w:eastAsia="仿宋"/>
          <w:color w:val="000000"/>
          <w:sz w:val="32"/>
          <w:szCs w:val="32"/>
        </w:rPr>
        <w:t>支出129.8万元，占75.37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支出21.2万元，占12.3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rPr>
        <w:t>8.37万元，占4.7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rPr>
        <w:t>12.83万元，占7.5</w:t>
      </w:r>
      <w:r>
        <w:rPr>
          <w:rFonts w:ascii="仿宋" w:eastAsia="仿宋"/>
          <w:color w:val="000000"/>
          <w:sz w:val="32"/>
          <w:szCs w:val="32"/>
        </w:rPr>
        <w:t>%</w:t>
      </w:r>
      <w:r>
        <w:rPr>
          <w:rFonts w:hint="eastAsia" w:ascii="仿宋" w:eastAsia="仿宋"/>
          <w:color w:val="000000"/>
          <w:sz w:val="32"/>
          <w:szCs w:val="32"/>
        </w:rPr>
        <w:t>。</w:t>
      </w:r>
    </w:p>
    <w:p>
      <w:pPr>
        <w:spacing w:line="600" w:lineRule="exact"/>
        <w:ind w:firstLine="8320" w:firstLineChars="2600"/>
        <w:outlineLvl w:val="2"/>
        <w:rPr>
          <w:rFonts w:ascii="仿宋" w:eastAsia="仿宋"/>
          <w:b/>
          <w:color w:val="000000"/>
          <w:sz w:val="32"/>
          <w:szCs w:val="32"/>
        </w:rPr>
      </w:pPr>
      <w:bookmarkStart w:id="36" w:name="_Toc15378460"/>
      <w:bookmarkStart w:id="37" w:name="_Toc15377444"/>
      <w:bookmarkStart w:id="38" w:name="_Toc15377213"/>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540385</wp:posOffset>
            </wp:positionH>
            <wp:positionV relativeFrom="paragraph">
              <wp:posOffset>309245</wp:posOffset>
            </wp:positionV>
            <wp:extent cx="4572000" cy="2341245"/>
            <wp:effectExtent l="0" t="0" r="0" b="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3" w:firstLineChars="200"/>
        <w:outlineLvl w:val="2"/>
        <w:rPr>
          <w:rFonts w:ascii="仿宋" w:eastAsia="仿宋"/>
          <w:b/>
          <w:color w:val="000000"/>
          <w:sz w:val="32"/>
          <w:szCs w:val="32"/>
        </w:rPr>
      </w:pPr>
      <w:bookmarkStart w:id="39" w:name="_Toc15377212"/>
      <w:r>
        <w:rPr>
          <w:rFonts w:hint="eastAsia" w:ascii="仿宋" w:eastAsia="仿宋"/>
          <w:b/>
          <w:color w:val="000000"/>
          <w:sz w:val="32"/>
          <w:szCs w:val="32"/>
        </w:rPr>
        <w:t>（三）一般公共预算财政拨款支出决算具体情况</w:t>
      </w:r>
      <w:bookmarkEnd w:id="39"/>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2020年一般公共预算数为172.21万元，支出决算数为172.21万元，完</w:t>
      </w:r>
      <w:r>
        <w:rPr>
          <w:rStyle w:val="15"/>
          <w:rFonts w:hint="eastAsia" w:ascii="仿宋" w:eastAsia="仿宋"/>
          <w:b w:val="0"/>
          <w:bCs/>
          <w:color w:val="000000"/>
          <w:sz w:val="32"/>
          <w:szCs w:val="32"/>
        </w:rPr>
        <w:t>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。其中：</w:t>
      </w:r>
      <w:bookmarkEnd w:id="36"/>
      <w:bookmarkEnd w:id="37"/>
      <w:bookmarkEnd w:id="38"/>
    </w:p>
    <w:p>
      <w:pPr>
        <w:spacing w:line="600" w:lineRule="exact"/>
        <w:ind w:firstLine="643" w:firstLineChars="200"/>
        <w:rPr>
          <w:rStyle w:val="15"/>
          <w:rFonts w:ascii="仿宋" w:eastAsia="仿宋"/>
          <w:b w:val="0"/>
          <w:bCs/>
          <w:color w:val="000000"/>
          <w:sz w:val="32"/>
          <w:szCs w:val="32"/>
        </w:rPr>
      </w:pPr>
      <w:r>
        <w:rPr>
          <w:rStyle w:val="15"/>
          <w:rFonts w:hint="eastAsia" w:ascii="仿宋" w:eastAsia="仿宋"/>
          <w:bCs/>
          <w:color w:val="000000"/>
          <w:sz w:val="32"/>
          <w:szCs w:val="32"/>
        </w:rPr>
        <w:t>1.一般公共服务（类）政府办公厅（室）及相关机构事务（款）行政运行（项）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支出决算为124.8万元，完成预算100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Style w:val="15"/>
          <w:rFonts w:ascii="仿宋" w:eastAsia="仿宋"/>
          <w:b w:val="0"/>
          <w:bCs/>
          <w:color w:val="000000"/>
          <w:sz w:val="32"/>
          <w:szCs w:val="32"/>
        </w:rPr>
      </w:pPr>
      <w:r>
        <w:rPr>
          <w:rStyle w:val="15"/>
          <w:rFonts w:ascii="仿宋" w:eastAsia="仿宋"/>
          <w:bCs/>
          <w:color w:val="000000"/>
          <w:sz w:val="32"/>
          <w:szCs w:val="32"/>
        </w:rPr>
        <w:t>2.</w:t>
      </w:r>
      <w:r>
        <w:rPr>
          <w:rStyle w:val="15"/>
          <w:rFonts w:hint="eastAsia" w:ascii="仿宋" w:eastAsia="仿宋"/>
          <w:bCs/>
          <w:color w:val="000000"/>
          <w:sz w:val="32"/>
          <w:szCs w:val="32"/>
        </w:rPr>
        <w:t>一般公共服务（类）政府办公厅（室）及相关机构事务（款）一般行政管理事务（项）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支出决算为5万元，完成预算100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rPr>
        <w:t>3</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Cs/>
          <w:color w:val="000000"/>
          <w:sz w:val="32"/>
          <w:szCs w:val="32"/>
        </w:rPr>
        <w:t>社会保障和就业（类）行政事业单位离退休（款）机关事业单位基本养老保险缴费支出（项）</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支出决算为14.12万元，完成预算100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rPr>
        <w:t>4</w:t>
      </w:r>
      <w:r>
        <w:rPr>
          <w:rStyle w:val="15"/>
          <w:rFonts w:ascii="仿宋" w:eastAsia="仿宋"/>
          <w:bCs/>
          <w:color w:val="000000"/>
          <w:sz w:val="32"/>
          <w:szCs w:val="32"/>
        </w:rPr>
        <w:t>.</w:t>
      </w:r>
      <w:r>
        <w:rPr>
          <w:rStyle w:val="15"/>
          <w:rFonts w:hint="eastAsia" w:ascii="仿宋" w:eastAsia="仿宋"/>
          <w:bCs/>
          <w:color w:val="000000"/>
          <w:sz w:val="32"/>
          <w:szCs w:val="32"/>
        </w:rPr>
        <w:t>社会保障和就业（类）行政事业单位离退休（款）机关事业单位基本职业年金缴费支出（项）</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支出决算为7.1万元，完成预算100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5"/>
          <w:rFonts w:hint="eastAsia" w:ascii="仿宋" w:eastAsia="仿宋"/>
          <w:bCs/>
          <w:color w:val="000000"/>
          <w:sz w:val="32"/>
          <w:szCs w:val="32"/>
        </w:rPr>
        <w:t>5.卫生健康支出（类）行政事业单位医疗（款）行政单位医疗（项）</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支出决算为6.68元，完成预算100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5"/>
          <w:rFonts w:hint="eastAsia" w:ascii="仿宋" w:eastAsia="仿宋"/>
          <w:bCs/>
          <w:color w:val="000000"/>
          <w:sz w:val="32"/>
          <w:szCs w:val="32"/>
        </w:rPr>
        <w:t>6.卫生健康支出（类）行政事业单位医疗（款）公务员医疗补助（项）</w:t>
      </w:r>
      <w:r>
        <w:rPr>
          <w:rStyle w:val="15"/>
          <w:rFonts w:hint="eastAsia" w:ascii="仿宋" w:eastAsia="仿宋"/>
          <w:bCs/>
          <w:color w:val="000000"/>
          <w:sz w:val="32"/>
          <w:szCs w:val="32"/>
          <w:lang w:eastAsia="zh-CN"/>
        </w:rPr>
        <w:t>：</w:t>
      </w:r>
      <w:r>
        <w:rPr>
          <w:rStyle w:val="15"/>
          <w:rFonts w:hint="eastAsia" w:ascii="仿宋" w:eastAsia="仿宋"/>
          <w:b w:val="0"/>
          <w:bCs/>
          <w:color w:val="000000"/>
          <w:sz w:val="32"/>
          <w:szCs w:val="32"/>
        </w:rPr>
        <w:t>支出决算为1.7万元，完成预算100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spacing w:line="600" w:lineRule="exact"/>
        <w:ind w:firstLine="643" w:firstLineChars="200"/>
        <w:rPr>
          <w:rStyle w:val="15"/>
          <w:rFonts w:ascii="仿宋" w:eastAsia="仿宋"/>
          <w:b w:val="0"/>
          <w:bCs/>
          <w:color w:val="000000"/>
          <w:sz w:val="32"/>
          <w:szCs w:val="32"/>
        </w:rPr>
      </w:pPr>
      <w:bookmarkStart w:id="40" w:name="_Toc15377214"/>
      <w:bookmarkStart w:id="41" w:name="_Toc15396608"/>
      <w:r>
        <w:rPr>
          <w:rStyle w:val="15"/>
          <w:rFonts w:hint="eastAsia" w:ascii="仿宋" w:eastAsia="仿宋"/>
          <w:bCs/>
          <w:color w:val="000000"/>
          <w:sz w:val="32"/>
          <w:szCs w:val="32"/>
        </w:rPr>
        <w:t>7.住房保障（类）住房改革支出（款）住房公积金（项）：</w:t>
      </w:r>
      <w:r>
        <w:rPr>
          <w:rStyle w:val="15"/>
          <w:rFonts w:hint="eastAsia" w:ascii="仿宋" w:eastAsia="仿宋"/>
          <w:b w:val="0"/>
          <w:bCs/>
          <w:color w:val="000000"/>
          <w:sz w:val="32"/>
          <w:szCs w:val="32"/>
        </w:rPr>
        <w:t>支出决算为12.8万元，完成预算100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，决算数等于预算数。</w:t>
      </w:r>
    </w:p>
    <w:p>
      <w:pPr>
        <w:pStyle w:val="2"/>
        <w:ind w:left="840" w:hanging="420"/>
      </w:pPr>
    </w:p>
    <w:p>
      <w:pPr>
        <w:spacing w:line="600" w:lineRule="exact"/>
        <w:ind w:firstLine="640"/>
        <w:rPr>
          <w:rStyle w:val="18"/>
        </w:rPr>
      </w:pPr>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bookmarkEnd w:id="40"/>
      <w:bookmarkEnd w:id="41"/>
      <w:r>
        <w:rPr>
          <w:rStyle w:val="18"/>
          <w:rFonts w:ascii="黑体" w:eastAsia="黑体"/>
          <w:b w:val="0"/>
        </w:rPr>
        <w:tab/>
      </w:r>
    </w:p>
    <w:p>
      <w:pPr>
        <w:spacing w:line="600" w:lineRule="exact"/>
        <w:ind w:firstLine="645"/>
        <w:rPr>
          <w:rFonts w:ascii="仿宋" w:eastAsia="仿宋"/>
          <w:color w:val="000000"/>
          <w:sz w:val="32"/>
          <w:szCs w:val="32"/>
        </w:rPr>
      </w:pPr>
      <w:r>
        <w:rPr>
          <w:rFonts w:hint="eastAsia" w:ascii="仿宋" w:eastAsia="仿宋"/>
          <w:color w:val="000000"/>
          <w:sz w:val="32"/>
          <w:szCs w:val="32"/>
        </w:rPr>
        <w:t>2020年一般公共预算财政拨款基本支出172.21万元，其中：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132.3万元，主要包括：基本工资36万元、津贴补贴49.85万元、奖金2.9万元、机关事业单位基本养老保险缴费14.12万元、职业年金缴费7.1万元、职工基本医疗保险缴费6.2万元、公务员医疗补助缴费1.7万元、其他社会保障缴费1.63万元、住房公积金12.8万元等。</w:t>
      </w:r>
      <w:r>
        <w:rPr>
          <w:rFonts w:ascii="仿宋" w:eastAsia="仿宋"/>
          <w:color w:val="000000"/>
          <w:sz w:val="32"/>
          <w:szCs w:val="32"/>
        </w:rPr>
        <w:br w:type="textWrapping"/>
      </w:r>
      <w:r>
        <w:rPr>
          <w:rFonts w:hint="eastAsia" w:ascii="仿宋" w:eastAsia="仿宋"/>
          <w:color w:val="000000"/>
          <w:sz w:val="32"/>
          <w:szCs w:val="32"/>
        </w:rPr>
        <w:t>　　公用经费9.97万元，主要包括：办公费2万元、电费0.1万元、邮电费0.6万元、取暖费0.3万元、差旅费2.58万元、公务接待费0.19万元、公务用车运行维护费4.2万元等。</w:t>
      </w:r>
    </w:p>
    <w:p>
      <w:pPr>
        <w:pStyle w:val="2"/>
        <w:ind w:left="1059" w:leftChars="352" w:hanging="320" w:hangingChars="100"/>
      </w:pPr>
      <w:r>
        <w:rPr>
          <w:rFonts w:hint="eastAsia" w:ascii="仿宋" w:eastAsia="仿宋"/>
          <w:color w:val="000000"/>
          <w:sz w:val="32"/>
          <w:szCs w:val="32"/>
        </w:rPr>
        <w:t>项目支出5.48万元。</w:t>
      </w:r>
    </w:p>
    <w:p>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对个人和家庭的补助支出（奖励金）24.44万元。</w:t>
      </w:r>
    </w:p>
    <w:p>
      <w:pPr>
        <w:pStyle w:val="2"/>
        <w:ind w:left="840" w:hanging="420"/>
      </w:pPr>
    </w:p>
    <w:p>
      <w:pPr>
        <w:spacing w:line="600" w:lineRule="exact"/>
        <w:ind w:firstLine="640" w:firstLineChars="200"/>
        <w:outlineLvl w:val="1"/>
        <w:rPr>
          <w:rStyle w:val="18"/>
          <w:rFonts w:ascii="黑体" w:eastAsia="黑体"/>
          <w:b w:val="0"/>
        </w:rPr>
      </w:pPr>
      <w:bookmarkStart w:id="42" w:name="_Toc15396609"/>
      <w:bookmarkStart w:id="43" w:name="_Toc15377215"/>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hint="eastAsia" w:ascii="仿宋" w:eastAsia="仿宋"/>
          <w:color w:val="000000"/>
          <w:sz w:val="32"/>
          <w:szCs w:val="32"/>
        </w:rPr>
        <w:t>2020年“三公”经费财政拨款支出决算为4.39万元，完成预算100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hint="eastAsia" w:ascii="仿宋" w:eastAsia="仿宋"/>
          <w:color w:val="000000"/>
          <w:sz w:val="32"/>
          <w:szCs w:val="32"/>
        </w:rPr>
        <w:t>2020年“三公”经费财政拨款支出</w:t>
      </w:r>
      <w:r>
        <w:rPr>
          <w:rFonts w:hint="eastAsia" w:ascii="仿宋" w:eastAsia="仿宋"/>
          <w:sz w:val="32"/>
          <w:szCs w:val="32"/>
        </w:rPr>
        <w:t>决算4.39万元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；公务用车购置及运行维护费支出决算4.2万元，占95.7</w:t>
      </w:r>
      <w:r>
        <w:rPr>
          <w:rFonts w:ascii="仿宋" w:eastAsia="仿宋"/>
          <w:color w:val="000000"/>
          <w:sz w:val="32"/>
          <w:szCs w:val="32"/>
        </w:rPr>
        <w:t>%</w:t>
      </w:r>
      <w:r>
        <w:rPr>
          <w:rFonts w:hint="eastAsia" w:ascii="仿宋" w:eastAsia="仿宋"/>
          <w:color w:val="000000"/>
          <w:sz w:val="32"/>
          <w:szCs w:val="32"/>
        </w:rPr>
        <w:t>；公务接待费支出决算0.19万元，占4.3</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4384" behindDoc="0" locked="0" layoutInCell="1" allowOverlap="1">
            <wp:simplePos x="0" y="0"/>
            <wp:positionH relativeFrom="column">
              <wp:posOffset>239395</wp:posOffset>
            </wp:positionH>
            <wp:positionV relativeFrom="paragraph">
              <wp:posOffset>147320</wp:posOffset>
            </wp:positionV>
            <wp:extent cx="5071110" cy="2353945"/>
            <wp:effectExtent l="4445" t="4445" r="10795" b="2286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numPr>
          <w:ilvl w:val="0"/>
          <w:numId w:val="3"/>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5"/>
          <w:rFonts w:hint="eastAsia" w:ascii="仿宋" w:eastAsia="仿宋"/>
          <w:b w:val="0"/>
          <w:bCs/>
          <w:color w:val="000000"/>
          <w:sz w:val="32"/>
          <w:szCs w:val="32"/>
        </w:rPr>
        <w:t>完成预算0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sz w:val="32"/>
          <w:szCs w:val="32"/>
        </w:rPr>
        <w:t>全年安排因公出国（境）团组0次，出国（境）0人。因</w:t>
      </w:r>
      <w:r>
        <w:rPr>
          <w:rFonts w:hint="eastAsia" w:ascii="仿宋_GB2312" w:eastAsia="仿宋_GB2312"/>
          <w:color w:val="000000"/>
          <w:sz w:val="32"/>
          <w:szCs w:val="32"/>
        </w:rPr>
        <w:t>公出国（境）支出决算比</w:t>
      </w:r>
      <w:r>
        <w:rPr>
          <w:rFonts w:ascii="仿宋_GB2312" w:eastAsia="仿宋_GB2312"/>
          <w:color w:val="000000"/>
          <w:sz w:val="32"/>
          <w:szCs w:val="32"/>
        </w:rPr>
        <w:t>20</w:t>
      </w:r>
      <w:r>
        <w:rPr>
          <w:rFonts w:hint="eastAsia" w:ascii="仿宋_GB2312" w:eastAsia="仿宋_GB2312"/>
          <w:color w:val="000000"/>
          <w:sz w:val="32"/>
          <w:szCs w:val="32"/>
        </w:rPr>
        <w:t>19年</w:t>
      </w:r>
      <w:r>
        <w:rPr>
          <w:rFonts w:hint="eastAsia" w:ascii="仿宋_GB2312" w:eastAsia="仿宋_GB2312" w:cs="仿宋"/>
          <w:color w:val="000000"/>
          <w:sz w:val="32"/>
          <w:szCs w:val="32"/>
        </w:rPr>
        <w:t>无变动，原因为我单位无出国（境）情况。</w:t>
      </w:r>
    </w:p>
    <w:p>
      <w:pPr>
        <w:numPr>
          <w:ilvl w:val="0"/>
          <w:numId w:val="3"/>
        </w:numPr>
        <w:snapToGrid w:val="0"/>
        <w:spacing w:line="520" w:lineRule="exact"/>
        <w:ind w:firstLine="640"/>
        <w:rPr>
          <w:rFonts w:ascii="仿宋_GB2312" w:eastAsia="仿宋_GB2312"/>
          <w:color w:val="000000"/>
          <w:sz w:val="32"/>
          <w:szCs w:val="32"/>
        </w:rPr>
      </w:pP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4.2万元</w:t>
      </w:r>
      <w:r>
        <w:rPr>
          <w:rFonts w:hint="eastAsia" w:ascii="仿宋_GB2312" w:eastAsia="仿宋_GB2312"/>
          <w:color w:val="000000"/>
          <w:sz w:val="32"/>
          <w:szCs w:val="32"/>
          <w:lang w:eastAsia="zh-CN"/>
        </w:rPr>
        <w:t>，</w:t>
      </w:r>
      <w:r>
        <w:rPr>
          <w:rStyle w:val="15"/>
          <w:rFonts w:hint="eastAsia" w:ascii="仿宋" w:eastAsia="仿宋"/>
          <w:b w:val="0"/>
          <w:bCs/>
          <w:color w:val="000000"/>
          <w:sz w:val="32"/>
          <w:szCs w:val="32"/>
        </w:rPr>
        <w:t>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19年减少2.3万元，</w:t>
      </w:r>
      <w:r>
        <w:rPr>
          <w:rFonts w:hint="eastAsia" w:ascii="仿宋_GB2312" w:eastAsia="仿宋_GB2312"/>
          <w:sz w:val="32"/>
          <w:szCs w:val="32"/>
        </w:rPr>
        <w:t>下降35</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s="仿宋"/>
          <w:color w:val="000000"/>
          <w:sz w:val="32"/>
          <w:szCs w:val="32"/>
        </w:rPr>
        <w:t>减少原因是</w:t>
      </w:r>
      <w:r>
        <w:rPr>
          <w:rFonts w:hint="eastAsia" w:ascii="仿宋_GB2312" w:eastAsia="仿宋_GB2312"/>
          <w:spacing w:val="-2"/>
          <w:sz w:val="32"/>
          <w:szCs w:val="32"/>
        </w:rPr>
        <w:t>当年部门预算安排项目经费较上年有所减少。</w:t>
      </w:r>
      <w:r>
        <w:rPr>
          <w:rFonts w:hint="eastAsia" w:ascii="仿宋_GB2312" w:eastAsia="仿宋_GB2312"/>
          <w:color w:val="000000"/>
          <w:sz w:val="32"/>
          <w:szCs w:val="32"/>
        </w:rPr>
        <w:t>其中：</w:t>
      </w:r>
    </w:p>
    <w:p>
      <w:pPr>
        <w:snapToGrid w:val="0"/>
        <w:spacing w:line="520" w:lineRule="exact"/>
        <w:ind w:firstLine="643" w:firstLineChars="200"/>
        <w:rPr>
          <w:rFonts w:ascii="仿宋_GB2312" w:eastAsia="仿宋_GB2312"/>
          <w:b/>
          <w:color w:val="000000"/>
          <w:sz w:val="32"/>
          <w:szCs w:val="32"/>
        </w:rPr>
      </w:pPr>
      <w:r>
        <w:rPr>
          <w:rFonts w:hint="eastAsia" w:ascii="仿宋_GB2312" w:eastAsia="仿宋_GB2312" w:cs="仿宋"/>
          <w:b/>
          <w:bCs/>
          <w:color w:val="000000"/>
          <w:sz w:val="32"/>
          <w:szCs w:val="32"/>
        </w:rPr>
        <w:t>公务用车购置支出</w:t>
      </w:r>
      <w:r>
        <w:rPr>
          <w:rFonts w:hint="eastAsia" w:ascii="仿宋_GB2312" w:eastAsia="仿宋_GB2312" w:cs="仿宋"/>
          <w:color w:val="000000"/>
          <w:sz w:val="32"/>
          <w:szCs w:val="32"/>
        </w:rPr>
        <w:t>0万元。全年按规定更新购置公</w:t>
      </w:r>
      <w:r>
        <w:rPr>
          <w:rFonts w:hint="eastAsia" w:ascii="仿宋_GB2312" w:eastAsia="仿宋_GB2312"/>
          <w:color w:val="000000"/>
          <w:sz w:val="32"/>
          <w:szCs w:val="32"/>
        </w:rPr>
        <w:t>务用车0辆。截至2020年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日，共有车辆1辆，其中：部级领导干部用车0辆、主要领导干部用车0辆、机要通信用车0辆、应急保障用车0辆、执法执勤用车0辆、特种专业技术用车0辆、离退休干部用车0辆、其他用车1辆；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rPr>
        <w:t>4.2万元。</w:t>
      </w:r>
      <w:r>
        <w:rPr>
          <w:rFonts w:hint="eastAsia" w:ascii="仿宋_GB2312" w:eastAsia="仿宋_GB2312"/>
          <w:color w:val="000000"/>
          <w:sz w:val="32"/>
          <w:szCs w:val="32"/>
        </w:rPr>
        <w:t>主要用我单位所需的公务用车燃料费、维修费、过路过桥费、保险费等支出。</w:t>
      </w:r>
    </w:p>
    <w:p>
      <w:pPr>
        <w:numPr>
          <w:ilvl w:val="0"/>
          <w:numId w:val="4"/>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0.19万元，</w:t>
      </w:r>
      <w:r>
        <w:rPr>
          <w:rStyle w:val="15"/>
          <w:rFonts w:hint="eastAsia" w:ascii="仿宋" w:eastAsia="仿宋"/>
          <w:b w:val="0"/>
          <w:bCs/>
          <w:color w:val="000000"/>
          <w:sz w:val="32"/>
          <w:szCs w:val="32"/>
        </w:rPr>
        <w:t>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s="仿宋"/>
          <w:color w:val="000000"/>
          <w:sz w:val="32"/>
          <w:szCs w:val="32"/>
        </w:rPr>
        <w:t>公务接待费0.19万元，较上年减少0.11万元，减少36.7%，减少原因是严格执行有关规定，实行“先审批，后接待”制度，严格控制接待标准和陪餐人数，降低接待费用。</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主要用于执行公务、开展业务活动开支的交通费、住宿费、用餐费等。国内公务接待6批次，30次，共计支出0.19万元。</w:t>
      </w:r>
    </w:p>
    <w:p>
      <w:pPr>
        <w:spacing w:line="600" w:lineRule="exact"/>
        <w:ind w:firstLine="640"/>
        <w:outlineLvl w:val="1"/>
        <w:rPr>
          <w:rFonts w:ascii="仿宋_GB2312" w:eastAsia="仿宋_GB2312"/>
          <w:color w:val="000000"/>
          <w:sz w:val="32"/>
          <w:szCs w:val="32"/>
        </w:rPr>
      </w:pPr>
      <w:r>
        <w:rPr>
          <w:rFonts w:hint="eastAsia" w:ascii="仿宋" w:eastAsia="仿宋"/>
          <w:bCs/>
          <w:color w:val="000000"/>
          <w:sz w:val="32"/>
          <w:szCs w:val="32"/>
        </w:rPr>
        <w:t>外事接待支出0</w:t>
      </w:r>
      <w:r>
        <w:rPr>
          <w:rFonts w:hint="eastAsia" w:ascii="仿宋_GB2312" w:eastAsia="仿宋_GB2312"/>
          <w:bCs/>
          <w:color w:val="000000"/>
          <w:sz w:val="32"/>
          <w:szCs w:val="32"/>
        </w:rPr>
        <w:t>万</w:t>
      </w:r>
      <w:r>
        <w:rPr>
          <w:rFonts w:hint="eastAsia" w:ascii="仿宋_GB2312" w:eastAsia="仿宋_GB2312"/>
          <w:color w:val="000000"/>
          <w:sz w:val="32"/>
          <w:szCs w:val="32"/>
        </w:rPr>
        <w:t>元，外事接待0批次，0人，共计支出0万元。</w:t>
      </w:r>
      <w:bookmarkStart w:id="46" w:name="_Toc15396610"/>
      <w:bookmarkStart w:id="47" w:name="_Toc15377218"/>
    </w:p>
    <w:p>
      <w:pPr>
        <w:spacing w:line="600" w:lineRule="exact"/>
        <w:ind w:firstLine="640"/>
        <w:outlineLvl w:val="1"/>
        <w:rPr>
          <w:rStyle w:val="18"/>
          <w:rFonts w:ascii="黑体" w:eastAsia="黑体"/>
        </w:rPr>
      </w:pPr>
      <w:r>
        <w:rPr>
          <w:rFonts w:hint="eastAsia" w:ascii="黑体" w:eastAsia="黑体"/>
          <w:color w:val="000000"/>
          <w:sz w:val="32"/>
          <w:szCs w:val="32"/>
        </w:rPr>
        <w:t>八、</w:t>
      </w:r>
      <w:r>
        <w:rPr>
          <w:rStyle w:val="18"/>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2020年政府性基金预算拨款支出0万元。</w:t>
      </w:r>
    </w:p>
    <w:p>
      <w:pPr>
        <w:numPr>
          <w:ilvl w:val="0"/>
          <w:numId w:val="5"/>
        </w:numPr>
        <w:spacing w:line="600" w:lineRule="exact"/>
        <w:ind w:firstLine="640"/>
        <w:outlineLvl w:val="1"/>
        <w:rPr>
          <w:rStyle w:val="18"/>
          <w:rFonts w:ascii="黑体" w:eastAsia="黑体"/>
          <w:b w:val="0"/>
        </w:rPr>
      </w:pPr>
      <w:bookmarkStart w:id="48" w:name="_Toc15396611"/>
      <w:bookmarkStart w:id="49" w:name="_Toc15377219"/>
      <w:r>
        <w:rPr>
          <w:rStyle w:val="18"/>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2020年国有资本经营预算拨款支出0万元。</w:t>
      </w:r>
    </w:p>
    <w:p>
      <w:pPr>
        <w:pStyle w:val="2"/>
        <w:ind w:left="840" w:hanging="420"/>
      </w:pPr>
    </w:p>
    <w:p>
      <w:pPr>
        <w:pStyle w:val="23"/>
        <w:numPr>
          <w:ilvl w:val="0"/>
          <w:numId w:val="6"/>
        </w:numPr>
        <w:spacing w:line="580" w:lineRule="exact"/>
        <w:ind w:firstLineChars="0"/>
        <w:rPr>
          <w:rStyle w:val="18"/>
          <w:rFonts w:ascii="黑体" w:eastAsia="黑体"/>
          <w:b w:val="0"/>
        </w:rPr>
      </w:pPr>
      <w:r>
        <w:rPr>
          <w:rStyle w:val="18"/>
          <w:rFonts w:hint="eastAsia" w:ascii="黑体" w:eastAsia="黑体"/>
          <w:b w:val="0"/>
        </w:rPr>
        <w:t>预算绩效情况说明</w:t>
      </w:r>
    </w:p>
    <w:p>
      <w:pPr>
        <w:numPr>
          <w:ilvl w:val="0"/>
          <w:numId w:val="7"/>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按照预算绩效管理要求，本部门对2020年一般公共预算项目支出开展了绩效目标管理，编制绩效目标，涉及财政资金172.21万元，覆盖率达到100%。</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本部门按要求对2020年部门整体支出开展绩效自评，</w:t>
      </w:r>
      <w:r>
        <w:rPr>
          <w:rFonts w:hint="eastAsia" w:ascii="仿宋_GB2312" w:eastAsia="仿宋_GB2312"/>
          <w:sz w:val="32"/>
          <w:szCs w:val="32"/>
        </w:rPr>
        <w:t>经全面综合评价，我单位预算支出绩效自评得分85</w:t>
      </w:r>
      <w:r>
        <w:rPr>
          <w:rFonts w:hint="eastAsia" w:ascii="仿宋_GB2312" w:eastAsia="仿宋_GB2312"/>
          <w:color w:val="000000"/>
          <w:sz w:val="32"/>
          <w:szCs w:val="32"/>
        </w:rPr>
        <w:t>分</w:t>
      </w:r>
      <w:r>
        <w:rPr>
          <w:rFonts w:hint="eastAsia" w:ascii="仿宋_GB2312" w:eastAsia="仿宋_GB2312"/>
          <w:sz w:val="32"/>
          <w:szCs w:val="32"/>
        </w:rPr>
        <w:t>。我单位深入贯彻落实十九大关于“全面实施绩效管理”的要求，努力提升本单位绩效预算管理业务水平。主动公开绩效结果，加大资金使用效率，提升政府管理水平。及时告知各科室部门预算及项目支出进度</w:t>
      </w:r>
      <w:r>
        <w:rPr>
          <w:rFonts w:hint="eastAsia" w:ascii="仿宋_GB2312" w:eastAsia="仿宋_GB2312" w:cs="仿宋_GB2312"/>
          <w:sz w:val="32"/>
          <w:szCs w:val="32"/>
        </w:rPr>
        <w:t>。</w:t>
      </w:r>
    </w:p>
    <w:p>
      <w:pPr>
        <w:spacing w:line="600" w:lineRule="atLeast"/>
        <w:ind w:firstLine="643" w:firstLineChars="200"/>
        <w:rPr>
          <w:rFonts w:ascii="Calibri" w:hAnsi="Calibri"/>
        </w:rPr>
      </w:pPr>
      <w:r>
        <w:rPr>
          <w:rFonts w:hint="eastAsia" w:ascii="仿宋" w:eastAsia="仿宋" w:cs="楷体_GB2312"/>
          <w:b/>
          <w:bCs/>
          <w:sz w:val="32"/>
          <w:szCs w:val="32"/>
        </w:rPr>
        <w:t>（二）项目绩效目标完成情况。</w:t>
      </w:r>
      <w:r>
        <w:rPr>
          <w:rFonts w:hint="eastAsia" w:ascii="楷体_GB2312" w:eastAsia="楷体_GB2312" w:cs="楷体_GB2312"/>
          <w:b/>
          <w:bCs/>
          <w:sz w:val="32"/>
          <w:szCs w:val="32"/>
        </w:rPr>
        <w:br w:type="textWrapping"/>
      </w:r>
      <w:r>
        <w:rPr>
          <w:rFonts w:hint="eastAsia" w:ascii="仿宋_GB2312" w:eastAsia="仿宋_GB2312" w:cs="仿宋_GB2312"/>
          <w:sz w:val="32"/>
          <w:szCs w:val="32"/>
        </w:rPr>
        <w:t xml:space="preserve">    本部门在2020年度部门决算中</w:t>
      </w:r>
      <w:r>
        <w:rPr>
          <w:rFonts w:hint="eastAsia" w:ascii="仿宋_GB2312" w:eastAsia="仿宋_GB2312"/>
          <w:sz w:val="32"/>
          <w:szCs w:val="32"/>
        </w:rPr>
        <w:t>部门预算执行情况良好，无不良记录及违规违纪行为，预算支出和决算支出情况相符。</w:t>
      </w:r>
    </w:p>
    <w:p>
      <w:pPr>
        <w:tabs>
          <w:tab w:val="left" w:pos="0"/>
        </w:tabs>
        <w:spacing w:line="580" w:lineRule="exact"/>
        <w:ind w:firstLine="321" w:firstLineChars="100"/>
        <w:rPr>
          <w:rFonts w:ascii="仿宋" w:eastAsia="仿宋" w:cs="仿宋_GB2312"/>
          <w:b/>
          <w:bCs/>
          <w:sz w:val="32"/>
          <w:szCs w:val="32"/>
        </w:rPr>
      </w:pPr>
      <w:r>
        <w:rPr>
          <w:rFonts w:hint="eastAsia" w:ascii="仿宋" w:eastAsia="仿宋" w:cs="楷体_GB2312"/>
          <w:b/>
          <w:bCs/>
          <w:sz w:val="32"/>
          <w:szCs w:val="32"/>
        </w:rPr>
        <w:t>（三）部门开展绩效评价结果。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本部门按要求对2020年部门整体支出绩效评价情况开展自评，</w:t>
      </w:r>
      <w:r>
        <w:rPr>
          <w:rFonts w:hint="eastAsia" w:ascii="仿宋_GB2312" w:eastAsia="仿宋_GB2312"/>
          <w:sz w:val="32"/>
          <w:szCs w:val="32"/>
        </w:rPr>
        <w:t>《阿坝州人民政府办公室2020年部门预算整体支出绩效评价报告》</w:t>
      </w:r>
      <w:r>
        <w:rPr>
          <w:rFonts w:hint="eastAsia" w:ascii="仿宋_GB2312" w:eastAsia="仿宋_GB2312" w:cs="仿宋_GB2312"/>
          <w:sz w:val="32"/>
          <w:szCs w:val="32"/>
        </w:rPr>
        <w:t>见附件。</w:t>
      </w:r>
    </w:p>
    <w:p>
      <w:pPr>
        <w:pStyle w:val="2"/>
        <w:ind w:left="840" w:hanging="420"/>
      </w:pPr>
    </w:p>
    <w:p>
      <w:pPr>
        <w:spacing w:line="600" w:lineRule="exact"/>
        <w:ind w:firstLine="640" w:firstLineChars="200"/>
        <w:outlineLvl w:val="1"/>
        <w:rPr>
          <w:rStyle w:val="18"/>
          <w:rFonts w:ascii="黑体" w:eastAsia="黑体"/>
        </w:rPr>
      </w:pPr>
      <w:bookmarkStart w:id="50" w:name="_Toc15396612"/>
      <w:bookmarkStart w:id="51" w:name="_Toc15377221"/>
      <w:r>
        <w:rPr>
          <w:rFonts w:hint="eastAsia" w:ascii="黑体" w:eastAsia="黑体"/>
          <w:color w:val="000000"/>
          <w:sz w:val="32"/>
          <w:szCs w:val="32"/>
        </w:rPr>
        <w:t>十</w:t>
      </w:r>
      <w:r>
        <w:rPr>
          <w:rStyle w:val="18"/>
          <w:rFonts w:hint="eastAsia" w:ascii="黑体" w:eastAsia="黑体"/>
        </w:rPr>
        <w:t>一、</w:t>
      </w:r>
      <w:r>
        <w:rPr>
          <w:rStyle w:val="18"/>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2020年运行经费支出9.97万元，比</w:t>
      </w:r>
      <w:r>
        <w:rPr>
          <w:rFonts w:ascii="仿宋_GB2312" w:eastAsia="仿宋_GB2312"/>
          <w:color w:val="000000"/>
          <w:sz w:val="32"/>
          <w:szCs w:val="32"/>
        </w:rPr>
        <w:t>201</w:t>
      </w:r>
      <w:r>
        <w:rPr>
          <w:rFonts w:hint="eastAsia" w:ascii="仿宋_GB2312" w:eastAsia="仿宋_GB2312"/>
          <w:color w:val="000000"/>
          <w:sz w:val="32"/>
          <w:szCs w:val="32"/>
        </w:rPr>
        <w:t>9年有所减少。</w:t>
      </w:r>
      <w:r>
        <w:rPr>
          <w:rFonts w:hint="eastAsia" w:ascii="仿宋_GB2312" w:eastAsia="仿宋_GB2312"/>
          <w:sz w:val="32"/>
          <w:szCs w:val="32"/>
        </w:rPr>
        <w:t>主要原因为差旅费、公务用车运行费等经费有所减少。</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
          <w:b/>
          <w:sz w:val="32"/>
          <w:szCs w:val="32"/>
        </w:rPr>
      </w:pPr>
      <w:r>
        <w:rPr>
          <w:rFonts w:hint="eastAsia" w:ascii="仿宋_GB2312" w:eastAsia="仿宋_GB2312"/>
          <w:color w:val="000000"/>
          <w:sz w:val="32"/>
          <w:szCs w:val="32"/>
        </w:rPr>
        <w:t>2020年我单位无政府采购支出情况</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截至2020年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日，共有车辆1辆，为日常工作及其他用车。</w:t>
      </w:r>
      <w:r>
        <w:rPr>
          <w:rFonts w:hint="eastAsia" w:ascii="仿宋_GB2312" w:eastAsia="仿宋_GB2312"/>
          <w:b/>
          <w:color w:val="000000"/>
          <w:sz w:val="32"/>
          <w:szCs w:val="32"/>
        </w:rPr>
        <w:t xml:space="preserve">    </w:t>
      </w:r>
    </w:p>
    <w:p>
      <w:pPr>
        <w:numPr>
          <w:ilvl w:val="0"/>
          <w:numId w:val="8"/>
        </w:numPr>
        <w:spacing w:line="600" w:lineRule="exact"/>
        <w:ind w:firstLine="663" w:firstLineChars="150"/>
        <w:jc w:val="center"/>
        <w:outlineLvl w:val="0"/>
        <w:rPr>
          <w:rStyle w:val="17"/>
          <w:rFonts w:ascii="黑体" w:eastAsia="黑体"/>
          <w:b w:val="0"/>
        </w:rPr>
      </w:pPr>
      <w:bookmarkStart w:id="55" w:name="_Toc15396613"/>
      <w:bookmarkStart w:id="56" w:name="_Toc15377225"/>
      <w:r>
        <w:rPr>
          <w:rFonts w:hint="eastAsia" w:ascii="黑体" w:eastAsia="黑体"/>
          <w:b/>
          <w:color w:val="000000"/>
          <w:sz w:val="44"/>
          <w:szCs w:val="44"/>
        </w:rPr>
        <w:t>名</w:t>
      </w:r>
      <w:r>
        <w:rPr>
          <w:rStyle w:val="17"/>
          <w:rFonts w:hint="eastAsia" w:ascii="黑体" w:eastAsia="黑体"/>
          <w:b w:val="0"/>
        </w:rPr>
        <w:t>词解释</w:t>
      </w:r>
      <w:bookmarkEnd w:id="55"/>
      <w:bookmarkEnd w:id="56"/>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7" w:name="_Toc15396614"/>
      <w:bookmarkStart w:id="58" w:name="_Toc15377226"/>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4"/>
        <w:rPr>
          <w:rStyle w:val="17"/>
          <w:rFonts w:ascii="仿宋" w:eastAsia="仿宋"/>
          <w:b w:val="0"/>
          <w:bCs w:val="0"/>
          <w:sz w:val="32"/>
          <w:szCs w:val="32"/>
        </w:rPr>
      </w:pPr>
      <w:bookmarkStart w:id="59" w:name="_Toc15396615"/>
      <w:r>
        <w:rPr>
          <w:rStyle w:val="17"/>
          <w:rFonts w:hint="eastAsia" w:ascii="仿宋" w:eastAsia="仿宋"/>
          <w:b w:val="0"/>
          <w:bCs w:val="0"/>
          <w:sz w:val="32"/>
          <w:szCs w:val="32"/>
        </w:rPr>
        <w:t>附件1</w:t>
      </w:r>
      <w:bookmarkEnd w:id="59"/>
    </w:p>
    <w:p>
      <w:pPr>
        <w:numPr>
          <w:ilvl w:val="0"/>
          <w:numId w:val="8"/>
        </w:numPr>
        <w:spacing w:line="600" w:lineRule="exact"/>
        <w:ind w:firstLine="660" w:firstLineChars="150"/>
        <w:jc w:val="center"/>
        <w:outlineLvl w:val="0"/>
        <w:rPr>
          <w:rStyle w:val="17"/>
          <w:rFonts w:ascii="黑体" w:eastAsia="黑体"/>
          <w:b w:val="0"/>
        </w:rPr>
      </w:pPr>
      <w:r>
        <w:rPr>
          <w:rStyle w:val="17"/>
          <w:rFonts w:hint="eastAsia" w:ascii="黑体" w:eastAsia="黑体"/>
          <w:b w:val="0"/>
        </w:rPr>
        <w:t>附件</w:t>
      </w:r>
      <w:bookmarkEnd w:id="57"/>
    </w:p>
    <w:p>
      <w:pPr>
        <w:pStyle w:val="2"/>
        <w:ind w:left="840" w:hanging="420"/>
      </w:pPr>
    </w:p>
    <w:bookmarkEnd w:id="58"/>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金川县信访局</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局2020年部门整体支出绩效报告</w:t>
      </w:r>
    </w:p>
    <w:p>
      <w:pPr>
        <w:spacing w:line="560" w:lineRule="exact"/>
        <w:jc w:val="center"/>
        <w:rPr>
          <w:rFonts w:ascii="方正小标宋简体" w:eastAsia="方正小标宋简体"/>
          <w:sz w:val="44"/>
          <w:szCs w:val="44"/>
        </w:rPr>
      </w:pPr>
    </w:p>
    <w:p>
      <w:pPr>
        <w:widowControl/>
        <w:adjustRightInd w:val="0"/>
        <w:snapToGrid w:val="0"/>
        <w:spacing w:line="560" w:lineRule="exact"/>
        <w:ind w:firstLine="720"/>
        <w:jc w:val="left"/>
        <w:rPr>
          <w:rFonts w:ascii="仿宋_GB2312" w:hAnsi="仿宋_GB2312" w:eastAsia="仿宋_GB2312" w:cs="仿宋_GB2312"/>
          <w:b/>
          <w:color w:val="000000"/>
          <w:kern w:val="0"/>
          <w:sz w:val="32"/>
          <w:lang w:val="zh-CN"/>
        </w:rPr>
      </w:pPr>
      <w:r>
        <w:rPr>
          <w:rFonts w:hint="eastAsia" w:ascii="仿宋_GB2312" w:hAnsi="仿宋_GB2312" w:eastAsia="仿宋_GB2312" w:cs="仿宋_GB2312"/>
          <w:b/>
          <w:color w:val="000000"/>
          <w:kern w:val="0"/>
          <w:sz w:val="32"/>
        </w:rPr>
        <w:t>一、</w:t>
      </w:r>
      <w:r>
        <w:rPr>
          <w:rFonts w:hint="eastAsia" w:ascii="仿宋_GB2312" w:hAnsi="仿宋_GB2312" w:eastAsia="仿宋_GB2312" w:cs="仿宋_GB2312"/>
          <w:b/>
          <w:color w:val="000000"/>
          <w:kern w:val="0"/>
          <w:sz w:val="32"/>
          <w:lang w:val="zh-CN"/>
        </w:rPr>
        <w:t>部门（单位）概况</w:t>
      </w:r>
    </w:p>
    <w:p>
      <w:pPr>
        <w:widowControl/>
        <w:adjustRightInd w:val="0"/>
        <w:snapToGrid w:val="0"/>
        <w:spacing w:line="560" w:lineRule="exact"/>
        <w:ind w:firstLine="720"/>
        <w:jc w:val="left"/>
        <w:rPr>
          <w:rFonts w:ascii="仿宋_GB2312" w:hAnsi="宋体" w:eastAsia="仿宋_GB2312" w:cs="宋体"/>
          <w:b/>
          <w:color w:val="000000"/>
          <w:kern w:val="0"/>
          <w:sz w:val="32"/>
          <w:szCs w:val="32"/>
          <w:lang w:val="zh-CN"/>
        </w:rPr>
      </w:pPr>
      <w:r>
        <w:rPr>
          <w:rFonts w:hint="eastAsia" w:ascii="仿宋" w:eastAsia="仿宋"/>
          <w:b/>
          <w:color w:val="000000"/>
          <w:sz w:val="32"/>
          <w:szCs w:val="32"/>
          <w:lang w:val="zh-CN"/>
        </w:rPr>
        <w:t>（一）机构组成。</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rPr>
        <w:t>根据《阿坝州财政局关于开展2020年财政支出绩效评价工作的通知》（阿州财监绩〔2020〕11号）文件精神，组建金川县信访局，为正科级，列政府组阁序列，下设事业单位金川县信访接待中心。</w:t>
      </w:r>
    </w:p>
    <w:p>
      <w:pPr>
        <w:widowControl/>
        <w:adjustRightInd w:val="0"/>
        <w:snapToGrid w:val="0"/>
        <w:spacing w:line="560" w:lineRule="exact"/>
        <w:ind w:firstLine="720"/>
        <w:jc w:val="left"/>
        <w:rPr>
          <w:rFonts w:ascii="仿宋_GB2312" w:hAnsi="宋体" w:eastAsia="仿宋_GB2312" w:cs="宋体"/>
          <w:b/>
          <w:color w:val="000000"/>
          <w:kern w:val="0"/>
          <w:sz w:val="32"/>
          <w:szCs w:val="32"/>
          <w:lang w:val="zh-CN"/>
        </w:rPr>
      </w:pPr>
      <w:r>
        <w:rPr>
          <w:rFonts w:hint="eastAsia" w:ascii="仿宋_GB2312" w:hAnsi="宋体" w:eastAsia="仿宋_GB2312" w:cs="宋体"/>
          <w:b/>
          <w:color w:val="000000"/>
          <w:kern w:val="0"/>
          <w:sz w:val="32"/>
          <w:szCs w:val="32"/>
          <w:lang w:val="zh-CN"/>
        </w:rPr>
        <w:t>（二）机构职能。</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1、负责全县群众来信、来访接待工作，保证信访渠道畅通；及时</w:t>
      </w:r>
      <w:r>
        <w:rPr>
          <w:rFonts w:hint="eastAsia" w:ascii="仿宋_GB2312" w:eastAsia="仿宋_GB2312"/>
          <w:color w:val="000000"/>
          <w:sz w:val="32"/>
          <w:szCs w:val="32"/>
          <w:lang w:eastAsia="zh-CN"/>
        </w:rPr>
        <w:t>准确地向县委、县政府</w:t>
      </w:r>
      <w:r>
        <w:rPr>
          <w:rFonts w:hint="eastAsia" w:ascii="仿宋_GB2312" w:eastAsia="仿宋_GB2312"/>
          <w:color w:val="000000"/>
          <w:sz w:val="32"/>
          <w:szCs w:val="32"/>
        </w:rPr>
        <w:t>领导反映群众来信、来访提出的宝贵意见和建议；综合分析信息，开展调查研究，提出制定有关政策的建议。</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2、承办县委、县人民政府领导同志交办的信访事项，督促检查领导同志有关信访事项的落实情况。督促检查重要信访事项的处理和落实。</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3、协调处理全县辖区内的主要信访问题，协调处理群众集体上访和异常、突发信访事项，检查、指导、协调各乡镇、部门信访工作。</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4、完成</w:t>
      </w:r>
      <w:r>
        <w:rPr>
          <w:rFonts w:hint="eastAsia" w:ascii="仿宋_GB2312" w:eastAsia="仿宋_GB2312"/>
          <w:color w:val="000000"/>
          <w:sz w:val="32"/>
          <w:szCs w:val="32"/>
          <w:lang w:eastAsia="zh-CN"/>
        </w:rPr>
        <w:t>县委、县政府</w:t>
      </w:r>
      <w:r>
        <w:rPr>
          <w:rFonts w:hint="eastAsia" w:ascii="仿宋_GB2312" w:eastAsia="仿宋_GB2312"/>
          <w:color w:val="000000"/>
          <w:sz w:val="32"/>
          <w:szCs w:val="32"/>
        </w:rPr>
        <w:t>交办的其他工作。</w:t>
      </w:r>
    </w:p>
    <w:p>
      <w:pPr>
        <w:widowControl/>
        <w:adjustRightInd w:val="0"/>
        <w:snapToGrid w:val="0"/>
        <w:spacing w:line="560" w:lineRule="exact"/>
        <w:ind w:firstLine="720"/>
        <w:jc w:val="left"/>
        <w:rPr>
          <w:rFonts w:ascii="仿宋_GB2312" w:hAnsi="宋体" w:eastAsia="仿宋_GB2312" w:cs="宋体"/>
          <w:b/>
          <w:color w:val="000000"/>
          <w:kern w:val="0"/>
          <w:sz w:val="32"/>
          <w:szCs w:val="32"/>
          <w:lang w:val="zh-CN"/>
        </w:rPr>
      </w:pPr>
      <w:r>
        <w:rPr>
          <w:rFonts w:hint="eastAsia" w:ascii="仿宋_GB2312" w:hAnsi="宋体" w:eastAsia="仿宋_GB2312" w:cs="宋体"/>
          <w:b/>
          <w:color w:val="000000"/>
          <w:kern w:val="0"/>
          <w:sz w:val="32"/>
          <w:szCs w:val="32"/>
          <w:lang w:val="zh-CN"/>
        </w:rPr>
        <w:t>（三）人员情况。</w:t>
      </w:r>
    </w:p>
    <w:p>
      <w:pPr>
        <w:ind w:firstLine="640" w:firstLineChars="200"/>
        <w:rPr>
          <w:rFonts w:ascii="黑体" w:hAnsi="宋体" w:eastAsia="黑体" w:cs="宋体"/>
          <w:b/>
          <w:color w:val="000000"/>
          <w:kern w:val="0"/>
          <w:sz w:val="32"/>
          <w:szCs w:val="32"/>
        </w:rPr>
      </w:pPr>
      <w:r>
        <w:rPr>
          <w:rFonts w:hint="eastAsia" w:ascii="仿宋_GB2312" w:eastAsia="仿宋_GB2312"/>
          <w:color w:val="000000"/>
          <w:sz w:val="32"/>
          <w:szCs w:val="32"/>
        </w:rPr>
        <w:t>金川县信访局属于财政补助的一级预算机关单位，执行的是行政会计制度，编制人数为10人，实有人数9人，实有人数比上年度减少1人。退休人数0人，遗嘱0人。</w:t>
      </w:r>
    </w:p>
    <w:p>
      <w:pPr>
        <w:widowControl/>
        <w:adjustRightInd w:val="0"/>
        <w:snapToGrid w:val="0"/>
        <w:spacing w:line="560" w:lineRule="exact"/>
        <w:ind w:firstLine="720"/>
        <w:jc w:val="left"/>
        <w:rPr>
          <w:rFonts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二、部门财政资金收支情况</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w:t>
      </w:r>
      <w:r>
        <w:rPr>
          <w:rFonts w:hint="eastAsia" w:ascii="仿宋_GB2312" w:eastAsia="仿宋_GB2312"/>
          <w:color w:val="000000"/>
          <w:sz w:val="32"/>
          <w:szCs w:val="32"/>
        </w:rPr>
        <w:t>一</w:t>
      </w:r>
      <w:r>
        <w:rPr>
          <w:rFonts w:hint="eastAsia" w:ascii="仿宋_GB2312" w:eastAsia="仿宋_GB2312"/>
          <w:color w:val="000000"/>
          <w:sz w:val="32"/>
          <w:szCs w:val="32"/>
          <w:lang w:val="zh-CN"/>
        </w:rPr>
        <w:t>）2020年金川县信访局本年收入合计172.21万元，其中：财政拨款收入172.21万元。</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（二）部门财政资金支出情况。</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财政拨款支出172.21万元，各项支出占总支出的比重：行政运行占比72.49%；社会保障和就业支出占比12.3%；医疗卫生与计划生育支出占比4.58%；住房保障支出占比7.4%；项目支出占3.2%。</w:t>
      </w:r>
    </w:p>
    <w:p>
      <w:pPr>
        <w:widowControl/>
        <w:adjustRightInd w:val="0"/>
        <w:snapToGrid w:val="0"/>
        <w:spacing w:line="560" w:lineRule="exact"/>
        <w:ind w:firstLine="720"/>
        <w:jc w:val="left"/>
        <w:rPr>
          <w:rFonts w:ascii="仿宋_GB2312" w:hAnsi="仿宋_GB2312" w:eastAsia="仿宋_GB2312" w:cs="仿宋_GB2312"/>
          <w:b/>
          <w:color w:val="000000"/>
          <w:kern w:val="0"/>
          <w:sz w:val="32"/>
        </w:rPr>
      </w:pPr>
      <w:r>
        <w:rPr>
          <w:rFonts w:hint="eastAsia" w:ascii="仿宋_GB2312" w:hAnsi="仿宋_GB2312" w:eastAsia="仿宋_GB2312" w:cs="仿宋_GB2312"/>
          <w:b/>
          <w:color w:val="000000"/>
          <w:kern w:val="0"/>
          <w:sz w:val="32"/>
        </w:rPr>
        <w:t>三、部门财政支出管理情况</w:t>
      </w:r>
    </w:p>
    <w:p>
      <w:pPr>
        <w:widowControl/>
        <w:adjustRightInd w:val="0"/>
        <w:snapToGrid w:val="0"/>
        <w:spacing w:line="480" w:lineRule="exact"/>
        <w:ind w:firstLine="72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（一）预算编制情况。</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严格按照县级部门预算编制通知和有关要求，按时完成基础库、项目库报送工作，按时完成2021年预算编制工作，并按时提交部门预算草案。按规定编制政府采购预算，预算编制全面、科学。按时完成基础库、项目库报送工作；预算编制准确，预工委审查后提出未提出修改的问题；部门整体绩效目标能完整、合理反映部门年度职责履行情况；对于州级转移支付资金及时下达分解，并按项目进度支付资金。</w:t>
      </w:r>
    </w:p>
    <w:p>
      <w:pPr>
        <w:ind w:firstLine="480" w:firstLineChars="150"/>
        <w:rPr>
          <w:rFonts w:ascii="仿宋_GB2312" w:eastAsia="仿宋_GB2312"/>
          <w:color w:val="000000"/>
          <w:kern w:val="0"/>
          <w:sz w:val="32"/>
          <w:szCs w:val="32"/>
          <w:lang w:val="zh-CN"/>
        </w:rPr>
      </w:pPr>
      <w:r>
        <w:rPr>
          <w:rFonts w:hint="eastAsia" w:ascii="仿宋_GB2312" w:eastAsia="仿宋_GB2312"/>
          <w:color w:val="333333"/>
          <w:kern w:val="0"/>
          <w:sz w:val="32"/>
          <w:szCs w:val="32"/>
        </w:rPr>
        <w:t xml:space="preserve"> </w:t>
      </w:r>
      <w:r>
        <w:rPr>
          <w:rFonts w:hint="eastAsia" w:ascii="仿宋_GB2312" w:hAnsi="楷体" w:eastAsia="仿宋_GB2312"/>
          <w:color w:val="000000"/>
          <w:kern w:val="0"/>
          <w:sz w:val="32"/>
          <w:szCs w:val="32"/>
          <w:lang w:val="zh-CN"/>
        </w:rPr>
        <w:t>（二）执行管理情况。</w:t>
      </w:r>
      <w:r>
        <w:rPr>
          <w:rFonts w:hint="eastAsia" w:ascii="仿宋_GB2312" w:eastAsia="仿宋_GB2312"/>
          <w:color w:val="000000"/>
          <w:kern w:val="0"/>
          <w:sz w:val="32"/>
          <w:szCs w:val="32"/>
          <w:lang w:val="zh-CN"/>
        </w:rPr>
        <w:tab/>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我局2020年、2021上半年严格执行《预算法》按要求严格预算执行管理，按规定及时分配财力专项预算，按规定在一个月内分配上级专款，严格执行“三公经费”预算，无超预算支出。信访局2020年度“三公”经费财政拨款支出决算为4.39万元，完成预算100%，其中：无因公出国（境）费支出；公务用车购置及运行维护费支出决算为4.2万元，完成预算100%；公务接待费支出决算为0.19万元，完成预算100%。</w:t>
      </w:r>
    </w:p>
    <w:p>
      <w:pPr>
        <w:widowControl/>
        <w:adjustRightInd w:val="0"/>
        <w:snapToGrid w:val="0"/>
        <w:spacing w:line="480" w:lineRule="exact"/>
        <w:ind w:firstLine="640" w:firstLineChars="20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val="zh-CN"/>
        </w:rPr>
        <w:t>综合管理情况。</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zh-CN"/>
        </w:rPr>
        <w:t>资产管理、本单位固定资产按科学合理、优化资产结构勤俭节约的原则和专门的资产管理系统进行管理，</w:t>
      </w:r>
      <w:r>
        <w:rPr>
          <w:rFonts w:hint="eastAsia" w:ascii="仿宋_GB2312" w:eastAsia="仿宋_GB2312"/>
          <w:color w:val="000000"/>
          <w:sz w:val="32"/>
          <w:szCs w:val="32"/>
        </w:rPr>
        <w:t>固定资产账面数据和固定资产管理系统数据一致。</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rPr>
        <w:t>2、</w:t>
      </w:r>
      <w:r>
        <w:rPr>
          <w:rFonts w:hint="eastAsia" w:ascii="仿宋_GB2312" w:eastAsia="仿宋_GB2312"/>
          <w:color w:val="000000"/>
          <w:sz w:val="32"/>
          <w:szCs w:val="32"/>
          <w:lang w:val="zh-CN"/>
        </w:rPr>
        <w:t>内控制度管理：为进一步做好行政事业单位内部控制基础性工作，结合我部实际制定以下制度：</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1采购管理制度、2合同管理制度、3建设项目管理制度、4收支业务管理制度、5预算管理制度、6资产管理制度。</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信息公开：预算决算公开按财政局的要求在收到财政批复后20个工作日在金川县政府中心的信息网站进行公开。</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绩效评价及财政监督情况：按金财</w:t>
      </w:r>
      <w:r>
        <w:rPr>
          <w:rFonts w:hint="eastAsia" w:ascii="仿宋_GB2312" w:eastAsia="仿宋_GB2312"/>
          <w:color w:val="000000"/>
          <w:sz w:val="32"/>
          <w:szCs w:val="32"/>
          <w:lang w:eastAsia="zh-CN"/>
        </w:rPr>
        <w:t>〔</w:t>
      </w:r>
      <w:bookmarkStart w:id="74" w:name="_GoBack"/>
      <w:bookmarkEnd w:id="74"/>
      <w:r>
        <w:rPr>
          <w:rFonts w:hint="eastAsia" w:ascii="仿宋_GB2312" w:eastAsia="仿宋_GB2312"/>
          <w:color w:val="000000"/>
          <w:sz w:val="32"/>
          <w:szCs w:val="32"/>
        </w:rPr>
        <w:t>2020</w:t>
      </w:r>
      <w:r>
        <w:rPr>
          <w:rFonts w:hint="eastAsia" w:ascii="仿宋_GB2312" w:eastAsia="仿宋_GB2312"/>
          <w:color w:val="000000"/>
          <w:sz w:val="32"/>
          <w:szCs w:val="32"/>
          <w:lang w:eastAsia="zh-CN"/>
        </w:rPr>
        <w:t>〕</w:t>
      </w:r>
      <w:r>
        <w:rPr>
          <w:rFonts w:hint="eastAsia" w:ascii="仿宋_GB2312" w:eastAsia="仿宋_GB2312"/>
          <w:color w:val="000000"/>
          <w:sz w:val="32"/>
          <w:szCs w:val="32"/>
        </w:rPr>
        <w:t>108号文件附件5部门支出绩效评价指标体系进行单位自评，按财政要求收支并接受财政的监督管理。</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w:t>
      </w:r>
      <w:r>
        <w:rPr>
          <w:rFonts w:hint="eastAsia" w:ascii="仿宋_GB2312" w:eastAsia="仿宋_GB2312"/>
          <w:color w:val="000000"/>
          <w:sz w:val="32"/>
          <w:szCs w:val="32"/>
        </w:rPr>
        <w:t>四</w:t>
      </w:r>
      <w:r>
        <w:rPr>
          <w:rFonts w:hint="eastAsia" w:ascii="仿宋_GB2312" w:eastAsia="仿宋_GB2312"/>
          <w:color w:val="000000"/>
          <w:sz w:val="32"/>
          <w:szCs w:val="32"/>
          <w:lang w:val="zh-CN"/>
        </w:rPr>
        <w:t>）整体绩效。</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我单位财务管理制度健全，执行制度严格合规，会计核算符合相关规定，资金专款专用，资金支付依据和开支标准合法合规，严格执行政府采购。</w:t>
      </w:r>
    </w:p>
    <w:p>
      <w:pPr>
        <w:widowControl/>
        <w:adjustRightInd w:val="0"/>
        <w:snapToGrid w:val="0"/>
        <w:spacing w:line="560" w:lineRule="exact"/>
        <w:ind w:firstLine="720"/>
        <w:jc w:val="left"/>
        <w:rPr>
          <w:rFonts w:ascii="仿宋_GB2312" w:hAnsi="仿宋_GB2312" w:eastAsia="仿宋_GB2312" w:cs="仿宋_GB2312"/>
          <w:b/>
          <w:color w:val="000000"/>
          <w:kern w:val="0"/>
          <w:sz w:val="32"/>
        </w:rPr>
      </w:pPr>
      <w:r>
        <w:rPr>
          <w:rFonts w:hint="eastAsia" w:ascii="仿宋_GB2312" w:hAnsi="仿宋_GB2312" w:eastAsia="仿宋_GB2312" w:cs="仿宋_GB2312"/>
          <w:b/>
          <w:color w:val="000000"/>
          <w:kern w:val="0"/>
          <w:sz w:val="32"/>
        </w:rPr>
        <w:t>四、评价结论及建议</w:t>
      </w:r>
    </w:p>
    <w:p>
      <w:pPr>
        <w:widowControl/>
        <w:adjustRightInd w:val="0"/>
        <w:snapToGrid w:val="0"/>
        <w:spacing w:line="480" w:lineRule="exact"/>
        <w:ind w:firstLine="72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（一）评价结论</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 xml:space="preserve"> 我单位系按年末人数编制部门预算，并严格按照批复的部门预算执行，未经批准没有随意调整。不存在超预算、超标准、超范围列支费用；不存在虚报、冒领、截留、挪用财政资金现象；不存在未经批准购建、出租、出借或处置资产，资产账实相符；全力推行公务卡强制结算。</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我单位无收费项目，无其他行政事业性收费，故无预算外资金。自侦案件暂扣款根据案件实际情况随案移送、上缴国库、退还当事人。</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我单位严格按照《行政单位会计制度》、《行政单位财务规则》财政部等有关规定执行，所有经费开支都坚持做到了“经手人提供原始凭证、填制相关单据，相关人员证明，财务初审，分管局长复审，局长终审”的签字制度。大额开支提交局党组集体研究决定。</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（二）存在问题。</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预算编制还需进一步细化，需要加强内部控制制度的执行。</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（三）改进建议。</w:t>
      </w:r>
    </w:p>
    <w:p>
      <w:pPr>
        <w:ind w:firstLine="640" w:firstLineChars="200"/>
        <w:rPr>
          <w:rFonts w:ascii="仿宋_GB2312" w:eastAsia="仿宋_GB2312"/>
          <w:color w:val="000000"/>
          <w:sz w:val="32"/>
          <w:szCs w:val="32"/>
          <w:lang w:val="zh-CN"/>
        </w:rPr>
      </w:pPr>
      <w:r>
        <w:rPr>
          <w:rFonts w:hint="eastAsia" w:ascii="仿宋_GB2312" w:eastAsia="仿宋_GB2312"/>
          <w:color w:val="000000"/>
          <w:sz w:val="32"/>
          <w:szCs w:val="32"/>
          <w:lang w:val="zh-CN"/>
        </w:rPr>
        <w:t xml:space="preserve">1、遵循先有预算、后有支出的原则，加强财务管理和内部控制监督制度。严禁超预算和无预算安排支出，严格开支范围和标准，严格支出报销审核，不报销任何超范围、超标准的费用。 </w:t>
      </w:r>
      <w:r>
        <w:rPr>
          <w:rFonts w:hint="eastAsia" w:ascii="仿宋_GB2312" w:eastAsia="仿宋_GB2312"/>
          <w:color w:val="000000"/>
          <w:sz w:val="32"/>
          <w:szCs w:val="32"/>
          <w:lang w:val="zh-CN"/>
        </w:rPr>
        <w:br w:type="textWrapping"/>
      </w:r>
      <w:r>
        <w:rPr>
          <w:rFonts w:hint="eastAsia" w:ascii="仿宋_GB2312" w:eastAsia="仿宋_GB2312"/>
          <w:color w:val="000000"/>
          <w:sz w:val="32"/>
          <w:szCs w:val="32"/>
          <w:lang w:val="zh-CN"/>
        </w:rPr>
        <w:t xml:space="preserve">   2、严格控制“三公”经费。认真贯彻落实中央、省委省政府和县委县政府相关规定，严格“三公”经费支出的审核和审批，合理压缩“三公”经费支出。</w:t>
      </w:r>
    </w:p>
    <w:p>
      <w:pPr>
        <w:widowControl/>
        <w:adjustRightInd w:val="0"/>
        <w:snapToGrid w:val="0"/>
        <w:spacing w:line="480" w:lineRule="exact"/>
        <w:ind w:firstLine="720"/>
        <w:jc w:val="left"/>
        <w:rPr>
          <w:rFonts w:ascii="仿宋_GB2312" w:hAnsi="仿宋_GB2312" w:eastAsia="仿宋_GB2312" w:cs="仿宋_GB2312"/>
          <w:sz w:val="32"/>
          <w:szCs w:val="32"/>
          <w:lang w:val="zh-CN"/>
        </w:rPr>
      </w:pPr>
    </w:p>
    <w:p>
      <w:pPr>
        <w:ind w:firstLine="640" w:firstLineChars="200"/>
        <w:rPr>
          <w:rFonts w:ascii="仿宋_GB2312" w:hAnsi="仿宋_GB2312" w:eastAsia="仿宋_GB2312" w:cs="仿宋_GB2312"/>
          <w:sz w:val="32"/>
          <w:szCs w:val="32"/>
          <w:lang w:val="zh-CN"/>
        </w:rPr>
      </w:pPr>
    </w:p>
    <w:p>
      <w:pPr>
        <w:widowControl/>
        <w:adjustRightInd w:val="0"/>
        <w:snapToGrid w:val="0"/>
        <w:spacing w:line="480" w:lineRule="exact"/>
        <w:ind w:firstLine="720"/>
        <w:jc w:val="left"/>
        <w:rPr>
          <w:rFonts w:ascii="仿宋_GB2312" w:hAnsi="仿宋_GB2312" w:eastAsia="仿宋_GB2312" w:cs="仿宋_GB2312"/>
          <w:sz w:val="32"/>
          <w:szCs w:val="32"/>
          <w:lang w:val="zh-CN"/>
        </w:rPr>
      </w:pPr>
    </w:p>
    <w:p>
      <w:pPr>
        <w:widowControl/>
        <w:adjustRightInd w:val="0"/>
        <w:snapToGrid w:val="0"/>
        <w:spacing w:line="480" w:lineRule="exact"/>
        <w:ind w:firstLine="720"/>
        <w:jc w:val="left"/>
        <w:rPr>
          <w:rFonts w:ascii="仿宋_GB2312" w:hAnsi="仿宋_GB2312" w:eastAsia="仿宋_GB2312" w:cs="仿宋_GB2312"/>
          <w:sz w:val="32"/>
          <w:szCs w:val="32"/>
          <w:lang w:val="zh-CN"/>
        </w:rPr>
      </w:pPr>
    </w:p>
    <w:p>
      <w:pPr>
        <w:pStyle w:val="2"/>
        <w:ind w:left="1060" w:hanging="640"/>
        <w:rPr>
          <w:rFonts w:ascii="仿宋_GB2312" w:eastAsia="仿宋_GB2312"/>
          <w:sz w:val="32"/>
          <w:szCs w:val="32"/>
        </w:rPr>
      </w:pPr>
    </w:p>
    <w:p>
      <w:pPr>
        <w:rPr>
          <w:rFonts w:ascii="仿宋_GB2312" w:eastAsia="仿宋_GB2312"/>
          <w:sz w:val="32"/>
          <w:szCs w:val="32"/>
        </w:rPr>
      </w:pPr>
    </w:p>
    <w:p>
      <w:pPr>
        <w:pStyle w:val="2"/>
        <w:ind w:left="1060" w:hanging="640"/>
        <w:rPr>
          <w:rFonts w:ascii="仿宋_GB2312" w:eastAsia="仿宋_GB2312"/>
          <w:sz w:val="32"/>
          <w:szCs w:val="32"/>
        </w:rPr>
      </w:pPr>
    </w:p>
    <w:p>
      <w:pPr>
        <w:rPr>
          <w:rFonts w:ascii="仿宋_GB2312" w:eastAsia="仿宋_GB2312"/>
          <w:sz w:val="32"/>
          <w:szCs w:val="32"/>
        </w:rPr>
      </w:pPr>
    </w:p>
    <w:p>
      <w:pPr>
        <w:pStyle w:val="2"/>
        <w:ind w:left="1060" w:hanging="640"/>
        <w:rPr>
          <w:rFonts w:ascii="仿宋_GB2312" w:eastAsia="仿宋_GB2312"/>
          <w:sz w:val="32"/>
          <w:szCs w:val="32"/>
        </w:rPr>
      </w:pPr>
    </w:p>
    <w:p>
      <w:pPr>
        <w:rPr>
          <w:rFonts w:ascii="仿宋_GB2312" w:eastAsia="仿宋_GB2312"/>
          <w:sz w:val="32"/>
          <w:szCs w:val="32"/>
        </w:rPr>
      </w:pPr>
    </w:p>
    <w:p>
      <w:pPr>
        <w:spacing w:line="600" w:lineRule="exact"/>
        <w:outlineLvl w:val="0"/>
        <w:rPr>
          <w:rFonts w:ascii="黑体" w:eastAsia="黑体"/>
          <w:color w:val="000000"/>
          <w:sz w:val="44"/>
          <w:szCs w:val="44"/>
        </w:rPr>
      </w:pPr>
      <w:bookmarkStart w:id="60" w:name="_Toc15396618"/>
      <w:bookmarkStart w:id="61" w:name="_Toc15396619"/>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Style w:val="17"/>
          <w:rFonts w:ascii="黑体" w:eastAsia="黑体"/>
          <w:b w:val="0"/>
        </w:rPr>
      </w:pPr>
      <w:r>
        <w:rPr>
          <w:rFonts w:hint="eastAsia" w:ascii="黑体" w:eastAsia="黑体"/>
          <w:color w:val="000000"/>
          <w:sz w:val="44"/>
          <w:szCs w:val="44"/>
        </w:rPr>
        <w:t>第</w:t>
      </w:r>
      <w:r>
        <w:rPr>
          <w:rStyle w:val="17"/>
          <w:rFonts w:hint="eastAsia" w:ascii="黑体" w:eastAsia="黑体"/>
          <w:b w:val="0"/>
        </w:rPr>
        <w:t>五部分 附表</w:t>
      </w:r>
      <w:bookmarkEnd w:id="60"/>
    </w:p>
    <w:p>
      <w:pPr>
        <w:pStyle w:val="4"/>
        <w:rPr>
          <w:rFonts w:ascii="仿宋" w:eastAsia="仿宋"/>
          <w:color w:val="000000"/>
        </w:rPr>
      </w:pPr>
      <w:r>
        <w:rPr>
          <w:rFonts w:hint="eastAsia" w:ascii="仿宋" w:eastAsia="仿宋"/>
          <w:b w:val="0"/>
          <w:color w:val="000000"/>
        </w:rPr>
        <w:t>一、收</w:t>
      </w:r>
      <w:r>
        <w:rPr>
          <w:rStyle w:val="18"/>
          <w:rFonts w:hint="eastAsia" w:ascii="仿宋" w:eastAsia="仿宋"/>
          <w:b w:val="0"/>
          <w:bCs w:val="0"/>
        </w:rPr>
        <w:t>入支出决算总表</w:t>
      </w:r>
      <w:bookmarkEnd w:id="61"/>
    </w:p>
    <w:p>
      <w:pPr>
        <w:pStyle w:val="4"/>
        <w:rPr>
          <w:rFonts w:ascii="仿宋" w:eastAsia="仿宋"/>
          <w:color w:val="000000"/>
        </w:rPr>
      </w:pPr>
      <w:bookmarkStart w:id="62" w:name="_Toc15396620"/>
      <w:r>
        <w:rPr>
          <w:rFonts w:hint="eastAsia" w:ascii="仿宋" w:eastAsia="仿宋"/>
          <w:b w:val="0"/>
          <w:color w:val="000000"/>
        </w:rPr>
        <w:t>二、收</w:t>
      </w:r>
      <w:r>
        <w:rPr>
          <w:rStyle w:val="18"/>
          <w:rFonts w:hint="eastAsia" w:ascii="仿宋" w:eastAsia="仿宋"/>
          <w:b w:val="0"/>
          <w:bCs w:val="0"/>
        </w:rPr>
        <w:t>入总表</w:t>
      </w:r>
      <w:bookmarkEnd w:id="62"/>
    </w:p>
    <w:p>
      <w:pPr>
        <w:pStyle w:val="4"/>
        <w:rPr>
          <w:rFonts w:ascii="仿宋" w:eastAsia="仿宋"/>
          <w:color w:val="000000"/>
        </w:rPr>
      </w:pPr>
      <w:bookmarkStart w:id="63" w:name="_Toc15396621"/>
      <w:r>
        <w:rPr>
          <w:rStyle w:val="18"/>
          <w:rFonts w:hint="eastAsia" w:ascii="仿宋" w:eastAsia="仿宋"/>
          <w:b w:val="0"/>
          <w:bCs w:val="0"/>
        </w:rPr>
        <w:t>三、</w:t>
      </w:r>
      <w:r>
        <w:rPr>
          <w:rFonts w:hint="eastAsia" w:ascii="仿宋" w:eastAsia="仿宋"/>
          <w:b w:val="0"/>
          <w:color w:val="000000"/>
        </w:rPr>
        <w:t>支</w:t>
      </w:r>
      <w:r>
        <w:rPr>
          <w:rStyle w:val="18"/>
          <w:rFonts w:hint="eastAsia" w:ascii="仿宋" w:eastAsia="仿宋"/>
          <w:b w:val="0"/>
          <w:bCs w:val="0"/>
        </w:rPr>
        <w:t>出总表</w:t>
      </w:r>
      <w:bookmarkEnd w:id="63"/>
    </w:p>
    <w:p>
      <w:pPr>
        <w:pStyle w:val="4"/>
        <w:rPr>
          <w:rFonts w:ascii="仿宋" w:eastAsia="仿宋"/>
          <w:b w:val="0"/>
          <w:color w:val="000000"/>
        </w:rPr>
      </w:pPr>
      <w:bookmarkStart w:id="64" w:name="_Toc15396622"/>
      <w:r>
        <w:rPr>
          <w:rStyle w:val="18"/>
          <w:rFonts w:hint="eastAsia" w:ascii="仿宋" w:eastAsia="仿宋"/>
          <w:b w:val="0"/>
          <w:bCs w:val="0"/>
        </w:rPr>
        <w:t>四、</w:t>
      </w:r>
      <w:r>
        <w:rPr>
          <w:rFonts w:hint="eastAsia" w:ascii="仿宋" w:eastAsia="仿宋"/>
          <w:b w:val="0"/>
          <w:color w:val="000000"/>
        </w:rPr>
        <w:t>财</w:t>
      </w:r>
      <w:r>
        <w:rPr>
          <w:rStyle w:val="18"/>
          <w:rFonts w:hint="eastAsia" w:ascii="仿宋" w:eastAsia="仿宋"/>
          <w:b w:val="0"/>
          <w:bCs w:val="0"/>
        </w:rPr>
        <w:t>政拨款收入支出决算总表</w:t>
      </w:r>
      <w:bookmarkEnd w:id="64"/>
    </w:p>
    <w:p>
      <w:pPr>
        <w:pStyle w:val="4"/>
        <w:rPr>
          <w:rFonts w:ascii="仿宋" w:eastAsia="仿宋"/>
          <w:color w:val="000000"/>
        </w:rPr>
      </w:pPr>
      <w:bookmarkStart w:id="65" w:name="_Toc15396623"/>
      <w:r>
        <w:rPr>
          <w:rStyle w:val="18"/>
          <w:rFonts w:hint="eastAsia" w:ascii="仿宋" w:eastAsia="仿宋"/>
          <w:b w:val="0"/>
          <w:bCs w:val="0"/>
        </w:rPr>
        <w:t>五、</w:t>
      </w:r>
      <w:r>
        <w:rPr>
          <w:rFonts w:hint="eastAsia" w:ascii="仿宋" w:eastAsia="仿宋"/>
          <w:b w:val="0"/>
          <w:color w:val="000000"/>
        </w:rPr>
        <w:t>财</w:t>
      </w:r>
      <w:r>
        <w:rPr>
          <w:rStyle w:val="18"/>
          <w:rFonts w:hint="eastAsia" w:ascii="仿宋" w:eastAsia="仿宋"/>
          <w:b w:val="0"/>
          <w:bCs w:val="0"/>
        </w:rPr>
        <w:t>政拨款支出决算明细表（政府经济分类科目）</w:t>
      </w:r>
      <w:bookmarkEnd w:id="65"/>
    </w:p>
    <w:p>
      <w:pPr>
        <w:pStyle w:val="4"/>
        <w:rPr>
          <w:rFonts w:ascii="仿宋" w:eastAsia="仿宋"/>
          <w:color w:val="000000"/>
        </w:rPr>
      </w:pPr>
      <w:bookmarkStart w:id="66" w:name="_Toc15396624"/>
      <w:r>
        <w:rPr>
          <w:rStyle w:val="18"/>
          <w:rFonts w:hint="eastAsia" w:ascii="仿宋" w:eastAsia="仿宋"/>
          <w:b w:val="0"/>
          <w:bCs w:val="0"/>
        </w:rPr>
        <w:t>六、</w:t>
      </w:r>
      <w:r>
        <w:rPr>
          <w:rFonts w:hint="eastAsia" w:ascii="仿宋" w:eastAsia="仿宋"/>
          <w:b w:val="0"/>
          <w:color w:val="000000"/>
        </w:rPr>
        <w:t>一</w:t>
      </w:r>
      <w:r>
        <w:rPr>
          <w:rStyle w:val="18"/>
          <w:rFonts w:hint="eastAsia" w:ascii="仿宋" w:eastAsia="仿宋"/>
          <w:b w:val="0"/>
          <w:bCs w:val="0"/>
        </w:rPr>
        <w:t>般公共预算财政拨款支出决算表</w:t>
      </w:r>
      <w:bookmarkEnd w:id="66"/>
    </w:p>
    <w:p>
      <w:pPr>
        <w:pStyle w:val="4"/>
        <w:rPr>
          <w:rFonts w:ascii="仿宋" w:eastAsia="仿宋"/>
          <w:color w:val="000000"/>
        </w:rPr>
      </w:pPr>
      <w:bookmarkStart w:id="67" w:name="_Toc15396625"/>
      <w:r>
        <w:rPr>
          <w:rStyle w:val="18"/>
          <w:rFonts w:hint="eastAsia" w:ascii="仿宋" w:eastAsia="仿宋"/>
          <w:b w:val="0"/>
          <w:bCs w:val="0"/>
        </w:rPr>
        <w:t>七、</w:t>
      </w:r>
      <w:r>
        <w:rPr>
          <w:rFonts w:hint="eastAsia" w:ascii="仿宋" w:eastAsia="仿宋"/>
          <w:b w:val="0"/>
          <w:color w:val="000000"/>
        </w:rPr>
        <w:t>一</w:t>
      </w:r>
      <w:r>
        <w:rPr>
          <w:rStyle w:val="18"/>
          <w:rFonts w:hint="eastAsia" w:ascii="仿宋" w:eastAsia="仿宋"/>
          <w:b w:val="0"/>
          <w:bCs w:val="0"/>
        </w:rPr>
        <w:t>般公共预算财政拨款支出决算明细表</w:t>
      </w:r>
      <w:bookmarkEnd w:id="67"/>
    </w:p>
    <w:p>
      <w:pPr>
        <w:pStyle w:val="4"/>
        <w:rPr>
          <w:rFonts w:ascii="仿宋" w:eastAsia="仿宋"/>
          <w:color w:val="000000"/>
        </w:rPr>
      </w:pPr>
      <w:bookmarkStart w:id="68" w:name="_Toc15396626"/>
      <w:r>
        <w:rPr>
          <w:rStyle w:val="18"/>
          <w:rFonts w:hint="eastAsia" w:ascii="仿宋" w:eastAsia="仿宋"/>
          <w:b w:val="0"/>
          <w:bCs w:val="0"/>
        </w:rPr>
        <w:t>八、</w:t>
      </w:r>
      <w:r>
        <w:rPr>
          <w:rFonts w:hint="eastAsia" w:ascii="仿宋" w:eastAsia="仿宋"/>
          <w:b w:val="0"/>
          <w:color w:val="000000"/>
        </w:rPr>
        <w:t>一</w:t>
      </w:r>
      <w:r>
        <w:rPr>
          <w:rStyle w:val="18"/>
          <w:rFonts w:hint="eastAsia" w:ascii="仿宋" w:eastAsia="仿宋"/>
          <w:b w:val="0"/>
          <w:bCs w:val="0"/>
        </w:rPr>
        <w:t>般公共预算财政拨款基本支出决算表</w:t>
      </w:r>
      <w:bookmarkEnd w:id="68"/>
    </w:p>
    <w:p>
      <w:pPr>
        <w:pStyle w:val="4"/>
        <w:rPr>
          <w:rFonts w:ascii="仿宋" w:eastAsia="仿宋"/>
          <w:color w:val="000000"/>
        </w:rPr>
      </w:pPr>
      <w:bookmarkStart w:id="69" w:name="_Toc15396627"/>
      <w:r>
        <w:rPr>
          <w:rStyle w:val="18"/>
          <w:rFonts w:hint="eastAsia" w:ascii="仿宋" w:eastAsia="仿宋"/>
          <w:b w:val="0"/>
          <w:bCs w:val="0"/>
        </w:rPr>
        <w:t>九、</w:t>
      </w:r>
      <w:r>
        <w:rPr>
          <w:rFonts w:hint="eastAsia" w:ascii="仿宋" w:eastAsia="仿宋"/>
          <w:b w:val="0"/>
          <w:color w:val="000000"/>
        </w:rPr>
        <w:t>一</w:t>
      </w:r>
      <w:r>
        <w:rPr>
          <w:rStyle w:val="18"/>
          <w:rFonts w:hint="eastAsia" w:ascii="仿宋" w:eastAsia="仿宋"/>
          <w:b w:val="0"/>
          <w:bCs w:val="0"/>
        </w:rPr>
        <w:t>般公共预算财政拨款项目支出决算表</w:t>
      </w:r>
      <w:bookmarkEnd w:id="69"/>
    </w:p>
    <w:p>
      <w:pPr>
        <w:pStyle w:val="4"/>
        <w:rPr>
          <w:rFonts w:ascii="仿宋" w:eastAsia="仿宋"/>
          <w:color w:val="000000"/>
        </w:rPr>
      </w:pPr>
      <w:bookmarkStart w:id="70" w:name="_Toc15396628"/>
      <w:r>
        <w:rPr>
          <w:rStyle w:val="18"/>
          <w:rFonts w:hint="eastAsia" w:ascii="仿宋" w:eastAsia="仿宋"/>
          <w:b w:val="0"/>
          <w:bCs w:val="0"/>
        </w:rPr>
        <w:t>十、</w:t>
      </w:r>
      <w:r>
        <w:rPr>
          <w:rFonts w:hint="eastAsia" w:ascii="仿宋" w:eastAsia="仿宋"/>
          <w:b w:val="0"/>
          <w:color w:val="000000"/>
        </w:rPr>
        <w:t>一</w:t>
      </w:r>
      <w:r>
        <w:rPr>
          <w:rStyle w:val="18"/>
          <w:rFonts w:hint="eastAsia" w:ascii="仿宋" w:eastAsia="仿宋"/>
          <w:b w:val="0"/>
          <w:bCs w:val="0"/>
        </w:rPr>
        <w:t>般公共预算财政拨款“三公”经费支出决算表</w:t>
      </w:r>
      <w:bookmarkEnd w:id="70"/>
    </w:p>
    <w:p>
      <w:pPr>
        <w:pStyle w:val="4"/>
        <w:rPr>
          <w:rFonts w:ascii="仿宋" w:eastAsia="仿宋"/>
          <w:color w:val="000000"/>
        </w:rPr>
      </w:pPr>
      <w:bookmarkStart w:id="71" w:name="_Toc15396629"/>
      <w:r>
        <w:rPr>
          <w:rStyle w:val="18"/>
          <w:rFonts w:hint="eastAsia" w:ascii="仿宋" w:eastAsia="仿宋"/>
          <w:b w:val="0"/>
          <w:bCs w:val="0"/>
        </w:rPr>
        <w:t>十一、</w:t>
      </w:r>
      <w:r>
        <w:rPr>
          <w:rFonts w:hint="eastAsia" w:ascii="仿宋" w:eastAsia="仿宋"/>
          <w:b w:val="0"/>
          <w:color w:val="000000"/>
        </w:rPr>
        <w:t>政</w:t>
      </w:r>
      <w:r>
        <w:rPr>
          <w:rStyle w:val="18"/>
          <w:rFonts w:hint="eastAsia" w:ascii="仿宋" w:eastAsia="仿宋"/>
          <w:b w:val="0"/>
          <w:bCs w:val="0"/>
        </w:rPr>
        <w:t>府性基金预算财政拨款收入支出决算表</w:t>
      </w:r>
      <w:bookmarkEnd w:id="71"/>
    </w:p>
    <w:p>
      <w:pPr>
        <w:pStyle w:val="4"/>
        <w:rPr>
          <w:rFonts w:ascii="仿宋" w:eastAsia="仿宋"/>
          <w:color w:val="000000"/>
        </w:rPr>
      </w:pPr>
      <w:bookmarkStart w:id="72" w:name="_Toc15396630"/>
      <w:r>
        <w:rPr>
          <w:rStyle w:val="18"/>
          <w:rFonts w:hint="eastAsia" w:ascii="仿宋" w:eastAsia="仿宋"/>
          <w:b w:val="0"/>
          <w:bCs w:val="0"/>
        </w:rPr>
        <w:t>十二、</w:t>
      </w:r>
      <w:r>
        <w:rPr>
          <w:rFonts w:hint="eastAsia" w:ascii="仿宋" w:eastAsia="仿宋"/>
          <w:b w:val="0"/>
          <w:color w:val="000000"/>
        </w:rPr>
        <w:t>政</w:t>
      </w:r>
      <w:r>
        <w:rPr>
          <w:rStyle w:val="18"/>
          <w:rFonts w:hint="eastAsia" w:ascii="仿宋" w:eastAsia="仿宋"/>
          <w:b w:val="0"/>
          <w:bCs w:val="0"/>
        </w:rPr>
        <w:t>府性基金预算财政拨款“三公”经费支出决算表</w:t>
      </w:r>
      <w:bookmarkEnd w:id="72"/>
    </w:p>
    <w:p>
      <w:pPr>
        <w:pStyle w:val="4"/>
        <w:rPr>
          <w:rFonts w:ascii="仿宋" w:eastAsia="仿宋"/>
          <w:color w:val="000000"/>
        </w:rPr>
      </w:pPr>
      <w:bookmarkStart w:id="73" w:name="_Toc15396631"/>
      <w:r>
        <w:rPr>
          <w:rStyle w:val="18"/>
          <w:rFonts w:hint="eastAsia" w:ascii="仿宋" w:eastAsia="仿宋"/>
          <w:b w:val="0"/>
          <w:bCs w:val="0"/>
        </w:rPr>
        <w:t>十三、</w:t>
      </w:r>
      <w:r>
        <w:rPr>
          <w:rFonts w:hint="eastAsia" w:ascii="仿宋" w:eastAsia="仿宋"/>
          <w:b w:val="0"/>
          <w:color w:val="000000"/>
        </w:rPr>
        <w:t>国</w:t>
      </w:r>
      <w:r>
        <w:rPr>
          <w:rStyle w:val="18"/>
          <w:rFonts w:hint="eastAsia" w:ascii="仿宋" w:eastAsia="仿宋"/>
          <w:b w:val="0"/>
          <w:bCs w:val="0"/>
        </w:rPr>
        <w:t>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20B0602030504020204"/>
    <w:charset w:val="01"/>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21</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B82C6B"/>
    <w:multiLevelType w:val="singleLevel"/>
    <w:tmpl w:val="9EB82C6B"/>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2">
    <w:nsid w:val="DE3D634D"/>
    <w:multiLevelType w:val="singleLevel"/>
    <w:tmpl w:val="DE3D634D"/>
    <w:lvl w:ilvl="0" w:tentative="0">
      <w:start w:val="2"/>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4">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5">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6">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7">
    <w:nsid w:val="78D72DD4"/>
    <w:multiLevelType w:val="singleLevel"/>
    <w:tmpl w:val="78D72DD4"/>
    <w:lvl w:ilvl="0" w:tentative="0">
      <w:start w:val="3"/>
      <w:numFmt w:val="decimal"/>
      <w:lvlText w:val="%1."/>
      <w:lvlJc w:val="left"/>
      <w:pPr>
        <w:tabs>
          <w:tab w:val="left" w:pos="0"/>
        </w:tabs>
        <w:ind w:left="0" w:firstLine="0"/>
      </w:pPr>
    </w:lvl>
  </w:abstractNum>
  <w:num w:numId="1">
    <w:abstractNumId w:val="2"/>
  </w:num>
  <w:num w:numId="2">
    <w:abstractNumId w:val="5"/>
  </w:num>
  <w:num w:numId="3">
    <w:abstractNumId w:val="0"/>
  </w:num>
  <w:num w:numId="4">
    <w:abstractNumId w:val="7"/>
  </w:num>
  <w:num w:numId="5">
    <w:abstractNumId w:val="1"/>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7370DC"/>
    <w:rsid w:val="007040B9"/>
    <w:rsid w:val="007370DC"/>
    <w:rsid w:val="00AD7879"/>
    <w:rsid w:val="00C07CB2"/>
    <w:rsid w:val="01FB46E9"/>
    <w:rsid w:val="03523EF8"/>
    <w:rsid w:val="05F62127"/>
    <w:rsid w:val="06CA56DE"/>
    <w:rsid w:val="07150510"/>
    <w:rsid w:val="08051E6F"/>
    <w:rsid w:val="084D6333"/>
    <w:rsid w:val="08E302CB"/>
    <w:rsid w:val="097901EA"/>
    <w:rsid w:val="0AC245D3"/>
    <w:rsid w:val="0B4A543C"/>
    <w:rsid w:val="0D6434B5"/>
    <w:rsid w:val="0DD35419"/>
    <w:rsid w:val="0F722488"/>
    <w:rsid w:val="11CF5962"/>
    <w:rsid w:val="122A69C2"/>
    <w:rsid w:val="14C65A99"/>
    <w:rsid w:val="192841CB"/>
    <w:rsid w:val="1B502A4B"/>
    <w:rsid w:val="1EA509BF"/>
    <w:rsid w:val="1F866BC7"/>
    <w:rsid w:val="23492450"/>
    <w:rsid w:val="241C694D"/>
    <w:rsid w:val="257B3192"/>
    <w:rsid w:val="25D60697"/>
    <w:rsid w:val="262D170C"/>
    <w:rsid w:val="26587D95"/>
    <w:rsid w:val="27C22830"/>
    <w:rsid w:val="290C3B33"/>
    <w:rsid w:val="337628FE"/>
    <w:rsid w:val="38C25D16"/>
    <w:rsid w:val="3B685133"/>
    <w:rsid w:val="3BC12FAA"/>
    <w:rsid w:val="3C585ADF"/>
    <w:rsid w:val="3CD138DE"/>
    <w:rsid w:val="40425A87"/>
    <w:rsid w:val="430C3F54"/>
    <w:rsid w:val="48517BE6"/>
    <w:rsid w:val="485F2667"/>
    <w:rsid w:val="4C003900"/>
    <w:rsid w:val="4C0D0527"/>
    <w:rsid w:val="4DF706EB"/>
    <w:rsid w:val="4F0A71D4"/>
    <w:rsid w:val="4F735C37"/>
    <w:rsid w:val="5354264B"/>
    <w:rsid w:val="5AC47DF6"/>
    <w:rsid w:val="5B002001"/>
    <w:rsid w:val="5D216BE2"/>
    <w:rsid w:val="63D4176C"/>
    <w:rsid w:val="6906598E"/>
    <w:rsid w:val="6A886806"/>
    <w:rsid w:val="6B5618A7"/>
    <w:rsid w:val="6C17619B"/>
    <w:rsid w:val="6E3E2C71"/>
    <w:rsid w:val="6F5D1690"/>
    <w:rsid w:val="71964C31"/>
    <w:rsid w:val="73BA59E3"/>
    <w:rsid w:val="7575039C"/>
    <w:rsid w:val="779609B0"/>
    <w:rsid w:val="78104B1C"/>
    <w:rsid w:val="78374F17"/>
    <w:rsid w:val="799B59D9"/>
    <w:rsid w:val="7A9B5E5B"/>
    <w:rsid w:val="7AF35FC6"/>
    <w:rsid w:val="7B4167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7"/>
    <w:uiPriority w:val="0"/>
    <w:pPr>
      <w:keepNext/>
      <w:keepLines/>
      <w:spacing w:before="340" w:after="330" w:line="578" w:lineRule="auto"/>
      <w:outlineLvl w:val="0"/>
    </w:pPr>
    <w:rPr>
      <w:b/>
      <w:bCs/>
      <w:kern w:val="44"/>
      <w:sz w:val="44"/>
      <w:szCs w:val="44"/>
    </w:rPr>
  </w:style>
  <w:style w:type="paragraph" w:styleId="4">
    <w:name w:val="heading 2"/>
    <w:basedOn w:val="1"/>
    <w:next w:val="1"/>
    <w:link w:val="18"/>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uiPriority w:val="0"/>
    <w:pPr>
      <w:keepNext/>
      <w:keepLines/>
      <w:spacing w:before="260" w:after="260" w:line="415"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semiHidden/>
    <w:qFormat/>
    <w:uiPriority w:val="99"/>
    <w:pPr>
      <w:ind w:left="200" w:leftChars="200" w:hanging="200" w:hanging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标题 1 Char"/>
    <w:basedOn w:val="14"/>
    <w:link w:val="3"/>
    <w:qFormat/>
    <w:uiPriority w:val="0"/>
    <w:rPr>
      <w:rFonts w:ascii="Times New Roman" w:hAnsi="Times New Roman" w:eastAsia="宋体" w:cs="Times New Roman"/>
      <w:b/>
      <w:bCs/>
      <w:kern w:val="44"/>
      <w:sz w:val="44"/>
      <w:szCs w:val="44"/>
      <w:lang w:val="en-US" w:eastAsia="zh-CN" w:bidi="ar-SA"/>
    </w:rPr>
  </w:style>
  <w:style w:type="character" w:customStyle="1" w:styleId="18">
    <w:name w:val="标题 2 Char"/>
    <w:basedOn w:val="14"/>
    <w:link w:val="4"/>
    <w:qFormat/>
    <w:uiPriority w:val="0"/>
    <w:rPr>
      <w:rFonts w:ascii="Cambria" w:hAnsi="Cambria" w:eastAsia="宋体" w:cs="Times New Roman"/>
      <w:b/>
      <w:bCs/>
      <w:kern w:val="2"/>
      <w:sz w:val="32"/>
      <w:szCs w:val="32"/>
      <w:lang w:val="en-US" w:eastAsia="zh-CN" w:bidi="ar-SA"/>
    </w:rPr>
  </w:style>
  <w:style w:type="character" w:customStyle="1" w:styleId="19">
    <w:name w:val="Header Char"/>
    <w:basedOn w:val="14"/>
    <w:uiPriority w:val="0"/>
    <w:rPr>
      <w:rFonts w:ascii="Times New Roman" w:hAnsi="Times New Roman"/>
      <w:sz w:val="18"/>
      <w:szCs w:val="18"/>
    </w:rPr>
  </w:style>
  <w:style w:type="character" w:customStyle="1" w:styleId="20">
    <w:name w:val="Footer Char"/>
    <w:basedOn w:val="14"/>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uiPriority w:val="0"/>
    <w:pPr>
      <w:ind w:firstLine="200" w:firstLineChars="200"/>
    </w:pPr>
  </w:style>
  <w:style w:type="paragraph" w:customStyle="1" w:styleId="24">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收、支决算结构图</a:t>
            </a:r>
            <a:endParaRPr lang="zh-CN"/>
          </a:p>
        </c:rich>
      </c:tx>
      <c:layout/>
      <c:overlay val="0"/>
      <c:spPr>
        <a:noFill/>
        <a:ln>
          <a:noFill/>
        </a:ln>
      </c:spPr>
    </c:title>
    <c:autoTitleDeleted val="0"/>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elete val="1"/>
          </c:dLbls>
          <c:cat>
            <c:strRef>
              <c:f>Sheet1!$A$2:$A$3</c:f>
              <c:strCache>
                <c:ptCount val="2"/>
                <c:pt idx="0">
                  <c:v>2019年</c:v>
                </c:pt>
                <c:pt idx="1">
                  <c:v>2020年</c:v>
                </c:pt>
              </c:strCache>
            </c:strRef>
          </c:cat>
          <c:val>
            <c:numRef>
              <c:f>Sheet1!$B$2:$B$3</c:f>
              <c:numCache>
                <c:formatCode>General</c:formatCode>
                <c:ptCount val="2"/>
                <c:pt idx="0">
                  <c:v>1865300</c:v>
                </c:pt>
                <c:pt idx="1">
                  <c:v>1722072.19</c:v>
                </c:pt>
              </c:numCache>
            </c:numRef>
          </c:val>
        </c:ser>
        <c:ser>
          <c:idx val="1"/>
          <c:order val="1"/>
          <c:tx>
            <c:strRef>
              <c:f>Sheet1!$C$1</c:f>
              <c:strCache>
                <c:ptCount val="1"/>
                <c:pt idx="0">
                  <c:v>总支出</c:v>
                </c:pt>
              </c:strCache>
            </c:strRef>
          </c:tx>
          <c:spPr>
            <a:solidFill>
              <a:srgbClr val="C0504D"/>
            </a:solidFill>
            <a:ln>
              <a:noFill/>
            </a:ln>
          </c:spPr>
          <c:invertIfNegative val="0"/>
          <c:dLbls>
            <c:delete val="1"/>
          </c:dLbls>
          <c:cat>
            <c:strRef>
              <c:f>Sheet1!$A$2:$A$3</c:f>
              <c:strCache>
                <c:ptCount val="2"/>
                <c:pt idx="0">
                  <c:v>2019年</c:v>
                </c:pt>
                <c:pt idx="1">
                  <c:v>2020年</c:v>
                </c:pt>
              </c:strCache>
            </c:strRef>
          </c:cat>
          <c:val>
            <c:numRef>
              <c:f>Sheet1!$C$2:$C$3</c:f>
              <c:numCache>
                <c:formatCode>General</c:formatCode>
                <c:ptCount val="2"/>
                <c:pt idx="0">
                  <c:v>1865300</c:v>
                </c:pt>
                <c:pt idx="1">
                  <c:v>1722072.19</c:v>
                </c:pt>
              </c:numCache>
            </c:numRef>
          </c:val>
        </c:ser>
        <c:dLbls>
          <c:showLegendKey val="0"/>
          <c:showVal val="0"/>
          <c:showCatName val="0"/>
          <c:showSerName val="0"/>
          <c:showPercent val="0"/>
          <c:showBubbleSize val="0"/>
        </c:dLbls>
        <c:gapWidth val="219"/>
        <c:overlap val="-27"/>
        <c:axId val="52078080"/>
        <c:axId val="52080000"/>
      </c:barChart>
      <c:catAx>
        <c:axId val="5207808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52080000"/>
        <c:crosses val="autoZero"/>
        <c:auto val="1"/>
        <c:lblAlgn val="ctr"/>
        <c:lblOffset val="100"/>
        <c:noMultiLvlLbl val="0"/>
      </c:catAx>
      <c:valAx>
        <c:axId val="52080000"/>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5207808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172.21</c:v>
                </c:pt>
                <c:pt idx="1">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166.7</c:v>
                </c:pt>
                <c:pt idx="1">
                  <c:v>5.48</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186.53</c:v>
                </c:pt>
                <c:pt idx="1">
                  <c:v>186.53</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172.21</c:v>
                </c:pt>
                <c:pt idx="1">
                  <c:v>172.21</c:v>
                </c:pt>
              </c:numCache>
            </c:numRef>
          </c:val>
        </c:ser>
        <c:dLbls>
          <c:showLegendKey val="0"/>
          <c:showVal val="1"/>
          <c:showCatName val="0"/>
          <c:showSerName val="0"/>
          <c:showPercent val="0"/>
          <c:showBubbleSize val="0"/>
        </c:dLbls>
        <c:gapWidth val="219"/>
        <c:overlap val="-27"/>
        <c:axId val="40780160"/>
        <c:axId val="40781696"/>
      </c:barChart>
      <c:catAx>
        <c:axId val="4078016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40781696"/>
        <c:crosses val="autoZero"/>
        <c:auto val="1"/>
        <c:lblAlgn val="ctr"/>
        <c:lblOffset val="100"/>
        <c:noMultiLvlLbl val="0"/>
      </c:catAx>
      <c:valAx>
        <c:axId val="40781696"/>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4078016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c:v>
                </c:pt>
                <c:pt idx="1">
                  <c:v>2020年</c:v>
                </c:pt>
              </c:strCache>
            </c:strRef>
          </c:cat>
          <c:val>
            <c:numRef>
              <c:f>'Sheet1 (5)'!$B$2:$B$3</c:f>
              <c:numCache>
                <c:formatCode>General</c:formatCode>
                <c:ptCount val="2"/>
                <c:pt idx="0">
                  <c:v>186.53</c:v>
                </c:pt>
                <c:pt idx="1">
                  <c:v>172.21</c:v>
                </c:pt>
              </c:numCache>
            </c:numRef>
          </c:val>
        </c:ser>
        <c:dLbls>
          <c:showLegendKey val="0"/>
          <c:showVal val="1"/>
          <c:showCatName val="0"/>
          <c:showSerName val="0"/>
          <c:showPercent val="0"/>
          <c:showBubbleSize val="0"/>
        </c:dLbls>
        <c:gapWidth val="219"/>
        <c:overlap val="-27"/>
        <c:axId val="40818560"/>
        <c:axId val="40820096"/>
      </c:barChart>
      <c:catAx>
        <c:axId val="4081856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40820096"/>
        <c:crosses val="autoZero"/>
        <c:auto val="1"/>
        <c:lblAlgn val="ctr"/>
        <c:lblOffset val="100"/>
        <c:noMultiLvlLbl val="0"/>
      </c:catAx>
      <c:valAx>
        <c:axId val="40820096"/>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4081856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1"/>
              <c:layout>
                <c:manualLayout>
                  <c:x val="-0.020973645"/>
                  <c:y val="0.044190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(6)'!$A$2:$A$5</c:f>
              <c:strCache>
                <c:ptCount val="4"/>
                <c:pt idx="0">
                  <c:v>一般公共服务</c:v>
                </c:pt>
                <c:pt idx="1">
                  <c:v>社会保障和就业</c:v>
                </c:pt>
                <c:pt idx="2">
                  <c:v>医疗卫生支出</c:v>
                </c:pt>
                <c:pt idx="3">
                  <c:v>住房保障支出</c:v>
                </c:pt>
              </c:strCache>
            </c:strRef>
          </c:cat>
          <c:val>
            <c:numRef>
              <c:f>'Sheet1 (6)'!$B$2:$B$5</c:f>
              <c:numCache>
                <c:formatCode>General</c:formatCode>
                <c:ptCount val="4"/>
                <c:pt idx="0">
                  <c:v>129.8</c:v>
                </c:pt>
                <c:pt idx="1">
                  <c:v>21.2</c:v>
                </c:pt>
                <c:pt idx="2">
                  <c:v>8.37</c:v>
                </c:pt>
                <c:pt idx="3">
                  <c:v>12.83</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2"/>
              <c:layout>
                <c:manualLayout>
                  <c:x val="-0.07035216"/>
                  <c:y val="0.005202266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4.2</c:v>
                </c:pt>
                <c:pt idx="2">
                  <c:v>0.19</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1301</Words>
  <Characters>7416</Characters>
  <Lines>61</Lines>
  <Paragraphs>17</Paragraphs>
  <TotalTime>32</TotalTime>
  <ScaleCrop>false</ScaleCrop>
  <LinksUpToDate>false</LinksUpToDate>
  <CharactersWithSpaces>8700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不改</cp:lastModifiedBy>
  <cp:lastPrinted>2021-09-15T07:42:00Z</cp:lastPrinted>
  <dcterms:modified xsi:type="dcterms:W3CDTF">2021-09-27T08:44:31Z</dcterms:modified>
  <dc:title>四川省***</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7446358C982B43FBBF5486ACE152A102</vt:lpwstr>
  </property>
</Properties>
</file>