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ind w:firstLine="420"/>
        <w:jc w:val="center"/>
        <w:outlineLvl w:val="9"/>
        <w:rPr>
          <w:rFonts w:ascii="方正小标宋简体" w:eastAsia="方正小标宋简体"/>
          <w:sz w:val="72"/>
          <w:szCs w:val="72"/>
        </w:rPr>
      </w:pPr>
      <w:bookmarkStart w:id="0" w:name="_Toc15396475"/>
      <w:bookmarkStart w:id="1" w:name="_Toc15377193"/>
      <w:bookmarkStart w:id="2" w:name="_Toc15378441"/>
      <w:bookmarkStart w:id="3" w:name="_Toc15377425"/>
      <w:bookmarkStart w:id="4" w:name="_Toc15396597"/>
      <w:bookmarkStart w:id="5" w:name="_Toc15306267"/>
    </w:p>
    <w:p>
      <w:pPr>
        <w:pStyle w:val="16"/>
        <w:spacing w:beforeLines="0" w:before="93"/>
      </w:pPr>
    </w:p>
    <w:p>
      <w:pPr>
        <w:spacing w:line="600" w:lineRule="exact"/>
        <w:jc w:val="center"/>
        <w:outlineLvl w:val="9"/>
        <w:rPr>
          <w:rFonts w:ascii="方正小标宋简体" w:eastAsia="方正小标宋简体"/>
          <w:sz w:val="72"/>
          <w:szCs w:val="72"/>
        </w:rPr>
      </w:pPr>
    </w:p>
    <w:p>
      <w:pPr>
        <w:spacing w:line="600" w:lineRule="exact"/>
        <w:jc w:val="center"/>
        <w:outlineLvl w:val="9"/>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bookmarkStart w:id="6" w:name="_Toc14548"/>
      <w:r>
        <w:rPr>
          <w:rFonts w:ascii="方正小标宋简体" w:eastAsia="方正小标宋简体" w:cs="方正小标宋简体" w:hint="eastAsia"/>
          <w:sz w:val="72"/>
          <w:szCs w:val="72"/>
          <w:lang w:eastAsia="zh-CN"/>
        </w:rPr>
        <w:t>2024年</w:t>
      </w:r>
      <w:r>
        <w:rPr>
          <w:rFonts w:ascii="方正小标宋简体" w:eastAsia="方正小标宋简体" w:cs="方正小标宋简体" w:hint="eastAsia"/>
          <w:sz w:val="72"/>
          <w:szCs w:val="72"/>
        </w:rPr>
        <w:t>度</w:t>
      </w:r>
      <w:bookmarkEnd w:id="0"/>
      <w:bookmarkEnd w:id="1"/>
      <w:bookmarkEnd w:id="2"/>
      <w:bookmarkEnd w:id="3"/>
      <w:bookmarkEnd w:id="4"/>
      <w:bookmarkEnd w:id="6"/>
    </w:p>
    <w:p>
      <w:pPr>
        <w:adjustRightInd w:val="0"/>
        <w:snapToGrid w:val="0"/>
        <w:spacing w:line="360" w:lineRule="auto"/>
        <w:jc w:val="center"/>
        <w:outlineLvl w:val="0"/>
        <w:rPr>
          <w:rFonts w:ascii="方正小标宋简体" w:eastAsia="方正小标宋简体" w:cs="方正小标宋简体"/>
          <w:sz w:val="72"/>
          <w:szCs w:val="72"/>
        </w:rPr>
      </w:pPr>
      <w:bookmarkStart w:id="7" w:name="_Toc15396476"/>
      <w:bookmarkStart w:id="8" w:name="_Toc15378442"/>
      <w:bookmarkStart w:id="9" w:name="_Toc15377194"/>
      <w:bookmarkStart w:id="10" w:name="_Toc15377426"/>
      <w:bookmarkStart w:id="11" w:name="_Toc5190"/>
      <w:bookmarkStart w:id="12" w:name="_Toc15396598"/>
      <w:r>
        <w:rPr>
          <w:rFonts w:ascii="方正小标宋简体" w:eastAsia="方正小标宋简体" w:cs="方正小标宋简体" w:hint="eastAsia"/>
          <w:sz w:val="72"/>
          <w:szCs w:val="72"/>
        </w:rPr>
        <w:t>四川省</w:t>
      </w:r>
      <w:bookmarkStart w:id="13" w:name="_Toc15306268"/>
      <w:bookmarkEnd w:id="5"/>
      <w:r>
        <w:rPr>
          <w:rFonts w:ascii="方正小标宋简体" w:eastAsia="方正小标宋简体" w:cs="方正小标宋简体" w:hint="eastAsia"/>
          <w:sz w:val="72"/>
          <w:szCs w:val="72"/>
          <w:lang w:eastAsia="zh-CN"/>
        </w:rPr>
        <w:t>金川县公务服务中心</w:t>
      </w:r>
      <w:r>
        <w:rPr>
          <w:rFonts w:ascii="方正小标宋简体" w:eastAsia="方正小标宋简体" w:cs="方正小标宋简体" w:hint="eastAsia"/>
          <w:sz w:val="72"/>
          <w:szCs w:val="72"/>
        </w:rPr>
        <w:t>部门决算</w:t>
      </w:r>
      <w:bookmarkEnd w:id="7"/>
      <w:bookmarkEnd w:id="8"/>
      <w:bookmarkEnd w:id="9"/>
      <w:bookmarkEnd w:id="10"/>
      <w:bookmarkEnd w:id="11"/>
      <w:bookmarkEnd w:id="12"/>
      <w:bookmarkEnd w:id="13"/>
    </w:p>
    <w:p>
      <w:pPr>
        <w:adjustRightInd w:val="0"/>
        <w:snapToGrid w:val="0"/>
        <w:spacing w:line="360" w:lineRule="auto"/>
        <w:jc w:val="center"/>
        <w:outlineLvl w:val="0"/>
        <w:rPr>
          <w:rFonts w:ascii="仿宋" w:eastAsia="方正小标宋简体" w:cs="Arial" w:hAnsi="仿宋" w:hint="eastAsia"/>
          <w:sz w:val="24"/>
          <w:lang w:eastAsia="zh-CN"/>
        </w:rPr>
      </w:pPr>
      <w:r>
        <w:rPr>
          <w:rFonts w:ascii="方正小标宋简体" w:eastAsia="方正小标宋简体" w:hint="eastAsia"/>
          <w:sz w:val="44"/>
          <w:szCs w:val="44"/>
          <w:lang w:eastAsia="zh-CN"/>
        </w:rPr>
        <w:t>（部门公开）</w:t>
      </w:r>
      <w:r>
        <w:rPr>
          <w:rFonts w:ascii="方正小标宋简体" w:eastAsia="方正小标宋简体"/>
          <w:sz w:val="36"/>
          <w:szCs w:val="36"/>
        </w:rPr>
        <w:br w:type="page"/>
      </w:r>
    </w:p>
    <w:sdt>
      <w:sdtPr>
        <w:rPr>
          <w:rFonts w:ascii="宋体" w:eastAsia="宋体" w:cs="Times New Roman"/>
          <w:kern w:val="2"/>
          <w:sz w:val="44"/>
          <w:szCs w:val="44"/>
          <w:lang w:val="en-US" w:eastAsia="zh-CN" w:bidi="ar-SA"/>
        </w:rPr>
        <w:id w:val="-1327330822"/>
        <w15:color w:val="DBDBDB"/>
        <w:docPartObj>
          <w:docPartGallery w:val="Table of Contents"/>
          <w:docPartUnique/>
        </w:docPartObj>
      </w:sdtPr>
      <w:sdtEndPr>
        <w:rPr>
          <w:sz w:val="24"/>
        </w:rPr>
      </w:sdtEndPr>
      <w:sdtContent>
        <w:bookmarkStart w:id="14" w:name="_Toc15396599" w:displacedByCustomXml="prev"/>
        <w:bookmarkStart w:id="15" w:name="_Toc15377196" w:displacedByCustomXml="prev"/>
        <w:p>
          <w:pPr>
            <w:keepNext w:val="0"/>
            <w:keepLines w:val="0"/>
            <w:pageBreakBefore w:val="0"/>
            <w:widowControl w:val="0"/>
            <w:kinsoku/>
            <w:wordWrap/>
            <w:overflowPunct/>
            <w:topLinePunct w:val="0"/>
            <w:autoSpaceDE/>
            <w:autoSpaceDN/>
            <w:bidi w:val="0"/>
            <w:spacing w:before="0" w:after="0" w:line="420" w:lineRule="exact"/>
            <w:ind w:left="0" w:right="0" w:firstLine="0"/>
            <w:jc w:val="center"/>
            <w:textAlignment w:val="auto"/>
            <w:rPr>
              <w:rFonts w:ascii="黑体" w:eastAsia="黑体" w:hint="eastAsia"/>
              <w:sz w:val="44"/>
              <w:szCs w:val="44"/>
            </w:rPr>
          </w:pPr>
          <w:r>
            <w:rPr>
              <w:rFonts w:ascii="黑体" w:eastAsia="黑体" w:hint="eastAsia"/>
              <w:sz w:val="44"/>
              <w:szCs w:val="44"/>
            </w:rPr>
            <w:t>目录</w:t>
          </w:r>
        </w:p>
        <w:p>
          <w:pPr>
            <w:pStyle w:val="22"/>
            <w:tabs>
              <w:tab w:val="right" w:leader="dot" w:pos="8296"/>
            </w:tabs>
            <w:rPr>
              <w:rFonts w:ascii="Times New Roman" w:eastAsia="仿宋_GB2312" w:cs="仿宋_GB2312" w:hAnsi="Times New Roman" w:hint="eastAsia"/>
              <w:sz w:val="32"/>
              <w:szCs w:val="32"/>
            </w:rPr>
          </w:pPr>
          <w:r>
            <w:rPr>
              <w:rFonts w:ascii="Times New Roman" w:eastAsia="仿宋_GB2312" w:cs="仿宋_GB2312" w:hAnsi="Times New Roman" w:hint="eastAsia"/>
              <w:color w:val="auto"/>
              <w:sz w:val="32"/>
              <w:szCs w:val="32"/>
              <w:highlight w:val="auto"/>
            </w:rPr>
            <w:t>公开时间：20</w:t>
          </w:r>
          <w:r>
            <w:rPr>
              <w:rFonts w:ascii="Times New Roman" w:eastAsia="仿宋_GB2312" w:cs="仿宋_GB2312" w:hAnsi="Times New Roman" w:hint="eastAsia"/>
              <w:color w:val="auto"/>
              <w:sz w:val="32"/>
              <w:szCs w:val="32"/>
              <w:lang w:val="en-US" w:eastAsia="zh-CN"/>
              <w:highlight w:val="auto"/>
            </w:rPr>
            <w:t>25</w:t>
          </w:r>
          <w:r>
            <w:rPr>
              <w:rFonts w:ascii="Times New Roman" w:eastAsia="仿宋_GB2312" w:cs="仿宋_GB2312" w:hAnsi="Times New Roman" w:hint="eastAsia"/>
              <w:color w:val="auto"/>
              <w:sz w:val="32"/>
              <w:szCs w:val="32"/>
              <w:highlight w:val="auto"/>
            </w:rPr>
            <w:t>年</w:t>
          </w:r>
          <w:r>
            <w:rPr>
              <w:rFonts w:ascii="Times New Roman" w:eastAsia="仿宋_GB2312" w:cs="仿宋_GB2312" w:hAnsi="Times New Roman" w:hint="eastAsia"/>
              <w:color w:val="auto"/>
              <w:sz w:val="32"/>
              <w:szCs w:val="32"/>
              <w:lang w:val="en-US" w:eastAsia="zh-CN"/>
              <w:highlight w:val="auto"/>
            </w:rPr>
            <w:t xml:space="preserve"> 8 </w:t>
          </w:r>
          <w:r>
            <w:rPr>
              <w:rFonts w:ascii="Times New Roman" w:eastAsia="仿宋_GB2312" w:cs="仿宋_GB2312" w:hAnsi="Times New Roman" w:hint="eastAsia"/>
              <w:color w:val="auto"/>
              <w:sz w:val="32"/>
              <w:szCs w:val="32"/>
              <w:highlight w:val="auto"/>
            </w:rPr>
            <w:t>月</w:t>
          </w:r>
          <w:r>
            <w:rPr>
              <w:rFonts w:ascii="Times New Roman" w:eastAsia="仿宋_GB2312" w:cs="仿宋_GB2312" w:hAnsi="Times New Roman" w:hint="eastAsia"/>
              <w:color w:val="auto"/>
              <w:sz w:val="32"/>
              <w:szCs w:val="32"/>
              <w:lang w:val="en-US" w:eastAsia="zh-CN"/>
              <w:highlight w:val="auto"/>
            </w:rPr>
            <w:t xml:space="preserve"> 18 </w:t>
          </w:r>
          <w:r>
            <w:rPr>
              <w:rFonts w:ascii="Times New Roman" w:eastAsia="仿宋_GB2312" w:cs="仿宋_GB2312" w:hAnsi="Times New Roman" w:hint="eastAsia"/>
              <w:color w:val="auto"/>
              <w:sz w:val="32"/>
              <w:szCs w:val="32"/>
              <w:highlight w:val="auto"/>
            </w:rPr>
            <w:t>日</w:t>
          </w:r>
          <w:bookmarkStart w:id="16" w:name="_GoBack"/>
          <w:bookmarkEnd w:id="16"/>
          <w:r>
            <w:rPr>
              <w:rFonts w:hint="eastAsia"/>
              <w:sz w:val="24"/>
            </w:rPr>
            <w:fldChar w:fldCharType="begin"/>
          </w:r>
          <w:r>
            <w:rPr>
              <w:rFonts w:hint="eastAsia"/>
              <w:sz w:val="24"/>
            </w:rPr>
            <w:instrText xml:space="preserve">TOC \o "1-2" \h \u </w:instrText>
          </w:r>
          <w:r>
            <w:rPr>
              <w:rFonts w:hint="eastAsia"/>
              <w:sz w:val="24"/>
            </w:rPr>
            <w:fldChar w:fldCharType="separate"/>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200" w:firstLine="480"/>
            <w:jc w:val="left"/>
            <w:textAlignment w:val="auto"/>
            <w:rPr>
              <w:rFonts w:hint="eastAsia"/>
              <w:sz w:val="24"/>
            </w:rPr>
          </w:pPr>
          <w:r>
            <w:rPr>
              <w:rFonts w:hint="eastAsia"/>
              <w:sz w:val="24"/>
            </w:rPr>
            <w:fldChar w:fldCharType="begin"/>
          </w:r>
          <w:r>
            <w:rPr>
              <w:rFonts w:hint="eastAsia"/>
              <w:sz w:val="24"/>
            </w:rPr>
            <w:instrText xml:space="preserve"> HYPERLINK \l _Toc30534 </w:instrText>
          </w:r>
          <w:r>
            <w:rPr>
              <w:rFonts w:hint="eastAsia"/>
              <w:sz w:val="24"/>
            </w:rPr>
            <w:fldChar w:fldCharType="separate"/>
          </w:r>
          <w:r>
            <w:rPr>
              <w:rFonts w:hint="eastAsia"/>
              <w:sz w:val="24"/>
            </w:rPr>
            <w:t>第一部分 部门概况</w:t>
            <w:tab/>
          </w:r>
          <w:r>
            <w:rPr>
              <w:rFonts w:hint="eastAsia"/>
              <w:sz w:val="24"/>
            </w:rPr>
            <w:fldChar w:fldCharType="begin"/>
          </w:r>
          <w:r>
            <w:rPr>
              <w:rFonts w:hint="eastAsia"/>
              <w:sz w:val="24"/>
            </w:rPr>
            <w:instrText xml:space="preserve"> PAGEREF _Toc30534 \h </w:instrText>
          </w:r>
          <w:r>
            <w:rPr>
              <w:rFonts w:hint="eastAsia"/>
              <w:sz w:val="24"/>
            </w:rPr>
            <w:fldChar w:fldCharType="separate"/>
          </w:r>
          <w:r>
            <w:rPr>
              <w:rFonts w:hint="eastAsia"/>
              <w:sz w:val="24"/>
            </w:rPr>
            <w:t>3</w:t>
          </w:r>
          <w:r>
            <w:rPr>
              <w:rFonts w:hint="eastAsia"/>
              <w:sz w:val="24"/>
            </w:rPr>
            <w:fldChar w:fldCharType="end"/>
          </w:r>
          <w:r>
            <w:rPr>
              <w:rFonts w:hint="eastAsia"/>
              <w:sz w:val="24"/>
            </w:rPr>
            <w:fldChar w:fldCharType="end"/>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400" w:firstLine="960"/>
            <w:jc w:val="left"/>
            <w:textAlignment w:val="auto"/>
            <w:rPr>
              <w:rFonts w:hint="eastAsia"/>
              <w:sz w:val="24"/>
            </w:rPr>
          </w:pPr>
          <w:r>
            <w:rPr>
              <w:rFonts w:hint="eastAsia"/>
              <w:sz w:val="24"/>
            </w:rPr>
            <w:fldChar w:fldCharType="begin"/>
          </w:r>
          <w:r>
            <w:rPr>
              <w:rFonts w:hint="eastAsia"/>
              <w:sz w:val="24"/>
            </w:rPr>
            <w:instrText xml:space="preserve"> HYPERLINK \l _Toc27756 </w:instrText>
          </w:r>
          <w:r>
            <w:rPr>
              <w:rFonts w:hint="eastAsia"/>
              <w:sz w:val="24"/>
            </w:rPr>
            <w:fldChar w:fldCharType="separate"/>
          </w:r>
          <w:r>
            <w:rPr>
              <w:rFonts w:hint="eastAsia"/>
              <w:sz w:val="24"/>
            </w:rPr>
            <w:t>一、 部门职责</w:t>
            <w:tab/>
          </w:r>
          <w:r>
            <w:rPr>
              <w:rFonts w:hint="eastAsia"/>
              <w:sz w:val="24"/>
            </w:rPr>
            <w:fldChar w:fldCharType="begin"/>
          </w:r>
          <w:r>
            <w:rPr>
              <w:rFonts w:hint="eastAsia"/>
              <w:sz w:val="24"/>
            </w:rPr>
            <w:instrText xml:space="preserve"> PAGEREF _Toc27756 \h </w:instrText>
          </w:r>
          <w:r>
            <w:rPr>
              <w:rFonts w:hint="eastAsia"/>
              <w:sz w:val="24"/>
            </w:rPr>
            <w:fldChar w:fldCharType="separate"/>
          </w:r>
          <w:r>
            <w:rPr>
              <w:rFonts w:hint="eastAsia"/>
              <w:sz w:val="24"/>
            </w:rPr>
            <w:t>3</w:t>
          </w:r>
          <w:r>
            <w:rPr>
              <w:rFonts w:hint="eastAsia"/>
              <w:sz w:val="24"/>
            </w:rPr>
            <w:fldChar w:fldCharType="end"/>
          </w:r>
          <w:r>
            <w:rPr>
              <w:rFonts w:hint="eastAsia"/>
              <w:sz w:val="24"/>
            </w:rPr>
            <w:fldChar w:fldCharType="end"/>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400" w:firstLine="960"/>
            <w:jc w:val="left"/>
            <w:textAlignment w:val="auto"/>
            <w:rPr>
              <w:rFonts w:hint="eastAsia"/>
              <w:sz w:val="24"/>
            </w:rPr>
          </w:pPr>
          <w:r>
            <w:rPr>
              <w:rFonts w:hint="eastAsia"/>
              <w:sz w:val="24"/>
            </w:rPr>
            <w:fldChar w:fldCharType="begin"/>
          </w:r>
          <w:r>
            <w:rPr>
              <w:rFonts w:hint="eastAsia"/>
              <w:sz w:val="24"/>
            </w:rPr>
            <w:instrText xml:space="preserve"> HYPERLINK \l _Toc18037 </w:instrText>
          </w:r>
          <w:r>
            <w:rPr>
              <w:rFonts w:hint="eastAsia"/>
              <w:sz w:val="24"/>
            </w:rPr>
            <w:fldChar w:fldCharType="separate"/>
          </w:r>
          <w:r>
            <w:rPr>
              <w:rFonts w:hint="eastAsia"/>
              <w:sz w:val="24"/>
            </w:rPr>
            <w:t>二、机构设置</w:t>
            <w:tab/>
          </w:r>
          <w:r>
            <w:rPr>
              <w:rFonts w:hint="eastAsia"/>
              <w:sz w:val="24"/>
            </w:rPr>
            <w:fldChar w:fldCharType="begin"/>
          </w:r>
          <w:r>
            <w:rPr>
              <w:rFonts w:hint="eastAsia"/>
              <w:sz w:val="24"/>
            </w:rPr>
            <w:instrText xml:space="preserve"> PAGEREF _Toc18037 \h </w:instrText>
          </w:r>
          <w:r>
            <w:rPr>
              <w:rFonts w:hint="eastAsia"/>
              <w:sz w:val="24"/>
            </w:rPr>
            <w:fldChar w:fldCharType="separate"/>
          </w:r>
          <w:r>
            <w:rPr>
              <w:rFonts w:hint="eastAsia"/>
              <w:sz w:val="24"/>
            </w:rPr>
            <w:t>4</w:t>
          </w:r>
          <w:r>
            <w:rPr>
              <w:rFonts w:hint="eastAsia"/>
              <w:sz w:val="24"/>
            </w:rPr>
            <w:fldChar w:fldCharType="end"/>
          </w:r>
          <w:r>
            <w:rPr>
              <w:rFonts w:hint="eastAsia"/>
              <w:sz w:val="24"/>
            </w:rPr>
            <w:fldChar w:fldCharType="end"/>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200" w:firstLine="480"/>
            <w:jc w:val="left"/>
            <w:textAlignment w:val="auto"/>
            <w:rPr>
              <w:rFonts w:hint="eastAsia"/>
              <w:sz w:val="24"/>
            </w:rPr>
          </w:pPr>
          <w:r>
            <w:rPr>
              <w:rFonts w:hint="eastAsia"/>
              <w:sz w:val="24"/>
            </w:rPr>
            <w:fldChar w:fldCharType="begin"/>
          </w:r>
          <w:r>
            <w:rPr>
              <w:rFonts w:hint="eastAsia"/>
              <w:sz w:val="24"/>
            </w:rPr>
            <w:instrText xml:space="preserve"> HYPERLINK \l _Toc8641 </w:instrText>
          </w:r>
          <w:r>
            <w:rPr>
              <w:rFonts w:hint="eastAsia"/>
              <w:sz w:val="24"/>
            </w:rPr>
            <w:fldChar w:fldCharType="separate"/>
          </w:r>
          <w:r>
            <w:rPr>
              <w:rFonts w:hint="eastAsia"/>
              <w:sz w:val="24"/>
            </w:rPr>
            <w:t xml:space="preserve">第二部分 </w:t>
          </w:r>
          <w:r>
            <w:rPr>
              <w:rFonts w:hint="eastAsia"/>
              <w:sz w:val="24"/>
              <w:lang w:eastAsia="zh-CN"/>
            </w:rPr>
            <w:t>2024年</w:t>
          </w:r>
          <w:r>
            <w:rPr>
              <w:rFonts w:hint="eastAsia"/>
              <w:sz w:val="24"/>
            </w:rPr>
            <w:t>度部门决算情况说明</w:t>
            <w:tab/>
          </w:r>
          <w:r>
            <w:rPr>
              <w:rFonts w:hint="eastAsia"/>
              <w:sz w:val="24"/>
            </w:rPr>
            <w:fldChar w:fldCharType="begin"/>
          </w:r>
          <w:r>
            <w:rPr>
              <w:rFonts w:hint="eastAsia"/>
              <w:sz w:val="24"/>
            </w:rPr>
            <w:instrText xml:space="preserve"> PAGEREF _Toc8641 \h </w:instrText>
          </w:r>
          <w:r>
            <w:rPr>
              <w:rFonts w:hint="eastAsia"/>
              <w:sz w:val="24"/>
            </w:rPr>
            <w:fldChar w:fldCharType="separate"/>
          </w:r>
          <w:r>
            <w:rPr>
              <w:rFonts w:hint="eastAsia"/>
              <w:sz w:val="24"/>
            </w:rPr>
            <w:t>5</w:t>
          </w:r>
          <w:r>
            <w:rPr>
              <w:rFonts w:hint="eastAsia"/>
              <w:sz w:val="24"/>
            </w:rPr>
            <w:fldChar w:fldCharType="end"/>
          </w:r>
          <w:r>
            <w:rPr>
              <w:rFonts w:hint="eastAsia"/>
              <w:sz w:val="24"/>
            </w:rPr>
            <w:fldChar w:fldCharType="end"/>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400" w:firstLine="960"/>
            <w:jc w:val="left"/>
            <w:textAlignment w:val="auto"/>
            <w:rPr>
              <w:rFonts w:hint="eastAsia"/>
              <w:sz w:val="24"/>
            </w:rPr>
          </w:pPr>
          <w:r>
            <w:rPr>
              <w:rFonts w:hint="eastAsia"/>
              <w:sz w:val="24"/>
            </w:rPr>
            <w:fldChar w:fldCharType="begin"/>
          </w:r>
          <w:r>
            <w:rPr>
              <w:rFonts w:hint="eastAsia"/>
              <w:sz w:val="24"/>
            </w:rPr>
            <w:instrText xml:space="preserve"> HYPERLINK \l _Toc323 </w:instrText>
          </w:r>
          <w:r>
            <w:rPr>
              <w:rFonts w:hint="eastAsia"/>
              <w:sz w:val="24"/>
            </w:rPr>
            <w:fldChar w:fldCharType="separate"/>
          </w:r>
          <w:r>
            <w:rPr>
              <w:sz w:val="24"/>
            </w:rPr>
            <w:t xml:space="preserve">一、 </w:t>
          </w:r>
          <w:r>
            <w:rPr>
              <w:rFonts w:hint="eastAsia"/>
              <w:sz w:val="24"/>
            </w:rPr>
            <w:t>收入支出决算总体情况说明</w:t>
            <w:tab/>
          </w:r>
          <w:r>
            <w:rPr>
              <w:rFonts w:hint="eastAsia"/>
              <w:sz w:val="24"/>
            </w:rPr>
            <w:fldChar w:fldCharType="begin"/>
          </w:r>
          <w:r>
            <w:rPr>
              <w:rFonts w:hint="eastAsia"/>
              <w:sz w:val="24"/>
            </w:rPr>
            <w:instrText xml:space="preserve"> PAGEREF _Toc323 \h </w:instrText>
          </w:r>
          <w:r>
            <w:rPr>
              <w:rFonts w:hint="eastAsia"/>
              <w:sz w:val="24"/>
            </w:rPr>
            <w:fldChar w:fldCharType="separate"/>
          </w:r>
          <w:r>
            <w:rPr>
              <w:rFonts w:hint="eastAsia"/>
              <w:sz w:val="24"/>
            </w:rPr>
            <w:t>5</w:t>
          </w:r>
          <w:r>
            <w:rPr>
              <w:rFonts w:hint="eastAsia"/>
              <w:sz w:val="24"/>
            </w:rPr>
            <w:fldChar w:fldCharType="end"/>
          </w:r>
          <w:r>
            <w:rPr>
              <w:rFonts w:hint="eastAsia"/>
              <w:sz w:val="24"/>
            </w:rPr>
            <w:fldChar w:fldCharType="end"/>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400" w:firstLine="960"/>
            <w:jc w:val="left"/>
            <w:textAlignment w:val="auto"/>
            <w:rPr>
              <w:rFonts w:hint="eastAsia"/>
              <w:sz w:val="24"/>
            </w:rPr>
          </w:pPr>
          <w:r>
            <w:rPr>
              <w:rFonts w:hint="eastAsia"/>
              <w:sz w:val="24"/>
            </w:rPr>
            <w:fldChar w:fldCharType="begin"/>
          </w:r>
          <w:r>
            <w:rPr>
              <w:rFonts w:hint="eastAsia"/>
              <w:sz w:val="24"/>
            </w:rPr>
            <w:instrText xml:space="preserve"> HYPERLINK \l _Toc23873 </w:instrText>
          </w:r>
          <w:r>
            <w:rPr>
              <w:rFonts w:hint="eastAsia"/>
              <w:sz w:val="24"/>
            </w:rPr>
            <w:fldChar w:fldCharType="separate"/>
          </w:r>
          <w:r>
            <w:rPr>
              <w:sz w:val="24"/>
            </w:rPr>
            <w:t xml:space="preserve">二、 </w:t>
          </w:r>
          <w:r>
            <w:rPr>
              <w:rFonts w:hint="eastAsia"/>
              <w:sz w:val="24"/>
            </w:rPr>
            <w:t>收入决算情况说明</w:t>
            <w:tab/>
          </w:r>
          <w:r>
            <w:rPr>
              <w:rFonts w:hint="eastAsia"/>
              <w:sz w:val="24"/>
            </w:rPr>
            <w:fldChar w:fldCharType="begin"/>
          </w:r>
          <w:r>
            <w:rPr>
              <w:rFonts w:hint="eastAsia"/>
              <w:sz w:val="24"/>
            </w:rPr>
            <w:instrText xml:space="preserve"> PAGEREF _Toc23873 \h </w:instrText>
          </w:r>
          <w:r>
            <w:rPr>
              <w:rFonts w:hint="eastAsia"/>
              <w:sz w:val="24"/>
            </w:rPr>
            <w:fldChar w:fldCharType="separate"/>
          </w:r>
          <w:r>
            <w:rPr>
              <w:rFonts w:hint="eastAsia"/>
              <w:sz w:val="24"/>
            </w:rPr>
            <w:t>5</w:t>
          </w:r>
          <w:r>
            <w:rPr>
              <w:rFonts w:hint="eastAsia"/>
              <w:sz w:val="24"/>
            </w:rPr>
            <w:fldChar w:fldCharType="end"/>
          </w:r>
          <w:r>
            <w:rPr>
              <w:rFonts w:hint="eastAsia"/>
              <w:sz w:val="24"/>
            </w:rPr>
            <w:fldChar w:fldCharType="end"/>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400" w:firstLine="960"/>
            <w:jc w:val="left"/>
            <w:textAlignment w:val="auto"/>
            <w:rPr>
              <w:rFonts w:hint="eastAsia"/>
              <w:sz w:val="24"/>
            </w:rPr>
          </w:pPr>
          <w:r>
            <w:rPr>
              <w:rFonts w:hint="eastAsia"/>
              <w:sz w:val="24"/>
            </w:rPr>
            <w:fldChar w:fldCharType="begin"/>
          </w:r>
          <w:r>
            <w:rPr>
              <w:rFonts w:hint="eastAsia"/>
              <w:sz w:val="24"/>
            </w:rPr>
            <w:instrText xml:space="preserve"> HYPERLINK \l _Toc21366 </w:instrText>
          </w:r>
          <w:r>
            <w:rPr>
              <w:rFonts w:hint="eastAsia"/>
              <w:sz w:val="24"/>
            </w:rPr>
            <w:fldChar w:fldCharType="separate"/>
          </w:r>
          <w:r>
            <w:rPr>
              <w:sz w:val="24"/>
            </w:rPr>
            <w:t xml:space="preserve">三、 </w:t>
          </w:r>
          <w:r>
            <w:rPr>
              <w:rFonts w:hint="eastAsia"/>
              <w:sz w:val="24"/>
            </w:rPr>
            <w:t>支出决算情况说明</w:t>
            <w:tab/>
          </w:r>
          <w:r>
            <w:rPr>
              <w:rFonts w:hint="eastAsia"/>
              <w:sz w:val="24"/>
            </w:rPr>
            <w:fldChar w:fldCharType="begin"/>
          </w:r>
          <w:r>
            <w:rPr>
              <w:rFonts w:hint="eastAsia"/>
              <w:sz w:val="24"/>
            </w:rPr>
            <w:instrText xml:space="preserve"> PAGEREF _Toc21366 \h </w:instrText>
          </w:r>
          <w:r>
            <w:rPr>
              <w:rFonts w:hint="eastAsia"/>
              <w:sz w:val="24"/>
            </w:rPr>
            <w:fldChar w:fldCharType="separate"/>
          </w:r>
          <w:r>
            <w:rPr>
              <w:rFonts w:hint="eastAsia"/>
              <w:sz w:val="24"/>
            </w:rPr>
            <w:t>6</w:t>
          </w:r>
          <w:r>
            <w:rPr>
              <w:rFonts w:hint="eastAsia"/>
              <w:sz w:val="24"/>
            </w:rPr>
            <w:fldChar w:fldCharType="end"/>
          </w:r>
          <w:r>
            <w:rPr>
              <w:rFonts w:hint="eastAsia"/>
              <w:sz w:val="24"/>
            </w:rPr>
            <w:fldChar w:fldCharType="end"/>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400" w:firstLine="960"/>
            <w:jc w:val="left"/>
            <w:textAlignment w:val="auto"/>
            <w:rPr>
              <w:rFonts w:hint="eastAsia"/>
              <w:sz w:val="24"/>
            </w:rPr>
          </w:pPr>
          <w:r>
            <w:rPr>
              <w:rFonts w:hint="eastAsia"/>
              <w:sz w:val="24"/>
            </w:rPr>
            <w:fldChar w:fldCharType="begin"/>
          </w:r>
          <w:r>
            <w:rPr>
              <w:rFonts w:hint="eastAsia"/>
              <w:sz w:val="24"/>
            </w:rPr>
            <w:instrText xml:space="preserve"> HYPERLINK \l _Toc13342 </w:instrText>
          </w:r>
          <w:r>
            <w:rPr>
              <w:rFonts w:hint="eastAsia"/>
              <w:sz w:val="24"/>
            </w:rPr>
            <w:fldChar w:fldCharType="separate"/>
          </w:r>
          <w:r>
            <w:rPr>
              <w:rFonts w:hint="eastAsia"/>
              <w:sz w:val="24"/>
            </w:rPr>
            <w:t>四、财政拨款收入支出决算总体情况说明</w:t>
            <w:tab/>
          </w:r>
          <w:r>
            <w:rPr>
              <w:rFonts w:hint="eastAsia"/>
              <w:sz w:val="24"/>
            </w:rPr>
            <w:fldChar w:fldCharType="begin"/>
          </w:r>
          <w:r>
            <w:rPr>
              <w:rFonts w:hint="eastAsia"/>
              <w:sz w:val="24"/>
            </w:rPr>
            <w:instrText xml:space="preserve"> PAGEREF _Toc13342 \h </w:instrText>
          </w:r>
          <w:r>
            <w:rPr>
              <w:rFonts w:hint="eastAsia"/>
              <w:sz w:val="24"/>
            </w:rPr>
            <w:fldChar w:fldCharType="separate"/>
          </w:r>
          <w:r>
            <w:rPr>
              <w:rFonts w:hint="eastAsia"/>
              <w:sz w:val="24"/>
            </w:rPr>
            <w:t>7</w:t>
          </w:r>
          <w:r>
            <w:rPr>
              <w:rFonts w:hint="eastAsia"/>
              <w:sz w:val="24"/>
            </w:rPr>
            <w:fldChar w:fldCharType="end"/>
          </w:r>
          <w:r>
            <w:rPr>
              <w:rFonts w:hint="eastAsia"/>
              <w:sz w:val="24"/>
            </w:rPr>
            <w:fldChar w:fldCharType="end"/>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400" w:firstLine="960"/>
            <w:jc w:val="left"/>
            <w:textAlignment w:val="auto"/>
            <w:rPr>
              <w:rFonts w:hint="eastAsia"/>
              <w:sz w:val="24"/>
            </w:rPr>
          </w:pPr>
          <w:r>
            <w:rPr>
              <w:rFonts w:hint="eastAsia"/>
              <w:sz w:val="24"/>
            </w:rPr>
            <w:fldChar w:fldCharType="begin"/>
          </w:r>
          <w:r>
            <w:rPr>
              <w:rFonts w:hint="eastAsia"/>
              <w:sz w:val="24"/>
            </w:rPr>
            <w:instrText xml:space="preserve"> HYPERLINK \l _Toc18487 </w:instrText>
          </w:r>
          <w:r>
            <w:rPr>
              <w:rFonts w:hint="eastAsia"/>
              <w:sz w:val="24"/>
            </w:rPr>
            <w:fldChar w:fldCharType="separate"/>
          </w:r>
          <w:r>
            <w:rPr>
              <w:rFonts w:hint="eastAsia"/>
              <w:sz w:val="24"/>
            </w:rPr>
            <w:t>五、一般公共预算财政拨款支出决算情况说明</w:t>
            <w:tab/>
          </w:r>
          <w:r>
            <w:rPr>
              <w:rFonts w:hint="eastAsia"/>
              <w:sz w:val="24"/>
            </w:rPr>
            <w:fldChar w:fldCharType="begin"/>
          </w:r>
          <w:r>
            <w:rPr>
              <w:rFonts w:hint="eastAsia"/>
              <w:sz w:val="24"/>
            </w:rPr>
            <w:instrText xml:space="preserve"> PAGEREF _Toc18487 \h </w:instrText>
          </w:r>
          <w:r>
            <w:rPr>
              <w:rFonts w:hint="eastAsia"/>
              <w:sz w:val="24"/>
            </w:rPr>
            <w:fldChar w:fldCharType="separate"/>
          </w:r>
          <w:r>
            <w:rPr>
              <w:rFonts w:hint="eastAsia"/>
              <w:sz w:val="24"/>
            </w:rPr>
            <w:t>7</w:t>
          </w:r>
          <w:r>
            <w:rPr>
              <w:rFonts w:hint="eastAsia"/>
              <w:sz w:val="24"/>
            </w:rPr>
            <w:fldChar w:fldCharType="end"/>
          </w:r>
          <w:r>
            <w:rPr>
              <w:rFonts w:hint="eastAsia"/>
              <w:sz w:val="24"/>
            </w:rPr>
            <w:fldChar w:fldCharType="end"/>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400" w:firstLine="960"/>
            <w:jc w:val="left"/>
            <w:textAlignment w:val="auto"/>
            <w:rPr>
              <w:rFonts w:hint="eastAsia"/>
              <w:sz w:val="24"/>
            </w:rPr>
          </w:pPr>
          <w:r>
            <w:rPr>
              <w:rFonts w:hint="eastAsia"/>
              <w:sz w:val="24"/>
            </w:rPr>
            <w:fldChar w:fldCharType="begin"/>
          </w:r>
          <w:r>
            <w:rPr>
              <w:rFonts w:hint="eastAsia"/>
              <w:sz w:val="24"/>
            </w:rPr>
            <w:instrText xml:space="preserve"> HYPERLINK \l _Toc23248 </w:instrText>
          </w:r>
          <w:r>
            <w:rPr>
              <w:rFonts w:hint="eastAsia"/>
              <w:sz w:val="24"/>
            </w:rPr>
            <w:fldChar w:fldCharType="separate"/>
          </w:r>
          <w:r>
            <w:rPr>
              <w:rFonts w:hint="eastAsia"/>
              <w:sz w:val="24"/>
            </w:rPr>
            <w:t>六、一般公共预算财政拨款基本支出决算情况说明</w:t>
            <w:tab/>
          </w:r>
          <w:r>
            <w:rPr>
              <w:rFonts w:hint="eastAsia"/>
              <w:sz w:val="24"/>
            </w:rPr>
            <w:fldChar w:fldCharType="begin"/>
          </w:r>
          <w:r>
            <w:rPr>
              <w:rFonts w:hint="eastAsia"/>
              <w:sz w:val="24"/>
            </w:rPr>
            <w:instrText xml:space="preserve"> PAGEREF _Toc23248 \h </w:instrText>
          </w:r>
          <w:r>
            <w:rPr>
              <w:rFonts w:hint="eastAsia"/>
              <w:sz w:val="24"/>
            </w:rPr>
            <w:fldChar w:fldCharType="separate"/>
          </w:r>
          <w:r>
            <w:rPr>
              <w:rFonts w:hint="eastAsia"/>
              <w:sz w:val="24"/>
            </w:rPr>
            <w:t>9</w:t>
          </w:r>
          <w:r>
            <w:rPr>
              <w:rFonts w:hint="eastAsia"/>
              <w:sz w:val="24"/>
            </w:rPr>
            <w:fldChar w:fldCharType="end"/>
          </w:r>
          <w:r>
            <w:rPr>
              <w:rFonts w:hint="eastAsia"/>
              <w:sz w:val="24"/>
            </w:rPr>
            <w:fldChar w:fldCharType="end"/>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400" w:firstLine="960"/>
            <w:jc w:val="left"/>
            <w:textAlignment w:val="auto"/>
            <w:rPr>
              <w:rFonts w:hint="eastAsia"/>
              <w:sz w:val="24"/>
            </w:rPr>
          </w:pPr>
          <w:r>
            <w:rPr>
              <w:rFonts w:hint="eastAsia"/>
              <w:sz w:val="24"/>
            </w:rPr>
            <w:fldChar w:fldCharType="begin"/>
          </w:r>
          <w:r>
            <w:rPr>
              <w:rFonts w:hint="eastAsia"/>
              <w:sz w:val="24"/>
            </w:rPr>
            <w:instrText xml:space="preserve"> HYPERLINK \l _Toc3003 </w:instrText>
          </w:r>
          <w:r>
            <w:rPr>
              <w:rFonts w:hint="eastAsia"/>
              <w:sz w:val="24"/>
            </w:rPr>
            <w:fldChar w:fldCharType="separate"/>
          </w:r>
          <w:r>
            <w:rPr>
              <w:rFonts w:hint="eastAsia"/>
              <w:sz w:val="24"/>
            </w:rPr>
            <w:t>七、财政拨款“三公”经费支出决算情况说明</w:t>
            <w:tab/>
          </w:r>
          <w:r>
            <w:rPr>
              <w:rFonts w:hint="eastAsia"/>
              <w:sz w:val="24"/>
            </w:rPr>
            <w:fldChar w:fldCharType="begin"/>
          </w:r>
          <w:r>
            <w:rPr>
              <w:rFonts w:hint="eastAsia"/>
              <w:sz w:val="24"/>
            </w:rPr>
            <w:instrText xml:space="preserve"> PAGEREF _Toc3003 \h </w:instrText>
          </w:r>
          <w:r>
            <w:rPr>
              <w:rFonts w:hint="eastAsia"/>
              <w:sz w:val="24"/>
            </w:rPr>
            <w:fldChar w:fldCharType="separate"/>
          </w:r>
          <w:r>
            <w:rPr>
              <w:rFonts w:hint="eastAsia"/>
              <w:sz w:val="24"/>
            </w:rPr>
            <w:t>10</w:t>
          </w:r>
          <w:r>
            <w:rPr>
              <w:rFonts w:hint="eastAsia"/>
              <w:sz w:val="24"/>
            </w:rPr>
            <w:fldChar w:fldCharType="end"/>
          </w:r>
          <w:r>
            <w:rPr>
              <w:rFonts w:hint="eastAsia"/>
              <w:sz w:val="24"/>
            </w:rPr>
            <w:fldChar w:fldCharType="end"/>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400" w:firstLine="960"/>
            <w:jc w:val="left"/>
            <w:textAlignment w:val="auto"/>
            <w:rPr>
              <w:rFonts w:hint="eastAsia"/>
              <w:sz w:val="24"/>
            </w:rPr>
          </w:pPr>
          <w:r>
            <w:rPr>
              <w:rFonts w:hint="eastAsia"/>
              <w:sz w:val="24"/>
            </w:rPr>
            <w:fldChar w:fldCharType="begin"/>
          </w:r>
          <w:r>
            <w:rPr>
              <w:rFonts w:hint="eastAsia"/>
              <w:sz w:val="24"/>
            </w:rPr>
            <w:instrText xml:space="preserve"> HYPERLINK \l _Toc7512 </w:instrText>
          </w:r>
          <w:r>
            <w:rPr>
              <w:rFonts w:hint="eastAsia"/>
              <w:sz w:val="24"/>
            </w:rPr>
            <w:fldChar w:fldCharType="separate"/>
          </w:r>
          <w:r>
            <w:rPr>
              <w:rFonts w:hint="eastAsia"/>
              <w:sz w:val="24"/>
            </w:rPr>
            <w:t>八、政府性基金预算支出决算情况说明</w:t>
            <w:tab/>
          </w:r>
          <w:r>
            <w:rPr>
              <w:rFonts w:hint="eastAsia"/>
              <w:sz w:val="24"/>
            </w:rPr>
            <w:fldChar w:fldCharType="begin"/>
          </w:r>
          <w:r>
            <w:rPr>
              <w:rFonts w:hint="eastAsia"/>
              <w:sz w:val="24"/>
            </w:rPr>
            <w:instrText xml:space="preserve"> PAGEREF _Toc7512 \h </w:instrText>
          </w:r>
          <w:r>
            <w:rPr>
              <w:rFonts w:hint="eastAsia"/>
              <w:sz w:val="24"/>
            </w:rPr>
            <w:fldChar w:fldCharType="separate"/>
          </w:r>
          <w:r>
            <w:rPr>
              <w:rFonts w:hint="eastAsia"/>
              <w:sz w:val="24"/>
            </w:rPr>
            <w:t>12</w:t>
          </w:r>
          <w:r>
            <w:rPr>
              <w:rFonts w:hint="eastAsia"/>
              <w:sz w:val="24"/>
            </w:rPr>
            <w:fldChar w:fldCharType="end"/>
          </w:r>
          <w:r>
            <w:rPr>
              <w:rFonts w:hint="eastAsia"/>
              <w:sz w:val="24"/>
            </w:rPr>
            <w:fldChar w:fldCharType="end"/>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400" w:firstLine="960"/>
            <w:jc w:val="left"/>
            <w:textAlignment w:val="auto"/>
            <w:rPr>
              <w:rFonts w:hint="eastAsia"/>
              <w:sz w:val="24"/>
            </w:rPr>
          </w:pPr>
          <w:r>
            <w:rPr>
              <w:rFonts w:hint="eastAsia"/>
              <w:sz w:val="24"/>
            </w:rPr>
            <w:fldChar w:fldCharType="begin"/>
          </w:r>
          <w:r>
            <w:rPr>
              <w:rFonts w:hint="eastAsia"/>
              <w:sz w:val="24"/>
            </w:rPr>
            <w:instrText xml:space="preserve"> HYPERLINK \l _Toc3475 </w:instrText>
          </w:r>
          <w:r>
            <w:rPr>
              <w:rFonts w:hint="eastAsia"/>
              <w:sz w:val="24"/>
            </w:rPr>
            <w:fldChar w:fldCharType="separate"/>
          </w:r>
          <w:r>
            <w:rPr>
              <w:rFonts w:hint="eastAsia"/>
              <w:sz w:val="24"/>
            </w:rPr>
            <w:t>九、 国有资本经营预算支出决算情况说明</w:t>
            <w:tab/>
          </w:r>
          <w:r>
            <w:rPr>
              <w:rFonts w:hint="eastAsia"/>
              <w:sz w:val="24"/>
            </w:rPr>
            <w:fldChar w:fldCharType="begin"/>
          </w:r>
          <w:r>
            <w:rPr>
              <w:rFonts w:hint="eastAsia"/>
              <w:sz w:val="24"/>
            </w:rPr>
            <w:instrText xml:space="preserve"> PAGEREF _Toc3475 \h </w:instrText>
          </w:r>
          <w:r>
            <w:rPr>
              <w:rFonts w:hint="eastAsia"/>
              <w:sz w:val="24"/>
            </w:rPr>
            <w:fldChar w:fldCharType="separate"/>
          </w:r>
          <w:r>
            <w:rPr>
              <w:rFonts w:hint="eastAsia"/>
              <w:sz w:val="24"/>
            </w:rPr>
            <w:t>12</w:t>
          </w:r>
          <w:r>
            <w:rPr>
              <w:rFonts w:hint="eastAsia"/>
              <w:sz w:val="24"/>
            </w:rPr>
            <w:fldChar w:fldCharType="end"/>
          </w:r>
          <w:r>
            <w:rPr>
              <w:rFonts w:hint="eastAsia"/>
              <w:sz w:val="24"/>
            </w:rPr>
            <w:fldChar w:fldCharType="end"/>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400" w:firstLine="960"/>
            <w:jc w:val="left"/>
            <w:textAlignment w:val="auto"/>
            <w:rPr>
              <w:rFonts w:hint="eastAsia"/>
              <w:sz w:val="24"/>
            </w:rPr>
          </w:pPr>
          <w:r>
            <w:rPr>
              <w:rFonts w:hint="eastAsia"/>
              <w:sz w:val="24"/>
            </w:rPr>
            <w:fldChar w:fldCharType="begin"/>
          </w:r>
          <w:r>
            <w:rPr>
              <w:rFonts w:hint="eastAsia"/>
              <w:sz w:val="24"/>
            </w:rPr>
            <w:instrText xml:space="preserve"> HYPERLINK \l _Toc22296 </w:instrText>
          </w:r>
          <w:r>
            <w:rPr>
              <w:rFonts w:hint="eastAsia"/>
              <w:sz w:val="24"/>
            </w:rPr>
            <w:fldChar w:fldCharType="separate"/>
          </w:r>
          <w:r>
            <w:rPr>
              <w:rFonts w:hint="eastAsia"/>
              <w:sz w:val="24"/>
            </w:rPr>
            <w:t>十、 其他重要事项的情况说明</w:t>
            <w:tab/>
          </w:r>
          <w:r>
            <w:rPr>
              <w:rFonts w:hint="eastAsia"/>
              <w:sz w:val="24"/>
            </w:rPr>
            <w:fldChar w:fldCharType="begin"/>
          </w:r>
          <w:r>
            <w:rPr>
              <w:rFonts w:hint="eastAsia"/>
              <w:sz w:val="24"/>
            </w:rPr>
            <w:instrText xml:space="preserve"> PAGEREF _Toc22296 \h </w:instrText>
          </w:r>
          <w:r>
            <w:rPr>
              <w:rFonts w:hint="eastAsia"/>
              <w:sz w:val="24"/>
            </w:rPr>
            <w:fldChar w:fldCharType="separate"/>
          </w:r>
          <w:r>
            <w:rPr>
              <w:rFonts w:hint="eastAsia"/>
              <w:sz w:val="24"/>
            </w:rPr>
            <w:t>12</w:t>
          </w:r>
          <w:r>
            <w:rPr>
              <w:rFonts w:hint="eastAsia"/>
              <w:sz w:val="24"/>
            </w:rPr>
            <w:fldChar w:fldCharType="end"/>
          </w:r>
          <w:r>
            <w:rPr>
              <w:rFonts w:hint="eastAsia"/>
              <w:sz w:val="24"/>
            </w:rPr>
            <w:fldChar w:fldCharType="end"/>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200" w:firstLine="480"/>
            <w:jc w:val="left"/>
            <w:textAlignment w:val="auto"/>
            <w:rPr>
              <w:rFonts w:hint="eastAsia"/>
              <w:sz w:val="24"/>
            </w:rPr>
          </w:pPr>
          <w:r>
            <w:rPr>
              <w:rFonts w:hint="eastAsia"/>
              <w:sz w:val="24"/>
            </w:rPr>
            <w:fldChar w:fldCharType="begin"/>
          </w:r>
          <w:r>
            <w:rPr>
              <w:rFonts w:hint="eastAsia"/>
              <w:sz w:val="24"/>
            </w:rPr>
            <w:instrText xml:space="preserve"> HYPERLINK \l _Toc20378 </w:instrText>
          </w:r>
          <w:r>
            <w:rPr>
              <w:rFonts w:hint="eastAsia"/>
              <w:sz w:val="24"/>
            </w:rPr>
            <w:fldChar w:fldCharType="separate"/>
          </w:r>
          <w:r>
            <w:rPr>
              <w:rFonts w:hint="eastAsia"/>
              <w:sz w:val="24"/>
            </w:rPr>
            <w:t>第三部分 名词解释</w:t>
            <w:tab/>
          </w:r>
          <w:r>
            <w:rPr>
              <w:rFonts w:hint="eastAsia"/>
              <w:sz w:val="24"/>
            </w:rPr>
            <w:fldChar w:fldCharType="begin"/>
          </w:r>
          <w:r>
            <w:rPr>
              <w:rFonts w:hint="eastAsia"/>
              <w:sz w:val="24"/>
            </w:rPr>
            <w:instrText xml:space="preserve"> PAGEREF _Toc20378 \h </w:instrText>
          </w:r>
          <w:r>
            <w:rPr>
              <w:rFonts w:hint="eastAsia"/>
              <w:sz w:val="24"/>
            </w:rPr>
            <w:fldChar w:fldCharType="separate"/>
          </w:r>
          <w:r>
            <w:rPr>
              <w:rFonts w:hint="eastAsia"/>
              <w:sz w:val="24"/>
            </w:rPr>
            <w:t>15</w:t>
          </w:r>
          <w:r>
            <w:rPr>
              <w:rFonts w:hint="eastAsia"/>
              <w:sz w:val="24"/>
            </w:rPr>
            <w:fldChar w:fldCharType="end"/>
          </w:r>
          <w:r>
            <w:rPr>
              <w:rFonts w:hint="eastAsia"/>
              <w:sz w:val="24"/>
            </w:rPr>
            <w:fldChar w:fldCharType="end"/>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200" w:firstLine="480"/>
            <w:jc w:val="left"/>
            <w:textAlignment w:val="auto"/>
            <w:rPr>
              <w:rFonts w:hint="eastAsia"/>
              <w:sz w:val="24"/>
            </w:rPr>
          </w:pPr>
          <w:r>
            <w:rPr>
              <w:rFonts w:hint="eastAsia"/>
              <w:sz w:val="24"/>
            </w:rPr>
            <w:fldChar w:fldCharType="begin"/>
          </w:r>
          <w:r>
            <w:rPr>
              <w:rFonts w:hint="eastAsia"/>
              <w:sz w:val="24"/>
            </w:rPr>
            <w:instrText xml:space="preserve"> HYPERLINK \l _Toc14112 </w:instrText>
          </w:r>
          <w:r>
            <w:rPr>
              <w:rFonts w:hint="eastAsia"/>
              <w:sz w:val="24"/>
            </w:rPr>
            <w:fldChar w:fldCharType="separate"/>
          </w:r>
          <w:r>
            <w:rPr>
              <w:rFonts w:hint="eastAsia"/>
              <w:sz w:val="24"/>
            </w:rPr>
            <w:t>第四部分 附件</w:t>
            <w:tab/>
          </w:r>
          <w:r>
            <w:rPr>
              <w:rFonts w:hint="eastAsia"/>
              <w:sz w:val="24"/>
            </w:rPr>
            <w:fldChar w:fldCharType="begin"/>
          </w:r>
          <w:r>
            <w:rPr>
              <w:rFonts w:hint="eastAsia"/>
              <w:sz w:val="24"/>
            </w:rPr>
            <w:instrText xml:space="preserve"> PAGEREF _Toc14112 \h </w:instrText>
          </w:r>
          <w:r>
            <w:rPr>
              <w:rFonts w:hint="eastAsia"/>
              <w:sz w:val="24"/>
            </w:rPr>
            <w:fldChar w:fldCharType="separate"/>
          </w:r>
          <w:r>
            <w:rPr>
              <w:rFonts w:hint="eastAsia"/>
              <w:sz w:val="24"/>
            </w:rPr>
            <w:t>18</w:t>
          </w:r>
          <w:r>
            <w:rPr>
              <w:rFonts w:hint="eastAsia"/>
              <w:sz w:val="24"/>
            </w:rPr>
            <w:fldChar w:fldCharType="end"/>
          </w:r>
          <w:r>
            <w:rPr>
              <w:rFonts w:hint="eastAsia"/>
              <w:sz w:val="24"/>
            </w:rPr>
            <w:fldChar w:fldCharType="end"/>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200" w:firstLine="480"/>
            <w:jc w:val="left"/>
            <w:textAlignment w:val="auto"/>
            <w:rPr>
              <w:rFonts w:eastAsia="宋体" w:hint="eastAsia"/>
              <w:sz w:val="24"/>
              <w:lang w:val="en-US" w:eastAsia="zh-CN"/>
            </w:rPr>
          </w:pPr>
          <w:r>
            <w:rPr>
              <w:rFonts w:hint="eastAsia"/>
              <w:sz w:val="24"/>
            </w:rPr>
            <w:fldChar w:fldCharType="begin"/>
          </w:r>
          <w:r>
            <w:rPr>
              <w:rFonts w:hint="eastAsia"/>
              <w:sz w:val="24"/>
            </w:rPr>
            <w:instrText xml:space="preserve"> HYPERLINK \l _Toc5665 </w:instrText>
          </w:r>
          <w:r>
            <w:rPr>
              <w:rFonts w:hint="eastAsia"/>
              <w:sz w:val="24"/>
            </w:rPr>
            <w:fldChar w:fldCharType="separate"/>
          </w:r>
          <w:r>
            <w:rPr>
              <w:rFonts w:hint="eastAsia"/>
              <w:sz w:val="24"/>
            </w:rPr>
            <w:t>第五部分 附表</w:t>
            <w:tab/>
          </w:r>
          <w:r>
            <w:rPr>
              <w:rFonts w:hint="eastAsia"/>
              <w:sz w:val="24"/>
              <w:lang w:val="en-US" w:eastAsia="zh-CN"/>
            </w:rPr>
            <w:t>4</w:t>
          </w:r>
          <w:r>
            <w:rPr>
              <w:rFonts w:hint="eastAsia"/>
              <w:sz w:val="24"/>
            </w:rPr>
            <w:fldChar w:fldCharType="end"/>
          </w:r>
          <w:r>
            <w:rPr>
              <w:rFonts w:hint="eastAsia"/>
              <w:sz w:val="24"/>
              <w:lang w:val="en-US" w:eastAsia="zh-CN"/>
            </w:rPr>
            <w:t>7</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400" w:firstLine="960"/>
            <w:jc w:val="left"/>
            <w:textAlignment w:val="auto"/>
            <w:rPr>
              <w:sz w:val="24"/>
              <w:lang w:val="en-US" w:eastAsia="zh-CN"/>
            </w:rPr>
          </w:pPr>
          <w:r>
            <w:rPr>
              <w:rFonts w:hint="eastAsia"/>
              <w:sz w:val="24"/>
            </w:rPr>
            <w:t>一、收入支出决算总表</w:t>
          </w:r>
          <w:r>
            <w:rPr>
              <w:rFonts w:hint="eastAsia"/>
              <w:sz w:val="24"/>
              <w:lang w:val="en-US" w:eastAsia="zh-CN"/>
            </w:rPr>
            <w:t>.........................................................................47</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400" w:firstLine="960"/>
            <w:jc w:val="left"/>
            <w:textAlignment w:val="auto"/>
            <w:rPr>
              <w:sz w:val="24"/>
              <w:lang w:val="en-US" w:eastAsia="zh-CN"/>
            </w:rPr>
          </w:pPr>
          <w:r>
            <w:rPr>
              <w:rFonts w:hint="eastAsia"/>
              <w:sz w:val="24"/>
            </w:rPr>
            <w:t>二、收入决算表</w:t>
          </w:r>
          <w:r>
            <w:rPr>
              <w:rFonts w:hint="eastAsia"/>
              <w:sz w:val="24"/>
              <w:lang w:val="en-US" w:eastAsia="zh-CN"/>
            </w:rPr>
            <w:t>.....................................................................................47</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400" w:firstLine="960"/>
            <w:jc w:val="left"/>
            <w:textAlignment w:val="auto"/>
            <w:rPr>
              <w:sz w:val="24"/>
              <w:lang w:val="en-US" w:eastAsia="zh-CN"/>
            </w:rPr>
          </w:pPr>
          <w:r>
            <w:rPr>
              <w:rFonts w:hint="eastAsia"/>
              <w:sz w:val="24"/>
            </w:rPr>
            <w:t>三、支出决算表</w:t>
          </w:r>
          <w:r>
            <w:rPr>
              <w:rFonts w:hint="eastAsia"/>
              <w:sz w:val="24"/>
              <w:lang w:val="en-US" w:eastAsia="zh-CN"/>
            </w:rPr>
            <w:t>....................................................................................47</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400" w:firstLine="960"/>
            <w:jc w:val="left"/>
            <w:textAlignment w:val="auto"/>
            <w:rPr>
              <w:sz w:val="24"/>
              <w:lang w:val="en-US" w:eastAsia="zh-CN"/>
            </w:rPr>
          </w:pPr>
          <w:r>
            <w:rPr>
              <w:rFonts w:hint="eastAsia"/>
              <w:sz w:val="24"/>
            </w:rPr>
            <w:t>四、财政拨款收入支出决算总表</w:t>
          </w:r>
          <w:r>
            <w:rPr>
              <w:rFonts w:hint="eastAsia"/>
              <w:sz w:val="24"/>
              <w:lang w:val="en-US" w:eastAsia="zh-CN"/>
            </w:rPr>
            <w:t>........................................................47</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400" w:firstLine="960"/>
            <w:jc w:val="left"/>
            <w:textAlignment w:val="auto"/>
            <w:rPr>
              <w:sz w:val="24"/>
              <w:lang w:val="en-US" w:eastAsia="zh-CN"/>
            </w:rPr>
          </w:pPr>
          <w:r>
            <w:rPr>
              <w:rFonts w:hint="eastAsia"/>
              <w:sz w:val="24"/>
            </w:rPr>
            <w:t>五、财政拨款支出决算明细表</w:t>
          </w:r>
          <w:r>
            <w:rPr>
              <w:rFonts w:hint="eastAsia"/>
              <w:sz w:val="24"/>
              <w:lang w:val="en-US" w:eastAsia="zh-CN"/>
            </w:rPr>
            <w:t>.............................................................47</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400" w:firstLine="960"/>
            <w:jc w:val="left"/>
            <w:textAlignment w:val="auto"/>
            <w:rPr>
              <w:sz w:val="24"/>
              <w:lang w:val="en-US" w:eastAsia="zh-CN"/>
            </w:rPr>
          </w:pPr>
          <w:r>
            <w:rPr>
              <w:rFonts w:hint="eastAsia"/>
              <w:sz w:val="24"/>
            </w:rPr>
            <w:t>六、一般公共预算财政拨款支出决算表</w:t>
          </w:r>
          <w:r>
            <w:rPr>
              <w:rFonts w:hint="eastAsia"/>
              <w:sz w:val="24"/>
              <w:lang w:val="en-US" w:eastAsia="zh-CN"/>
            </w:rPr>
            <w:t>.............................................47</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400" w:firstLine="960"/>
            <w:jc w:val="left"/>
            <w:textAlignment w:val="auto"/>
            <w:rPr>
              <w:sz w:val="24"/>
              <w:lang w:val="en-US" w:eastAsia="zh-CN"/>
            </w:rPr>
          </w:pPr>
          <w:r>
            <w:rPr>
              <w:rFonts w:hint="eastAsia"/>
              <w:sz w:val="24"/>
            </w:rPr>
            <w:t>七、一般公共预算财政拨款支出决算明细表</w:t>
          </w:r>
          <w:r>
            <w:rPr>
              <w:rFonts w:hint="eastAsia"/>
              <w:sz w:val="24"/>
              <w:lang w:val="en-US" w:eastAsia="zh-CN"/>
            </w:rPr>
            <w:t>....................................47</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400" w:firstLine="960"/>
            <w:jc w:val="left"/>
            <w:textAlignment w:val="auto"/>
            <w:rPr>
              <w:sz w:val="24"/>
              <w:lang w:val="en-US" w:eastAsia="zh-CN"/>
            </w:rPr>
          </w:pPr>
          <w:r>
            <w:rPr>
              <w:rFonts w:hint="eastAsia"/>
              <w:sz w:val="24"/>
            </w:rPr>
            <w:t>八、一般公共预算财政拨款基本支出决算明细表</w:t>
          </w:r>
          <w:r>
            <w:rPr>
              <w:rFonts w:hint="eastAsia"/>
              <w:sz w:val="24"/>
              <w:lang w:val="en-US" w:eastAsia="zh-CN"/>
            </w:rPr>
            <w:t>............................47</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400" w:firstLine="960"/>
            <w:jc w:val="left"/>
            <w:textAlignment w:val="auto"/>
            <w:rPr>
              <w:sz w:val="24"/>
              <w:lang w:val="en-US" w:eastAsia="zh-CN"/>
            </w:rPr>
          </w:pPr>
          <w:r>
            <w:rPr>
              <w:rFonts w:hint="eastAsia"/>
              <w:sz w:val="24"/>
            </w:rPr>
            <w:t>九、一般公共预算财政拨款项目支出决算表</w:t>
          </w:r>
          <w:r>
            <w:rPr>
              <w:rFonts w:hint="eastAsia"/>
              <w:sz w:val="24"/>
              <w:lang w:val="en-US" w:eastAsia="zh-CN"/>
            </w:rPr>
            <w:t>....................................47</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400" w:firstLine="960"/>
            <w:jc w:val="left"/>
            <w:textAlignment w:val="auto"/>
            <w:rPr>
              <w:sz w:val="24"/>
              <w:lang w:val="en-US" w:eastAsia="zh-CN"/>
            </w:rPr>
          </w:pPr>
          <w:r>
            <w:rPr>
              <w:rFonts w:hint="eastAsia"/>
              <w:sz w:val="24"/>
            </w:rPr>
            <w:t>十、政府性基金预算财政拨款收入支出决算表</w:t>
          </w:r>
          <w:r>
            <w:rPr>
              <w:rFonts w:hint="eastAsia"/>
              <w:sz w:val="24"/>
              <w:lang w:val="en-US" w:eastAsia="zh-CN"/>
            </w:rPr>
            <w:t>.................................47</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400" w:firstLine="960"/>
            <w:jc w:val="left"/>
            <w:textAlignment w:val="auto"/>
            <w:rPr>
              <w:sz w:val="24"/>
              <w:lang w:val="en-US" w:eastAsia="zh-CN"/>
            </w:rPr>
          </w:pPr>
          <w:r>
            <w:rPr>
              <w:rFonts w:hint="eastAsia"/>
              <w:sz w:val="24"/>
            </w:rPr>
            <w:t>十一、国有资本经营预算财政拨款收入支出决算表</w:t>
          </w:r>
          <w:r>
            <w:rPr>
              <w:rFonts w:hint="eastAsia"/>
              <w:sz w:val="24"/>
              <w:lang w:val="en-US" w:eastAsia="zh-CN"/>
            </w:rPr>
            <w:t>........................47</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400" w:firstLine="960"/>
            <w:jc w:val="left"/>
            <w:textAlignment w:val="auto"/>
            <w:rPr>
              <w:sz w:val="24"/>
              <w:lang w:val="en-US" w:eastAsia="zh-CN"/>
            </w:rPr>
          </w:pPr>
          <w:r>
            <w:rPr>
              <w:rFonts w:hint="eastAsia"/>
              <w:sz w:val="24"/>
            </w:rPr>
            <w:t>十二、国有资本经营预算财政拨款支出决算表</w:t>
          </w:r>
          <w:r>
            <w:rPr>
              <w:rFonts w:hint="eastAsia"/>
              <w:sz w:val="24"/>
              <w:lang w:val="en-US" w:eastAsia="zh-CN"/>
            </w:rPr>
            <w:t>.................................47</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line="420" w:lineRule="exact"/>
            <w:ind w:firstLineChars="400" w:firstLine="960"/>
            <w:jc w:val="left"/>
            <w:textAlignment w:val="auto"/>
            <w:rPr>
              <w:rFonts w:hint="eastAsia"/>
              <w:sz w:val="24"/>
              <w:lang w:val="en-US" w:eastAsia="zh-CN"/>
            </w:rPr>
          </w:pPr>
          <w:r>
            <w:rPr>
              <w:rFonts w:hint="eastAsia"/>
              <w:sz w:val="24"/>
            </w:rPr>
            <w:t>十三、财政拨款“三公”经费支出决算表</w:t>
          </w:r>
          <w:r>
            <w:rPr>
              <w:rFonts w:hint="eastAsia"/>
              <w:sz w:val="24"/>
            </w:rPr>
            <w:fldChar w:fldCharType="end"/>
          </w:r>
          <w:r>
            <w:rPr>
              <w:rFonts w:hint="eastAsia"/>
              <w:sz w:val="24"/>
              <w:lang w:val="en-US" w:eastAsia="zh-CN"/>
            </w:rPr>
            <w:t>........................................47</w:t>
          </w:r>
        </w:p>
      </w:sdtContent>
    </w:sdt>
    <w:p>
      <w:pPr>
        <w:pStyle w:val="1"/>
        <w:jc w:val="center"/>
        <w:rPr>
          <w:rStyle w:val="1Char"/>
          <w:rFonts w:ascii="黑体" w:eastAsia="黑体"/>
          <w:b/>
          <w:bCs w:val="0"/>
        </w:rPr>
      </w:pPr>
      <w:bookmarkStart w:id="17" w:name="_Toc30534"/>
      <w:r>
        <w:rPr>
          <w:rFonts w:ascii="黑体" w:eastAsia="黑体" w:hint="eastAsia"/>
          <w:b w:val="0"/>
        </w:rPr>
        <w:t xml:space="preserve">第一部分 </w:t>
      </w:r>
      <w:r>
        <w:rPr>
          <w:rStyle w:val="1Char"/>
          <w:rFonts w:ascii="黑体" w:eastAsia="黑体" w:hint="eastAsia"/>
          <w:b w:val="0"/>
          <w:bCs w:val="0"/>
        </w:rPr>
        <w:t>部门概况</w:t>
      </w:r>
      <w:bookmarkEnd w:id="14"/>
      <w:bookmarkEnd w:id="15"/>
      <w:bookmarkEnd w:id="17"/>
    </w:p>
    <w:p>
      <w:pPr>
        <w:widowControl/>
        <w:jc w:val="left"/>
        <w:rPr>
          <w:rFonts w:ascii="黑体" w:eastAsia="黑体"/>
          <w:sz w:val="32"/>
          <w:szCs w:val="32"/>
        </w:rPr>
      </w:pPr>
    </w:p>
    <w:p>
      <w:pPr>
        <w:pStyle w:val="2"/>
        <w:numPr>
          <w:ilvl w:val="0"/>
          <w:numId w:val="1"/>
        </w:numPr>
        <w:rPr>
          <w:rFonts w:ascii="黑体" w:eastAsia="黑体" w:hint="eastAsia"/>
          <w:b w:val="0"/>
        </w:rPr>
      </w:pPr>
      <w:bookmarkStart w:id="18" w:name="_Toc27756"/>
      <w:r>
        <w:rPr>
          <w:rFonts w:ascii="黑体" w:eastAsia="黑体" w:hint="eastAsia"/>
          <w:b w:val="0"/>
        </w:rPr>
        <w:t>部门职责</w:t>
      </w:r>
      <w:bookmarkEnd w:id="18"/>
    </w:p>
    <w:p>
      <w:pPr>
        <w:pStyle w:val="2"/>
        <w:spacing w:before="0" w:after="0" w:line="240" w:lineRule="auto"/>
        <w:ind w:leftChars="153" w:left="641" w:hangingChars="100" w:hanging="320"/>
        <w:rPr>
          <w:rFonts w:ascii="楷体" w:eastAsia="楷体" w:cs="楷体" w:hint="eastAsia"/>
          <w:color w:val="000000"/>
        </w:rPr>
      </w:pPr>
      <w:bookmarkStart w:id="19" w:name="_Toc9136"/>
      <w:r>
        <w:rPr>
          <w:rFonts w:ascii="楷体" w:eastAsia="楷体" w:cs="楷体" w:hint="eastAsia"/>
          <w:color w:val="000000"/>
        </w:rPr>
        <w:t>（一）主要职能</w:t>
      </w:r>
      <w:bookmarkStart w:id="20" w:name="_Toc15377199"/>
      <w:bookmarkStart w:id="21" w:name="_Toc15378446"/>
      <w:bookmarkEnd w:id="19"/>
    </w:p>
    <w:p>
      <w:pPr>
        <w:spacing w:line="578" w:lineRule="exact"/>
        <w:ind w:left="0"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负责党和国家领导人（含曾经担任）、省委、省人大、省政府、省政协、州委、州人大、州政府、州政协领导（含曾经担任）来县的服务保障。按照有关规定负责和参与党中央、国务院、省委、省政府、州委、州政府的巡视、检查、督查（督导、督察）、考察、调研、考核、审计等工作组来县的服务保障。负责外省（区、市、州、县）党委、政府领导干部来县的服务保障；负责中央和国家机关各部委领导干部、省委、省政府及省级部门领导干部、州委、州政府及州级部门领导干部来县的服务保障；参与县人大常委会办公室、县政协办公室牵头对口接待的领导干部来县的服务保障。负责或参与外省（区、市、州、县）党政代表团来县考察的协调联络和服务保障。负责我县党政代表团赴外省（州、市、区、县）考察的协调联络和服务保障。负责县委、县政府交办的由县公务服务中心承担的外事接待和招商引资事项的服务保障。按照中央八项规定、省政府十项规定、州委、州政府八条意见及实施细则要求，负责联系协调县级有关部门及关联单位承办县委、县政府重大公务活动的服务工作。会同县级有关部门承担县委、县政府交办的大型会议、活动的接待服务保障工作。指导乡（镇）、县级部门的公务活动服务保障工作，参与拟定全县公务服务相关规定。完成县委、县政府交办的其他任务。</w:t>
      </w:r>
    </w:p>
    <w:p>
      <w:pPr>
        <w:pStyle w:val="2"/>
        <w:spacing w:before="0" w:after="0" w:line="240" w:lineRule="auto"/>
        <w:ind w:leftChars="153" w:left="641" w:hangingChars="100" w:hanging="320"/>
        <w:rPr>
          <w:rFonts w:ascii="楷体" w:eastAsia="楷体" w:cs="楷体" w:hint="eastAsia"/>
          <w:color w:val="000000"/>
        </w:rPr>
      </w:pPr>
      <w:bookmarkStart w:id="22" w:name="_Toc1908"/>
      <w:bookmarkStart w:id="23" w:name="_Toc28227"/>
      <w:bookmarkStart w:id="24" w:name="_Toc10692"/>
      <w:bookmarkStart w:id="25" w:name="_Toc9486"/>
      <w:bookmarkStart w:id="26" w:name="_Toc18962"/>
      <w:r>
        <w:rPr>
          <w:rFonts w:ascii="楷体" w:eastAsia="楷体" w:cs="楷体" w:hint="eastAsia"/>
          <w:color w:val="000000"/>
          <w:lang w:eastAsia="zh-CN"/>
        </w:rPr>
        <w:t>　</w:t>
      </w:r>
      <w:bookmarkStart w:id="27" w:name="_Toc8561"/>
      <w:r>
        <w:rPr>
          <w:rFonts w:ascii="楷体" w:eastAsia="楷体" w:cs="楷体" w:hint="eastAsia"/>
          <w:color w:val="000000"/>
        </w:rPr>
        <w:t>（二）</w:t>
      </w:r>
      <w:r>
        <w:rPr>
          <w:rFonts w:ascii="楷体" w:eastAsia="楷体" w:cs="楷体" w:hint="eastAsia"/>
          <w:color w:val="000000"/>
          <w:lang w:val="en-US" w:eastAsia="zh-CN"/>
        </w:rPr>
        <w:t>2024年</w:t>
      </w:r>
      <w:r>
        <w:rPr>
          <w:rFonts w:ascii="楷体" w:eastAsia="楷体" w:cs="楷体" w:hint="eastAsia"/>
          <w:color w:val="000000"/>
        </w:rPr>
        <w:t>重点工作完成情况</w:t>
      </w:r>
      <w:bookmarkEnd w:id="20"/>
      <w:bookmarkEnd w:id="21"/>
      <w:bookmarkEnd w:id="22"/>
      <w:bookmarkEnd w:id="23"/>
      <w:bookmarkEnd w:id="24"/>
      <w:bookmarkEnd w:id="25"/>
      <w:bookmarkEnd w:id="26"/>
      <w:bookmarkEnd w:id="27"/>
    </w:p>
    <w:p>
      <w:pPr>
        <w:spacing w:line="578" w:lineRule="exact"/>
        <w:ind w:left="0" w:firstLineChars="200" w:firstLine="640"/>
      </w:pPr>
      <w:r>
        <w:rPr>
          <w:rFonts w:ascii="仿宋_GB2312" w:eastAsia="仿宋_GB2312" w:cs="仿宋_GB2312" w:hint="eastAsia"/>
          <w:sz w:val="32"/>
          <w:szCs w:val="32"/>
          <w:lang w:eastAsia="zh-CN"/>
        </w:rPr>
        <w:t>根据县委、县政府关于2024年全县工作的总体部署，负责公务接待的管理和指导工作，完成全县公务接待管理部门承担的接待任务；负责联系协调县级有关部门及关联单位承办县委、县政府重大公务活动的服务工作；会同县级有关部门承担县委、县政府交办的大型会议、活动的接待服务保障工作；指导乡（镇）、县级部门的公务活动服务保障工作，完成县委、县政府交办的其他任务。</w:t>
      </w:r>
    </w:p>
    <w:p>
      <w:pPr>
        <w:pStyle w:val="2"/>
        <w:rPr>
          <w:rStyle w:val="2Char"/>
          <w:b w:val="0"/>
          <w:bCs w:val="0"/>
        </w:rPr>
      </w:pPr>
      <w:bookmarkStart w:id="28" w:name="_Toc15396601"/>
      <w:bookmarkStart w:id="29" w:name="_Toc15377200"/>
      <w:bookmarkStart w:id="30" w:name="_Toc18037"/>
      <w:r>
        <w:rPr>
          <w:rFonts w:ascii="黑体" w:eastAsia="黑体" w:hint="eastAsia"/>
          <w:b w:val="0"/>
        </w:rPr>
        <w:t>二、机</w:t>
      </w:r>
      <w:r>
        <w:rPr>
          <w:rStyle w:val="2Char"/>
          <w:rFonts w:ascii="黑体" w:eastAsia="黑体" w:hint="eastAsia"/>
          <w:b w:val="0"/>
          <w:bCs w:val="0"/>
        </w:rPr>
        <w:t>构设置</w:t>
      </w:r>
      <w:bookmarkEnd w:id="28"/>
      <w:bookmarkEnd w:id="29"/>
      <w:bookmarkEnd w:id="30"/>
    </w:p>
    <w:p>
      <w:pPr>
        <w:spacing w:line="578" w:lineRule="exact"/>
        <w:ind w:left="0"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金川县公务服务中心下属二级预算单位1个，其中行政单位</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eastAsia="zh-CN"/>
        </w:rPr>
        <w:t>个，参照公务员法管理的事业单位</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eastAsia="zh-CN"/>
        </w:rPr>
        <w:t>个，其他事业单位</w:t>
      </w:r>
      <w:r>
        <w:rPr>
          <w:rFonts w:ascii="仿宋_GB2312" w:eastAsia="仿宋_GB2312" w:cs="仿宋_GB2312" w:hint="eastAsia"/>
          <w:sz w:val="32"/>
          <w:szCs w:val="32"/>
          <w:lang w:val="en-US" w:eastAsia="zh-CN"/>
        </w:rPr>
        <w:t>1</w:t>
      </w:r>
      <w:r>
        <w:rPr>
          <w:rFonts w:ascii="仿宋_GB2312" w:eastAsia="仿宋_GB2312" w:cs="仿宋_GB2312" w:hint="eastAsia"/>
          <w:sz w:val="32"/>
          <w:szCs w:val="32"/>
          <w:lang w:eastAsia="zh-CN"/>
        </w:rPr>
        <w:t>个。</w:t>
      </w:r>
    </w:p>
    <w:p>
      <w:pPr>
        <w:spacing w:line="578" w:lineRule="exact"/>
        <w:ind w:left="0"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纳入金川县公务服务中心2024年度部门决算编制范围的二级预算单位包括：</w:t>
      </w:r>
    </w:p>
    <w:p>
      <w:pPr>
        <w:spacing w:line="578" w:lineRule="exact"/>
        <w:ind w:left="0" w:firstLineChars="200" w:firstLine="640"/>
        <w:rPr>
          <w:rFonts w:ascii="仿宋" w:eastAsia="仿宋"/>
          <w:kern w:val="0"/>
          <w:sz w:val="32"/>
          <w:szCs w:val="32"/>
        </w:rPr>
      </w:pPr>
      <w:bookmarkStart w:id="31" w:name="_Toc15377433"/>
      <w:bookmarkStart w:id="32" w:name="_Toc15306276"/>
      <w:bookmarkStart w:id="33" w:name="_Toc15378449"/>
      <w:bookmarkStart w:id="34" w:name="_Toc15377202"/>
      <w:r>
        <w:rPr>
          <w:rFonts w:ascii="仿宋_GB2312" w:eastAsia="仿宋_GB2312" w:cs="仿宋_GB2312" w:hint="eastAsia"/>
          <w:sz w:val="32"/>
          <w:szCs w:val="32"/>
          <w:lang w:val="en-US" w:eastAsia="zh-CN"/>
        </w:rPr>
        <w:t>1.</w:t>
      </w:r>
      <w:r>
        <w:rPr>
          <w:rFonts w:ascii="仿宋_GB2312" w:eastAsia="仿宋_GB2312" w:cs="仿宋_GB2312" w:hint="eastAsia"/>
          <w:sz w:val="32"/>
          <w:szCs w:val="32"/>
          <w:lang w:eastAsia="zh-CN"/>
        </w:rPr>
        <w:t>金川县公务服务中心</w:t>
      </w:r>
      <w:bookmarkEnd w:id="31"/>
      <w:bookmarkEnd w:id="32"/>
      <w:bookmarkEnd w:id="33"/>
      <w:bookmarkEnd w:id="34"/>
      <w:r>
        <w:rPr>
          <w:rFonts w:ascii="仿宋" w:eastAsia="仿宋"/>
          <w:sz w:val="32"/>
          <w:szCs w:val="32"/>
        </w:rPr>
        <w:br w:type="page"/>
      </w:r>
    </w:p>
    <w:p>
      <w:pPr>
        <w:pStyle w:val="1"/>
        <w:ind w:right="440"/>
        <w:jc w:val="center"/>
        <w:rPr>
          <w:rStyle w:val="1Char"/>
          <w:rFonts w:ascii="黑体" w:eastAsia="黑体"/>
          <w:b w:val="0"/>
          <w:bCs/>
        </w:rPr>
      </w:pPr>
      <w:bookmarkStart w:id="35" w:name="_Toc15377204"/>
      <w:bookmarkStart w:id="36" w:name="_Toc15396602"/>
      <w:bookmarkStart w:id="37" w:name="_Toc8641"/>
      <w:r>
        <w:rPr>
          <w:rFonts w:ascii="黑体" w:eastAsia="黑体" w:hint="eastAsia"/>
          <w:b w:val="0"/>
        </w:rPr>
        <w:t xml:space="preserve">第二部分 </w:t>
      </w:r>
      <w:r>
        <w:rPr>
          <w:rFonts w:ascii="黑体" w:eastAsia="黑体" w:hint="eastAsia"/>
          <w:b w:val="0"/>
          <w:lang w:eastAsia="zh-CN"/>
        </w:rPr>
        <w:t>2024年</w:t>
      </w:r>
      <w:r>
        <w:rPr>
          <w:rFonts w:ascii="黑体" w:eastAsia="黑体" w:hint="eastAsia"/>
          <w:b w:val="0"/>
        </w:rPr>
        <w:t>度</w:t>
      </w:r>
      <w:r>
        <w:rPr>
          <w:rStyle w:val="1Char"/>
          <w:rFonts w:ascii="黑体" w:eastAsia="黑体" w:hint="eastAsia"/>
          <w:b w:val="0"/>
          <w:bCs/>
        </w:rPr>
        <w:t>部门决算情况说明</w:t>
      </w:r>
      <w:bookmarkEnd w:id="35"/>
      <w:bookmarkEnd w:id="36"/>
      <w:bookmarkEnd w:id="37"/>
    </w:p>
    <w:p/>
    <w:p>
      <w:pPr>
        <w:pStyle w:val="31"/>
        <w:numPr>
          <w:ilvl w:val="0"/>
          <w:numId w:val="2"/>
        </w:numPr>
        <w:spacing w:line="600" w:lineRule="exact"/>
        <w:ind w:firstLineChars="0"/>
        <w:outlineLvl w:val="1"/>
        <w:rPr>
          <w:rStyle w:val="2Char"/>
          <w:rFonts w:ascii="黑体" w:eastAsia="黑体"/>
          <w:b w:val="0"/>
        </w:rPr>
      </w:pPr>
      <w:bookmarkStart w:id="38" w:name="_Toc323"/>
      <w:bookmarkStart w:id="39" w:name="_Toc15377205"/>
      <w:bookmarkStart w:id="40" w:name="_Toc15396603"/>
      <w:r>
        <w:rPr>
          <w:rFonts w:ascii="黑体" w:eastAsia="黑体" w:hint="eastAsia"/>
          <w:sz w:val="32"/>
          <w:szCs w:val="32"/>
        </w:rPr>
        <w:t>收</w:t>
      </w:r>
      <w:r>
        <w:rPr>
          <w:rStyle w:val="2Char"/>
          <w:rFonts w:ascii="黑体" w:eastAsia="黑体" w:hint="eastAsia"/>
          <w:b w:val="0"/>
        </w:rPr>
        <w:t>入支出决算总体情况说明</w:t>
      </w:r>
      <w:bookmarkEnd w:id="38"/>
      <w:bookmarkEnd w:id="39"/>
      <w:bookmarkEnd w:id="40"/>
    </w:p>
    <w:p>
      <w:pPr>
        <w:spacing w:line="578" w:lineRule="exact"/>
        <w:ind w:left="0" w:firstLineChars="200" w:firstLine="640"/>
        <w:rPr>
          <w:rFonts w:ascii="仿宋_GB2312" w:eastAsia="仿宋_GB2312" w:cs="仿宋_GB2312"/>
          <w:sz w:val="32"/>
          <w:szCs w:val="32"/>
          <w:lang w:val="en-US" w:eastAsia="zh-CN"/>
        </w:rPr>
      </w:pPr>
      <w:r>
        <w:rPr>
          <w:rFonts w:ascii="仿宋_GB2312" w:eastAsia="仿宋_GB2312" w:cs="仿宋_GB2312" w:hint="eastAsia"/>
          <w:sz w:val="32"/>
          <w:szCs w:val="32"/>
          <w:lang w:eastAsia="zh-CN"/>
        </w:rPr>
        <w:t>2024年度收、支总计均为366.73万元。与2023年度相比，收、支总计各减少</w:t>
      </w:r>
      <w:r>
        <w:rPr>
          <w:rFonts w:ascii="仿宋_GB2312" w:eastAsia="仿宋_GB2312" w:cs="仿宋_GB2312" w:hint="eastAsia"/>
          <w:sz w:val="32"/>
          <w:szCs w:val="32"/>
          <w:lang w:val="en-US" w:eastAsia="zh-CN"/>
        </w:rPr>
        <w:t>59.64</w:t>
      </w:r>
      <w:r>
        <w:rPr>
          <w:rFonts w:ascii="仿宋_GB2312" w:eastAsia="仿宋_GB2312" w:cs="仿宋_GB2312" w:hint="eastAsia"/>
          <w:sz w:val="32"/>
          <w:szCs w:val="32"/>
          <w:lang w:eastAsia="zh-CN"/>
        </w:rPr>
        <w:t>万元，减少</w:t>
      </w:r>
      <w:r>
        <w:rPr>
          <w:rFonts w:ascii="仿宋_GB2312" w:eastAsia="仿宋_GB2312" w:cs="仿宋_GB2312" w:hint="eastAsia"/>
          <w:sz w:val="32"/>
          <w:szCs w:val="32"/>
          <w:lang w:val="en-US" w:eastAsia="zh-CN"/>
        </w:rPr>
        <w:t>13.99</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主要原因是2024年10月以来，按照公务接待一餐制的要求，公务接待只安排一顿餐，及厉行节约导致公务接待费用支出大幅减少；人员变动，实有人员较上年减少1人，导致人员经费减少。</w:t>
      </w:r>
    </w:p>
    <w:p>
      <w:pPr>
        <w:spacing w:line="600" w:lineRule="exact"/>
        <w:ind w:firstLineChars="200" w:firstLine="640"/>
        <w:rPr>
          <w:rFonts w:ascii="仿宋_GB2312" w:eastAsia="仿宋_GB2312" w:cs="仿宋_GB2312"/>
          <w:sz w:val="32"/>
          <w:szCs w:val="32"/>
          <w:lang w:val="en-US" w:eastAsia="zh-CN"/>
        </w:rPr>
      </w:pPr>
      <w:r>
        <w:rPr>
          <w:rFonts w:ascii="仿宋" w:eastAsia="仿宋" w:hint="eastAsia"/>
          <w:sz w:val="32"/>
          <w:szCs w:val="32"/>
          <w:lang w:eastAsia="zh-CN"/>
        </w:rPr>
        <w:t>　</w:t>
      </w:r>
      <w:r>
        <w:rPr>
          <w:rFonts w:ascii="仿宋_GB2312" w:eastAsia="仿宋_GB2312" w:cs="仿宋_GB2312" w:hint="eastAsia"/>
          <w:sz w:val="32"/>
          <w:szCs w:val="32"/>
          <w:lang w:eastAsia="zh-CN"/>
        </w:rPr>
        <w:t>图1：收、支决算总计变动情况图</w:t>
      </w:r>
    </w:p>
    <w:p>
      <w:pPr>
        <w:spacing w:line="600" w:lineRule="exact"/>
        <w:ind w:firstLineChars="200" w:firstLine="420"/>
        <w:jc w:val="left"/>
        <w:rPr>
          <w:rFonts w:ascii="仿宋_GB2312" w:eastAsia="仿宋_GB2312"/>
          <w:sz w:val="32"/>
          <w:szCs w:val="32"/>
        </w:rPr>
      </w:pPr>
      <w:r>
        <w:drawing>
          <wp:anchor distT="0" distB="0" distL="114300" distR="114300" simplePos="0" relativeHeight="22" behindDoc="0" locked="0" layoutInCell="1" hidden="0" allowOverlap="1">
            <wp:simplePos x="0" y="0"/>
            <wp:positionH relativeFrom="column">
              <wp:posOffset>246379</wp:posOffset>
            </wp:positionH>
            <wp:positionV relativeFrom="paragraph">
              <wp:posOffset>111125</wp:posOffset>
            </wp:positionV>
            <wp:extent cx="4572000" cy="2743200"/>
            <wp:effectExtent l="0" t="0" r="0" b="0"/>
            <wp:wrapNone/>
            <wp:docPr id="1" name="图表 3"/>
            <wp:cNvGraphicFramePr>
              <a:graphicFrameLocks noChangeAspect="0"/>
            </wp:cNvGraphicFramePr>
            <a:graphic>
              <a:graphicData uri="http://schemas.openxmlformats.org/drawingml/2006/chart">
                <c:chart xmlns:c="http://schemas.openxmlformats.org/drawingml/2006/chart" r:id="rId4"/>
              </a:graphicData>
            </a:graphic>
          </wp:anchor>
        </w:drawing>
      </w:r>
    </w:p>
    <w:p>
      <w:pPr>
        <w:spacing w:line="600" w:lineRule="exact"/>
        <w:ind w:firstLineChars="200" w:firstLine="640"/>
        <w:jc w:val="left"/>
        <w:rPr>
          <w:rFonts w:ascii="仿宋_GB2312" w:eastAsia="仿宋_GB2312"/>
          <w:sz w:val="32"/>
          <w:szCs w:val="32"/>
        </w:rPr>
      </w:pPr>
    </w:p>
    <w:p>
      <w:pPr>
        <w:spacing w:line="600" w:lineRule="exact"/>
        <w:ind w:firstLineChars="200" w:firstLine="640"/>
        <w:jc w:val="left"/>
        <w:rPr>
          <w:rFonts w:ascii="仿宋_GB2312" w:eastAsia="仿宋_GB2312"/>
          <w:sz w:val="32"/>
          <w:szCs w:val="32"/>
        </w:rPr>
      </w:pPr>
    </w:p>
    <w:p>
      <w:pPr>
        <w:spacing w:line="600" w:lineRule="exact"/>
        <w:ind w:firstLineChars="200" w:firstLine="640"/>
        <w:jc w:val="left"/>
        <w:rPr>
          <w:rFonts w:ascii="仿宋_GB2312" w:eastAsia="仿宋_GB2312"/>
          <w:sz w:val="32"/>
          <w:szCs w:val="32"/>
        </w:rPr>
      </w:pPr>
    </w:p>
    <w:p>
      <w:pPr>
        <w:spacing w:line="600" w:lineRule="exact"/>
        <w:ind w:firstLineChars="200" w:firstLine="640"/>
        <w:jc w:val="left"/>
        <w:rPr>
          <w:rFonts w:ascii="仿宋_GB2312" w:eastAsia="仿宋_GB2312"/>
          <w:sz w:val="32"/>
          <w:szCs w:val="32"/>
        </w:rPr>
      </w:pPr>
    </w:p>
    <w:p>
      <w:pPr>
        <w:spacing w:line="600" w:lineRule="exact"/>
        <w:ind w:firstLineChars="200" w:firstLine="640"/>
        <w:jc w:val="left"/>
        <w:rPr>
          <w:rFonts w:ascii="仿宋_GB2312" w:eastAsia="仿宋_GB2312"/>
          <w:sz w:val="32"/>
          <w:szCs w:val="32"/>
        </w:rPr>
      </w:pPr>
    </w:p>
    <w:p>
      <w:pPr>
        <w:spacing w:line="600" w:lineRule="exact"/>
        <w:ind w:firstLineChars="200" w:firstLine="640"/>
        <w:jc w:val="left"/>
        <w:rPr>
          <w:rFonts w:ascii="仿宋_GB2312" w:eastAsia="仿宋_GB2312"/>
          <w:sz w:val="32"/>
          <w:szCs w:val="32"/>
        </w:rPr>
      </w:pPr>
    </w:p>
    <w:p>
      <w:pPr>
        <w:spacing w:line="600" w:lineRule="exact"/>
        <w:jc w:val="left"/>
        <w:rPr>
          <w:rFonts w:ascii="仿宋_GB2312" w:eastAsia="仿宋_GB2312"/>
          <w:sz w:val="32"/>
          <w:szCs w:val="32"/>
        </w:rPr>
      </w:pPr>
    </w:p>
    <w:p>
      <w:pPr>
        <w:pStyle w:val="31"/>
        <w:numPr>
          <w:ilvl w:val="0"/>
          <w:numId w:val="2"/>
        </w:numPr>
        <w:spacing w:line="600" w:lineRule="exact"/>
        <w:ind w:firstLineChars="0"/>
        <w:outlineLvl w:val="1"/>
        <w:rPr>
          <w:rStyle w:val="2Char"/>
          <w:rFonts w:ascii="黑体" w:eastAsia="黑体"/>
          <w:b w:val="0"/>
        </w:rPr>
      </w:pPr>
      <w:bookmarkStart w:id="41" w:name="_Toc23873"/>
      <w:bookmarkStart w:id="42" w:name="_Toc15396604"/>
      <w:bookmarkStart w:id="43" w:name="_Toc15377206"/>
      <w:r>
        <w:rPr>
          <w:rFonts w:ascii="黑体" w:eastAsia="黑体" w:hint="eastAsia"/>
          <w:sz w:val="32"/>
          <w:szCs w:val="32"/>
        </w:rPr>
        <w:t>收</w:t>
      </w:r>
      <w:r>
        <w:rPr>
          <w:rStyle w:val="2Char"/>
          <w:rFonts w:ascii="黑体" w:eastAsia="黑体" w:hint="eastAsia"/>
          <w:b w:val="0"/>
        </w:rPr>
        <w:t>入决算情况说明</w:t>
      </w:r>
      <w:bookmarkEnd w:id="41"/>
      <w:bookmarkEnd w:id="42"/>
      <w:bookmarkEnd w:id="43"/>
    </w:p>
    <w:p>
      <w:pPr>
        <w:spacing w:line="578" w:lineRule="exact"/>
        <w:ind w:left="0" w:firstLineChars="200" w:firstLine="640"/>
        <w:rPr>
          <w:rFonts w:ascii="仿宋_GB2312" w:eastAsia="仿宋_GB2312" w:cs="仿宋_GB2312" w:hint="eastAsia"/>
          <w:sz w:val="32"/>
          <w:szCs w:val="32"/>
          <w:lang w:eastAsia="zh-CN"/>
        </w:rPr>
      </w:pPr>
      <w:bookmarkStart w:id="44" w:name="_Toc11689"/>
      <w:r>
        <w:rPr>
          <w:rFonts w:ascii="仿宋_GB2312" w:eastAsia="仿宋_GB2312" w:cs="仿宋_GB2312" w:hint="eastAsia"/>
          <w:sz w:val="32"/>
          <w:szCs w:val="32"/>
          <w:lang w:eastAsia="zh-CN"/>
        </w:rPr>
        <w:t>2024年度本年收入合计</w:t>
      </w:r>
      <w:r>
        <w:rPr>
          <w:rFonts w:ascii="仿宋_GB2312" w:eastAsia="仿宋_GB2312" w:cs="仿宋_GB2312" w:hint="eastAsia"/>
          <w:sz w:val="32"/>
          <w:szCs w:val="32"/>
          <w:lang w:val="en-US" w:eastAsia="zh-CN"/>
        </w:rPr>
        <w:t>366.73万元</w:t>
      </w:r>
      <w:r>
        <w:rPr>
          <w:rFonts w:ascii="仿宋_GB2312" w:eastAsia="仿宋_GB2312" w:cs="仿宋_GB2312" w:hint="eastAsia"/>
          <w:sz w:val="32"/>
          <w:szCs w:val="32"/>
          <w:lang w:eastAsia="zh-CN"/>
        </w:rPr>
        <w:t>，其中：一般公共预算财政拨款收入366.73万元，占100%；政府性基金预算财政拨款收入0万元，占0%；国有资本经营预算财政拨款收入0万元，占0%；上级补助收入0万元，占0%；事业收入0万元，占0%；经营收入0万元，占0%；附属单位上缴收入0万元，占0%；其他收入0万元，占0%。</w:t>
      </w:r>
      <w:bookmarkEnd w:id="44"/>
    </w:p>
    <w:p>
      <w:pPr>
        <w:spacing w:line="578" w:lineRule="exact"/>
        <w:ind w:left="0"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　　图2：收入决算结构图</w:t>
      </w:r>
    </w:p>
    <w:p>
      <w:pPr>
        <w:spacing w:line="600" w:lineRule="exact"/>
        <w:ind w:firstLineChars="200" w:firstLine="420"/>
        <w:rPr>
          <w:rFonts w:ascii="仿宋_GB2312" w:eastAsia="仿宋_GB2312"/>
          <w:sz w:val="32"/>
          <w:szCs w:val="32"/>
        </w:rPr>
      </w:pPr>
      <w:r>
        <w:drawing>
          <wp:anchor distT="0" distB="0" distL="114300" distR="114300" simplePos="0" relativeHeight="18" behindDoc="0" locked="0" layoutInCell="1" hidden="0" allowOverlap="1">
            <wp:simplePos x="0" y="0"/>
            <wp:positionH relativeFrom="column">
              <wp:posOffset>187325</wp:posOffset>
            </wp:positionH>
            <wp:positionV relativeFrom="paragraph">
              <wp:posOffset>233679</wp:posOffset>
            </wp:positionV>
            <wp:extent cx="4946015" cy="3200400"/>
            <wp:effectExtent l="0" t="0" r="0" b="0"/>
            <wp:wrapNone/>
            <wp:docPr id="2" name="图片 2"/>
            <wp:cNvGraphicFramePr>
              <a:graphicFrameLocks noChangeAspect="1"/>
            </wp:cNvGraphicFramePr>
            <a:graphic>
              <a:graphicData uri="http://schemas.openxmlformats.org/drawingml/2006/picture">
                <pic:pic>
                  <pic:nvPicPr>
                    <pic:cNvPr id="4" name="图片 2 4"/>
                    <pic:cNvPicPr/>
                  </pic:nvPicPr>
                  <pic:blipFill>
                    <a:blip r:embed="rId5"/>
                    <a:stretch>
                      <a:fillRect/>
                    </a:stretch>
                  </pic:blipFill>
                  <pic:spPr>
                    <a:xfrm rot="0">
                      <a:off x="0" y="0"/>
                      <a:ext cx="4946015" cy="3200400"/>
                    </a:xfrm>
                    <a:prstGeom prst="rect"/>
                    <a:noFill/>
                    <a:ln w="9525" cmpd="sng" cap="flat">
                      <a:noFill/>
                      <a:prstDash val="solid"/>
                      <a:round/>
                    </a:ln>
                  </pic:spPr>
                </pic:pic>
              </a:graphicData>
            </a:graphic>
          </wp:anchor>
        </w:drawing>
      </w:r>
    </w:p>
    <w:p>
      <w:pPr>
        <w:spacing w:line="600" w:lineRule="exact"/>
        <w:ind w:firstLineChars="200" w:firstLine="640"/>
        <w:rPr>
          <w:rFonts w:ascii="仿宋_GB2312" w:eastAsia="仿宋_GB2312"/>
          <w:sz w:val="32"/>
          <w:szCs w:val="32"/>
        </w:rPr>
      </w:pPr>
    </w:p>
    <w:p>
      <w:pPr>
        <w:spacing w:line="600" w:lineRule="exact"/>
        <w:ind w:firstLineChars="200" w:firstLine="640"/>
        <w:rPr>
          <w:rFonts w:ascii="仿宋_GB2312" w:eastAsia="仿宋_GB2312"/>
          <w:sz w:val="32"/>
          <w:szCs w:val="32"/>
        </w:rPr>
      </w:pPr>
    </w:p>
    <w:p>
      <w:pPr>
        <w:spacing w:line="600" w:lineRule="exact"/>
        <w:ind w:firstLineChars="200" w:firstLine="640"/>
        <w:rPr>
          <w:rFonts w:ascii="仿宋_GB2312" w:eastAsia="仿宋_GB2312"/>
          <w:sz w:val="32"/>
          <w:szCs w:val="32"/>
        </w:rPr>
      </w:pPr>
    </w:p>
    <w:p>
      <w:pPr>
        <w:spacing w:line="600" w:lineRule="exact"/>
        <w:ind w:firstLineChars="200" w:firstLine="640"/>
        <w:rPr>
          <w:rFonts w:ascii="仿宋_GB2312" w:eastAsia="仿宋_GB2312"/>
          <w:sz w:val="32"/>
          <w:szCs w:val="32"/>
        </w:rPr>
      </w:pPr>
    </w:p>
    <w:p>
      <w:pPr>
        <w:spacing w:line="600" w:lineRule="exact"/>
        <w:ind w:firstLineChars="200" w:firstLine="640"/>
        <w:rPr>
          <w:rFonts w:ascii="仿宋_GB2312" w:eastAsia="仿宋_GB2312"/>
          <w:sz w:val="32"/>
          <w:szCs w:val="32"/>
        </w:rPr>
      </w:pPr>
    </w:p>
    <w:p>
      <w:pPr>
        <w:spacing w:line="600" w:lineRule="exact"/>
        <w:ind w:firstLineChars="200" w:firstLine="640"/>
        <w:rPr>
          <w:rFonts w:ascii="仿宋_GB2312" w:eastAsia="仿宋_GB2312"/>
          <w:sz w:val="32"/>
          <w:szCs w:val="32"/>
        </w:rPr>
      </w:pPr>
    </w:p>
    <w:p>
      <w:pPr>
        <w:spacing w:line="600" w:lineRule="exact"/>
        <w:ind w:firstLineChars="200" w:firstLine="640"/>
        <w:rPr>
          <w:rFonts w:ascii="仿宋_GB2312" w:eastAsia="仿宋_GB2312"/>
          <w:sz w:val="32"/>
          <w:szCs w:val="32"/>
        </w:rPr>
      </w:pPr>
    </w:p>
    <w:p>
      <w:pPr>
        <w:spacing w:line="600" w:lineRule="exact"/>
        <w:rPr>
          <w:rFonts w:ascii="仿宋_GB2312" w:eastAsia="仿宋_GB2312"/>
          <w:sz w:val="32"/>
          <w:szCs w:val="32"/>
        </w:rPr>
      </w:pPr>
    </w:p>
    <w:p>
      <w:pPr>
        <w:pStyle w:val="31"/>
        <w:numPr>
          <w:ilvl w:val="0"/>
          <w:numId w:val="2"/>
        </w:numPr>
        <w:spacing w:line="600" w:lineRule="exact"/>
        <w:ind w:firstLineChars="0"/>
        <w:outlineLvl w:val="1"/>
        <w:rPr>
          <w:rStyle w:val="2Char"/>
          <w:rFonts w:ascii="黑体" w:eastAsia="黑体"/>
          <w:b w:val="0"/>
        </w:rPr>
      </w:pPr>
      <w:bookmarkStart w:id="45" w:name="_Toc15396605"/>
      <w:bookmarkStart w:id="46" w:name="_Toc21366"/>
      <w:bookmarkStart w:id="47" w:name="_Toc15377207"/>
      <w:r>
        <w:rPr>
          <w:rFonts w:ascii="黑体" w:eastAsia="黑体" w:hint="eastAsia"/>
          <w:sz w:val="32"/>
          <w:szCs w:val="32"/>
        </w:rPr>
        <w:t>支</w:t>
      </w:r>
      <w:r>
        <w:rPr>
          <w:rStyle w:val="2Char"/>
          <w:rFonts w:ascii="黑体" w:eastAsia="黑体" w:hint="eastAsia"/>
          <w:b w:val="0"/>
        </w:rPr>
        <w:t>出决算情况说明</w:t>
      </w:r>
      <w:bookmarkEnd w:id="45"/>
      <w:bookmarkEnd w:id="46"/>
      <w:bookmarkEnd w:id="47"/>
    </w:p>
    <w:p>
      <w:pPr>
        <w:spacing w:line="578" w:lineRule="exact"/>
        <w:ind w:left="0" w:firstLineChars="200" w:firstLine="640"/>
        <w:rPr>
          <w:rFonts w:ascii="仿宋_GB2312" w:eastAsia="仿宋_GB2312" w:cs="仿宋_GB2312" w:hint="eastAsia"/>
          <w:sz w:val="32"/>
          <w:szCs w:val="32"/>
          <w:lang w:eastAsia="zh-CN"/>
        </w:rPr>
      </w:pPr>
      <w:bookmarkStart w:id="48" w:name="_Toc4206"/>
      <w:r>
        <w:rPr>
          <w:rFonts w:ascii="仿宋_GB2312" w:eastAsia="仿宋_GB2312" w:cs="仿宋_GB2312" w:hint="eastAsia"/>
          <w:sz w:val="32"/>
          <w:szCs w:val="32"/>
          <w:lang w:eastAsia="zh-CN"/>
        </w:rPr>
        <w:t>2024年度本年支出合计366.73万元，其中：基本支出</w:t>
      </w:r>
      <w:r>
        <w:rPr>
          <w:rFonts w:ascii="仿宋_GB2312" w:eastAsia="仿宋_GB2312" w:cs="仿宋_GB2312" w:hint="eastAsia"/>
          <w:sz w:val="32"/>
          <w:szCs w:val="32"/>
          <w:lang w:val="en-US" w:eastAsia="zh-CN"/>
        </w:rPr>
        <w:t>172.24</w:t>
      </w:r>
      <w:r>
        <w:rPr>
          <w:rFonts w:ascii="仿宋_GB2312" w:eastAsia="仿宋_GB2312" w:cs="仿宋_GB2312" w:hint="eastAsia"/>
          <w:sz w:val="32"/>
          <w:szCs w:val="32"/>
          <w:lang w:eastAsia="zh-CN"/>
        </w:rPr>
        <w:t>万元，占</w:t>
      </w:r>
      <w:r>
        <w:rPr>
          <w:rFonts w:ascii="仿宋_GB2312" w:eastAsia="仿宋_GB2312" w:cs="仿宋_GB2312" w:hint="eastAsia"/>
          <w:sz w:val="32"/>
          <w:szCs w:val="32"/>
          <w:lang w:val="en-US" w:eastAsia="zh-CN"/>
        </w:rPr>
        <w:t>46.97</w:t>
      </w:r>
      <w:r>
        <w:rPr>
          <w:rFonts w:ascii="仿宋_GB2312" w:eastAsia="仿宋_GB2312" w:cs="仿宋_GB2312" w:hint="eastAsia"/>
          <w:sz w:val="32"/>
          <w:szCs w:val="32"/>
          <w:lang w:eastAsia="zh-CN"/>
        </w:rPr>
        <w:t>%；项目支出</w:t>
      </w:r>
      <w:r>
        <w:rPr>
          <w:rFonts w:ascii="仿宋_GB2312" w:eastAsia="仿宋_GB2312" w:cs="仿宋_GB2312" w:hint="eastAsia"/>
          <w:sz w:val="32"/>
          <w:szCs w:val="32"/>
          <w:lang w:val="en-US" w:eastAsia="zh-CN"/>
        </w:rPr>
        <w:t>194.49</w:t>
      </w:r>
      <w:r>
        <w:rPr>
          <w:rFonts w:ascii="仿宋_GB2312" w:eastAsia="仿宋_GB2312" w:cs="仿宋_GB2312" w:hint="eastAsia"/>
          <w:sz w:val="32"/>
          <w:szCs w:val="32"/>
          <w:lang w:eastAsia="zh-CN"/>
        </w:rPr>
        <w:t>万元，占</w:t>
      </w:r>
      <w:r>
        <w:rPr>
          <w:rFonts w:ascii="仿宋_GB2312" w:eastAsia="仿宋_GB2312" w:cs="仿宋_GB2312" w:hint="eastAsia"/>
          <w:sz w:val="32"/>
          <w:szCs w:val="32"/>
          <w:lang w:val="en-US" w:eastAsia="zh-CN"/>
        </w:rPr>
        <w:t>53.03</w:t>
      </w:r>
      <w:r>
        <w:rPr>
          <w:rFonts w:ascii="仿宋_GB2312" w:eastAsia="仿宋_GB2312" w:cs="仿宋_GB2312" w:hint="eastAsia"/>
          <w:sz w:val="32"/>
          <w:szCs w:val="32"/>
          <w:lang w:eastAsia="zh-CN"/>
        </w:rPr>
        <w:t>%；上缴上级支出0万元，占0%；经营支出0万元，占0%；对附属单位补助支出0万元，占0%。</w:t>
      </w:r>
      <w:bookmarkEnd w:id="48"/>
    </w:p>
    <w:p>
      <w:pPr>
        <w:spacing w:line="578" w:lineRule="exact"/>
        <w:ind w:left="0"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　　　　图3：支出决算结构图</w:t>
      </w:r>
    </w:p>
    <w:p>
      <w:pPr>
        <w:spacing w:line="600" w:lineRule="exact"/>
        <w:ind w:firstLineChars="200" w:firstLine="420"/>
        <w:rPr>
          <w:rFonts w:ascii="仿宋" w:eastAsia="仿宋" w:hint="eastAsia"/>
          <w:sz w:val="32"/>
          <w:szCs w:val="32"/>
        </w:rPr>
      </w:pPr>
      <w:r>
        <w:drawing>
          <wp:anchor distT="0" distB="0" distL="114300" distR="114300" simplePos="0" relativeHeight="24" behindDoc="0" locked="0" layoutInCell="1" hidden="0" allowOverlap="1">
            <wp:simplePos x="0" y="0"/>
            <wp:positionH relativeFrom="column">
              <wp:posOffset>223519</wp:posOffset>
            </wp:positionH>
            <wp:positionV relativeFrom="paragraph">
              <wp:posOffset>62864</wp:posOffset>
            </wp:positionV>
            <wp:extent cx="4572000" cy="2743200"/>
            <wp:effectExtent l="0" t="0" r="0" b="0"/>
            <wp:wrapNone/>
            <wp:docPr id="5" name="图表 8"/>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rPr>
          <w:rFonts w:ascii="仿宋" w:eastAsia="仿宋" w:hint="eastAsia"/>
          <w:sz w:val="32"/>
          <w:szCs w:val="32"/>
        </w:rPr>
      </w:pPr>
    </w:p>
    <w:p>
      <w:pPr>
        <w:spacing w:line="600" w:lineRule="exact"/>
        <w:ind w:firstLineChars="200" w:firstLine="640"/>
        <w:rPr>
          <w:rFonts w:ascii="仿宋" w:eastAsia="仿宋" w:hint="eastAsia"/>
          <w:sz w:val="32"/>
          <w:szCs w:val="32"/>
        </w:rPr>
      </w:pPr>
    </w:p>
    <w:p>
      <w:pPr>
        <w:spacing w:line="600" w:lineRule="exact"/>
        <w:ind w:firstLineChars="200" w:firstLine="640"/>
        <w:rPr>
          <w:rFonts w:ascii="仿宋_GB2312" w:eastAsia="仿宋_GB2312"/>
          <w:sz w:val="32"/>
          <w:szCs w:val="32"/>
        </w:rPr>
      </w:pPr>
    </w:p>
    <w:p>
      <w:pPr>
        <w:spacing w:line="600" w:lineRule="exact"/>
        <w:rPr>
          <w:rFonts w:ascii="仿宋_GB2312" w:eastAsia="仿宋_GB2312"/>
          <w:sz w:val="32"/>
          <w:szCs w:val="32"/>
        </w:rPr>
      </w:pPr>
    </w:p>
    <w:p>
      <w:pPr>
        <w:spacing w:line="600" w:lineRule="exact"/>
        <w:ind w:firstLineChars="200" w:firstLine="640"/>
        <w:outlineLvl w:val="1"/>
        <w:rPr>
          <w:rStyle w:val="2Char"/>
          <w:rFonts w:ascii="黑体" w:eastAsia="黑体"/>
          <w:b w:val="0"/>
        </w:rPr>
      </w:pPr>
      <w:bookmarkStart w:id="49" w:name="_Toc15377208"/>
      <w:bookmarkStart w:id="50" w:name="_Toc13342"/>
      <w:bookmarkStart w:id="51" w:name="_Toc15396606"/>
      <w:r>
        <w:rPr>
          <w:rFonts w:ascii="黑体" w:eastAsia="黑体" w:hint="eastAsia"/>
          <w:sz w:val="32"/>
          <w:szCs w:val="32"/>
        </w:rPr>
        <w:t>四、财</w:t>
      </w:r>
      <w:r>
        <w:rPr>
          <w:rStyle w:val="2Char"/>
          <w:rFonts w:ascii="黑体" w:eastAsia="黑体" w:hint="eastAsia"/>
          <w:b w:val="0"/>
        </w:rPr>
        <w:t>政拨款收入支出决算总体情况说明</w:t>
      </w:r>
      <w:bookmarkEnd w:id="49"/>
      <w:bookmarkEnd w:id="50"/>
      <w:bookmarkEnd w:id="51"/>
    </w:p>
    <w:p>
      <w:pPr>
        <w:spacing w:line="578" w:lineRule="exact"/>
        <w:ind w:left="0"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2024年度财政拨款收、支总计均为366.73万元。与2023年度相比，财政拨款收、支总计各减少</w:t>
      </w:r>
      <w:r>
        <w:rPr>
          <w:rFonts w:ascii="仿宋_GB2312" w:eastAsia="仿宋_GB2312" w:cs="仿宋_GB2312" w:hint="eastAsia"/>
          <w:sz w:val="32"/>
          <w:szCs w:val="32"/>
          <w:lang w:val="en-US" w:eastAsia="zh-CN"/>
        </w:rPr>
        <w:t>59.64</w:t>
      </w:r>
      <w:r>
        <w:rPr>
          <w:rFonts w:ascii="仿宋_GB2312" w:eastAsia="仿宋_GB2312" w:cs="仿宋_GB2312" w:hint="eastAsia"/>
          <w:sz w:val="32"/>
          <w:szCs w:val="32"/>
          <w:lang w:eastAsia="zh-CN"/>
        </w:rPr>
        <w:t>万元，减少</w:t>
      </w:r>
      <w:r>
        <w:rPr>
          <w:rFonts w:ascii="仿宋_GB2312" w:eastAsia="仿宋_GB2312" w:cs="仿宋_GB2312" w:hint="eastAsia"/>
          <w:sz w:val="32"/>
          <w:szCs w:val="32"/>
          <w:lang w:val="en-US" w:eastAsia="zh-CN"/>
        </w:rPr>
        <w:t>13.99</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主要原因是2024年10月以来，按照公务接待一餐制的要求，公务接待只安排一顿餐，及厉行节约导致公务接待费用支出大幅减少；人员变动，实有人员较上年减少1人，导致人员经费减少。</w:t>
      </w:r>
    </w:p>
    <w:p>
      <w:pPr>
        <w:spacing w:line="578" w:lineRule="exact"/>
        <w:ind w:left="0"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　图4：财政拨款收、支决算总计变动情况</w:t>
      </w:r>
    </w:p>
    <w:p>
      <w:pPr>
        <w:spacing w:line="600" w:lineRule="exact"/>
        <w:ind w:firstLine="640"/>
        <w:rPr>
          <w:rFonts w:ascii="仿宋" w:eastAsia="仿宋"/>
          <w:b/>
          <w:sz w:val="32"/>
          <w:szCs w:val="32"/>
        </w:rPr>
      </w:pPr>
      <w:r>
        <w:drawing>
          <wp:anchor distT="0" distB="0" distL="114300" distR="114300" simplePos="0" relativeHeight="26" behindDoc="0" locked="0" layoutInCell="1" hidden="0" allowOverlap="1">
            <wp:simplePos x="0" y="0"/>
            <wp:positionH relativeFrom="column">
              <wp:posOffset>339090</wp:posOffset>
            </wp:positionH>
            <wp:positionV relativeFrom="paragraph">
              <wp:posOffset>15874</wp:posOffset>
            </wp:positionV>
            <wp:extent cx="4571999" cy="2743200"/>
            <wp:effectExtent l="0" t="0" r="0" b="0"/>
            <wp:wrapNone/>
            <wp:docPr id="6" name="图表 9"/>
            <wp:cNvGraphicFramePr>
              <a:graphicFrameLocks noChangeAspect="0"/>
            </wp:cNvGraphicFramePr>
            <a:graphic>
              <a:graphicData uri="http://schemas.openxmlformats.org/drawingml/2006/chart">
                <c:chart xmlns:c="http://schemas.openxmlformats.org/drawingml/2006/chart" r:id="rId7"/>
              </a:graphicData>
            </a:graphic>
          </wp:anchor>
        </w:drawing>
      </w:r>
    </w:p>
    <w:p>
      <w:pPr>
        <w:spacing w:line="600" w:lineRule="exact"/>
        <w:ind w:firstLine="640"/>
        <w:rPr>
          <w:rFonts w:ascii="仿宋" w:eastAsia="仿宋"/>
          <w:b/>
          <w:sz w:val="32"/>
          <w:szCs w:val="32"/>
        </w:rPr>
      </w:pPr>
    </w:p>
    <w:p>
      <w:pPr>
        <w:spacing w:line="600" w:lineRule="exact"/>
        <w:ind w:firstLine="640"/>
        <w:rPr>
          <w:rFonts w:ascii="仿宋" w:eastAsia="仿宋"/>
          <w:b/>
          <w:sz w:val="32"/>
          <w:szCs w:val="32"/>
        </w:rPr>
      </w:pPr>
    </w:p>
    <w:p>
      <w:pPr>
        <w:spacing w:line="600" w:lineRule="exact"/>
        <w:ind w:firstLine="640"/>
        <w:rPr>
          <w:rFonts w:ascii="仿宋" w:eastAsia="仿宋"/>
          <w:b/>
          <w:sz w:val="32"/>
          <w:szCs w:val="32"/>
        </w:rPr>
      </w:pPr>
    </w:p>
    <w:p>
      <w:pPr>
        <w:spacing w:line="600" w:lineRule="exact"/>
        <w:rPr>
          <w:rFonts w:ascii="仿宋" w:eastAsia="仿宋"/>
          <w:b/>
          <w:sz w:val="32"/>
          <w:szCs w:val="32"/>
        </w:rPr>
      </w:pPr>
    </w:p>
    <w:p>
      <w:pPr>
        <w:spacing w:line="600" w:lineRule="exact"/>
        <w:rPr>
          <w:rFonts w:ascii="仿宋" w:eastAsia="仿宋"/>
          <w:b/>
          <w:sz w:val="32"/>
          <w:szCs w:val="32"/>
        </w:rPr>
      </w:pPr>
    </w:p>
    <w:p>
      <w:pPr>
        <w:spacing w:line="600" w:lineRule="exact"/>
        <w:rPr>
          <w:rFonts w:ascii="仿宋" w:eastAsia="仿宋"/>
          <w:b/>
          <w:sz w:val="32"/>
          <w:szCs w:val="32"/>
        </w:rPr>
      </w:pPr>
    </w:p>
    <w:p>
      <w:pPr>
        <w:spacing w:line="600" w:lineRule="exact"/>
        <w:ind w:firstLineChars="200" w:firstLine="640"/>
        <w:outlineLvl w:val="1"/>
        <w:rPr>
          <w:rStyle w:val="2Char"/>
          <w:rFonts w:ascii="黑体" w:eastAsia="黑体"/>
          <w:b w:val="0"/>
        </w:rPr>
      </w:pPr>
      <w:bookmarkStart w:id="52" w:name="_Toc15396607"/>
      <w:bookmarkStart w:id="53" w:name="_Toc15377209"/>
      <w:bookmarkStart w:id="54" w:name="_Toc18487"/>
      <w:r>
        <w:rPr>
          <w:rFonts w:ascii="黑体" w:eastAsia="黑体" w:hint="eastAsia"/>
          <w:sz w:val="32"/>
          <w:szCs w:val="32"/>
        </w:rPr>
        <w:t>五、</w:t>
      </w:r>
      <w:r>
        <w:rPr>
          <w:rFonts w:ascii="黑体" w:eastAsia="黑体" w:hint="eastAsia"/>
          <w:b/>
          <w:sz w:val="32"/>
          <w:szCs w:val="32"/>
        </w:rPr>
        <w:t>一</w:t>
      </w:r>
      <w:r>
        <w:rPr>
          <w:rStyle w:val="2Char"/>
          <w:rFonts w:ascii="黑体" w:eastAsia="黑体" w:hint="eastAsia"/>
          <w:b w:val="0"/>
        </w:rPr>
        <w:t>般公共预算财政拨款支出决算情况说明</w:t>
      </w:r>
      <w:bookmarkEnd w:id="52"/>
      <w:bookmarkEnd w:id="53"/>
      <w:bookmarkEnd w:id="54"/>
    </w:p>
    <w:p>
      <w:pPr>
        <w:spacing w:line="600" w:lineRule="exact"/>
        <w:ind w:firstLineChars="200" w:firstLine="640"/>
        <w:outlineLvl w:val="2"/>
        <w:rPr>
          <w:rFonts w:ascii="仿宋" w:eastAsia="仿宋"/>
          <w:b/>
          <w:sz w:val="32"/>
          <w:szCs w:val="32"/>
        </w:rPr>
      </w:pPr>
      <w:bookmarkStart w:id="55" w:name="_Toc15377210"/>
      <w:r>
        <w:rPr>
          <w:rFonts w:ascii="仿宋" w:eastAsia="仿宋" w:hint="eastAsia"/>
          <w:b/>
          <w:sz w:val="32"/>
          <w:szCs w:val="32"/>
        </w:rPr>
        <w:t>（一）一般公共预算财政拨款支出决算总体情况</w:t>
      </w:r>
      <w:bookmarkEnd w:id="55"/>
    </w:p>
    <w:p>
      <w:pPr>
        <w:spacing w:line="578" w:lineRule="exact"/>
        <w:ind w:left="0"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2024年度一般公共预算财政拨款支出366.73万元，占本年支出合计的</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lang w:eastAsia="zh-CN"/>
        </w:rPr>
        <w:t>%。与2023年度相比，一般公共预算财政拨款支出减少</w:t>
      </w:r>
      <w:r>
        <w:rPr>
          <w:rFonts w:ascii="仿宋_GB2312" w:eastAsia="仿宋_GB2312" w:cs="仿宋_GB2312" w:hint="eastAsia"/>
          <w:sz w:val="32"/>
          <w:szCs w:val="32"/>
          <w:lang w:val="en-US" w:eastAsia="zh-CN"/>
        </w:rPr>
        <w:t>59.64</w:t>
      </w:r>
      <w:r>
        <w:rPr>
          <w:rFonts w:ascii="仿宋_GB2312" w:eastAsia="仿宋_GB2312" w:cs="仿宋_GB2312" w:hint="eastAsia"/>
          <w:sz w:val="32"/>
          <w:szCs w:val="32"/>
          <w:lang w:eastAsia="zh-CN"/>
        </w:rPr>
        <w:t>万元，减少</w:t>
      </w:r>
      <w:r>
        <w:rPr>
          <w:rFonts w:ascii="仿宋_GB2312" w:eastAsia="仿宋_GB2312" w:cs="仿宋_GB2312" w:hint="eastAsia"/>
          <w:sz w:val="32"/>
          <w:szCs w:val="32"/>
          <w:lang w:val="en-US" w:eastAsia="zh-CN"/>
        </w:rPr>
        <w:t>13.99</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主要原因是2024年10月以来，按照公务接待一餐制的要求，公务接待只安排一顿餐，及厉行节约导致公务接待费用支出大幅减少；人员变动，实有人员较上年减少1人，导致人员经费减少。</w:t>
      </w:r>
    </w:p>
    <w:p>
      <w:pPr>
        <w:spacing w:line="578" w:lineRule="exact"/>
        <w:ind w:left="0"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　图5：一般公共预算财政拨款支出决算变动情况</w:t>
      </w:r>
    </w:p>
    <w:p>
      <w:pPr>
        <w:spacing w:line="600" w:lineRule="exact"/>
        <w:ind w:firstLineChars="200" w:firstLine="420"/>
        <w:rPr>
          <w:rFonts w:ascii="仿宋" w:eastAsia="仿宋"/>
          <w:sz w:val="32"/>
          <w:szCs w:val="32"/>
        </w:rPr>
      </w:pPr>
      <w:r>
        <w:drawing>
          <wp:anchor distT="0" distB="0" distL="114300" distR="114300" simplePos="0" relativeHeight="28" behindDoc="0" locked="0" layoutInCell="1" hidden="0" allowOverlap="1">
            <wp:simplePos x="0" y="0"/>
            <wp:positionH relativeFrom="column">
              <wp:posOffset>342900</wp:posOffset>
            </wp:positionH>
            <wp:positionV relativeFrom="paragraph">
              <wp:posOffset>158115</wp:posOffset>
            </wp:positionV>
            <wp:extent cx="4572000" cy="2743200"/>
            <wp:effectExtent l="0" t="0" r="0" b="0"/>
            <wp:wrapNone/>
            <wp:docPr id="7" name="图表 11"/>
            <wp:cNvGraphicFramePr>
              <a:graphicFrameLocks noChangeAspect="0"/>
            </wp:cNvGraphicFramePr>
            <a:graphic>
              <a:graphicData uri="http://schemas.openxmlformats.org/drawingml/2006/chart">
                <c:chart xmlns:c="http://schemas.openxmlformats.org/drawingml/2006/chart" r:id="rId8"/>
              </a:graphicData>
            </a:graphic>
          </wp:anchor>
        </w:drawing>
      </w:r>
    </w:p>
    <w:p>
      <w:pPr>
        <w:spacing w:line="600" w:lineRule="exact"/>
        <w:ind w:firstLineChars="200" w:firstLine="640"/>
        <w:rPr>
          <w:rFonts w:ascii="仿宋" w:eastAsia="仿宋"/>
          <w:sz w:val="32"/>
          <w:szCs w:val="32"/>
        </w:rPr>
      </w:pPr>
    </w:p>
    <w:p>
      <w:pPr>
        <w:spacing w:line="600" w:lineRule="exact"/>
        <w:ind w:firstLineChars="200" w:firstLine="640"/>
        <w:rPr>
          <w:rFonts w:ascii="仿宋" w:eastAsia="仿宋"/>
          <w:sz w:val="32"/>
          <w:szCs w:val="32"/>
        </w:rPr>
      </w:pPr>
    </w:p>
    <w:p>
      <w:pPr>
        <w:spacing w:line="600" w:lineRule="exact"/>
        <w:ind w:firstLineChars="200" w:firstLine="640"/>
        <w:rPr>
          <w:rFonts w:ascii="仿宋" w:eastAsia="仿宋"/>
          <w:sz w:val="32"/>
          <w:szCs w:val="32"/>
        </w:rPr>
      </w:pPr>
    </w:p>
    <w:p>
      <w:pPr>
        <w:spacing w:line="600" w:lineRule="exact"/>
        <w:ind w:firstLineChars="200" w:firstLine="640"/>
        <w:rPr>
          <w:rFonts w:ascii="仿宋" w:eastAsia="仿宋"/>
          <w:sz w:val="32"/>
          <w:szCs w:val="32"/>
        </w:rPr>
      </w:pPr>
    </w:p>
    <w:p>
      <w:pPr>
        <w:spacing w:line="600" w:lineRule="exact"/>
        <w:ind w:firstLineChars="200" w:firstLine="640"/>
        <w:outlineLvl w:val="9"/>
        <w:rPr>
          <w:rFonts w:ascii="仿宋" w:eastAsia="仿宋" w:hint="eastAsia"/>
          <w:b/>
          <w:sz w:val="32"/>
          <w:szCs w:val="32"/>
        </w:rPr>
      </w:pPr>
      <w:bookmarkStart w:id="56" w:name="_Toc15377211"/>
    </w:p>
    <w:p>
      <w:pPr>
        <w:spacing w:line="600" w:lineRule="exact"/>
        <w:ind w:firstLineChars="200" w:firstLine="640"/>
        <w:outlineLvl w:val="9"/>
        <w:rPr>
          <w:rFonts w:ascii="仿宋" w:eastAsia="仿宋" w:hint="eastAsia"/>
          <w:b/>
          <w:sz w:val="32"/>
          <w:szCs w:val="32"/>
        </w:rPr>
      </w:pPr>
    </w:p>
    <w:p>
      <w:pPr>
        <w:spacing w:line="600" w:lineRule="exact"/>
        <w:ind w:firstLineChars="200" w:firstLine="640"/>
        <w:outlineLvl w:val="9"/>
        <w:rPr>
          <w:rFonts w:ascii="仿宋" w:eastAsia="仿宋" w:hint="eastAsia"/>
          <w:b/>
          <w:sz w:val="32"/>
          <w:szCs w:val="32"/>
        </w:rPr>
      </w:pPr>
    </w:p>
    <w:p>
      <w:pPr>
        <w:spacing w:line="600" w:lineRule="exact"/>
        <w:ind w:firstLineChars="200" w:firstLine="640"/>
        <w:outlineLvl w:val="2"/>
        <w:rPr>
          <w:rFonts w:ascii="仿宋" w:eastAsia="仿宋"/>
          <w:b/>
          <w:sz w:val="32"/>
          <w:szCs w:val="32"/>
        </w:rPr>
      </w:pPr>
      <w:r>
        <w:rPr>
          <w:rFonts w:ascii="仿宋" w:eastAsia="仿宋" w:hint="eastAsia"/>
          <w:b/>
          <w:sz w:val="32"/>
          <w:szCs w:val="32"/>
        </w:rPr>
        <w:t>（二）一般公共预算财政拨款支出决算结构情况</w:t>
      </w:r>
      <w:bookmarkEnd w:id="56"/>
    </w:p>
    <w:p>
      <w:pPr>
        <w:spacing w:line="578" w:lineRule="exact"/>
        <w:ind w:left="0" w:firstLineChars="200" w:firstLine="640"/>
        <w:rPr>
          <w:rFonts w:ascii="仿宋_GB2312" w:eastAsia="仿宋_GB2312" w:cs="仿宋_GB2312" w:hint="eastAsia"/>
          <w:color w:val="auto"/>
          <w:sz w:val="32"/>
          <w:szCs w:val="32"/>
          <w:lang w:eastAsia="zh-CN"/>
        </w:rPr>
      </w:pPr>
      <w:r>
        <w:rPr>
          <w:rFonts w:ascii="仿宋_GB2312" w:eastAsia="仿宋_GB2312" w:cs="仿宋_GB2312" w:hint="eastAsia"/>
          <w:color w:val="auto"/>
          <w:sz w:val="32"/>
          <w:szCs w:val="32"/>
          <w:lang w:eastAsia="zh-CN"/>
        </w:rPr>
        <w:t>2024年度一般公共预算财政拨款支出366.73万元，主要用于以下方面：一般公共服务支出</w:t>
      </w:r>
      <w:r>
        <w:rPr>
          <w:rFonts w:ascii="仿宋_GB2312" w:eastAsia="仿宋_GB2312" w:cs="仿宋_GB2312" w:hint="eastAsia"/>
          <w:color w:val="auto"/>
          <w:sz w:val="32"/>
          <w:szCs w:val="32"/>
          <w:lang w:val="en-US" w:eastAsia="zh-CN"/>
        </w:rPr>
        <w:t>325.79</w:t>
      </w:r>
      <w:r>
        <w:rPr>
          <w:rFonts w:ascii="仿宋_GB2312" w:eastAsia="仿宋_GB2312" w:cs="仿宋_GB2312" w:hint="eastAsia"/>
          <w:color w:val="auto"/>
          <w:sz w:val="32"/>
          <w:szCs w:val="32"/>
          <w:lang w:eastAsia="zh-CN"/>
        </w:rPr>
        <w:t>万元，占</w:t>
      </w:r>
      <w:r>
        <w:rPr>
          <w:rFonts w:ascii="仿宋_GB2312" w:eastAsia="仿宋_GB2312" w:cs="仿宋_GB2312" w:hint="eastAsia"/>
          <w:color w:val="auto"/>
          <w:sz w:val="32"/>
          <w:szCs w:val="32"/>
          <w:lang w:val="en-US" w:eastAsia="zh-CN"/>
        </w:rPr>
        <w:t>88.84</w:t>
      </w:r>
      <w:r>
        <w:rPr>
          <w:rFonts w:ascii="仿宋_GB2312" w:eastAsia="仿宋_GB2312" w:cs="仿宋_GB2312" w:hint="eastAsia"/>
          <w:color w:val="auto"/>
          <w:sz w:val="32"/>
          <w:szCs w:val="32"/>
          <w:lang w:eastAsia="zh-CN"/>
        </w:rPr>
        <w:t>%；社会保障和就业支出</w:t>
      </w:r>
      <w:r>
        <w:rPr>
          <w:rFonts w:ascii="仿宋_GB2312" w:eastAsia="仿宋_GB2312" w:cs="仿宋_GB2312" w:hint="eastAsia"/>
          <w:color w:val="auto"/>
          <w:sz w:val="32"/>
          <w:szCs w:val="32"/>
          <w:lang w:val="en-US" w:eastAsia="zh-CN"/>
        </w:rPr>
        <w:t>21.09</w:t>
      </w:r>
      <w:r>
        <w:rPr>
          <w:rFonts w:ascii="仿宋_GB2312" w:eastAsia="仿宋_GB2312" w:cs="仿宋_GB2312" w:hint="eastAsia"/>
          <w:color w:val="auto"/>
          <w:sz w:val="32"/>
          <w:szCs w:val="32"/>
          <w:lang w:eastAsia="zh-CN"/>
        </w:rPr>
        <w:t>万元，占</w:t>
      </w:r>
      <w:r>
        <w:rPr>
          <w:rFonts w:ascii="仿宋_GB2312" w:eastAsia="仿宋_GB2312" w:cs="仿宋_GB2312" w:hint="eastAsia"/>
          <w:color w:val="auto"/>
          <w:sz w:val="32"/>
          <w:szCs w:val="32"/>
          <w:lang w:val="en-US" w:eastAsia="zh-CN"/>
        </w:rPr>
        <w:t>5.75</w:t>
      </w:r>
      <w:r>
        <w:rPr>
          <w:rFonts w:ascii="仿宋_GB2312" w:eastAsia="仿宋_GB2312" w:cs="仿宋_GB2312" w:hint="eastAsia"/>
          <w:color w:val="auto"/>
          <w:sz w:val="32"/>
          <w:szCs w:val="32"/>
          <w:lang w:eastAsia="zh-CN"/>
        </w:rPr>
        <w:t>%；卫生健康支出</w:t>
      </w:r>
      <w:r>
        <w:rPr>
          <w:rFonts w:ascii="仿宋_GB2312" w:eastAsia="仿宋_GB2312" w:cs="仿宋_GB2312" w:hint="eastAsia"/>
          <w:color w:val="auto"/>
          <w:sz w:val="32"/>
          <w:szCs w:val="32"/>
          <w:lang w:val="en-US" w:eastAsia="zh-CN"/>
        </w:rPr>
        <w:t>8.43</w:t>
      </w:r>
      <w:r>
        <w:rPr>
          <w:rFonts w:ascii="仿宋_GB2312" w:eastAsia="仿宋_GB2312" w:cs="仿宋_GB2312" w:hint="eastAsia"/>
          <w:color w:val="auto"/>
          <w:sz w:val="32"/>
          <w:szCs w:val="32"/>
          <w:lang w:eastAsia="zh-CN"/>
        </w:rPr>
        <w:t>万元，占</w:t>
      </w:r>
      <w:r>
        <w:rPr>
          <w:rFonts w:ascii="仿宋_GB2312" w:eastAsia="仿宋_GB2312" w:cs="仿宋_GB2312" w:hint="eastAsia"/>
          <w:color w:val="auto"/>
          <w:sz w:val="32"/>
          <w:szCs w:val="32"/>
          <w:lang w:val="en-US" w:eastAsia="zh-CN"/>
        </w:rPr>
        <w:t>2.30</w:t>
      </w:r>
      <w:r>
        <w:rPr>
          <w:rFonts w:ascii="仿宋_GB2312" w:eastAsia="仿宋_GB2312" w:cs="仿宋_GB2312" w:hint="eastAsia"/>
          <w:color w:val="auto"/>
          <w:sz w:val="32"/>
          <w:szCs w:val="32"/>
          <w:lang w:eastAsia="zh-CN"/>
        </w:rPr>
        <w:t>%；住房保障支出</w:t>
      </w:r>
      <w:r>
        <w:rPr>
          <w:rFonts w:ascii="仿宋_GB2312" w:eastAsia="仿宋_GB2312" w:cs="仿宋_GB2312" w:hint="eastAsia"/>
          <w:color w:val="auto"/>
          <w:sz w:val="32"/>
          <w:szCs w:val="32"/>
          <w:lang w:val="en-US" w:eastAsia="zh-CN"/>
        </w:rPr>
        <w:t>11.42</w:t>
      </w:r>
      <w:r>
        <w:rPr>
          <w:rFonts w:ascii="仿宋_GB2312" w:eastAsia="仿宋_GB2312" w:cs="仿宋_GB2312" w:hint="eastAsia"/>
          <w:color w:val="auto"/>
          <w:sz w:val="32"/>
          <w:szCs w:val="32"/>
          <w:lang w:eastAsia="zh-CN"/>
        </w:rPr>
        <w:t>万元，占</w:t>
      </w:r>
      <w:r>
        <w:rPr>
          <w:rFonts w:ascii="仿宋_GB2312" w:eastAsia="仿宋_GB2312" w:cs="仿宋_GB2312" w:hint="eastAsia"/>
          <w:color w:val="auto"/>
          <w:sz w:val="32"/>
          <w:szCs w:val="32"/>
          <w:lang w:val="en-US" w:eastAsia="zh-CN"/>
        </w:rPr>
        <w:t>3.11</w:t>
      </w:r>
      <w:r>
        <w:rPr>
          <w:rFonts w:ascii="仿宋_GB2312" w:eastAsia="仿宋_GB2312" w:cs="仿宋_GB2312" w:hint="eastAsia"/>
          <w:color w:val="auto"/>
          <w:sz w:val="32"/>
          <w:szCs w:val="32"/>
          <w:lang w:eastAsia="zh-CN"/>
        </w:rPr>
        <w:t>%。</w:t>
      </w:r>
    </w:p>
    <w:p>
      <w:pPr>
        <w:spacing w:line="578" w:lineRule="exact"/>
        <w:ind w:left="0" w:firstLineChars="200" w:firstLine="640"/>
        <w:rPr>
          <w:rFonts w:ascii="仿宋_GB2312" w:eastAsia="仿宋_GB2312" w:cs="仿宋_GB2312" w:hint="eastAsia"/>
          <w:color w:val="auto"/>
          <w:sz w:val="32"/>
          <w:szCs w:val="32"/>
          <w:lang w:eastAsia="zh-CN"/>
        </w:rPr>
      </w:pPr>
      <w:r>
        <w:rPr>
          <w:rFonts w:ascii="仿宋_GB2312" w:eastAsia="仿宋_GB2312" w:cs="仿宋_GB2312" w:hint="eastAsia"/>
          <w:color w:val="auto"/>
          <w:sz w:val="32"/>
          <w:szCs w:val="32"/>
          <w:lang w:eastAsia="zh-CN"/>
        </w:rPr>
        <w:t>图6：一般公共预算财政拨款支出决算结构</w:t>
      </w:r>
    </w:p>
    <w:p>
      <w:pPr>
        <w:spacing w:line="600" w:lineRule="exact"/>
        <w:ind w:firstLineChars="200" w:firstLine="420"/>
        <w:rPr>
          <w:rFonts w:ascii="仿宋" w:eastAsia="仿宋"/>
          <w:sz w:val="32"/>
          <w:szCs w:val="32"/>
        </w:rPr>
      </w:pPr>
      <w:r>
        <w:drawing>
          <wp:anchor distT="0" distB="0" distL="114300" distR="114300" simplePos="0" relativeHeight="30" behindDoc="0" locked="0" layoutInCell="1" hidden="0" allowOverlap="1">
            <wp:simplePos x="0" y="0"/>
            <wp:positionH relativeFrom="column">
              <wp:posOffset>310515</wp:posOffset>
            </wp:positionH>
            <wp:positionV relativeFrom="paragraph">
              <wp:posOffset>205740</wp:posOffset>
            </wp:positionV>
            <wp:extent cx="4572000" cy="2743200"/>
            <wp:effectExtent l="0" t="0" r="0" b="0"/>
            <wp:wrapNone/>
            <wp:docPr id="8" name="图表 12"/>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ind w:firstLineChars="200" w:firstLine="640"/>
        <w:rPr>
          <w:rFonts w:ascii="仿宋" w:eastAsia="仿宋"/>
          <w:sz w:val="32"/>
          <w:szCs w:val="32"/>
        </w:rPr>
      </w:pPr>
    </w:p>
    <w:p>
      <w:pPr>
        <w:spacing w:line="600" w:lineRule="exact"/>
        <w:ind w:firstLineChars="200" w:firstLine="640"/>
        <w:rPr>
          <w:rFonts w:ascii="仿宋" w:eastAsia="仿宋"/>
          <w:sz w:val="32"/>
          <w:szCs w:val="32"/>
        </w:rPr>
      </w:pPr>
    </w:p>
    <w:p>
      <w:pPr>
        <w:spacing w:line="600" w:lineRule="exact"/>
        <w:ind w:firstLineChars="200" w:firstLine="640"/>
        <w:rPr>
          <w:rFonts w:ascii="仿宋" w:eastAsia="仿宋"/>
          <w:sz w:val="32"/>
          <w:szCs w:val="32"/>
        </w:rPr>
      </w:pPr>
    </w:p>
    <w:p>
      <w:pPr>
        <w:spacing w:line="600" w:lineRule="exact"/>
        <w:ind w:firstLineChars="200" w:firstLine="640"/>
        <w:rPr>
          <w:rFonts w:ascii="仿宋" w:eastAsia="仿宋"/>
          <w:sz w:val="32"/>
          <w:szCs w:val="32"/>
        </w:rPr>
      </w:pPr>
    </w:p>
    <w:p>
      <w:pPr>
        <w:spacing w:line="600" w:lineRule="exact"/>
        <w:ind w:firstLineChars="200" w:firstLine="640"/>
        <w:rPr>
          <w:rFonts w:ascii="仿宋" w:eastAsia="仿宋"/>
          <w:sz w:val="32"/>
          <w:szCs w:val="32"/>
        </w:rPr>
      </w:pPr>
    </w:p>
    <w:p>
      <w:pPr>
        <w:spacing w:line="600" w:lineRule="exact"/>
        <w:ind w:firstLineChars="200" w:firstLine="640"/>
        <w:rPr>
          <w:rFonts w:ascii="仿宋" w:eastAsia="仿宋"/>
          <w:sz w:val="32"/>
          <w:szCs w:val="32"/>
        </w:rPr>
      </w:pPr>
    </w:p>
    <w:p>
      <w:pPr>
        <w:spacing w:line="600" w:lineRule="exact"/>
        <w:ind w:firstLineChars="200" w:firstLine="640"/>
        <w:rPr>
          <w:rFonts w:ascii="仿宋" w:eastAsia="仿宋"/>
          <w:sz w:val="32"/>
          <w:szCs w:val="32"/>
        </w:rPr>
      </w:pPr>
    </w:p>
    <w:p>
      <w:pPr>
        <w:spacing w:line="600" w:lineRule="exact"/>
        <w:ind w:firstLineChars="200" w:firstLine="640"/>
        <w:outlineLvl w:val="2"/>
        <w:rPr>
          <w:rFonts w:ascii="仿宋" w:eastAsia="仿宋"/>
          <w:b/>
          <w:sz w:val="32"/>
          <w:szCs w:val="32"/>
          <w:highlight w:val="auto"/>
        </w:rPr>
      </w:pPr>
      <w:bookmarkStart w:id="57" w:name="_Toc15377212"/>
      <w:r>
        <w:rPr>
          <w:rFonts w:ascii="仿宋" w:eastAsia="仿宋" w:hint="eastAsia"/>
          <w:b/>
          <w:sz w:val="32"/>
          <w:szCs w:val="32"/>
          <w:highlight w:val="auto"/>
        </w:rPr>
        <w:t>（三）一般公共预算财政拨款支出决算具体情况</w:t>
      </w:r>
      <w:bookmarkEnd w:id="57"/>
    </w:p>
    <w:p>
      <w:pPr>
        <w:spacing w:line="600" w:lineRule="exact"/>
        <w:ind w:firstLineChars="200" w:firstLine="640"/>
        <w:outlineLvl w:val="1"/>
        <w:rPr>
          <w:rFonts w:ascii="仿宋_GB2312" w:eastAsia="仿宋_GB2312" w:cs="仿宋_GB2312" w:hint="eastAsia"/>
          <w:sz w:val="32"/>
          <w:szCs w:val="32"/>
          <w:lang w:eastAsia="zh-CN"/>
          <w:highlight w:val="auto"/>
        </w:rPr>
      </w:pPr>
      <w:r>
        <w:rPr>
          <w:rStyle w:val="25"/>
          <w:rFonts w:ascii="仿宋_GB2312" w:eastAsia="仿宋_GB2312" w:cs="仿宋_GB2312" w:hint="eastAsia"/>
          <w:b w:val="0"/>
          <w:bCs/>
          <w:color w:val="000000"/>
          <w:sz w:val="32"/>
          <w:szCs w:val="32"/>
          <w:lang w:val="en-US" w:eastAsia="zh-CN"/>
          <w:highlight w:val="auto"/>
        </w:rPr>
        <w:t>1.</w:t>
      </w:r>
      <w:r>
        <w:rPr>
          <w:rStyle w:val="25"/>
          <w:rFonts w:ascii="仿宋_GB2312" w:eastAsia="仿宋_GB2312" w:cs="仿宋_GB2312" w:hint="eastAsia"/>
          <w:bCs/>
          <w:color w:val="000000"/>
          <w:sz w:val="32"/>
          <w:szCs w:val="32"/>
          <w:highlight w:val="auto"/>
        </w:rPr>
        <w:t>一般公共服务</w:t>
      </w:r>
      <w:r>
        <w:rPr>
          <w:rStyle w:val="25"/>
          <w:rFonts w:ascii="仿宋_GB2312" w:eastAsia="仿宋_GB2312" w:cs="仿宋_GB2312" w:hint="eastAsia"/>
          <w:bCs/>
          <w:color w:val="000000"/>
          <w:sz w:val="32"/>
          <w:szCs w:val="32"/>
          <w:lang w:eastAsia="zh-CN"/>
          <w:highlight w:val="auto"/>
        </w:rPr>
        <w:t>支出</w:t>
      </w:r>
      <w:r>
        <w:rPr>
          <w:rStyle w:val="25"/>
          <w:rFonts w:ascii="仿宋_GB2312" w:eastAsia="仿宋_GB2312" w:cs="仿宋_GB2312" w:hint="eastAsia"/>
          <w:bCs/>
          <w:color w:val="000000"/>
          <w:sz w:val="32"/>
          <w:szCs w:val="32"/>
          <w:highlight w:val="auto"/>
        </w:rPr>
        <w:t>（类）</w:t>
      </w:r>
      <w:r>
        <w:rPr>
          <w:rStyle w:val="25"/>
          <w:rFonts w:ascii="仿宋_GB2312" w:eastAsia="仿宋_GB2312" w:cs="仿宋_GB2312" w:hint="eastAsia"/>
          <w:bCs/>
          <w:color w:val="000000"/>
          <w:sz w:val="32"/>
          <w:szCs w:val="32"/>
          <w:lang w:val="en-US" w:eastAsia="zh-CN"/>
          <w:highlight w:val="auto"/>
        </w:rPr>
        <w:t>政府办公</w:t>
      </w:r>
      <w:bookmarkStart w:id="58" w:name="_Toc15377444"/>
      <w:bookmarkStart w:id="59" w:name="_Toc15378460"/>
      <w:bookmarkStart w:id="60" w:name="_Toc8604"/>
      <w:bookmarkStart w:id="61" w:name="_Toc15377213"/>
      <w:r>
        <w:rPr>
          <w:rFonts w:ascii="仿宋" w:eastAsia="仿宋" w:hint="eastAsia"/>
          <w:b/>
          <w:sz w:val="32"/>
          <w:szCs w:val="32"/>
          <w:lang w:eastAsia="zh-CN"/>
          <w:highlight w:val="auto"/>
        </w:rPr>
        <w:t>2024年</w:t>
      </w:r>
      <w:r>
        <w:rPr>
          <w:rFonts w:ascii="仿宋" w:eastAsia="仿宋" w:hint="eastAsia"/>
          <w:b/>
          <w:sz w:val="32"/>
          <w:szCs w:val="32"/>
          <w:highlight w:val="auto"/>
        </w:rPr>
        <w:t>度一般公共预算支出决算数为</w:t>
      </w:r>
      <w:r>
        <w:rPr>
          <w:rFonts w:eastAsia="仿宋" w:hint="eastAsia"/>
          <w:sz w:val="32"/>
          <w:szCs w:val="32"/>
          <w:lang w:val="en-US" w:eastAsia="zh-CN"/>
          <w:highlight w:val="auto"/>
        </w:rPr>
        <w:t>325.79</w:t>
      </w:r>
      <w:r>
        <w:rPr>
          <w:rFonts w:ascii="仿宋" w:eastAsia="仿宋" w:hint="eastAsia"/>
          <w:sz w:val="32"/>
          <w:szCs w:val="32"/>
          <w:highlight w:val="auto"/>
        </w:rPr>
        <w:t>，</w:t>
      </w:r>
      <w:r>
        <w:rPr>
          <w:rStyle w:val="25"/>
          <w:rFonts w:ascii="仿宋" w:eastAsia="仿宋" w:hint="eastAsia"/>
          <w:bCs/>
          <w:sz w:val="32"/>
          <w:szCs w:val="32"/>
          <w:highlight w:val="auto"/>
        </w:rPr>
        <w:t>完成预算</w:t>
      </w:r>
      <w:r>
        <w:rPr>
          <w:rStyle w:val="25"/>
          <w:rFonts w:ascii="仿宋" w:eastAsia="仿宋" w:hint="eastAsia"/>
          <w:bCs/>
          <w:sz w:val="32"/>
          <w:szCs w:val="32"/>
          <w:lang w:val="en-US" w:eastAsia="zh-CN"/>
          <w:highlight w:val="auto"/>
        </w:rPr>
        <w:t>100</w:t>
      </w:r>
      <w:r>
        <w:rPr>
          <w:rStyle w:val="25"/>
          <w:rFonts w:ascii="仿宋" w:eastAsia="仿宋"/>
          <w:bCs/>
          <w:sz w:val="32"/>
          <w:szCs w:val="32"/>
          <w:highlight w:val="auto"/>
        </w:rPr>
        <w:t>%</w:t>
      </w:r>
      <w:r>
        <w:rPr>
          <w:rStyle w:val="25"/>
          <w:rFonts w:ascii="仿宋" w:eastAsia="仿宋" w:hint="eastAsia"/>
          <w:bCs/>
          <w:sz w:val="32"/>
          <w:szCs w:val="32"/>
          <w:highlight w:val="auto"/>
        </w:rPr>
        <w:t>。其中：</w:t>
      </w:r>
      <w:bookmarkEnd w:id="58"/>
      <w:bookmarkEnd w:id="59"/>
      <w:bookmarkEnd w:id="60"/>
      <w:bookmarkEnd w:id="61"/>
      <w:r>
        <w:rPr>
          <w:rStyle w:val="25"/>
          <w:rFonts w:ascii="仿宋_GB2312" w:eastAsia="仿宋_GB2312" w:cs="仿宋_GB2312" w:hint="eastAsia"/>
          <w:bCs/>
          <w:color w:val="000000"/>
          <w:sz w:val="32"/>
          <w:szCs w:val="32"/>
          <w:lang w:val="en-US" w:eastAsia="zh-CN"/>
          <w:highlight w:val="auto"/>
        </w:rPr>
        <w:t>厅（室）及相关机构事务</w:t>
      </w:r>
      <w:r>
        <w:rPr>
          <w:rStyle w:val="25"/>
          <w:rFonts w:ascii="仿宋_GB2312" w:eastAsia="仿宋_GB2312" w:cs="仿宋_GB2312" w:hint="eastAsia"/>
          <w:bCs/>
          <w:color w:val="000000"/>
          <w:sz w:val="32"/>
          <w:szCs w:val="32"/>
          <w:highlight w:val="auto"/>
        </w:rPr>
        <w:t>（款）</w:t>
      </w:r>
      <w:r>
        <w:rPr>
          <w:rStyle w:val="25"/>
          <w:rFonts w:ascii="仿宋_GB2312" w:eastAsia="仿宋_GB2312" w:cs="仿宋_GB2312" w:hint="eastAsia"/>
          <w:bCs/>
          <w:color w:val="000000"/>
          <w:sz w:val="32"/>
          <w:szCs w:val="32"/>
          <w:lang w:val="en-US" w:eastAsia="zh-CN"/>
          <w:highlight w:val="auto"/>
        </w:rPr>
        <w:t>事业运行</w:t>
      </w:r>
      <w:r>
        <w:rPr>
          <w:rStyle w:val="25"/>
          <w:rFonts w:ascii="仿宋_GB2312" w:eastAsia="仿宋_GB2312" w:cs="仿宋_GB2312" w:hint="eastAsia"/>
          <w:bCs/>
          <w:color w:val="000000"/>
          <w:sz w:val="32"/>
          <w:szCs w:val="32"/>
          <w:highlight w:val="auto"/>
        </w:rPr>
        <w:t>（项）</w:t>
      </w:r>
      <w:r>
        <w:rPr>
          <w:rStyle w:val="25"/>
          <w:rFonts w:ascii="仿宋_GB2312" w:eastAsia="仿宋_GB2312" w:cs="仿宋_GB2312" w:hint="eastAsia"/>
          <w:bCs/>
          <w:color w:val="000000"/>
          <w:sz w:val="32"/>
          <w:szCs w:val="32"/>
          <w:lang w:eastAsia="zh-CN"/>
          <w:highlight w:val="auto"/>
        </w:rPr>
        <w:t>：</w:t>
      </w:r>
      <w:r>
        <w:rPr>
          <w:rStyle w:val="25"/>
          <w:rFonts w:ascii="仿宋_GB2312" w:eastAsia="仿宋_GB2312" w:cs="仿宋_GB2312" w:hint="eastAsia"/>
          <w:b w:val="0"/>
          <w:bCs/>
          <w:color w:val="000000"/>
          <w:sz w:val="32"/>
          <w:szCs w:val="32"/>
          <w:highlight w:val="auto"/>
        </w:rPr>
        <w:t xml:space="preserve"> </w:t>
      </w:r>
      <w:r>
        <w:rPr>
          <w:rFonts w:ascii="仿宋_GB2312" w:eastAsia="仿宋_GB2312" w:cs="仿宋_GB2312" w:hint="eastAsia"/>
          <w:sz w:val="32"/>
          <w:szCs w:val="32"/>
          <w:lang w:eastAsia="zh-CN"/>
          <w:highlight w:val="auto"/>
        </w:rPr>
        <w:t>支出决算为</w:t>
      </w:r>
      <w:r>
        <w:rPr>
          <w:rFonts w:ascii="仿宋_GB2312" w:eastAsia="仿宋_GB2312" w:cs="仿宋_GB2312" w:hint="eastAsia"/>
          <w:sz w:val="32"/>
          <w:szCs w:val="32"/>
          <w:lang w:val="en-US" w:eastAsia="zh-CN"/>
          <w:highlight w:val="auto"/>
        </w:rPr>
        <w:t>131.30</w:t>
      </w:r>
      <w:r>
        <w:rPr>
          <w:rFonts w:ascii="仿宋_GB2312" w:eastAsia="仿宋_GB2312" w:cs="仿宋_GB2312" w:hint="eastAsia"/>
          <w:sz w:val="32"/>
          <w:szCs w:val="32"/>
          <w:lang w:eastAsia="zh-CN"/>
          <w:highlight w:val="auto"/>
        </w:rPr>
        <w:t>万元，完成预算</w:t>
      </w:r>
      <w:r>
        <w:rPr>
          <w:rFonts w:ascii="仿宋_GB2312" w:eastAsia="仿宋_GB2312" w:cs="仿宋_GB2312" w:hint="eastAsia"/>
          <w:sz w:val="32"/>
          <w:szCs w:val="32"/>
          <w:lang w:val="en-US" w:eastAsia="zh-CN"/>
          <w:highlight w:val="auto"/>
        </w:rPr>
        <w:t>100</w:t>
      </w:r>
      <w:r>
        <w:rPr>
          <w:rFonts w:ascii="仿宋_GB2312" w:eastAsia="仿宋_GB2312" w:cs="仿宋_GB2312" w:hint="eastAsia"/>
          <w:sz w:val="32"/>
          <w:szCs w:val="32"/>
          <w:lang w:eastAsia="zh-CN"/>
          <w:highlight w:val="auto"/>
        </w:rPr>
        <w:t>%。</w:t>
      </w:r>
    </w:p>
    <w:p>
      <w:pPr>
        <w:spacing w:line="600" w:lineRule="exact"/>
        <w:ind w:firstLineChars="200" w:firstLine="640"/>
        <w:rPr>
          <w:rFonts w:ascii="仿宋_GB2312" w:eastAsia="仿宋_GB2312" w:cs="仿宋_GB2312" w:hint="eastAsia"/>
          <w:sz w:val="32"/>
          <w:szCs w:val="32"/>
          <w:lang w:eastAsia="zh-CN"/>
          <w:highlight w:val="auto"/>
        </w:rPr>
      </w:pPr>
      <w:r>
        <w:rPr>
          <w:rStyle w:val="25"/>
          <w:rFonts w:ascii="仿宋_GB2312" w:eastAsia="仿宋_GB2312" w:cs="仿宋_GB2312" w:hint="eastAsia"/>
          <w:b w:val="0"/>
          <w:bCs/>
          <w:color w:val="000000"/>
          <w:sz w:val="32"/>
          <w:szCs w:val="32"/>
          <w:lang w:val="en-US" w:eastAsia="zh-CN"/>
          <w:highlight w:val="auto"/>
        </w:rPr>
        <w:t>2.</w:t>
      </w:r>
      <w:r>
        <w:rPr>
          <w:rStyle w:val="25"/>
          <w:rFonts w:ascii="仿宋_GB2312" w:eastAsia="仿宋_GB2312" w:cs="仿宋_GB2312" w:hint="eastAsia"/>
          <w:bCs/>
          <w:color w:val="000000"/>
          <w:sz w:val="32"/>
          <w:szCs w:val="32"/>
          <w:highlight w:val="auto"/>
        </w:rPr>
        <w:t>一般公共服务</w:t>
      </w:r>
      <w:r>
        <w:rPr>
          <w:rStyle w:val="25"/>
          <w:rFonts w:ascii="仿宋_GB2312" w:eastAsia="仿宋_GB2312" w:cs="仿宋_GB2312" w:hint="eastAsia"/>
          <w:bCs/>
          <w:color w:val="000000"/>
          <w:sz w:val="32"/>
          <w:szCs w:val="32"/>
          <w:lang w:eastAsia="zh-CN"/>
          <w:highlight w:val="auto"/>
        </w:rPr>
        <w:t>支出</w:t>
      </w:r>
      <w:r>
        <w:rPr>
          <w:rStyle w:val="25"/>
          <w:rFonts w:ascii="仿宋_GB2312" w:eastAsia="仿宋_GB2312" w:cs="仿宋_GB2312" w:hint="eastAsia"/>
          <w:bCs/>
          <w:color w:val="000000"/>
          <w:sz w:val="32"/>
          <w:szCs w:val="32"/>
          <w:highlight w:val="auto"/>
        </w:rPr>
        <w:t>（类）</w:t>
      </w:r>
      <w:r>
        <w:rPr>
          <w:rStyle w:val="25"/>
          <w:rFonts w:ascii="仿宋_GB2312" w:eastAsia="仿宋_GB2312" w:cs="仿宋_GB2312" w:hint="eastAsia"/>
          <w:bCs/>
          <w:color w:val="000000"/>
          <w:sz w:val="32"/>
          <w:szCs w:val="32"/>
          <w:lang w:val="en-US" w:eastAsia="zh-CN"/>
          <w:highlight w:val="auto"/>
        </w:rPr>
        <w:t>政府办公厅（室）及相关机构事务</w:t>
      </w:r>
      <w:r>
        <w:rPr>
          <w:rStyle w:val="25"/>
          <w:rFonts w:ascii="仿宋_GB2312" w:eastAsia="仿宋_GB2312" w:cs="仿宋_GB2312" w:hint="eastAsia"/>
          <w:bCs/>
          <w:color w:val="000000"/>
          <w:sz w:val="32"/>
          <w:szCs w:val="32"/>
          <w:highlight w:val="auto"/>
        </w:rPr>
        <w:t>（款）</w:t>
      </w:r>
      <w:r>
        <w:rPr>
          <w:rStyle w:val="25"/>
          <w:rFonts w:ascii="仿宋_GB2312" w:eastAsia="仿宋_GB2312" w:cs="仿宋_GB2312" w:hint="eastAsia"/>
          <w:bCs/>
          <w:color w:val="000000"/>
          <w:sz w:val="32"/>
          <w:szCs w:val="32"/>
          <w:lang w:val="en-US" w:eastAsia="zh-CN"/>
          <w:highlight w:val="auto"/>
        </w:rPr>
        <w:t>其他政府办公厅（室）及相关机构事务支出（项）：</w:t>
      </w:r>
      <w:r>
        <w:rPr>
          <w:rFonts w:ascii="仿宋_GB2312" w:eastAsia="仿宋_GB2312" w:cs="仿宋_GB2312" w:hint="eastAsia"/>
          <w:sz w:val="32"/>
          <w:szCs w:val="32"/>
          <w:lang w:eastAsia="zh-CN"/>
          <w:highlight w:val="auto"/>
        </w:rPr>
        <w:t>支出决算数为</w:t>
      </w:r>
      <w:r>
        <w:rPr>
          <w:rFonts w:ascii="仿宋_GB2312" w:eastAsia="仿宋_GB2312" w:cs="仿宋_GB2312" w:hint="eastAsia"/>
          <w:sz w:val="32"/>
          <w:szCs w:val="32"/>
          <w:lang w:val="en-US" w:eastAsia="zh-CN"/>
          <w:highlight w:val="auto"/>
        </w:rPr>
        <w:t>194.49万元，</w:t>
      </w:r>
      <w:r>
        <w:rPr>
          <w:rFonts w:ascii="仿宋_GB2312" w:eastAsia="仿宋_GB2312" w:cs="仿宋_GB2312" w:hint="eastAsia"/>
          <w:sz w:val="32"/>
          <w:szCs w:val="32"/>
          <w:lang w:eastAsia="zh-CN"/>
          <w:highlight w:val="auto"/>
        </w:rPr>
        <w:t>完成预算</w:t>
      </w:r>
      <w:r>
        <w:rPr>
          <w:rFonts w:ascii="仿宋_GB2312" w:eastAsia="仿宋_GB2312" w:cs="仿宋_GB2312" w:hint="eastAsia"/>
          <w:sz w:val="32"/>
          <w:szCs w:val="32"/>
          <w:lang w:val="en-US" w:eastAsia="zh-CN"/>
          <w:highlight w:val="auto"/>
        </w:rPr>
        <w:t>100</w:t>
      </w:r>
      <w:r>
        <w:rPr>
          <w:rFonts w:ascii="仿宋_GB2312" w:eastAsia="仿宋_GB2312" w:cs="仿宋_GB2312" w:hint="eastAsia"/>
          <w:sz w:val="32"/>
          <w:szCs w:val="32"/>
          <w:lang w:eastAsia="zh-CN"/>
          <w:highlight w:val="auto"/>
        </w:rPr>
        <w:t>%。</w:t>
      </w:r>
    </w:p>
    <w:p>
      <w:pPr>
        <w:spacing w:line="600" w:lineRule="exact"/>
        <w:ind w:firstLineChars="200" w:firstLine="640"/>
        <w:rPr>
          <w:rFonts w:ascii="仿宋_GB2312" w:eastAsia="仿宋_GB2312" w:cs="仿宋_GB2312" w:hint="eastAsia"/>
          <w:sz w:val="32"/>
          <w:szCs w:val="32"/>
          <w:lang w:eastAsia="zh-CN"/>
          <w:highlight w:val="auto"/>
        </w:rPr>
      </w:pPr>
      <w:r>
        <w:rPr>
          <w:rStyle w:val="25"/>
          <w:rFonts w:ascii="仿宋_GB2312" w:eastAsia="仿宋_GB2312" w:cs="仿宋_GB2312" w:hint="eastAsia"/>
          <w:b w:val="0"/>
          <w:bCs/>
          <w:color w:val="000000"/>
          <w:sz w:val="32"/>
          <w:szCs w:val="32"/>
          <w:lang w:val="en-US" w:eastAsia="zh-CN"/>
          <w:highlight w:val="auto"/>
        </w:rPr>
        <w:t>3</w:t>
      </w:r>
      <w:r>
        <w:rPr>
          <w:rStyle w:val="25"/>
          <w:rFonts w:ascii="仿宋_GB2312" w:eastAsia="仿宋_GB2312" w:cs="仿宋_GB2312" w:hint="eastAsia"/>
          <w:bCs/>
          <w:color w:val="000000"/>
          <w:sz w:val="32"/>
          <w:szCs w:val="32"/>
          <w:highlight w:val="auto"/>
        </w:rPr>
        <w:t>.</w:t>
      </w:r>
      <w:r>
        <w:rPr>
          <w:rStyle w:val="25"/>
          <w:rFonts w:ascii="仿宋_GB2312" w:eastAsia="仿宋_GB2312" w:cs="仿宋_GB2312" w:hint="eastAsia"/>
          <w:b w:val="0"/>
          <w:bCs/>
          <w:color w:val="000000"/>
          <w:sz w:val="32"/>
          <w:szCs w:val="32"/>
          <w:highlight w:val="auto"/>
        </w:rPr>
        <w:t xml:space="preserve"> </w:t>
      </w:r>
      <w:r>
        <w:rPr>
          <w:rStyle w:val="25"/>
          <w:rFonts w:ascii="仿宋_GB2312" w:eastAsia="仿宋_GB2312" w:cs="仿宋_GB2312" w:hint="eastAsia"/>
          <w:bCs/>
          <w:color w:val="000000"/>
          <w:sz w:val="32"/>
          <w:szCs w:val="32"/>
          <w:highlight w:val="auto"/>
        </w:rPr>
        <w:t>社会保障和就业（类）</w:t>
      </w:r>
      <w:r>
        <w:rPr>
          <w:rStyle w:val="25"/>
          <w:rFonts w:ascii="仿宋_GB2312" w:eastAsia="仿宋_GB2312" w:cs="仿宋_GB2312" w:hint="eastAsia"/>
          <w:bCs/>
          <w:color w:val="000000"/>
          <w:sz w:val="32"/>
          <w:szCs w:val="32"/>
          <w:lang w:val="en-US" w:eastAsia="zh-CN"/>
          <w:highlight w:val="auto"/>
        </w:rPr>
        <w:t>行政事业单位离退休</w:t>
      </w:r>
      <w:r>
        <w:rPr>
          <w:rStyle w:val="25"/>
          <w:rFonts w:ascii="仿宋_GB2312" w:eastAsia="仿宋_GB2312" w:cs="仿宋_GB2312" w:hint="eastAsia"/>
          <w:bCs/>
          <w:color w:val="000000"/>
          <w:sz w:val="32"/>
          <w:szCs w:val="32"/>
          <w:highlight w:val="auto"/>
        </w:rPr>
        <w:t>（款）</w:t>
      </w:r>
      <w:r>
        <w:rPr>
          <w:rStyle w:val="25"/>
          <w:rFonts w:ascii="仿宋_GB2312" w:eastAsia="仿宋_GB2312" w:cs="仿宋_GB2312" w:hint="eastAsia"/>
          <w:bCs/>
          <w:color w:val="000000"/>
          <w:sz w:val="32"/>
          <w:szCs w:val="32"/>
          <w:lang w:val="en-US" w:eastAsia="zh-CN"/>
          <w:highlight w:val="auto"/>
        </w:rPr>
        <w:t>机关事业单位基本养老保险缴费支出</w:t>
      </w:r>
      <w:r>
        <w:rPr>
          <w:rStyle w:val="25"/>
          <w:rFonts w:ascii="仿宋_GB2312" w:eastAsia="仿宋_GB2312" w:cs="仿宋_GB2312" w:hint="eastAsia"/>
          <w:bCs/>
          <w:color w:val="000000"/>
          <w:sz w:val="32"/>
          <w:szCs w:val="32"/>
          <w:highlight w:val="auto"/>
        </w:rPr>
        <w:t>（项）</w:t>
      </w:r>
      <w:r>
        <w:rPr>
          <w:rStyle w:val="25"/>
          <w:rFonts w:ascii="仿宋_GB2312" w:eastAsia="仿宋_GB2312" w:cs="仿宋_GB2312" w:hint="eastAsia"/>
          <w:bCs/>
          <w:color w:val="000000"/>
          <w:sz w:val="32"/>
          <w:szCs w:val="32"/>
          <w:lang w:eastAsia="zh-CN"/>
          <w:highlight w:val="auto"/>
        </w:rPr>
        <w:t>：</w:t>
      </w:r>
      <w:r>
        <w:rPr>
          <w:rStyle w:val="25"/>
          <w:rFonts w:ascii="仿宋_GB2312" w:eastAsia="仿宋_GB2312" w:cs="仿宋_GB2312" w:hint="eastAsia"/>
          <w:b w:val="0"/>
          <w:bCs/>
          <w:color w:val="000000"/>
          <w:sz w:val="32"/>
          <w:szCs w:val="32"/>
          <w:highlight w:val="auto"/>
        </w:rPr>
        <w:t xml:space="preserve"> </w:t>
      </w:r>
      <w:r>
        <w:rPr>
          <w:rFonts w:ascii="仿宋_GB2312" w:eastAsia="仿宋_GB2312" w:cs="仿宋_GB2312" w:hint="eastAsia"/>
          <w:sz w:val="32"/>
          <w:szCs w:val="32"/>
          <w:lang w:eastAsia="zh-CN"/>
          <w:highlight w:val="auto"/>
        </w:rPr>
        <w:t>支出决算为</w:t>
      </w:r>
      <w:r>
        <w:rPr>
          <w:rFonts w:ascii="仿宋_GB2312" w:eastAsia="仿宋_GB2312" w:cs="仿宋_GB2312" w:hint="eastAsia"/>
          <w:sz w:val="32"/>
          <w:szCs w:val="32"/>
          <w:lang w:val="en-US" w:eastAsia="zh-CN"/>
          <w:highlight w:val="auto"/>
        </w:rPr>
        <w:t>14.06</w:t>
      </w:r>
      <w:r>
        <w:rPr>
          <w:rFonts w:ascii="仿宋_GB2312" w:eastAsia="仿宋_GB2312" w:cs="仿宋_GB2312" w:hint="eastAsia"/>
          <w:sz w:val="32"/>
          <w:szCs w:val="32"/>
          <w:lang w:eastAsia="zh-CN"/>
          <w:highlight w:val="auto"/>
        </w:rPr>
        <w:t>万元，完成预算</w:t>
      </w:r>
      <w:r>
        <w:rPr>
          <w:rFonts w:ascii="仿宋_GB2312" w:eastAsia="仿宋_GB2312" w:cs="仿宋_GB2312" w:hint="eastAsia"/>
          <w:sz w:val="32"/>
          <w:szCs w:val="32"/>
          <w:lang w:val="en-US" w:eastAsia="zh-CN"/>
          <w:highlight w:val="auto"/>
        </w:rPr>
        <w:t>100</w:t>
      </w:r>
      <w:r>
        <w:rPr>
          <w:rFonts w:ascii="仿宋_GB2312" w:eastAsia="仿宋_GB2312" w:cs="仿宋_GB2312" w:hint="eastAsia"/>
          <w:sz w:val="32"/>
          <w:szCs w:val="32"/>
          <w:lang w:eastAsia="zh-CN"/>
          <w:highlight w:val="auto"/>
        </w:rPr>
        <w:t>%。</w:t>
      </w:r>
    </w:p>
    <w:p>
      <w:pPr>
        <w:spacing w:line="600" w:lineRule="exact"/>
        <w:ind w:firstLineChars="200" w:firstLine="640"/>
        <w:rPr>
          <w:rFonts w:ascii="仿宋_GB2312" w:eastAsia="仿宋_GB2312" w:cs="仿宋_GB2312" w:hint="eastAsia"/>
          <w:sz w:val="32"/>
          <w:szCs w:val="32"/>
          <w:lang w:eastAsia="zh-CN"/>
        </w:rPr>
      </w:pPr>
      <w:r>
        <w:rPr>
          <w:rStyle w:val="25"/>
          <w:rFonts w:ascii="仿宋_GB2312" w:eastAsia="仿宋_GB2312" w:cs="仿宋_GB2312" w:hint="eastAsia"/>
          <w:b w:val="0"/>
          <w:bCs/>
          <w:color w:val="000000"/>
          <w:sz w:val="32"/>
          <w:szCs w:val="32"/>
          <w:lang w:val="en-US" w:eastAsia="zh-CN"/>
          <w:highlight w:val="auto"/>
        </w:rPr>
        <w:t>4.</w:t>
      </w:r>
      <w:r>
        <w:rPr>
          <w:rStyle w:val="25"/>
          <w:rFonts w:ascii="仿宋_GB2312" w:eastAsia="仿宋_GB2312" w:cs="仿宋_GB2312" w:hint="eastAsia"/>
          <w:bCs/>
          <w:color w:val="000000"/>
          <w:sz w:val="32"/>
          <w:szCs w:val="32"/>
          <w:highlight w:val="auto"/>
        </w:rPr>
        <w:t>社会保障和就业（类）</w:t>
      </w:r>
      <w:r>
        <w:rPr>
          <w:rStyle w:val="25"/>
          <w:rFonts w:ascii="仿宋_GB2312" w:eastAsia="仿宋_GB2312" w:cs="仿宋_GB2312" w:hint="eastAsia"/>
          <w:bCs/>
          <w:color w:val="000000"/>
          <w:sz w:val="32"/>
          <w:szCs w:val="32"/>
          <w:lang w:val="en-US" w:eastAsia="zh-CN"/>
          <w:highlight w:val="auto"/>
        </w:rPr>
        <w:t>行政事业单位离</w:t>
      </w:r>
      <w:r>
        <w:rPr>
          <w:rStyle w:val="25"/>
          <w:rFonts w:ascii="仿宋_GB2312" w:eastAsia="仿宋_GB2312" w:cs="仿宋_GB2312" w:hint="eastAsia"/>
          <w:bCs/>
          <w:color w:val="000000"/>
          <w:sz w:val="32"/>
          <w:szCs w:val="32"/>
          <w:lang w:val="en-US" w:eastAsia="zh-CN"/>
        </w:rPr>
        <w:t>退休</w:t>
      </w:r>
      <w:r>
        <w:rPr>
          <w:rStyle w:val="25"/>
          <w:rFonts w:ascii="仿宋_GB2312" w:eastAsia="仿宋_GB2312" w:cs="仿宋_GB2312" w:hint="eastAsia"/>
          <w:bCs/>
          <w:color w:val="000000"/>
          <w:sz w:val="32"/>
          <w:szCs w:val="32"/>
        </w:rPr>
        <w:t>（款）</w:t>
      </w:r>
      <w:r>
        <w:rPr>
          <w:rStyle w:val="25"/>
          <w:rFonts w:ascii="仿宋_GB2312" w:eastAsia="仿宋_GB2312" w:cs="仿宋_GB2312" w:hint="eastAsia"/>
          <w:bCs/>
          <w:color w:val="000000"/>
          <w:sz w:val="32"/>
          <w:szCs w:val="32"/>
          <w:lang w:val="en-US" w:eastAsia="zh-CN"/>
        </w:rPr>
        <w:t>机关事业单位基本职业年金缴费支出</w:t>
      </w:r>
      <w:r>
        <w:rPr>
          <w:rStyle w:val="25"/>
          <w:rFonts w:ascii="仿宋_GB2312" w:eastAsia="仿宋_GB2312" w:cs="仿宋_GB2312" w:hint="eastAsia"/>
          <w:bCs/>
          <w:color w:val="000000"/>
          <w:sz w:val="32"/>
          <w:szCs w:val="32"/>
        </w:rPr>
        <w:t>（项）</w:t>
      </w:r>
      <w:r>
        <w:rPr>
          <w:rStyle w:val="25"/>
          <w:rFonts w:ascii="仿宋_GB2312" w:eastAsia="仿宋_GB2312" w:cs="仿宋_GB2312" w:hint="eastAsia"/>
          <w:bCs/>
          <w:color w:val="000000"/>
          <w:sz w:val="32"/>
          <w:szCs w:val="32"/>
          <w:lang w:eastAsia="zh-CN"/>
        </w:rPr>
        <w:t>：</w:t>
      </w:r>
      <w:r>
        <w:rPr>
          <w:rFonts w:ascii="仿宋_GB2312" w:eastAsia="仿宋_GB2312" w:cs="仿宋_GB2312" w:hint="eastAsia"/>
          <w:sz w:val="32"/>
          <w:szCs w:val="32"/>
          <w:lang w:eastAsia="zh-CN"/>
        </w:rPr>
        <w:t>支出决算为</w:t>
      </w:r>
      <w:r>
        <w:rPr>
          <w:rFonts w:ascii="仿宋_GB2312" w:eastAsia="仿宋_GB2312" w:cs="仿宋_GB2312" w:hint="eastAsia"/>
          <w:sz w:val="32"/>
          <w:szCs w:val="32"/>
          <w:lang w:val="en-US" w:eastAsia="zh-CN"/>
        </w:rPr>
        <w:t>7.03</w:t>
      </w:r>
      <w:r>
        <w:rPr>
          <w:rFonts w:ascii="仿宋_GB2312" w:eastAsia="仿宋_GB2312" w:cs="仿宋_GB2312" w:hint="eastAsia"/>
          <w:sz w:val="32"/>
          <w:szCs w:val="32"/>
          <w:lang w:eastAsia="zh-CN"/>
        </w:rPr>
        <w:t>万元，完成预算</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lang w:eastAsia="zh-CN"/>
        </w:rPr>
        <w:t>%。</w:t>
      </w:r>
    </w:p>
    <w:p>
      <w:pPr>
        <w:spacing w:line="600" w:lineRule="exact"/>
        <w:ind w:firstLineChars="200" w:firstLine="640"/>
        <w:rPr>
          <w:rStyle w:val="25"/>
          <w:rFonts w:ascii="仿宋_GB2312" w:eastAsia="仿宋_GB2312" w:cs="仿宋_GB2312" w:hint="eastAsia"/>
          <w:b w:val="0"/>
          <w:bCs/>
          <w:color w:val="000000"/>
          <w:sz w:val="32"/>
          <w:szCs w:val="32"/>
          <w:lang w:val="en-US" w:eastAsia="zh-CN"/>
        </w:rPr>
      </w:pPr>
      <w:r>
        <w:rPr>
          <w:rStyle w:val="25"/>
          <w:rFonts w:ascii="仿宋_GB2312" w:eastAsia="仿宋_GB2312" w:cs="仿宋_GB2312" w:hint="eastAsia"/>
          <w:b w:val="0"/>
          <w:bCs/>
          <w:color w:val="000000"/>
          <w:sz w:val="32"/>
          <w:szCs w:val="32"/>
          <w:lang w:val="en-US" w:eastAsia="zh-CN"/>
        </w:rPr>
        <w:t>5.</w:t>
      </w:r>
      <w:r>
        <w:rPr>
          <w:rStyle w:val="25"/>
          <w:rFonts w:ascii="仿宋_GB2312" w:eastAsia="仿宋_GB2312" w:cs="仿宋_GB2312" w:hint="eastAsia"/>
          <w:bCs/>
          <w:color w:val="000000"/>
          <w:sz w:val="32"/>
          <w:szCs w:val="32"/>
          <w:lang w:eastAsia="zh-CN"/>
        </w:rPr>
        <w:t>卫生健康支出</w:t>
      </w:r>
      <w:r>
        <w:rPr>
          <w:rStyle w:val="25"/>
          <w:rFonts w:ascii="仿宋_GB2312" w:eastAsia="仿宋_GB2312" w:cs="仿宋_GB2312" w:hint="eastAsia"/>
          <w:bCs/>
          <w:color w:val="000000"/>
          <w:sz w:val="32"/>
          <w:szCs w:val="32"/>
        </w:rPr>
        <w:t>（类）</w:t>
      </w:r>
      <w:r>
        <w:rPr>
          <w:rStyle w:val="25"/>
          <w:rFonts w:ascii="仿宋_GB2312" w:eastAsia="仿宋_GB2312" w:cs="仿宋_GB2312" w:hint="eastAsia"/>
          <w:bCs/>
          <w:color w:val="000000"/>
          <w:sz w:val="32"/>
          <w:szCs w:val="32"/>
          <w:lang w:val="en-US" w:eastAsia="zh-CN"/>
        </w:rPr>
        <w:t>行政事业单位医疗</w:t>
      </w:r>
      <w:r>
        <w:rPr>
          <w:rStyle w:val="25"/>
          <w:rFonts w:ascii="仿宋_GB2312" w:eastAsia="仿宋_GB2312" w:cs="仿宋_GB2312" w:hint="eastAsia"/>
          <w:bCs/>
          <w:color w:val="000000"/>
          <w:sz w:val="32"/>
          <w:szCs w:val="32"/>
        </w:rPr>
        <w:t>（款）</w:t>
      </w:r>
      <w:r>
        <w:rPr>
          <w:rStyle w:val="25"/>
          <w:rFonts w:ascii="仿宋_GB2312" w:eastAsia="仿宋_GB2312" w:cs="仿宋_GB2312" w:hint="eastAsia"/>
          <w:bCs/>
          <w:color w:val="000000"/>
          <w:sz w:val="32"/>
          <w:szCs w:val="32"/>
          <w:lang w:val="en-US" w:eastAsia="zh-CN"/>
        </w:rPr>
        <w:t>事业单位医疗</w:t>
      </w:r>
      <w:r>
        <w:rPr>
          <w:rStyle w:val="25"/>
          <w:rFonts w:ascii="仿宋_GB2312" w:eastAsia="仿宋_GB2312" w:cs="仿宋_GB2312" w:hint="eastAsia"/>
          <w:bCs/>
          <w:color w:val="000000"/>
          <w:sz w:val="32"/>
          <w:szCs w:val="32"/>
        </w:rPr>
        <w:t>（项）</w:t>
      </w:r>
      <w:r>
        <w:rPr>
          <w:rStyle w:val="25"/>
          <w:rFonts w:ascii="仿宋_GB2312" w:eastAsia="仿宋_GB2312" w:cs="仿宋_GB2312" w:hint="eastAsia"/>
          <w:bCs/>
          <w:color w:val="000000"/>
          <w:sz w:val="32"/>
          <w:szCs w:val="32"/>
          <w:lang w:eastAsia="zh-CN"/>
        </w:rPr>
        <w:t>：</w:t>
      </w:r>
      <w:r>
        <w:rPr>
          <w:rFonts w:ascii="仿宋_GB2312" w:eastAsia="仿宋_GB2312" w:cs="仿宋_GB2312" w:hint="eastAsia"/>
          <w:sz w:val="32"/>
          <w:szCs w:val="32"/>
          <w:lang w:eastAsia="zh-CN"/>
        </w:rPr>
        <w:t>支出决算为</w:t>
      </w:r>
      <w:r>
        <w:rPr>
          <w:rFonts w:ascii="仿宋_GB2312" w:eastAsia="仿宋_GB2312" w:cs="仿宋_GB2312" w:hint="eastAsia"/>
          <w:sz w:val="32"/>
          <w:szCs w:val="32"/>
          <w:lang w:val="en-US" w:eastAsia="zh-CN"/>
        </w:rPr>
        <w:t>6.81</w:t>
      </w:r>
      <w:r>
        <w:rPr>
          <w:rFonts w:ascii="仿宋_GB2312" w:eastAsia="仿宋_GB2312" w:cs="仿宋_GB2312" w:hint="eastAsia"/>
          <w:sz w:val="32"/>
          <w:szCs w:val="32"/>
          <w:lang w:eastAsia="zh-CN"/>
        </w:rPr>
        <w:t>万元，完成预算</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lang w:eastAsia="zh-CN"/>
        </w:rPr>
        <w:t>%。</w:t>
      </w:r>
    </w:p>
    <w:p>
      <w:pPr>
        <w:spacing w:line="600" w:lineRule="exact"/>
        <w:ind w:firstLineChars="200" w:firstLine="640"/>
        <w:rPr>
          <w:rFonts w:ascii="仿宋_GB2312" w:eastAsia="仿宋_GB2312" w:cs="仿宋_GB2312" w:hint="eastAsia"/>
          <w:sz w:val="32"/>
          <w:szCs w:val="32"/>
          <w:lang w:eastAsia="zh-CN"/>
        </w:rPr>
      </w:pPr>
      <w:r>
        <w:rPr>
          <w:rStyle w:val="25"/>
          <w:rFonts w:ascii="仿宋_GB2312" w:eastAsia="仿宋_GB2312" w:cs="仿宋_GB2312" w:hint="eastAsia"/>
          <w:b w:val="0"/>
          <w:bCs/>
          <w:color w:val="000000"/>
          <w:sz w:val="32"/>
          <w:szCs w:val="32"/>
          <w:lang w:val="en-US" w:eastAsia="zh-CN"/>
        </w:rPr>
        <w:t>6</w:t>
      </w:r>
      <w:r>
        <w:rPr>
          <w:rStyle w:val="25"/>
          <w:rFonts w:ascii="仿宋_GB2312" w:eastAsia="仿宋_GB2312" w:cs="仿宋_GB2312" w:hint="eastAsia"/>
          <w:bCs/>
          <w:color w:val="000000"/>
          <w:sz w:val="32"/>
          <w:szCs w:val="32"/>
          <w:lang w:val="en-US" w:eastAsia="zh-CN"/>
        </w:rPr>
        <w:t>.</w:t>
      </w:r>
      <w:r>
        <w:rPr>
          <w:rStyle w:val="25"/>
          <w:rFonts w:ascii="仿宋_GB2312" w:eastAsia="仿宋_GB2312" w:cs="仿宋_GB2312" w:hint="eastAsia"/>
          <w:bCs/>
          <w:color w:val="000000"/>
          <w:sz w:val="32"/>
          <w:szCs w:val="32"/>
          <w:lang w:eastAsia="zh-CN"/>
        </w:rPr>
        <w:t>卫生健康支出</w:t>
      </w:r>
      <w:r>
        <w:rPr>
          <w:rStyle w:val="25"/>
          <w:rFonts w:ascii="仿宋_GB2312" w:eastAsia="仿宋_GB2312" w:cs="仿宋_GB2312" w:hint="eastAsia"/>
          <w:bCs/>
          <w:color w:val="000000"/>
          <w:sz w:val="32"/>
          <w:szCs w:val="32"/>
        </w:rPr>
        <w:t>（类）</w:t>
      </w:r>
      <w:r>
        <w:rPr>
          <w:rStyle w:val="25"/>
          <w:rFonts w:ascii="仿宋_GB2312" w:eastAsia="仿宋_GB2312" w:cs="仿宋_GB2312" w:hint="eastAsia"/>
          <w:bCs/>
          <w:color w:val="000000"/>
          <w:sz w:val="32"/>
          <w:szCs w:val="32"/>
          <w:lang w:val="en-US" w:eastAsia="zh-CN"/>
        </w:rPr>
        <w:t>行政事业单位医疗</w:t>
      </w:r>
      <w:r>
        <w:rPr>
          <w:rStyle w:val="25"/>
          <w:rFonts w:ascii="仿宋_GB2312" w:eastAsia="仿宋_GB2312" w:cs="仿宋_GB2312" w:hint="eastAsia"/>
          <w:bCs/>
          <w:color w:val="000000"/>
          <w:sz w:val="32"/>
          <w:szCs w:val="32"/>
        </w:rPr>
        <w:t>（款）</w:t>
      </w:r>
      <w:r>
        <w:rPr>
          <w:rStyle w:val="25"/>
          <w:rFonts w:ascii="仿宋_GB2312" w:eastAsia="仿宋_GB2312" w:cs="仿宋_GB2312" w:hint="eastAsia"/>
          <w:bCs/>
          <w:color w:val="000000"/>
          <w:sz w:val="32"/>
          <w:szCs w:val="32"/>
          <w:lang w:val="en-US" w:eastAsia="zh-CN"/>
        </w:rPr>
        <w:t>其他行政事业单位医疗支出</w:t>
      </w:r>
      <w:r>
        <w:rPr>
          <w:rStyle w:val="25"/>
          <w:rFonts w:ascii="仿宋_GB2312" w:eastAsia="仿宋_GB2312" w:cs="仿宋_GB2312" w:hint="eastAsia"/>
          <w:bCs/>
          <w:color w:val="000000"/>
          <w:sz w:val="32"/>
          <w:szCs w:val="32"/>
        </w:rPr>
        <w:t>（项）</w:t>
      </w:r>
      <w:r>
        <w:rPr>
          <w:rStyle w:val="25"/>
          <w:rFonts w:ascii="仿宋_GB2312" w:eastAsia="仿宋_GB2312" w:cs="仿宋_GB2312" w:hint="eastAsia"/>
          <w:bCs/>
          <w:color w:val="000000"/>
          <w:sz w:val="32"/>
          <w:szCs w:val="32"/>
          <w:lang w:eastAsia="zh-CN"/>
        </w:rPr>
        <w:t>：</w:t>
      </w:r>
      <w:r>
        <w:rPr>
          <w:rFonts w:ascii="仿宋_GB2312" w:eastAsia="仿宋_GB2312" w:cs="仿宋_GB2312" w:hint="eastAsia"/>
          <w:sz w:val="32"/>
          <w:szCs w:val="32"/>
          <w:lang w:eastAsia="zh-CN"/>
        </w:rPr>
        <w:t>支出决算为</w:t>
      </w:r>
      <w:r>
        <w:rPr>
          <w:rFonts w:ascii="仿宋_GB2312" w:eastAsia="仿宋_GB2312" w:cs="仿宋_GB2312" w:hint="eastAsia"/>
          <w:sz w:val="32"/>
          <w:szCs w:val="32"/>
          <w:lang w:val="en-US" w:eastAsia="zh-CN"/>
        </w:rPr>
        <w:t>1.62</w:t>
      </w:r>
      <w:r>
        <w:rPr>
          <w:rFonts w:ascii="仿宋_GB2312" w:eastAsia="仿宋_GB2312" w:cs="仿宋_GB2312" w:hint="eastAsia"/>
          <w:sz w:val="32"/>
          <w:szCs w:val="32"/>
          <w:lang w:eastAsia="zh-CN"/>
        </w:rPr>
        <w:t>万元，完成预算</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lang w:eastAsia="zh-CN"/>
        </w:rPr>
        <w:t>%。</w:t>
      </w:r>
    </w:p>
    <w:p>
      <w:pPr>
        <w:spacing w:line="600" w:lineRule="exact"/>
        <w:ind w:firstLineChars="200" w:firstLine="640"/>
        <w:rPr>
          <w:rFonts w:ascii="仿宋_GB2312" w:eastAsia="仿宋_GB2312" w:cs="仿宋_GB2312" w:hint="eastAsia"/>
          <w:sz w:val="32"/>
          <w:szCs w:val="32"/>
          <w:lang w:eastAsia="zh-CN"/>
        </w:rPr>
      </w:pPr>
      <w:r>
        <w:rPr>
          <w:rStyle w:val="25"/>
          <w:rFonts w:ascii="仿宋_GB2312" w:eastAsia="仿宋_GB2312" w:cs="仿宋_GB2312" w:hint="eastAsia"/>
          <w:b w:val="0"/>
          <w:bCs/>
          <w:color w:val="000000"/>
          <w:sz w:val="32"/>
          <w:szCs w:val="32"/>
          <w:lang w:val="en-US" w:eastAsia="zh-CN"/>
        </w:rPr>
        <w:t>7.</w:t>
      </w:r>
      <w:r>
        <w:rPr>
          <w:rStyle w:val="25"/>
          <w:rFonts w:ascii="仿宋_GB2312" w:eastAsia="仿宋_GB2312" w:cs="仿宋_GB2312" w:hint="eastAsia"/>
          <w:bCs/>
          <w:color w:val="000000"/>
          <w:sz w:val="32"/>
          <w:szCs w:val="32"/>
          <w:lang w:val="en-US" w:eastAsia="zh-CN"/>
        </w:rPr>
        <w:t>住房保障（类）住房改革支出（款）住房公积金（项）：</w:t>
      </w:r>
      <w:r>
        <w:rPr>
          <w:rFonts w:ascii="仿宋_GB2312" w:eastAsia="仿宋_GB2312" w:cs="仿宋_GB2312" w:hint="eastAsia"/>
          <w:sz w:val="32"/>
          <w:szCs w:val="32"/>
          <w:lang w:eastAsia="zh-CN"/>
        </w:rPr>
        <w:t>支出决算为</w:t>
      </w:r>
      <w:r>
        <w:rPr>
          <w:rFonts w:ascii="仿宋_GB2312" w:eastAsia="仿宋_GB2312" w:cs="仿宋_GB2312" w:hint="eastAsia"/>
          <w:sz w:val="32"/>
          <w:szCs w:val="32"/>
          <w:lang w:val="en-US" w:eastAsia="zh-CN"/>
        </w:rPr>
        <w:t>11.42</w:t>
      </w:r>
      <w:r>
        <w:rPr>
          <w:rFonts w:ascii="仿宋_GB2312" w:eastAsia="仿宋_GB2312" w:cs="仿宋_GB2312" w:hint="eastAsia"/>
          <w:sz w:val="32"/>
          <w:szCs w:val="32"/>
          <w:lang w:eastAsia="zh-CN"/>
        </w:rPr>
        <w:t>万元，完成预算</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lang w:eastAsia="zh-CN"/>
        </w:rPr>
        <w:t>%。</w:t>
      </w:r>
    </w:p>
    <w:p>
      <w:pPr>
        <w:tabs>
          <w:tab w:val="right" w:pos="8306"/>
        </w:tabs>
        <w:spacing w:line="600" w:lineRule="exact"/>
        <w:ind w:firstLine="640"/>
        <w:outlineLvl w:val="1"/>
        <w:rPr>
          <w:rStyle w:val="2Char"/>
        </w:rPr>
      </w:pPr>
      <w:bookmarkStart w:id="62" w:name="_Toc23248"/>
      <w:bookmarkStart w:id="63" w:name="_Toc15377214"/>
      <w:bookmarkStart w:id="64" w:name="_Toc15396608"/>
      <w:r>
        <w:rPr>
          <w:rFonts w:ascii="黑体" w:eastAsia="黑体" w:hint="eastAsia"/>
          <w:sz w:val="32"/>
          <w:szCs w:val="32"/>
        </w:rPr>
        <w:t>六</w:t>
      </w:r>
      <w:r>
        <w:rPr>
          <w:rFonts w:ascii="黑体" w:eastAsia="黑体" w:hint="eastAsia"/>
          <w:b/>
          <w:sz w:val="32"/>
          <w:szCs w:val="32"/>
        </w:rPr>
        <w:t>、一</w:t>
      </w:r>
      <w:r>
        <w:rPr>
          <w:rStyle w:val="2Char"/>
          <w:rFonts w:ascii="黑体" w:eastAsia="黑体" w:hint="eastAsia"/>
          <w:b w:val="0"/>
        </w:rPr>
        <w:t>般公共预算财政拨款基本支出决算情况说明</w:t>
      </w:r>
      <w:bookmarkEnd w:id="62"/>
      <w:bookmarkEnd w:id="63"/>
      <w:bookmarkEnd w:id="64"/>
      <w:r>
        <w:rPr>
          <w:rStyle w:val="2Char"/>
          <w:rFonts w:ascii="黑体" w:eastAsia="黑体"/>
          <w:b w:val="0"/>
        </w:rPr>
        <w:tab/>
      </w:r>
    </w:p>
    <w:p>
      <w:pPr>
        <w:spacing w:line="600" w:lineRule="exact"/>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2024年度一般公共预算财政拨款基本支出</w:t>
      </w:r>
      <w:r>
        <w:rPr>
          <w:rFonts w:ascii="仿宋_GB2312" w:eastAsia="仿宋_GB2312" w:cs="仿宋_GB2312" w:hint="eastAsia"/>
          <w:sz w:val="32"/>
          <w:szCs w:val="32"/>
          <w:lang w:val="en-US" w:eastAsia="zh-CN"/>
        </w:rPr>
        <w:t>172.24</w:t>
      </w:r>
      <w:r>
        <w:rPr>
          <w:rFonts w:ascii="仿宋_GB2312" w:eastAsia="仿宋_GB2312" w:cs="仿宋_GB2312" w:hint="eastAsia"/>
          <w:sz w:val="32"/>
          <w:szCs w:val="32"/>
          <w:lang w:eastAsia="zh-CN"/>
        </w:rPr>
        <w:t>万元，其中：</w:t>
      </w:r>
    </w:p>
    <w:p>
      <w:pPr>
        <w:spacing w:line="600" w:lineRule="exact"/>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人员经费</w:t>
      </w:r>
      <w:r>
        <w:rPr>
          <w:rFonts w:ascii="仿宋_GB2312" w:eastAsia="仿宋_GB2312" w:cs="仿宋_GB2312" w:hint="eastAsia"/>
          <w:sz w:val="32"/>
          <w:szCs w:val="32"/>
          <w:lang w:val="en-US" w:eastAsia="zh-CN"/>
        </w:rPr>
        <w:t>143.65</w:t>
      </w:r>
      <w:r>
        <w:rPr>
          <w:rFonts w:ascii="仿宋_GB2312" w:eastAsia="仿宋_GB2312" w:cs="仿宋_GB2312" w:hint="eastAsia"/>
          <w:sz w:val="32"/>
          <w:szCs w:val="32"/>
          <w:lang w:eastAsia="zh-CN"/>
        </w:rPr>
        <w:t>万元，主要包括：基本工资</w:t>
      </w:r>
      <w:r>
        <w:rPr>
          <w:rFonts w:ascii="仿宋_GB2312" w:eastAsia="仿宋_GB2312" w:cs="仿宋_GB2312" w:hint="eastAsia"/>
          <w:sz w:val="32"/>
          <w:szCs w:val="32"/>
          <w:lang w:val="en-US" w:eastAsia="zh-CN"/>
        </w:rPr>
        <w:t>25.69万元</w:t>
      </w:r>
      <w:r>
        <w:rPr>
          <w:rFonts w:ascii="仿宋_GB2312" w:eastAsia="仿宋_GB2312" w:cs="仿宋_GB2312" w:hint="eastAsia"/>
          <w:sz w:val="32"/>
          <w:szCs w:val="32"/>
          <w:lang w:eastAsia="zh-CN"/>
        </w:rPr>
        <w:t>、津贴补贴</w:t>
      </w:r>
      <w:r>
        <w:rPr>
          <w:rFonts w:ascii="仿宋_GB2312" w:eastAsia="仿宋_GB2312" w:cs="仿宋_GB2312" w:hint="eastAsia"/>
          <w:sz w:val="32"/>
          <w:szCs w:val="32"/>
          <w:lang w:val="en-US" w:eastAsia="zh-CN"/>
        </w:rPr>
        <w:t>14.72万元</w:t>
      </w:r>
      <w:r>
        <w:rPr>
          <w:rFonts w:ascii="仿宋_GB2312" w:eastAsia="仿宋_GB2312" w:cs="仿宋_GB2312" w:hint="eastAsia"/>
          <w:sz w:val="32"/>
          <w:szCs w:val="32"/>
          <w:lang w:eastAsia="zh-CN"/>
        </w:rPr>
        <w:t>、奖金</w:t>
      </w:r>
      <w:r>
        <w:rPr>
          <w:rFonts w:ascii="仿宋_GB2312" w:eastAsia="仿宋_GB2312" w:cs="仿宋_GB2312" w:hint="eastAsia"/>
          <w:sz w:val="32"/>
          <w:szCs w:val="32"/>
          <w:lang w:val="en-US" w:eastAsia="zh-CN"/>
        </w:rPr>
        <w:t>37.91万元</w:t>
      </w:r>
      <w:r>
        <w:rPr>
          <w:rFonts w:ascii="仿宋_GB2312" w:eastAsia="仿宋_GB2312" w:cs="仿宋_GB2312" w:hint="eastAsia"/>
          <w:sz w:val="32"/>
          <w:szCs w:val="32"/>
          <w:lang w:eastAsia="zh-CN"/>
        </w:rPr>
        <w:t>、伙食补助费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、绩效工资</w:t>
      </w:r>
      <w:r>
        <w:rPr>
          <w:rFonts w:ascii="仿宋_GB2312" w:eastAsia="仿宋_GB2312" w:cs="仿宋_GB2312" w:hint="eastAsia"/>
          <w:sz w:val="32"/>
          <w:szCs w:val="32"/>
          <w:lang w:val="en-US" w:eastAsia="zh-CN"/>
        </w:rPr>
        <w:t>22.24万元、</w:t>
      </w:r>
      <w:r>
        <w:rPr>
          <w:rFonts w:ascii="仿宋_GB2312" w:eastAsia="仿宋_GB2312" w:cs="仿宋_GB2312" w:hint="eastAsia"/>
          <w:sz w:val="32"/>
          <w:szCs w:val="32"/>
          <w:lang w:eastAsia="zh-CN"/>
        </w:rPr>
        <w:t>机关事业单位基本养老保险缴费</w:t>
      </w:r>
      <w:r>
        <w:rPr>
          <w:rFonts w:ascii="仿宋_GB2312" w:eastAsia="仿宋_GB2312" w:cs="仿宋_GB2312" w:hint="eastAsia"/>
          <w:sz w:val="32"/>
          <w:szCs w:val="32"/>
          <w:lang w:val="en-US" w:eastAsia="zh-CN"/>
        </w:rPr>
        <w:t>14.06万元</w:t>
      </w:r>
      <w:r>
        <w:rPr>
          <w:rFonts w:ascii="仿宋_GB2312" w:eastAsia="仿宋_GB2312" w:cs="仿宋_GB2312" w:hint="eastAsia"/>
          <w:sz w:val="32"/>
          <w:szCs w:val="32"/>
          <w:lang w:eastAsia="zh-CN"/>
        </w:rPr>
        <w:t>、职业年金缴费</w:t>
      </w:r>
      <w:r>
        <w:rPr>
          <w:rFonts w:ascii="仿宋_GB2312" w:eastAsia="仿宋_GB2312" w:cs="仿宋_GB2312" w:hint="eastAsia"/>
          <w:sz w:val="32"/>
          <w:szCs w:val="32"/>
          <w:lang w:val="en-US" w:eastAsia="zh-CN"/>
        </w:rPr>
        <w:t>7.03万元</w:t>
      </w:r>
      <w:r>
        <w:rPr>
          <w:rFonts w:ascii="仿宋_GB2312" w:eastAsia="仿宋_GB2312" w:cs="仿宋_GB2312" w:hint="eastAsia"/>
          <w:sz w:val="32"/>
          <w:szCs w:val="32"/>
          <w:lang w:eastAsia="zh-CN"/>
        </w:rPr>
        <w:t>、生活补助</w:t>
      </w:r>
      <w:r>
        <w:rPr>
          <w:rFonts w:ascii="仿宋_GB2312" w:eastAsia="仿宋_GB2312" w:cs="仿宋_GB2312" w:hint="eastAsia"/>
          <w:sz w:val="32"/>
          <w:szCs w:val="32"/>
          <w:lang w:val="en-US" w:eastAsia="zh-CN"/>
        </w:rPr>
        <w:t>0万元、职工基本医疗保险缴费6.81万元、公务员医疗补助缴费0万元、</w:t>
      </w:r>
      <w:r>
        <w:rPr>
          <w:rFonts w:ascii="仿宋_GB2312" w:eastAsia="仿宋_GB2312" w:cs="仿宋_GB2312" w:hint="eastAsia"/>
          <w:sz w:val="32"/>
          <w:szCs w:val="32"/>
          <w:lang w:eastAsia="zh-CN"/>
        </w:rPr>
        <w:t>其他社会保障缴费</w:t>
      </w:r>
      <w:r>
        <w:rPr>
          <w:rFonts w:ascii="仿宋_GB2312" w:eastAsia="仿宋_GB2312" w:cs="仿宋_GB2312" w:hint="eastAsia"/>
          <w:sz w:val="32"/>
          <w:szCs w:val="32"/>
          <w:lang w:val="en-US" w:eastAsia="zh-CN"/>
        </w:rPr>
        <w:t>3.76万元</w:t>
      </w:r>
      <w:r>
        <w:rPr>
          <w:rFonts w:ascii="仿宋_GB2312" w:eastAsia="仿宋_GB2312" w:cs="仿宋_GB2312" w:hint="eastAsia"/>
          <w:sz w:val="32"/>
          <w:szCs w:val="32"/>
          <w:lang w:eastAsia="zh-CN"/>
        </w:rPr>
        <w:t>、其他工资福利支出</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、抚恤金</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住房公积金</w:t>
      </w:r>
      <w:r>
        <w:rPr>
          <w:rFonts w:ascii="仿宋_GB2312" w:eastAsia="仿宋_GB2312" w:cs="仿宋_GB2312" w:hint="eastAsia"/>
          <w:sz w:val="32"/>
          <w:szCs w:val="32"/>
          <w:lang w:val="en-US" w:eastAsia="zh-CN"/>
        </w:rPr>
        <w:t>11.42万元</w:t>
      </w:r>
      <w:r>
        <w:rPr>
          <w:rFonts w:ascii="仿宋_GB2312" w:eastAsia="仿宋_GB2312" w:cs="仿宋_GB2312" w:hint="eastAsia"/>
          <w:sz w:val="32"/>
          <w:szCs w:val="32"/>
          <w:lang w:eastAsia="zh-CN"/>
        </w:rPr>
        <w:t>、其他对个人和家庭的补助支出</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等。</w:t>
      </w:r>
    </w:p>
    <w:p>
      <w:pPr>
        <w:spacing w:line="600" w:lineRule="exact"/>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公用经费</w:t>
      </w:r>
      <w:r>
        <w:rPr>
          <w:rFonts w:ascii="仿宋_GB2312" w:eastAsia="仿宋_GB2312" w:cs="仿宋_GB2312" w:hint="eastAsia"/>
          <w:sz w:val="32"/>
          <w:szCs w:val="32"/>
          <w:lang w:val="en-US" w:eastAsia="zh-CN"/>
        </w:rPr>
        <w:t>28.59</w:t>
      </w:r>
      <w:r>
        <w:rPr>
          <w:rFonts w:ascii="仿宋_GB2312" w:eastAsia="仿宋_GB2312" w:cs="仿宋_GB2312" w:hint="eastAsia"/>
          <w:sz w:val="32"/>
          <w:szCs w:val="32"/>
          <w:lang w:eastAsia="zh-CN"/>
        </w:rPr>
        <w:t>万元，主要包括：办公费</w:t>
      </w:r>
      <w:r>
        <w:rPr>
          <w:rFonts w:ascii="仿宋_GB2312" w:eastAsia="仿宋_GB2312" w:cs="仿宋_GB2312" w:hint="eastAsia"/>
          <w:sz w:val="32"/>
          <w:szCs w:val="32"/>
          <w:lang w:val="en-US" w:eastAsia="zh-CN"/>
        </w:rPr>
        <w:t>2.67万元</w:t>
      </w:r>
      <w:r>
        <w:rPr>
          <w:rFonts w:ascii="仿宋_GB2312" w:eastAsia="仿宋_GB2312" w:cs="仿宋_GB2312" w:hint="eastAsia"/>
          <w:sz w:val="32"/>
          <w:szCs w:val="32"/>
          <w:lang w:eastAsia="zh-CN"/>
        </w:rPr>
        <w:t>、手续费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水费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、电费</w:t>
      </w:r>
      <w:r>
        <w:rPr>
          <w:rFonts w:ascii="仿宋_GB2312" w:eastAsia="仿宋_GB2312" w:cs="仿宋_GB2312" w:hint="eastAsia"/>
          <w:sz w:val="32"/>
          <w:szCs w:val="32"/>
          <w:lang w:val="en-US" w:eastAsia="zh-CN"/>
        </w:rPr>
        <w:t>0.80万元</w:t>
      </w:r>
      <w:r>
        <w:rPr>
          <w:rFonts w:ascii="仿宋_GB2312" w:eastAsia="仿宋_GB2312" w:cs="仿宋_GB2312" w:hint="eastAsia"/>
          <w:sz w:val="32"/>
          <w:szCs w:val="32"/>
          <w:lang w:eastAsia="zh-CN"/>
        </w:rPr>
        <w:t>、邮电费</w:t>
      </w:r>
      <w:r>
        <w:rPr>
          <w:rFonts w:ascii="仿宋_GB2312" w:eastAsia="仿宋_GB2312" w:cs="仿宋_GB2312" w:hint="eastAsia"/>
          <w:sz w:val="32"/>
          <w:szCs w:val="32"/>
          <w:lang w:val="en-US" w:eastAsia="zh-CN"/>
        </w:rPr>
        <w:t>0.80万元</w:t>
      </w:r>
      <w:r>
        <w:rPr>
          <w:rFonts w:ascii="仿宋_GB2312" w:eastAsia="仿宋_GB2312" w:cs="仿宋_GB2312" w:hint="eastAsia"/>
          <w:sz w:val="32"/>
          <w:szCs w:val="32"/>
          <w:lang w:eastAsia="zh-CN"/>
        </w:rPr>
        <w:t>、物业管理费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、差旅费</w:t>
      </w:r>
      <w:r>
        <w:rPr>
          <w:rFonts w:ascii="仿宋_GB2312" w:eastAsia="仿宋_GB2312" w:cs="仿宋_GB2312" w:hint="eastAsia"/>
          <w:sz w:val="32"/>
          <w:szCs w:val="32"/>
          <w:lang w:val="en-US" w:eastAsia="zh-CN"/>
        </w:rPr>
        <w:t>3.78万元</w:t>
      </w:r>
      <w:r>
        <w:rPr>
          <w:rFonts w:ascii="仿宋_GB2312" w:eastAsia="仿宋_GB2312" w:cs="仿宋_GB2312" w:hint="eastAsia"/>
          <w:sz w:val="32"/>
          <w:szCs w:val="32"/>
          <w:lang w:eastAsia="zh-CN"/>
        </w:rPr>
        <w:t>、因公出国（境）费用</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、维修（护）费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、租赁费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、会议费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、培训费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、公务接待费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、劳务费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福利费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、公务用车运行维护费</w:t>
      </w:r>
      <w:r>
        <w:rPr>
          <w:rFonts w:ascii="仿宋_GB2312" w:eastAsia="仿宋_GB2312" w:cs="仿宋_GB2312" w:hint="eastAsia"/>
          <w:sz w:val="32"/>
          <w:szCs w:val="32"/>
          <w:lang w:val="en-US" w:eastAsia="zh-CN"/>
        </w:rPr>
        <w:t>0万元、其他交通费用20.54万元、其他商品和服务支出0万元、办公设备购置0万元、无形资产购置0万元</w:t>
      </w:r>
      <w:r>
        <w:rPr>
          <w:rFonts w:ascii="仿宋_GB2312" w:eastAsia="仿宋_GB2312" w:cs="仿宋_GB2312" w:hint="eastAsia"/>
          <w:sz w:val="32"/>
          <w:szCs w:val="32"/>
          <w:lang w:eastAsia="zh-CN"/>
        </w:rPr>
        <w:t>等。</w:t>
      </w:r>
    </w:p>
    <w:p>
      <w:pPr>
        <w:spacing w:line="600" w:lineRule="exact"/>
        <w:ind w:firstLine="640"/>
        <w:outlineLvl w:val="1"/>
        <w:rPr>
          <w:rStyle w:val="2Char"/>
          <w:rFonts w:ascii="黑体" w:eastAsia="黑体"/>
          <w:b w:val="0"/>
        </w:rPr>
      </w:pPr>
      <w:bookmarkStart w:id="65" w:name="_Toc3003"/>
      <w:bookmarkStart w:id="66" w:name="_Toc15377215"/>
      <w:bookmarkStart w:id="67" w:name="_Toc15396609"/>
      <w:r>
        <w:rPr>
          <w:rFonts w:ascii="黑体" w:eastAsia="黑体" w:hint="eastAsia"/>
          <w:sz w:val="32"/>
          <w:szCs w:val="32"/>
        </w:rPr>
        <w:t>七、</w:t>
      </w:r>
      <w:r>
        <w:rPr>
          <w:rStyle w:val="2Char"/>
          <w:rFonts w:ascii="黑体" w:eastAsia="黑体" w:hint="eastAsia"/>
          <w:b w:val="0"/>
        </w:rPr>
        <w:t>财政拨款</w:t>
      </w:r>
      <w:r>
        <w:rPr>
          <w:rStyle w:val="2Char"/>
          <w:rFonts w:ascii="黑体" w:eastAsia="黑体" w:hint="eastAsia"/>
        </w:rPr>
        <w:t>“</w:t>
      </w:r>
      <w:r>
        <w:rPr>
          <w:rStyle w:val="2Char"/>
          <w:rFonts w:ascii="黑体" w:eastAsia="黑体" w:hint="eastAsia"/>
          <w:b w:val="0"/>
        </w:rPr>
        <w:t>三公”经费支出决算情况说明</w:t>
      </w:r>
      <w:bookmarkEnd w:id="65"/>
      <w:bookmarkEnd w:id="66"/>
      <w:bookmarkEnd w:id="67"/>
    </w:p>
    <w:p>
      <w:pPr>
        <w:spacing w:line="600" w:lineRule="exact"/>
        <w:ind w:firstLine="640"/>
        <w:outlineLvl w:val="2"/>
        <w:rPr>
          <w:rFonts w:ascii="仿宋" w:eastAsia="仿宋"/>
          <w:b/>
          <w:sz w:val="32"/>
          <w:szCs w:val="32"/>
        </w:rPr>
      </w:pPr>
      <w:bookmarkStart w:id="68" w:name="_Toc15377216"/>
      <w:r>
        <w:rPr>
          <w:rFonts w:ascii="仿宋" w:eastAsia="仿宋" w:hint="eastAsia"/>
          <w:b/>
          <w:sz w:val="32"/>
          <w:szCs w:val="32"/>
        </w:rPr>
        <w:t>（一）“三公”经费财政拨款支出决算总体情况说明</w:t>
      </w:r>
      <w:bookmarkEnd w:id="68"/>
    </w:p>
    <w:p>
      <w:pPr>
        <w:spacing w:line="600" w:lineRule="exact"/>
        <w:ind w:firstLineChars="200" w:firstLine="640"/>
        <w:rPr>
          <w:rFonts w:ascii="仿宋_GB2312" w:eastAsia="仿宋_GB2312" w:cs="仿宋_GB2312" w:hint="eastAsia"/>
          <w:sz w:val="32"/>
          <w:szCs w:val="32"/>
          <w:lang w:eastAsia="zh-CN"/>
        </w:rPr>
      </w:pPr>
      <w:r>
        <w:rPr>
          <w:rFonts w:ascii="仿宋_GB2312" w:eastAsia="仿宋_GB2312" w:cs="仿宋_GB2312" w:hint="eastAsia"/>
          <w:color w:val="auto"/>
          <w:sz w:val="32"/>
          <w:szCs w:val="32"/>
          <w:lang w:eastAsia="zh-CN"/>
        </w:rPr>
        <w:t>2024年度“三公”经费财政拨款支出决算为</w:t>
      </w:r>
      <w:r>
        <w:rPr>
          <w:rFonts w:ascii="仿宋_GB2312" w:eastAsia="仿宋_GB2312" w:cs="仿宋_GB2312" w:hint="eastAsia"/>
          <w:color w:val="auto"/>
          <w:sz w:val="32"/>
          <w:szCs w:val="32"/>
          <w:lang w:val="en-US" w:eastAsia="zh-CN"/>
        </w:rPr>
        <w:t>178.49</w:t>
      </w:r>
      <w:r>
        <w:rPr>
          <w:rFonts w:ascii="仿宋_GB2312" w:eastAsia="仿宋_GB2312" w:cs="仿宋_GB2312" w:hint="eastAsia"/>
          <w:color w:val="auto"/>
          <w:sz w:val="32"/>
          <w:szCs w:val="32"/>
          <w:lang w:eastAsia="zh-CN"/>
        </w:rPr>
        <w:t>万</w:t>
      </w:r>
      <w:r>
        <w:rPr>
          <w:rFonts w:ascii="仿宋_GB2312" w:eastAsia="仿宋_GB2312" w:cs="仿宋_GB2312" w:hint="eastAsia"/>
          <w:sz w:val="32"/>
          <w:szCs w:val="32"/>
          <w:lang w:eastAsia="zh-CN"/>
        </w:rPr>
        <w:t>元，完成预算100%，较上年度减少</w:t>
      </w:r>
      <w:r>
        <w:rPr>
          <w:rFonts w:ascii="仿宋_GB2312" w:eastAsia="仿宋_GB2312" w:cs="仿宋_GB2312" w:hint="eastAsia"/>
          <w:sz w:val="32"/>
          <w:szCs w:val="32"/>
          <w:lang w:val="en-US" w:eastAsia="zh-CN"/>
        </w:rPr>
        <w:t>83.56</w:t>
      </w:r>
      <w:r>
        <w:rPr>
          <w:rFonts w:ascii="仿宋_GB2312" w:eastAsia="仿宋_GB2312" w:cs="仿宋_GB2312" w:hint="eastAsia"/>
          <w:sz w:val="32"/>
          <w:szCs w:val="32"/>
          <w:lang w:eastAsia="zh-CN"/>
        </w:rPr>
        <w:t>万元，减少</w:t>
      </w:r>
      <w:r>
        <w:rPr>
          <w:rFonts w:ascii="仿宋_GB2312" w:eastAsia="仿宋_GB2312" w:cs="仿宋_GB2312" w:hint="eastAsia"/>
          <w:sz w:val="32"/>
          <w:szCs w:val="32"/>
          <w:lang w:val="en-US" w:eastAsia="zh-CN"/>
        </w:rPr>
        <w:t>31.89</w:t>
      </w:r>
      <w:r>
        <w:rPr>
          <w:rFonts w:ascii="仿宋_GB2312" w:eastAsia="仿宋_GB2312" w:cs="仿宋_GB2312" w:hint="eastAsia"/>
          <w:sz w:val="32"/>
          <w:szCs w:val="32"/>
          <w:lang w:eastAsia="zh-CN"/>
        </w:rPr>
        <w:t>%。决算数小于预算数的主要原因是厉行节约</w:t>
      </w:r>
      <w:r>
        <w:rPr>
          <w:rFonts w:ascii="仿宋_GB2312" w:eastAsia="仿宋_GB2312" w:cs="仿宋_GB2312" w:hint="eastAsia"/>
          <w:sz w:val="32"/>
          <w:szCs w:val="32"/>
          <w:lang w:val="en-US" w:eastAsia="zh-CN"/>
        </w:rPr>
        <w:t>，及10月以来严格执行一餐制</w:t>
      </w:r>
      <w:r>
        <w:rPr>
          <w:rFonts w:ascii="仿宋_GB2312" w:eastAsia="仿宋_GB2312" w:cs="仿宋_GB2312" w:hint="eastAsia"/>
          <w:sz w:val="32"/>
          <w:szCs w:val="32"/>
          <w:lang w:eastAsia="zh-CN"/>
        </w:rPr>
        <w:t>。</w:t>
      </w:r>
      <w:bookmarkStart w:id="69" w:name="_Toc15377217"/>
    </w:p>
    <w:p>
      <w:pPr>
        <w:spacing w:line="600" w:lineRule="exact"/>
        <w:ind w:firstLine="640"/>
        <w:rPr>
          <w:rFonts w:ascii="仿宋" w:eastAsia="仿宋"/>
          <w:b/>
          <w:sz w:val="32"/>
          <w:szCs w:val="32"/>
        </w:rPr>
      </w:pPr>
      <w:r>
        <w:rPr>
          <w:rFonts w:ascii="仿宋" w:eastAsia="仿宋" w:hint="eastAsia"/>
          <w:b/>
          <w:sz w:val="32"/>
          <w:szCs w:val="32"/>
        </w:rPr>
        <w:t>（二）“三公”经费财政拨款支出决算具体情况说明</w:t>
      </w:r>
      <w:bookmarkEnd w:id="69"/>
    </w:p>
    <w:p>
      <w:pPr>
        <w:spacing w:line="600" w:lineRule="exact"/>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2024年度“三公”经费财政拨款支出决算中，因公出国（境）费支出决算0万元，占0%；公务用车购置及运行维护费支出决算0万元，占0%；公务接待费支出决算</w:t>
      </w:r>
      <w:r>
        <w:rPr>
          <w:rFonts w:ascii="仿宋_GB2312" w:eastAsia="仿宋_GB2312" w:cs="仿宋_GB2312" w:hint="eastAsia"/>
          <w:sz w:val="32"/>
          <w:szCs w:val="32"/>
          <w:lang w:val="en-US" w:eastAsia="zh-CN"/>
        </w:rPr>
        <w:t>178.49</w:t>
      </w:r>
      <w:r>
        <w:rPr>
          <w:rFonts w:ascii="仿宋_GB2312" w:eastAsia="仿宋_GB2312" w:cs="仿宋_GB2312" w:hint="eastAsia"/>
          <w:sz w:val="32"/>
          <w:szCs w:val="32"/>
          <w:lang w:eastAsia="zh-CN"/>
        </w:rPr>
        <w:t>万元，占100%。具体情况如下：</w:t>
      </w:r>
    </w:p>
    <w:p>
      <w:pPr>
        <w:spacing w:line="600" w:lineRule="exact"/>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图7：“三公”经费财政拨款支出结构</w:t>
      </w:r>
    </w:p>
    <w:p>
      <w:pPr>
        <w:spacing w:line="600" w:lineRule="exact"/>
        <w:ind w:firstLine="640"/>
        <w:rPr>
          <w:rFonts w:ascii="仿宋" w:eastAsia="仿宋" w:hint="eastAsia"/>
          <w:sz w:val="32"/>
          <w:szCs w:val="32"/>
        </w:rPr>
      </w:pPr>
      <w:r>
        <w:drawing>
          <wp:anchor distT="0" distB="0" distL="114300" distR="114300" simplePos="0" relativeHeight="20" behindDoc="0" locked="0" layoutInCell="1" hidden="0" allowOverlap="1">
            <wp:simplePos x="0" y="0"/>
            <wp:positionH relativeFrom="column">
              <wp:posOffset>494030</wp:posOffset>
            </wp:positionH>
            <wp:positionV relativeFrom="paragraph">
              <wp:posOffset>222250</wp:posOffset>
            </wp:positionV>
            <wp:extent cx="4243070" cy="2609215"/>
            <wp:effectExtent l="0" t="0" r="0" b="0"/>
            <wp:wrapNone/>
            <wp:docPr id="9" name="图片 7"/>
            <wp:cNvGraphicFramePr>
              <a:graphicFrameLocks noChangeAspect="1"/>
            </wp:cNvGraphicFramePr>
            <a:graphic>
              <a:graphicData uri="http://schemas.openxmlformats.org/drawingml/2006/picture">
                <pic:pic>
                  <pic:nvPicPr>
                    <pic:cNvPr id="11" name="图片 7 11"/>
                    <pic:cNvPicPr/>
                  </pic:nvPicPr>
                  <pic:blipFill>
                    <a:blip r:embed="rId10"/>
                    <a:stretch>
                      <a:fillRect/>
                    </a:stretch>
                  </pic:blipFill>
                  <pic:spPr>
                    <a:xfrm rot="0">
                      <a:off x="0" y="0"/>
                      <a:ext cx="4243070" cy="2609215"/>
                    </a:xfrm>
                    <a:prstGeom prst="rect"/>
                    <a:noFill/>
                    <a:ln w="9525" cmpd="sng" cap="flat">
                      <a:noFill/>
                      <a:prstDash val="solid"/>
                      <a:round/>
                    </a:ln>
                  </pic:spPr>
                </pic:pic>
              </a:graphicData>
            </a:graphic>
          </wp:anchor>
        </w:drawing>
      </w:r>
    </w:p>
    <w:p>
      <w:pPr>
        <w:spacing w:line="600" w:lineRule="exact"/>
        <w:ind w:firstLine="640"/>
        <w:rPr>
          <w:rFonts w:ascii="仿宋" w:eastAsia="仿宋" w:hint="eastAsia"/>
          <w:sz w:val="32"/>
          <w:szCs w:val="32"/>
        </w:rPr>
      </w:pPr>
    </w:p>
    <w:p>
      <w:pPr>
        <w:spacing w:line="600" w:lineRule="exact"/>
        <w:ind w:firstLine="640"/>
        <w:rPr>
          <w:rFonts w:ascii="仿宋" w:eastAsia="仿宋" w:hint="eastAsia"/>
          <w:sz w:val="32"/>
          <w:szCs w:val="32"/>
        </w:rPr>
      </w:pPr>
    </w:p>
    <w:p>
      <w:pPr>
        <w:spacing w:line="600" w:lineRule="exact"/>
        <w:ind w:firstLine="640"/>
        <w:rPr>
          <w:rFonts w:ascii="仿宋" w:eastAsia="仿宋" w:hint="eastAsia"/>
          <w:sz w:val="32"/>
          <w:szCs w:val="32"/>
        </w:rPr>
      </w:pPr>
    </w:p>
    <w:p>
      <w:pPr>
        <w:spacing w:line="600" w:lineRule="exact"/>
        <w:ind w:firstLine="640"/>
        <w:rPr>
          <w:rFonts w:ascii="仿宋" w:eastAsia="仿宋" w:hint="eastAsia"/>
          <w:sz w:val="32"/>
          <w:szCs w:val="32"/>
        </w:rPr>
      </w:pPr>
    </w:p>
    <w:p>
      <w:pPr>
        <w:spacing w:line="600" w:lineRule="exact"/>
        <w:rPr>
          <w:rFonts w:ascii="仿宋" w:eastAsia="仿宋" w:hint="eastAsia"/>
          <w:sz w:val="32"/>
          <w:szCs w:val="32"/>
        </w:rPr>
      </w:pPr>
    </w:p>
    <w:p>
      <w:pPr>
        <w:spacing w:line="600" w:lineRule="exact"/>
        <w:rPr>
          <w:rFonts w:ascii="仿宋" w:eastAsia="仿宋" w:hint="eastAsia"/>
          <w:sz w:val="32"/>
          <w:szCs w:val="32"/>
        </w:rPr>
      </w:pPr>
    </w:p>
    <w:p>
      <w:pPr>
        <w:spacing w:line="600" w:lineRule="exact"/>
        <w:rPr>
          <w:rFonts w:ascii="仿宋" w:eastAsia="仿宋" w:hint="eastAsia"/>
          <w:sz w:val="32"/>
          <w:szCs w:val="32"/>
        </w:rPr>
      </w:pPr>
    </w:p>
    <w:p>
      <w:pPr>
        <w:spacing w:line="600" w:lineRule="exact"/>
        <w:ind w:firstLine="640"/>
        <w:rPr>
          <w:rFonts w:ascii="仿宋_GB2312" w:eastAsia="仿宋_GB2312"/>
          <w:sz w:val="32"/>
          <w:szCs w:val="32"/>
        </w:rPr>
      </w:pPr>
      <w:r>
        <w:rPr>
          <w:rFonts w:ascii="仿宋_GB2312" w:eastAsia="仿宋_GB2312"/>
          <w:b/>
          <w:sz w:val="32"/>
          <w:szCs w:val="32"/>
        </w:rPr>
        <w:t>1.</w:t>
      </w:r>
      <w:r>
        <w:rPr>
          <w:rFonts w:ascii="仿宋_GB2312" w:eastAsia="仿宋_GB2312" w:hint="eastAsia"/>
          <w:b/>
          <w:sz w:val="32"/>
          <w:szCs w:val="32"/>
        </w:rPr>
        <w:t>因公出国（境）经费支出</w:t>
      </w:r>
      <w:r>
        <w:rPr>
          <w:rFonts w:ascii="仿宋_GB2312" w:eastAsia="仿宋_GB2312" w:cs="仿宋_GB2312" w:hint="eastAsia"/>
          <w:sz w:val="32"/>
          <w:szCs w:val="32"/>
          <w:lang w:eastAsia="zh-CN"/>
        </w:rPr>
        <w:t>0万元，完成预算0%。全年安排因公出国（境）团组0次，出国（境）0人。因公出国（境）支出决算比2023年减少/减少</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eastAsia="zh-CN"/>
        </w:rPr>
        <w:t>万元，增长/下降</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eastAsia="zh-CN"/>
        </w:rPr>
        <w:t>%。</w:t>
      </w:r>
    </w:p>
    <w:p>
      <w:pPr>
        <w:spacing w:line="600" w:lineRule="exact"/>
        <w:ind w:firstLine="640"/>
        <w:rPr>
          <w:rFonts w:ascii="仿宋_GB2312" w:eastAsia="仿宋_GB2312" w:cs="仿宋_GB2312" w:hint="eastAsia"/>
          <w:sz w:val="32"/>
          <w:szCs w:val="32"/>
          <w:lang w:eastAsia="zh-CN"/>
        </w:rPr>
      </w:pPr>
      <w:r>
        <w:rPr>
          <w:rFonts w:ascii="仿宋_GB2312" w:eastAsia="仿宋_GB2312"/>
          <w:b/>
          <w:sz w:val="32"/>
          <w:szCs w:val="32"/>
        </w:rPr>
        <w:t>2.</w:t>
      </w:r>
      <w:r>
        <w:rPr>
          <w:rFonts w:ascii="仿宋_GB2312" w:eastAsia="仿宋_GB2312" w:hint="eastAsia"/>
          <w:b/>
          <w:sz w:val="32"/>
          <w:szCs w:val="32"/>
        </w:rPr>
        <w:t>公务用车购置及运行维护费支出</w:t>
      </w:r>
      <w:r>
        <w:rPr>
          <w:rFonts w:ascii="仿宋_GB2312" w:eastAsia="仿宋_GB2312" w:cs="仿宋_GB2312" w:hint="eastAsia"/>
          <w:sz w:val="32"/>
          <w:szCs w:val="32"/>
          <w:lang w:eastAsia="zh-CN"/>
        </w:rPr>
        <w:t>0万元，完成预算0%。公务用车购置及运行维护费支出决算比2023年度减少/减少</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eastAsia="zh-CN"/>
        </w:rPr>
        <w:t>万元，增长/下降</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eastAsia="zh-CN"/>
        </w:rPr>
        <w:t>%。</w:t>
      </w:r>
    </w:p>
    <w:p>
      <w:pPr>
        <w:spacing w:line="600" w:lineRule="exact"/>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其中：</w:t>
      </w:r>
      <w:r>
        <w:rPr>
          <w:rFonts w:ascii="仿宋_GB2312" w:eastAsia="仿宋_GB2312" w:hint="eastAsia"/>
          <w:b/>
          <w:sz w:val="32"/>
          <w:szCs w:val="32"/>
        </w:rPr>
        <w:t>公务用车购置支出</w:t>
      </w:r>
      <w:r>
        <w:rPr>
          <w:rFonts w:ascii="仿宋_GB2312" w:eastAsia="仿宋_GB2312" w:cs="仿宋_GB2312" w:hint="eastAsia"/>
          <w:sz w:val="32"/>
          <w:szCs w:val="32"/>
          <w:lang w:eastAsia="zh-CN"/>
        </w:rPr>
        <w:t>0万元。全年按规定更新购置公务用车</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eastAsia="zh-CN"/>
        </w:rPr>
        <w:t>辆，其中：轿车</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eastAsia="zh-CN"/>
        </w:rPr>
        <w:t>辆、金额</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eastAsia="zh-CN"/>
        </w:rPr>
        <w:t>万元，越野车</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eastAsia="zh-CN"/>
        </w:rPr>
        <w:t>辆、金额</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eastAsia="zh-CN"/>
        </w:rPr>
        <w:t>万元，载客汽车</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eastAsia="zh-CN"/>
        </w:rPr>
        <w:t>辆、金额</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eastAsia="zh-CN"/>
        </w:rPr>
        <w:t>万元。截至2024年12月31日，单位共有公务用车</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eastAsia="zh-CN"/>
        </w:rPr>
        <w:t>辆，其中：轿车</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eastAsia="zh-CN"/>
        </w:rPr>
        <w:t>辆、越野车</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eastAsia="zh-CN"/>
        </w:rPr>
        <w:t>辆、载客汽车</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eastAsia="zh-CN"/>
        </w:rPr>
        <w:t>辆。</w:t>
      </w:r>
    </w:p>
    <w:p>
      <w:pPr>
        <w:spacing w:line="600" w:lineRule="exact"/>
        <w:ind w:firstLine="640"/>
        <w:rPr>
          <w:rFonts w:ascii="仿宋_GB2312" w:eastAsia="仿宋_GB2312"/>
          <w:sz w:val="32"/>
          <w:szCs w:val="32"/>
        </w:rPr>
      </w:pPr>
      <w:r>
        <w:rPr>
          <w:rFonts w:ascii="仿宋_GB2312" w:eastAsia="仿宋_GB2312" w:hint="eastAsia"/>
          <w:b/>
          <w:sz w:val="32"/>
          <w:szCs w:val="32"/>
        </w:rPr>
        <w:t>公务用车运行维护费支出</w:t>
      </w:r>
      <w:r>
        <w:rPr>
          <w:rFonts w:ascii="仿宋_GB2312" w:eastAsia="仿宋_GB2312" w:cs="仿宋_GB2312" w:hint="eastAsia"/>
          <w:sz w:val="32"/>
          <w:szCs w:val="32"/>
          <w:lang w:eastAsia="zh-CN"/>
        </w:rPr>
        <w:t>0万元</w:t>
      </w:r>
      <w:r>
        <w:rPr>
          <w:rFonts w:ascii="仿宋_GB2312" w:eastAsia="仿宋_GB2312" w:hint="eastAsia"/>
          <w:sz w:val="32"/>
          <w:szCs w:val="32"/>
        </w:rPr>
        <w:t>。</w:t>
      </w:r>
    </w:p>
    <w:p>
      <w:pPr>
        <w:spacing w:line="578" w:lineRule="exact"/>
        <w:ind w:left="0" w:firstLineChars="200" w:firstLine="640"/>
        <w:rPr>
          <w:rFonts w:ascii="仿宋_GB2312" w:eastAsia="仿宋_GB2312" w:cs="仿宋_GB2312"/>
          <w:sz w:val="32"/>
          <w:szCs w:val="32"/>
          <w:lang w:val="en-US" w:eastAsia="zh-CN"/>
        </w:rPr>
      </w:pPr>
      <w:r>
        <w:rPr>
          <w:rFonts w:ascii="仿宋_GB2312" w:eastAsia="仿宋_GB2312"/>
          <w:b/>
          <w:sz w:val="32"/>
          <w:szCs w:val="32"/>
        </w:rPr>
        <w:t>3.</w:t>
      </w:r>
      <w:r>
        <w:rPr>
          <w:rFonts w:ascii="仿宋_GB2312" w:eastAsia="仿宋_GB2312" w:hint="eastAsia"/>
          <w:b/>
          <w:sz w:val="32"/>
          <w:szCs w:val="32"/>
        </w:rPr>
        <w:t>公务接待费支出</w:t>
      </w:r>
      <w:r>
        <w:rPr>
          <w:rFonts w:eastAsia="仿宋_GB2312" w:hint="eastAsia"/>
          <w:sz w:val="32"/>
          <w:szCs w:val="32"/>
          <w:lang w:val="en-US" w:eastAsia="zh-CN"/>
        </w:rPr>
        <w:t>178.49</w:t>
      </w:r>
      <w:r>
        <w:rPr>
          <w:rFonts w:ascii="仿宋_GB2312" w:eastAsia="仿宋_GB2312" w:cs="仿宋_GB2312" w:hint="eastAsia"/>
          <w:sz w:val="32"/>
          <w:szCs w:val="32"/>
          <w:lang w:eastAsia="zh-CN"/>
        </w:rPr>
        <w:t>万元，完成预算100%。公务接待费支出决算比2023年度减少</w:t>
      </w:r>
      <w:r>
        <w:rPr>
          <w:rFonts w:ascii="仿宋_GB2312" w:eastAsia="仿宋_GB2312" w:cs="仿宋_GB2312" w:hint="eastAsia"/>
          <w:sz w:val="32"/>
          <w:szCs w:val="32"/>
          <w:lang w:val="en-US" w:eastAsia="zh-CN"/>
        </w:rPr>
        <w:t>83.56</w:t>
      </w:r>
      <w:r>
        <w:rPr>
          <w:rFonts w:ascii="仿宋_GB2312" w:eastAsia="仿宋_GB2312" w:cs="仿宋_GB2312" w:hint="eastAsia"/>
          <w:sz w:val="32"/>
          <w:szCs w:val="32"/>
          <w:lang w:eastAsia="zh-CN"/>
        </w:rPr>
        <w:t>万元，减少</w:t>
      </w:r>
      <w:r>
        <w:rPr>
          <w:rFonts w:ascii="仿宋_GB2312" w:eastAsia="仿宋_GB2312" w:cs="仿宋_GB2312" w:hint="eastAsia"/>
          <w:sz w:val="32"/>
          <w:szCs w:val="32"/>
          <w:lang w:val="en-US" w:eastAsia="zh-CN"/>
        </w:rPr>
        <w:t>31.89</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主要原因是2024年10月以来，按照公务接待一餐制的要求，公务接待只安排一顿餐，及厉行节约导致公务接待费用支出大幅减少。</w:t>
      </w:r>
    </w:p>
    <w:p>
      <w:pPr>
        <w:spacing w:line="600" w:lineRule="exact"/>
        <w:ind w:firstLineChars="200" w:firstLine="640"/>
        <w:jc w:val="left"/>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其中：</w:t>
      </w:r>
    </w:p>
    <w:p>
      <w:pPr>
        <w:spacing w:line="600" w:lineRule="exact"/>
        <w:ind w:firstLine="640"/>
        <w:rPr>
          <w:rFonts w:ascii="仿宋_GB2312" w:eastAsia="仿宋_GB2312" w:cs="仿宋_GB2312" w:hint="eastAsia"/>
          <w:sz w:val="32"/>
          <w:szCs w:val="32"/>
          <w:lang w:eastAsia="zh-CN"/>
        </w:rPr>
      </w:pPr>
      <w:r>
        <w:rPr>
          <w:rFonts w:ascii="仿宋" w:eastAsia="仿宋" w:hint="eastAsia"/>
          <w:b/>
          <w:sz w:val="32"/>
          <w:szCs w:val="32"/>
        </w:rPr>
        <w:t>国内公务接待支出</w:t>
      </w:r>
      <w:r>
        <w:rPr>
          <w:rFonts w:eastAsia="仿宋" w:hint="eastAsia"/>
          <w:sz w:val="32"/>
          <w:szCs w:val="32"/>
          <w:lang w:val="en-US" w:eastAsia="zh-CN"/>
        </w:rPr>
        <w:t>178.49</w:t>
      </w:r>
      <w:r>
        <w:rPr>
          <w:rFonts w:ascii="仿宋_GB2312" w:eastAsia="仿宋_GB2312" w:cs="仿宋_GB2312" w:hint="eastAsia"/>
          <w:sz w:val="32"/>
          <w:szCs w:val="32"/>
          <w:lang w:eastAsia="zh-CN"/>
        </w:rPr>
        <w:t>万元，主要用于执行公务、开展业务活动开支的交通费、住宿费、用餐费等。国内公务接待</w:t>
      </w:r>
      <w:r>
        <w:rPr>
          <w:rFonts w:ascii="仿宋_GB2312" w:eastAsia="仿宋_GB2312" w:cs="仿宋_GB2312" w:hint="eastAsia"/>
          <w:sz w:val="32"/>
          <w:szCs w:val="32"/>
          <w:lang w:val="en-US" w:eastAsia="zh-CN"/>
        </w:rPr>
        <w:t>362</w:t>
      </w:r>
      <w:r>
        <w:rPr>
          <w:rFonts w:ascii="仿宋_GB2312" w:eastAsia="仿宋_GB2312" w:cs="仿宋_GB2312" w:hint="eastAsia"/>
          <w:sz w:val="32"/>
          <w:szCs w:val="32"/>
          <w:lang w:eastAsia="zh-CN"/>
        </w:rPr>
        <w:t>批次，</w:t>
      </w:r>
      <w:r>
        <w:rPr>
          <w:rFonts w:ascii="仿宋_GB2312" w:eastAsia="仿宋_GB2312" w:cs="仿宋_GB2312" w:hint="eastAsia"/>
          <w:sz w:val="32"/>
          <w:szCs w:val="32"/>
          <w:lang w:val="en-US" w:eastAsia="zh-CN"/>
        </w:rPr>
        <w:t>4980</w:t>
      </w:r>
      <w:r>
        <w:rPr>
          <w:rFonts w:ascii="仿宋_GB2312" w:eastAsia="仿宋_GB2312" w:cs="仿宋_GB2312" w:hint="eastAsia"/>
          <w:sz w:val="32"/>
          <w:szCs w:val="32"/>
          <w:lang w:eastAsia="zh-CN"/>
        </w:rPr>
        <w:t>人次（不包括陪同人员），共计支出</w:t>
      </w:r>
      <w:r>
        <w:rPr>
          <w:rFonts w:ascii="仿宋_GB2312" w:eastAsia="仿宋_GB2312" w:cs="仿宋_GB2312" w:hint="eastAsia"/>
          <w:sz w:val="32"/>
          <w:szCs w:val="32"/>
          <w:lang w:val="en-US" w:eastAsia="zh-CN"/>
        </w:rPr>
        <w:t>178.49</w:t>
      </w:r>
      <w:r>
        <w:rPr>
          <w:rFonts w:ascii="仿宋_GB2312" w:eastAsia="仿宋_GB2312" w:cs="仿宋_GB2312" w:hint="eastAsia"/>
          <w:sz w:val="32"/>
          <w:szCs w:val="32"/>
          <w:lang w:eastAsia="zh-CN"/>
        </w:rPr>
        <w:t>万元，具体内容包括：中央、省、州、县级等各级的各类巡察、督查、检查，以及各级、各部门开展的各项指导工作等，共计支出</w:t>
      </w:r>
      <w:r>
        <w:rPr>
          <w:rFonts w:ascii="仿宋_GB2312" w:eastAsia="仿宋_GB2312" w:cs="仿宋_GB2312" w:hint="eastAsia"/>
          <w:sz w:val="32"/>
          <w:szCs w:val="32"/>
          <w:lang w:val="en-US" w:eastAsia="zh-CN"/>
        </w:rPr>
        <w:t>178.49万元</w:t>
      </w:r>
      <w:r>
        <w:rPr>
          <w:rFonts w:ascii="仿宋_GB2312" w:eastAsia="仿宋_GB2312" w:cs="仿宋_GB2312" w:hint="eastAsia"/>
          <w:sz w:val="32"/>
          <w:szCs w:val="32"/>
          <w:lang w:eastAsia="zh-CN"/>
        </w:rPr>
        <w:t>。</w:t>
      </w:r>
    </w:p>
    <w:p>
      <w:pPr>
        <w:spacing w:line="600" w:lineRule="exact"/>
        <w:ind w:firstLineChars="200" w:firstLine="640"/>
        <w:rPr>
          <w:rFonts w:ascii="黑体" w:eastAsia="黑体"/>
          <w:sz w:val="32"/>
          <w:szCs w:val="32"/>
        </w:rPr>
      </w:pPr>
      <w:r>
        <w:rPr>
          <w:rFonts w:ascii="仿宋" w:eastAsia="仿宋" w:hint="eastAsia"/>
          <w:b/>
          <w:sz w:val="32"/>
          <w:szCs w:val="32"/>
        </w:rPr>
        <w:t>外事接待支出</w:t>
      </w:r>
      <w:r>
        <w:rPr>
          <w:sz w:val="32"/>
          <w:szCs w:val="32"/>
        </w:rPr>
        <w:t>0</w:t>
      </w:r>
      <w:r>
        <w:rPr>
          <w:rFonts w:ascii="仿宋_GB2312" w:eastAsia="仿宋_GB2312" w:cs="仿宋_GB2312" w:hint="eastAsia"/>
          <w:sz w:val="32"/>
          <w:szCs w:val="32"/>
          <w:lang w:eastAsia="zh-CN"/>
        </w:rPr>
        <w:t>万元。外事接待</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eastAsia="zh-CN"/>
        </w:rPr>
        <w:t>批次，</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eastAsia="zh-CN"/>
        </w:rPr>
        <w:t>人次（不包括陪同人员），共计支出</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eastAsia="zh-CN"/>
        </w:rPr>
        <w:t>万元。</w:t>
      </w:r>
      <w:bookmarkStart w:id="70" w:name="_Toc15377218"/>
      <w:bookmarkStart w:id="71" w:name="_Toc15396610"/>
    </w:p>
    <w:p>
      <w:pPr>
        <w:spacing w:line="600" w:lineRule="exact"/>
        <w:ind w:firstLine="640"/>
        <w:outlineLvl w:val="1"/>
        <w:rPr>
          <w:rStyle w:val="2Char"/>
          <w:rFonts w:ascii="黑体" w:eastAsia="黑体"/>
        </w:rPr>
      </w:pPr>
      <w:bookmarkStart w:id="72" w:name="_Toc7512"/>
      <w:r>
        <w:rPr>
          <w:rFonts w:ascii="黑体" w:eastAsia="黑体" w:hint="eastAsia"/>
          <w:sz w:val="32"/>
          <w:szCs w:val="32"/>
        </w:rPr>
        <w:t>八、</w:t>
      </w:r>
      <w:r>
        <w:rPr>
          <w:rStyle w:val="2Char"/>
          <w:rFonts w:ascii="黑体" w:eastAsia="黑体" w:hint="eastAsia"/>
          <w:b w:val="0"/>
        </w:rPr>
        <w:t>政府性基金预算支出决算情况说明</w:t>
      </w:r>
      <w:bookmarkEnd w:id="70"/>
      <w:bookmarkEnd w:id="71"/>
      <w:bookmarkEnd w:id="72"/>
    </w:p>
    <w:p>
      <w:pPr>
        <w:spacing w:line="600" w:lineRule="exact"/>
        <w:ind w:firstLine="640"/>
        <w:rPr>
          <w:rFonts w:ascii="仿宋_GB2312" w:eastAsia="仿宋_GB2312"/>
          <w:sz w:val="32"/>
          <w:szCs w:val="32"/>
        </w:rPr>
      </w:pPr>
      <w:r>
        <w:rPr>
          <w:rFonts w:ascii="仿宋_GB2312" w:eastAsia="仿宋_GB2312" w:cs="仿宋_GB2312" w:hint="eastAsia"/>
          <w:sz w:val="32"/>
          <w:szCs w:val="32"/>
          <w:lang w:eastAsia="zh-CN"/>
        </w:rPr>
        <w:t>2024年度政府性基金预算财政拨款支出0万元</w:t>
      </w:r>
      <w:r>
        <w:rPr>
          <w:rFonts w:ascii="仿宋_GB2312" w:eastAsia="仿宋_GB2312" w:hint="eastAsia"/>
          <w:sz w:val="32"/>
          <w:szCs w:val="32"/>
        </w:rPr>
        <w:t>。</w:t>
      </w:r>
    </w:p>
    <w:p>
      <w:pPr>
        <w:numPr>
          <w:ilvl w:val="0"/>
          <w:numId w:val="3"/>
        </w:numPr>
        <w:spacing w:line="600" w:lineRule="exact"/>
        <w:ind w:left="0" w:firstLine="640"/>
        <w:outlineLvl w:val="1"/>
        <w:rPr>
          <w:rStyle w:val="2Char"/>
          <w:rFonts w:ascii="黑体" w:eastAsia="黑体"/>
          <w:b w:val="0"/>
        </w:rPr>
      </w:pPr>
      <w:bookmarkStart w:id="73" w:name="_Toc15377219"/>
      <w:bookmarkStart w:id="74" w:name="_Toc3475"/>
      <w:bookmarkStart w:id="75" w:name="_Toc15396611"/>
      <w:r>
        <w:rPr>
          <w:rStyle w:val="2Char"/>
          <w:rFonts w:ascii="黑体" w:eastAsia="黑体" w:hint="eastAsia"/>
          <w:b w:val="0"/>
        </w:rPr>
        <w:t>国有资本经营预算支出决算情况说明</w:t>
      </w:r>
      <w:bookmarkEnd w:id="73"/>
      <w:bookmarkEnd w:id="74"/>
      <w:bookmarkEnd w:id="75"/>
    </w:p>
    <w:p>
      <w:pPr>
        <w:spacing w:line="600" w:lineRule="exact"/>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2024年度国有资本经营预算财政拨款支出0万元。</w:t>
      </w:r>
    </w:p>
    <w:p>
      <w:pPr>
        <w:numPr>
          <w:ilvl w:val="0"/>
          <w:numId w:val="3"/>
        </w:numPr>
        <w:spacing w:line="600" w:lineRule="exact"/>
        <w:ind w:left="0" w:firstLine="640"/>
        <w:outlineLvl w:val="1"/>
        <w:rPr>
          <w:rStyle w:val="2Char"/>
          <w:rFonts w:ascii="黑体" w:eastAsia="黑体"/>
          <w:b w:val="0"/>
        </w:rPr>
      </w:pPr>
      <w:bookmarkStart w:id="76" w:name="_Toc22296"/>
      <w:bookmarkStart w:id="77" w:name="_Toc15377221"/>
      <w:bookmarkStart w:id="78" w:name="_Toc15396612"/>
      <w:r>
        <w:rPr>
          <w:rStyle w:val="2Char"/>
          <w:rFonts w:ascii="黑体" w:eastAsia="黑体" w:hint="eastAsia"/>
          <w:b w:val="0"/>
        </w:rPr>
        <w:t>其他重要事项的情况说明</w:t>
      </w:r>
      <w:bookmarkEnd w:id="76"/>
      <w:bookmarkEnd w:id="77"/>
      <w:bookmarkEnd w:id="78"/>
    </w:p>
    <w:p>
      <w:pPr>
        <w:spacing w:line="600" w:lineRule="exact"/>
        <w:ind w:firstLineChars="200" w:firstLine="640"/>
        <w:outlineLvl w:val="2"/>
        <w:rPr>
          <w:rFonts w:ascii="仿宋" w:eastAsia="仿宋"/>
          <w:sz w:val="32"/>
          <w:szCs w:val="32"/>
        </w:rPr>
      </w:pPr>
      <w:bookmarkStart w:id="79" w:name="_Toc15377222"/>
      <w:r>
        <w:rPr>
          <w:rFonts w:ascii="仿宋" w:eastAsia="仿宋" w:hint="eastAsia"/>
          <w:b/>
          <w:sz w:val="32"/>
          <w:szCs w:val="32"/>
        </w:rPr>
        <w:t>（一）机关运行经费支出情况</w:t>
      </w:r>
      <w:bookmarkEnd w:id="79"/>
    </w:p>
    <w:p>
      <w:pPr>
        <w:spacing w:line="600" w:lineRule="exact"/>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2024年度，金川县公务服务中心机关运行经费支出0万元，比2023年度减少/减少</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eastAsia="zh-CN"/>
        </w:rPr>
        <w:t>万元，增长/下降</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eastAsia="zh-CN"/>
        </w:rPr>
        <w:t>%（或与2023年度决算数持平）。主要原因是本单位为事业单位。</w:t>
      </w:r>
    </w:p>
    <w:p>
      <w:pPr>
        <w:autoSpaceDE w:val="0"/>
        <w:autoSpaceDN w:val="0"/>
        <w:adjustRightInd w:val="0"/>
        <w:spacing w:line="600" w:lineRule="exact"/>
        <w:ind w:firstLineChars="200" w:firstLine="640"/>
        <w:jc w:val="left"/>
        <w:outlineLvl w:val="2"/>
        <w:rPr>
          <w:rFonts w:ascii="仿宋" w:eastAsia="仿宋"/>
          <w:b/>
          <w:sz w:val="32"/>
          <w:szCs w:val="32"/>
        </w:rPr>
      </w:pPr>
      <w:bookmarkStart w:id="80" w:name="_Toc15377223"/>
      <w:r>
        <w:rPr>
          <w:rFonts w:ascii="仿宋" w:eastAsia="仿宋" w:hint="eastAsia"/>
          <w:b/>
          <w:sz w:val="32"/>
          <w:szCs w:val="32"/>
        </w:rPr>
        <w:t>（二）政府采购支出情况</w:t>
      </w:r>
      <w:bookmarkEnd w:id="80"/>
    </w:p>
    <w:p>
      <w:pPr>
        <w:spacing w:line="600" w:lineRule="exact"/>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2024年度，金川县公务服务中心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pPr>
        <w:autoSpaceDE w:val="0"/>
        <w:autoSpaceDN w:val="0"/>
        <w:adjustRightInd w:val="0"/>
        <w:spacing w:line="600" w:lineRule="exact"/>
        <w:ind w:firstLineChars="200" w:firstLine="640"/>
        <w:jc w:val="left"/>
        <w:outlineLvl w:val="2"/>
        <w:rPr>
          <w:rFonts w:ascii="仿宋" w:eastAsia="仿宋"/>
          <w:b/>
          <w:sz w:val="32"/>
          <w:szCs w:val="32"/>
        </w:rPr>
      </w:pPr>
      <w:bookmarkStart w:id="81" w:name="_Toc15377224"/>
      <w:r>
        <w:rPr>
          <w:rFonts w:ascii="仿宋" w:eastAsia="仿宋" w:hint="eastAsia"/>
          <w:b/>
          <w:sz w:val="32"/>
          <w:szCs w:val="32"/>
        </w:rPr>
        <w:t>（三）国有资产占有使用情况</w:t>
      </w:r>
      <w:bookmarkEnd w:id="81"/>
    </w:p>
    <w:p>
      <w:pPr>
        <w:spacing w:line="600" w:lineRule="exact"/>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截至2024年12月31日，金川县公务服务中心共有车辆0辆，其中：主要领导干部用车</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eastAsia="zh-CN"/>
        </w:rPr>
        <w:t>辆、机要通信用车</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eastAsia="zh-CN"/>
        </w:rPr>
        <w:t>辆、应急保障用车</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eastAsia="zh-CN"/>
        </w:rPr>
        <w:t>辆、其他用车</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eastAsia="zh-CN"/>
        </w:rPr>
        <w:t>辆，其他用车</w:t>
      </w:r>
      <w:r>
        <w:rPr>
          <w:rFonts w:ascii="仿宋_GB2312" w:eastAsia="仿宋_GB2312" w:cs="仿宋_GB2312" w:hint="eastAsia"/>
          <w:sz w:val="32"/>
          <w:szCs w:val="32"/>
          <w:lang w:val="en-US" w:eastAsia="zh-CN"/>
        </w:rPr>
        <w:t>0辆</w:t>
      </w:r>
      <w:r>
        <w:rPr>
          <w:rFonts w:ascii="仿宋_GB2312" w:eastAsia="仿宋_GB2312" w:cs="仿宋_GB2312" w:hint="eastAsia"/>
          <w:sz w:val="32"/>
          <w:szCs w:val="32"/>
          <w:lang w:eastAsia="zh-CN"/>
        </w:rPr>
        <w:t>。单价100万元以上设备（不含车辆）0台（套）。</w:t>
      </w:r>
    </w:p>
    <w:p>
      <w:pPr>
        <w:autoSpaceDE w:val="0"/>
        <w:autoSpaceDN w:val="0"/>
        <w:adjustRightInd w:val="0"/>
        <w:spacing w:line="600" w:lineRule="exact"/>
        <w:ind w:firstLineChars="200" w:firstLine="640"/>
        <w:jc w:val="left"/>
        <w:outlineLvl w:val="2"/>
        <w:rPr>
          <w:rFonts w:ascii="仿宋" w:eastAsia="仿宋"/>
          <w:b/>
          <w:sz w:val="32"/>
          <w:szCs w:val="32"/>
        </w:rPr>
      </w:pPr>
      <w:r>
        <w:rPr>
          <w:rFonts w:ascii="仿宋" w:eastAsia="仿宋" w:hint="eastAsia"/>
          <w:b/>
          <w:sz w:val="32"/>
          <w:szCs w:val="32"/>
        </w:rPr>
        <w:t>（四）预算绩效管理情况</w:t>
      </w:r>
    </w:p>
    <w:p>
      <w:pPr>
        <w:spacing w:line="600" w:lineRule="exact"/>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根据预算绩效管理要求，本部门在2024年度预算编制阶段，组织对</w:t>
      </w:r>
      <w:r>
        <w:rPr>
          <w:rFonts w:ascii="仿宋_GB2312" w:eastAsia="仿宋_GB2312" w:cs="仿宋_GB2312" w:hint="eastAsia"/>
          <w:sz w:val="32"/>
          <w:szCs w:val="32"/>
          <w:lang w:val="en-US" w:eastAsia="zh-CN"/>
        </w:rPr>
        <w:t>19</w:t>
      </w:r>
      <w:r>
        <w:rPr>
          <w:rFonts w:ascii="仿宋_GB2312" w:eastAsia="仿宋_GB2312" w:cs="仿宋_GB2312" w:hint="eastAsia"/>
          <w:sz w:val="32"/>
          <w:szCs w:val="32"/>
          <w:lang w:eastAsia="zh-CN"/>
        </w:rPr>
        <w:t>项目：工资性支出、日常公用经费、其他社会保障缴费（失业保险）（工伤保险）（残疾人就业保障金）、住房公积金（职工）、公务接待、机关事业单位基本养老保险缴费等</w:t>
      </w:r>
      <w:r>
        <w:rPr>
          <w:rFonts w:ascii="仿宋_GB2312" w:eastAsia="仿宋_GB2312" w:cs="仿宋_GB2312" w:hint="eastAsia"/>
          <w:sz w:val="32"/>
          <w:szCs w:val="32"/>
          <w:lang w:val="en-US" w:eastAsia="zh-CN"/>
        </w:rPr>
        <w:t>19</w:t>
      </w:r>
      <w:r>
        <w:rPr>
          <w:rFonts w:ascii="仿宋_GB2312" w:eastAsia="仿宋_GB2312" w:cs="仿宋_GB2312" w:hint="eastAsia"/>
          <w:sz w:val="32"/>
          <w:szCs w:val="32"/>
          <w:lang w:eastAsia="zh-CN"/>
        </w:rPr>
        <w:t>个项目开展了预算事前绩效评估，对</w:t>
      </w:r>
      <w:r>
        <w:rPr>
          <w:rFonts w:ascii="仿宋_GB2312" w:eastAsia="仿宋_GB2312" w:cs="仿宋_GB2312" w:hint="eastAsia"/>
          <w:sz w:val="32"/>
          <w:szCs w:val="32"/>
          <w:lang w:val="en-US" w:eastAsia="zh-CN"/>
        </w:rPr>
        <w:t>19</w:t>
      </w:r>
      <w:r>
        <w:rPr>
          <w:rFonts w:ascii="仿宋_GB2312" w:eastAsia="仿宋_GB2312" w:cs="仿宋_GB2312" w:hint="eastAsia"/>
          <w:sz w:val="32"/>
          <w:szCs w:val="32"/>
          <w:lang w:eastAsia="zh-CN"/>
        </w:rPr>
        <w:t>个项目编制了绩效目标，预算执行过程中，选取</w:t>
      </w:r>
      <w:r>
        <w:rPr>
          <w:rFonts w:ascii="仿宋_GB2312" w:eastAsia="仿宋_GB2312" w:cs="仿宋_GB2312" w:hint="eastAsia"/>
          <w:sz w:val="32"/>
          <w:szCs w:val="32"/>
          <w:lang w:val="en-US" w:eastAsia="zh-CN"/>
        </w:rPr>
        <w:t>1</w:t>
      </w:r>
      <w:r>
        <w:rPr>
          <w:rFonts w:ascii="仿宋_GB2312" w:eastAsia="仿宋_GB2312" w:cs="仿宋_GB2312" w:hint="eastAsia"/>
          <w:sz w:val="32"/>
          <w:szCs w:val="32"/>
          <w:lang w:eastAsia="zh-CN"/>
        </w:rPr>
        <w:t>个项目开展绩效监控。</w:t>
      </w:r>
    </w:p>
    <w:p>
      <w:pPr>
        <w:spacing w:line="600" w:lineRule="exact"/>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组织对2024年度一般公共预算、政府性基金预算、国有资本经营预算、社会保险基金预算以及资本资产、债券资金等全面开展绩效自评，形成金川县公务服务中心部门整体（含部门预算项目）绩效自评报告，其中，金川县公务服务中心部门整体（含部门预算项目）绩效自评得分为</w:t>
      </w:r>
      <w:r>
        <w:rPr>
          <w:rFonts w:ascii="仿宋_GB2312" w:eastAsia="仿宋_GB2312" w:cs="仿宋_GB2312" w:hint="eastAsia"/>
          <w:sz w:val="32"/>
          <w:szCs w:val="32"/>
          <w:lang w:val="en-US" w:eastAsia="zh-CN"/>
        </w:rPr>
        <w:t>88</w:t>
      </w:r>
      <w:r>
        <w:rPr>
          <w:rFonts w:ascii="仿宋_GB2312" w:eastAsia="仿宋_GB2312" w:cs="仿宋_GB2312" w:hint="eastAsia"/>
          <w:sz w:val="32"/>
          <w:szCs w:val="32"/>
          <w:lang w:eastAsia="zh-CN"/>
        </w:rPr>
        <w:t>分，绩效自评综述：</w:t>
      </w:r>
      <w:r>
        <w:rPr>
          <w:rFonts w:ascii="仿宋_GB2312" w:eastAsia="仿宋_GB2312" w:cs="仿宋_GB2312" w:hint="eastAsia"/>
          <w:sz w:val="32"/>
          <w:szCs w:val="32"/>
          <w:lang w:val="zh-CN" w:eastAsia="zh-CN"/>
        </w:rPr>
        <w:t>本部门绩效目标制定科学合理，并能够保证绩效目标实现。本单位严格按照县级部门预算编制通知和有关要求，按时完成基础信息、预算编制等工作，并按时提交部门预算草案，不存在预算编制错误情况。县财政局根据预算编制草案，进行审核，批复。不存在违纪记录的情况。本单位预算决算公开按财政局的要求在收到财政批复后20个工作日在金川县政府中心的信息网站进行公开。所有预算严格按照预算法执行，预算经费中人员经费是按月拨付，公用经费是按季进行拨付。</w:t>
      </w:r>
      <w:r>
        <w:rPr>
          <w:rFonts w:ascii="仿宋_GB2312" w:eastAsia="仿宋_GB2312" w:cs="仿宋_GB2312" w:hint="eastAsia"/>
          <w:sz w:val="32"/>
          <w:szCs w:val="32"/>
          <w:lang w:eastAsia="zh-CN"/>
        </w:rPr>
        <w:t>绩效自评报告详见附件。</w:t>
      </w:r>
    </w:p>
    <w:p>
      <w:pPr>
        <w:pStyle w:val="1"/>
        <w:jc w:val="center"/>
        <w:rPr>
          <w:rFonts w:hint="eastAsia"/>
        </w:rPr>
      </w:pPr>
      <w:bookmarkStart w:id="82" w:name="_Toc20378"/>
    </w:p>
    <w:p>
      <w:pPr>
        <w:rPr>
          <w:rFonts w:hint="eastAsia"/>
        </w:rPr>
      </w:pPr>
    </w:p>
    <w:p>
      <w:pPr>
        <w:pStyle w:val="15"/>
        <w:rPr>
          <w:rFonts w:hint="eastAsia"/>
        </w:rPr>
      </w:pPr>
    </w:p>
    <w:p>
      <w:pPr>
        <w:rPr>
          <w:rFonts w:hint="eastAsia"/>
        </w:rPr>
      </w:pPr>
    </w:p>
    <w:p>
      <w:pPr>
        <w:pStyle w:val="15"/>
        <w:rPr>
          <w:rFonts w:hint="eastAsia"/>
        </w:rPr>
      </w:pPr>
    </w:p>
    <w:p>
      <w:pPr>
        <w:rPr>
          <w:rFonts w:hint="eastAsia"/>
        </w:rPr>
      </w:pPr>
    </w:p>
    <w:p>
      <w:pPr>
        <w:pStyle w:val="1"/>
        <w:jc w:val="center"/>
        <w:rPr>
          <w:rFonts w:hint="eastAsia"/>
        </w:rPr>
      </w:pPr>
    </w:p>
    <w:p>
      <w:pPr>
        <w:pStyle w:val="1"/>
        <w:jc w:val="center"/>
      </w:pPr>
      <w:r>
        <w:rPr>
          <w:rFonts w:hint="eastAsia"/>
        </w:rPr>
        <w:t>第三部分 名词解释</w:t>
      </w:r>
      <w:bookmarkEnd w:id="82"/>
    </w:p>
    <w:p/>
    <w:p>
      <w:pPr>
        <w:ind w:firstLineChars="200" w:firstLine="640"/>
        <w:outlineLvl w:val="1"/>
        <w:rPr>
          <w:rFonts w:ascii="仿宋_GB2312仿宋_GB2312" w:eastAsia="仿宋_GB2312仿宋_GB2312" w:hint="eastAsia"/>
          <w:sz w:val="32"/>
          <w:szCs w:val="32"/>
        </w:rPr>
      </w:pPr>
      <w:bookmarkStart w:id="83" w:name="_Toc15314"/>
      <w:r>
        <w:rPr>
          <w:rFonts w:ascii="仿宋_GB2312仿宋_GB2312" w:eastAsia="仿宋_GB2312仿宋_GB2312" w:hint="eastAsia"/>
          <w:sz w:val="32"/>
          <w:szCs w:val="32"/>
        </w:rPr>
        <w:t>1.财政拨款收入：指单位从同级财政部门取得的财政预算资金。</w:t>
      </w:r>
      <w:bookmarkEnd w:id="83"/>
    </w:p>
    <w:p>
      <w:pPr>
        <w:ind w:firstLineChars="200" w:firstLine="640"/>
        <w:rPr>
          <w:rFonts w:ascii="仿宋_GB2312仿宋_GB2312" w:eastAsia="仿宋_GB2312仿宋_GB2312" w:hint="eastAsia"/>
          <w:sz w:val="32"/>
          <w:szCs w:val="32"/>
        </w:rPr>
      </w:pPr>
      <w:r>
        <w:rPr>
          <w:rFonts w:ascii="仿宋_GB2312仿宋_GB2312" w:eastAsia="仿宋_GB2312仿宋_GB2312" w:hint="eastAsia"/>
          <w:sz w:val="32"/>
          <w:szCs w:val="32"/>
        </w:rPr>
        <w:t>2.事业收入：指事业单位开展专业业务活动及辅助活动取得的收入。</w:t>
      </w:r>
    </w:p>
    <w:p>
      <w:pPr>
        <w:ind w:firstLineChars="200" w:firstLine="640"/>
        <w:rPr>
          <w:rFonts w:ascii="仿宋_GB2312仿宋_GB2312" w:eastAsia="仿宋_GB2312仿宋_GB2312" w:hint="eastAsia"/>
          <w:sz w:val="32"/>
          <w:szCs w:val="32"/>
        </w:rPr>
      </w:pPr>
      <w:r>
        <w:rPr>
          <w:rFonts w:ascii="仿宋_GB2312仿宋_GB2312" w:eastAsia="仿宋_GB2312仿宋_GB2312" w:hint="eastAsia"/>
          <w:sz w:val="32"/>
          <w:szCs w:val="32"/>
        </w:rPr>
        <w:t>3.经营收入：指事业单位在专业业务活动及其辅助活动之外开展非独立核算经营活动取得的收入。</w:t>
      </w:r>
    </w:p>
    <w:p>
      <w:pPr>
        <w:ind w:firstLineChars="200" w:firstLine="640"/>
        <w:rPr>
          <w:rFonts w:ascii="仿宋_GB2312仿宋_GB2312" w:eastAsia="仿宋_GB2312仿宋_GB2312" w:hint="eastAsia"/>
          <w:sz w:val="32"/>
          <w:szCs w:val="32"/>
        </w:rPr>
      </w:pPr>
      <w:r>
        <w:rPr>
          <w:rFonts w:ascii="仿宋_GB2312仿宋_GB2312" w:eastAsia="仿宋_GB2312仿宋_GB2312" w:hint="eastAsia"/>
          <w:sz w:val="32"/>
          <w:szCs w:val="32"/>
        </w:rPr>
        <w:t xml:space="preserve">4.其他收入：指单位取得的除上述收入以外的各项收入。 </w:t>
      </w:r>
    </w:p>
    <w:p>
      <w:pPr>
        <w:ind w:firstLineChars="200" w:firstLine="640"/>
        <w:rPr>
          <w:rFonts w:ascii="仿宋_GB2312仿宋_GB2312" w:eastAsia="仿宋_GB2312仿宋_GB2312" w:hint="eastAsia"/>
          <w:sz w:val="32"/>
          <w:szCs w:val="32"/>
        </w:rPr>
      </w:pPr>
      <w:r>
        <w:rPr>
          <w:rFonts w:ascii="仿宋_GB2312仿宋_GB2312" w:eastAsia="仿宋_GB2312仿宋_GB2312" w:hint="eastAsia"/>
          <w:sz w:val="32"/>
          <w:szCs w:val="32"/>
        </w:rPr>
        <w:t xml:space="preserve">5.使用非财政拨款结余（含专用结余）：指事业单位使用以前年度积累的非财政拨款结余弥补当年收支差额的金额。 </w:t>
      </w:r>
    </w:p>
    <w:p>
      <w:pPr>
        <w:ind w:firstLineChars="200" w:firstLine="640"/>
        <w:rPr>
          <w:rFonts w:ascii="仿宋_GB2312仿宋_GB2312" w:eastAsia="仿宋_GB2312仿宋_GB2312" w:hint="eastAsia"/>
          <w:sz w:val="32"/>
          <w:szCs w:val="32"/>
        </w:rPr>
      </w:pPr>
      <w:r>
        <w:rPr>
          <w:rFonts w:ascii="仿宋_GB2312仿宋_GB2312" w:eastAsia="仿宋_GB2312仿宋_GB2312" w:hint="eastAsia"/>
          <w:sz w:val="32"/>
          <w:szCs w:val="32"/>
        </w:rPr>
        <w:t xml:space="preserve">6.年初结转和结余：指以前年度尚未完成、结转到本年按有关规定继续使用的资金。 </w:t>
      </w:r>
    </w:p>
    <w:p>
      <w:pPr>
        <w:ind w:firstLineChars="200" w:firstLine="640"/>
        <w:rPr>
          <w:rFonts w:ascii="仿宋_GB2312仿宋_GB2312" w:eastAsia="仿宋_GB2312仿宋_GB2312" w:hint="eastAsia"/>
          <w:sz w:val="32"/>
          <w:szCs w:val="32"/>
        </w:rPr>
      </w:pPr>
      <w:r>
        <w:rPr>
          <w:rFonts w:ascii="仿宋_GB2312仿宋_GB2312" w:eastAsia="仿宋_GB2312仿宋_GB2312" w:hint="eastAsia"/>
          <w:sz w:val="32"/>
          <w:szCs w:val="32"/>
        </w:rPr>
        <w:t>7.结余分配：指事业单位按照会计制度规定缴纳的所得税、提取的专用结余以及转入非财政拨款结余的金额等。</w:t>
      </w:r>
    </w:p>
    <w:p>
      <w:pPr>
        <w:ind w:firstLineChars="200" w:firstLine="640"/>
        <w:rPr>
          <w:rFonts w:ascii="仿宋_GB2312仿宋_GB2312" w:eastAsia="仿宋_GB2312仿宋_GB2312" w:hint="eastAsia"/>
          <w:sz w:val="32"/>
          <w:szCs w:val="32"/>
        </w:rPr>
      </w:pPr>
      <w:r>
        <w:rPr>
          <w:rFonts w:ascii="仿宋_GB2312仿宋_GB2312" w:eastAsia="仿宋_GB2312仿宋_GB2312" w:hint="eastAsia"/>
          <w:sz w:val="32"/>
          <w:szCs w:val="32"/>
        </w:rPr>
        <w:t>8.年末结转和结余：指单位按有关规定结转到下年或以后年度继续使用的资金。</w:t>
      </w:r>
    </w:p>
    <w:p>
      <w:pPr>
        <w:ind w:firstLineChars="200" w:firstLine="640"/>
        <w:rPr>
          <w:rFonts w:ascii="仿宋_GB2312仿宋_GB2312" w:eastAsia="仿宋_GB2312仿宋_GB2312" w:hint="eastAsia"/>
          <w:sz w:val="32"/>
          <w:szCs w:val="32"/>
        </w:rPr>
      </w:pPr>
      <w:r>
        <w:rPr>
          <w:rFonts w:ascii="仿宋_GB2312仿宋_GB2312" w:eastAsia="仿宋_GB2312仿宋_GB2312" w:hint="eastAsia"/>
          <w:sz w:val="32"/>
          <w:szCs w:val="32"/>
          <w:lang w:val="en-US" w:eastAsia="zh-CN"/>
        </w:rPr>
        <w:t>9</w:t>
      </w:r>
      <w:r>
        <w:rPr>
          <w:rFonts w:ascii="仿宋_GB2312仿宋_GB2312" w:eastAsia="仿宋_GB2312仿宋_GB2312" w:hint="eastAsia"/>
          <w:sz w:val="32"/>
          <w:szCs w:val="32"/>
        </w:rPr>
        <w:t>.</w:t>
      </w:r>
      <w:r>
        <w:rPr>
          <w:rFonts w:ascii="仿宋_GB2312仿宋_GB2312" w:eastAsia="仿宋_GB2312仿宋_GB2312" w:hint="eastAsia"/>
          <w:sz w:val="32"/>
          <w:szCs w:val="32"/>
          <w:lang w:val="en-US" w:eastAsia="zh-CN"/>
        </w:rPr>
        <w:t>一般公共服务支出（类）政府办公厅（室）及相关机构事务（款）事业运行（项）：指事业单位的基本支出</w:t>
      </w:r>
      <w:r>
        <w:rPr>
          <w:rFonts w:ascii="仿宋_GB2312仿宋_GB2312" w:eastAsia="仿宋_GB2312仿宋_GB2312" w:hint="eastAsia"/>
          <w:sz w:val="32"/>
          <w:szCs w:val="32"/>
        </w:rPr>
        <w:t>。</w:t>
      </w:r>
    </w:p>
    <w:p>
      <w:pPr>
        <w:ind w:firstLineChars="200" w:firstLine="640"/>
        <w:rPr>
          <w:rFonts w:ascii="仿宋_GB2312仿宋_GB2312" w:eastAsia="仿宋_GB2312仿宋_GB2312" w:hint="eastAsia"/>
          <w:sz w:val="32"/>
          <w:szCs w:val="32"/>
        </w:rPr>
      </w:pPr>
      <w:r>
        <w:rPr>
          <w:rFonts w:ascii="仿宋_GB2312仿宋_GB2312" w:eastAsia="仿宋_GB2312仿宋_GB2312" w:hint="eastAsia"/>
          <w:sz w:val="32"/>
          <w:szCs w:val="32"/>
          <w:lang w:val="en-US" w:eastAsia="zh-CN"/>
        </w:rPr>
        <w:t>10</w:t>
      </w:r>
      <w:r>
        <w:rPr>
          <w:rFonts w:ascii="仿宋_GB2312仿宋_GB2312" w:eastAsia="仿宋_GB2312仿宋_GB2312" w:hint="eastAsia"/>
          <w:sz w:val="32"/>
          <w:szCs w:val="32"/>
        </w:rPr>
        <w:t>.</w:t>
      </w:r>
      <w:r>
        <w:rPr>
          <w:rFonts w:ascii="仿宋_GB2312仿宋_GB2312" w:eastAsia="仿宋_GB2312仿宋_GB2312" w:hint="eastAsia"/>
          <w:sz w:val="32"/>
          <w:szCs w:val="32"/>
          <w:lang w:val="en-US" w:eastAsia="zh-CN"/>
        </w:rPr>
        <w:t>社会保障和就业（类）行政事业单位离退休（款）机关事业单位基本养老保险缴费支出（项）：</w:t>
      </w:r>
      <w:r>
        <w:rPr>
          <w:rFonts w:ascii="仿宋_GB2312仿宋_GB2312" w:eastAsia="仿宋_GB2312仿宋_GB2312" w:hint="eastAsia"/>
          <w:sz w:val="32"/>
          <w:szCs w:val="32"/>
        </w:rPr>
        <w:t>指</w:t>
      </w:r>
      <w:r>
        <w:rPr>
          <w:rFonts w:ascii="仿宋_GB2312仿宋_GB2312" w:eastAsia="仿宋_GB2312仿宋_GB2312" w:hint="eastAsia"/>
          <w:sz w:val="32"/>
          <w:szCs w:val="32"/>
          <w:lang w:val="en-US" w:eastAsia="zh-CN"/>
        </w:rPr>
        <w:t>单位为职工缴纳的基本养老保险费</w:t>
      </w:r>
      <w:r>
        <w:rPr>
          <w:rFonts w:ascii="仿宋_GB2312仿宋_GB2312" w:eastAsia="仿宋_GB2312仿宋_GB2312" w:hint="eastAsia"/>
          <w:sz w:val="32"/>
          <w:szCs w:val="32"/>
        </w:rPr>
        <w:t>。</w:t>
      </w:r>
    </w:p>
    <w:p>
      <w:pPr>
        <w:ind w:firstLineChars="200" w:firstLine="640"/>
        <w:rPr>
          <w:rFonts w:ascii="仿宋_GB2312仿宋_GB2312" w:eastAsia="仿宋_GB2312仿宋_GB2312" w:hint="eastAsia"/>
          <w:sz w:val="32"/>
          <w:szCs w:val="32"/>
        </w:rPr>
      </w:pPr>
      <w:r>
        <w:rPr>
          <w:rFonts w:ascii="仿宋_GB2312仿宋_GB2312" w:eastAsia="仿宋_GB2312仿宋_GB2312" w:hint="eastAsia"/>
          <w:sz w:val="32"/>
          <w:szCs w:val="32"/>
          <w:lang w:val="en-US" w:eastAsia="zh-CN"/>
        </w:rPr>
        <w:t>11</w:t>
      </w:r>
      <w:r>
        <w:rPr>
          <w:rFonts w:ascii="仿宋_GB2312仿宋_GB2312" w:eastAsia="仿宋_GB2312仿宋_GB2312" w:hint="eastAsia"/>
          <w:sz w:val="32"/>
          <w:szCs w:val="32"/>
        </w:rPr>
        <w:t>.</w:t>
      </w:r>
      <w:r>
        <w:rPr>
          <w:rFonts w:ascii="仿宋_GB2312仿宋_GB2312" w:eastAsia="仿宋_GB2312仿宋_GB2312" w:hint="eastAsia"/>
          <w:sz w:val="32"/>
          <w:szCs w:val="32"/>
          <w:lang w:val="en-US" w:eastAsia="zh-CN"/>
        </w:rPr>
        <w:t>社会保障和就业（类）行政事业单位离退休（款）机关事业单位基本职业年金缴费支出（项）：</w:t>
      </w:r>
      <w:r>
        <w:rPr>
          <w:rFonts w:ascii="仿宋_GB2312仿宋_GB2312" w:eastAsia="仿宋_GB2312仿宋_GB2312" w:hint="eastAsia"/>
          <w:sz w:val="32"/>
          <w:szCs w:val="32"/>
        </w:rPr>
        <w:t>指</w:t>
      </w:r>
      <w:r>
        <w:rPr>
          <w:rFonts w:ascii="仿宋_GB2312仿宋_GB2312" w:eastAsia="仿宋_GB2312仿宋_GB2312" w:hint="eastAsia"/>
          <w:sz w:val="32"/>
          <w:szCs w:val="32"/>
          <w:lang w:val="en-US" w:eastAsia="zh-CN"/>
        </w:rPr>
        <w:t>单位为职工实际缴纳的职业年金</w:t>
      </w:r>
      <w:r>
        <w:rPr>
          <w:rFonts w:ascii="仿宋_GB2312仿宋_GB2312" w:eastAsia="仿宋_GB2312仿宋_GB2312" w:hint="eastAsia"/>
          <w:sz w:val="32"/>
          <w:szCs w:val="32"/>
        </w:rPr>
        <w:t>。</w:t>
      </w:r>
    </w:p>
    <w:p>
      <w:pPr>
        <w:ind w:firstLineChars="200" w:firstLine="640"/>
        <w:rPr>
          <w:rFonts w:ascii="仿宋_GB2312仿宋_GB2312" w:eastAsia="仿宋_GB2312仿宋_GB2312" w:hint="eastAsia"/>
          <w:sz w:val="32"/>
          <w:szCs w:val="32"/>
          <w:lang w:val="en-US" w:eastAsia="zh-CN"/>
        </w:rPr>
      </w:pPr>
      <w:r>
        <w:rPr>
          <w:rFonts w:ascii="仿宋_GB2312仿宋_GB2312" w:eastAsia="仿宋_GB2312仿宋_GB2312" w:hint="eastAsia"/>
          <w:sz w:val="32"/>
          <w:szCs w:val="32"/>
          <w:lang w:val="en-US" w:eastAsia="zh-CN"/>
        </w:rPr>
        <w:t>12.</w:t>
      </w:r>
      <w:r>
        <w:rPr>
          <w:rFonts w:ascii="仿宋_GB2312仿宋_GB2312" w:eastAsia="仿宋_GB2312仿宋_GB2312" w:hint="eastAsia"/>
          <w:sz w:val="32"/>
          <w:szCs w:val="32"/>
        </w:rPr>
        <w:t>卫生</w:t>
      </w:r>
      <w:r>
        <w:rPr>
          <w:rFonts w:ascii="仿宋_GB2312仿宋_GB2312" w:eastAsia="仿宋_GB2312仿宋_GB2312" w:hint="eastAsia"/>
          <w:sz w:val="32"/>
          <w:szCs w:val="32"/>
          <w:lang w:eastAsia="zh-CN"/>
        </w:rPr>
        <w:t>健康支出</w:t>
      </w:r>
      <w:r>
        <w:rPr>
          <w:rFonts w:ascii="仿宋_GB2312仿宋_GB2312" w:eastAsia="仿宋_GB2312仿宋_GB2312" w:hint="eastAsia"/>
          <w:sz w:val="32"/>
          <w:szCs w:val="32"/>
        </w:rPr>
        <w:t>（类）</w:t>
      </w:r>
      <w:r>
        <w:rPr>
          <w:rFonts w:ascii="仿宋_GB2312仿宋_GB2312" w:eastAsia="仿宋_GB2312仿宋_GB2312" w:hint="eastAsia"/>
          <w:sz w:val="32"/>
          <w:szCs w:val="32"/>
          <w:lang w:eastAsia="zh-CN"/>
        </w:rPr>
        <w:t>公共卫生</w:t>
      </w:r>
      <w:r>
        <w:rPr>
          <w:rFonts w:ascii="仿宋_GB2312仿宋_GB2312" w:eastAsia="仿宋_GB2312仿宋_GB2312" w:hint="eastAsia"/>
          <w:sz w:val="32"/>
          <w:szCs w:val="32"/>
        </w:rPr>
        <w:t>（款）</w:t>
      </w:r>
      <w:r>
        <w:rPr>
          <w:rFonts w:ascii="仿宋_GB2312仿宋_GB2312" w:eastAsia="仿宋_GB2312仿宋_GB2312" w:hint="eastAsia"/>
          <w:sz w:val="32"/>
          <w:szCs w:val="32"/>
          <w:lang w:val="en-US" w:eastAsia="zh-CN"/>
        </w:rPr>
        <w:t>突发公共卫生事件应急处理</w:t>
      </w:r>
      <w:r>
        <w:rPr>
          <w:rFonts w:ascii="仿宋_GB2312仿宋_GB2312" w:eastAsia="仿宋_GB2312仿宋_GB2312" w:hint="eastAsia"/>
          <w:sz w:val="32"/>
          <w:szCs w:val="32"/>
        </w:rPr>
        <w:t>（项）：</w:t>
      </w:r>
      <w:r>
        <w:rPr>
          <w:rFonts w:ascii="仿宋_GB2312仿宋_GB2312" w:eastAsia="仿宋_GB2312仿宋_GB2312" w:hint="eastAsia"/>
          <w:sz w:val="32"/>
          <w:szCs w:val="32"/>
          <w:lang w:eastAsia="zh-CN"/>
        </w:rPr>
        <w:t>反映用于突发公共卫生事件应急处理的支出。</w:t>
      </w:r>
    </w:p>
    <w:p>
      <w:pPr>
        <w:ind w:firstLineChars="200" w:firstLine="640"/>
        <w:rPr>
          <w:rFonts w:ascii="仿宋_GB2312仿宋_GB2312" w:eastAsia="仿宋_GB2312仿宋_GB2312" w:hint="eastAsia"/>
          <w:sz w:val="32"/>
          <w:szCs w:val="32"/>
          <w:lang w:val="en-US" w:eastAsia="zh-CN"/>
        </w:rPr>
      </w:pPr>
      <w:r>
        <w:rPr>
          <w:rFonts w:ascii="仿宋_GB2312仿宋_GB2312" w:eastAsia="仿宋_GB2312仿宋_GB2312" w:hint="eastAsia"/>
          <w:sz w:val="32"/>
          <w:szCs w:val="32"/>
          <w:lang w:val="en-US" w:eastAsia="zh-CN"/>
        </w:rPr>
        <w:t>13</w:t>
      </w:r>
      <w:r>
        <w:rPr>
          <w:rFonts w:ascii="仿宋_GB2312仿宋_GB2312" w:eastAsia="仿宋_GB2312仿宋_GB2312" w:hint="eastAsia"/>
          <w:sz w:val="32"/>
          <w:szCs w:val="32"/>
        </w:rPr>
        <w:t>.卫生</w:t>
      </w:r>
      <w:r>
        <w:rPr>
          <w:rFonts w:ascii="仿宋_GB2312仿宋_GB2312" w:eastAsia="仿宋_GB2312仿宋_GB2312" w:hint="eastAsia"/>
          <w:sz w:val="32"/>
          <w:szCs w:val="32"/>
          <w:lang w:eastAsia="zh-CN"/>
        </w:rPr>
        <w:t>健康支出</w:t>
      </w:r>
      <w:r>
        <w:rPr>
          <w:rFonts w:ascii="仿宋_GB2312仿宋_GB2312" w:eastAsia="仿宋_GB2312仿宋_GB2312" w:hint="eastAsia"/>
          <w:sz w:val="32"/>
          <w:szCs w:val="32"/>
        </w:rPr>
        <w:t>（类）</w:t>
      </w:r>
      <w:r>
        <w:rPr>
          <w:rFonts w:ascii="仿宋_GB2312仿宋_GB2312" w:eastAsia="仿宋_GB2312仿宋_GB2312" w:hint="eastAsia"/>
          <w:sz w:val="32"/>
          <w:szCs w:val="32"/>
          <w:lang w:val="en-US" w:eastAsia="zh-CN"/>
        </w:rPr>
        <w:t>行政事业单位医疗</w:t>
      </w:r>
      <w:r>
        <w:rPr>
          <w:rFonts w:ascii="仿宋_GB2312仿宋_GB2312" w:eastAsia="仿宋_GB2312仿宋_GB2312" w:hint="eastAsia"/>
          <w:sz w:val="32"/>
          <w:szCs w:val="32"/>
        </w:rPr>
        <w:t>（款）</w:t>
      </w:r>
      <w:r>
        <w:rPr>
          <w:rFonts w:ascii="仿宋_GB2312仿宋_GB2312" w:eastAsia="仿宋_GB2312仿宋_GB2312" w:hint="eastAsia"/>
          <w:sz w:val="32"/>
          <w:szCs w:val="32"/>
          <w:lang w:val="en-US" w:eastAsia="zh-CN"/>
        </w:rPr>
        <w:t>事业单位医疗</w:t>
      </w:r>
      <w:r>
        <w:rPr>
          <w:rFonts w:ascii="仿宋_GB2312仿宋_GB2312" w:eastAsia="仿宋_GB2312仿宋_GB2312" w:hint="eastAsia"/>
          <w:sz w:val="32"/>
          <w:szCs w:val="32"/>
        </w:rPr>
        <w:t>（项）：指</w:t>
      </w:r>
      <w:r>
        <w:rPr>
          <w:rFonts w:ascii="仿宋_GB2312仿宋_GB2312" w:eastAsia="仿宋_GB2312仿宋_GB2312" w:hint="eastAsia"/>
          <w:sz w:val="32"/>
          <w:szCs w:val="32"/>
          <w:lang w:val="en-US" w:eastAsia="zh-CN"/>
        </w:rPr>
        <w:t>反映财政部门安排的事业单位基本医疗保险缴纳经费，未参加医疗保险的事业单位的公费医疗经费，按照国家规定享受离休人员待遇的医疗经费。</w:t>
      </w:r>
    </w:p>
    <w:p>
      <w:pPr>
        <w:ind w:firstLineChars="200" w:firstLine="640"/>
        <w:rPr>
          <w:rFonts w:ascii="仿宋_GB2312仿宋_GB2312" w:eastAsia="仿宋_GB2312仿宋_GB2312" w:hint="eastAsia"/>
          <w:sz w:val="32"/>
          <w:szCs w:val="32"/>
        </w:rPr>
      </w:pPr>
      <w:r>
        <w:rPr>
          <w:rFonts w:ascii="仿宋_GB2312仿宋_GB2312" w:eastAsia="仿宋_GB2312仿宋_GB2312" w:hint="eastAsia"/>
          <w:sz w:val="32"/>
          <w:szCs w:val="32"/>
          <w:lang w:val="en-US" w:eastAsia="zh-CN"/>
        </w:rPr>
        <w:t>14</w:t>
      </w:r>
      <w:r>
        <w:rPr>
          <w:rFonts w:ascii="仿宋_GB2312仿宋_GB2312" w:eastAsia="仿宋_GB2312仿宋_GB2312" w:hint="eastAsia"/>
          <w:sz w:val="32"/>
          <w:szCs w:val="32"/>
        </w:rPr>
        <w:t>.卫生</w:t>
      </w:r>
      <w:r>
        <w:rPr>
          <w:rFonts w:ascii="仿宋_GB2312仿宋_GB2312" w:eastAsia="仿宋_GB2312仿宋_GB2312" w:hint="eastAsia"/>
          <w:sz w:val="32"/>
          <w:szCs w:val="32"/>
          <w:lang w:eastAsia="zh-CN"/>
        </w:rPr>
        <w:t>健康支出</w:t>
      </w:r>
      <w:r>
        <w:rPr>
          <w:rFonts w:ascii="仿宋_GB2312仿宋_GB2312" w:eastAsia="仿宋_GB2312仿宋_GB2312" w:hint="eastAsia"/>
          <w:sz w:val="32"/>
          <w:szCs w:val="32"/>
        </w:rPr>
        <w:t>（类）</w:t>
      </w:r>
      <w:r>
        <w:rPr>
          <w:rFonts w:ascii="仿宋_GB2312仿宋_GB2312" w:eastAsia="仿宋_GB2312仿宋_GB2312" w:hint="eastAsia"/>
          <w:sz w:val="32"/>
          <w:szCs w:val="32"/>
          <w:lang w:val="en-US" w:eastAsia="zh-CN"/>
        </w:rPr>
        <w:t>行政事业单位医疗</w:t>
      </w:r>
      <w:r>
        <w:rPr>
          <w:rFonts w:ascii="仿宋_GB2312仿宋_GB2312" w:eastAsia="仿宋_GB2312仿宋_GB2312" w:hint="eastAsia"/>
          <w:sz w:val="32"/>
          <w:szCs w:val="32"/>
        </w:rPr>
        <w:t>（款）</w:t>
      </w:r>
      <w:r>
        <w:rPr>
          <w:rFonts w:ascii="仿宋_GB2312仿宋_GB2312" w:eastAsia="仿宋_GB2312仿宋_GB2312" w:hint="eastAsia"/>
          <w:sz w:val="32"/>
          <w:szCs w:val="32"/>
          <w:lang w:val="en-US" w:eastAsia="zh-CN"/>
        </w:rPr>
        <w:t>其他行政事业单位医疗支出</w:t>
      </w:r>
      <w:r>
        <w:rPr>
          <w:rFonts w:ascii="仿宋_GB2312仿宋_GB2312" w:eastAsia="仿宋_GB2312仿宋_GB2312" w:hint="eastAsia"/>
          <w:sz w:val="32"/>
          <w:szCs w:val="32"/>
        </w:rPr>
        <w:t>（项）：</w:t>
      </w:r>
      <w:r>
        <w:rPr>
          <w:rFonts w:ascii="仿宋_GB2312仿宋_GB2312" w:eastAsia="仿宋_GB2312仿宋_GB2312" w:hint="eastAsia"/>
          <w:sz w:val="32"/>
          <w:szCs w:val="32"/>
          <w:lang w:eastAsia="zh-CN"/>
        </w:rPr>
        <w:t>反映除上述项目以外的其他用于行政事业单位医疗方面的支出</w:t>
      </w:r>
      <w:r>
        <w:rPr>
          <w:rFonts w:ascii="仿宋_GB2312仿宋_GB2312" w:eastAsia="仿宋_GB2312仿宋_GB2312" w:hint="eastAsia"/>
          <w:sz w:val="32"/>
          <w:szCs w:val="32"/>
        </w:rPr>
        <w:t>。</w:t>
      </w:r>
    </w:p>
    <w:p>
      <w:pPr>
        <w:ind w:firstLineChars="200" w:firstLine="640"/>
        <w:rPr>
          <w:rFonts w:ascii="仿宋_GB2312仿宋_GB2312" w:eastAsia="仿宋_GB2312仿宋_GB2312" w:hint="eastAsia"/>
          <w:sz w:val="32"/>
          <w:szCs w:val="32"/>
        </w:rPr>
      </w:pPr>
      <w:r>
        <w:rPr>
          <w:rFonts w:ascii="仿宋_GB2312仿宋_GB2312" w:eastAsia="仿宋_GB2312仿宋_GB2312" w:hint="eastAsia"/>
          <w:sz w:val="32"/>
          <w:szCs w:val="32"/>
          <w:lang w:val="en-US" w:eastAsia="zh-CN"/>
        </w:rPr>
        <w:t>15</w:t>
      </w:r>
      <w:r>
        <w:rPr>
          <w:rFonts w:ascii="仿宋_GB2312仿宋_GB2312" w:eastAsia="仿宋_GB2312仿宋_GB2312" w:hint="eastAsia"/>
          <w:sz w:val="32"/>
          <w:szCs w:val="32"/>
        </w:rPr>
        <w:t>.</w:t>
      </w:r>
      <w:r>
        <w:rPr>
          <w:rFonts w:ascii="仿宋_GB2312仿宋_GB2312" w:eastAsia="仿宋_GB2312仿宋_GB2312" w:hint="eastAsia"/>
          <w:sz w:val="32"/>
          <w:szCs w:val="32"/>
          <w:lang w:val="en-US" w:eastAsia="zh-CN"/>
        </w:rPr>
        <w:t>住房保障（类）住房改革支出（款）住房公积金（项）</w:t>
      </w:r>
      <w:r>
        <w:rPr>
          <w:rFonts w:ascii="仿宋_GB2312仿宋_GB2312" w:eastAsia="仿宋_GB2312仿宋_GB2312" w:hint="eastAsia"/>
          <w:sz w:val="32"/>
          <w:szCs w:val="32"/>
        </w:rPr>
        <w:t>：指</w:t>
      </w:r>
      <w:r>
        <w:rPr>
          <w:rFonts w:ascii="仿宋_GB2312仿宋_GB2312" w:eastAsia="仿宋_GB2312仿宋_GB2312" w:hint="eastAsia"/>
          <w:sz w:val="32"/>
          <w:szCs w:val="32"/>
          <w:lang w:val="en-US" w:eastAsia="zh-CN"/>
        </w:rPr>
        <w:t>单位按规定为职工缴纳的住房公积金</w:t>
      </w:r>
      <w:r>
        <w:rPr>
          <w:rFonts w:ascii="仿宋_GB2312仿宋_GB2312" w:eastAsia="仿宋_GB2312仿宋_GB2312" w:hint="eastAsia"/>
          <w:sz w:val="32"/>
          <w:szCs w:val="32"/>
        </w:rPr>
        <w:t>。</w:t>
      </w:r>
    </w:p>
    <w:p>
      <w:pPr>
        <w:ind w:firstLineChars="200" w:firstLine="640"/>
        <w:rPr>
          <w:rFonts w:ascii="仿宋_GB2312仿宋_GB2312" w:eastAsia="仿宋_GB2312仿宋_GB2312" w:hint="eastAsia"/>
          <w:sz w:val="32"/>
          <w:szCs w:val="32"/>
        </w:rPr>
      </w:pPr>
      <w:r>
        <w:rPr>
          <w:rFonts w:ascii="仿宋_GB2312仿宋_GB2312" w:eastAsia="仿宋_GB2312仿宋_GB2312" w:hint="eastAsia"/>
          <w:sz w:val="32"/>
          <w:szCs w:val="32"/>
          <w:lang w:val="en-US" w:eastAsia="zh-CN"/>
        </w:rPr>
        <w:t>16</w:t>
      </w:r>
      <w:r>
        <w:rPr>
          <w:rFonts w:ascii="仿宋_GB2312仿宋_GB2312" w:eastAsia="仿宋_GB2312仿宋_GB2312" w:hint="eastAsia"/>
          <w:sz w:val="32"/>
          <w:szCs w:val="32"/>
        </w:rPr>
        <w:t>.基本支出：指为保障机构正常运转、完成日常工作任务而发生的人员支出和公用支出。</w:t>
      </w:r>
    </w:p>
    <w:p>
      <w:pPr>
        <w:ind w:firstLineChars="200" w:firstLine="640"/>
        <w:rPr>
          <w:rFonts w:ascii="仿宋_GB2312仿宋_GB2312" w:eastAsia="仿宋_GB2312仿宋_GB2312" w:hint="eastAsia"/>
          <w:sz w:val="32"/>
          <w:szCs w:val="32"/>
        </w:rPr>
      </w:pPr>
      <w:r>
        <w:rPr>
          <w:rFonts w:ascii="仿宋_GB2312仿宋_GB2312" w:eastAsia="仿宋_GB2312仿宋_GB2312" w:hint="eastAsia"/>
          <w:sz w:val="32"/>
          <w:szCs w:val="32"/>
          <w:lang w:val="en-US" w:eastAsia="zh-CN"/>
        </w:rPr>
        <w:t>17</w:t>
      </w:r>
      <w:r>
        <w:rPr>
          <w:rFonts w:ascii="仿宋_GB2312仿宋_GB2312" w:eastAsia="仿宋_GB2312仿宋_GB2312" w:hint="eastAsia"/>
          <w:sz w:val="32"/>
          <w:szCs w:val="32"/>
        </w:rPr>
        <w:t xml:space="preserve">.项目支出：指在基本支出之外为完成特定行政任务和事业发展目标所发生的支出。 </w:t>
      </w:r>
    </w:p>
    <w:p>
      <w:pPr>
        <w:ind w:firstLineChars="200" w:firstLine="640"/>
        <w:rPr>
          <w:rFonts w:ascii="仿宋_GB2312仿宋_GB2312" w:eastAsia="仿宋_GB2312仿宋_GB2312" w:hint="eastAsia"/>
          <w:sz w:val="32"/>
          <w:szCs w:val="32"/>
        </w:rPr>
      </w:pPr>
      <w:r>
        <w:rPr>
          <w:rFonts w:ascii="仿宋_GB2312仿宋_GB2312" w:eastAsia="仿宋_GB2312仿宋_GB2312" w:hint="eastAsia"/>
          <w:sz w:val="32"/>
          <w:szCs w:val="32"/>
          <w:lang w:val="en-US" w:eastAsia="zh-CN"/>
        </w:rPr>
        <w:t>18</w:t>
      </w:r>
      <w:r>
        <w:rPr>
          <w:rFonts w:ascii="仿宋_GB2312仿宋_GB2312" w:eastAsia="仿宋_GB2312仿宋_GB2312" w:hint="eastAsia"/>
          <w:sz w:val="32"/>
          <w:szCs w:val="32"/>
        </w:rPr>
        <w:t>.经营支出：指事业单位在专业业务活动及其辅助活动之外开展非独立核算经营活动发生的支出。</w:t>
      </w:r>
    </w:p>
    <w:p>
      <w:pPr>
        <w:ind w:firstLineChars="200" w:firstLine="640"/>
        <w:rPr>
          <w:rFonts w:ascii="仿宋_GB2312仿宋_GB2312" w:eastAsia="仿宋_GB2312仿宋_GB2312" w:hint="eastAsia"/>
          <w:sz w:val="32"/>
          <w:szCs w:val="32"/>
        </w:rPr>
      </w:pPr>
      <w:r>
        <w:rPr>
          <w:rFonts w:ascii="仿宋_GB2312仿宋_GB2312" w:eastAsia="仿宋_GB2312仿宋_GB2312" w:hint="eastAsia"/>
          <w:sz w:val="32"/>
          <w:szCs w:val="32"/>
          <w:lang w:val="en-US" w:eastAsia="zh-CN"/>
        </w:rPr>
        <w:t>19</w:t>
      </w:r>
      <w:r>
        <w:rPr>
          <w:rFonts w:ascii="仿宋_GB2312仿宋_GB2312" w:eastAsia="仿宋_GB2312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Chars="200" w:firstLine="640"/>
        <w:rPr>
          <w:rFonts w:ascii="仿宋_GB2312仿宋_GB2312" w:eastAsia="仿宋_GB2312仿宋_GB2312" w:hint="eastAsia"/>
          <w:sz w:val="32"/>
          <w:szCs w:val="32"/>
        </w:rPr>
      </w:pPr>
      <w:r>
        <w:rPr>
          <w:rFonts w:ascii="仿宋_GB2312仿宋_GB2312" w:eastAsia="仿宋_GB2312仿宋_GB2312" w:hint="eastAsia"/>
          <w:sz w:val="32"/>
          <w:szCs w:val="32"/>
          <w:lang w:val="en-US" w:eastAsia="zh-CN"/>
        </w:rPr>
        <w:t>20</w:t>
      </w:r>
      <w:r>
        <w:rPr>
          <w:rFonts w:ascii="仿宋_GB2312仿宋_GB2312" w:eastAsia="仿宋_GB2312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br w:type="page"/>
      </w:r>
    </w:p>
    <w:p>
      <w:pPr>
        <w:pStyle w:val="1"/>
        <w:jc w:val="center"/>
        <w:rPr>
          <w:rFonts w:ascii="黑体" w:eastAsia="黑体"/>
          <w:b w:val="0"/>
        </w:rPr>
      </w:pPr>
      <w:bookmarkStart w:id="84" w:name="_Toc14112"/>
      <w:r>
        <w:rPr>
          <w:rFonts w:ascii="黑体" w:eastAsia="黑体" w:hint="eastAsia"/>
          <w:b w:val="0"/>
        </w:rPr>
        <w:t>第四部分 附件</w:t>
      </w:r>
      <w:bookmarkEnd w:id="84"/>
    </w:p>
    <w:p/>
    <w:p>
      <w:pPr>
        <w:outlineLvl w:val="1"/>
        <w:rPr>
          <w:rFonts w:ascii="黑体" w:eastAsia="黑体"/>
          <w:sz w:val="32"/>
          <w:szCs w:val="32"/>
        </w:rPr>
      </w:pPr>
      <w:bookmarkStart w:id="85" w:name="_Toc456"/>
      <w:r>
        <w:rPr>
          <w:rFonts w:ascii="黑体" w:eastAsia="黑体" w:hint="eastAsia"/>
          <w:sz w:val="32"/>
          <w:szCs w:val="32"/>
        </w:rPr>
        <w:t>附件1</w:t>
      </w:r>
      <w:bookmarkEnd w:id="85"/>
    </w:p>
    <w:p>
      <w:pPr>
        <w:jc w:val="center"/>
        <w:rPr>
          <w:rFonts w:ascii="方正小标宋简体" w:eastAsia="方正小标宋简体"/>
          <w:sz w:val="44"/>
          <w:szCs w:val="44"/>
        </w:rPr>
      </w:pPr>
      <w:r>
        <w:rPr>
          <w:rFonts w:ascii="方正小标宋简体" w:eastAsia="方正小标宋简体" w:hint="eastAsia"/>
          <w:sz w:val="44"/>
          <w:szCs w:val="44"/>
        </w:rPr>
        <w:t>部门预算绩效评价报告</w:t>
      </w:r>
    </w:p>
    <w:p/>
    <w:p>
      <w:pPr>
        <w:spacing w:line="600"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val="zh-CN" w:eastAsia="zh-CN"/>
        </w:rPr>
        <w:t>根据《金川县财政局关于开展2025年县级部门绩效自评工作的通知》（金财监绩〔2025〕</w:t>
      </w:r>
      <w:r>
        <w:rPr>
          <w:rFonts w:ascii="仿宋_GB2312" w:eastAsia="仿宋_GB2312" w:cs="仿宋_GB2312" w:hint="eastAsia"/>
          <w:sz w:val="32"/>
          <w:szCs w:val="32"/>
          <w:lang w:val="en-US" w:eastAsia="zh-CN"/>
        </w:rPr>
        <w:t>35</w:t>
      </w:r>
      <w:r>
        <w:rPr>
          <w:rFonts w:ascii="仿宋_GB2312" w:eastAsia="仿宋_GB2312" w:cs="仿宋_GB2312" w:hint="eastAsia"/>
          <w:sz w:val="32"/>
          <w:szCs w:val="32"/>
          <w:lang w:val="zh-CN" w:eastAsia="zh-CN"/>
        </w:rPr>
        <w:t>号）文件要求，为深入贯彻落实《中华人民共和国预算法》和省、州相关文件精神，结合本单位的实际，认真开展部门预算绩效自评工作，现将</w:t>
      </w:r>
      <w:r>
        <w:rPr>
          <w:rFonts w:ascii="仿宋_GB2312" w:eastAsia="仿宋_GB2312" w:cs="仿宋_GB2312" w:hint="eastAsia"/>
          <w:sz w:val="32"/>
          <w:szCs w:val="32"/>
          <w:lang w:val="en-US" w:eastAsia="zh-CN"/>
        </w:rPr>
        <w:t>2024</w:t>
      </w:r>
      <w:r>
        <w:rPr>
          <w:rFonts w:ascii="仿宋_GB2312" w:eastAsia="仿宋_GB2312" w:cs="仿宋_GB2312" w:hint="eastAsia"/>
          <w:sz w:val="32"/>
          <w:szCs w:val="32"/>
          <w:lang w:val="zh-CN" w:eastAsia="zh-CN"/>
        </w:rPr>
        <w:t>年部门预算绩效自评工作报告如下：</w:t>
      </w:r>
    </w:p>
    <w:p>
      <w:pPr>
        <w:spacing w:line="600" w:lineRule="exact"/>
        <w:ind w:firstLineChars="200" w:firstLine="640"/>
        <w:rPr>
          <w:rFonts w:ascii="仿宋_GB2312" w:eastAsia="仿宋_GB2312" w:cs="仿宋_GB2312"/>
          <w:b/>
          <w:bCs/>
          <w:sz w:val="32"/>
          <w:szCs w:val="32"/>
          <w:lang w:val="zh-CN" w:eastAsia="zh-CN"/>
        </w:rPr>
      </w:pPr>
      <w:r>
        <w:rPr>
          <w:rFonts w:ascii="仿宋_GB2312" w:eastAsia="仿宋_GB2312" w:cs="仿宋_GB2312" w:hint="eastAsia"/>
          <w:b/>
          <w:bCs/>
          <w:sz w:val="32"/>
          <w:szCs w:val="32"/>
          <w:lang w:val="zh-CN" w:eastAsia="zh-CN"/>
        </w:rPr>
        <w:t>一、</w:t>
      </w:r>
      <w:r>
        <w:rPr>
          <w:rFonts w:ascii="仿宋_GB2312" w:eastAsia="仿宋_GB2312" w:cs="仿宋_GB2312"/>
          <w:b/>
          <w:bCs/>
          <w:sz w:val="32"/>
          <w:szCs w:val="32"/>
          <w:lang w:val="zh-CN" w:eastAsia="zh-CN"/>
        </w:rPr>
        <w:t>部门（单位）基本情况</w:t>
      </w:r>
    </w:p>
    <w:p>
      <w:pPr>
        <w:spacing w:line="600" w:lineRule="exact"/>
        <w:ind w:firstLineChars="200" w:firstLine="640"/>
        <w:rPr>
          <w:rFonts w:ascii="仿宋_GB2312" w:eastAsia="仿宋_GB2312" w:cs="仿宋_GB2312"/>
          <w:b/>
          <w:bCs/>
          <w:sz w:val="32"/>
          <w:szCs w:val="32"/>
          <w:lang w:val="zh-CN" w:eastAsia="zh-CN"/>
        </w:rPr>
      </w:pPr>
      <w:r>
        <w:rPr>
          <w:rFonts w:ascii="仿宋_GB2312" w:eastAsia="仿宋_GB2312" w:cs="仿宋_GB2312" w:hint="eastAsia"/>
          <w:b/>
          <w:bCs/>
          <w:sz w:val="32"/>
          <w:szCs w:val="32"/>
          <w:lang w:val="zh-CN" w:eastAsia="zh-CN"/>
        </w:rPr>
        <w:t>（一）</w:t>
      </w:r>
      <w:r>
        <w:rPr>
          <w:rFonts w:ascii="仿宋_GB2312" w:eastAsia="仿宋_GB2312" w:cs="仿宋_GB2312"/>
          <w:b/>
          <w:bCs/>
          <w:sz w:val="32"/>
          <w:szCs w:val="32"/>
          <w:lang w:val="zh-CN" w:eastAsia="zh-CN"/>
        </w:rPr>
        <w:t>机构组成。</w:t>
      </w:r>
    </w:p>
    <w:p>
      <w:pPr>
        <w:spacing w:line="600" w:lineRule="exact"/>
        <w:ind w:firstLineChars="200" w:firstLine="640"/>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公务服务中心</w:t>
      </w:r>
      <w:r>
        <w:rPr>
          <w:rFonts w:ascii="仿宋_GB2312" w:eastAsia="仿宋_GB2312" w:cs="仿宋_GB2312" w:hint="eastAsia"/>
          <w:sz w:val="32"/>
          <w:szCs w:val="32"/>
          <w:lang w:val="zh-CN" w:eastAsia="zh-CN"/>
        </w:rPr>
        <w:t>根据（金委办发〔2019〕96号）《关于印发〈金川县公务服务中心职能配置、内设机构人员编制规定〉的通知》内设办公室、公共机构节能及后勤服务股、公务服务一股、公务服务二股，</w:t>
      </w:r>
      <w:r>
        <w:rPr>
          <w:rFonts w:ascii="仿宋_GB2312" w:eastAsia="仿宋_GB2312" w:cs="仿宋_GB2312" w:hint="eastAsia"/>
          <w:sz w:val="32"/>
          <w:szCs w:val="32"/>
          <w:lang w:val="en-US" w:eastAsia="zh-CN"/>
        </w:rPr>
        <w:t>为</w:t>
      </w:r>
      <w:r>
        <w:rPr>
          <w:rFonts w:ascii="仿宋_GB2312" w:eastAsia="仿宋_GB2312" w:cs="仿宋_GB2312" w:hint="eastAsia"/>
          <w:sz w:val="32"/>
          <w:szCs w:val="32"/>
          <w:lang w:val="zh-CN" w:eastAsia="zh-CN"/>
        </w:rPr>
        <w:t>县级一级预算单位 。</w:t>
      </w:r>
    </w:p>
    <w:p>
      <w:pPr>
        <w:spacing w:line="600" w:lineRule="exact"/>
        <w:ind w:firstLineChars="200" w:firstLine="640"/>
        <w:rPr>
          <w:rFonts w:ascii="仿宋_GB2312" w:eastAsia="仿宋_GB2312" w:cs="仿宋_GB2312" w:hint="eastAsia"/>
          <w:sz w:val="32"/>
          <w:szCs w:val="32"/>
          <w:lang w:val="zh-CN" w:eastAsia="zh-CN"/>
        </w:rPr>
      </w:pPr>
      <w:r>
        <w:rPr>
          <w:rFonts w:ascii="仿宋_GB2312" w:eastAsia="仿宋_GB2312" w:cs="仿宋_GB2312"/>
          <w:sz w:val="32"/>
          <w:szCs w:val="32"/>
          <w:lang w:val="zh-CN" w:eastAsia="zh-CN"/>
        </w:rPr>
        <w:t>机构职能</w:t>
      </w:r>
      <w:r>
        <w:rPr>
          <w:rFonts w:ascii="仿宋_GB2312" w:eastAsia="仿宋_GB2312" w:cs="仿宋_GB2312" w:hint="eastAsia"/>
          <w:sz w:val="32"/>
          <w:szCs w:val="32"/>
          <w:lang w:val="zh-CN" w:eastAsia="zh-CN"/>
        </w:rPr>
        <w:t>。</w:t>
      </w:r>
    </w:p>
    <w:p>
      <w:pPr>
        <w:spacing w:line="600" w:lineRule="exact"/>
        <w:ind w:firstLineChars="200" w:firstLine="640"/>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公务服务中心</w:t>
      </w:r>
      <w:r>
        <w:rPr>
          <w:rFonts w:ascii="仿宋_GB2312" w:eastAsia="仿宋_GB2312" w:cs="仿宋_GB2312" w:hint="eastAsia"/>
          <w:sz w:val="32"/>
          <w:szCs w:val="32"/>
          <w:lang w:val="zh-CN" w:eastAsia="zh-CN"/>
        </w:rPr>
        <w:t>设下列内设机构：</w:t>
      </w:r>
    </w:p>
    <w:p>
      <w:pPr>
        <w:spacing w:line="600" w:lineRule="exact"/>
        <w:ind w:firstLineChars="200" w:firstLine="640"/>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办公室：承担机关政务工作，制定工作制度。负责文电、会务、机要、文印、档案、信息、保密、信访、督查、依法行政、绩效管理、政务公开、政府采购、内控管理、固定资产管理等机关日常运转工作。承担意识形态、精神文明、政务公开、综合性文稿起草和史志编纂、干部教育培训、离退休人员管理、车辆管理、网络信息化建设工作。承担本单位行政后勤、人事、机构编制工作。组织开展公务服务对外宣传交流有关事务。组织办理人大代表建议、政协委员提案办理工作。</w:t>
      </w:r>
    </w:p>
    <w:p>
      <w:pPr>
        <w:spacing w:line="600" w:lineRule="exact"/>
        <w:ind w:firstLineChars="200" w:firstLine="640"/>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公共机构节能及后勤服务股：负责会同相关部门提出县直机关周转房的需求及建设计划。负责起草县直机关后勤服务管理制度并实施。负责起草县直机关后勤服务项目和标准。负责县直机关周转房分配方案，做好周转房分配、管理、维修、维护、物业管理等后勤保障工作。负责县直机关周转房安全（制定防火、防盗等安全预案）、环境卫生、绿化、美化、水电气保障等工作。</w:t>
      </w:r>
    </w:p>
    <w:p>
      <w:pPr>
        <w:spacing w:line="600" w:lineRule="exact"/>
        <w:ind w:firstLineChars="200" w:firstLine="640"/>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负责推进、指导、协调、监督全县公共机构节能日常事务。会同有关部门起草县直机关公共机构节能规划、年度改造计划、规章制度并组织实施。会同相关部门起草公共机构能源消耗支出标准，确定县直机关公共机构能源消耗定额，组织全县公共机构开展能源统计和能耗审计、监测和评价考核日常工作。负责全县公共机构节能目标考核日常工作。指导各乡镇、县级各部门公共机构节能工作。</w:t>
      </w:r>
    </w:p>
    <w:p>
      <w:pPr>
        <w:spacing w:line="600" w:lineRule="exact"/>
        <w:ind w:firstLineChars="200" w:firstLine="640"/>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公务服务一股：承担中央、中央军委领导同志、全国人大常委会、省委、省人大常委会、州委、州人大常委会委员领导同志来县的服务保障；承担外省（区、市、州、县）党委代表团和党委领导干部、外省（区、市、州、县）人大常委会领导同志来县的服务保障；参与由县人大常委会办公室牵头对口接待全国人大、省人大、州人大常委会和外省（区、市、州、县）人大常委会领导干部来县的服务保障；会同县委有关部门、群团组织承担中央、省、州部委、群团组织领导干部来县的服务保障；负责或参与县委领导带队的代表团赴外省（区、市、州、县）考察的协调联络和服务保障；参与县委、县人大常委会大型会议、活动的接待服务保障工作。按照有关规定负责和参与中央、省、州巡视、检查、督查（督导、督察）、考察、调研、考核、审计等工作组来县的服务保障。负责县委交办的由县公务服务中心承担的外事接待和招商引资事项的服务保障。</w:t>
      </w:r>
    </w:p>
    <w:p>
      <w:pPr>
        <w:spacing w:line="600" w:lineRule="exact"/>
        <w:ind w:firstLineChars="200" w:firstLine="640"/>
        <w:rPr>
          <w:rFonts w:ascii="仿宋_GB2312" w:eastAsia="仿宋_GB2312" w:cs="仿宋_GB2312"/>
          <w:sz w:val="32"/>
          <w:szCs w:val="32"/>
          <w:lang w:val="zh-CN" w:eastAsia="zh-CN"/>
        </w:rPr>
      </w:pPr>
      <w:r>
        <w:rPr>
          <w:rFonts w:ascii="仿宋_GB2312" w:eastAsia="仿宋_GB2312" w:cs="仿宋_GB2312" w:hint="eastAsia"/>
          <w:sz w:val="32"/>
          <w:szCs w:val="32"/>
          <w:lang w:val="zh-CN" w:eastAsia="zh-CN"/>
        </w:rPr>
        <w:t>公务服务二股：承担国务院领导同志来县的服务保障；承担国务院部委、司（局）、处领导干部来县的服务保障；承担省政府领导同志和省级部门厅、处领导干部来县的服务保障；承担州政府领导和州级部门领导干部来县的服务保障；承担外省（区、市、州、县）政府代表团和政府领导干部来县的服务保障；负责或参与县政府领导带队的代表团赴外省（区、市、州、县）考察的协调联络和服务保障；负责或参与县政府大型会议、活动的接待服务保障工作；承担全国政协、省、州政协领导同志和最高人民法院、最高人民检察院、省高级人民法院、省人民检察院、州中级人民法院、州人民检察院领导同志及外省（区、市、州、县）政协领导干部来县的服务保障；按照有关规定负责或参与国务院巡视、检查、督查（督导、督察）、考察、调研、考核、审计等工作组来县的服务保障。负责县政府交办的由县公务服务中心承担的外事接待和招商引资事项的服务保障。</w:t>
      </w:r>
    </w:p>
    <w:p>
      <w:pPr>
        <w:spacing w:line="600" w:lineRule="exact"/>
        <w:ind w:firstLineChars="200" w:firstLine="640"/>
        <w:rPr>
          <w:rFonts w:ascii="仿宋_GB2312" w:eastAsia="仿宋_GB2312" w:cs="仿宋_GB2312" w:hint="eastAsia"/>
          <w:sz w:val="32"/>
          <w:szCs w:val="32"/>
          <w:lang w:val="zh-CN" w:eastAsia="zh-CN"/>
        </w:rPr>
      </w:pPr>
      <w:r>
        <w:rPr>
          <w:rFonts w:ascii="仿宋_GB2312" w:eastAsia="仿宋_GB2312" w:cs="仿宋_GB2312"/>
          <w:sz w:val="32"/>
          <w:szCs w:val="32"/>
          <w:lang w:val="zh-CN" w:eastAsia="zh-CN"/>
        </w:rPr>
        <w:t>人员概况</w:t>
      </w:r>
      <w:r>
        <w:rPr>
          <w:rFonts w:ascii="仿宋_GB2312" w:eastAsia="仿宋_GB2312" w:cs="仿宋_GB2312" w:hint="eastAsia"/>
          <w:sz w:val="32"/>
          <w:szCs w:val="32"/>
          <w:lang w:val="zh-CN" w:eastAsia="zh-CN"/>
        </w:rPr>
        <w:t>。</w:t>
      </w:r>
    </w:p>
    <w:p>
      <w:pPr>
        <w:spacing w:line="600" w:lineRule="exact"/>
        <w:ind w:firstLineChars="200" w:firstLine="640"/>
        <w:rPr>
          <w:rFonts w:ascii="仿宋_GB2312" w:eastAsia="仿宋_GB2312" w:cs="仿宋_GB2312"/>
          <w:sz w:val="32"/>
          <w:szCs w:val="32"/>
          <w:lang w:val="zh-CN" w:eastAsia="zh-CN"/>
        </w:rPr>
      </w:pPr>
      <w:r>
        <w:rPr>
          <w:rFonts w:ascii="仿宋_GB2312" w:eastAsia="仿宋_GB2312" w:cs="仿宋_GB2312"/>
          <w:sz w:val="32"/>
          <w:szCs w:val="32"/>
          <w:lang w:val="zh-CN" w:eastAsia="zh-CN"/>
        </w:rPr>
        <w:t>截至</w:t>
      </w:r>
      <w:r>
        <w:rPr>
          <w:rFonts w:ascii="仿宋_GB2312" w:eastAsia="仿宋_GB2312" w:cs="仿宋_GB2312" w:hint="eastAsia"/>
          <w:sz w:val="32"/>
          <w:szCs w:val="32"/>
          <w:lang w:val="zh-CN" w:eastAsia="zh-CN"/>
        </w:rPr>
        <w:t>2024</w:t>
      </w:r>
      <w:r>
        <w:rPr>
          <w:rFonts w:ascii="仿宋_GB2312" w:eastAsia="仿宋_GB2312" w:cs="仿宋_GB2312"/>
          <w:sz w:val="32"/>
          <w:szCs w:val="32"/>
          <w:lang w:val="zh-CN" w:eastAsia="zh-CN"/>
        </w:rPr>
        <w:t>年末，</w:t>
      </w:r>
      <w:r>
        <w:rPr>
          <w:rFonts w:ascii="仿宋_GB2312" w:eastAsia="仿宋_GB2312" w:cs="仿宋_GB2312" w:hint="eastAsia"/>
          <w:sz w:val="32"/>
          <w:szCs w:val="32"/>
          <w:lang w:val="zh-CN" w:eastAsia="zh-CN"/>
        </w:rPr>
        <w:t>独立编制单位机构数为 1个，财政供养人员编制为</w:t>
      </w:r>
      <w:r>
        <w:rPr>
          <w:rFonts w:ascii="仿宋_GB2312" w:eastAsia="仿宋_GB2312" w:cs="仿宋_GB2312" w:hint="eastAsia"/>
          <w:sz w:val="32"/>
          <w:szCs w:val="32"/>
          <w:lang w:val="en-US" w:eastAsia="zh-CN"/>
        </w:rPr>
        <w:t>8</w:t>
      </w:r>
      <w:r>
        <w:rPr>
          <w:rFonts w:ascii="仿宋_GB2312" w:eastAsia="仿宋_GB2312" w:cs="仿宋_GB2312" w:hint="eastAsia"/>
          <w:sz w:val="32"/>
          <w:szCs w:val="32"/>
          <w:lang w:val="zh-CN" w:eastAsia="zh-CN"/>
        </w:rPr>
        <w:t xml:space="preserve">名，其中行政编制 0名，行政工勤编制 0名，事业编制 </w:t>
      </w:r>
      <w:r>
        <w:rPr>
          <w:rFonts w:ascii="仿宋_GB2312" w:eastAsia="仿宋_GB2312" w:cs="仿宋_GB2312" w:hint="eastAsia"/>
          <w:sz w:val="32"/>
          <w:szCs w:val="32"/>
          <w:lang w:val="en-US" w:eastAsia="zh-CN"/>
        </w:rPr>
        <w:t>8</w:t>
      </w:r>
      <w:r>
        <w:rPr>
          <w:rFonts w:ascii="仿宋_GB2312" w:eastAsia="仿宋_GB2312" w:cs="仿宋_GB2312" w:hint="eastAsia"/>
          <w:sz w:val="32"/>
          <w:szCs w:val="32"/>
          <w:lang w:val="zh-CN" w:eastAsia="zh-CN"/>
        </w:rPr>
        <w:t xml:space="preserve">名。实际财政供养人员 </w:t>
      </w:r>
      <w:r>
        <w:rPr>
          <w:rFonts w:ascii="仿宋_GB2312" w:eastAsia="仿宋_GB2312" w:cs="仿宋_GB2312" w:hint="eastAsia"/>
          <w:sz w:val="32"/>
          <w:szCs w:val="32"/>
          <w:lang w:val="en-US" w:eastAsia="zh-CN"/>
        </w:rPr>
        <w:t>7</w:t>
      </w:r>
      <w:r>
        <w:rPr>
          <w:rFonts w:ascii="仿宋_GB2312" w:eastAsia="仿宋_GB2312" w:cs="仿宋_GB2312" w:hint="eastAsia"/>
          <w:sz w:val="32"/>
          <w:szCs w:val="32"/>
          <w:lang w:val="zh-CN" w:eastAsia="zh-CN"/>
        </w:rPr>
        <w:t>人，其中：行政 0人，行政工勤 0人， 事业</w:t>
      </w:r>
      <w:r>
        <w:rPr>
          <w:rFonts w:ascii="仿宋_GB2312" w:eastAsia="仿宋_GB2312" w:cs="仿宋_GB2312" w:hint="eastAsia"/>
          <w:sz w:val="32"/>
          <w:szCs w:val="32"/>
          <w:lang w:val="en-US" w:eastAsia="zh-CN"/>
        </w:rPr>
        <w:t>7</w:t>
      </w:r>
      <w:r>
        <w:rPr>
          <w:rFonts w:ascii="仿宋_GB2312" w:eastAsia="仿宋_GB2312" w:cs="仿宋_GB2312" w:hint="eastAsia"/>
          <w:sz w:val="32"/>
          <w:szCs w:val="32"/>
          <w:lang w:val="zh-CN" w:eastAsia="zh-CN"/>
        </w:rPr>
        <w:t xml:space="preserve"> 人。</w:t>
      </w:r>
    </w:p>
    <w:p>
      <w:pPr>
        <w:spacing w:line="600" w:lineRule="exact"/>
        <w:ind w:firstLineChars="200" w:firstLine="640"/>
        <w:rPr>
          <w:rFonts w:ascii="仿宋_GB2312" w:eastAsia="仿宋_GB2312" w:cs="仿宋_GB2312"/>
          <w:b/>
          <w:bCs/>
          <w:sz w:val="32"/>
          <w:szCs w:val="32"/>
          <w:lang w:eastAsia="zh-CN"/>
        </w:rPr>
      </w:pPr>
      <w:r>
        <w:rPr>
          <w:rFonts w:ascii="仿宋_GB2312" w:eastAsia="仿宋_GB2312" w:cs="仿宋_GB2312"/>
          <w:b/>
          <w:bCs/>
          <w:sz w:val="32"/>
          <w:szCs w:val="32"/>
          <w:lang w:eastAsia="zh-CN"/>
        </w:rPr>
        <w:t>二、部门资金收支情况</w:t>
      </w:r>
    </w:p>
    <w:p>
      <w:pPr>
        <w:spacing w:line="600" w:lineRule="exact"/>
        <w:ind w:firstLineChars="200" w:firstLine="640"/>
        <w:rPr>
          <w:rFonts w:ascii="仿宋_GB2312" w:eastAsia="仿宋_GB2312" w:cs="仿宋_GB2312"/>
          <w:b/>
          <w:bCs/>
          <w:sz w:val="32"/>
          <w:szCs w:val="32"/>
          <w:lang w:val="zh-CN" w:eastAsia="zh-CN"/>
        </w:rPr>
      </w:pPr>
      <w:r>
        <w:rPr>
          <w:rFonts w:ascii="仿宋_GB2312" w:eastAsia="仿宋_GB2312" w:cs="仿宋_GB2312"/>
          <w:b/>
          <w:bCs/>
          <w:sz w:val="32"/>
          <w:szCs w:val="32"/>
          <w:lang w:val="zh-CN" w:eastAsia="zh-CN"/>
        </w:rPr>
        <w:t>（一）</w:t>
      </w:r>
      <w:r>
        <w:rPr>
          <w:rFonts w:ascii="仿宋_GB2312" w:eastAsia="仿宋_GB2312" w:cs="仿宋_GB2312" w:hint="eastAsia"/>
          <w:b/>
          <w:bCs/>
          <w:sz w:val="32"/>
          <w:szCs w:val="32"/>
          <w:lang w:val="zh-CN" w:eastAsia="zh-CN"/>
        </w:rPr>
        <w:t>收入情况</w:t>
      </w:r>
      <w:r>
        <w:rPr>
          <w:rFonts w:ascii="仿宋_GB2312" w:eastAsia="仿宋_GB2312" w:cs="仿宋_GB2312"/>
          <w:b/>
          <w:bCs/>
          <w:sz w:val="32"/>
          <w:szCs w:val="32"/>
          <w:lang w:val="zh-CN" w:eastAsia="zh-CN"/>
        </w:rPr>
        <w:t>。</w:t>
      </w:r>
    </w:p>
    <w:p>
      <w:pPr>
        <w:spacing w:line="600" w:lineRule="exact"/>
        <w:ind w:firstLineChars="200" w:firstLine="640"/>
        <w:rPr>
          <w:rFonts w:ascii="仿宋_GB2312" w:eastAsia="仿宋_GB2312" w:cs="仿宋_GB2312"/>
          <w:sz w:val="32"/>
          <w:szCs w:val="32"/>
          <w:lang w:val="en-US" w:eastAsia="zh-CN"/>
        </w:rPr>
      </w:pPr>
      <w:r>
        <w:rPr>
          <w:rFonts w:ascii="仿宋_GB2312" w:eastAsia="仿宋_GB2312" w:cs="仿宋_GB2312" w:hint="eastAsia"/>
          <w:sz w:val="32"/>
          <w:szCs w:val="32"/>
          <w:lang w:val="zh-CN" w:eastAsia="zh-CN"/>
        </w:rPr>
        <w:t>公务服务中心2024年本年收入合计</w:t>
      </w:r>
      <w:r>
        <w:rPr>
          <w:rFonts w:ascii="仿宋_GB2312" w:eastAsia="仿宋_GB2312" w:cs="仿宋_GB2312" w:hint="eastAsia"/>
          <w:sz w:val="32"/>
          <w:szCs w:val="32"/>
          <w:lang w:val="en-US" w:eastAsia="zh-CN"/>
        </w:rPr>
        <w:t>366.73</w:t>
      </w:r>
      <w:r>
        <w:rPr>
          <w:rFonts w:ascii="仿宋_GB2312" w:eastAsia="仿宋_GB2312" w:cs="仿宋_GB2312" w:hint="eastAsia"/>
          <w:sz w:val="32"/>
          <w:szCs w:val="32"/>
          <w:lang w:val="zh-CN" w:eastAsia="zh-CN"/>
        </w:rPr>
        <w:t>万元，财政拨款收入</w:t>
      </w:r>
      <w:r>
        <w:rPr>
          <w:rFonts w:ascii="仿宋_GB2312" w:eastAsia="仿宋_GB2312" w:cs="仿宋_GB2312" w:hint="eastAsia"/>
          <w:sz w:val="32"/>
          <w:szCs w:val="32"/>
          <w:lang w:val="en-US" w:eastAsia="zh-CN"/>
        </w:rPr>
        <w:t>366.73</w:t>
      </w:r>
      <w:r>
        <w:rPr>
          <w:rFonts w:ascii="仿宋_GB2312" w:eastAsia="仿宋_GB2312" w:cs="仿宋_GB2312" w:hint="eastAsia"/>
          <w:sz w:val="32"/>
          <w:szCs w:val="32"/>
          <w:lang w:val="zh-CN" w:eastAsia="zh-CN"/>
        </w:rPr>
        <w:t>万元，年初结转和结余0万元：其中人员经费收入</w:t>
      </w:r>
      <w:r>
        <w:rPr>
          <w:rFonts w:ascii="仿宋_GB2312" w:eastAsia="仿宋_GB2312" w:cs="仿宋_GB2312" w:hint="eastAsia"/>
          <w:sz w:val="32"/>
          <w:szCs w:val="32"/>
          <w:lang w:val="en-US" w:eastAsia="zh-CN"/>
        </w:rPr>
        <w:t>143.65</w:t>
      </w:r>
      <w:r>
        <w:rPr>
          <w:rFonts w:ascii="仿宋_GB2312" w:eastAsia="仿宋_GB2312" w:cs="仿宋_GB2312" w:hint="eastAsia"/>
          <w:sz w:val="32"/>
          <w:szCs w:val="32"/>
          <w:lang w:val="zh-CN" w:eastAsia="zh-CN"/>
        </w:rPr>
        <w:t>万元、公用经费</w:t>
      </w:r>
      <w:r>
        <w:rPr>
          <w:rFonts w:ascii="仿宋_GB2312" w:eastAsia="仿宋_GB2312" w:cs="仿宋_GB2312" w:hint="eastAsia"/>
          <w:sz w:val="32"/>
          <w:szCs w:val="32"/>
          <w:lang w:val="en-US" w:eastAsia="zh-CN"/>
        </w:rPr>
        <w:t>28.59</w:t>
      </w:r>
      <w:r>
        <w:rPr>
          <w:rFonts w:ascii="仿宋_GB2312" w:eastAsia="仿宋_GB2312" w:cs="仿宋_GB2312" w:hint="eastAsia"/>
          <w:sz w:val="32"/>
          <w:szCs w:val="32"/>
          <w:lang w:val="zh-CN" w:eastAsia="zh-CN"/>
        </w:rPr>
        <w:t>万元、项目经费收入</w:t>
      </w:r>
      <w:r>
        <w:rPr>
          <w:rFonts w:ascii="仿宋_GB2312" w:eastAsia="仿宋_GB2312" w:cs="仿宋_GB2312" w:hint="eastAsia"/>
          <w:sz w:val="32"/>
          <w:szCs w:val="32"/>
          <w:lang w:val="en-US" w:eastAsia="zh-CN"/>
        </w:rPr>
        <w:t>194.49</w:t>
      </w:r>
      <w:r>
        <w:rPr>
          <w:rFonts w:ascii="仿宋_GB2312" w:eastAsia="仿宋_GB2312" w:cs="仿宋_GB2312" w:hint="eastAsia"/>
          <w:sz w:val="32"/>
          <w:szCs w:val="32"/>
          <w:lang w:val="zh-CN" w:eastAsia="zh-CN"/>
        </w:rPr>
        <w:t>万元。</w:t>
      </w:r>
    </w:p>
    <w:p>
      <w:pPr>
        <w:spacing w:line="600" w:lineRule="exact"/>
        <w:ind w:firstLineChars="200" w:firstLine="640"/>
        <w:rPr>
          <w:rFonts w:ascii="仿宋_GB2312" w:eastAsia="仿宋_GB2312" w:cs="仿宋_GB2312"/>
          <w:sz w:val="32"/>
          <w:szCs w:val="32"/>
          <w:lang w:val="zh-CN" w:eastAsia="zh-CN"/>
        </w:rPr>
      </w:pPr>
      <w:r>
        <w:rPr>
          <w:rFonts w:ascii="仿宋_GB2312" w:eastAsia="仿宋_GB2312" w:cs="仿宋_GB2312" w:hint="eastAsia"/>
          <w:sz w:val="32"/>
          <w:szCs w:val="32"/>
          <w:lang w:val="zh-CN" w:eastAsia="zh-CN"/>
        </w:rPr>
        <w:t>支出情况</w:t>
      </w:r>
      <w:r>
        <w:rPr>
          <w:rFonts w:ascii="仿宋_GB2312" w:eastAsia="仿宋_GB2312" w:cs="仿宋_GB2312"/>
          <w:sz w:val="32"/>
          <w:szCs w:val="32"/>
          <w:lang w:val="zh-CN" w:eastAsia="zh-CN"/>
        </w:rPr>
        <w:t>。</w:t>
      </w:r>
    </w:p>
    <w:p>
      <w:pPr>
        <w:spacing w:line="600" w:lineRule="exact"/>
        <w:ind w:firstLineChars="200" w:firstLine="640"/>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金川县公务服务中心2024年一般公共预算财政拨款基本支出</w:t>
      </w:r>
      <w:r>
        <w:rPr>
          <w:rFonts w:ascii="仿宋_GB2312" w:eastAsia="仿宋_GB2312" w:cs="仿宋_GB2312" w:hint="eastAsia"/>
          <w:sz w:val="32"/>
          <w:szCs w:val="32"/>
          <w:lang w:val="en-US" w:eastAsia="zh-CN"/>
        </w:rPr>
        <w:t>366.73万元</w:t>
      </w:r>
      <w:r>
        <w:rPr>
          <w:rFonts w:ascii="仿宋_GB2312" w:eastAsia="仿宋_GB2312" w:cs="仿宋_GB2312" w:hint="eastAsia"/>
          <w:sz w:val="32"/>
          <w:szCs w:val="32"/>
          <w:lang w:val="zh-CN" w:eastAsia="zh-CN"/>
        </w:rPr>
        <w:t>，其中：</w:t>
      </w:r>
    </w:p>
    <w:p>
      <w:pPr>
        <w:spacing w:line="600" w:lineRule="exact"/>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人员经费</w:t>
      </w:r>
      <w:r>
        <w:rPr>
          <w:rFonts w:ascii="仿宋_GB2312" w:eastAsia="仿宋_GB2312" w:cs="仿宋_GB2312" w:hint="eastAsia"/>
          <w:sz w:val="32"/>
          <w:szCs w:val="32"/>
          <w:lang w:val="en-US" w:eastAsia="zh-CN"/>
        </w:rPr>
        <w:t>143.65</w:t>
      </w:r>
      <w:r>
        <w:rPr>
          <w:rFonts w:ascii="仿宋_GB2312" w:eastAsia="仿宋_GB2312" w:cs="仿宋_GB2312" w:hint="eastAsia"/>
          <w:sz w:val="32"/>
          <w:szCs w:val="32"/>
          <w:lang w:eastAsia="zh-CN"/>
        </w:rPr>
        <w:t>万元，主要包括：基本工资</w:t>
      </w:r>
      <w:r>
        <w:rPr>
          <w:rFonts w:ascii="仿宋_GB2312" w:eastAsia="仿宋_GB2312" w:cs="仿宋_GB2312" w:hint="eastAsia"/>
          <w:sz w:val="32"/>
          <w:szCs w:val="32"/>
          <w:lang w:val="en-US" w:eastAsia="zh-CN"/>
        </w:rPr>
        <w:t>25.69万元</w:t>
      </w:r>
      <w:r>
        <w:rPr>
          <w:rFonts w:ascii="仿宋_GB2312" w:eastAsia="仿宋_GB2312" w:cs="仿宋_GB2312" w:hint="eastAsia"/>
          <w:sz w:val="32"/>
          <w:szCs w:val="32"/>
          <w:lang w:eastAsia="zh-CN"/>
        </w:rPr>
        <w:t>、津贴补贴</w:t>
      </w:r>
      <w:r>
        <w:rPr>
          <w:rFonts w:ascii="仿宋_GB2312" w:eastAsia="仿宋_GB2312" w:cs="仿宋_GB2312" w:hint="eastAsia"/>
          <w:sz w:val="32"/>
          <w:szCs w:val="32"/>
          <w:lang w:val="en-US" w:eastAsia="zh-CN"/>
        </w:rPr>
        <w:t>14.72万元</w:t>
      </w:r>
      <w:r>
        <w:rPr>
          <w:rFonts w:ascii="仿宋_GB2312" w:eastAsia="仿宋_GB2312" w:cs="仿宋_GB2312" w:hint="eastAsia"/>
          <w:sz w:val="32"/>
          <w:szCs w:val="32"/>
          <w:lang w:eastAsia="zh-CN"/>
        </w:rPr>
        <w:t>、奖金</w:t>
      </w:r>
      <w:r>
        <w:rPr>
          <w:rFonts w:ascii="仿宋_GB2312" w:eastAsia="仿宋_GB2312" w:cs="仿宋_GB2312" w:hint="eastAsia"/>
          <w:sz w:val="32"/>
          <w:szCs w:val="32"/>
          <w:lang w:val="en-US" w:eastAsia="zh-CN"/>
        </w:rPr>
        <w:t>37.91万元</w:t>
      </w:r>
      <w:r>
        <w:rPr>
          <w:rFonts w:ascii="仿宋_GB2312" w:eastAsia="仿宋_GB2312" w:cs="仿宋_GB2312" w:hint="eastAsia"/>
          <w:sz w:val="32"/>
          <w:szCs w:val="32"/>
          <w:lang w:eastAsia="zh-CN"/>
        </w:rPr>
        <w:t>、伙食补助费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、绩效工资</w:t>
      </w:r>
      <w:r>
        <w:rPr>
          <w:rFonts w:ascii="仿宋_GB2312" w:eastAsia="仿宋_GB2312" w:cs="仿宋_GB2312" w:hint="eastAsia"/>
          <w:sz w:val="32"/>
          <w:szCs w:val="32"/>
          <w:lang w:val="en-US" w:eastAsia="zh-CN"/>
        </w:rPr>
        <w:t>22.24万元、</w:t>
      </w:r>
      <w:r>
        <w:rPr>
          <w:rFonts w:ascii="仿宋_GB2312" w:eastAsia="仿宋_GB2312" w:cs="仿宋_GB2312" w:hint="eastAsia"/>
          <w:sz w:val="32"/>
          <w:szCs w:val="32"/>
          <w:lang w:eastAsia="zh-CN"/>
        </w:rPr>
        <w:t>机关事业单位基本养老保险缴费</w:t>
      </w:r>
      <w:r>
        <w:rPr>
          <w:rFonts w:ascii="仿宋_GB2312" w:eastAsia="仿宋_GB2312" w:cs="仿宋_GB2312" w:hint="eastAsia"/>
          <w:sz w:val="32"/>
          <w:szCs w:val="32"/>
          <w:lang w:val="en-US" w:eastAsia="zh-CN"/>
        </w:rPr>
        <w:t>14.06万元</w:t>
      </w:r>
      <w:r>
        <w:rPr>
          <w:rFonts w:ascii="仿宋_GB2312" w:eastAsia="仿宋_GB2312" w:cs="仿宋_GB2312" w:hint="eastAsia"/>
          <w:sz w:val="32"/>
          <w:szCs w:val="32"/>
          <w:lang w:eastAsia="zh-CN"/>
        </w:rPr>
        <w:t>、职业年金缴费</w:t>
      </w:r>
      <w:r>
        <w:rPr>
          <w:rFonts w:ascii="仿宋_GB2312" w:eastAsia="仿宋_GB2312" w:cs="仿宋_GB2312" w:hint="eastAsia"/>
          <w:sz w:val="32"/>
          <w:szCs w:val="32"/>
          <w:lang w:val="en-US" w:eastAsia="zh-CN"/>
        </w:rPr>
        <w:t>7.03万元</w:t>
      </w:r>
      <w:r>
        <w:rPr>
          <w:rFonts w:ascii="仿宋_GB2312" w:eastAsia="仿宋_GB2312" w:cs="仿宋_GB2312" w:hint="eastAsia"/>
          <w:sz w:val="32"/>
          <w:szCs w:val="32"/>
          <w:lang w:eastAsia="zh-CN"/>
        </w:rPr>
        <w:t>、生活补助</w:t>
      </w:r>
      <w:r>
        <w:rPr>
          <w:rFonts w:ascii="仿宋_GB2312" w:eastAsia="仿宋_GB2312" w:cs="仿宋_GB2312" w:hint="eastAsia"/>
          <w:sz w:val="32"/>
          <w:szCs w:val="32"/>
          <w:lang w:val="en-US" w:eastAsia="zh-CN"/>
        </w:rPr>
        <w:t>0万元、职工基本医疗保险缴费6.81万元、公务员医疗补助缴费0万元、</w:t>
      </w:r>
      <w:r>
        <w:rPr>
          <w:rFonts w:ascii="仿宋_GB2312" w:eastAsia="仿宋_GB2312" w:cs="仿宋_GB2312" w:hint="eastAsia"/>
          <w:sz w:val="32"/>
          <w:szCs w:val="32"/>
          <w:lang w:eastAsia="zh-CN"/>
        </w:rPr>
        <w:t>其他社会保障缴费</w:t>
      </w:r>
      <w:r>
        <w:rPr>
          <w:rFonts w:ascii="仿宋_GB2312" w:eastAsia="仿宋_GB2312" w:cs="仿宋_GB2312" w:hint="eastAsia"/>
          <w:sz w:val="32"/>
          <w:szCs w:val="32"/>
          <w:lang w:val="en-US" w:eastAsia="zh-CN"/>
        </w:rPr>
        <w:t>3.76万元</w:t>
      </w:r>
      <w:r>
        <w:rPr>
          <w:rFonts w:ascii="仿宋_GB2312" w:eastAsia="仿宋_GB2312" w:cs="仿宋_GB2312" w:hint="eastAsia"/>
          <w:sz w:val="32"/>
          <w:szCs w:val="32"/>
          <w:lang w:eastAsia="zh-CN"/>
        </w:rPr>
        <w:t>、其他工资福利支出</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、抚恤金</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住房公积金</w:t>
      </w:r>
      <w:r>
        <w:rPr>
          <w:rFonts w:ascii="仿宋_GB2312" w:eastAsia="仿宋_GB2312" w:cs="仿宋_GB2312" w:hint="eastAsia"/>
          <w:sz w:val="32"/>
          <w:szCs w:val="32"/>
          <w:lang w:val="en-US" w:eastAsia="zh-CN"/>
        </w:rPr>
        <w:t>11.42万元</w:t>
      </w:r>
      <w:r>
        <w:rPr>
          <w:rFonts w:ascii="仿宋_GB2312" w:eastAsia="仿宋_GB2312" w:cs="仿宋_GB2312" w:hint="eastAsia"/>
          <w:sz w:val="32"/>
          <w:szCs w:val="32"/>
          <w:lang w:eastAsia="zh-CN"/>
        </w:rPr>
        <w:t>、其他对个人和家庭的补助支出</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等。</w:t>
      </w:r>
    </w:p>
    <w:p>
      <w:pPr>
        <w:spacing w:line="600" w:lineRule="exact"/>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公用经费</w:t>
      </w:r>
      <w:r>
        <w:rPr>
          <w:rFonts w:ascii="仿宋_GB2312" w:eastAsia="仿宋_GB2312" w:cs="仿宋_GB2312" w:hint="eastAsia"/>
          <w:sz w:val="32"/>
          <w:szCs w:val="32"/>
          <w:lang w:val="en-US" w:eastAsia="zh-CN"/>
        </w:rPr>
        <w:t>28.59</w:t>
      </w:r>
      <w:r>
        <w:rPr>
          <w:rFonts w:ascii="仿宋_GB2312" w:eastAsia="仿宋_GB2312" w:cs="仿宋_GB2312" w:hint="eastAsia"/>
          <w:sz w:val="32"/>
          <w:szCs w:val="32"/>
          <w:lang w:eastAsia="zh-CN"/>
        </w:rPr>
        <w:t>万元，主要包括：办公费</w:t>
      </w:r>
      <w:r>
        <w:rPr>
          <w:rFonts w:ascii="仿宋_GB2312" w:eastAsia="仿宋_GB2312" w:cs="仿宋_GB2312" w:hint="eastAsia"/>
          <w:sz w:val="32"/>
          <w:szCs w:val="32"/>
          <w:lang w:val="en-US" w:eastAsia="zh-CN"/>
        </w:rPr>
        <w:t>2.67万元</w:t>
      </w:r>
      <w:r>
        <w:rPr>
          <w:rFonts w:ascii="仿宋_GB2312" w:eastAsia="仿宋_GB2312" w:cs="仿宋_GB2312" w:hint="eastAsia"/>
          <w:sz w:val="32"/>
          <w:szCs w:val="32"/>
          <w:lang w:eastAsia="zh-CN"/>
        </w:rPr>
        <w:t>、手续费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水费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、电费</w:t>
      </w:r>
      <w:r>
        <w:rPr>
          <w:rFonts w:ascii="仿宋_GB2312" w:eastAsia="仿宋_GB2312" w:cs="仿宋_GB2312" w:hint="eastAsia"/>
          <w:sz w:val="32"/>
          <w:szCs w:val="32"/>
          <w:lang w:val="en-US" w:eastAsia="zh-CN"/>
        </w:rPr>
        <w:t>0.80万元</w:t>
      </w:r>
      <w:r>
        <w:rPr>
          <w:rFonts w:ascii="仿宋_GB2312" w:eastAsia="仿宋_GB2312" w:cs="仿宋_GB2312" w:hint="eastAsia"/>
          <w:sz w:val="32"/>
          <w:szCs w:val="32"/>
          <w:lang w:eastAsia="zh-CN"/>
        </w:rPr>
        <w:t>、邮电费</w:t>
      </w:r>
      <w:r>
        <w:rPr>
          <w:rFonts w:ascii="仿宋_GB2312" w:eastAsia="仿宋_GB2312" w:cs="仿宋_GB2312" w:hint="eastAsia"/>
          <w:sz w:val="32"/>
          <w:szCs w:val="32"/>
          <w:lang w:val="en-US" w:eastAsia="zh-CN"/>
        </w:rPr>
        <w:t>0.80万元</w:t>
      </w:r>
      <w:r>
        <w:rPr>
          <w:rFonts w:ascii="仿宋_GB2312" w:eastAsia="仿宋_GB2312" w:cs="仿宋_GB2312" w:hint="eastAsia"/>
          <w:sz w:val="32"/>
          <w:szCs w:val="32"/>
          <w:lang w:eastAsia="zh-CN"/>
        </w:rPr>
        <w:t>、物业管理费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、差旅费</w:t>
      </w:r>
      <w:r>
        <w:rPr>
          <w:rFonts w:ascii="仿宋_GB2312" w:eastAsia="仿宋_GB2312" w:cs="仿宋_GB2312" w:hint="eastAsia"/>
          <w:sz w:val="32"/>
          <w:szCs w:val="32"/>
          <w:lang w:val="en-US" w:eastAsia="zh-CN"/>
        </w:rPr>
        <w:t>3.78万元</w:t>
      </w:r>
      <w:r>
        <w:rPr>
          <w:rFonts w:ascii="仿宋_GB2312" w:eastAsia="仿宋_GB2312" w:cs="仿宋_GB2312" w:hint="eastAsia"/>
          <w:sz w:val="32"/>
          <w:szCs w:val="32"/>
          <w:lang w:eastAsia="zh-CN"/>
        </w:rPr>
        <w:t>、因公出国（境）费用</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、维修（护）费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、租赁费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、会议费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、培训费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、公务接待费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、劳务费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福利费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、公务用车运行维护费</w:t>
      </w:r>
      <w:r>
        <w:rPr>
          <w:rFonts w:ascii="仿宋_GB2312" w:eastAsia="仿宋_GB2312" w:cs="仿宋_GB2312" w:hint="eastAsia"/>
          <w:sz w:val="32"/>
          <w:szCs w:val="32"/>
          <w:lang w:val="en-US" w:eastAsia="zh-CN"/>
        </w:rPr>
        <w:t>0万元、其他交通费用20.54万元、其他商品和服务支出0万元、办公设备购置0万元、无形资产购置0万元</w:t>
      </w:r>
      <w:r>
        <w:rPr>
          <w:rFonts w:ascii="仿宋_GB2312" w:eastAsia="仿宋_GB2312" w:cs="仿宋_GB2312" w:hint="eastAsia"/>
          <w:sz w:val="32"/>
          <w:szCs w:val="32"/>
          <w:lang w:eastAsia="zh-CN"/>
        </w:rPr>
        <w:t>等。</w:t>
      </w:r>
    </w:p>
    <w:p>
      <w:pPr>
        <w:spacing w:line="600" w:lineRule="exact"/>
        <w:ind w:firstLineChars="200" w:firstLine="640"/>
        <w:rPr>
          <w:rFonts w:ascii="Times New Roman" w:cs="Times New Roman" w:hAnsi="Times New Roman" w:hint="eastAsia"/>
          <w:szCs w:val="32"/>
          <w:lang w:val="zh-CN" w:eastAsia="zh-CN"/>
        </w:rPr>
      </w:pPr>
      <w:r>
        <w:rPr>
          <w:rFonts w:ascii="仿宋_GB2312" w:eastAsia="仿宋_GB2312" w:cs="仿宋_GB2312" w:hint="eastAsia"/>
          <w:sz w:val="32"/>
          <w:szCs w:val="32"/>
          <w:lang w:val="en-US" w:eastAsia="zh-CN"/>
        </w:rPr>
        <w:t>2024年一般公共预算财政拨款项目支出194.49万元，其中：公务接待费178.49万元，委托业务费2.58万元；劳务费7.92万元；维修（维护）费5.50万元。</w:t>
      </w:r>
    </w:p>
    <w:p>
      <w:pPr>
        <w:spacing w:line="600" w:lineRule="exact"/>
        <w:ind w:firstLineChars="200" w:firstLine="640"/>
        <w:rPr>
          <w:rFonts w:ascii="仿宋_GB2312" w:eastAsia="仿宋_GB2312" w:cs="仿宋_GB2312" w:hint="eastAsia"/>
          <w:sz w:val="32"/>
          <w:szCs w:val="32"/>
          <w:lang w:eastAsia="zh-CN"/>
        </w:rPr>
      </w:pPr>
      <w:r>
        <w:rPr>
          <w:rFonts w:ascii="仿宋_GB2312" w:eastAsia="仿宋_GB2312" w:cs="仿宋_GB2312"/>
          <w:sz w:val="32"/>
          <w:szCs w:val="32"/>
          <w:lang w:eastAsia="zh-CN"/>
        </w:rPr>
        <w:t>结余分配和结转结余情况</w:t>
      </w:r>
      <w:r>
        <w:rPr>
          <w:rFonts w:ascii="仿宋_GB2312" w:eastAsia="仿宋_GB2312" w:cs="仿宋_GB2312" w:hint="eastAsia"/>
          <w:sz w:val="32"/>
          <w:szCs w:val="32"/>
          <w:lang w:eastAsia="zh-CN"/>
        </w:rPr>
        <w:t>。</w:t>
      </w:r>
    </w:p>
    <w:p>
      <w:pPr>
        <w:spacing w:line="600" w:lineRule="exact"/>
        <w:ind w:firstLineChars="200" w:firstLine="640"/>
        <w:rPr>
          <w:rFonts w:ascii="仿宋_GB2312" w:eastAsia="仿宋_GB2312" w:cs="仿宋_GB2312"/>
          <w:sz w:val="32"/>
          <w:szCs w:val="32"/>
          <w:lang w:val="zh-CN" w:eastAsia="zh-CN"/>
        </w:rPr>
      </w:pPr>
      <w:r>
        <w:rPr>
          <w:rFonts w:ascii="仿宋_GB2312" w:eastAsia="仿宋_GB2312" w:cs="仿宋_GB2312" w:hint="eastAsia"/>
          <w:sz w:val="32"/>
          <w:szCs w:val="32"/>
          <w:lang w:val="en-US" w:eastAsia="zh-CN"/>
        </w:rPr>
        <w:t>公务服务中心2024年决算报表</w:t>
      </w:r>
      <w:r>
        <w:rPr>
          <w:rFonts w:ascii="仿宋_GB2312" w:eastAsia="仿宋_GB2312" w:cs="仿宋_GB2312"/>
          <w:sz w:val="32"/>
          <w:szCs w:val="32"/>
          <w:lang w:val="en-US" w:eastAsia="zh-CN"/>
        </w:rPr>
        <w:t>结转结余</w:t>
      </w:r>
      <w:r>
        <w:rPr>
          <w:rFonts w:ascii="仿宋_GB2312" w:eastAsia="仿宋_GB2312" w:cs="仿宋_GB2312" w:hint="eastAsia"/>
          <w:sz w:val="32"/>
          <w:szCs w:val="32"/>
          <w:lang w:val="en-US" w:eastAsia="zh-CN"/>
        </w:rPr>
        <w:t>0万元</w:t>
      </w:r>
      <w:r>
        <w:rPr>
          <w:rFonts w:ascii="仿宋_GB2312" w:eastAsia="仿宋_GB2312" w:cs="仿宋_GB2312"/>
          <w:sz w:val="32"/>
          <w:szCs w:val="32"/>
          <w:lang w:val="en-US" w:eastAsia="zh-CN"/>
        </w:rPr>
        <w:t>。</w:t>
      </w:r>
    </w:p>
    <w:p>
      <w:pPr>
        <w:spacing w:line="600" w:lineRule="exact"/>
        <w:ind w:firstLineChars="200" w:firstLine="640"/>
        <w:rPr>
          <w:rFonts w:ascii="仿宋_GB2312" w:eastAsia="仿宋_GB2312" w:cs="仿宋_GB2312"/>
          <w:b/>
          <w:bCs/>
          <w:sz w:val="32"/>
          <w:szCs w:val="32"/>
          <w:lang w:eastAsia="zh-CN"/>
        </w:rPr>
      </w:pPr>
      <w:r>
        <w:rPr>
          <w:rFonts w:ascii="仿宋_GB2312" w:eastAsia="仿宋_GB2312" w:cs="仿宋_GB2312"/>
          <w:b/>
          <w:bCs/>
          <w:sz w:val="32"/>
          <w:szCs w:val="32"/>
          <w:lang w:eastAsia="zh-CN"/>
        </w:rPr>
        <w:t>三、部门预算绩效分析</w:t>
      </w:r>
    </w:p>
    <w:p>
      <w:pPr>
        <w:spacing w:line="600" w:lineRule="exact"/>
        <w:ind w:firstLineChars="200" w:firstLine="640"/>
        <w:rPr>
          <w:rFonts w:ascii="仿宋_GB2312" w:eastAsia="仿宋_GB2312" w:cs="仿宋_GB2312"/>
          <w:b/>
          <w:bCs/>
          <w:sz w:val="32"/>
          <w:szCs w:val="32"/>
          <w:lang w:val="zh-CN" w:eastAsia="zh-CN"/>
        </w:rPr>
      </w:pPr>
      <w:r>
        <w:rPr>
          <w:rFonts w:ascii="仿宋_GB2312" w:eastAsia="仿宋_GB2312" w:cs="仿宋_GB2312"/>
          <w:b/>
          <w:bCs/>
          <w:sz w:val="32"/>
          <w:szCs w:val="32"/>
          <w:lang w:val="zh-CN" w:eastAsia="zh-CN"/>
        </w:rPr>
        <w:t>（一）</w:t>
      </w:r>
      <w:r>
        <w:rPr>
          <w:rFonts w:ascii="仿宋_GB2312" w:eastAsia="仿宋_GB2312" w:cs="仿宋_GB2312" w:hint="eastAsia"/>
          <w:b/>
          <w:bCs/>
          <w:sz w:val="32"/>
          <w:szCs w:val="32"/>
          <w:lang w:val="zh-CN" w:eastAsia="zh-CN"/>
        </w:rPr>
        <w:t>部门预算</w:t>
      </w:r>
      <w:r>
        <w:rPr>
          <w:rFonts w:ascii="仿宋_GB2312" w:eastAsia="仿宋_GB2312" w:cs="仿宋_GB2312"/>
          <w:b/>
          <w:bCs/>
          <w:sz w:val="32"/>
          <w:szCs w:val="32"/>
          <w:lang w:val="zh-CN" w:eastAsia="zh-CN"/>
        </w:rPr>
        <w:t>总体绩效分析。</w:t>
      </w:r>
    </w:p>
    <w:p>
      <w:pPr>
        <w:spacing w:line="600" w:lineRule="exact"/>
        <w:ind w:firstLineChars="200" w:firstLine="640"/>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1.</w:t>
      </w:r>
      <w:r>
        <w:rPr>
          <w:rFonts w:ascii="仿宋_GB2312" w:eastAsia="仿宋_GB2312" w:cs="仿宋_GB2312" w:hint="eastAsia"/>
          <w:sz w:val="32"/>
          <w:szCs w:val="32"/>
          <w:lang w:val="zh-CN" w:eastAsia="zh-CN"/>
        </w:rPr>
        <w:t>履职效能。一是完成了公务接待任务，二是完成了机构节能工作；三是准确及时支付人员经费、缴纳各类保险、公务费等工作。综合自评得分15分。</w:t>
      </w:r>
    </w:p>
    <w:p>
      <w:pPr>
        <w:spacing w:line="600" w:lineRule="exact"/>
        <w:ind w:firstLineChars="200" w:firstLine="640"/>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2.</w:t>
      </w:r>
      <w:r>
        <w:rPr>
          <w:rFonts w:ascii="仿宋_GB2312" w:eastAsia="仿宋_GB2312" w:cs="仿宋_GB2312"/>
          <w:sz w:val="32"/>
          <w:szCs w:val="32"/>
          <w:lang w:val="zh-CN" w:eastAsia="zh-CN"/>
        </w:rPr>
        <w:t>预算管理</w:t>
      </w:r>
      <w:r>
        <w:rPr>
          <w:rFonts w:ascii="仿宋_GB2312" w:eastAsia="仿宋_GB2312" w:cs="仿宋_GB2312" w:hint="eastAsia"/>
          <w:sz w:val="32"/>
          <w:szCs w:val="32"/>
          <w:lang w:val="zh-CN" w:eastAsia="zh-CN"/>
        </w:rPr>
        <w:t>。预算编制质量严格按要求编制年初部门预算，年初预算编制的科学性和准确性，自评得</w:t>
      </w:r>
      <w:r>
        <w:rPr>
          <w:rFonts w:ascii="仿宋_GB2312" w:eastAsia="仿宋_GB2312" w:cs="仿宋_GB2312" w:hint="eastAsia"/>
          <w:sz w:val="32"/>
          <w:szCs w:val="32"/>
          <w:lang w:val="en-US" w:eastAsia="zh-CN"/>
        </w:rPr>
        <w:t>8</w:t>
      </w:r>
      <w:r>
        <w:rPr>
          <w:rFonts w:ascii="仿宋_GB2312" w:eastAsia="仿宋_GB2312" w:cs="仿宋_GB2312" w:hint="eastAsia"/>
          <w:sz w:val="32"/>
          <w:szCs w:val="32"/>
          <w:lang w:val="zh-CN" w:eastAsia="zh-CN"/>
        </w:rPr>
        <w:t>分；单位收入统筹完整、有效、执行率高，自评得4分；支出执行进度严格按照执行进度进行，但公务接待费支出影响了整个资金支付进度，自评得</w:t>
      </w:r>
      <w:r>
        <w:rPr>
          <w:rFonts w:ascii="仿宋_GB2312" w:eastAsia="仿宋_GB2312" w:cs="仿宋_GB2312" w:hint="eastAsia"/>
          <w:sz w:val="32"/>
          <w:szCs w:val="32"/>
          <w:lang w:val="en-US" w:eastAsia="zh-CN"/>
        </w:rPr>
        <w:t>4</w:t>
      </w:r>
      <w:r>
        <w:rPr>
          <w:rFonts w:ascii="仿宋_GB2312" w:eastAsia="仿宋_GB2312" w:cs="仿宋_GB2312" w:hint="eastAsia"/>
          <w:sz w:val="32"/>
          <w:szCs w:val="32"/>
          <w:lang w:val="zh-CN" w:eastAsia="zh-CN"/>
        </w:rPr>
        <w:t>分，无预算年终结余，此项自评得</w:t>
      </w:r>
      <w:r>
        <w:rPr>
          <w:rFonts w:ascii="仿宋_GB2312" w:eastAsia="仿宋_GB2312" w:cs="仿宋_GB2312" w:hint="eastAsia"/>
          <w:sz w:val="32"/>
          <w:szCs w:val="32"/>
          <w:lang w:val="en-US" w:eastAsia="zh-CN"/>
        </w:rPr>
        <w:t>2</w:t>
      </w:r>
      <w:r>
        <w:rPr>
          <w:rFonts w:ascii="仿宋_GB2312" w:eastAsia="仿宋_GB2312" w:cs="仿宋_GB2312" w:hint="eastAsia"/>
          <w:sz w:val="32"/>
          <w:szCs w:val="32"/>
          <w:lang w:val="zh-CN" w:eastAsia="zh-CN"/>
        </w:rPr>
        <w:t>分；单位严控“三公”经费、会议、培训、差旅、办节办展、办公设备购置、信息网络及软件购置更新、课题经费等8项一般性支出，“三公”经费均与上年预算数持平，无压减，自评得</w:t>
      </w:r>
      <w:r>
        <w:rPr>
          <w:rFonts w:ascii="仿宋_GB2312" w:eastAsia="仿宋_GB2312" w:cs="仿宋_GB2312" w:hint="eastAsia"/>
          <w:sz w:val="32"/>
          <w:szCs w:val="32"/>
          <w:lang w:val="en-US" w:eastAsia="zh-CN"/>
        </w:rPr>
        <w:t>5</w:t>
      </w:r>
      <w:r>
        <w:rPr>
          <w:rFonts w:ascii="仿宋_GB2312" w:eastAsia="仿宋_GB2312" w:cs="仿宋_GB2312" w:hint="eastAsia"/>
          <w:sz w:val="32"/>
          <w:szCs w:val="32"/>
          <w:lang w:val="zh-CN" w:eastAsia="zh-CN"/>
        </w:rPr>
        <w:t>分。</w:t>
      </w:r>
    </w:p>
    <w:p>
      <w:pPr>
        <w:spacing w:line="60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3.</w:t>
      </w:r>
      <w:r>
        <w:rPr>
          <w:rFonts w:ascii="仿宋_GB2312" w:eastAsia="仿宋_GB2312" w:cs="仿宋_GB2312"/>
          <w:sz w:val="32"/>
          <w:szCs w:val="32"/>
          <w:lang w:val="zh-CN" w:eastAsia="zh-CN"/>
        </w:rPr>
        <w:t>财务管理</w:t>
      </w:r>
      <w:r>
        <w:rPr>
          <w:rFonts w:ascii="仿宋_GB2312" w:eastAsia="仿宋_GB2312" w:cs="仿宋_GB2312" w:hint="eastAsia"/>
          <w:sz w:val="32"/>
          <w:szCs w:val="32"/>
          <w:lang w:val="zh-CN" w:eastAsia="zh-CN"/>
        </w:rPr>
        <w:t>。单位内部按照要求制定了内部财务管理制度，并严格遵照执行，自评得3分；合理设置了财务工作岗位，明确职责权限，并严格实行不相容岗位分离，自评得2分；本部门资金使用完全符合相关财务管理制度规定，不存在违规情况，自评得4分。</w:t>
      </w:r>
    </w:p>
    <w:p>
      <w:pPr>
        <w:spacing w:line="600" w:lineRule="exact"/>
        <w:ind w:firstLineChars="200" w:firstLine="640"/>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4.</w:t>
      </w:r>
      <w:r>
        <w:rPr>
          <w:rFonts w:ascii="仿宋_GB2312" w:eastAsia="仿宋_GB2312" w:cs="仿宋_GB2312"/>
          <w:sz w:val="32"/>
          <w:szCs w:val="32"/>
          <w:lang w:val="zh-CN" w:eastAsia="zh-CN"/>
        </w:rPr>
        <w:t>资产管理</w:t>
      </w:r>
      <w:r>
        <w:rPr>
          <w:rFonts w:ascii="仿宋_GB2312" w:eastAsia="仿宋_GB2312" w:cs="仿宋_GB2312" w:hint="eastAsia"/>
          <w:sz w:val="32"/>
          <w:szCs w:val="32"/>
          <w:lang w:val="zh-CN" w:eastAsia="zh-CN"/>
        </w:rPr>
        <w:t>。</w:t>
      </w:r>
      <w:r>
        <w:rPr>
          <w:rFonts w:ascii="仿宋_GB2312" w:eastAsia="仿宋_GB2312" w:cs="仿宋_GB2312" w:hint="eastAsia"/>
          <w:sz w:val="32"/>
          <w:szCs w:val="32"/>
          <w:lang w:val="en-US" w:eastAsia="zh-CN"/>
        </w:rPr>
        <w:t>2024年公务服务中心无新增固定资产，</w:t>
      </w:r>
      <w:r>
        <w:rPr>
          <w:rFonts w:ascii="仿宋_GB2312" w:eastAsia="仿宋_GB2312" w:cs="仿宋_GB2312" w:hint="eastAsia"/>
          <w:sz w:val="32"/>
          <w:szCs w:val="32"/>
          <w:lang w:val="zh-CN" w:eastAsia="zh-CN"/>
        </w:rPr>
        <w:t>人均资产变化率无明显变化，资产利用率较高、无单位闲置资产，本项自评综合得9分。</w:t>
      </w:r>
    </w:p>
    <w:p>
      <w:pPr>
        <w:spacing w:line="600" w:lineRule="exact"/>
        <w:ind w:firstLineChars="200" w:firstLine="640"/>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5.</w:t>
      </w:r>
      <w:r>
        <w:rPr>
          <w:rFonts w:ascii="仿宋_GB2312" w:eastAsia="仿宋_GB2312" w:cs="仿宋_GB2312"/>
          <w:sz w:val="32"/>
          <w:szCs w:val="32"/>
          <w:lang w:val="zh-CN" w:eastAsia="zh-CN"/>
        </w:rPr>
        <w:t>采购管理</w:t>
      </w:r>
      <w:r>
        <w:rPr>
          <w:rFonts w:ascii="仿宋_GB2312" w:eastAsia="仿宋_GB2312" w:cs="仿宋_GB2312" w:hint="eastAsia"/>
          <w:sz w:val="32"/>
          <w:szCs w:val="32"/>
          <w:lang w:val="zh-CN" w:eastAsia="zh-CN"/>
        </w:rPr>
        <w:t>。2024年度本单位无采购项目，也无采购预算资金，本项自评综合得</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val="zh-CN" w:eastAsia="zh-CN"/>
        </w:rPr>
        <w:t>分。</w:t>
      </w:r>
    </w:p>
    <w:p>
      <w:pPr>
        <w:spacing w:line="600" w:lineRule="exact"/>
        <w:ind w:firstLineChars="200" w:firstLine="640"/>
        <w:rPr>
          <w:rFonts w:ascii="仿宋_GB2312" w:eastAsia="仿宋_GB2312" w:cs="仿宋_GB2312"/>
          <w:b/>
          <w:bCs/>
          <w:sz w:val="32"/>
          <w:szCs w:val="32"/>
          <w:lang w:val="en-US" w:eastAsia="zh-CN"/>
        </w:rPr>
      </w:pPr>
      <w:r>
        <w:rPr>
          <w:rFonts w:ascii="仿宋_GB2312" w:eastAsia="仿宋_GB2312" w:cs="仿宋_GB2312"/>
          <w:b/>
          <w:bCs/>
          <w:sz w:val="32"/>
          <w:szCs w:val="32"/>
          <w:lang w:val="zh-CN" w:eastAsia="zh-CN"/>
        </w:rPr>
        <w:t>（二）部门预算项目绩效分析。</w:t>
      </w:r>
    </w:p>
    <w:p>
      <w:pPr>
        <w:spacing w:line="600" w:lineRule="exact"/>
        <w:ind w:firstLineChars="200" w:firstLine="640"/>
        <w:rPr>
          <w:rFonts w:ascii="仿宋_GB2312" w:eastAsia="仿宋_GB2312" w:cs="仿宋_GB2312"/>
          <w:sz w:val="32"/>
          <w:szCs w:val="32"/>
          <w:lang w:val="zh-CN" w:eastAsia="zh-CN"/>
        </w:rPr>
      </w:pPr>
      <w:r>
        <w:rPr>
          <w:rFonts w:ascii="仿宋_GB2312" w:eastAsia="仿宋_GB2312" w:cs="仿宋_GB2312" w:hint="eastAsia"/>
          <w:sz w:val="32"/>
          <w:szCs w:val="32"/>
          <w:lang w:val="en-US" w:eastAsia="zh-CN"/>
        </w:rPr>
        <w:t>本单位</w:t>
      </w:r>
      <w:r>
        <w:rPr>
          <w:rFonts w:ascii="仿宋_GB2312" w:eastAsia="仿宋_GB2312" w:cs="仿宋_GB2312"/>
          <w:sz w:val="32"/>
          <w:szCs w:val="32"/>
          <w:lang w:val="en-US" w:eastAsia="zh-CN"/>
        </w:rPr>
        <w:t>常年项目绩效分析。</w:t>
      </w:r>
      <w:r>
        <w:rPr>
          <w:rFonts w:ascii="仿宋_GB2312" w:eastAsia="仿宋_GB2312" w:cs="仿宋_GB2312"/>
          <w:sz w:val="32"/>
          <w:szCs w:val="32"/>
          <w:lang w:val="zh-CN" w:eastAsia="zh-CN"/>
        </w:rPr>
        <w:t>该类项目总数</w:t>
      </w:r>
      <w:r>
        <w:rPr>
          <w:rFonts w:ascii="仿宋_GB2312" w:eastAsia="仿宋_GB2312" w:cs="仿宋_GB2312" w:hint="eastAsia"/>
          <w:sz w:val="32"/>
          <w:szCs w:val="32"/>
          <w:lang w:val="en-US" w:eastAsia="zh-CN"/>
        </w:rPr>
        <w:t>20</w:t>
      </w:r>
      <w:r>
        <w:rPr>
          <w:rFonts w:ascii="仿宋_GB2312" w:eastAsia="仿宋_GB2312" w:cs="仿宋_GB2312"/>
          <w:sz w:val="32"/>
          <w:szCs w:val="32"/>
          <w:lang w:val="zh-CN" w:eastAsia="zh-CN"/>
        </w:rPr>
        <w:t>个，涉及预算总金额</w:t>
      </w:r>
      <w:r>
        <w:rPr>
          <w:rFonts w:ascii="仿宋_GB2312" w:eastAsia="仿宋_GB2312" w:cs="仿宋_GB2312"/>
          <w:sz w:val="32"/>
          <w:szCs w:val="32"/>
          <w:lang w:val="en-US" w:eastAsia="zh-CN"/>
        </w:rPr>
        <w:t xml:space="preserve"> </w:t>
      </w:r>
      <w:r>
        <w:rPr>
          <w:rFonts w:ascii="仿宋_GB2312" w:eastAsia="仿宋_GB2312" w:cs="仿宋_GB2312" w:hint="eastAsia"/>
          <w:sz w:val="32"/>
          <w:szCs w:val="32"/>
          <w:lang w:val="en-US" w:eastAsia="zh-CN"/>
        </w:rPr>
        <w:t>473.67</w:t>
      </w:r>
      <w:r>
        <w:rPr>
          <w:rFonts w:ascii="仿宋_GB2312" w:eastAsia="仿宋_GB2312" w:cs="仿宋_GB2312"/>
          <w:sz w:val="32"/>
          <w:szCs w:val="32"/>
          <w:lang w:val="zh-CN" w:eastAsia="zh-CN"/>
        </w:rPr>
        <w:t>万元，1</w:t>
      </w:r>
      <w:r>
        <w:rPr>
          <w:rFonts w:ascii="仿宋_GB2312" w:eastAsia="仿宋_GB2312" w:cs="仿宋_GB2312" w:hint="eastAsia"/>
          <w:sz w:val="32"/>
          <w:szCs w:val="32"/>
          <w:lang w:val="zh-CN" w:eastAsia="zh-CN"/>
        </w:rPr>
        <w:t>—</w:t>
      </w:r>
      <w:r>
        <w:rPr>
          <w:rFonts w:ascii="仿宋_GB2312" w:eastAsia="仿宋_GB2312" w:cs="仿宋_GB2312"/>
          <w:sz w:val="32"/>
          <w:szCs w:val="32"/>
          <w:lang w:val="zh-CN" w:eastAsia="zh-CN"/>
        </w:rPr>
        <w:t>1</w:t>
      </w:r>
      <w:r>
        <w:rPr>
          <w:rFonts w:ascii="仿宋_GB2312" w:eastAsia="仿宋_GB2312" w:cs="仿宋_GB2312"/>
          <w:sz w:val="32"/>
          <w:szCs w:val="32"/>
          <w:lang w:val="en-US" w:eastAsia="zh-CN"/>
        </w:rPr>
        <w:t>2</w:t>
      </w:r>
      <w:r>
        <w:rPr>
          <w:rFonts w:ascii="仿宋_GB2312" w:eastAsia="仿宋_GB2312" w:cs="仿宋_GB2312"/>
          <w:sz w:val="32"/>
          <w:szCs w:val="32"/>
          <w:lang w:val="zh-CN" w:eastAsia="zh-CN"/>
        </w:rPr>
        <w:t>月预算执行总体进度为</w:t>
      </w:r>
      <w:r>
        <w:rPr>
          <w:rFonts w:ascii="仿宋_GB2312" w:eastAsia="仿宋_GB2312" w:cs="仿宋_GB2312" w:hint="eastAsia"/>
          <w:sz w:val="32"/>
          <w:szCs w:val="32"/>
          <w:lang w:val="en-US" w:eastAsia="zh-CN"/>
        </w:rPr>
        <w:t>77.42</w:t>
      </w:r>
      <w:r>
        <w:rPr>
          <w:rFonts w:ascii="仿宋_GB2312" w:eastAsia="仿宋_GB2312" w:cs="仿宋_GB2312"/>
          <w:sz w:val="32"/>
          <w:szCs w:val="32"/>
          <w:lang w:val="zh-CN" w:eastAsia="zh-CN"/>
        </w:rPr>
        <w:t>%，其中：预算结余率大于</w:t>
      </w:r>
      <w:r>
        <w:rPr>
          <w:rFonts w:ascii="仿宋_GB2312" w:eastAsia="仿宋_GB2312" w:cs="仿宋_GB2312"/>
          <w:sz w:val="32"/>
          <w:szCs w:val="32"/>
          <w:lang w:val="en-US" w:eastAsia="zh-CN"/>
        </w:rPr>
        <w:t>10%</w:t>
      </w:r>
      <w:r>
        <w:rPr>
          <w:rFonts w:ascii="仿宋_GB2312" w:eastAsia="仿宋_GB2312" w:cs="仿宋_GB2312"/>
          <w:sz w:val="32"/>
          <w:szCs w:val="32"/>
          <w:lang w:val="zh-CN" w:eastAsia="zh-CN"/>
        </w:rPr>
        <w:t>的项目共计</w:t>
      </w:r>
      <w:r>
        <w:rPr>
          <w:rFonts w:ascii="仿宋_GB2312" w:eastAsia="仿宋_GB2312" w:cs="仿宋_GB2312" w:hint="eastAsia"/>
          <w:sz w:val="32"/>
          <w:szCs w:val="32"/>
          <w:lang w:val="en-US" w:eastAsia="zh-CN"/>
        </w:rPr>
        <w:t>1</w:t>
      </w:r>
      <w:r>
        <w:rPr>
          <w:rFonts w:ascii="仿宋_GB2312" w:eastAsia="仿宋_GB2312" w:cs="仿宋_GB2312"/>
          <w:sz w:val="32"/>
          <w:szCs w:val="32"/>
          <w:lang w:val="zh-CN" w:eastAsia="zh-CN"/>
        </w:rPr>
        <w:t>个。</w:t>
      </w:r>
    </w:p>
    <w:p>
      <w:pPr>
        <w:spacing w:line="600" w:lineRule="exact"/>
        <w:ind w:firstLineChars="200" w:firstLine="640"/>
        <w:rPr>
          <w:rFonts w:ascii="仿宋_GB2312" w:eastAsia="仿宋_GB2312" w:cs="仿宋_GB2312"/>
          <w:sz w:val="32"/>
          <w:szCs w:val="32"/>
          <w:lang w:val="zh-CN" w:eastAsia="zh-CN"/>
        </w:rPr>
      </w:pPr>
      <w:r>
        <w:rPr>
          <w:rFonts w:ascii="仿宋_GB2312" w:eastAsia="仿宋_GB2312" w:cs="仿宋_GB2312"/>
          <w:sz w:val="32"/>
          <w:szCs w:val="32"/>
          <w:lang w:val="en-US" w:eastAsia="zh-CN"/>
        </w:rPr>
        <w:t>阶段</w:t>
      </w:r>
      <w:r>
        <w:rPr>
          <w:rFonts w:ascii="仿宋_GB2312" w:eastAsia="仿宋_GB2312" w:cs="仿宋_GB2312" w:hint="eastAsia"/>
          <w:sz w:val="32"/>
          <w:szCs w:val="32"/>
          <w:lang w:val="en-US" w:eastAsia="zh-CN"/>
        </w:rPr>
        <w:t>（</w:t>
      </w:r>
      <w:r>
        <w:rPr>
          <w:rFonts w:ascii="仿宋_GB2312" w:eastAsia="仿宋_GB2312" w:cs="仿宋_GB2312"/>
          <w:sz w:val="32"/>
          <w:szCs w:val="32"/>
          <w:lang w:val="en-US" w:eastAsia="zh-CN"/>
        </w:rPr>
        <w:t>一次性</w:t>
      </w:r>
      <w:r>
        <w:rPr>
          <w:rFonts w:ascii="仿宋_GB2312" w:eastAsia="仿宋_GB2312" w:cs="仿宋_GB2312" w:hint="eastAsia"/>
          <w:sz w:val="32"/>
          <w:szCs w:val="32"/>
          <w:lang w:val="en-US" w:eastAsia="zh-CN"/>
        </w:rPr>
        <w:t>）</w:t>
      </w:r>
      <w:r>
        <w:rPr>
          <w:rFonts w:ascii="仿宋_GB2312" w:eastAsia="仿宋_GB2312" w:cs="仿宋_GB2312"/>
          <w:sz w:val="32"/>
          <w:szCs w:val="32"/>
          <w:lang w:val="en-US" w:eastAsia="zh-CN"/>
        </w:rPr>
        <w:t>项目绩效分析。</w:t>
      </w:r>
      <w:r>
        <w:rPr>
          <w:rFonts w:ascii="仿宋_GB2312" w:eastAsia="仿宋_GB2312" w:cs="仿宋_GB2312"/>
          <w:sz w:val="32"/>
          <w:szCs w:val="32"/>
          <w:lang w:val="zh-CN" w:eastAsia="zh-CN"/>
        </w:rPr>
        <w:t>该类项目总数</w:t>
      </w:r>
      <w:r>
        <w:rPr>
          <w:rFonts w:ascii="仿宋_GB2312" w:eastAsia="仿宋_GB2312" w:cs="仿宋_GB2312" w:hint="eastAsia"/>
          <w:sz w:val="32"/>
          <w:szCs w:val="32"/>
          <w:lang w:val="en-US" w:eastAsia="zh-CN"/>
        </w:rPr>
        <w:t>0</w:t>
      </w:r>
      <w:r>
        <w:rPr>
          <w:rFonts w:ascii="仿宋_GB2312" w:eastAsia="仿宋_GB2312" w:cs="仿宋_GB2312"/>
          <w:sz w:val="32"/>
          <w:szCs w:val="32"/>
          <w:lang w:val="zh-CN" w:eastAsia="zh-CN"/>
        </w:rPr>
        <w:t>个，涉及预算总金额</w:t>
      </w:r>
      <w:r>
        <w:rPr>
          <w:rFonts w:ascii="仿宋_GB2312" w:eastAsia="仿宋_GB2312" w:cs="仿宋_GB2312" w:hint="eastAsia"/>
          <w:sz w:val="32"/>
          <w:szCs w:val="32"/>
          <w:lang w:val="en-US" w:eastAsia="zh-CN"/>
        </w:rPr>
        <w:t>0</w:t>
      </w:r>
      <w:r>
        <w:rPr>
          <w:rFonts w:ascii="仿宋_GB2312" w:eastAsia="仿宋_GB2312" w:cs="仿宋_GB2312"/>
          <w:sz w:val="32"/>
          <w:szCs w:val="32"/>
          <w:lang w:val="zh-CN" w:eastAsia="zh-CN"/>
        </w:rPr>
        <w:t>万元，1</w:t>
      </w:r>
      <w:r>
        <w:rPr>
          <w:rFonts w:ascii="仿宋_GB2312" w:eastAsia="仿宋_GB2312" w:cs="仿宋_GB2312" w:hint="eastAsia"/>
          <w:sz w:val="32"/>
          <w:szCs w:val="32"/>
          <w:lang w:val="zh-CN" w:eastAsia="zh-CN"/>
        </w:rPr>
        <w:t>—</w:t>
      </w:r>
      <w:r>
        <w:rPr>
          <w:rFonts w:ascii="仿宋_GB2312" w:eastAsia="仿宋_GB2312" w:cs="仿宋_GB2312"/>
          <w:sz w:val="32"/>
          <w:szCs w:val="32"/>
          <w:lang w:val="zh-CN" w:eastAsia="zh-CN"/>
        </w:rPr>
        <w:t>1</w:t>
      </w:r>
      <w:r>
        <w:rPr>
          <w:rFonts w:ascii="仿宋_GB2312" w:eastAsia="仿宋_GB2312" w:cs="仿宋_GB2312"/>
          <w:sz w:val="32"/>
          <w:szCs w:val="32"/>
          <w:lang w:val="en-US" w:eastAsia="zh-CN"/>
        </w:rPr>
        <w:t>2</w:t>
      </w:r>
      <w:r>
        <w:rPr>
          <w:rFonts w:ascii="仿宋_GB2312" w:eastAsia="仿宋_GB2312" w:cs="仿宋_GB2312"/>
          <w:sz w:val="32"/>
          <w:szCs w:val="32"/>
          <w:lang w:val="zh-CN" w:eastAsia="zh-CN"/>
        </w:rPr>
        <w:t>月预算执行总体进度为</w:t>
      </w:r>
      <w:r>
        <w:rPr>
          <w:rFonts w:ascii="仿宋_GB2312" w:eastAsia="仿宋_GB2312" w:cs="仿宋_GB2312" w:hint="eastAsia"/>
          <w:sz w:val="32"/>
          <w:szCs w:val="32"/>
          <w:lang w:val="en-US" w:eastAsia="zh-CN"/>
        </w:rPr>
        <w:t>100</w:t>
      </w:r>
      <w:r>
        <w:rPr>
          <w:rFonts w:ascii="仿宋_GB2312" w:eastAsia="仿宋_GB2312" w:cs="仿宋_GB2312"/>
          <w:sz w:val="32"/>
          <w:szCs w:val="32"/>
          <w:lang w:val="zh-CN" w:eastAsia="zh-CN"/>
        </w:rPr>
        <w:t>%，其中：预算结余率大于</w:t>
      </w:r>
      <w:r>
        <w:rPr>
          <w:rFonts w:ascii="仿宋_GB2312" w:eastAsia="仿宋_GB2312" w:cs="仿宋_GB2312"/>
          <w:sz w:val="32"/>
          <w:szCs w:val="32"/>
          <w:lang w:val="en-US" w:eastAsia="zh-CN"/>
        </w:rPr>
        <w:t>10%</w:t>
      </w:r>
      <w:r>
        <w:rPr>
          <w:rFonts w:ascii="仿宋_GB2312" w:eastAsia="仿宋_GB2312" w:cs="仿宋_GB2312"/>
          <w:sz w:val="32"/>
          <w:szCs w:val="32"/>
          <w:lang w:val="zh-CN" w:eastAsia="zh-CN"/>
        </w:rPr>
        <w:t>的项目共计</w:t>
      </w:r>
      <w:r>
        <w:rPr>
          <w:rFonts w:ascii="仿宋_GB2312" w:eastAsia="仿宋_GB2312" w:cs="仿宋_GB2312" w:hint="eastAsia"/>
          <w:sz w:val="32"/>
          <w:szCs w:val="32"/>
          <w:lang w:val="en-US" w:eastAsia="zh-CN"/>
        </w:rPr>
        <w:t>0</w:t>
      </w:r>
      <w:r>
        <w:rPr>
          <w:rFonts w:ascii="仿宋_GB2312" w:eastAsia="仿宋_GB2312" w:cs="仿宋_GB2312"/>
          <w:sz w:val="32"/>
          <w:szCs w:val="32"/>
          <w:lang w:val="zh-CN" w:eastAsia="zh-CN"/>
        </w:rPr>
        <w:t>个。</w:t>
      </w:r>
    </w:p>
    <w:p>
      <w:pPr>
        <w:spacing w:line="60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zh-CN" w:eastAsia="zh-CN"/>
        </w:rPr>
        <w:t>项目决策。部门预算项目设立按规定履行评估论证、申报程序。部门预算项目绩效目标与计划期内的任务量、预算安排的资金量匹配，绩效目标设置科学合理、规范完整、量化细化、预算匹配。本项自评合计得12分。</w:t>
      </w:r>
    </w:p>
    <w:p>
      <w:pPr>
        <w:spacing w:line="600" w:lineRule="exact"/>
        <w:ind w:firstLineChars="200" w:firstLine="640"/>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2.项目执行</w:t>
      </w:r>
      <w:r>
        <w:rPr>
          <w:rFonts w:ascii="仿宋_GB2312" w:eastAsia="仿宋_GB2312" w:cs="仿宋_GB2312" w:hint="eastAsia"/>
          <w:sz w:val="32"/>
          <w:szCs w:val="32"/>
          <w:lang w:val="zh-CN" w:eastAsia="zh-CN"/>
        </w:rPr>
        <w:t>。部门预算项目实际列支内容与绩效目标设置方向相符。部门预算项目采取了对应调整措施。部门预算项目按预算执行，执行率达</w:t>
      </w:r>
      <w:r>
        <w:rPr>
          <w:rFonts w:ascii="仿宋_GB2312" w:eastAsia="仿宋_GB2312" w:cs="仿宋_GB2312" w:hint="eastAsia"/>
          <w:sz w:val="32"/>
          <w:szCs w:val="32"/>
          <w:lang w:val="en-US" w:eastAsia="zh-CN"/>
        </w:rPr>
        <w:t>60.78%，是由于项目经费中公务接待费厉行节约，导致执行率小于预算率</w:t>
      </w:r>
      <w:r>
        <w:rPr>
          <w:rFonts w:ascii="仿宋_GB2312" w:eastAsia="仿宋_GB2312" w:cs="仿宋_GB2312" w:hint="eastAsia"/>
          <w:sz w:val="32"/>
          <w:szCs w:val="32"/>
          <w:lang w:val="zh-CN" w:eastAsia="zh-CN"/>
        </w:rPr>
        <w:t>。本项自评合计得</w:t>
      </w:r>
      <w:r>
        <w:rPr>
          <w:rFonts w:ascii="仿宋_GB2312" w:eastAsia="仿宋_GB2312" w:cs="仿宋_GB2312" w:hint="eastAsia"/>
          <w:sz w:val="32"/>
          <w:szCs w:val="32"/>
          <w:lang w:val="en-US" w:eastAsia="zh-CN"/>
        </w:rPr>
        <w:t>12</w:t>
      </w:r>
      <w:r>
        <w:rPr>
          <w:rFonts w:ascii="仿宋_GB2312" w:eastAsia="仿宋_GB2312" w:cs="仿宋_GB2312" w:hint="eastAsia"/>
          <w:sz w:val="32"/>
          <w:szCs w:val="32"/>
          <w:lang w:val="zh-CN" w:eastAsia="zh-CN"/>
        </w:rPr>
        <w:t>分。</w:t>
      </w:r>
    </w:p>
    <w:p>
      <w:pPr>
        <w:spacing w:line="600" w:lineRule="exact"/>
        <w:ind w:firstLineChars="200" w:firstLine="640"/>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3.</w:t>
      </w:r>
      <w:r>
        <w:rPr>
          <w:rFonts w:ascii="仿宋_GB2312" w:eastAsia="仿宋_GB2312" w:cs="仿宋_GB2312" w:hint="eastAsia"/>
          <w:sz w:val="32"/>
          <w:szCs w:val="32"/>
          <w:lang w:val="zh-CN" w:eastAsia="zh-CN"/>
        </w:rPr>
        <w:t>目标实现。部门预算项目绩效目标数量指标完成情况，部门预算项目绩效目标数量指标实现程度与预期目标的偏离情况，部门预算项目绩效目标效益指标实施效果，围绕目标完成、目标偏离、实现效果</w:t>
      </w:r>
      <w:r>
        <w:rPr>
          <w:rFonts w:ascii="仿宋_GB2312" w:eastAsia="仿宋_GB2312" w:cs="仿宋_GB2312"/>
          <w:sz w:val="32"/>
          <w:szCs w:val="32"/>
          <w:lang w:val="zh-CN" w:eastAsia="zh-CN"/>
        </w:rPr>
        <w:t>进行绩效分析</w:t>
      </w:r>
      <w:r>
        <w:rPr>
          <w:rFonts w:ascii="仿宋_GB2312" w:eastAsia="仿宋_GB2312" w:cs="仿宋_GB2312" w:hint="eastAsia"/>
          <w:sz w:val="32"/>
          <w:szCs w:val="32"/>
          <w:lang w:val="zh-CN" w:eastAsia="zh-CN"/>
        </w:rPr>
        <w:t>。本项自评合计得1</w:t>
      </w:r>
      <w:r>
        <w:rPr>
          <w:rFonts w:ascii="仿宋_GB2312" w:eastAsia="仿宋_GB2312" w:cs="仿宋_GB2312" w:hint="eastAsia"/>
          <w:sz w:val="32"/>
          <w:szCs w:val="32"/>
          <w:lang w:val="en-US" w:eastAsia="zh-CN"/>
        </w:rPr>
        <w:t>1</w:t>
      </w:r>
      <w:r>
        <w:rPr>
          <w:rFonts w:ascii="仿宋_GB2312" w:eastAsia="仿宋_GB2312" w:cs="仿宋_GB2312" w:hint="eastAsia"/>
          <w:sz w:val="32"/>
          <w:szCs w:val="32"/>
          <w:lang w:val="zh-CN" w:eastAsia="zh-CN"/>
        </w:rPr>
        <w:t>分。</w:t>
      </w:r>
    </w:p>
    <w:p>
      <w:pPr>
        <w:spacing w:line="600" w:lineRule="exact"/>
        <w:ind w:firstLineChars="200" w:firstLine="640"/>
        <w:rPr>
          <w:rFonts w:ascii="仿宋_GB2312" w:eastAsia="仿宋_GB2312" w:cs="仿宋_GB2312"/>
          <w:sz w:val="32"/>
          <w:szCs w:val="32"/>
          <w:lang w:val="zh-CN" w:eastAsia="zh-CN"/>
        </w:rPr>
      </w:pPr>
      <w:r>
        <w:rPr>
          <w:rFonts w:ascii="仿宋_GB2312" w:eastAsia="仿宋_GB2312" w:cs="仿宋_GB2312"/>
          <w:b/>
          <w:bCs/>
          <w:sz w:val="32"/>
          <w:szCs w:val="32"/>
          <w:lang w:val="zh-CN" w:eastAsia="zh-CN"/>
        </w:rPr>
        <w:t>（</w:t>
      </w:r>
      <w:r>
        <w:rPr>
          <w:rFonts w:ascii="仿宋_GB2312" w:eastAsia="仿宋_GB2312" w:cs="仿宋_GB2312" w:hint="eastAsia"/>
          <w:b/>
          <w:bCs/>
          <w:sz w:val="32"/>
          <w:szCs w:val="32"/>
          <w:lang w:val="zh-CN" w:eastAsia="zh-CN"/>
        </w:rPr>
        <w:t>三</w:t>
      </w:r>
      <w:r>
        <w:rPr>
          <w:rFonts w:ascii="仿宋_GB2312" w:eastAsia="仿宋_GB2312" w:cs="仿宋_GB2312"/>
          <w:b/>
          <w:bCs/>
          <w:sz w:val="32"/>
          <w:szCs w:val="32"/>
          <w:lang w:val="zh-CN" w:eastAsia="zh-CN"/>
        </w:rPr>
        <w:t>）重点领域绩效分析。</w:t>
      </w:r>
    </w:p>
    <w:p>
      <w:pPr>
        <w:spacing w:line="600" w:lineRule="exact"/>
        <w:ind w:firstLineChars="200" w:firstLine="640"/>
        <w:rPr>
          <w:rFonts w:ascii="仿宋_GB2312" w:eastAsia="仿宋_GB2312" w:cs="仿宋_GB2312"/>
          <w:sz w:val="32"/>
          <w:szCs w:val="32"/>
          <w:lang w:val="en-US" w:eastAsia="zh-CN"/>
        </w:rPr>
      </w:pPr>
      <w:r>
        <w:rPr>
          <w:rFonts w:ascii="仿宋_GB2312" w:eastAsia="仿宋_GB2312" w:cs="仿宋_GB2312" w:hint="eastAsia"/>
          <w:sz w:val="32"/>
          <w:szCs w:val="32"/>
          <w:lang w:val="zh-CN" w:eastAsia="zh-CN"/>
        </w:rPr>
        <w:t>本单位不涉及2024年度国有资本、行政事业性国有资产、债券资金、政府采购和政府购买服务等重点领域的。</w:t>
      </w:r>
    </w:p>
    <w:p>
      <w:pPr>
        <w:spacing w:line="600" w:lineRule="exact"/>
        <w:ind w:firstLineChars="200" w:firstLine="640"/>
        <w:rPr>
          <w:rFonts w:ascii="仿宋_GB2312" w:eastAsia="仿宋_GB2312" w:cs="仿宋_GB2312" w:hint="eastAsia"/>
          <w:sz w:val="32"/>
          <w:szCs w:val="32"/>
          <w:lang w:val="zh-CN" w:eastAsia="zh-CN"/>
        </w:rPr>
      </w:pPr>
      <w:r>
        <w:rPr>
          <w:rFonts w:ascii="仿宋_GB2312" w:eastAsia="仿宋_GB2312" w:cs="仿宋_GB2312"/>
          <w:sz w:val="32"/>
          <w:szCs w:val="32"/>
          <w:lang w:val="zh-CN" w:eastAsia="zh-CN"/>
        </w:rPr>
        <w:t>绩效结果应用情况</w:t>
      </w:r>
      <w:r>
        <w:rPr>
          <w:rFonts w:ascii="仿宋_GB2312" w:eastAsia="仿宋_GB2312" w:cs="仿宋_GB2312" w:hint="eastAsia"/>
          <w:sz w:val="32"/>
          <w:szCs w:val="32"/>
          <w:lang w:val="zh-CN" w:eastAsia="zh-CN"/>
        </w:rPr>
        <w:t>。</w:t>
      </w:r>
    </w:p>
    <w:p>
      <w:pPr>
        <w:spacing w:line="600" w:lineRule="exact"/>
        <w:ind w:firstLineChars="200" w:firstLine="640"/>
        <w:rPr>
          <w:rFonts w:ascii="仿宋_GB2312" w:eastAsia="仿宋_GB2312" w:cs="仿宋_GB2312"/>
          <w:sz w:val="32"/>
          <w:szCs w:val="32"/>
          <w:lang w:val="zh-CN" w:eastAsia="zh-CN"/>
        </w:rPr>
      </w:pPr>
      <w:r>
        <w:rPr>
          <w:rFonts w:ascii="仿宋_GB2312" w:eastAsia="仿宋_GB2312" w:cs="仿宋_GB2312" w:hint="eastAsia"/>
          <w:sz w:val="32"/>
          <w:szCs w:val="32"/>
          <w:lang w:val="zh-CN" w:eastAsia="zh-CN"/>
        </w:rPr>
        <w:t xml:space="preserve">本部门绩效目标制定科学合理，并能够保证绩效目标实现。本单位严格按照县级部门预算编制通知和有关要求，按时完成基础信息、预算编制等工作，并按时提交部门预算草案，不存在预算编制错误情况。县财政局根据预算编制草案，进行审核，批复。不存在违纪记录的情况。本单位预算决算公开按财政局的要求在收到财政批复后20个工作日在金川县政府中心的信息网站进行公开。所有预算严格按照预算法执行，预算经费中人员经费是按月拨付，公用经费是按季进行拨付。 </w:t>
      </w:r>
    </w:p>
    <w:p>
      <w:pPr>
        <w:spacing w:line="600" w:lineRule="exact"/>
        <w:ind w:firstLineChars="200" w:firstLine="640"/>
        <w:rPr>
          <w:rFonts w:ascii="仿宋_GB2312" w:eastAsia="仿宋_GB2312" w:cs="仿宋_GB2312"/>
          <w:sz w:val="32"/>
          <w:szCs w:val="32"/>
          <w:lang w:eastAsia="zh-CN"/>
        </w:rPr>
      </w:pPr>
      <w:r>
        <w:rPr>
          <w:rFonts w:ascii="仿宋_GB2312" w:eastAsia="仿宋_GB2312" w:cs="仿宋_GB2312"/>
          <w:b/>
          <w:bCs/>
          <w:sz w:val="32"/>
          <w:szCs w:val="32"/>
          <w:lang w:eastAsia="zh-CN"/>
        </w:rPr>
        <w:t>四、评价结论及建议</w:t>
      </w:r>
    </w:p>
    <w:p>
      <w:pPr>
        <w:spacing w:line="600" w:lineRule="exact"/>
        <w:ind w:firstLineChars="200" w:firstLine="640"/>
        <w:rPr>
          <w:rFonts w:ascii="仿宋_GB2312" w:eastAsia="仿宋_GB2312" w:cs="仿宋_GB2312"/>
          <w:b/>
          <w:bCs/>
          <w:sz w:val="32"/>
          <w:szCs w:val="32"/>
          <w:lang w:val="zh-CN" w:eastAsia="zh-CN"/>
        </w:rPr>
      </w:pPr>
      <w:r>
        <w:rPr>
          <w:rFonts w:ascii="仿宋_GB2312" w:eastAsia="仿宋_GB2312" w:cs="仿宋_GB2312"/>
          <w:b/>
          <w:bCs/>
          <w:sz w:val="32"/>
          <w:szCs w:val="32"/>
          <w:lang w:val="zh-CN" w:eastAsia="zh-CN"/>
        </w:rPr>
        <w:t>（一）评价结论。</w:t>
      </w:r>
    </w:p>
    <w:p>
      <w:pPr>
        <w:spacing w:line="600" w:lineRule="exact"/>
        <w:ind w:firstLineChars="200" w:firstLine="640"/>
        <w:rPr>
          <w:rFonts w:ascii="仿宋_GB2312" w:eastAsia="仿宋_GB2312" w:cs="仿宋_GB2312"/>
          <w:sz w:val="32"/>
          <w:szCs w:val="32"/>
          <w:lang w:val="en-US" w:eastAsia="zh-CN"/>
        </w:rPr>
      </w:pPr>
      <w:r>
        <w:rPr>
          <w:rFonts w:ascii="仿宋_GB2312" w:eastAsia="仿宋_GB2312" w:cs="仿宋_GB2312" w:hint="eastAsia"/>
          <w:sz w:val="32"/>
          <w:szCs w:val="32"/>
          <w:lang w:val="en-US" w:eastAsia="zh-CN"/>
        </w:rPr>
        <w:t>根据金财监绩〔2025〕35号文件的附件1部门支出绩效评价指标体系进行单位自评，圆满完成绩效自评工作，圆满完成中央、省、州委和县的重要工作、目标任务。本单位总体评价内容实际得分91分。</w:t>
      </w:r>
    </w:p>
    <w:p>
      <w:pPr>
        <w:spacing w:line="600" w:lineRule="exact"/>
        <w:ind w:firstLineChars="200" w:firstLine="640"/>
        <w:rPr>
          <w:rFonts w:ascii="仿宋_GB2312" w:eastAsia="仿宋_GB2312" w:cs="仿宋_GB2312" w:hint="eastAsia"/>
          <w:b/>
          <w:bCs/>
          <w:sz w:val="32"/>
          <w:szCs w:val="32"/>
          <w:lang w:val="en-US" w:eastAsia="zh-CN"/>
        </w:rPr>
      </w:pPr>
      <w:r>
        <w:rPr>
          <w:rFonts w:ascii="仿宋_GB2312" w:eastAsia="仿宋_GB2312" w:cs="仿宋_GB2312"/>
          <w:b/>
          <w:bCs/>
          <w:sz w:val="32"/>
          <w:szCs w:val="32"/>
          <w:lang w:val="zh-CN" w:eastAsia="zh-CN"/>
        </w:rPr>
        <w:t>（二）存在问题。</w:t>
      </w:r>
    </w:p>
    <w:p>
      <w:pPr>
        <w:spacing w:line="600" w:lineRule="exact"/>
        <w:ind w:firstLineChars="200" w:firstLine="640"/>
        <w:rPr>
          <w:rFonts w:ascii="仿宋_GB2312" w:eastAsia="仿宋_GB2312" w:cs="仿宋_GB2312"/>
          <w:sz w:val="32"/>
          <w:szCs w:val="32"/>
          <w:lang w:val="zh-CN" w:eastAsia="zh-CN"/>
        </w:rPr>
      </w:pPr>
      <w:r>
        <w:rPr>
          <w:rFonts w:ascii="仿宋_GB2312" w:eastAsia="仿宋_GB2312" w:cs="仿宋_GB2312"/>
          <w:sz w:val="32"/>
          <w:szCs w:val="32"/>
          <w:lang w:val="zh-CN" w:eastAsia="zh-CN"/>
        </w:rPr>
        <w:t>单位收发文件、传递文件还不够及时；资产管理</w:t>
      </w:r>
      <w:r>
        <w:rPr>
          <w:rFonts w:ascii="仿宋_GB2312" w:eastAsia="仿宋_GB2312" w:cs="仿宋_GB2312" w:hint="eastAsia"/>
          <w:sz w:val="32"/>
          <w:szCs w:val="32"/>
          <w:lang w:val="zh-CN" w:eastAsia="zh-CN"/>
        </w:rPr>
        <w:t>方面</w:t>
      </w:r>
      <w:r>
        <w:rPr>
          <w:rFonts w:ascii="仿宋_GB2312" w:eastAsia="仿宋_GB2312" w:cs="仿宋_GB2312"/>
          <w:sz w:val="32"/>
          <w:szCs w:val="32"/>
          <w:lang w:val="zh-CN" w:eastAsia="zh-CN"/>
        </w:rPr>
        <w:t>还应加强；财务管理制度有待加强。</w:t>
      </w:r>
    </w:p>
    <w:p>
      <w:pPr>
        <w:spacing w:line="600" w:lineRule="exact"/>
        <w:ind w:firstLineChars="200" w:firstLine="640"/>
        <w:rPr>
          <w:rFonts w:ascii="仿宋_GB2312" w:eastAsia="仿宋_GB2312" w:cs="仿宋_GB2312" w:hint="eastAsia"/>
          <w:b/>
          <w:bCs/>
          <w:sz w:val="32"/>
          <w:szCs w:val="32"/>
          <w:lang w:eastAsia="zh-CN"/>
        </w:rPr>
      </w:pPr>
      <w:r>
        <w:rPr>
          <w:rFonts w:ascii="仿宋_GB2312" w:eastAsia="仿宋_GB2312" w:cs="仿宋_GB2312"/>
          <w:b/>
          <w:bCs/>
          <w:sz w:val="32"/>
          <w:szCs w:val="32"/>
          <w:lang w:val="zh-CN" w:eastAsia="zh-CN"/>
        </w:rPr>
        <w:t>（三）改进建议。</w:t>
      </w:r>
      <w:bookmarkStart w:id="86" w:name="_Hlk110546638"/>
    </w:p>
    <w:p>
      <w:pPr>
        <w:spacing w:line="600" w:lineRule="exact"/>
        <w:ind w:firstLineChars="200" w:firstLine="640"/>
        <w:rPr>
          <w:rFonts w:ascii="仿宋_GB2312" w:eastAsia="仿宋_GB2312" w:cs="仿宋_GB2312"/>
          <w:sz w:val="32"/>
          <w:szCs w:val="32"/>
          <w:lang w:val="zh-CN" w:eastAsia="zh-CN"/>
        </w:rPr>
      </w:pPr>
      <w:bookmarkEnd w:id="86"/>
      <w:r>
        <w:rPr>
          <w:rFonts w:ascii="仿宋_GB2312" w:eastAsia="仿宋_GB2312" w:cs="仿宋_GB2312" w:hint="eastAsia"/>
          <w:sz w:val="32"/>
          <w:szCs w:val="32"/>
          <w:lang w:val="zh-CN" w:eastAsia="zh-CN"/>
        </w:rPr>
        <w:t>进一步</w:t>
      </w:r>
      <w:r>
        <w:rPr>
          <w:rFonts w:ascii="仿宋_GB2312" w:eastAsia="仿宋_GB2312" w:cs="仿宋_GB2312"/>
          <w:sz w:val="32"/>
          <w:szCs w:val="32"/>
          <w:lang w:val="zh-CN" w:eastAsia="zh-CN"/>
        </w:rPr>
        <w:t>完善、健全机关财务管理规章制度建设、加强会计核算和财务管理能力，及时与县财政局相关科室对接工作，提升工作效率。</w:t>
      </w:r>
    </w:p>
    <w:p>
      <w:pPr>
        <w:spacing w:line="600" w:lineRule="exact"/>
        <w:ind w:firstLineChars="200" w:firstLine="640"/>
        <w:rPr>
          <w:rFonts w:ascii="仿宋_GB2312" w:eastAsia="仿宋_GB2312" w:cs="仿宋_GB2312"/>
          <w:sz w:val="32"/>
          <w:szCs w:val="32"/>
          <w:lang w:val="en-US" w:eastAsia="zh-CN"/>
        </w:rPr>
      </w:pPr>
    </w:p>
    <w:p>
      <w:pPr>
        <w:spacing w:line="60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附表：1.部门预算绩效自评打分表</w:t>
      </w:r>
    </w:p>
    <w:p>
      <w:pPr>
        <w:spacing w:line="600" w:lineRule="exact"/>
        <w:ind w:firstLineChars="500" w:firstLine="1600"/>
        <w:rPr>
          <w:rFonts w:ascii="仿宋_GB2312" w:eastAsia="仿宋_GB2312" w:cs="仿宋_GB2312"/>
          <w:sz w:val="32"/>
          <w:szCs w:val="32"/>
          <w:lang w:val="en-US" w:eastAsia="zh-CN"/>
        </w:rPr>
      </w:pPr>
      <w:r>
        <w:rPr>
          <w:rFonts w:ascii="仿宋_GB2312" w:eastAsia="仿宋_GB2312" w:cs="仿宋_GB2312" w:hint="eastAsia"/>
          <w:sz w:val="32"/>
          <w:szCs w:val="32"/>
          <w:lang w:val="en-US" w:eastAsia="zh-CN"/>
        </w:rPr>
        <w:t>2.</w:t>
      </w:r>
      <w:r>
        <w:rPr>
          <w:rFonts w:ascii="仿宋_GB2312" w:eastAsia="仿宋_GB2312" w:cs="仿宋_GB2312"/>
          <w:sz w:val="32"/>
          <w:szCs w:val="32"/>
          <w:lang w:val="en-US" w:eastAsia="zh-CN"/>
        </w:rPr>
        <w:t>部门整体绩效目标完成情况自评表</w:t>
      </w:r>
    </w:p>
    <w:p>
      <w:pPr>
        <w:keepNext w:val="0"/>
        <w:keepLines w:val="0"/>
        <w:pageBreakBefore w:val="0"/>
        <w:widowControl w:val="0"/>
        <w:kinsoku/>
        <w:wordWrap/>
        <w:overflowPunct/>
        <w:topLinePunct w:val="0"/>
        <w:autoSpaceDE/>
        <w:autoSpaceDN/>
        <w:bidi w:val="0"/>
        <w:spacing w:line="578" w:lineRule="exact"/>
        <w:ind w:firstLineChars="500" w:firstLine="1600"/>
        <w:jc w:val="left"/>
        <w:textAlignment w:val="auto"/>
        <w:rPr>
          <w:rFonts w:cs="Times New Roman" w:hint="eastAsia"/>
          <w:color w:val="000000"/>
          <w:kern w:val="0"/>
          <w:szCs w:val="32"/>
          <w:shd w:val="clear" w:color="auto" w:fill="FFFFFF"/>
          <w:lang w:val="en-US" w:eastAsia="zh-CN"/>
          <w:highlight w:val="auto"/>
        </w:rPr>
      </w:pPr>
      <w:r>
        <w:rPr>
          <w:rFonts w:ascii="仿宋_GB2312" w:eastAsia="仿宋_GB2312" w:cs="仿宋_GB2312" w:hint="eastAsia"/>
          <w:sz w:val="32"/>
          <w:szCs w:val="32"/>
          <w:lang w:val="en-US" w:eastAsia="zh-CN"/>
        </w:rPr>
        <w:t>3.</w:t>
      </w:r>
      <w:r>
        <w:rPr>
          <w:rFonts w:ascii="仿宋_GB2312" w:eastAsia="仿宋_GB2312" w:cs="仿宋_GB2312"/>
          <w:sz w:val="32"/>
          <w:szCs w:val="32"/>
          <w:lang w:val="en-US" w:eastAsia="zh-CN"/>
        </w:rPr>
        <w:t>部</w:t>
      </w:r>
      <w:r>
        <w:rPr>
          <w:rFonts w:ascii="Times New Roman" w:eastAsia="仿宋_GB2312" w:cs="Times New Roman" w:hAnsi="Times New Roman"/>
          <w:strike w:val="0"/>
          <w:dstrike w:val="0"/>
          <w:sz w:val="32"/>
          <w:szCs w:val="32"/>
          <w:u w:val="none"/>
        </w:rPr>
        <w:t>门预算项目支出绩效</w:t>
      </w:r>
      <w:r>
        <w:rPr>
          <w:rFonts w:ascii="Times New Roman" w:eastAsia="仿宋_GB2312" w:cs="Times New Roman" w:hAnsi="Times New Roman"/>
          <w:strike w:val="0"/>
          <w:dstrike w:val="0"/>
          <w:sz w:val="32"/>
          <w:szCs w:val="32"/>
          <w:u w:val="none"/>
          <w:lang w:eastAsia="zh-CN"/>
        </w:rPr>
        <w:t>评价</w:t>
      </w:r>
      <w:r>
        <w:rPr>
          <w:rFonts w:ascii="Times New Roman" w:eastAsia="仿宋_GB2312" w:cs="Times New Roman" w:hAnsi="Times New Roman"/>
          <w:strike w:val="0"/>
          <w:dstrike w:val="0"/>
          <w:sz w:val="32"/>
          <w:szCs w:val="32"/>
          <w:u w:val="none"/>
        </w:rPr>
        <w:t>表</w:t>
      </w:r>
      <w:r>
        <w:rPr>
          <w:rFonts w:ascii="Times New Roman" w:eastAsia="仿宋_GB2312" w:cs="Times New Roman" w:hAnsi="Times New Roman"/>
          <w:strike w:val="0"/>
          <w:dstrike w:val="0"/>
          <w:sz w:val="32"/>
          <w:szCs w:val="32"/>
          <w:u w:val="none"/>
          <w:lang w:eastAsia="zh-CN"/>
        </w:rPr>
        <w:t>（202</w:t>
      </w:r>
      <w:r>
        <w:rPr>
          <w:rFonts w:ascii="Times New Roman" w:eastAsia="仿宋_GB2312" w:cs="Times New Roman" w:hAnsi="Times New Roman"/>
          <w:strike w:val="0"/>
          <w:dstrike w:val="0"/>
          <w:sz w:val="32"/>
          <w:szCs w:val="32"/>
          <w:u w:val="none"/>
          <w:lang w:val="en-US" w:eastAsia="zh-CN"/>
        </w:rPr>
        <w:t>4</w:t>
      </w:r>
      <w:r>
        <w:rPr>
          <w:rFonts w:ascii="Times New Roman" w:eastAsia="仿宋_GB2312" w:cs="Times New Roman" w:hAnsi="Times New Roman"/>
          <w:strike w:val="0"/>
          <w:dstrike w:val="0"/>
          <w:sz w:val="32"/>
          <w:szCs w:val="32"/>
          <w:u w:val="none"/>
          <w:lang w:eastAsia="zh-CN"/>
        </w:rPr>
        <w:t>年度）</w:t>
      </w:r>
    </w:p>
    <w:p>
      <w:pPr>
        <w:keepNext w:val="0"/>
        <w:keepLines w:val="0"/>
        <w:pageBreakBefore w:val="0"/>
        <w:widowControl w:val="0"/>
        <w:kinsoku/>
        <w:wordWrap/>
        <w:overflowPunct/>
        <w:topLinePunct w:val="0"/>
        <w:autoSpaceDE/>
        <w:autoSpaceDN/>
        <w:bidi w:val="0"/>
        <w:spacing w:line="578" w:lineRule="exact"/>
        <w:jc w:val="left"/>
        <w:textAlignment w:val="auto"/>
        <w:rPr>
          <w:rFonts w:cs="Times New Roman" w:hint="eastAsia"/>
          <w:color w:val="000000"/>
          <w:kern w:val="0"/>
          <w:szCs w:val="32"/>
          <w:shd w:val="clear" w:color="auto" w:fill="FFFFFF"/>
          <w:lang w:val="en-US" w:eastAsia="zh-CN"/>
          <w:highlight w:val="auto"/>
        </w:rPr>
      </w:pPr>
    </w:p>
    <w:p>
      <w:pPr>
        <w:keepNext w:val="0"/>
        <w:keepLines w:val="0"/>
        <w:pageBreakBefore w:val="0"/>
        <w:widowControl w:val="0"/>
        <w:kinsoku/>
        <w:wordWrap/>
        <w:overflowPunct/>
        <w:topLinePunct w:val="0"/>
        <w:autoSpaceDE/>
        <w:autoSpaceDN/>
        <w:bidi w:val="0"/>
        <w:spacing w:line="578" w:lineRule="exact"/>
        <w:jc w:val="left"/>
        <w:textAlignment w:val="auto"/>
        <w:rPr>
          <w:rFonts w:cs="Times New Roman" w:hint="eastAsia"/>
          <w:color w:val="000000"/>
          <w:kern w:val="0"/>
          <w:szCs w:val="32"/>
          <w:shd w:val="clear" w:color="auto" w:fill="FFFFFF"/>
          <w:lang w:val="en-US" w:eastAsia="zh-CN"/>
          <w:highlight w:val="auto"/>
        </w:rPr>
      </w:pPr>
    </w:p>
    <w:p>
      <w:pPr>
        <w:keepNext w:val="0"/>
        <w:keepLines w:val="0"/>
        <w:pageBreakBefore w:val="0"/>
        <w:widowControl w:val="0"/>
        <w:kinsoku/>
        <w:wordWrap/>
        <w:overflowPunct/>
        <w:topLinePunct w:val="0"/>
        <w:autoSpaceDE/>
        <w:autoSpaceDN/>
        <w:bidi w:val="0"/>
        <w:spacing w:line="578" w:lineRule="exact"/>
        <w:jc w:val="both"/>
        <w:textAlignment w:val="auto"/>
        <w:rPr>
          <w:rFonts w:ascii="黑体" w:eastAsia="黑体" w:cs="黑体"/>
          <w:kern w:val="2"/>
          <w:sz w:val="32"/>
          <w:szCs w:val="24"/>
          <w:lang w:val="en-US" w:eastAsia="zh-CN" w:bidi="ar-SA"/>
          <w:highlight w:val="auto"/>
        </w:rPr>
      </w:pPr>
      <w:r>
        <w:rPr>
          <w:rFonts w:ascii="黑体" w:eastAsia="黑体" w:cs="黑体" w:hint="eastAsia"/>
          <w:kern w:val="2"/>
          <w:sz w:val="32"/>
          <w:szCs w:val="24"/>
          <w:lang w:val="en-US" w:eastAsia="zh-CN" w:bidi="ar-SA"/>
          <w:highlight w:val="auto"/>
        </w:rPr>
        <w:t>附表1：</w:t>
      </w: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eastAsia="方正小标宋简体" w:cs="Times New Roman" w:hAnsi="Times New Roman" w:hint="eastAsia"/>
          <w:i w:val="0"/>
          <w:color w:val="000000"/>
          <w:kern w:val="0"/>
          <w:sz w:val="44"/>
          <w:szCs w:val="44"/>
          <w:u w:val="none"/>
          <w:lang w:val="en-US" w:eastAsia="zh-CN"/>
        </w:rPr>
      </w:pPr>
      <w:r>
        <w:rPr>
          <w:rFonts w:ascii="Times New Roman" w:eastAsia="方正小标宋简体" w:cs="Times New Roman" w:hAnsi="Times New Roman" w:hint="eastAsia"/>
          <w:i w:val="0"/>
          <w:color w:val="000000"/>
          <w:kern w:val="0"/>
          <w:sz w:val="44"/>
          <w:szCs w:val="44"/>
          <w:u w:val="none"/>
          <w:lang w:val="en-US" w:eastAsia="zh-CN"/>
        </w:rPr>
        <w:t>部门预算绩效自评打分表</w:t>
      </w:r>
    </w:p>
    <w:tbl>
      <w:tblPr>
        <w:jc w:val="center"/>
        <w:tblW w:w="10559"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892"/>
        <w:gridCol w:w="1335"/>
        <w:gridCol w:w="1665"/>
        <w:gridCol w:w="720"/>
        <w:gridCol w:w="4734"/>
        <w:gridCol w:w="807"/>
        <w:gridCol w:w="406"/>
      </w:tblGrid>
      <w:tr>
        <w:trPr>
          <w:trHeight w:val="23"/>
        </w:trPr>
        <w:tc>
          <w:tcPr>
            <w:tcW w:w="461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i w:val="0"/>
                <w:color w:val="000000"/>
                <w:sz w:val="21"/>
                <w:szCs w:val="18"/>
                <w:u w:val="none"/>
              </w:rPr>
            </w:pPr>
            <w:r>
              <w:rPr>
                <w:rFonts w:ascii="黑体" w:eastAsia="黑体" w:cs="黑体" w:hint="eastAsia"/>
                <w:i w:val="0"/>
                <w:color w:val="000000"/>
                <w:kern w:val="0"/>
                <w:sz w:val="21"/>
                <w:szCs w:val="18"/>
                <w:u w:val="none"/>
                <w:lang w:val="en-US" w:eastAsia="zh-CN"/>
              </w:rPr>
              <w:t>绩效评价指标分值</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1"/>
                <w:szCs w:val="18"/>
                <w:u w:val="none"/>
              </w:rPr>
            </w:pPr>
            <w:r>
              <w:rPr>
                <w:rFonts w:ascii="黑体" w:eastAsia="黑体" w:cs="黑体" w:hint="eastAsia"/>
                <w:i w:val="0"/>
                <w:color w:val="000000"/>
                <w:kern w:val="0"/>
                <w:sz w:val="21"/>
                <w:szCs w:val="18"/>
                <w:u w:val="none"/>
                <w:lang w:val="en-US" w:eastAsia="zh-CN"/>
              </w:rPr>
              <w:t>指标解释</w:t>
            </w:r>
          </w:p>
        </w:tc>
        <w:tc>
          <w:tcPr>
            <w:tcW w:w="807" w:type="dxa"/>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kern w:val="0"/>
                <w:sz w:val="21"/>
                <w:szCs w:val="18"/>
                <w:u w:val="none"/>
                <w:lang w:val="en-US" w:eastAsia="zh-CN"/>
              </w:rPr>
            </w:pPr>
            <w:r>
              <w:rPr>
                <w:rFonts w:ascii="黑体" w:eastAsia="黑体" w:cs="黑体" w:hint="eastAsia"/>
                <w:i w:val="0"/>
                <w:color w:val="000000"/>
                <w:kern w:val="0"/>
                <w:sz w:val="21"/>
                <w:szCs w:val="18"/>
                <w:u w:val="none"/>
                <w:lang w:val="en-US" w:eastAsia="zh-CN"/>
              </w:rPr>
              <w:t>自评得分</w:t>
            </w:r>
          </w:p>
        </w:tc>
        <w:tc>
          <w:tcPr>
            <w:tcW w:w="406" w:type="dxa"/>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kern w:val="0"/>
                <w:sz w:val="21"/>
                <w:szCs w:val="18"/>
                <w:u w:val="none"/>
                <w:lang w:val="en-US" w:eastAsia="zh-CN"/>
              </w:rPr>
            </w:pPr>
            <w:r>
              <w:rPr>
                <w:rFonts w:ascii="黑体" w:eastAsia="黑体" w:cs="黑体" w:hint="eastAsia"/>
                <w:i w:val="0"/>
                <w:color w:val="000000"/>
                <w:kern w:val="0"/>
                <w:sz w:val="21"/>
                <w:szCs w:val="18"/>
                <w:u w:val="none"/>
                <w:lang w:val="en-US" w:eastAsia="zh-CN"/>
              </w:rPr>
              <w:t>备注</w:t>
            </w:r>
          </w:p>
        </w:tc>
      </w:tr>
      <w:tr>
        <w:trPr>
          <w:trHeight w:val="23"/>
        </w:trPr>
        <w:tc>
          <w:tcPr>
            <w:tcW w:w="892"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1"/>
                <w:szCs w:val="18"/>
                <w:u w:val="none"/>
              </w:rPr>
            </w:pPr>
            <w:r>
              <w:rPr>
                <w:rFonts w:ascii="黑体" w:eastAsia="黑体" w:cs="黑体" w:hint="eastAsia"/>
                <w:i w:val="0"/>
                <w:color w:val="000000"/>
                <w:kern w:val="0"/>
                <w:sz w:val="21"/>
                <w:szCs w:val="18"/>
                <w:u w:val="none"/>
                <w:lang w:val="en-US" w:eastAsia="zh-CN"/>
              </w:rPr>
              <w:t>一级指标</w:t>
            </w:r>
          </w:p>
        </w:tc>
        <w:tc>
          <w:tcPr>
            <w:tcW w:w="13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1"/>
                <w:szCs w:val="18"/>
                <w:u w:val="none"/>
              </w:rPr>
            </w:pPr>
            <w:r>
              <w:rPr>
                <w:rFonts w:ascii="黑体" w:eastAsia="黑体" w:cs="黑体" w:hint="eastAsia"/>
                <w:i w:val="0"/>
                <w:color w:val="000000"/>
                <w:kern w:val="0"/>
                <w:sz w:val="21"/>
                <w:szCs w:val="18"/>
                <w:u w:val="none"/>
                <w:lang w:val="en-US" w:eastAsia="zh-CN"/>
              </w:rPr>
              <w:t>二级指标</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1"/>
                <w:szCs w:val="18"/>
                <w:u w:val="none"/>
              </w:rPr>
            </w:pPr>
            <w:r>
              <w:rPr>
                <w:rFonts w:ascii="黑体" w:eastAsia="黑体" w:cs="黑体" w:hint="eastAsia"/>
                <w:i w:val="0"/>
                <w:color w:val="000000"/>
                <w:kern w:val="0"/>
                <w:sz w:val="21"/>
                <w:szCs w:val="18"/>
                <w:u w:val="none"/>
                <w:lang w:val="en-US" w:eastAsia="zh-CN"/>
              </w:rPr>
              <w:t>三级指标</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1"/>
                <w:szCs w:val="18"/>
                <w:u w:val="none"/>
              </w:rPr>
            </w:pPr>
            <w:r>
              <w:rPr>
                <w:rFonts w:ascii="黑体" w:eastAsia="黑体" w:cs="黑体" w:hint="eastAsia"/>
                <w:i w:val="0"/>
                <w:color w:val="000000"/>
                <w:kern w:val="0"/>
                <w:sz w:val="21"/>
                <w:szCs w:val="18"/>
                <w:u w:val="none"/>
                <w:lang w:val="en-US" w:eastAsia="zh-CN"/>
              </w:rPr>
              <w:t>指标</w:t>
              <w:br/>
              <w:t>分值</w:t>
            </w:r>
          </w:p>
        </w:tc>
        <w:tc>
          <w:tcPr>
            <w:tcW w:w="4734" w:type="dxa"/>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黑体" w:eastAsia="黑体" w:cs="黑体" w:hint="eastAsia"/>
                <w:i w:val="0"/>
                <w:color w:val="000000"/>
                <w:sz w:val="21"/>
                <w:szCs w:val="18"/>
                <w:u w:val="none"/>
              </w:rPr>
            </w:pPr>
          </w:p>
        </w:tc>
        <w:tc>
          <w:tcPr>
            <w:tcW w:w="807" w:type="dxa"/>
            <w:tcBorders>
              <w:top w:val="nil"/>
              <w:left w:val="single" w:sz="4" w:space="0" w:color="000000"/>
              <w:bottom w:val="nil"/>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黑体" w:eastAsia="黑体" w:cs="黑体" w:hint="eastAsia"/>
                <w:i w:val="0"/>
                <w:color w:val="000000"/>
                <w:sz w:val="21"/>
                <w:szCs w:val="18"/>
                <w:u w:val="none"/>
              </w:rPr>
            </w:pPr>
          </w:p>
        </w:tc>
        <w:tc>
          <w:tcPr>
            <w:tcW w:w="406" w:type="dxa"/>
            <w:tcBorders>
              <w:top w:val="nil"/>
              <w:left w:val="single" w:sz="4" w:space="0" w:color="000000"/>
              <w:bottom w:val="nil"/>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黑体" w:eastAsia="黑体" w:cs="黑体" w:hint="eastAsia"/>
                <w:i w:val="0"/>
                <w:color w:val="000000"/>
                <w:sz w:val="21"/>
                <w:szCs w:val="18"/>
                <w:u w:val="none"/>
              </w:rPr>
            </w:pPr>
          </w:p>
        </w:tc>
      </w:tr>
      <w:tr>
        <w:trPr>
          <w:trHeight w:val="23"/>
        </w:trPr>
        <w:tc>
          <w:tcPr>
            <w:tcW w:w="89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18"/>
                <w:u w:val="none"/>
              </w:rPr>
            </w:pPr>
            <w:r>
              <w:rPr>
                <w:rFonts w:ascii="宋体" w:eastAsia="宋体" w:cs="宋体" w:hint="eastAsia"/>
                <w:b/>
                <w:i w:val="0"/>
                <w:color w:val="000000"/>
                <w:kern w:val="0"/>
                <w:sz w:val="21"/>
                <w:szCs w:val="18"/>
                <w:u w:val="none"/>
                <w:lang w:val="en-US" w:eastAsia="zh-CN"/>
              </w:rPr>
              <w:t>总体绩效</w:t>
              <w:br/>
              <w:t>（65分）</w:t>
            </w:r>
          </w:p>
        </w:tc>
        <w:tc>
          <w:tcPr>
            <w:tcW w:w="1335"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18"/>
                <w:u w:val="none"/>
              </w:rPr>
            </w:pPr>
            <w:r>
              <w:rPr>
                <w:rFonts w:ascii="宋体" w:eastAsia="宋体" w:cs="宋体" w:hint="eastAsia"/>
                <w:b/>
                <w:i w:val="0"/>
                <w:color w:val="000000"/>
                <w:kern w:val="0"/>
                <w:sz w:val="21"/>
                <w:szCs w:val="18"/>
                <w:u w:val="none"/>
                <w:lang w:val="en-US" w:eastAsia="zh-CN"/>
              </w:rPr>
              <w:t>履职效能</w:t>
              <w:br/>
              <w:t>（15分）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后勤管理履职效果</w:t>
            </w:r>
          </w:p>
        </w:tc>
        <w:tc>
          <w:tcPr>
            <w:tcW w:w="720"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5</w:t>
            </w:r>
          </w:p>
        </w:tc>
        <w:tc>
          <w:tcPr>
            <w:tcW w:w="4734"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部门整体绩效目标中选定3</w:t>
            </w:r>
            <w:r>
              <w:rPr>
                <w:rFonts w:ascii="宋体" w:cs="宋体" w:hint="eastAsia"/>
                <w:i w:val="0"/>
                <w:color w:val="000000"/>
                <w:kern w:val="0"/>
                <w:sz w:val="21"/>
                <w:szCs w:val="18"/>
                <w:u w:val="none"/>
                <w:lang w:val="en-US" w:eastAsia="zh-CN"/>
              </w:rPr>
              <w:t>～</w:t>
            </w:r>
            <w:r>
              <w:rPr>
                <w:rFonts w:ascii="宋体" w:eastAsia="宋体" w:cs="宋体" w:hint="eastAsia"/>
                <w:i w:val="0"/>
                <w:color w:val="000000"/>
                <w:kern w:val="0"/>
                <w:sz w:val="21"/>
                <w:szCs w:val="18"/>
                <w:u w:val="none"/>
                <w:lang w:val="en-US" w:eastAsia="zh-CN"/>
              </w:rPr>
              <w:t>5个核心职能目标，反映该项职能目标完成效果情况</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5</w:t>
            </w:r>
          </w:p>
        </w:tc>
        <w:tc>
          <w:tcPr>
            <w:tcW w:w="4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18"/>
                <w:u w:val="none"/>
                <w:lang w:val="en-US" w:eastAsia="zh-CN"/>
              </w:rPr>
            </w:pPr>
          </w:p>
        </w:tc>
      </w:tr>
      <w:tr>
        <w:trPr>
          <w:trHeight w:val="23"/>
        </w:trPr>
        <w:tc>
          <w:tcPr>
            <w:tcW w:w="892" w:type="dxa"/>
            <w:vMerge/>
            <w:tcBorders>
              <w:top w:val="nil"/>
              <w:left w:val="single" w:sz="4" w:space="0" w:color="000000"/>
              <w:bottom w:val="nil"/>
              <w:right w:val="single" w:sz="4" w:space="0" w:color="000000"/>
            </w:tcBorders>
            <w:shd w:val="clear" w:color="auto" w:fill="auto"/>
            <w:noWrap/>
            <w:vAlign w:val="center"/>
          </w:tcPr>
          <w:p/>
        </w:tc>
        <w:tc>
          <w:tcPr>
            <w:tcW w:w="1335" w:type="dxa"/>
            <w:vMerge/>
            <w:tcBorders>
              <w:top w:val="nil"/>
              <w:left w:val="single" w:sz="4" w:space="0" w:color="000000"/>
              <w:bottom w:val="nil"/>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后勤服务履职效果</w:t>
            </w:r>
          </w:p>
        </w:tc>
        <w:tc>
          <w:tcPr>
            <w:tcW w:w="720"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5</w:t>
            </w:r>
          </w:p>
        </w:tc>
        <w:tc>
          <w:tcPr>
            <w:tcW w:w="4734" w:type="dxa"/>
            <w:vMerge/>
            <w:tcBorders>
              <w:top w:val="nil"/>
              <w:left w:val="single" w:sz="4" w:space="0" w:color="000000"/>
              <w:bottom w:val="nil"/>
              <w:right w:val="single" w:sz="4" w:space="0" w:color="000000"/>
            </w:tcBorders>
            <w:shd w:val="clear" w:color="auto" w:fill="auto"/>
            <w:noWrap/>
            <w:vAlign w:val="center"/>
          </w:tcP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5</w:t>
            </w:r>
          </w:p>
        </w:tc>
        <w:tc>
          <w:tcPr>
            <w:tcW w:w="4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18"/>
                <w:u w:val="none"/>
                <w:lang w:val="en-US" w:eastAsia="zh-CN"/>
              </w:rPr>
            </w:pPr>
          </w:p>
        </w:tc>
      </w:tr>
      <w:tr>
        <w:trPr>
          <w:trHeight w:val="23"/>
        </w:trPr>
        <w:tc>
          <w:tcPr>
            <w:tcW w:w="892" w:type="dxa"/>
            <w:vMerge/>
            <w:tcBorders>
              <w:top w:val="nil"/>
              <w:left w:val="single" w:sz="4" w:space="0" w:color="000000"/>
              <w:bottom w:val="nil"/>
              <w:right w:val="single" w:sz="4" w:space="0" w:color="000000"/>
            </w:tcBorders>
            <w:shd w:val="clear" w:color="auto" w:fill="auto"/>
            <w:noWrap/>
            <w:vAlign w:val="center"/>
          </w:tcPr>
          <w:p/>
        </w:tc>
        <w:tc>
          <w:tcPr>
            <w:tcW w:w="1335" w:type="dxa"/>
            <w:vMerge/>
            <w:tcBorders>
              <w:top w:val="nil"/>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机构节能履职效果</w:t>
            </w:r>
          </w:p>
        </w:tc>
        <w:tc>
          <w:tcPr>
            <w:tcW w:w="720"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5</w:t>
            </w:r>
          </w:p>
        </w:tc>
        <w:tc>
          <w:tcPr>
            <w:tcW w:w="4734" w:type="dxa"/>
            <w:vMerge/>
            <w:tcBorders>
              <w:top w:val="nil"/>
              <w:left w:val="single" w:sz="4" w:space="0" w:color="000000"/>
              <w:bottom w:val="single" w:sz="4" w:space="0" w:color="000000"/>
              <w:right w:val="single" w:sz="4" w:space="0" w:color="000000"/>
            </w:tcBorders>
            <w:shd w:val="clear" w:color="auto" w:fill="auto"/>
            <w:noWrap/>
            <w:vAlign w:val="center"/>
          </w:tcP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5</w:t>
            </w:r>
          </w:p>
        </w:tc>
        <w:tc>
          <w:tcPr>
            <w:tcW w:w="4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18"/>
                <w:u w:val="none"/>
                <w:lang w:val="en-US" w:eastAsia="zh-CN"/>
              </w:rPr>
            </w:pPr>
          </w:p>
        </w:tc>
      </w:tr>
      <w:tr>
        <w:trPr>
          <w:trHeight w:val="23"/>
        </w:trPr>
        <w:tc>
          <w:tcPr>
            <w:tcW w:w="89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3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18"/>
                <w:u w:val="none"/>
              </w:rPr>
            </w:pPr>
            <w:r>
              <w:rPr>
                <w:rFonts w:ascii="宋体" w:eastAsia="宋体" w:cs="宋体" w:hint="eastAsia"/>
                <w:b/>
                <w:i w:val="0"/>
                <w:color w:val="000000"/>
                <w:kern w:val="0"/>
                <w:sz w:val="21"/>
                <w:szCs w:val="18"/>
                <w:u w:val="none"/>
                <w:lang w:val="en-US" w:eastAsia="zh-CN"/>
              </w:rPr>
              <w:t>预算管理</w:t>
              <w:br/>
              <w:t>（25分）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预算编制质量</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8</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部门是否严格按要求编制年初部门预算，年初预算编制的科学性和准确性</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8</w:t>
            </w:r>
          </w:p>
        </w:tc>
        <w:tc>
          <w:tcPr>
            <w:tcW w:w="4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18"/>
                <w:u w:val="none"/>
                <w:lang w:val="en-US" w:eastAsia="zh-CN"/>
              </w:rPr>
            </w:pPr>
          </w:p>
        </w:tc>
      </w:tr>
      <w:tr>
        <w:trPr>
          <w:trHeight w:val="23"/>
        </w:trPr>
        <w:tc>
          <w:tcPr>
            <w:tcW w:w="89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3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单位收入统筹</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部门统筹自有收入程度</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4</w:t>
            </w:r>
          </w:p>
        </w:tc>
        <w:tc>
          <w:tcPr>
            <w:tcW w:w="4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18"/>
                <w:u w:val="none"/>
                <w:lang w:val="en-US" w:eastAsia="zh-CN"/>
              </w:rPr>
            </w:pPr>
          </w:p>
        </w:tc>
      </w:tr>
      <w:tr>
        <w:trPr>
          <w:trHeight w:val="23"/>
        </w:trPr>
        <w:tc>
          <w:tcPr>
            <w:tcW w:w="89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3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支出执行进度</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6</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部门1至6月、1至10月预算执行情况</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4</w:t>
            </w:r>
          </w:p>
        </w:tc>
        <w:tc>
          <w:tcPr>
            <w:tcW w:w="4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18"/>
                <w:u w:val="none"/>
                <w:lang w:val="en-US" w:eastAsia="zh-CN"/>
              </w:rPr>
            </w:pPr>
          </w:p>
        </w:tc>
      </w:tr>
      <w:tr>
        <w:trPr>
          <w:trHeight w:val="23"/>
        </w:trPr>
        <w:tc>
          <w:tcPr>
            <w:tcW w:w="89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3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预算年终结余</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2</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部门整体年终预算结余情况</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2</w:t>
            </w:r>
          </w:p>
        </w:tc>
        <w:tc>
          <w:tcPr>
            <w:tcW w:w="4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18"/>
                <w:u w:val="none"/>
                <w:lang w:val="en-US" w:eastAsia="zh-CN"/>
              </w:rPr>
            </w:pPr>
          </w:p>
        </w:tc>
      </w:tr>
      <w:tr>
        <w:trPr>
          <w:trHeight w:val="23"/>
        </w:trPr>
        <w:tc>
          <w:tcPr>
            <w:tcW w:w="89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3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严控一般性支出</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5</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部门严控“三公”经费、会议、培训、差旅、办节办展、办公设备购置、信息网络及软件购置更新、课题经费等8项一般性支出情况</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5</w:t>
            </w:r>
          </w:p>
        </w:tc>
        <w:tc>
          <w:tcPr>
            <w:tcW w:w="4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18"/>
                <w:u w:val="none"/>
                <w:lang w:val="en-US" w:eastAsia="zh-CN"/>
              </w:rPr>
            </w:pPr>
          </w:p>
        </w:tc>
      </w:tr>
      <w:tr>
        <w:trPr>
          <w:trHeight w:val="23"/>
        </w:trPr>
        <w:tc>
          <w:tcPr>
            <w:tcW w:w="89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3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18"/>
                <w:u w:val="none"/>
              </w:rPr>
            </w:pPr>
            <w:r>
              <w:rPr>
                <w:rFonts w:ascii="宋体" w:eastAsia="宋体" w:cs="宋体" w:hint="eastAsia"/>
                <w:b/>
                <w:i w:val="0"/>
                <w:color w:val="000000"/>
                <w:kern w:val="0"/>
                <w:sz w:val="21"/>
                <w:szCs w:val="18"/>
                <w:u w:val="none"/>
                <w:lang w:val="en-US" w:eastAsia="zh-CN"/>
              </w:rPr>
              <w:t>财务管理</w:t>
              <w:br/>
              <w:t>（10分）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财务管理制度</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部门财务管理制度建立情况</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3</w:t>
            </w:r>
          </w:p>
        </w:tc>
        <w:tc>
          <w:tcPr>
            <w:tcW w:w="4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18"/>
                <w:u w:val="none"/>
                <w:lang w:val="en-US" w:eastAsia="zh-CN"/>
              </w:rPr>
            </w:pPr>
          </w:p>
        </w:tc>
      </w:tr>
      <w:tr>
        <w:trPr>
          <w:trHeight w:val="23"/>
        </w:trPr>
        <w:tc>
          <w:tcPr>
            <w:tcW w:w="89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3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财务岗位设置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2</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部门财务岗位设置是否符合相关财务管理制度要求</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2</w:t>
            </w:r>
          </w:p>
        </w:tc>
        <w:tc>
          <w:tcPr>
            <w:tcW w:w="4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18"/>
                <w:u w:val="none"/>
                <w:lang w:val="en-US" w:eastAsia="zh-CN"/>
              </w:rPr>
            </w:pPr>
          </w:p>
        </w:tc>
      </w:tr>
      <w:tr>
        <w:trPr>
          <w:trHeight w:val="23"/>
        </w:trPr>
        <w:tc>
          <w:tcPr>
            <w:tcW w:w="89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3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资金使用规范</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部门资金使用是否符合相关财务管理制度规定</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4</w:t>
            </w:r>
          </w:p>
        </w:tc>
        <w:tc>
          <w:tcPr>
            <w:tcW w:w="4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18"/>
                <w:u w:val="none"/>
                <w:lang w:val="en-US" w:eastAsia="zh-CN"/>
              </w:rPr>
            </w:pPr>
          </w:p>
        </w:tc>
      </w:tr>
      <w:tr>
        <w:trPr>
          <w:trHeight w:val="23"/>
        </w:trPr>
        <w:tc>
          <w:tcPr>
            <w:tcW w:w="89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3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18"/>
                <w:u w:val="none"/>
              </w:rPr>
            </w:pPr>
            <w:r>
              <w:rPr>
                <w:rFonts w:ascii="宋体" w:eastAsia="宋体" w:cs="宋体" w:hint="eastAsia"/>
                <w:b/>
                <w:i w:val="0"/>
                <w:color w:val="000000"/>
                <w:kern w:val="0"/>
                <w:sz w:val="21"/>
                <w:szCs w:val="18"/>
                <w:u w:val="none"/>
                <w:lang w:val="en-US" w:eastAsia="zh-CN"/>
              </w:rPr>
              <w:t>资产管理</w:t>
              <w:br/>
              <w:t>（9分）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人均资产变化率</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部门人均资产变化情况</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3</w:t>
            </w:r>
          </w:p>
        </w:tc>
        <w:tc>
          <w:tcPr>
            <w:tcW w:w="4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18"/>
                <w:u w:val="none"/>
                <w:lang w:val="en-US" w:eastAsia="zh-CN"/>
              </w:rPr>
            </w:pPr>
          </w:p>
        </w:tc>
      </w:tr>
      <w:tr>
        <w:trPr>
          <w:trHeight w:val="23"/>
        </w:trPr>
        <w:tc>
          <w:tcPr>
            <w:tcW w:w="89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3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资产利用率</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部门资产超最低使用年限情况</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3</w:t>
            </w:r>
          </w:p>
        </w:tc>
        <w:tc>
          <w:tcPr>
            <w:tcW w:w="4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18"/>
                <w:u w:val="none"/>
                <w:lang w:val="en-US" w:eastAsia="zh-CN"/>
              </w:rPr>
            </w:pPr>
          </w:p>
        </w:tc>
      </w:tr>
      <w:tr>
        <w:trPr>
          <w:trHeight w:val="23"/>
        </w:trPr>
        <w:tc>
          <w:tcPr>
            <w:tcW w:w="89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18"/>
                <w:u w:val="none"/>
              </w:rPr>
            </w:pPr>
            <w:r>
              <w:rPr>
                <w:rFonts w:ascii="宋体" w:eastAsia="宋体" w:cs="宋体" w:hint="eastAsia"/>
                <w:b/>
                <w:i w:val="0"/>
                <w:color w:val="000000"/>
                <w:kern w:val="0"/>
                <w:sz w:val="21"/>
                <w:szCs w:val="18"/>
                <w:u w:val="none"/>
                <w:lang w:val="en-US" w:eastAsia="zh-CN"/>
              </w:rPr>
              <w:t>总体绩效</w:t>
              <w:br/>
              <w:t>（65分）</w:t>
            </w:r>
          </w:p>
        </w:tc>
        <w:tc>
          <w:tcPr>
            <w:tcW w:w="13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18"/>
                <w:u w:val="none"/>
              </w:rPr>
            </w:pPr>
            <w:r>
              <w:rPr>
                <w:rFonts w:ascii="宋体" w:eastAsia="宋体" w:cs="宋体" w:hint="eastAsia"/>
                <w:b/>
                <w:i w:val="0"/>
                <w:color w:val="000000"/>
                <w:kern w:val="0"/>
                <w:sz w:val="21"/>
                <w:szCs w:val="18"/>
                <w:u w:val="none"/>
                <w:lang w:val="en-US" w:eastAsia="zh-CN"/>
              </w:rPr>
              <w:t>资产管理</w:t>
              <w:br/>
              <w:t>（9分）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资产盘活率</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部门闲置一年以上的资产盘活情况</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3</w:t>
            </w:r>
          </w:p>
        </w:tc>
        <w:tc>
          <w:tcPr>
            <w:tcW w:w="4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18"/>
                <w:u w:val="none"/>
                <w:lang w:val="en-US" w:eastAsia="zh-CN"/>
              </w:rPr>
            </w:pPr>
          </w:p>
        </w:tc>
      </w:tr>
      <w:tr>
        <w:trPr>
          <w:trHeight w:val="23"/>
        </w:trPr>
        <w:tc>
          <w:tcPr>
            <w:tcW w:w="89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3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18"/>
                <w:u w:val="none"/>
              </w:rPr>
            </w:pPr>
            <w:r>
              <w:rPr>
                <w:rFonts w:ascii="宋体" w:eastAsia="宋体" w:cs="宋体" w:hint="eastAsia"/>
                <w:b/>
                <w:i w:val="0"/>
                <w:color w:val="000000"/>
                <w:kern w:val="0"/>
                <w:sz w:val="21"/>
                <w:szCs w:val="18"/>
                <w:u w:val="none"/>
                <w:lang w:val="en-US" w:eastAsia="zh-CN"/>
              </w:rPr>
              <w:t>采购管理</w:t>
              <w:br/>
              <w:t>（6分）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支持中小企业发展</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部门是否严格执行政府采购促进中小企业发展相关管理办法</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0</w:t>
            </w:r>
          </w:p>
        </w:tc>
        <w:tc>
          <w:tcPr>
            <w:tcW w:w="4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18"/>
                <w:u w:val="none"/>
                <w:lang w:val="en-US" w:eastAsia="zh-CN"/>
              </w:rPr>
            </w:pPr>
          </w:p>
        </w:tc>
      </w:tr>
      <w:tr>
        <w:trPr>
          <w:trHeight w:val="23"/>
        </w:trPr>
        <w:tc>
          <w:tcPr>
            <w:tcW w:w="89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3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采购执行率</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部门政府采购项目资金支付比例情况</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0</w:t>
            </w:r>
          </w:p>
        </w:tc>
        <w:tc>
          <w:tcPr>
            <w:tcW w:w="4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18"/>
                <w:u w:val="none"/>
                <w:lang w:val="en-US" w:eastAsia="zh-CN"/>
              </w:rPr>
            </w:pPr>
          </w:p>
        </w:tc>
      </w:tr>
      <w:tr>
        <w:trPr>
          <w:trHeight w:val="23"/>
        </w:trPr>
        <w:tc>
          <w:tcPr>
            <w:tcW w:w="89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18"/>
                <w:u w:val="none"/>
              </w:rPr>
            </w:pPr>
            <w:r>
              <w:rPr>
                <w:rFonts w:ascii="宋体" w:eastAsia="宋体" w:cs="宋体" w:hint="eastAsia"/>
                <w:b/>
                <w:i w:val="0"/>
                <w:color w:val="000000"/>
                <w:kern w:val="0"/>
                <w:sz w:val="21"/>
                <w:szCs w:val="18"/>
                <w:u w:val="none"/>
                <w:lang w:val="en-US" w:eastAsia="zh-CN"/>
              </w:rPr>
              <w:t>项目绩效</w:t>
              <w:br/>
              <w:t>（35分）</w:t>
            </w:r>
          </w:p>
        </w:tc>
        <w:tc>
          <w:tcPr>
            <w:tcW w:w="1335"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18"/>
                <w:u w:val="none"/>
              </w:rPr>
            </w:pPr>
            <w:r>
              <w:rPr>
                <w:rFonts w:ascii="宋体" w:eastAsia="宋体" w:cs="宋体" w:hint="eastAsia"/>
                <w:b/>
                <w:i w:val="0"/>
                <w:color w:val="000000"/>
                <w:kern w:val="0"/>
                <w:sz w:val="21"/>
                <w:szCs w:val="18"/>
                <w:u w:val="none"/>
                <w:lang w:val="en-US" w:eastAsia="zh-CN"/>
              </w:rPr>
              <w:t>项目决策</w:t>
              <w:br/>
              <w:t>（12分）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决策程序</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部门预算项目设立是否按规定履行评估论证、申报程序</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4</w:t>
            </w:r>
          </w:p>
        </w:tc>
        <w:tc>
          <w:tcPr>
            <w:tcW w:w="4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18"/>
                <w:u w:val="none"/>
                <w:lang w:val="en-US" w:eastAsia="zh-CN"/>
              </w:rPr>
            </w:pPr>
          </w:p>
        </w:tc>
      </w:tr>
      <w:tr>
        <w:trPr>
          <w:trHeight w:val="23"/>
        </w:trPr>
        <w:tc>
          <w:tcPr>
            <w:tcW w:w="89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35" w:type="dxa"/>
            <w:vMerge/>
            <w:tcBorders>
              <w:top w:val="single" w:sz="4" w:space="0" w:color="000000"/>
              <w:left w:val="single" w:sz="4" w:space="0" w:color="000000"/>
              <w:bottom w:val="nil"/>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目标设置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部门预算项目绩效目标与计划期内的任务量、预算安排的资金量匹配情况，绩效目标设置是否科学合理、规范完整、量化细化、预算匹配</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4</w:t>
            </w:r>
          </w:p>
        </w:tc>
        <w:tc>
          <w:tcPr>
            <w:tcW w:w="4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18"/>
                <w:u w:val="none"/>
                <w:lang w:val="en-US" w:eastAsia="zh-CN"/>
              </w:rPr>
            </w:pPr>
          </w:p>
        </w:tc>
      </w:tr>
      <w:tr>
        <w:trPr>
          <w:trHeight w:val="23"/>
        </w:trPr>
        <w:tc>
          <w:tcPr>
            <w:tcW w:w="89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35" w:type="dxa"/>
            <w:vMerge/>
            <w:tcBorders>
              <w:top w:val="single" w:sz="4" w:space="0" w:color="000000"/>
              <w:left w:val="single" w:sz="4" w:space="0" w:color="000000"/>
              <w:bottom w:val="nil"/>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项目入库</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部门预算项目是否在规定时间完成项目入库</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4</w:t>
            </w:r>
          </w:p>
        </w:tc>
        <w:tc>
          <w:tcPr>
            <w:tcW w:w="4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18"/>
                <w:u w:val="none"/>
                <w:lang w:val="en-US" w:eastAsia="zh-CN"/>
              </w:rPr>
            </w:pPr>
          </w:p>
        </w:tc>
      </w:tr>
      <w:tr>
        <w:trPr>
          <w:trHeight w:val="23"/>
        </w:trPr>
        <w:tc>
          <w:tcPr>
            <w:tcW w:w="89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35"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18"/>
                <w:u w:val="none"/>
              </w:rPr>
            </w:pPr>
            <w:r>
              <w:rPr>
                <w:rFonts w:ascii="宋体" w:eastAsia="宋体" w:cs="宋体" w:hint="eastAsia"/>
                <w:b/>
                <w:i w:val="0"/>
                <w:color w:val="000000"/>
                <w:kern w:val="0"/>
                <w:sz w:val="21"/>
                <w:szCs w:val="18"/>
                <w:u w:val="none"/>
                <w:lang w:val="en-US" w:eastAsia="zh-CN"/>
              </w:rPr>
              <w:t>项目执行</w:t>
              <w:br/>
              <w:t>（12分）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执行同向</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部门预算项目实际列支内容是否与绩效目标设置方向相符</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4</w:t>
            </w:r>
          </w:p>
        </w:tc>
        <w:tc>
          <w:tcPr>
            <w:tcW w:w="4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18"/>
                <w:u w:val="none"/>
                <w:lang w:val="en-US" w:eastAsia="zh-CN"/>
              </w:rPr>
            </w:pPr>
          </w:p>
        </w:tc>
      </w:tr>
      <w:tr>
        <w:trPr>
          <w:trHeight w:val="23"/>
        </w:trPr>
        <w:tc>
          <w:tcPr>
            <w:tcW w:w="89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35" w:type="dxa"/>
            <w:vMerge/>
            <w:tcBorders>
              <w:top w:val="single" w:sz="4" w:space="0" w:color="000000"/>
              <w:left w:val="single" w:sz="4" w:space="0" w:color="000000"/>
              <w:bottom w:val="nil"/>
              <w:right w:val="single" w:sz="4" w:space="0" w:color="000000"/>
            </w:tcBorders>
            <w:shd w:val="clear" w:color="auto" w:fill="auto"/>
            <w:noWrap/>
            <w:vAlign w:val="center"/>
          </w:tcPr>
          <w:p/>
        </w:tc>
        <w:tc>
          <w:tcPr>
            <w:tcW w:w="1665" w:type="dxa"/>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项目调整</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部门预算项目是否采取对应调整措施</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4</w:t>
            </w:r>
          </w:p>
        </w:tc>
        <w:tc>
          <w:tcPr>
            <w:tcW w:w="4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18"/>
                <w:u w:val="none"/>
                <w:lang w:val="en-US" w:eastAsia="zh-CN"/>
              </w:rPr>
            </w:pPr>
          </w:p>
        </w:tc>
      </w:tr>
      <w:tr>
        <w:trPr>
          <w:trHeight w:val="23"/>
        </w:trPr>
        <w:tc>
          <w:tcPr>
            <w:tcW w:w="89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35" w:type="dxa"/>
            <w:vMerge/>
            <w:tcBorders>
              <w:top w:val="single" w:sz="4" w:space="0" w:color="000000"/>
              <w:left w:val="single" w:sz="4" w:space="0" w:color="000000"/>
              <w:bottom w:val="nil"/>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执行结果</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部门预算项目预算执行情况</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4</w:t>
            </w:r>
          </w:p>
        </w:tc>
        <w:tc>
          <w:tcPr>
            <w:tcW w:w="4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18"/>
                <w:u w:val="none"/>
                <w:lang w:val="en-US" w:eastAsia="zh-CN"/>
              </w:rPr>
            </w:pPr>
          </w:p>
        </w:tc>
      </w:tr>
      <w:tr>
        <w:trPr>
          <w:trHeight w:val="23"/>
        </w:trPr>
        <w:tc>
          <w:tcPr>
            <w:tcW w:w="89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3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18"/>
                <w:u w:val="none"/>
              </w:rPr>
            </w:pPr>
            <w:r>
              <w:rPr>
                <w:rFonts w:ascii="宋体" w:eastAsia="宋体" w:cs="宋体" w:hint="eastAsia"/>
                <w:b/>
                <w:i w:val="0"/>
                <w:color w:val="000000"/>
                <w:kern w:val="0"/>
                <w:sz w:val="21"/>
                <w:szCs w:val="18"/>
                <w:u w:val="none"/>
                <w:lang w:val="en-US" w:eastAsia="zh-CN"/>
              </w:rPr>
              <w:t>目标实现</w:t>
              <w:br/>
              <w:t>（11分）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目标完成</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部门预算项目绩效目标数量指标完成情况</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4</w:t>
            </w:r>
          </w:p>
        </w:tc>
        <w:tc>
          <w:tcPr>
            <w:tcW w:w="4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18"/>
                <w:u w:val="none"/>
                <w:lang w:val="en-US" w:eastAsia="zh-CN"/>
              </w:rPr>
            </w:pPr>
          </w:p>
        </w:tc>
      </w:tr>
      <w:tr>
        <w:trPr>
          <w:trHeight w:val="23"/>
        </w:trPr>
        <w:tc>
          <w:tcPr>
            <w:tcW w:w="89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3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目标偏离</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部门预算项目绩效目标数量指标实现程度与预期目标的偏离情况</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4</w:t>
            </w:r>
          </w:p>
        </w:tc>
        <w:tc>
          <w:tcPr>
            <w:tcW w:w="4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18"/>
                <w:u w:val="none"/>
                <w:lang w:val="en-US" w:eastAsia="zh-CN"/>
              </w:rPr>
            </w:pPr>
          </w:p>
        </w:tc>
      </w:tr>
      <w:tr>
        <w:trPr>
          <w:trHeight w:val="23"/>
        </w:trPr>
        <w:tc>
          <w:tcPr>
            <w:tcW w:w="89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3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实现效果</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部门预算项目绩效目标效益指标实施效果</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18"/>
                <w:u w:val="none"/>
                <w:lang w:val="en-US" w:eastAsia="zh-CN"/>
              </w:rPr>
            </w:pPr>
            <w:r>
              <w:rPr>
                <w:rFonts w:ascii="宋体" w:eastAsia="宋体" w:cs="宋体" w:hint="eastAsia"/>
                <w:i w:val="0"/>
                <w:color w:val="000000"/>
                <w:kern w:val="0"/>
                <w:sz w:val="21"/>
                <w:szCs w:val="18"/>
                <w:u w:val="none"/>
                <w:lang w:val="en-US" w:eastAsia="zh-CN"/>
              </w:rPr>
              <w:t>3</w:t>
            </w:r>
          </w:p>
        </w:tc>
        <w:tc>
          <w:tcPr>
            <w:tcW w:w="4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18"/>
                <w:u w:val="none"/>
                <w:lang w:val="en-US" w:eastAsia="zh-CN"/>
              </w:rPr>
            </w:pPr>
          </w:p>
        </w:tc>
      </w:tr>
      <w:tr>
        <w:trPr>
          <w:trHeight w:val="90"/>
        </w:trPr>
        <w:tc>
          <w:tcPr>
            <w:tcW w:w="8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1"/>
                <w:szCs w:val="18"/>
                <w:u w:val="none"/>
              </w:rPr>
            </w:pPr>
            <w:r>
              <w:rPr>
                <w:rFonts w:ascii="宋体" w:eastAsia="宋体" w:cs="宋体" w:hint="eastAsia"/>
                <w:b/>
                <w:i w:val="0"/>
                <w:color w:val="000000"/>
                <w:kern w:val="0"/>
                <w:sz w:val="21"/>
                <w:szCs w:val="18"/>
                <w:u w:val="none"/>
                <w:lang w:val="en-US" w:eastAsia="zh-CN"/>
              </w:rPr>
              <w:t>扣分项</w:t>
              <w:br/>
              <w:t>（10分）</w:t>
            </w:r>
          </w:p>
        </w:tc>
        <w:tc>
          <w:tcPr>
            <w:tcW w:w="30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被评价部门配合度</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1"/>
                <w:szCs w:val="18"/>
                <w:u w:val="none"/>
              </w:rPr>
            </w:pPr>
            <w:r>
              <w:rPr>
                <w:rFonts w:ascii="宋体" w:eastAsia="宋体" w:cs="宋体" w:hint="eastAsia"/>
                <w:i w:val="0"/>
                <w:color w:val="000000"/>
                <w:kern w:val="0"/>
                <w:sz w:val="21"/>
                <w:szCs w:val="18"/>
                <w:u w:val="none"/>
                <w:lang w:val="en-US" w:eastAsia="zh-CN"/>
              </w:rPr>
              <w:t>被评价对象工作配合情况</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1"/>
                <w:szCs w:val="18"/>
                <w:u w:val="none"/>
                <w:lang w:val="en-US" w:eastAsia="zh-CN"/>
              </w:rPr>
            </w:pPr>
          </w:p>
        </w:tc>
        <w:tc>
          <w:tcPr>
            <w:tcW w:w="4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1"/>
                <w:szCs w:val="18"/>
                <w:u w:val="none"/>
                <w:lang w:val="en-US" w:eastAsia="zh-CN"/>
              </w:rPr>
            </w:pPr>
          </w:p>
        </w:tc>
      </w:tr>
    </w:tbl>
    <w:p>
      <w:pPr>
        <w:keepNext w:val="0"/>
        <w:keepLines w:val="0"/>
        <w:pageBreakBefore w:val="0"/>
        <w:widowControl w:val="0"/>
        <w:kinsoku/>
        <w:wordWrap/>
        <w:overflowPunct/>
        <w:topLinePunct w:val="0"/>
        <w:autoSpaceDE/>
        <w:autoSpaceDN/>
        <w:bidi w:val="0"/>
        <w:spacing w:line="578" w:lineRule="exact"/>
        <w:jc w:val="both"/>
        <w:textAlignment w:val="auto"/>
        <w:rPr>
          <w:rFonts w:ascii="黑体" w:eastAsia="黑体" w:cs="黑体" w:hint="eastAsia"/>
          <w:kern w:val="2"/>
          <w:sz w:val="32"/>
          <w:szCs w:val="24"/>
          <w:lang w:val="en-US" w:eastAsia="zh-CN" w:bidi="ar-SA"/>
          <w:highlight w:val="auto"/>
        </w:rPr>
      </w:pPr>
    </w:p>
    <w:p>
      <w:pPr>
        <w:keepNext w:val="0"/>
        <w:keepLines w:val="0"/>
        <w:pageBreakBefore w:val="0"/>
        <w:widowControl w:val="0"/>
        <w:kinsoku/>
        <w:wordWrap/>
        <w:overflowPunct/>
        <w:topLinePunct w:val="0"/>
        <w:autoSpaceDE/>
        <w:autoSpaceDN/>
        <w:bidi w:val="0"/>
        <w:spacing w:line="578" w:lineRule="exact"/>
        <w:jc w:val="both"/>
        <w:textAlignment w:val="auto"/>
        <w:rPr>
          <w:rFonts w:ascii="黑体" w:eastAsia="黑体" w:cs="黑体" w:hint="eastAsia"/>
          <w:kern w:val="2"/>
          <w:sz w:val="32"/>
          <w:szCs w:val="24"/>
          <w:lang w:val="en-US" w:eastAsia="zh-CN" w:bidi="ar-SA"/>
          <w:highlight w:val="auto"/>
        </w:rPr>
      </w:pPr>
    </w:p>
    <w:p>
      <w:pPr>
        <w:keepNext w:val="0"/>
        <w:keepLines w:val="0"/>
        <w:pageBreakBefore w:val="0"/>
        <w:widowControl w:val="0"/>
        <w:kinsoku/>
        <w:wordWrap/>
        <w:overflowPunct/>
        <w:topLinePunct w:val="0"/>
        <w:autoSpaceDE/>
        <w:autoSpaceDN/>
        <w:bidi w:val="0"/>
        <w:spacing w:line="578" w:lineRule="exact"/>
        <w:jc w:val="both"/>
        <w:textAlignment w:val="auto"/>
        <w:rPr>
          <w:rFonts w:ascii="Times New Roman" w:eastAsia="仿宋_GB2312" w:cs="Times New Roman" w:hAnsi="Times New Roman"/>
          <w:kern w:val="2"/>
          <w:sz w:val="32"/>
          <w:szCs w:val="24"/>
          <w:lang w:val="en-US" w:eastAsia="zh-CN" w:bidi="ar-SA"/>
          <w:highlight w:val="auto"/>
        </w:rPr>
      </w:pPr>
      <w:r>
        <w:rPr>
          <w:rFonts w:ascii="黑体" w:eastAsia="黑体" w:cs="黑体" w:hint="eastAsia"/>
          <w:kern w:val="2"/>
          <w:sz w:val="32"/>
          <w:szCs w:val="24"/>
          <w:lang w:val="en-US" w:eastAsia="zh-CN" w:bidi="ar-SA"/>
          <w:highlight w:val="auto"/>
        </w:rPr>
        <w:t>附表2</w:t>
      </w:r>
    </w:p>
    <w:tbl>
      <w:tblPr>
        <w:jc w:val="center"/>
        <w:tblW w:w="10560" w:type="dxa"/>
        <w:tblBorders>
          <w:top w:val="none" w:sz="0" w:space="0" w:color="auto"/>
          <w:left w:val="none" w:sz="0" w:space="0" w:color="auto"/>
          <w:bottom w:val="none" w:sz="0" w:space="0" w:color="auto"/>
          <w:right w:val="none" w:sz="0" w:space="0" w:color="auto"/>
        </w:tblBorders>
        <w:shd w:val="clear" w:color="auto" w:fill="auto"/>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trPr>
          <w:trHeight w:hRule="exact" w:val="762"/>
        </w:trPr>
        <w:tc>
          <w:tcPr>
            <w:tcW w:w="10560" w:type="dxa"/>
            <w:gridSpan w:val="10"/>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eastAsia="黑体" w:cs="Times New Roman" w:hAnsi="Times New Roman"/>
                <w:i w:val="0"/>
                <w:color w:val="000000"/>
                <w:sz w:val="28"/>
                <w:szCs w:val="28"/>
                <w:u w:val="none"/>
              </w:rPr>
            </w:pPr>
            <w:r>
              <w:rPr>
                <w:rFonts w:ascii="Times New Roman" w:eastAsia="方正小标宋简体" w:cs="Times New Roman" w:hAnsi="Times New Roman"/>
                <w:i w:val="0"/>
                <w:color w:val="000000"/>
                <w:kern w:val="0"/>
                <w:sz w:val="44"/>
                <w:szCs w:val="44"/>
                <w:u w:val="none"/>
                <w:lang w:val="en-US" w:eastAsia="zh-CN"/>
              </w:rPr>
              <w:t>部门整体支出绩效目标完成情况自评表</w:t>
            </w:r>
          </w:p>
        </w:tc>
      </w:tr>
      <w:tr>
        <w:trPr>
          <w:trHeight w:val="23"/>
        </w:trPr>
        <w:tc>
          <w:tcPr>
            <w:tcW w:w="10560" w:type="dxa"/>
            <w:gridSpan w:val="10"/>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8"/>
                <w:szCs w:val="28"/>
                <w:u w:val="none"/>
              </w:rPr>
            </w:pPr>
            <w:r>
              <w:rPr>
                <w:rFonts w:ascii="Times New Roman" w:eastAsia="宋体" w:cs="Times New Roman" w:hAnsi="Times New Roman"/>
                <w:i w:val="0"/>
                <w:color w:val="000000"/>
                <w:kern w:val="0"/>
                <w:sz w:val="28"/>
                <w:szCs w:val="28"/>
                <w:u w:val="none"/>
                <w:lang w:val="en-US" w:eastAsia="zh-CN"/>
              </w:rPr>
              <w:t>（</w:t>
            </w:r>
            <w:r>
              <w:rPr>
                <w:rFonts w:eastAsia="宋体" w:cs="Times New Roman" w:hint="eastAsia"/>
                <w:i w:val="0"/>
                <w:color w:val="000000"/>
                <w:kern w:val="0"/>
                <w:sz w:val="28"/>
                <w:szCs w:val="28"/>
                <w:u w:val="none"/>
                <w:lang w:val="en-US" w:eastAsia="zh-CN"/>
              </w:rPr>
              <w:t>2024</w:t>
            </w:r>
            <w:r>
              <w:rPr>
                <w:rFonts w:ascii="Times New Roman" w:eastAsia="宋体" w:cs="Times New Roman" w:hAnsi="Times New Roman"/>
                <w:i w:val="0"/>
                <w:color w:val="000000"/>
                <w:kern w:val="0"/>
                <w:sz w:val="28"/>
                <w:szCs w:val="28"/>
                <w:u w:val="none"/>
                <w:lang w:val="en-US" w:eastAsia="zh-CN"/>
              </w:rPr>
              <w:t>年度）</w:t>
            </w:r>
          </w:p>
        </w:tc>
      </w:tr>
      <w:tr>
        <w:trPr>
          <w:trHeight w:val="23"/>
        </w:trPr>
        <w:tc>
          <w:tcPr>
            <w:tcW w:w="10560" w:type="dxa"/>
            <w:gridSpan w:val="10"/>
            <w:tcBorders>
              <w:top w:val="nil"/>
              <w:left w:val="nil"/>
              <w:bottom w:val="single" w:sz="4" w:space="0" w:color="00000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ascii="Times New Roman" w:eastAsia="宋体" w:cs="Times New Roman" w:hAnsi="Times New Roman"/>
                <w:i w:val="0"/>
                <w:color w:val="000000"/>
                <w:sz w:val="21"/>
                <w:szCs w:val="21"/>
                <w:u w:val="none"/>
              </w:rPr>
            </w:pPr>
            <w:r>
              <w:rPr>
                <w:rFonts w:ascii="Times New Roman" w:eastAsia="宋体" w:cs="Times New Roman" w:hAnsi="Times New Roman"/>
                <w:i w:val="0"/>
                <w:color w:val="000000"/>
                <w:kern w:val="0"/>
                <w:sz w:val="21"/>
                <w:szCs w:val="21"/>
                <w:u w:val="none"/>
                <w:lang w:val="en-US" w:eastAsia="zh-CN"/>
              </w:rPr>
              <w:t>单位：万元</w:t>
            </w:r>
          </w:p>
        </w:tc>
      </w:tr>
      <w:tr>
        <w:trPr>
          <w:trHeight w:val="23"/>
        </w:trPr>
        <w:tc>
          <w:tcPr>
            <w:tcW w:w="392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部门名称</w:t>
            </w:r>
          </w:p>
        </w:tc>
        <w:tc>
          <w:tcPr>
            <w:tcW w:w="6631"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eastAsia="宋体" w:cs="Times New Roman" w:hint="eastAsia"/>
                <w:i w:val="0"/>
                <w:color w:val="000000"/>
                <w:kern w:val="0"/>
                <w:sz w:val="24"/>
                <w:szCs w:val="24"/>
                <w:u w:val="none"/>
                <w:lang w:val="en-US" w:eastAsia="zh-CN"/>
              </w:rPr>
              <w:t>金川县公务中心</w:t>
            </w:r>
          </w:p>
        </w:tc>
      </w:tr>
      <w:tr>
        <w:trPr>
          <w:trHeight w:val="23"/>
        </w:trPr>
        <w:tc>
          <w:tcPr>
            <w:tcW w:w="130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年度部门整体支出预算</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资金总额</w:t>
            </w:r>
          </w:p>
        </w:tc>
        <w:tc>
          <w:tcPr>
            <w:tcW w:w="224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财政拨款</w:t>
            </w:r>
          </w:p>
        </w:tc>
        <w:tc>
          <w:tcPr>
            <w:tcW w:w="438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其他资金</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lang w:val="en-US"/>
              </w:rPr>
            </w:pPr>
            <w:r>
              <w:rPr>
                <w:rFonts w:eastAsia="宋体" w:cs="Times New Roman" w:hint="eastAsia"/>
                <w:i w:val="0"/>
                <w:color w:val="000000"/>
                <w:kern w:val="0"/>
                <w:sz w:val="24"/>
                <w:szCs w:val="24"/>
                <w:u w:val="none"/>
                <w:lang w:val="en-US" w:eastAsia="zh-CN"/>
              </w:rPr>
              <w:t>366.73</w:t>
            </w:r>
          </w:p>
        </w:tc>
        <w:tc>
          <w:tcPr>
            <w:tcW w:w="224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lang w:val="en-US"/>
              </w:rPr>
            </w:pPr>
            <w:r>
              <w:rPr>
                <w:rFonts w:eastAsia="宋体" w:cs="Times New Roman" w:hint="eastAsia"/>
                <w:i w:val="0"/>
                <w:color w:val="000000"/>
                <w:kern w:val="0"/>
                <w:sz w:val="24"/>
                <w:szCs w:val="24"/>
                <w:u w:val="none"/>
                <w:lang w:val="en-US" w:eastAsia="zh-CN"/>
              </w:rPr>
              <w:t>366.73</w:t>
            </w:r>
          </w:p>
        </w:tc>
        <w:tc>
          <w:tcPr>
            <w:tcW w:w="438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eastAsia="宋体" w:cs="Times New Roman" w:hint="eastAsia"/>
                <w:i w:val="0"/>
                <w:color w:val="000000"/>
                <w:kern w:val="0"/>
                <w:sz w:val="24"/>
                <w:szCs w:val="24"/>
                <w:u w:val="none"/>
                <w:lang w:val="en-US" w:eastAsia="zh-CN"/>
              </w:rPr>
              <w:t>0</w:t>
            </w:r>
          </w:p>
        </w:tc>
      </w:tr>
      <w:tr>
        <w:trPr>
          <w:trHeight w:val="23"/>
        </w:trPr>
        <w:tc>
          <w:tcPr>
            <w:tcW w:w="13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年度总体</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目标</w:t>
            </w:r>
          </w:p>
        </w:tc>
        <w:tc>
          <w:tcPr>
            <w:tcW w:w="9251"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pPr>
            <w:r>
              <w:rPr>
                <w:rFonts w:ascii="Times New Roman" w:eastAsia="宋体" w:cs="Times New Roman" w:hAnsi="Times New Roman"/>
                <w:i w:val="0"/>
                <w:color w:val="000000"/>
                <w:kern w:val="0"/>
                <w:sz w:val="24"/>
                <w:szCs w:val="24"/>
                <w:u w:val="none"/>
                <w:lang w:val="en-US" w:eastAsia="zh-CN"/>
              </w:rPr>
              <w:t>根据县委、县政府关于</w:t>
            </w:r>
            <w:r>
              <w:rPr>
                <w:rFonts w:eastAsia="宋体" w:cs="Times New Roman" w:hint="eastAsia"/>
                <w:i w:val="0"/>
                <w:color w:val="000000"/>
                <w:kern w:val="0"/>
                <w:sz w:val="24"/>
                <w:szCs w:val="24"/>
                <w:u w:val="none"/>
                <w:lang w:val="en-US" w:eastAsia="zh-CN"/>
              </w:rPr>
              <w:t>2024</w:t>
            </w:r>
            <w:r>
              <w:rPr>
                <w:rFonts w:ascii="Times New Roman" w:eastAsia="宋体" w:cs="Times New Roman" w:hAnsi="Times New Roman"/>
                <w:i w:val="0"/>
                <w:color w:val="000000"/>
                <w:kern w:val="0"/>
                <w:sz w:val="24"/>
                <w:szCs w:val="24"/>
                <w:u w:val="none"/>
                <w:lang w:val="en-US" w:eastAsia="zh-CN"/>
              </w:rPr>
              <w:t>年全县工作的总体部署，负责县直机关事务的保障、服务工作，指导各乡镇、县级各部门机关事务工作；负责推进、指导、协调、监督全县公共机构节能日常事务，会同有关部门起草县直机关公共机构节能规划、管理制度并组织实施：负责联系协调县级有关部门及关联单位承办县委、县政府重大公务活动的服务工作等。</w:t>
            </w:r>
          </w:p>
        </w:tc>
      </w:tr>
      <w:tr>
        <w:trPr>
          <w:trHeight w:val="23"/>
        </w:trPr>
        <w:tc>
          <w:tcPr>
            <w:tcW w:w="130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年度主要</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任务</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任务名称</w:t>
            </w:r>
          </w:p>
        </w:tc>
        <w:tc>
          <w:tcPr>
            <w:tcW w:w="6631"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主要内容</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后勤管理</w:t>
            </w:r>
          </w:p>
        </w:tc>
        <w:tc>
          <w:tcPr>
            <w:tcW w:w="6631"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pPr>
            <w:r>
              <w:rPr>
                <w:rFonts w:ascii="Times New Roman" w:eastAsia="宋体" w:cs="Times New Roman" w:hAnsi="Times New Roman"/>
                <w:i w:val="0"/>
                <w:color w:val="000000"/>
                <w:kern w:val="0"/>
                <w:sz w:val="24"/>
                <w:szCs w:val="24"/>
                <w:u w:val="none"/>
                <w:lang w:val="en-US" w:eastAsia="zh-CN"/>
              </w:rPr>
              <w:t>负责起草全县机关事务工作的相关规划和制度并组织实施，负责县直机关事务的保障、服务工作，指导各乡镇、县级各部门机关事务工作。负责起草全县统一的机关后勤服务管理制度，负责指导各乡镇、县直机关后勤服务工作。负责指导各乡镇、县直机关后勤服务工作。负责起草县直机关后勤服务项目和标准。承担县直机关周转房分配、管理、维修、维护、物业管理等后勤保障日常事务。负责会同相关部门提出县直机关周转房的需求及建设计划。</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后勤服务</w:t>
            </w:r>
          </w:p>
        </w:tc>
        <w:tc>
          <w:tcPr>
            <w:tcW w:w="6631"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负责各级党委、政府、人大、政协及各部门来县的服务保障工作；按照有关规定负责和参与党中央、国务院、省委、省政府、州委、州政府的巡视、检查、督查（督导、督察）、考察、调研、考核、审计等工作组来县的服务保障；负责县委、县政府交办的由县公务服务中心承担的外事接待和招商引资事项的服务保障；按照中央八项规定、省委、省政府十项规定及其实施细则要求、</w:t>
            </w:r>
            <w:r>
              <w:rPr>
                <w:rFonts w:cs="Times New Roman" w:hint="eastAsia"/>
                <w:i w:val="0"/>
                <w:color w:val="000000"/>
                <w:sz w:val="24"/>
                <w:szCs w:val="24"/>
                <w:u w:val="none"/>
                <w:lang w:eastAsia="zh-CN"/>
              </w:rPr>
              <w:t>州委、州政府</w:t>
            </w:r>
            <w:r>
              <w:rPr>
                <w:rFonts w:ascii="Times New Roman" w:eastAsia="宋体" w:cs="Times New Roman" w:hAnsi="Times New Roman"/>
                <w:i w:val="0"/>
                <w:color w:val="000000"/>
                <w:sz w:val="24"/>
                <w:szCs w:val="24"/>
                <w:u w:val="none"/>
              </w:rPr>
              <w:t>八条意见，负责联系协调县级有关部门及关联单位承办县委、县政府重大公务活动的服务工作；会同县级有关部门承担县委、县政府交办的大型会议、活动的接待服务保障工作。</w:t>
            </w:r>
          </w:p>
          <w:p>
            <w:pPr>
              <w:rPr>
                <w:rFonts w:hint="eastAsia"/>
                <w:lang w:eastAsia="zh-CN"/>
              </w:rPr>
            </w:pP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机构节能</w:t>
            </w:r>
          </w:p>
        </w:tc>
        <w:tc>
          <w:tcPr>
            <w:tcW w:w="6631"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pPr>
            <w:r>
              <w:rPr>
                <w:rFonts w:ascii="Times New Roman" w:eastAsia="宋体" w:cs="Times New Roman" w:hAnsi="Times New Roman"/>
                <w:i w:val="0"/>
                <w:color w:val="000000"/>
                <w:sz w:val="24"/>
                <w:szCs w:val="24"/>
                <w:u w:val="none"/>
              </w:rPr>
              <w:t>负责推进、指导、协调、监督全县公共机构节能日常事务，会同有关部门起草县直机关公共机构节能规划、管理制度并组织实施。会同有关部门起草县直机关节能年度改造计划并组织实施，组织开展全县公共机构能耗统计、监测和评价考核日常工作。</w:t>
            </w:r>
          </w:p>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综合服务事</w:t>
            </w:r>
          </w:p>
        </w:tc>
        <w:tc>
          <w:tcPr>
            <w:tcW w:w="6631"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pPr>
            <w:r>
              <w:rPr>
                <w:rFonts w:ascii="Times New Roman" w:eastAsia="宋体" w:cs="Times New Roman" w:hAnsi="Times New Roman"/>
                <w:i w:val="0"/>
                <w:color w:val="000000"/>
                <w:sz w:val="24"/>
                <w:szCs w:val="24"/>
                <w:u w:val="none"/>
              </w:rPr>
              <w:t>完成县委、县政府交办的其他任务；负责办理中办警卫局、省警卫局及州安排的有关在县事务；负责办公室综合事务。</w:t>
            </w:r>
          </w:p>
        </w:tc>
      </w:tr>
      <w:tr>
        <w:trPr>
          <w:trHeight w:val="23"/>
        </w:trPr>
        <w:tc>
          <w:tcPr>
            <w:tcW w:w="130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年度绩效</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指标</w:t>
            </w:r>
          </w:p>
        </w:tc>
        <w:tc>
          <w:tcPr>
            <w:tcW w:w="13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一级指标</w:t>
            </w: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二级指标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三级指标</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性质</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绩效指标值</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绩效度量单位</w:t>
            </w:r>
          </w:p>
        </w:tc>
        <w:tc>
          <w:tcPr>
            <w:tcW w:w="926"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权重</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实际完成</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指标值</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产出指标</w:t>
            </w: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数量指标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完成</w:t>
            </w:r>
            <w:r>
              <w:rPr>
                <w:rFonts w:eastAsia="宋体" w:cs="Times New Roman" w:hint="eastAsia"/>
                <w:i w:val="0"/>
                <w:color w:val="000000"/>
                <w:sz w:val="24"/>
                <w:szCs w:val="24"/>
                <w:u w:val="none"/>
                <w:lang w:eastAsia="zh-CN"/>
              </w:rPr>
              <w:t>2024</w:t>
            </w:r>
            <w:r>
              <w:rPr>
                <w:rFonts w:ascii="Times New Roman" w:eastAsia="宋体" w:cs="Times New Roman" w:hAnsi="Times New Roman"/>
                <w:i w:val="0"/>
                <w:color w:val="000000"/>
                <w:sz w:val="24"/>
                <w:szCs w:val="24"/>
                <w:u w:val="none"/>
              </w:rPr>
              <w:t>年度公务接待</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ascii="Times New Roman" w:eastAsia="宋体" w:cs="Times New Roman" w:hAnsi="Times New Roman"/>
                <w:i w:val="0"/>
                <w:color w:val="000000"/>
                <w:sz w:val="24"/>
                <w:szCs w:val="24"/>
                <w:u w:val="none"/>
              </w:rPr>
              <w:t>3</w:t>
            </w:r>
            <w:r>
              <w:rPr>
                <w:rFonts w:eastAsia="宋体" w:cs="Times New Roman" w:hint="eastAsia"/>
                <w:i w:val="0"/>
                <w:color w:val="000000"/>
                <w:sz w:val="24"/>
                <w:szCs w:val="24"/>
                <w:u w:val="none"/>
                <w:lang w:val="en-US" w:eastAsia="zh-CN"/>
              </w:rPr>
              <w:t>30</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批次</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15</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eastAsia="宋体" w:cs="Times New Roman" w:hint="eastAsia"/>
                <w:i w:val="0"/>
                <w:color w:val="000000"/>
                <w:sz w:val="24"/>
                <w:szCs w:val="24"/>
                <w:u w:val="none"/>
                <w:lang w:val="en-US" w:eastAsia="zh-CN"/>
              </w:rPr>
              <w:t>100%</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质量指标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准确及时支付人员经费、缴纳各类保险、公务接待费等</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95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15</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eastAsia="宋体" w:cs="Times New Roman" w:hint="eastAsia"/>
                <w:i w:val="0"/>
                <w:color w:val="000000"/>
                <w:sz w:val="24"/>
                <w:szCs w:val="24"/>
                <w:u w:val="none"/>
                <w:lang w:val="en-US" w:eastAsia="zh-CN"/>
              </w:rPr>
              <w:t>100%</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时效指标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及时拨付率</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90</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15</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eastAsia="宋体" w:cs="Times New Roman" w:hint="eastAsia"/>
                <w:i w:val="0"/>
                <w:color w:val="000000"/>
                <w:sz w:val="24"/>
                <w:szCs w:val="24"/>
                <w:u w:val="none"/>
                <w:lang w:val="en-US" w:eastAsia="zh-CN"/>
              </w:rPr>
              <w:t>100%</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效益指标</w:t>
            </w:r>
          </w:p>
        </w:tc>
        <w:tc>
          <w:tcPr>
            <w:tcW w:w="1273" w:type="dxa"/>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社会效益</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以节约成本为准则</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95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15</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eastAsia="宋体" w:cs="Times New Roman" w:hint="eastAsia"/>
                <w:i w:val="0"/>
                <w:color w:val="000000"/>
                <w:sz w:val="24"/>
                <w:szCs w:val="24"/>
                <w:u w:val="none"/>
                <w:lang w:val="en-US" w:eastAsia="zh-CN"/>
              </w:rPr>
              <w:t>100%</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2"/>
                <w:sz w:val="24"/>
                <w:szCs w:val="24"/>
                <w:u w:val="none"/>
                <w:lang w:val="en-US" w:eastAsia="zh-CN" w:bidi="ar-SA"/>
              </w:rPr>
            </w:pPr>
            <w:r>
              <w:rPr>
                <w:rFonts w:ascii="Times New Roman" w:eastAsia="宋体" w:cs="Times New Roman" w:hAnsi="Times New Roman"/>
                <w:i w:val="0"/>
                <w:color w:val="000000"/>
                <w:kern w:val="0"/>
                <w:sz w:val="24"/>
                <w:szCs w:val="24"/>
                <w:u w:val="none"/>
                <w:lang w:val="en-US" w:eastAsia="zh-CN"/>
              </w:rPr>
              <w:t>满意度指标</w:t>
            </w: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服务对象</w:t>
            </w:r>
            <w:r>
              <w:rPr>
                <w:rFonts w:ascii="Times New Roman" w:eastAsia="宋体" w:cs="Times New Roman" w:hAnsi="Times New Roman"/>
                <w:i w:val="0"/>
                <w:color w:val="000000"/>
                <w:kern w:val="0"/>
                <w:sz w:val="24"/>
                <w:szCs w:val="24"/>
                <w:u w:val="none"/>
                <w:lang w:val="en-US" w:eastAsia="zh-CN"/>
              </w:rPr>
              <w:t>满意度指标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行政机关</w:t>
            </w:r>
            <w:r>
              <w:rPr>
                <w:rFonts w:ascii="Times New Roman" w:eastAsia="宋体" w:cs="Times New Roman" w:hAnsi="Times New Roman"/>
                <w:i w:val="0"/>
                <w:color w:val="000000"/>
                <w:kern w:val="0"/>
                <w:sz w:val="24"/>
                <w:szCs w:val="24"/>
                <w:u w:val="none"/>
                <w:lang w:val="en-US" w:eastAsia="zh-CN"/>
              </w:rPr>
              <w:t>满意度</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sz w:val="24"/>
                <w:szCs w:val="24"/>
                <w:u w:val="none"/>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95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15</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100</w:t>
            </w:r>
            <w:r>
              <w:rPr>
                <w:rFonts w:eastAsia="宋体" w:cs="Times New Roman" w:hint="eastAsia"/>
                <w:i w:val="0"/>
                <w:color w:val="000000"/>
                <w:kern w:val="0"/>
                <w:sz w:val="24"/>
                <w:szCs w:val="24"/>
                <w:u w:val="none"/>
                <w:lang w:val="en-US" w:eastAsia="zh-CN"/>
              </w:rPr>
              <w:t>%</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tcBorders>
              <w:top w:val="nil"/>
              <w:left w:val="single" w:sz="4" w:space="0" w:color="000000"/>
              <w:bottom w:val="single" w:sz="4" w:space="0" w:color="000000"/>
              <w:right w:val="single" w:sz="4" w:space="0" w:color="000000"/>
            </w:tcBorders>
            <w:shd w:val="clear" w:color="auto" w:fill="auto"/>
            <w:noWrap/>
            <w:vAlign w:val="center"/>
          </w:tcP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2"/>
                <w:sz w:val="24"/>
                <w:szCs w:val="24"/>
                <w:u w:val="none"/>
                <w:lang w:val="en-US" w:eastAsia="zh-CN" w:bidi="ar-SA"/>
              </w:rPr>
            </w:pPr>
            <w:r>
              <w:rPr>
                <w:rFonts w:ascii="Times New Roman" w:eastAsia="宋体" w:cs="Times New Roman" w:hAnsi="Times New Roman"/>
                <w:i w:val="0"/>
                <w:color w:val="000000"/>
                <w:kern w:val="0"/>
                <w:sz w:val="24"/>
                <w:szCs w:val="24"/>
                <w:u w:val="none"/>
                <w:lang w:val="en-US" w:eastAsia="zh-CN"/>
              </w:rPr>
              <w:t>满意度指标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职工满意度</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95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100%</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成本指标</w:t>
            </w: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经济成本指标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年公务接待费总额度控制</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320</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万元</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20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55.78%</w:t>
            </w:r>
          </w:p>
        </w:tc>
      </w:tr>
    </w:tbl>
    <w:p>
      <w:pPr>
        <w:pStyle w:val="24"/>
        <w:ind w:leftChars="0" w:left="0" w:firstLineChars="0" w:firstLine="0"/>
        <w:rPr>
          <w:rFonts w:ascii="Times New Roman" w:eastAsia="黑体" w:cs="Times New Roman" w:hAnsi="Times New Roman"/>
          <w:sz w:val="24"/>
          <w:szCs w:val="24"/>
          <w:lang w:val="en-US" w:eastAsia="zh-CN"/>
          <w:highlight w:val="auto"/>
        </w:rPr>
      </w:pPr>
    </w:p>
    <w:p>
      <w:pPr>
        <w:spacing w:line="600" w:lineRule="exact"/>
        <w:ind w:firstLineChars="200" w:firstLine="640"/>
        <w:rPr>
          <w:rFonts w:ascii="仿宋_GB2312" w:eastAsia="仿宋_GB2312" w:cs="仿宋_GB2312" w:hint="eastAsia"/>
          <w:sz w:val="32"/>
          <w:szCs w:val="32"/>
          <w:lang w:val="en-US" w:eastAsia="zh-CN"/>
        </w:rPr>
      </w:pPr>
    </w:p>
    <w:p>
      <w:pPr>
        <w:spacing w:line="600" w:lineRule="exact"/>
        <w:ind w:firstLineChars="200" w:firstLine="640"/>
        <w:rPr>
          <w:rFonts w:ascii="仿宋_GB2312" w:eastAsia="仿宋_GB2312" w:cs="仿宋_GB2312" w:hint="eastAsia"/>
          <w:sz w:val="32"/>
          <w:szCs w:val="32"/>
          <w:lang w:val="en-US" w:eastAsia="zh-CN"/>
        </w:rPr>
      </w:pPr>
    </w:p>
    <w:p>
      <w:pPr>
        <w:spacing w:line="600" w:lineRule="exact"/>
        <w:ind w:firstLineChars="200" w:firstLine="640"/>
        <w:rPr>
          <w:rFonts w:ascii="仿宋_GB2312" w:eastAsia="仿宋_GB2312" w:cs="仿宋_GB2312" w:hint="eastAsia"/>
          <w:sz w:val="32"/>
          <w:szCs w:val="32"/>
          <w:lang w:val="en-US" w:eastAsia="zh-CN"/>
        </w:rPr>
      </w:pPr>
    </w:p>
    <w:p>
      <w:pPr>
        <w:spacing w:line="600" w:lineRule="exact"/>
        <w:ind w:firstLineChars="200" w:firstLine="640"/>
        <w:rPr>
          <w:rFonts w:ascii="仿宋_GB2312" w:eastAsia="仿宋_GB2312" w:cs="仿宋_GB2312" w:hint="eastAsia"/>
          <w:sz w:val="32"/>
          <w:szCs w:val="32"/>
          <w:lang w:val="en-US" w:eastAsia="zh-CN"/>
        </w:rPr>
      </w:pPr>
    </w:p>
    <w:p>
      <w:pPr>
        <w:spacing w:line="600" w:lineRule="exact"/>
        <w:ind w:firstLineChars="200" w:firstLine="640"/>
        <w:rPr>
          <w:rFonts w:ascii="仿宋_GB2312" w:eastAsia="仿宋_GB2312" w:cs="仿宋_GB2312" w:hint="eastAsia"/>
          <w:sz w:val="32"/>
          <w:szCs w:val="32"/>
          <w:lang w:val="en-US" w:eastAsia="zh-CN"/>
        </w:rPr>
      </w:pPr>
    </w:p>
    <w:p>
      <w:pPr>
        <w:spacing w:line="600" w:lineRule="exact"/>
        <w:ind w:firstLineChars="200" w:firstLine="640"/>
        <w:rPr>
          <w:rFonts w:ascii="仿宋_GB2312" w:eastAsia="仿宋_GB2312" w:cs="仿宋_GB2312" w:hint="eastAsia"/>
          <w:sz w:val="32"/>
          <w:szCs w:val="32"/>
          <w:lang w:val="en-US" w:eastAsia="zh-CN"/>
        </w:rPr>
      </w:pPr>
    </w:p>
    <w:p>
      <w:pPr>
        <w:spacing w:line="600" w:lineRule="exact"/>
        <w:ind w:firstLineChars="200" w:firstLine="640"/>
        <w:rPr>
          <w:rFonts w:ascii="仿宋_GB2312" w:eastAsia="仿宋_GB2312" w:cs="仿宋_GB2312" w:hint="eastAsia"/>
          <w:sz w:val="32"/>
          <w:szCs w:val="32"/>
          <w:lang w:val="en-US" w:eastAsia="zh-CN"/>
        </w:rPr>
      </w:pPr>
    </w:p>
    <w:p>
      <w:pPr>
        <w:spacing w:line="600" w:lineRule="exact"/>
        <w:ind w:firstLineChars="200" w:firstLine="640"/>
        <w:rPr>
          <w:rFonts w:ascii="仿宋_GB2312" w:eastAsia="仿宋_GB2312" w:cs="仿宋_GB2312" w:hint="eastAsia"/>
          <w:sz w:val="32"/>
          <w:szCs w:val="32"/>
          <w:lang w:val="en-US" w:eastAsia="zh-CN"/>
        </w:rPr>
      </w:pPr>
    </w:p>
    <w:p>
      <w:pPr>
        <w:spacing w:line="600" w:lineRule="exact"/>
        <w:ind w:firstLineChars="200" w:firstLine="640"/>
        <w:rPr>
          <w:rFonts w:ascii="仿宋_GB2312" w:eastAsia="仿宋_GB2312" w:cs="仿宋_GB2312" w:hint="eastAsia"/>
          <w:sz w:val="32"/>
          <w:szCs w:val="32"/>
          <w:lang w:val="en-US" w:eastAsia="zh-CN"/>
        </w:rPr>
      </w:pPr>
    </w:p>
    <w:p>
      <w:pPr>
        <w:spacing w:line="600" w:lineRule="exact"/>
        <w:ind w:firstLineChars="200" w:firstLine="640"/>
        <w:rPr>
          <w:rFonts w:ascii="仿宋_GB2312" w:eastAsia="仿宋_GB2312" w:cs="仿宋_GB2312" w:hint="eastAsia"/>
          <w:sz w:val="32"/>
          <w:szCs w:val="32"/>
          <w:lang w:val="en-US" w:eastAsia="zh-CN"/>
        </w:rPr>
      </w:pPr>
    </w:p>
    <w:p>
      <w:pPr>
        <w:spacing w:line="600" w:lineRule="exact"/>
        <w:ind w:firstLineChars="200" w:firstLine="640"/>
        <w:rPr>
          <w:rFonts w:ascii="仿宋_GB2312" w:eastAsia="仿宋_GB2312" w:cs="仿宋_GB2312" w:hint="eastAsia"/>
          <w:sz w:val="32"/>
          <w:szCs w:val="32"/>
          <w:lang w:val="en-US" w:eastAsia="zh-CN"/>
        </w:rPr>
      </w:pPr>
    </w:p>
    <w:p>
      <w:pPr>
        <w:spacing w:line="600" w:lineRule="exact"/>
        <w:ind w:firstLineChars="200" w:firstLine="640"/>
        <w:rPr>
          <w:rFonts w:ascii="仿宋_GB2312" w:eastAsia="仿宋_GB2312" w:cs="仿宋_GB2312" w:hint="eastAsia"/>
          <w:sz w:val="32"/>
          <w:szCs w:val="32"/>
          <w:lang w:val="en-US" w:eastAsia="zh-CN"/>
        </w:rPr>
      </w:pPr>
    </w:p>
    <w:p>
      <w:pPr>
        <w:spacing w:line="600" w:lineRule="exact"/>
        <w:ind w:firstLineChars="200" w:firstLine="640"/>
        <w:rPr>
          <w:rFonts w:ascii="仿宋_GB2312" w:eastAsia="仿宋_GB2312" w:cs="仿宋_GB2312" w:hint="eastAsia"/>
          <w:sz w:val="32"/>
          <w:szCs w:val="32"/>
          <w:lang w:val="en-US" w:eastAsia="zh-CN"/>
        </w:rPr>
      </w:pPr>
    </w:p>
    <w:p>
      <w:pPr>
        <w:spacing w:line="600" w:lineRule="exact"/>
        <w:ind w:firstLineChars="200" w:firstLine="640"/>
        <w:rPr>
          <w:rFonts w:ascii="仿宋_GB2312" w:eastAsia="仿宋_GB2312" w:cs="仿宋_GB2312" w:hint="eastAsia"/>
          <w:sz w:val="32"/>
          <w:szCs w:val="32"/>
          <w:lang w:val="en-US" w:eastAsia="zh-CN"/>
        </w:rPr>
      </w:pPr>
    </w:p>
    <w:p>
      <w:pPr>
        <w:pStyle w:val="24"/>
        <w:pageBreakBefore w:val="0"/>
        <w:widowControl w:val="0"/>
        <w:kinsoku/>
        <w:wordWrap/>
        <w:overflowPunct/>
        <w:topLinePunct w:val="0"/>
        <w:autoSpaceDE/>
        <w:autoSpaceDN/>
        <w:bidi w:val="0"/>
        <w:adjustRightInd/>
        <w:snapToGrid/>
        <w:spacing w:after="0" w:line="578" w:lineRule="exact"/>
        <w:ind w:leftChars="0" w:left="0" w:firstLineChars="0" w:firstLine="0"/>
        <w:rPr>
          <w:rFonts w:ascii="Times New Roman" w:eastAsia="黑体" w:cs="Times New Roman" w:hAnsi="Times New Roman" w:hint="eastAsia"/>
          <w:kern w:val="2"/>
          <w:sz w:val="32"/>
          <w:szCs w:val="24"/>
          <w:lang w:val="en-US" w:eastAsia="zh-CN" w:bidi="ar-SA"/>
          <w:highlight w:val="auto"/>
        </w:rPr>
      </w:pPr>
      <w:bookmarkStart w:id="87" w:name="_Toc5665"/>
      <w:r>
        <w:rPr>
          <w:rFonts w:ascii="Times New Roman" w:eastAsia="黑体" w:cs="Times New Roman" w:hAnsi="Times New Roman"/>
          <w:kern w:val="2"/>
          <w:sz w:val="32"/>
          <w:szCs w:val="24"/>
          <w:lang w:val="en-US" w:eastAsia="zh-CN" w:bidi="ar-SA"/>
          <w:highlight w:val="auto"/>
        </w:rPr>
        <w:t>附表</w:t>
      </w:r>
      <w:r>
        <w:rPr>
          <w:rFonts w:ascii="Times New Roman" w:eastAsia="黑体" w:cs="Times New Roman" w:hAnsi="Times New Roman" w:hint="eastAsia"/>
          <w:kern w:val="2"/>
          <w:sz w:val="32"/>
          <w:szCs w:val="24"/>
          <w:lang w:val="en-US" w:eastAsia="zh-CN" w:bidi="ar-SA"/>
          <w:highlight w:val="auto"/>
        </w:rPr>
        <w:t>3</w:t>
      </w: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rPr>
      </w:pPr>
      <w:r>
        <w:rPr>
          <w:rFonts w:ascii="Times New Roman" w:eastAsia="方正小标宋简体" w:cs="Times New Roman" w:hAnsi="Times New Roman"/>
          <w:i w:val="0"/>
          <w:color w:val="000000"/>
          <w:kern w:val="0"/>
          <w:sz w:val="44"/>
          <w:szCs w:val="44"/>
          <w:u w:val="none"/>
          <w:lang w:val="en-US" w:eastAsia="zh-CN"/>
        </w:rPr>
        <w:t>部门预算项目支出绩效评价表</w:t>
      </w: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仿宋_GB2312" w:cs="Times New Roman" w:hAnsi="Times New Roman" w:hint="eastAsia"/>
          <w:b w:val="0"/>
          <w:color w:val="000000"/>
          <w:kern w:val="0"/>
          <w:sz w:val="32"/>
          <w:szCs w:val="32"/>
          <w:shd w:val="clear" w:color="auto" w:fill="FFFFFF"/>
          <w:lang w:val="en-US" w:eastAsia="zh-CN" w:bidi="ar-SA"/>
          <w:highlight w:val="auto"/>
        </w:rPr>
      </w:pPr>
      <w:r>
        <w:rPr>
          <w:rFonts w:ascii="Times New Roman" w:eastAsia="方正小标宋简体" w:cs="Times New Roman" w:hAnsi="Times New Roman"/>
          <w:i w:val="0"/>
          <w:color w:val="000000"/>
          <w:kern w:val="0"/>
          <w:sz w:val="32"/>
          <w:szCs w:val="32"/>
          <w:u w:val="none"/>
          <w:lang w:val="en-US" w:eastAsia="zh-CN"/>
        </w:rPr>
        <w:t>（2024年度）</w:t>
      </w:r>
    </w:p>
    <w:tbl>
      <w:tblPr>
        <w:jc w:val="left"/>
        <w:tblInd w:w="-1164" w:type="dxa"/>
        <w:tblW w:w="6346" w:type="pct"/>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1152"/>
        <w:gridCol w:w="1308"/>
        <w:gridCol w:w="834"/>
        <w:gridCol w:w="1398"/>
        <w:gridCol w:w="758"/>
        <w:gridCol w:w="908"/>
        <w:gridCol w:w="714"/>
        <w:gridCol w:w="1152"/>
        <w:gridCol w:w="729"/>
        <w:gridCol w:w="697"/>
        <w:gridCol w:w="880"/>
      </w:tblGrid>
      <w:tr>
        <w:trPr>
          <w:trHeight w:val="23"/>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部门预算项目支出绩效自评表（2024年度）</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项目名称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51000021Y000000011490</w:t>
            </w:r>
            <w:r>
              <w:rPr>
                <w:rFonts w:cs="Times New Roman" w:hint="eastAsia"/>
                <w:i w:val="0"/>
                <w:color w:val="000000"/>
                <w:kern w:val="0"/>
                <w:sz w:val="24"/>
                <w:szCs w:val="24"/>
                <w:u w:val="none"/>
                <w:lang w:val="en-US" w:eastAsia="zh-CN"/>
              </w:rPr>
              <w:t>－</w:t>
            </w:r>
            <w:r>
              <w:rPr>
                <w:rFonts w:ascii="Times New Roman" w:eastAsia="宋体" w:cs="Times New Roman" w:hAnsi="Times New Roman"/>
                <w:i w:val="0"/>
                <w:color w:val="000000"/>
                <w:kern w:val="0"/>
                <w:sz w:val="24"/>
                <w:szCs w:val="24"/>
                <w:u w:val="none"/>
                <w:lang w:val="en-US" w:eastAsia="zh-CN"/>
              </w:rPr>
              <w:t>日常公用经费</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主管部门</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金川县公务服务中心本级</w:t>
            </w: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实施单位 （盖章）</w:t>
            </w:r>
          </w:p>
        </w:tc>
        <w:tc>
          <w:tcPr>
            <w:tcW w:w="109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w:t>
            </w: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项目基本情况</w:t>
            </w:r>
          </w:p>
        </w:tc>
        <w:tc>
          <w:tcPr>
            <w:tcW w:w="6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1.项目年度目标完成情况</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项目年度目标</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年度目标完成情况</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提高预算编制质量，严格执行预算，保障单位日常运转。</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2.项目实施内容及过程概述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预算执行情况（10分）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年度预算数（万元）</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年初预算</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调整后预算数</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预算执行数</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预算执行率</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原因</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总额</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12.17</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28.59</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28.59</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其中：财政资金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12.17</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28.59</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28.59</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财政专户管理资金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单位资金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其他资金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绩效指标（90分）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一级指标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二级指标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三级指标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指标性质</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指标值</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度量单位</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完成值</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未完成原因分析</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产出指标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数量指标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科目调整次数</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5</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次</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质量指标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预算编制准确率（计算方法为：∣（执行数</w:t>
            </w:r>
            <w:r>
              <w:rPr>
                <w:rFonts w:cs="Times New Roman" w:hint="eastAsia"/>
                <w:i w:val="0"/>
                <w:color w:val="000000"/>
                <w:kern w:val="0"/>
                <w:sz w:val="24"/>
                <w:szCs w:val="24"/>
                <w:u w:val="none"/>
                <w:lang w:val="en-US" w:eastAsia="zh-CN"/>
              </w:rPr>
              <w:t>－</w:t>
            </w:r>
            <w:r>
              <w:rPr>
                <w:rFonts w:ascii="Times New Roman" w:eastAsia="宋体" w:cs="Times New Roman" w:hAnsi="Times New Roman"/>
                <w:i w:val="0"/>
                <w:color w:val="000000"/>
                <w:kern w:val="0"/>
                <w:sz w:val="24"/>
                <w:szCs w:val="24"/>
                <w:u w:val="none"/>
                <w:lang w:val="en-US" w:eastAsia="zh-CN"/>
              </w:rPr>
              <w:t>预算数）/预算数∣）</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5</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效益指标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经济效益指标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“三公经费”控制率[计算方法为：（三公经费实际支出数/预算安排数]×100%）</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社会效益指标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运转保障率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3905"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合计</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评价结论</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优</w:t>
            </w: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存在问题</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改进措施</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2588"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项目负责人：桑青娜姆</w:t>
            </w:r>
          </w:p>
        </w:tc>
        <w:tc>
          <w:tcPr>
            <w:tcW w:w="2411"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财务负责人：桑青娜姆</w:t>
            </w:r>
          </w:p>
        </w:tc>
      </w:tr>
      <w:tr>
        <w:trPr>
          <w:trHeight w:val="23"/>
        </w:trPr>
        <w:tc>
          <w:tcPr>
            <w:tcW w:w="54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9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5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部门预算项目支出绩效自评表（2024年度）</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项目名称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51322622R000000307551</w:t>
            </w:r>
            <w:r>
              <w:rPr>
                <w:rFonts w:cs="Times New Roman" w:hint="eastAsia"/>
                <w:i w:val="0"/>
                <w:color w:val="000000"/>
                <w:kern w:val="0"/>
                <w:sz w:val="24"/>
                <w:szCs w:val="24"/>
                <w:u w:val="none"/>
                <w:lang w:val="en-US" w:eastAsia="zh-CN"/>
              </w:rPr>
              <w:t>－</w:t>
            </w:r>
            <w:r>
              <w:rPr>
                <w:rFonts w:ascii="Times New Roman" w:eastAsia="宋体" w:cs="Times New Roman" w:hAnsi="Times New Roman"/>
                <w:i w:val="0"/>
                <w:color w:val="000000"/>
                <w:kern w:val="0"/>
                <w:sz w:val="24"/>
                <w:szCs w:val="24"/>
                <w:u w:val="none"/>
                <w:lang w:val="en-US" w:eastAsia="zh-CN"/>
              </w:rPr>
              <w:t>其他社会保障缴费（失业保险）</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主管部门</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金川县公务服务中心本级</w:t>
            </w: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实施单位 （盖章）</w:t>
            </w:r>
          </w:p>
        </w:tc>
        <w:tc>
          <w:tcPr>
            <w:tcW w:w="109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w:t>
            </w: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项目基本情况</w:t>
            </w:r>
          </w:p>
        </w:tc>
        <w:tc>
          <w:tcPr>
            <w:tcW w:w="6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1.项目年度目标完成情况</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项目年度目标</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年度目标完成情况</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严格执行相关政策，保障工资及时、足额发放或社保及时、足额缴纳，预算编制科学合理，减少结余资金。</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2.项目实施内容及过程概述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预算执行情况（10分）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年度预算数（万元）</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年初预算</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调整后预算数</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预算执行数</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预算执行率</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原因</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总额</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0.57</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0.53</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0.53</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其中：财政资金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0.57</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0.53</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0.53</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财政专户管理资金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单位资金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其他资金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绩效指标（90分）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一级指标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二级指标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三级指标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指标性质</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指标值</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度量单位</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完成值</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未完成原因分析</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产出指标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数量指标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发放（缴纳）覆盖率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效益指标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社会效益指标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足额保障率（参保率）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3905"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合计</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评价结论</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优</w:t>
            </w: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存在问题</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改进措施</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2588"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项目负责人：桑青娜姆</w:t>
            </w:r>
          </w:p>
        </w:tc>
        <w:tc>
          <w:tcPr>
            <w:tcW w:w="2411"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财务负责人：桑青娜姆</w:t>
            </w:r>
          </w:p>
        </w:tc>
      </w:tr>
      <w:tr>
        <w:trPr>
          <w:trHeight w:val="23"/>
        </w:trPr>
        <w:tc>
          <w:tcPr>
            <w:tcW w:w="54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9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5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部门预算项目支出绩效自评表（2024年度）</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项目名称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51322622R000000307567</w:t>
            </w:r>
            <w:r>
              <w:rPr>
                <w:rFonts w:cs="Times New Roman" w:hint="eastAsia"/>
                <w:i w:val="0"/>
                <w:color w:val="000000"/>
                <w:kern w:val="0"/>
                <w:sz w:val="24"/>
                <w:szCs w:val="24"/>
                <w:u w:val="none"/>
                <w:lang w:val="en-US" w:eastAsia="zh-CN"/>
              </w:rPr>
              <w:t>－</w:t>
            </w:r>
            <w:r>
              <w:rPr>
                <w:rFonts w:ascii="Times New Roman" w:eastAsia="宋体" w:cs="Times New Roman" w:hAnsi="Times New Roman"/>
                <w:i w:val="0"/>
                <w:color w:val="000000"/>
                <w:kern w:val="0"/>
                <w:sz w:val="24"/>
                <w:szCs w:val="24"/>
                <w:u w:val="none"/>
                <w:lang w:val="en-US" w:eastAsia="zh-CN"/>
              </w:rPr>
              <w:t>其他社会保障缴费（工伤保险）</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主管部门</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金川县公务服务中心本级</w:t>
            </w: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实施单位 （盖章）</w:t>
            </w:r>
          </w:p>
        </w:tc>
        <w:tc>
          <w:tcPr>
            <w:tcW w:w="109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w:t>
            </w: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项目基本情况</w:t>
            </w:r>
          </w:p>
        </w:tc>
        <w:tc>
          <w:tcPr>
            <w:tcW w:w="6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1.项目年度目标完成情况</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项目年度目标</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年度目标完成情况</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严格执行相关政策，保障工资及时、足额发放或社保及时、足额缴纳，预算编制科学合理，减少结余资金。</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2.项目实施内容及过程概述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预算执行情况（10分）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年度预算数（万元）</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年初预算</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调整后预算数</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预算执行数</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预算执行率</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原因</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总额</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0.15</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0.14</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0.14</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其中：财政资金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0.15</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0.14</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0.14</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财政专户管理资金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单位资金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其他资金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绩效指标（90分）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一级指标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二级指标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三级指标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指标性质</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指标值</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度量单位</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完成值</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未完成原因分析</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产出指标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数量指标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发放（缴纳）覆盖率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效益指标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社会效益指标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足额保障率（参保率）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3905"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合计</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评价结论</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优</w:t>
            </w: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存在问题</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改进措施</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2588"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项目负责人：桑青娜姆</w:t>
            </w:r>
          </w:p>
        </w:tc>
        <w:tc>
          <w:tcPr>
            <w:tcW w:w="2411"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财务负责人：桑青娜姆</w:t>
            </w:r>
          </w:p>
        </w:tc>
      </w:tr>
      <w:tr>
        <w:trPr>
          <w:trHeight w:val="23"/>
        </w:trPr>
        <w:tc>
          <w:tcPr>
            <w:tcW w:w="54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9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5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部门预算项目支出绩效自评表（2024年度）</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项目名称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51322622R000000307571</w:t>
            </w:r>
            <w:r>
              <w:rPr>
                <w:rFonts w:cs="Times New Roman" w:hint="eastAsia"/>
                <w:i w:val="0"/>
                <w:color w:val="000000"/>
                <w:kern w:val="0"/>
                <w:sz w:val="24"/>
                <w:szCs w:val="24"/>
                <w:u w:val="none"/>
                <w:lang w:val="en-US" w:eastAsia="zh-CN"/>
              </w:rPr>
              <w:t>－</w:t>
            </w:r>
            <w:r>
              <w:rPr>
                <w:rFonts w:ascii="Times New Roman" w:eastAsia="宋体" w:cs="Times New Roman" w:hAnsi="Times New Roman"/>
                <w:i w:val="0"/>
                <w:color w:val="000000"/>
                <w:kern w:val="0"/>
                <w:sz w:val="24"/>
                <w:szCs w:val="24"/>
                <w:u w:val="none"/>
                <w:lang w:val="en-US" w:eastAsia="zh-CN"/>
              </w:rPr>
              <w:t>其他社会保障缴费（残疾人就业保障金）</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主管部门</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金川县公务服务中心本级</w:t>
            </w: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实施单位 （盖章）</w:t>
            </w:r>
          </w:p>
        </w:tc>
        <w:tc>
          <w:tcPr>
            <w:tcW w:w="109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w:t>
            </w: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项目基本情况</w:t>
            </w:r>
          </w:p>
        </w:tc>
        <w:tc>
          <w:tcPr>
            <w:tcW w:w="6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1.项目年度目标完成情况</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项目年度目标</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年度目标完成情况</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严格执行相关政策，保障工资及时、足额发放或社保及时、足额缴纳，预算编制科学合理，减少结余资金。</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2.项目实施内容及过程概述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预算执行情况（10分）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年度预算数（万元）</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年初预算</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调整后预算数</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预算执行数</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预算执行率</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原因</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总额</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1.47</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1.47</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1.47</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其中：财政资金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1.47</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1.47</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1.47</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财政专户管理资金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单位资金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其他资金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绩效指标（90分）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一级指标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二级指标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三级指标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指标性质</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指标值</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度量单位</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完成值</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未完成原因分析</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产出指标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数量指标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发放（缴纳）覆盖率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效益指标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社会效益指标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足额保障率（参保率）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3905"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合计</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评价结论</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优</w:t>
            </w: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存在问题</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改进措施</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2588"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项目负责人：桑青娜姆</w:t>
            </w:r>
          </w:p>
        </w:tc>
        <w:tc>
          <w:tcPr>
            <w:tcW w:w="2411"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财务负责人：桑青娜姆</w:t>
            </w:r>
          </w:p>
        </w:tc>
      </w:tr>
      <w:tr>
        <w:trPr>
          <w:trHeight w:val="23"/>
        </w:trPr>
        <w:tc>
          <w:tcPr>
            <w:tcW w:w="54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9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5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部门预算项目支出绩效自评表（2024年度）</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项目名称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51322622R000000307882</w:t>
            </w:r>
            <w:r>
              <w:rPr>
                <w:rFonts w:cs="Times New Roman" w:hint="eastAsia"/>
                <w:i w:val="0"/>
                <w:color w:val="000000"/>
                <w:kern w:val="0"/>
                <w:sz w:val="24"/>
                <w:szCs w:val="24"/>
                <w:u w:val="none"/>
                <w:lang w:val="en-US" w:eastAsia="zh-CN"/>
              </w:rPr>
              <w:t>－</w:t>
            </w:r>
            <w:r>
              <w:rPr>
                <w:rFonts w:ascii="Times New Roman" w:eastAsia="宋体" w:cs="Times New Roman" w:hAnsi="Times New Roman"/>
                <w:i w:val="0"/>
                <w:color w:val="000000"/>
                <w:kern w:val="0"/>
                <w:sz w:val="24"/>
                <w:szCs w:val="24"/>
                <w:u w:val="none"/>
                <w:lang w:val="en-US" w:eastAsia="zh-CN"/>
              </w:rPr>
              <w:t>住房公积金（职工）</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主管部门</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金川县公务服务中心本级</w:t>
            </w: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实施单位 （盖章）</w:t>
            </w:r>
          </w:p>
        </w:tc>
        <w:tc>
          <w:tcPr>
            <w:tcW w:w="109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w:t>
            </w: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项目基本情况</w:t>
            </w:r>
          </w:p>
        </w:tc>
        <w:tc>
          <w:tcPr>
            <w:tcW w:w="6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1.项目年度目标完成情况</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项目年度目标</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年度目标完成情况</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严格执行相关政策，保障工资及时、足额发放或社保及时、足额缴纳，预算编制科学合理，减少结余资金。</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2.项目实施内容及过程概述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预算执行情况（10分）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年度预算数（万元）</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年初预算</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调整后预算数</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预算执行数</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预算执行率</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原因</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总额</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12.94</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11.42</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11.42</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其中：财政资金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12.94</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11.42</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11.42</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财政专户管理资金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单位资金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其他资金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绩效指标（90分）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一级指标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二级指标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三级指标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指标性质</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指标值</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度量单位</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完成值</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未完成原因分析</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产出指标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数量指标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发放（缴纳）覆盖率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效益指标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社会效益指标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足额保障率（参保率）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3905"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合计</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评价结论</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优</w:t>
            </w: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存在问题</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改进措施</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2588"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项目负责人：桑青娜姆</w:t>
            </w:r>
          </w:p>
        </w:tc>
        <w:tc>
          <w:tcPr>
            <w:tcW w:w="2411"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财务负责人：桑青娜姆</w:t>
            </w:r>
          </w:p>
        </w:tc>
      </w:tr>
      <w:tr>
        <w:trPr>
          <w:trHeight w:val="23"/>
        </w:trPr>
        <w:tc>
          <w:tcPr>
            <w:tcW w:w="54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9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5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部门预算项目支出绩效自评表（2024年度）</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项目名称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51322622T000000391985</w:t>
            </w:r>
            <w:r>
              <w:rPr>
                <w:rFonts w:cs="Times New Roman" w:hint="eastAsia"/>
                <w:i w:val="0"/>
                <w:color w:val="000000"/>
                <w:kern w:val="0"/>
                <w:sz w:val="24"/>
                <w:szCs w:val="24"/>
                <w:u w:val="none"/>
                <w:lang w:val="en-US" w:eastAsia="zh-CN"/>
              </w:rPr>
              <w:t>－</w:t>
            </w:r>
            <w:r>
              <w:rPr>
                <w:rFonts w:ascii="Times New Roman" w:eastAsia="宋体" w:cs="Times New Roman" w:hAnsi="Times New Roman"/>
                <w:i w:val="0"/>
                <w:color w:val="000000"/>
                <w:kern w:val="0"/>
                <w:sz w:val="24"/>
                <w:szCs w:val="24"/>
                <w:u w:val="none"/>
                <w:lang w:val="en-US" w:eastAsia="zh-CN"/>
              </w:rPr>
              <w:t>公务接待</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主管部门</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金川县公务服务中心本级</w:t>
            </w: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实施单位 （盖章）</w:t>
            </w:r>
          </w:p>
        </w:tc>
        <w:tc>
          <w:tcPr>
            <w:tcW w:w="109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w:t>
            </w: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项目基本情况</w:t>
            </w:r>
          </w:p>
        </w:tc>
        <w:tc>
          <w:tcPr>
            <w:tcW w:w="6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1.项目年度目标完成情况</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项目年度目标</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年度目标完成情况</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负责2024年度各级党和国家领导人，各级党委、政府的巡视、考察调研　、考核等工作，外事接待　、招商引资的服务保障；大型会议、活动的服务接待工作；指导乡（镇）、县级部门的公务活动服务保障工作。</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2.项目实施内容及过程概述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预算执行情况（10分）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年度预算数（万元）</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年初预算</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调整后预算数</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预算执行数</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预算执行率</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原因</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总额</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320.00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178.49</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178.49</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其中：财政资金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320.00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178.49</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178.49</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财政专户管理资金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单位资金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其他资金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绩效指标（90分）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一级指标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二级指标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三级指标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指标性质</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指标值</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度量单位</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完成值</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未完成原因分析</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产出指标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数量指标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2023年度公务接待</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330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批次</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15</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15</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质量指标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接待工作完成率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95</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15</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15</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时效指标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年度完成比例</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90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15</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15</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效益指标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经济效益指标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接待以节约成本为准则</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社会效益指标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提高服务效率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定性</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优</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满意度指标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满意度指标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县委、县人民政府及被接待各级领导满意</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定性</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优</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成本指标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社会成本指标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年公务接待费总额度控制</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320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万元</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15</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15</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3905"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合计</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评价结论</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优</w:t>
            </w: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存在问题</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改进措施</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2588"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项目负责人：桑青娜姆</w:t>
            </w:r>
          </w:p>
        </w:tc>
        <w:tc>
          <w:tcPr>
            <w:tcW w:w="2411"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财务负责人：桑青娜姆</w:t>
            </w:r>
          </w:p>
        </w:tc>
      </w:tr>
      <w:tr>
        <w:trPr>
          <w:trHeight w:val="23"/>
        </w:trPr>
        <w:tc>
          <w:tcPr>
            <w:tcW w:w="54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9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5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部门预算项目支出绩效自评表（2024年度）</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项目名称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51322623R000007822512</w:t>
            </w:r>
            <w:r>
              <w:rPr>
                <w:rFonts w:cs="Times New Roman" w:hint="eastAsia"/>
                <w:i w:val="0"/>
                <w:color w:val="000000"/>
                <w:kern w:val="0"/>
                <w:sz w:val="24"/>
                <w:szCs w:val="24"/>
                <w:u w:val="none"/>
                <w:lang w:val="en-US" w:eastAsia="zh-CN"/>
              </w:rPr>
              <w:t>－</w:t>
            </w:r>
            <w:r>
              <w:rPr>
                <w:rFonts w:ascii="Times New Roman" w:eastAsia="宋体" w:cs="Times New Roman" w:hAnsi="Times New Roman"/>
                <w:i w:val="0"/>
                <w:color w:val="000000"/>
                <w:kern w:val="0"/>
                <w:sz w:val="24"/>
                <w:szCs w:val="24"/>
                <w:u w:val="none"/>
                <w:lang w:val="en-US" w:eastAsia="zh-CN"/>
              </w:rPr>
              <w:t>机关事业单位基本养老保险缴费</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主管部门</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金川县公务服务中心本级</w:t>
            </w: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实施单位 （盖章）</w:t>
            </w:r>
          </w:p>
        </w:tc>
        <w:tc>
          <w:tcPr>
            <w:tcW w:w="109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w:t>
            </w: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项目基本情况</w:t>
            </w:r>
          </w:p>
        </w:tc>
        <w:tc>
          <w:tcPr>
            <w:tcW w:w="6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1.项目年度目标完成情况</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项目年度目标</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年度目标完成情况</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严格执行相关政策，保障工资及时、足额发放或社保及时、足额缴纳，预算编制科学合理，减少结余资金。</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2.项目实施内容及过程概述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预算执行情况（10分）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年度预算数（万元）</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年初预算</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调整后预算数</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预算执行数</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预算执行率</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原因</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总额</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15.11</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14.06</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14.06</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其中：财政资金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15.11</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14.06</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14.06</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财政专户管理资金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单位资金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其他资金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绩效指标（90分）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一级指标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二级指标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三级指标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指标性质</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指标值</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度量单位</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完成值</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未完成原因分析</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产出指标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数量指标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发放（缴纳）覆盖率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效益指标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社会效益指标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足额保障率（参保率）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3905"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合计</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评价结论</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优</w:t>
            </w: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存在问题</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改进措施</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2588"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项目负责人：桑青娜姆</w:t>
            </w:r>
          </w:p>
        </w:tc>
        <w:tc>
          <w:tcPr>
            <w:tcW w:w="2411"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财务负责人：桑青娜姆</w:t>
            </w:r>
          </w:p>
        </w:tc>
      </w:tr>
      <w:tr>
        <w:trPr>
          <w:trHeight w:val="23"/>
        </w:trPr>
        <w:tc>
          <w:tcPr>
            <w:tcW w:w="54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9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5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部门预算项目支出绩效自评表（2024年度）</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项目名称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51322623R000007822795</w:t>
            </w:r>
            <w:r>
              <w:rPr>
                <w:rFonts w:cs="Times New Roman" w:hint="eastAsia"/>
                <w:i w:val="0"/>
                <w:color w:val="000000"/>
                <w:kern w:val="0"/>
                <w:sz w:val="24"/>
                <w:szCs w:val="24"/>
                <w:u w:val="none"/>
                <w:lang w:val="en-US" w:eastAsia="zh-CN"/>
              </w:rPr>
              <w:t>－</w:t>
            </w:r>
            <w:r>
              <w:rPr>
                <w:rFonts w:ascii="Times New Roman" w:eastAsia="宋体" w:cs="Times New Roman" w:hAnsi="Times New Roman"/>
                <w:i w:val="0"/>
                <w:color w:val="000000"/>
                <w:kern w:val="0"/>
                <w:sz w:val="24"/>
                <w:szCs w:val="24"/>
                <w:u w:val="none"/>
                <w:lang w:val="en-US" w:eastAsia="zh-CN"/>
              </w:rPr>
              <w:t>职业年金缴费</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主管部门</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金川县公务服务中心本级</w:t>
            </w: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实施单位 （盖章）</w:t>
            </w:r>
          </w:p>
        </w:tc>
        <w:tc>
          <w:tcPr>
            <w:tcW w:w="109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w:t>
            </w: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项目基本情况</w:t>
            </w:r>
          </w:p>
        </w:tc>
        <w:tc>
          <w:tcPr>
            <w:tcW w:w="6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1.项目年度目标完成情况</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项目年度目标</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年度目标完成情况</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严格执行相关政策，保障工资及时、足额发放或社保及时、足额缴纳，预算编制科学合理，减少结余资金。</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2.项目实施内容及过程概述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预算执行情况（10分）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年度预算数（万元）</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年初预算</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调整后预算数</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预算执行数</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预算执行率</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原因</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总额</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7.56</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7.03</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7.03</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其中：财政资金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7.56</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7.03</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7.03</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财政专户管理资金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单位资金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其他资金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绩效指标（90分）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一级指标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二级指标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三级指标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指标性质</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指标值</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度量单位</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完成值</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未完成原因分析</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产出指标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数量指标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发放（缴纳）覆盖率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效益指标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社会效益指标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足额保障率（参保率）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3905"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合计</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评价结论</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优</w:t>
            </w: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存在问题</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改进措施</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2588"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项目负责人：桑青娜姆</w:t>
            </w:r>
          </w:p>
        </w:tc>
        <w:tc>
          <w:tcPr>
            <w:tcW w:w="2411"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财务负责人：桑青娜姆</w:t>
            </w:r>
          </w:p>
        </w:tc>
      </w:tr>
      <w:tr>
        <w:trPr>
          <w:trHeight w:val="23"/>
        </w:trPr>
        <w:tc>
          <w:tcPr>
            <w:tcW w:w="54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9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5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部门预算项目支出绩效自评表（2024年度）</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项目名称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51322623R000007823104</w:t>
            </w:r>
            <w:r>
              <w:rPr>
                <w:rFonts w:cs="Times New Roman" w:hint="eastAsia"/>
                <w:i w:val="0"/>
                <w:color w:val="000000"/>
                <w:kern w:val="0"/>
                <w:sz w:val="24"/>
                <w:szCs w:val="24"/>
                <w:u w:val="none"/>
                <w:lang w:val="en-US" w:eastAsia="zh-CN"/>
              </w:rPr>
              <w:t>－</w:t>
            </w:r>
            <w:r>
              <w:rPr>
                <w:rFonts w:ascii="Times New Roman" w:eastAsia="宋体" w:cs="Times New Roman" w:hAnsi="Times New Roman"/>
                <w:i w:val="0"/>
                <w:color w:val="000000"/>
                <w:kern w:val="0"/>
                <w:sz w:val="24"/>
                <w:szCs w:val="24"/>
                <w:u w:val="none"/>
                <w:lang w:val="en-US" w:eastAsia="zh-CN"/>
              </w:rPr>
              <w:t>职工基本医疗保险缴费</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主管部门</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金川县公务服务中心本级</w:t>
            </w: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实施单位 （盖章）</w:t>
            </w:r>
          </w:p>
        </w:tc>
        <w:tc>
          <w:tcPr>
            <w:tcW w:w="109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w:t>
            </w: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项目基本情况</w:t>
            </w:r>
          </w:p>
        </w:tc>
        <w:tc>
          <w:tcPr>
            <w:tcW w:w="6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1.项目年度目标完成情况</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项目年度目标</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年度目标完成情况</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严格执行相关政策，保障工资及时、足额发放或社保及时、足额缴纳，预算编制科学合理，减少结余资金。</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2.项目实施内容及过程概述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预算执行情况（10分）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年度预算数（万元）</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年初预算</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调整后预算数</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预算执行数</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预算执行率</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原因</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总额</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7.55</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6.81</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6.81</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其中：财政资金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7.55</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6.81</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6.81</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财政专户管理资金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单位资金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其他资金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绩效指标（90分）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一级指标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二级指标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三级指标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指标性质</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指标值</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度量单位</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完成值</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未完成原因分析</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产出指标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数量指标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发放（缴纳）覆盖率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效益指标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社会效益指标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足额保障率（参保率）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3905"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合计</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评价结论</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优</w:t>
            </w: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存在问题</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改进措施</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2588"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项目负责人：桑青娜姆</w:t>
            </w:r>
          </w:p>
        </w:tc>
        <w:tc>
          <w:tcPr>
            <w:tcW w:w="2411"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财务负责人：桑青娜姆</w:t>
            </w:r>
          </w:p>
        </w:tc>
      </w:tr>
      <w:tr>
        <w:trPr>
          <w:trHeight w:val="23"/>
        </w:trPr>
        <w:tc>
          <w:tcPr>
            <w:tcW w:w="54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9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5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部门预算项目支出绩效自评表（2024年度）</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项目名称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51322623R000007823488-公务员医疗补助缴费</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主管部门</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金川县公务服务中心本级</w:t>
            </w: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实施单位 （盖章）</w:t>
            </w:r>
          </w:p>
        </w:tc>
        <w:tc>
          <w:tcPr>
            <w:tcW w:w="109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w:t>
            </w: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项目基本情况</w:t>
            </w:r>
          </w:p>
        </w:tc>
        <w:tc>
          <w:tcPr>
            <w:tcW w:w="6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1.项目年度目标完成情况</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项目年度目标</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年度目标完成情况</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严格执行相关政策，保障工资及时、足额发放或社保及时、足额缴纳，预算编制科学合理，减少结余资金。</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2.项目实施内容及过程概述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预算执行情况（10分）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年度预算数（万元）</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年初预算</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调整后预算数</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预算执行数</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预算执行率</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原因</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总额</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1.73</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1.62</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1.62</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其中：财政资金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1.73</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1.62</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1.62</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财政专户管理资金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单位资金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其他资金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绩效指标（90分）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一级指标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二级指标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三级指标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指标性质</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指标值</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度量单位</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完成值</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未完成原因分析</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产出指标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数量指标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发放（缴纳）覆盖率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效益指标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社会效益指标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足额保障率（参保率）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3905"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合计</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评价结论</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优</w:t>
            </w: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存在问题</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改进措施</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2588"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项目负责人：桑青娜姆</w:t>
            </w:r>
          </w:p>
        </w:tc>
        <w:tc>
          <w:tcPr>
            <w:tcW w:w="2411"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财务负责人：桑青娜姆</w:t>
            </w:r>
          </w:p>
        </w:tc>
      </w:tr>
      <w:tr>
        <w:trPr>
          <w:trHeight w:val="23"/>
        </w:trPr>
        <w:tc>
          <w:tcPr>
            <w:tcW w:w="54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9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5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部门预算项目支出绩效自评表（2024年度）</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项目名称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51322623R000008940976</w:t>
            </w:r>
            <w:r>
              <w:rPr>
                <w:rFonts w:cs="Times New Roman" w:hint="eastAsia"/>
                <w:i w:val="0"/>
                <w:color w:val="000000"/>
                <w:kern w:val="0"/>
                <w:sz w:val="24"/>
                <w:szCs w:val="24"/>
                <w:u w:val="none"/>
                <w:lang w:val="en-US" w:eastAsia="zh-CN"/>
              </w:rPr>
              <w:t>－</w:t>
            </w:r>
            <w:r>
              <w:rPr>
                <w:rFonts w:ascii="Times New Roman" w:eastAsia="宋体" w:cs="Times New Roman" w:hAnsi="Times New Roman"/>
                <w:i w:val="0"/>
                <w:color w:val="000000"/>
                <w:kern w:val="0"/>
                <w:sz w:val="24"/>
                <w:szCs w:val="24"/>
                <w:u w:val="none"/>
                <w:lang w:val="en-US" w:eastAsia="zh-CN"/>
              </w:rPr>
              <w:t>年度考核奖</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主管部门</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金川县公务服务中心本级</w:t>
            </w: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实施单位 （盖章）</w:t>
            </w:r>
          </w:p>
        </w:tc>
        <w:tc>
          <w:tcPr>
            <w:tcW w:w="109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w:t>
            </w: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项目基本情况</w:t>
            </w:r>
          </w:p>
        </w:tc>
        <w:tc>
          <w:tcPr>
            <w:tcW w:w="6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1.项目年度目标完成情况</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项目年度目标</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年度目标完成情况</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严格执行相关政策，保障工资及时、足额发放或社保及时、足额缴纳，预算编制科学合理，减少结余资金。</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2.项目实施内容及过程概述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预算执行情况（10分）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年度预算数（万元）</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年初预算</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调整后预算数</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预算执行数</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预算执行率</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原因</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总额</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12.43</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12.43</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其中：财政资金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12.43</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12.43</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财政专户管理资金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单位资金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其他资金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绩效指标（90分）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一级指标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二级指标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三级指标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指标性质</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指标值</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度量单位</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完成值</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未完成原因分析</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产出指标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数量指标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发放（缴纳）覆盖率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效益指标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社会效益指标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足额保障率（参保率）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3905"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合计</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评价结论</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优</w:t>
            </w: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存在问题</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改进措施</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2588"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项目负责人：桑青娜姆</w:t>
            </w:r>
          </w:p>
        </w:tc>
        <w:tc>
          <w:tcPr>
            <w:tcW w:w="2411"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财务负责人：桑青娜姆</w:t>
            </w:r>
          </w:p>
        </w:tc>
      </w:tr>
      <w:tr>
        <w:trPr>
          <w:trHeight w:val="23"/>
        </w:trPr>
        <w:tc>
          <w:tcPr>
            <w:tcW w:w="54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9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5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部门预算项目支出绩效自评表（2024年度）</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项目名称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51322624R000010562265</w:t>
            </w:r>
            <w:r>
              <w:rPr>
                <w:rFonts w:cs="Times New Roman" w:hint="eastAsia"/>
                <w:i w:val="0"/>
                <w:color w:val="000000"/>
                <w:kern w:val="0"/>
                <w:sz w:val="24"/>
                <w:szCs w:val="24"/>
                <w:u w:val="none"/>
                <w:lang w:val="en-US" w:eastAsia="zh-CN"/>
              </w:rPr>
              <w:t>－</w:t>
            </w:r>
            <w:r>
              <w:rPr>
                <w:rFonts w:ascii="Times New Roman" w:eastAsia="宋体" w:cs="Times New Roman" w:hAnsi="Times New Roman"/>
                <w:i w:val="0"/>
                <w:color w:val="000000"/>
                <w:kern w:val="0"/>
                <w:sz w:val="24"/>
                <w:szCs w:val="24"/>
                <w:u w:val="none"/>
                <w:lang w:val="en-US" w:eastAsia="zh-CN"/>
              </w:rPr>
              <w:t>在职在编人员基本工资</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主管部门</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金川县公务服务中心本级</w:t>
            </w: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实施单位 （盖章）</w:t>
            </w:r>
          </w:p>
        </w:tc>
        <w:tc>
          <w:tcPr>
            <w:tcW w:w="109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w:t>
            </w: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项目基本情况</w:t>
            </w:r>
          </w:p>
        </w:tc>
        <w:tc>
          <w:tcPr>
            <w:tcW w:w="6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1.项目年度目标完成情况</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项目年度目标</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年度目标完成情况</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严格执行相关政策，保障工资及时、足额发放或社保及时、足额缴纳，预算编制科学合理，减少结余资金。</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2.项目实施内容及过程概述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预算执行情况（10分）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年度预算数（万元）</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年初预算</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调整后预算数</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预算执行数</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预算执行率</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原因</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总额</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27.64</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25.69</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25.69</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其中：财政资金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27.64</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25.69</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25.69</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财政专户管理资金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单位资金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其他资金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绩效指标（90分）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一级指标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二级指标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三级指标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指标性质</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指标值</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度量单位</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完成值</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未完成原因分析</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产出指标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数量指标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发放（缴纳）覆盖率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效益指标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社会效益指标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足额保障率（参保率）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3905"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合计</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评价结论</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优</w:t>
            </w: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存在问题</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改进措施</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2588"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项目负责人：桑青娜姆</w:t>
            </w:r>
          </w:p>
        </w:tc>
        <w:tc>
          <w:tcPr>
            <w:tcW w:w="2411"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财务负责人：桑青娜姆</w:t>
            </w:r>
          </w:p>
        </w:tc>
      </w:tr>
      <w:tr>
        <w:trPr>
          <w:trHeight w:val="23"/>
        </w:trPr>
        <w:tc>
          <w:tcPr>
            <w:tcW w:w="54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9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5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部门预算项目支出绩效自评表（2024年度）</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项目名称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51322624R000010570025</w:t>
            </w:r>
            <w:r>
              <w:rPr>
                <w:rFonts w:cs="Times New Roman" w:hint="eastAsia"/>
                <w:i w:val="0"/>
                <w:color w:val="000000"/>
                <w:kern w:val="0"/>
                <w:sz w:val="24"/>
                <w:szCs w:val="24"/>
                <w:u w:val="none"/>
                <w:lang w:val="en-US" w:eastAsia="zh-CN"/>
              </w:rPr>
              <w:t>－</w:t>
            </w:r>
            <w:r>
              <w:rPr>
                <w:rFonts w:ascii="Times New Roman" w:eastAsia="宋体" w:cs="Times New Roman" w:hAnsi="Times New Roman"/>
                <w:i w:val="0"/>
                <w:color w:val="000000"/>
                <w:kern w:val="0"/>
                <w:sz w:val="24"/>
                <w:szCs w:val="24"/>
                <w:u w:val="none"/>
                <w:lang w:val="en-US" w:eastAsia="zh-CN"/>
              </w:rPr>
              <w:t>事业单位绩效工资</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主管部门</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金川县公务服务中心本级</w:t>
            </w: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实施单位 （盖章）</w:t>
            </w:r>
          </w:p>
        </w:tc>
        <w:tc>
          <w:tcPr>
            <w:tcW w:w="109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w:t>
            </w: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项目基本情况</w:t>
            </w:r>
          </w:p>
        </w:tc>
        <w:tc>
          <w:tcPr>
            <w:tcW w:w="6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1.项目年度目标完成情况</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项目年度目标</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年度目标完成情况</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严格执行相关政策，保障工资及时、足额发放或社保及时、足额缴纳，预算编制科学合理，减少结余资金。</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2.项目实施内容及过程概述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预算执行情况（10分）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年度预算数（万元）</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年初预算</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调整后预算数</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预算执行数</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预算执行率</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原因</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总额</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24.34</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22.24</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22.24</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其中：财政资金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24.34</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22.24</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22.24</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财政专户管理资金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单位资金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其他资金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绩效指标（90分）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一级指标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二级指标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三级指标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指标性质</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指标值</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度量单位</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完成值</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未完成原因分析</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产出指标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数量指标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发放（缴纳）覆盖率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效益指标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社会效益指标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足额保障率（参保率）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3905"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合计</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评价结论</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优</w:t>
            </w: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存在问题</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改进措施</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2588"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项目负责人：桑青娜姆</w:t>
            </w:r>
          </w:p>
        </w:tc>
        <w:tc>
          <w:tcPr>
            <w:tcW w:w="2411"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财务负责人：桑青娜姆</w:t>
            </w:r>
          </w:p>
        </w:tc>
      </w:tr>
      <w:tr>
        <w:trPr>
          <w:trHeight w:val="23"/>
        </w:trPr>
        <w:tc>
          <w:tcPr>
            <w:tcW w:w="54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9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5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部门预算项目支出绩效自评表（2024年度）</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项目名称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51322624R000010570573</w:t>
            </w:r>
            <w:r>
              <w:rPr>
                <w:rFonts w:cs="Times New Roman" w:hint="eastAsia"/>
                <w:i w:val="0"/>
                <w:color w:val="000000"/>
                <w:kern w:val="0"/>
                <w:sz w:val="24"/>
                <w:szCs w:val="24"/>
                <w:u w:val="none"/>
                <w:lang w:val="en-US" w:eastAsia="zh-CN"/>
              </w:rPr>
              <w:t>－</w:t>
            </w:r>
            <w:r>
              <w:rPr>
                <w:rFonts w:ascii="Times New Roman" w:eastAsia="宋体" w:cs="Times New Roman" w:hAnsi="Times New Roman"/>
                <w:i w:val="0"/>
                <w:color w:val="000000"/>
                <w:kern w:val="0"/>
                <w:sz w:val="24"/>
                <w:szCs w:val="24"/>
                <w:u w:val="none"/>
                <w:lang w:val="en-US" w:eastAsia="zh-CN"/>
              </w:rPr>
              <w:t>基础绩效奖（事业）</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主管部门</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金川县公务服务中心本级</w:t>
            </w: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实施单位 （盖章）</w:t>
            </w:r>
          </w:p>
        </w:tc>
        <w:tc>
          <w:tcPr>
            <w:tcW w:w="109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w:t>
            </w: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项目基本情况</w:t>
            </w:r>
          </w:p>
        </w:tc>
        <w:tc>
          <w:tcPr>
            <w:tcW w:w="6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1.项目年度目标完成情况</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项目年度目标</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年度目标完成情况</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严格执行相关政策，保障工资及时、足额发放或社保及时、足额缴纳，预算编制科学合理，减少结余资金。</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2.项目实施内容及过程概述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预算执行情况（10分）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年度预算数（万元）</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年初预算</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调整后预算数</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预算执行数</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预算执行率</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原因</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总额</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25.83</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23.47</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23.47</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其中：财政资金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25.83</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23.47</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23.47</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财政专户管理资金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单位资金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其他资金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绩效指标（90分）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一级指标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二级指标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三级指标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指标性质</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指标值</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度量单位</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完成值</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未完成原因分析</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产出指标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数量指标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发放（缴纳）覆盖率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效益指标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社会效益指标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足额保障率（参保率）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3905"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合计</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评价结论</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优</w:t>
            </w: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存在问题</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改进措施</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2588"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项目负责人：桑青娜姆</w:t>
            </w:r>
          </w:p>
        </w:tc>
        <w:tc>
          <w:tcPr>
            <w:tcW w:w="2411"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财务负责人：桑青娜姆</w:t>
            </w:r>
          </w:p>
        </w:tc>
      </w:tr>
      <w:tr>
        <w:trPr>
          <w:trHeight w:val="23"/>
        </w:trPr>
        <w:tc>
          <w:tcPr>
            <w:tcW w:w="54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9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5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部门预算项目支出绩效自评表（2024年度）</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项目名称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51322624R000010570840</w:t>
            </w:r>
            <w:r>
              <w:rPr>
                <w:rFonts w:cs="Times New Roman" w:hint="eastAsia"/>
                <w:i w:val="0"/>
                <w:color w:val="000000"/>
                <w:kern w:val="0"/>
                <w:sz w:val="24"/>
                <w:szCs w:val="24"/>
                <w:u w:val="none"/>
                <w:lang w:val="en-US" w:eastAsia="zh-CN"/>
              </w:rPr>
              <w:t>－</w:t>
            </w:r>
            <w:r>
              <w:rPr>
                <w:rFonts w:ascii="Times New Roman" w:eastAsia="宋体" w:cs="Times New Roman" w:hAnsi="Times New Roman"/>
                <w:i w:val="0"/>
                <w:color w:val="000000"/>
                <w:kern w:val="0"/>
                <w:sz w:val="24"/>
                <w:szCs w:val="24"/>
                <w:u w:val="none"/>
                <w:lang w:val="en-US" w:eastAsia="zh-CN"/>
              </w:rPr>
              <w:t>年终一次性奖金（事业）</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主管部门</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金川县公务服务中心本级</w:t>
            </w: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实施单位 （盖章）</w:t>
            </w:r>
          </w:p>
        </w:tc>
        <w:tc>
          <w:tcPr>
            <w:tcW w:w="109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w:t>
            </w: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项目基本情况</w:t>
            </w:r>
          </w:p>
        </w:tc>
        <w:tc>
          <w:tcPr>
            <w:tcW w:w="6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1.项目年度目标完成情况</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项目年度目标</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年度目标完成情况</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严格执行相关政策，保障工资及时、足额发放或社保及时、足额缴纳，预算编制科学合理，减少结余资金。</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2.项目实施内容及过程概述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预算执行情况（10分）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年度预算数（万元）</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年初预算</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调整后预算数</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预算执行数</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预算执行率</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原因</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总额</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2.30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2.01</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2.01</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其中：财政资金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2.30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2.01</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2.01</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财政专户管理资金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单位资金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其他资金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绩效指标（90分）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一级指标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二级指标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三级指标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指标性质</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指标值</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度量单位</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完成值</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未完成原因分析</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产出指标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数量指标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发放（缴纳）覆盖率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效益指标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社会效益指标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足额保障率（参保率）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3905"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合计</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评价结论</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优</w:t>
            </w: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存在问题</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改进措施</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2588"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项目负责人：桑青娜姆</w:t>
            </w:r>
          </w:p>
        </w:tc>
        <w:tc>
          <w:tcPr>
            <w:tcW w:w="2411"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财务负责人：桑青娜姆</w:t>
            </w:r>
          </w:p>
        </w:tc>
      </w:tr>
      <w:tr>
        <w:trPr>
          <w:trHeight w:val="23"/>
        </w:trPr>
        <w:tc>
          <w:tcPr>
            <w:tcW w:w="54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9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5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部门预算项目支出绩效自评表（2024年度）</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项目名称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51322624R000010571106</w:t>
            </w:r>
            <w:r>
              <w:rPr>
                <w:rFonts w:cs="Times New Roman" w:hint="eastAsia"/>
                <w:i w:val="0"/>
                <w:color w:val="000000"/>
                <w:kern w:val="0"/>
                <w:sz w:val="24"/>
                <w:szCs w:val="24"/>
                <w:u w:val="none"/>
                <w:lang w:val="en-US" w:eastAsia="zh-CN"/>
              </w:rPr>
              <w:t>－</w:t>
            </w:r>
            <w:r>
              <w:rPr>
                <w:rFonts w:ascii="Times New Roman" w:eastAsia="宋体" w:cs="Times New Roman" w:hAnsi="Times New Roman"/>
                <w:i w:val="0"/>
                <w:color w:val="000000"/>
                <w:kern w:val="0"/>
                <w:sz w:val="24"/>
                <w:szCs w:val="24"/>
                <w:u w:val="none"/>
                <w:lang w:val="en-US" w:eastAsia="zh-CN"/>
              </w:rPr>
              <w:t>艰苦边远地区津贴</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主管部门</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金川县公务服务中心本级</w:t>
            </w: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实施单位 （盖章）</w:t>
            </w:r>
          </w:p>
        </w:tc>
        <w:tc>
          <w:tcPr>
            <w:tcW w:w="109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w:t>
            </w: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项目基本情况</w:t>
            </w:r>
          </w:p>
        </w:tc>
        <w:tc>
          <w:tcPr>
            <w:tcW w:w="6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1.项目年度目标完成情况</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项目年度目标</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年度目标完成情况</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严格执行相关政策，保障工资及时、足额发放或社保及时、足额缴纳，预算编制科学合理，减少结余资金。</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2.项目实施内容及过程概述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预算执行情况（10分）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年度预算数（万元）</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年初预算</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调整后预算数</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预算执行数</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预算执行率</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原因</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总额</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11.78</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10.74</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10.74</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其中：财政资金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11.78</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10.74</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10.74</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财政专户管理资金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单位资金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其他资金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绩效指标（90分）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一级指标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二级指标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三级指标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指标性质</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指标值</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度量单位</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完成值</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未完成原因分析</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产出指标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数量指标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发放（缴纳）覆盖率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效益指标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社会效益指标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足额保障率（参保率）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3905"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合计</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评价结论</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优</w:t>
            </w: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存在问题</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改进措施</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2588"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项目负责人：桑青娜姆</w:t>
            </w:r>
          </w:p>
        </w:tc>
        <w:tc>
          <w:tcPr>
            <w:tcW w:w="2411"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财务负责人：桑青娜姆</w:t>
            </w:r>
          </w:p>
        </w:tc>
      </w:tr>
      <w:tr>
        <w:trPr>
          <w:trHeight w:val="23"/>
        </w:trPr>
        <w:tc>
          <w:tcPr>
            <w:tcW w:w="54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9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5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部门预算项目支出绩效自评表（2024年度）</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项目名称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51322624R000010571424</w:t>
            </w:r>
            <w:r>
              <w:rPr>
                <w:rFonts w:cs="Times New Roman" w:hint="eastAsia"/>
                <w:i w:val="0"/>
                <w:color w:val="000000"/>
                <w:kern w:val="0"/>
                <w:sz w:val="24"/>
                <w:szCs w:val="24"/>
                <w:u w:val="none"/>
                <w:lang w:val="en-US" w:eastAsia="zh-CN"/>
              </w:rPr>
              <w:t>－</w:t>
            </w:r>
            <w:r>
              <w:rPr>
                <w:rFonts w:ascii="Times New Roman" w:eastAsia="宋体" w:cs="Times New Roman" w:hAnsi="Times New Roman"/>
                <w:i w:val="0"/>
                <w:color w:val="000000"/>
                <w:kern w:val="0"/>
                <w:sz w:val="24"/>
                <w:szCs w:val="24"/>
                <w:u w:val="none"/>
                <w:lang w:val="en-US" w:eastAsia="zh-CN"/>
              </w:rPr>
              <w:t>高海拔地区折算工龄补贴</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主管部门</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金川县公务服务中心本级</w:t>
            </w: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实施单位 （盖章）</w:t>
            </w:r>
          </w:p>
        </w:tc>
        <w:tc>
          <w:tcPr>
            <w:tcW w:w="109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w:t>
            </w: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项目基本情况</w:t>
            </w:r>
          </w:p>
        </w:tc>
        <w:tc>
          <w:tcPr>
            <w:tcW w:w="6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1.项目年度目标完成情况</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项目年度目标</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年度目标完成情况</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严格执行相关政策，保障工资及时、足额发放或社保及时、足额缴纳，预算编制科学合理，减少结余资金。</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2.项目实施内容及过程概述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预算执行情况（10分）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年度预算数（万元）</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年初预算</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调整后预算数</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预算执行数</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预算执行率</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原因</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总额</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3.48</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3.48</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其中：财政资金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3.48</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3.48</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财政专户管理资金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单位资金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其他资金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绩效指标（90分）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一级指标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二级指标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三级指标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指标性质</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指标值</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度量单位</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完成值</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未完成原因分析</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产出指标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数量指标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发放（缴纳）覆盖率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效益指标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社会效益指标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足额保障率（参保率）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3905"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合计</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评价结论</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优</w:t>
            </w: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存在问题</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改进措施</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2588"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项目负责人：桑青娜姆</w:t>
            </w:r>
          </w:p>
        </w:tc>
        <w:tc>
          <w:tcPr>
            <w:tcW w:w="2411"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财务负责人：桑青娜姆</w:t>
            </w:r>
          </w:p>
        </w:tc>
      </w:tr>
      <w:tr>
        <w:trPr>
          <w:trHeight w:val="23"/>
        </w:trPr>
        <w:tc>
          <w:tcPr>
            <w:tcW w:w="54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9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5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部门预算项目支出绩效自评表（2024年度）</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项目名称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51322624R000010574781</w:t>
            </w:r>
            <w:r>
              <w:rPr>
                <w:rFonts w:cs="Times New Roman" w:hint="eastAsia"/>
                <w:i w:val="0"/>
                <w:color w:val="000000"/>
                <w:kern w:val="0"/>
                <w:sz w:val="24"/>
                <w:szCs w:val="24"/>
                <w:u w:val="none"/>
                <w:lang w:val="en-US" w:eastAsia="zh-CN"/>
              </w:rPr>
              <w:t>－</w:t>
            </w:r>
            <w:r>
              <w:rPr>
                <w:rFonts w:ascii="Times New Roman" w:eastAsia="宋体" w:cs="Times New Roman" w:hAnsi="Times New Roman"/>
                <w:i w:val="0"/>
                <w:color w:val="000000"/>
                <w:kern w:val="0"/>
                <w:sz w:val="24"/>
                <w:szCs w:val="24"/>
                <w:u w:val="none"/>
                <w:lang w:val="en-US" w:eastAsia="zh-CN"/>
              </w:rPr>
              <w:t>其他工资性支出</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主管部门</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金川县公务服务中心本级</w:t>
            </w: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实施单位 （盖章）</w:t>
            </w:r>
          </w:p>
        </w:tc>
        <w:tc>
          <w:tcPr>
            <w:tcW w:w="109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w:t>
            </w: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项目基本情况</w:t>
            </w:r>
          </w:p>
        </w:tc>
        <w:tc>
          <w:tcPr>
            <w:tcW w:w="6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1.项目年度目标完成情况</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项目年度目标</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年度目标完成情况</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严格执行相关政策，保障工资及时、足额发放或社保及时、足额缴纳，预算编制科学合理，减少结余资金。</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2.项目实施内容及过程概述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预算执行情况（10分）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年度预算数（万元）</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年初预算</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调整后预算数</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预算执行数</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预算执行率</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原因</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总额</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0.55</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0.50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0.50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其中：财政资金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0.55</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0.50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0.50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财政专户管理资金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单位资金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其他资金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绩效指标（90分）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一级指标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二级指标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三级指标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指标性质</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指标值</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度量单位</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完成值</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未完成原因分析</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产出指标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数量指标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发放（缴纳）覆盖率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60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效益指标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社会效益指标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足额保障率（参保率）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30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3905"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合计</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评价结论</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优</w:t>
            </w: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存在问题</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改进措施</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2588"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项目负责人：桑青娜姆</w:t>
            </w:r>
          </w:p>
        </w:tc>
        <w:tc>
          <w:tcPr>
            <w:tcW w:w="2411"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财务负责人：桑青娜姆</w:t>
            </w:r>
          </w:p>
        </w:tc>
      </w:tr>
      <w:tr>
        <w:trPr>
          <w:trHeight w:val="23"/>
        </w:trPr>
        <w:tc>
          <w:tcPr>
            <w:tcW w:w="54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9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5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部门预算项目支出绩效自评表（2024年度）</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项目名称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51322625T000012965800</w:t>
            </w:r>
            <w:r>
              <w:rPr>
                <w:rFonts w:cs="Times New Roman" w:hint="eastAsia"/>
                <w:i w:val="0"/>
                <w:color w:val="000000"/>
                <w:kern w:val="0"/>
                <w:sz w:val="24"/>
                <w:szCs w:val="24"/>
                <w:u w:val="none"/>
                <w:lang w:val="en-US" w:eastAsia="zh-CN"/>
              </w:rPr>
              <w:t>－</w:t>
            </w:r>
            <w:r>
              <w:rPr>
                <w:rFonts w:ascii="Times New Roman" w:eastAsia="宋体" w:cs="Times New Roman" w:hAnsi="Times New Roman"/>
                <w:i w:val="0"/>
                <w:color w:val="000000"/>
                <w:kern w:val="0"/>
                <w:sz w:val="24"/>
                <w:szCs w:val="24"/>
                <w:u w:val="none"/>
                <w:lang w:val="en-US" w:eastAsia="zh-CN"/>
              </w:rPr>
              <w:t>劳务费</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主管部门</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金川县公务服务中心本级</w:t>
            </w: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实施单位 （盖章）</w:t>
            </w:r>
          </w:p>
        </w:tc>
        <w:tc>
          <w:tcPr>
            <w:tcW w:w="109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w:t>
            </w: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项目基本情况</w:t>
            </w:r>
          </w:p>
        </w:tc>
        <w:tc>
          <w:tcPr>
            <w:tcW w:w="6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1.项目年度目标完成情况</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项目年度目标</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年度目标完成情况</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通过委托律师有效解决劳动纠纷案，完成仲裁裁决。</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2.项目实施内容及过程概述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预算执行情况（10分）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年度预算数（万元）</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年初预算</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调整后预算数</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预算执行数</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预算执行率</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原因</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总额</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10.50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10.50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其中：财政资金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10.50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10.50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财政专户管理资金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单位资金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其他资金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绩效指标（90分）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一级指标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二级指标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三级指标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指标性质</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指标值</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度量单位</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完成值</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未完成原因分析</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产出指标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数量指标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提供法律服务次数</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次</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9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质量指标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委托法律服务费执行率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9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委托法律服务完成率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时效指标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劳动仲裁经济补偿支付及时率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效益指标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社会效益指标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有效解决劳动纠纷案</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定性</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优</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满意度指标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满意度指标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劳动仲裁结果执行满意率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定性</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优</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成本指标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经济成本指标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劳务费额度控制数</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10.499</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万元</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3905"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合计</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评价结论</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优</w:t>
            </w: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存在问题</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改进措施</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2588"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项目负责人：桑青娜姆</w:t>
            </w:r>
          </w:p>
        </w:tc>
        <w:tc>
          <w:tcPr>
            <w:tcW w:w="2411"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财务负责人：桑青娜姆</w:t>
            </w:r>
          </w:p>
        </w:tc>
      </w:tr>
      <w:tr>
        <w:trPr>
          <w:trHeight w:val="23"/>
        </w:trPr>
        <w:tc>
          <w:tcPr>
            <w:tcW w:w="54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9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5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3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4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部门预算项目支出绩效自评表（2024年度）</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项目名称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51322625T000013091841</w:t>
            </w:r>
            <w:r>
              <w:rPr>
                <w:rFonts w:cs="Times New Roman" w:hint="eastAsia"/>
                <w:i w:val="0"/>
                <w:color w:val="000000"/>
                <w:kern w:val="0"/>
                <w:sz w:val="24"/>
                <w:szCs w:val="24"/>
                <w:u w:val="none"/>
                <w:lang w:val="en-US" w:eastAsia="zh-CN"/>
              </w:rPr>
              <w:t>－</w:t>
            </w:r>
            <w:r>
              <w:rPr>
                <w:rFonts w:ascii="Times New Roman" w:eastAsia="宋体" w:cs="Times New Roman" w:hAnsi="Times New Roman"/>
                <w:i w:val="0"/>
                <w:color w:val="000000"/>
                <w:kern w:val="0"/>
                <w:sz w:val="24"/>
                <w:szCs w:val="24"/>
                <w:u w:val="none"/>
                <w:lang w:val="en-US" w:eastAsia="zh-CN"/>
              </w:rPr>
              <w:t>干部周转房维修</w:t>
            </w:r>
          </w:p>
        </w:tc>
      </w:tr>
      <w:tr>
        <w:trPr>
          <w:trHeight w:val="23"/>
        </w:trPr>
        <w:tc>
          <w:tcPr>
            <w:tcW w:w="11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主管部门</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金川县公务服务中心本级</w:t>
            </w:r>
          </w:p>
        </w:tc>
        <w:tc>
          <w:tcPr>
            <w:tcW w:w="5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实施单位 （盖章）</w:t>
            </w:r>
          </w:p>
        </w:tc>
        <w:tc>
          <w:tcPr>
            <w:tcW w:w="109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金川县公务服务中心</w:t>
            </w: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项目基本情况</w:t>
            </w:r>
          </w:p>
        </w:tc>
        <w:tc>
          <w:tcPr>
            <w:tcW w:w="6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1.项目年度目标完成情况</w:t>
            </w: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项目年度目标</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年度目标完成情况</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19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安装供水设施设备，改造供水管网等，改善机关伙食团干部周转房用水现状，提高工作效率。</w:t>
            </w:r>
          </w:p>
        </w:tc>
        <w:tc>
          <w:tcPr>
            <w:tcW w:w="164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2.项目实施内容及过程概述</w:t>
            </w:r>
          </w:p>
        </w:tc>
        <w:tc>
          <w:tcPr>
            <w:tcW w:w="383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预算执行情况（10分）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年度预算数（万元）</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年初预算</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调整后预算数</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预算执行数</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预算执行率</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原因</w:t>
            </w: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总额</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5.50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5.50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其中：财政资金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5.50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5.50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财政专户管理资金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单位资金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其他资金</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112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3"/>
        </w:trPr>
        <w:tc>
          <w:tcPr>
            <w:tcW w:w="54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绩效指标（90分）</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一级指标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二级指标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三级指标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指标性质</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指标值</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度量单位</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完成值</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权重</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得分</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未完成原因分析</w:t>
            </w:r>
          </w:p>
        </w:tc>
      </w:tr>
      <w:tr>
        <w:trPr>
          <w:trHeight w:val="1120"/>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产出指标</w:t>
            </w:r>
          </w:p>
        </w:tc>
        <w:tc>
          <w:tcPr>
            <w:tcW w:w="39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数量指标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主水管网配套设施</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套</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9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成品保温蓄水池</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个（套）</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质量指标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改造验收合格率。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时效指标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当年改造完成率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效益指标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社会效益指标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改善机关伙食团干部周转房用水现状，提高工作效率。</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满意度指标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服务对象满意度指标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干部职工满意度</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98</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成本指标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经济成本指标</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维修费控制总额</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7</w:t>
            </w:r>
          </w:p>
        </w:tc>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万元</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完成年度目标任务的100%。</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20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3905"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合计</w:t>
            </w:r>
          </w:p>
        </w:tc>
        <w:tc>
          <w:tcPr>
            <w:tcW w:w="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3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100</w:t>
            </w:r>
          </w:p>
        </w:tc>
        <w:tc>
          <w:tcPr>
            <w:tcW w:w="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评价结论</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优</w:t>
            </w: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存在问题</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5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改进措施</w:t>
            </w:r>
          </w:p>
        </w:tc>
        <w:tc>
          <w:tcPr>
            <w:tcW w:w="4452"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p>
        </w:tc>
      </w:tr>
      <w:tr>
        <w:trPr>
          <w:trHeight w:val="23"/>
        </w:trPr>
        <w:tc>
          <w:tcPr>
            <w:tcW w:w="2588"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项目负责人：桑青娜姆</w:t>
            </w:r>
          </w:p>
        </w:tc>
        <w:tc>
          <w:tcPr>
            <w:tcW w:w="2411"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kern w:val="0"/>
                <w:sz w:val="24"/>
                <w:szCs w:val="24"/>
                <w:u w:val="none"/>
                <w:lang w:val="en-US" w:eastAsia="zh-CN"/>
              </w:rPr>
            </w:pPr>
            <w:r>
              <w:rPr>
                <w:rFonts w:ascii="Times New Roman" w:eastAsia="宋体" w:cs="Times New Roman" w:hAnsi="Times New Roman" w:hint="eastAsia"/>
                <w:i w:val="0"/>
                <w:color w:val="000000"/>
                <w:kern w:val="0"/>
                <w:sz w:val="24"/>
                <w:szCs w:val="24"/>
                <w:u w:val="none"/>
                <w:lang w:val="en-US" w:eastAsia="zh-CN"/>
              </w:rPr>
              <w:t>财务负责人：桑青娜姆</w:t>
            </w:r>
          </w:p>
        </w:tc>
      </w:tr>
    </w:tbl>
    <w:p>
      <w:pPr>
        <w:rPr>
          <w:rFonts w:ascii="黑体" w:eastAsia="黑体" w:hint="eastAsia"/>
          <w:b w:val="0"/>
        </w:rPr>
      </w:pPr>
    </w:p>
    <w:p>
      <w:pPr>
        <w:pStyle w:val="1"/>
        <w:jc w:val="center"/>
        <w:rPr>
          <w:rFonts w:ascii="黑体" w:eastAsia="黑体" w:hint="eastAsia"/>
          <w:b w:val="0"/>
        </w:rPr>
      </w:pPr>
    </w:p>
    <w:p>
      <w:pPr>
        <w:rPr>
          <w:rFonts w:ascii="黑体" w:eastAsia="黑体" w:hint="eastAsia"/>
          <w:b w:val="0"/>
        </w:rPr>
      </w:pPr>
    </w:p>
    <w:p>
      <w:pPr>
        <w:pStyle w:val="15"/>
        <w:rPr>
          <w:rFonts w:ascii="黑体" w:eastAsia="黑体" w:hint="eastAsia"/>
          <w:b w:val="0"/>
        </w:rPr>
      </w:pPr>
    </w:p>
    <w:p>
      <w:pPr>
        <w:rPr>
          <w:rFonts w:ascii="黑体" w:eastAsia="黑体" w:hint="eastAsia"/>
          <w:b w:val="0"/>
        </w:rPr>
      </w:pPr>
    </w:p>
    <w:p>
      <w:pPr>
        <w:pStyle w:val="15"/>
        <w:rPr>
          <w:rFonts w:ascii="黑体" w:eastAsia="黑体" w:hint="eastAsia"/>
          <w:b w:val="0"/>
        </w:rPr>
      </w:pPr>
    </w:p>
    <w:p>
      <w:pPr>
        <w:rPr>
          <w:rFonts w:hint="eastAsia"/>
        </w:rPr>
      </w:pPr>
    </w:p>
    <w:p>
      <w:pPr>
        <w:pStyle w:val="1"/>
        <w:jc w:val="center"/>
        <w:rPr>
          <w:rFonts w:ascii="黑体" w:eastAsia="黑体" w:hint="eastAsia"/>
          <w:b w:val="0"/>
        </w:rPr>
      </w:pPr>
      <w:r>
        <w:rPr>
          <w:rFonts w:ascii="黑体" w:eastAsia="黑体" w:hint="eastAsia"/>
          <w:b w:val="0"/>
        </w:rPr>
        <w:t>第五部分 附表</w:t>
      </w:r>
      <w:bookmarkEnd w:id="87"/>
    </w:p>
    <w:p>
      <w:pPr>
        <w:rPr>
          <w:rFonts w:ascii="仿宋" w:eastAsia="仿宋"/>
          <w:sz w:val="32"/>
          <w:szCs w:val="32"/>
        </w:rPr>
      </w:pPr>
      <w:r>
        <w:rPr>
          <w:rFonts w:ascii="Times New Roman" w:eastAsia="仿宋" w:cs="Times New Roman" w:hAnsi="Times New Roman" w:hint="eastAsia"/>
          <w:b w:val="0"/>
          <w:bCs/>
          <w:kern w:val="2"/>
          <w:sz w:val="32"/>
          <w:szCs w:val="32"/>
          <w:lang w:val="en-US" w:eastAsia="zh-CN" w:bidi="ar-SA"/>
        </w:rPr>
        <w:t>一、</w:t>
      </w:r>
      <w:r>
        <w:rPr>
          <w:rFonts w:ascii="仿宋" w:eastAsia="仿宋" w:hint="eastAsia"/>
          <w:sz w:val="32"/>
          <w:szCs w:val="32"/>
        </w:rPr>
        <w:t>收入支出决算总表</w:t>
      </w:r>
    </w:p>
    <w:p>
      <w:pPr>
        <w:rPr>
          <w:rFonts w:ascii="仿宋" w:eastAsia="仿宋"/>
          <w:sz w:val="32"/>
          <w:szCs w:val="32"/>
        </w:rPr>
      </w:pPr>
      <w:r>
        <w:rPr>
          <w:rFonts w:ascii="Times New Roman" w:eastAsia="仿宋" w:cs="Times New Roman" w:hAnsi="Times New Roman" w:hint="eastAsia"/>
          <w:b w:val="0"/>
          <w:bCs/>
          <w:kern w:val="2"/>
          <w:sz w:val="32"/>
          <w:szCs w:val="32"/>
          <w:lang w:val="en-US" w:eastAsia="zh-CN" w:bidi="ar-SA"/>
        </w:rPr>
        <w:t>二、</w:t>
      </w:r>
      <w:r>
        <w:rPr>
          <w:rFonts w:ascii="仿宋" w:eastAsia="仿宋" w:hint="eastAsia"/>
          <w:sz w:val="32"/>
          <w:szCs w:val="32"/>
        </w:rPr>
        <w:t>收入决算表</w:t>
      </w:r>
    </w:p>
    <w:p>
      <w:pPr>
        <w:rPr>
          <w:rFonts w:ascii="仿宋" w:eastAsia="仿宋"/>
          <w:sz w:val="32"/>
          <w:szCs w:val="32"/>
        </w:rPr>
      </w:pPr>
      <w:r>
        <w:rPr>
          <w:rFonts w:ascii="Times New Roman" w:eastAsia="仿宋" w:cs="Times New Roman" w:hAnsi="Times New Roman" w:hint="eastAsia"/>
          <w:b w:val="0"/>
          <w:bCs/>
          <w:kern w:val="2"/>
          <w:sz w:val="32"/>
          <w:szCs w:val="32"/>
          <w:lang w:val="en-US" w:eastAsia="zh-CN" w:bidi="ar-SA"/>
        </w:rPr>
        <w:t>三、</w:t>
      </w:r>
      <w:r>
        <w:rPr>
          <w:rFonts w:ascii="仿宋" w:eastAsia="仿宋" w:hint="eastAsia"/>
          <w:sz w:val="32"/>
          <w:szCs w:val="32"/>
        </w:rPr>
        <w:t>支出决算表</w:t>
      </w:r>
    </w:p>
    <w:p>
      <w:pPr>
        <w:rPr>
          <w:rFonts w:ascii="仿宋" w:eastAsia="仿宋"/>
          <w:sz w:val="32"/>
          <w:szCs w:val="32"/>
        </w:rPr>
      </w:pPr>
      <w:r>
        <w:rPr>
          <w:rFonts w:ascii="Times New Roman" w:eastAsia="仿宋" w:cs="Times New Roman" w:hAnsi="Times New Roman" w:hint="eastAsia"/>
          <w:b w:val="0"/>
          <w:bCs/>
          <w:kern w:val="2"/>
          <w:sz w:val="32"/>
          <w:szCs w:val="32"/>
          <w:lang w:val="en-US" w:eastAsia="zh-CN" w:bidi="ar-SA"/>
        </w:rPr>
        <w:t>四、</w:t>
      </w:r>
      <w:r>
        <w:rPr>
          <w:rFonts w:ascii="仿宋" w:eastAsia="仿宋" w:hint="eastAsia"/>
          <w:sz w:val="32"/>
          <w:szCs w:val="32"/>
        </w:rPr>
        <w:t>财政拨款收入支出决算总表</w:t>
      </w:r>
    </w:p>
    <w:p>
      <w:pPr>
        <w:rPr>
          <w:rFonts w:ascii="仿宋" w:eastAsia="仿宋"/>
          <w:sz w:val="32"/>
          <w:szCs w:val="32"/>
        </w:rPr>
      </w:pPr>
      <w:r>
        <w:rPr>
          <w:rFonts w:ascii="Times New Roman" w:eastAsia="仿宋" w:cs="Times New Roman" w:hAnsi="Times New Roman" w:hint="eastAsia"/>
          <w:b w:val="0"/>
          <w:bCs/>
          <w:kern w:val="2"/>
          <w:sz w:val="32"/>
          <w:szCs w:val="32"/>
          <w:lang w:val="en-US" w:eastAsia="zh-CN" w:bidi="ar-SA"/>
        </w:rPr>
        <w:t>五、</w:t>
      </w:r>
      <w:r>
        <w:rPr>
          <w:rFonts w:ascii="仿宋" w:eastAsia="仿宋" w:hint="eastAsia"/>
          <w:sz w:val="32"/>
          <w:szCs w:val="32"/>
        </w:rPr>
        <w:t>财政拨款支出决算明细表</w:t>
      </w:r>
    </w:p>
    <w:p>
      <w:pPr>
        <w:rPr>
          <w:rFonts w:ascii="仿宋" w:eastAsia="仿宋"/>
          <w:sz w:val="32"/>
          <w:szCs w:val="32"/>
        </w:rPr>
      </w:pPr>
      <w:r>
        <w:rPr>
          <w:rFonts w:ascii="Times New Roman" w:eastAsia="仿宋" w:cs="Times New Roman" w:hAnsi="Times New Roman" w:hint="eastAsia"/>
          <w:b w:val="0"/>
          <w:bCs/>
          <w:kern w:val="2"/>
          <w:sz w:val="32"/>
          <w:szCs w:val="32"/>
          <w:lang w:val="en-US" w:eastAsia="zh-CN" w:bidi="ar-SA"/>
        </w:rPr>
        <w:t>六、</w:t>
      </w:r>
      <w:r>
        <w:rPr>
          <w:rFonts w:ascii="仿宋" w:eastAsia="仿宋" w:hint="eastAsia"/>
          <w:sz w:val="32"/>
          <w:szCs w:val="32"/>
        </w:rPr>
        <w:t>一般公共预算财政拨款支出决算表</w:t>
      </w:r>
    </w:p>
    <w:p>
      <w:pPr>
        <w:rPr>
          <w:rFonts w:ascii="仿宋" w:eastAsia="仿宋"/>
          <w:sz w:val="32"/>
          <w:szCs w:val="32"/>
        </w:rPr>
      </w:pPr>
      <w:r>
        <w:rPr>
          <w:rFonts w:ascii="Times New Roman" w:eastAsia="仿宋" w:cs="Times New Roman" w:hAnsi="Times New Roman" w:hint="eastAsia"/>
          <w:b w:val="0"/>
          <w:bCs/>
          <w:kern w:val="2"/>
          <w:sz w:val="32"/>
          <w:szCs w:val="32"/>
          <w:lang w:val="en-US" w:eastAsia="zh-CN" w:bidi="ar-SA"/>
        </w:rPr>
        <w:t>七、</w:t>
      </w:r>
      <w:r>
        <w:rPr>
          <w:rFonts w:ascii="仿宋" w:eastAsia="仿宋" w:hint="eastAsia"/>
          <w:sz w:val="32"/>
          <w:szCs w:val="32"/>
        </w:rPr>
        <w:t>一般公共预算财政拨款支出决算明细表</w:t>
      </w:r>
    </w:p>
    <w:p>
      <w:pPr>
        <w:rPr>
          <w:rFonts w:ascii="仿宋" w:eastAsia="仿宋"/>
          <w:sz w:val="32"/>
          <w:szCs w:val="32"/>
        </w:rPr>
      </w:pPr>
      <w:r>
        <w:rPr>
          <w:rFonts w:ascii="Times New Roman" w:eastAsia="仿宋" w:cs="Times New Roman" w:hAnsi="Times New Roman" w:hint="eastAsia"/>
          <w:b w:val="0"/>
          <w:bCs/>
          <w:kern w:val="2"/>
          <w:sz w:val="32"/>
          <w:szCs w:val="32"/>
          <w:lang w:val="en-US" w:eastAsia="zh-CN" w:bidi="ar-SA"/>
        </w:rPr>
        <w:t>八、</w:t>
      </w:r>
      <w:r>
        <w:rPr>
          <w:rFonts w:ascii="仿宋" w:eastAsia="仿宋" w:hint="eastAsia"/>
          <w:sz w:val="32"/>
          <w:szCs w:val="32"/>
        </w:rPr>
        <w:t>一般公共预算财政拨款基本支出决算表</w:t>
      </w:r>
    </w:p>
    <w:p>
      <w:pPr>
        <w:rPr>
          <w:rFonts w:ascii="仿宋" w:eastAsia="仿宋"/>
          <w:sz w:val="32"/>
          <w:szCs w:val="32"/>
        </w:rPr>
      </w:pPr>
      <w:r>
        <w:rPr>
          <w:rFonts w:ascii="Times New Roman" w:eastAsia="仿宋" w:cs="Times New Roman" w:hAnsi="Times New Roman" w:hint="eastAsia"/>
          <w:b w:val="0"/>
          <w:bCs/>
          <w:kern w:val="2"/>
          <w:sz w:val="32"/>
          <w:szCs w:val="32"/>
          <w:lang w:val="en-US" w:eastAsia="zh-CN" w:bidi="ar-SA"/>
        </w:rPr>
        <w:t>九、</w:t>
      </w:r>
      <w:r>
        <w:rPr>
          <w:rFonts w:ascii="仿宋" w:eastAsia="仿宋" w:hint="eastAsia"/>
          <w:sz w:val="32"/>
          <w:szCs w:val="32"/>
        </w:rPr>
        <w:t>一般公共预算财政拨款项目支出决算表</w:t>
      </w:r>
    </w:p>
    <w:p>
      <w:pPr>
        <w:rPr>
          <w:rFonts w:ascii="仿宋" w:eastAsia="仿宋"/>
          <w:sz w:val="32"/>
          <w:szCs w:val="32"/>
        </w:rPr>
      </w:pPr>
      <w:r>
        <w:rPr>
          <w:rFonts w:ascii="Times New Roman" w:eastAsia="仿宋" w:cs="Times New Roman" w:hAnsi="Times New Roman" w:hint="eastAsia"/>
          <w:b w:val="0"/>
          <w:bCs/>
          <w:kern w:val="2"/>
          <w:sz w:val="32"/>
          <w:szCs w:val="32"/>
          <w:lang w:val="en-US" w:eastAsia="zh-CN" w:bidi="ar-SA"/>
        </w:rPr>
        <w:t>十、</w:t>
      </w:r>
      <w:r>
        <w:rPr>
          <w:rFonts w:ascii="仿宋" w:eastAsia="仿宋" w:hint="eastAsia"/>
          <w:sz w:val="32"/>
          <w:szCs w:val="32"/>
        </w:rPr>
        <w:t>政府性基金预算财政拨款收入支出决算表</w:t>
      </w:r>
    </w:p>
    <w:p>
      <w:pPr>
        <w:rPr>
          <w:rFonts w:ascii="仿宋" w:eastAsia="仿宋"/>
          <w:sz w:val="32"/>
          <w:szCs w:val="32"/>
        </w:rPr>
      </w:pPr>
      <w:r>
        <w:rPr>
          <w:rFonts w:ascii="Times New Roman" w:eastAsia="仿宋" w:cs="Times New Roman" w:hAnsi="Times New Roman" w:hint="eastAsia"/>
          <w:b w:val="0"/>
          <w:bCs/>
          <w:kern w:val="2"/>
          <w:sz w:val="32"/>
          <w:szCs w:val="32"/>
          <w:lang w:val="en-US" w:eastAsia="zh-CN" w:bidi="ar-SA"/>
        </w:rPr>
        <w:t>十一、</w:t>
      </w:r>
      <w:r>
        <w:rPr>
          <w:rFonts w:ascii="仿宋" w:eastAsia="仿宋" w:hint="eastAsia"/>
          <w:sz w:val="32"/>
          <w:szCs w:val="32"/>
        </w:rPr>
        <w:t>国有资本经营预算财政拨款收入支出决算表</w:t>
      </w:r>
    </w:p>
    <w:p>
      <w:pPr>
        <w:rPr>
          <w:rFonts w:ascii="仿宋" w:eastAsia="仿宋"/>
          <w:sz w:val="32"/>
          <w:szCs w:val="32"/>
        </w:rPr>
      </w:pPr>
      <w:r>
        <w:rPr>
          <w:rFonts w:ascii="Times New Roman" w:eastAsia="仿宋" w:cs="Times New Roman" w:hAnsi="Times New Roman" w:hint="eastAsia"/>
          <w:b w:val="0"/>
          <w:bCs/>
          <w:kern w:val="2"/>
          <w:sz w:val="32"/>
          <w:szCs w:val="32"/>
          <w:lang w:val="en-US" w:eastAsia="zh-CN" w:bidi="ar-SA"/>
        </w:rPr>
        <w:t>十二、</w:t>
      </w:r>
      <w:r>
        <w:rPr>
          <w:rFonts w:ascii="仿宋" w:eastAsia="仿宋" w:hint="eastAsia"/>
          <w:sz w:val="32"/>
          <w:szCs w:val="32"/>
        </w:rPr>
        <w:t>国有资本经营预算财政拨款支出决算表</w:t>
      </w:r>
    </w:p>
    <w:p>
      <w:pPr>
        <w:rPr>
          <w:rFonts w:ascii="仿宋" w:eastAsia="仿宋"/>
          <w:sz w:val="32"/>
          <w:szCs w:val="32"/>
        </w:rPr>
      </w:pPr>
      <w:r>
        <w:rPr>
          <w:rFonts w:ascii="Times New Roman" w:eastAsia="仿宋" w:cs="Times New Roman" w:hAnsi="Times New Roman" w:hint="eastAsia"/>
          <w:b w:val="0"/>
          <w:bCs/>
          <w:kern w:val="2"/>
          <w:sz w:val="32"/>
          <w:szCs w:val="32"/>
          <w:lang w:val="en-US" w:eastAsia="zh-CN" w:bidi="ar-SA"/>
        </w:rPr>
        <w:t>十三、</w:t>
      </w:r>
      <w:r>
        <w:rPr>
          <w:rFonts w:ascii="仿宋" w:eastAsia="仿宋" w:hint="eastAsia"/>
          <w:sz w:val="32"/>
          <w:szCs w:val="32"/>
        </w:rPr>
        <w:t>财政拨款“三公”经费支出决算表</w:t>
      </w: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2010601030101010101"/>
    <w:charset w:val="86"/>
    <w:family w:val="auto"/>
    <w:pitch w:val="variable"/>
    <w:sig w:usb0="00000001" w:usb1="080E0000" w:usb2="00000000" w:usb3="00000000" w:csb0="00040000" w:csb1="00000000"/>
  </w:font>
  <w:font w:name="仿宋">
    <w:altName w:val="仿宋_GB2312"/>
    <w:panose1 w:val="02010609060101010101"/>
    <w:charset w:val="86"/>
    <w:family w:val="modern"/>
    <w:pitch w:val="variable"/>
    <w:sig w:usb0="800002BF" w:usb1="38CF7CFA" w:usb2="00000016" w:usb3="00000000" w:csb0="00040001" w:csb1="00000000"/>
  </w:font>
  <w:font w:name="Arial">
    <w:altName w:val="DejaVu Sans"/>
    <w:panose1 w:val="020B0604020202020204"/>
    <w:charset w:val="01"/>
    <w:family w:val="swiss"/>
    <w:pitch w:val="variable"/>
    <w:sig w:usb0="E0002EFF" w:usb1="C000785B" w:usb2="00000009" w:usb3="00000000" w:csb0="400001FF" w:csb1="FFFF0000"/>
  </w:font>
  <w:font w:name="宋体">
    <w:altName w:val="方正书宋_GBK"/>
    <w:panose1 w:val="02010600030101010101"/>
    <w:charset w:val="7A"/>
    <w:family w:val="auto"/>
    <w:pitch w:val="variable"/>
    <w:sig w:usb0="00000003" w:usb1="288F0000" w:usb2="00000006" w:usb3="00000000" w:csb0="00040001" w:csb1="00000000"/>
  </w:font>
  <w:font w:name="Times New Roman">
    <w:altName w:val="AR PL UKai CN"/>
    <w:panose1 w:val="02020603050405020304"/>
    <w:charset w:val="86"/>
    <w:family w:val="auto"/>
    <w:pitch w:val="variable"/>
    <w:sig w:usb0="E0002EFF" w:usb1="C000785B" w:usb2="00000009" w:usb3="00000000" w:csb0="400001FF" w:csb1="FFFF0000"/>
  </w:font>
  <w:font w:name="黑体">
    <w:altName w:val="方正黑体_GBK"/>
    <w:panose1 w:val="02010609060101010101"/>
    <w:charset w:val="86"/>
    <w:family w:val="auto"/>
    <w:pitch w:val="variable"/>
    <w:sig w:usb0="800002BF" w:usb1="38CF7CFA" w:usb2="00000016" w:usb3="00000000" w:csb0="00040001" w:csb1="00000000"/>
  </w:font>
  <w:font w:name="仿宋_GB2312">
    <w:panose1 w:val="02010609030101010101"/>
    <w:charset w:val="86"/>
    <w:family w:val="auto"/>
    <w:pitch w:val="variable"/>
    <w:sig w:usb0="00000001" w:usb1="080E0000" w:usb2="00000000" w:usb3="00000000" w:csb0="00040000" w:csb1="00000000"/>
  </w:font>
  <w:font w:name="楷体">
    <w:altName w:val="楷体_GB2312"/>
    <w:panose1 w:val="02010609060101010101"/>
    <w:charset w:val="86"/>
    <w:family w:val="modern"/>
    <w:pitch w:val="variable"/>
    <w:sig w:usb0="800002BF" w:usb1="38CF7CFA" w:usb2="00000016" w:usb3="00000000" w:csb0="00040001" w:csb1="00000000"/>
  </w:font>
  <w:font w:name="仿宋_GB2312仿宋_GB2312">
    <w:altName w:val="AR PL UKai CN"/>
    <w:panose1 w:val="00000000000000000000"/>
    <w:charset w:val="86"/>
    <w:family w:val="roman"/>
    <w:pitch w:val="variable"/>
    <w:sig w:usb0="00000000" w:usb1="00000000" w:usb2="00000000" w:usb3="00000000" w:csb0="00000000" w:csb1="00000000"/>
  </w:font>
  <w:font w:name="Cambria">
    <w:altName w:val="DejaVu Sans"/>
    <w:panose1 w:val="02040503050406030204"/>
    <w:charset w:val="00"/>
    <w:family w:val="roman"/>
    <w:pitch w:val="variable"/>
    <w:sig w:usb0="E00006FF" w:usb1="420024FF" w:usb2="02000000" w:usb3="00000000" w:csb0="2000019F" w:csb1="00000000"/>
  </w:font>
  <w:font w:name="Calibri">
    <w:altName w:val="DejaVu Sans"/>
    <w:panose1 w:val="020F0502020204030204"/>
    <w:charset w:val="00"/>
    <w:family w:val="swiss"/>
    <w:pitch w:val="variable"/>
    <w:sig w:usb0="E4002EFF" w:usb1="C000247B" w:usb2="00000009" w:usb3="00000000" w:csb0="200001FF" w:csb1="00000000"/>
  </w:font>
  <w:font w:name="??">
    <w:altName w:val="DejaVu Sans"/>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458372983"/>
    </w:sdtPr>
    <w:sdtContent>
      <w:p>
        <w:pPr>
          <w:pStyle w:val="20"/>
          <w:tabs>
            <w:tab w:val="center" w:pos="4153"/>
            <w:tab w:val="right" w:pos="8306"/>
          </w:tabs>
          <w:jc w:val="center"/>
        </w:pPr>
        <w:r>
          <w:fldChar w:fldCharType="begin"/>
        </w:r>
        <w:r>
          <w:instrText>PAGE   \* MERGEFORMAT</w:instrText>
        </w:r>
        <w:r>
          <w:fldChar w:fldCharType="separate"/>
        </w:r>
        <w:r>
          <w:rPr>
            <w:lang w:val="zh-CN"/>
          </w:rPr>
          <w:t>16</w:t>
        </w:r>
        <w:r>
          <w:fldChar w:fldCharType="end"/>
        </w:r>
      </w:p>
    </w:sdtContent>
  </w:sdt>
  <w:p>
    <w:pPr>
      <w:pStyle w:val="20"/>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92CD9E3E"/>
    <w:multiLevelType w:val="singleLevel"/>
    <w:tmpl w:val="92CD9E3E"/>
    <w:lvl w:ilvl="0">
      <w:start w:val="1"/>
      <w:numFmt w:val="chineseCounting"/>
      <w:lvlRestart w:val="0"/>
      <w:suff w:val="nothing"/>
      <w:lvlText w:val="%1、"/>
      <w:lvlJc w:val="left"/>
      <w:pPr>
        <w:tabs>
          <w:tab w:val="num" w:pos="0"/>
        </w:tabs>
        <w:ind w:left="0" w:hanging="0"/>
      </w:pPr>
      <w:rPr>
        <w:rFonts w:hint="eastAsia"/>
      </w:rPr>
    </w:lvl>
  </w:abstractNum>
  <w:abstractNum w:abstractNumId="1">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oNotDisplayPageBoundaries/>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5"/>
  </w:compat>
  <w:docVars>
    <w:docVar w:name="commondata" w:val="eyJoZGlkIjoiNmRjOTJlNzJjZmZkOTQxZDA4NjRhMDllMWM3ZmQ2OTg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标题 5（有编号）（绿盟科技）"/>
    <w:next w:val="0"/>
    <w:pPr>
      <w:keepNext/>
      <w:keepLines/>
      <w:widowControl w:val="0"/>
      <w:spacing w:before="280" w:after="156" w:line="377" w:lineRule="auto"/>
      <w:outlineLvl w:val="4"/>
    </w:pPr>
    <w:rPr>
      <w:rFonts w:ascii="Arial" w:eastAsia="黑体" w:cs="Times New Roman" w:hAnsi="Arial"/>
      <w:b/>
      <w:kern w:val="2"/>
      <w:sz w:val="24"/>
      <w:szCs w:val="28"/>
      <w:lang w:val="en-US" w:eastAsia="zh-CN" w:bidi="ar-SA"/>
    </w:rPr>
  </w:style>
  <w:style w:type="paragraph" w:styleId="16">
    <w:name w:val="Body Text"/>
    <w:basedOn w:val="0"/>
    <w:pPr>
      <w:spacing w:beforeLines="30" w:before="30"/>
    </w:pPr>
    <w:rPr>
      <w:rFonts w:ascii="仿宋_GB2312" w:eastAsia="仿宋_GB2312"/>
      <w:kern w:val="0"/>
      <w:sz w:val="30"/>
    </w:rPr>
  </w:style>
  <w:style w:type="paragraph" w:styleId="17">
    <w:name w:val="Body Text Indent"/>
    <w:basedOn w:val="0"/>
    <w:pPr>
      <w:spacing w:after="120"/>
      <w:ind w:leftChars="200" w:left="200"/>
    </w:pPr>
    <w:rPr>
      <w:rFonts w:ascii="仿宋_GB2312" w:hAnsi="仿宋_GB2312"/>
      <w:szCs w:val="32"/>
    </w:rPr>
  </w:style>
  <w:style w:type="paragraph" w:styleId="18">
    <w:name w:val="toc 3"/>
    <w:basedOn w:val="0"/>
    <w:next w:val="0"/>
    <w:pPr>
      <w:tabs>
        <w:tab w:val="right" w:leader="dot" w:pos="8296"/>
      </w:tabs>
      <w:ind w:leftChars="400" w:left="400"/>
    </w:pPr>
  </w:style>
  <w:style w:type="paragraph" w:styleId="19">
    <w:name w:val="Balloon Text"/>
    <w:basedOn w:val="0"/>
    <w:rPr>
      <w:sz w:val="18"/>
      <w:szCs w:val="18"/>
    </w:rPr>
  </w:style>
  <w:style w:type="paragraph" w:styleId="20">
    <w:name w:val="footer"/>
    <w:basedOn w:val="0"/>
    <w:pPr>
      <w:tabs>
        <w:tab w:val="center" w:pos="4153"/>
        <w:tab w:val="right" w:pos="8306"/>
      </w:tabs>
      <w:snapToGrid w:val="0"/>
      <w:jc w:val="left"/>
    </w:pPr>
    <w:rPr>
      <w:rFonts w:ascii="Calibri" w:hAnsi="Calibri"/>
      <w:kern w:val="0"/>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2">
    <w:name w:val="toc 1"/>
    <w:basedOn w:val="0"/>
    <w:next w:val="0"/>
    <w:pPr>
      <w:tabs>
        <w:tab w:val="right" w:leader="dot" w:pos="8296"/>
      </w:tabs>
      <w:spacing w:before="93"/>
      <w:jc w:val="center"/>
    </w:pPr>
    <w:rPr>
      <w:rFonts w:ascii="仿宋" w:eastAsia="仿宋"/>
      <w:sz w:val="28"/>
      <w:szCs w:val="28"/>
    </w:rPr>
  </w:style>
  <w:style w:type="paragraph" w:styleId="23">
    <w:name w:val="toc 2"/>
    <w:basedOn w:val="0"/>
    <w:next w:val="0"/>
    <w:pPr>
      <w:tabs>
        <w:tab w:val="right" w:leader="dot" w:pos="8296"/>
      </w:tabs>
      <w:ind w:leftChars="200" w:left="200"/>
    </w:pPr>
  </w:style>
  <w:style w:type="paragraph" w:styleId="24">
    <w:name w:val="Body Text First Indent 2"/>
    <w:basedOn w:val="17"/>
    <w:pPr>
      <w:ind w:firstLineChars="200" w:firstLine="200"/>
    </w:pPr>
  </w:style>
  <w:style w:type="character" w:styleId="25">
    <w:name w:val="Strong"/>
    <w:basedOn w:val="10"/>
    <w:rPr>
      <w:b/>
    </w:rPr>
  </w:style>
  <w:style w:type="character" w:styleId="26">
    <w:name w:val="Hyperlink"/>
    <w:basedOn w:val="10"/>
    <w:rPr>
      <w:color w:val="0000FF"/>
      <w:u w:val="single"/>
    </w:rPr>
  </w:style>
  <w:style w:type="character" w:customStyle="1" w:styleId="27">
    <w:name w:val="Header Char"/>
    <w:basedOn w:val="10"/>
    <w:rPr>
      <w:rFonts w:ascii="Times New Roman" w:hAnsi="Times New Roman"/>
      <w:sz w:val="18"/>
      <w:szCs w:val="18"/>
    </w:rPr>
  </w:style>
  <w:style w:type="character" w:customStyle="1" w:styleId="28">
    <w:name w:val="Footer Char"/>
    <w:basedOn w:val="10"/>
    <w:rPr>
      <w:rFonts w:ascii="Times New Roman" w:hAnsi="Times New Roman"/>
      <w:sz w:val="18"/>
      <w:szCs w:val="18"/>
    </w:rPr>
  </w:style>
  <w:style w:type="character" w:customStyle="1" w:styleId="29">
    <w:name w:val="Body Text Char"/>
    <w:basedOn w:val="10"/>
    <w:rPr>
      <w:rFonts w:ascii="Times New Roman" w:hAnsi="Times New Roman"/>
      <w:szCs w:val="24"/>
    </w:rPr>
  </w:style>
  <w:style w:type="paragraph" w:customStyle="1" w:styleId="30">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1">
    <w:name w:val="List Paragraph"/>
    <w:basedOn w:val="0"/>
    <w:pPr>
      <w:ind w:firstLineChars="200" w:firstLine="200"/>
    </w:pPr>
  </w:style>
  <w:style w:type="paragraph" w:customStyle="1" w:styleId="32">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3">
    <w:name w:val="TOC 标题2"/>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4">
    <w:name w:val="四号正文"/>
    <w:basedOn w:val="0"/>
    <w:pPr>
      <w:spacing w:line="360" w:lineRule="auto"/>
    </w:pPr>
    <w:rPr>
      <w:rFonts w:ascii="??" w:hAnsi="??"/>
      <w:color w:val="000000"/>
      <w:kern w:val="0"/>
      <w:sz w:val="28"/>
      <w:szCs w:val="21"/>
      <w:lang w:val="zh-CN"/>
    </w:rPr>
  </w:style>
  <w:style w:type="paragraph" w:customStyle="1" w:styleId="35">
    <w:name w:val="WPSOffice手动目录 1"/>
    <w:rPr>
      <w:rFonts w:ascii="Times New Roman" w:eastAsia="宋体" w:cs="Times New Roman" w:hAnsi="Times New Roman"/>
      <w:sz w:val="20"/>
      <w:szCs w:val="20"/>
    </w:rPr>
  </w:style>
  <w:style w:type="paragraph" w:customStyle="1" w:styleId="36">
    <w:name w:val="WPSOffice手动目录 2"/>
    <w:pPr>
      <w:ind w:leftChars="200" w:left="200"/>
    </w:pPr>
    <w:rPr>
      <w:rFonts w:ascii="Times New Roman" w:eastAsia="宋体" w:cs="Times New Roman" w:hAnsi="Times New Roman"/>
      <w:sz w:val="2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image" Target="media/3.png"/><Relationship Id="rId6" Type="http://schemas.openxmlformats.org/officeDocument/2006/relationships/chart" Target="charts/chart2.xml"/><Relationship Id="rId7" Type="http://schemas.openxmlformats.org/officeDocument/2006/relationships/chart" Target="charts/chart3.xml"/><Relationship Id="rId8" Type="http://schemas.openxmlformats.org/officeDocument/2006/relationships/chart" Target="charts/chart4.xml"/><Relationship Id="rId9" Type="http://schemas.openxmlformats.org/officeDocument/2006/relationships/chart" Target="charts/chart5.xml"/><Relationship Id="rId10" Type="http://schemas.openxmlformats.org/officeDocument/2006/relationships/image" Target="media/10.png"/><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AR PL UKai CN"/>
                <a:ea typeface="AR PL UKai CN"/>
                <a:cs typeface="Lucida Sans"/>
              </a:defRPr>
            </a:pPr>
            <a:r>
              <a:rPr lang="zh-CN"/>
              <a:t>收、支决算结构图</a:t>
            </a:r>
          </a:p>
        </c:rich>
      </c:tx>
      <c:layout/>
      <c:overlay val="0"/>
      <c:spPr>
        <a:ln>
          <a:noFill/>
        </a:ln>
      </c:spPr>
    </c:title>
    <c:autoTitleDeleted val="1"/>
    <c:plotArea>
      <c:layout/>
      <c:barChart>
        <c:barDir val="col"/>
        <c:grouping val="clustered"/>
        <c:varyColors val="0"/>
        <c:ser>
          <c:idx val="0"/>
          <c:order val="0"/>
          <c:tx>
            <c:v>收入</c:v>
          </c:tx>
          <c:spPr>
            <a:solidFill>
              <a:srgbClr val="4F81BD"/>
            </a:solidFill>
          </c:spPr>
          <c:invertIfNegative val="0"/>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2023年</c:v>
              </c:pt>
              <c:pt idx="1">
                <c:v>2024年</c:v>
              </c:pt>
            </c:strLit>
          </c:cat>
          <c:val>
            <c:numRef>
              <c:f/>
              <c:numCache>
                <c:formatCode>General</c:formatCode>
                <c:ptCount val="2"/>
                <c:pt idx="0">
                  <c:v>426.37</c:v>
                </c:pt>
                <c:pt idx="1">
                  <c:v>366.73</c:v>
                </c:pt>
              </c:numCache>
            </c:numRef>
          </c:val>
        </c:ser>
        <c:ser>
          <c:idx val="1"/>
          <c:order val="1"/>
          <c:tx>
            <c:v>支出</c:v>
          </c:tx>
          <c:spPr>
            <a:solidFill>
              <a:srgbClr val="C0504D"/>
            </a:solidFill>
          </c:spPr>
          <c:invertIfNegative val="0"/>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2023年</c:v>
              </c:pt>
              <c:pt idx="1">
                <c:v>2024年</c:v>
              </c:pt>
            </c:strLit>
          </c:cat>
          <c:val>
            <c:numRef>
              <c:f/>
              <c:numCache>
                <c:formatCode>General</c:formatCode>
                <c:ptCount val="2"/>
                <c:pt idx="0">
                  <c:v>426.37</c:v>
                </c:pt>
                <c:pt idx="1">
                  <c:v>366.73</c:v>
                </c:pt>
              </c:numCache>
            </c:numRef>
          </c:val>
        </c:ser>
        <c:gapWidth val="150"/>
        <c:axId val="0"/>
        <c:axId val="1"/>
      </c:barChart>
      <c:catAx>
        <c:axId val="0"/>
        <c:scaling>
          <c:orientation val="minMax"/>
        </c:scaling>
        <c:delete val="0"/>
        <c:axPos val="b"/>
        <c:numFmt formatCode="General" sourceLinked="1"/>
        <c:majorTickMark val="none"/>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none"/>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At val="1.0"/>
        <c:crossBetween val="between"/>
        <c:crossAx val="0"/>
      </c:valAx>
      <c:spPr>
        <a:noFill/>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hPercent val="100"/>
      <c:rotY val="0"/>
      <c:depthPercent val="100"/>
      <c:rAngAx val="0"/>
      <c:perspective val="0"/>
    </c:view3D>
    <c:floor>
      <c:thickness val="0"/>
      <c:spPr>
        <a:ln w="6350">
          <a:solidFill>
            <a:srgbClr val="898989"/>
          </a:solidFill>
          <a:prstDash val="solid"/>
        </a:ln>
      </c:spPr>
    </c:floor>
    <c:sideWall>
      <c:thickness val="0"/>
      <c:spPr>
        <a:ln>
          <a:noFill/>
        </a:ln>
      </c:spPr>
    </c:sideWall>
    <c:backWall>
      <c:thickness val="0"/>
      <c:spPr>
        <a:ln>
          <a:noFill/>
        </a:ln>
      </c:spPr>
    </c:backWall>
    <c:plotArea>
      <c:layout/>
      <c:pie3DChart>
        <c:varyColors val="1"/>
        <c:ser>
          <c:idx val="0"/>
          <c:order val="0"/>
          <c:tx>
            <c:v>支出决算结构图</c:v>
          </c:tx>
          <c:spPr>
            <a:solidFill>
              <a:srgbClr val="4F81BD"/>
            </a:solidFill>
          </c:spPr>
          <c:dPt>
            <c:idx val="0"/>
            <c:bubble3D val="0"/>
            <c:spPr>
              <a:solidFill>
                <a:srgbClr val="4F81BD"/>
              </a:solidFill>
            </c:spPr>
          </c:dPt>
          <c:dPt>
            <c:idx val="1"/>
            <c:bubble3D val="0"/>
            <c:spPr>
              <a:solidFill>
                <a:srgbClr val="C0504D"/>
              </a:solidFill>
            </c:spPr>
          </c:dPt>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showLegendKey val="0"/>
            <c:showVal val="1"/>
            <c:showCatName val="0"/>
            <c:showSerName val="0"/>
            <c:showPercent val="0"/>
            <c:showBubbleSize val="0"/>
            <c:showLeaderLines val="1"/>
          </c:dLbls>
          <c:cat>
            <c:strLit>
              <c:ptCount val="2"/>
              <c:pt idx="0">
                <c:v>基本支出</c:v>
              </c:pt>
              <c:pt idx="1">
                <c:v>项目支出</c:v>
              </c:pt>
            </c:strLit>
          </c:cat>
          <c:val>
            <c:numRef>
              <c:f/>
              <c:numCache>
                <c:formatCode>General</c:formatCode>
                <c:ptCount val="2"/>
                <c:pt idx="0">
                  <c:v>46.97</c:v>
                </c:pt>
                <c:pt idx="1">
                  <c:v>53.03</c:v>
                </c:pt>
              </c:numCache>
            </c:numRef>
          </c:val>
        </c:ser>
        <c:gapDepth val="150"/>
        <c:firstSliceAng val="0"/>
      </c:pie3DChart>
      <c:spPr>
        <a:noFill/>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AR PL UKai CN"/>
                <a:ea typeface="AR PL UKai CN"/>
                <a:cs typeface="Lucida Sans"/>
              </a:defRPr>
            </a:pPr>
            <a:r>
              <a:rPr lang="zh-CN"/>
              <a:t>财政拨款收、支决算总计变动情况</a:t>
            </a:r>
          </a:p>
        </c:rich>
      </c:tx>
      <c:layout/>
      <c:overlay val="0"/>
      <c:spPr>
        <a:ln>
          <a:noFill/>
        </a:ln>
      </c:spPr>
    </c:title>
    <c:autoTitleDeleted val="1"/>
    <c:plotArea>
      <c:layout/>
      <c:barChart>
        <c:barDir val="col"/>
        <c:grouping val="clustered"/>
        <c:varyColors val="0"/>
        <c:ser>
          <c:idx val="0"/>
          <c:order val="0"/>
          <c:tx>
            <c:v>收入</c:v>
          </c:tx>
          <c:spPr>
            <a:solidFill>
              <a:srgbClr val="4F81BD"/>
            </a:solidFill>
          </c:spPr>
          <c:invertIfNegative val="0"/>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2023年</c:v>
              </c:pt>
              <c:pt idx="1">
                <c:v>2024年</c:v>
              </c:pt>
            </c:strLit>
          </c:cat>
          <c:val>
            <c:numRef>
              <c:f/>
              <c:numCache>
                <c:formatCode>General</c:formatCode>
                <c:ptCount val="2"/>
                <c:pt idx="0">
                  <c:v>426.37</c:v>
                </c:pt>
                <c:pt idx="1">
                  <c:v>366.73</c:v>
                </c:pt>
              </c:numCache>
            </c:numRef>
          </c:val>
        </c:ser>
        <c:ser>
          <c:idx val="1"/>
          <c:order val="1"/>
          <c:tx>
            <c:v>支出</c:v>
          </c:tx>
          <c:spPr>
            <a:solidFill>
              <a:srgbClr val="C0504D"/>
            </a:solidFill>
          </c:spPr>
          <c:invertIfNegative val="0"/>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2023年</c:v>
              </c:pt>
              <c:pt idx="1">
                <c:v>2024年</c:v>
              </c:pt>
            </c:strLit>
          </c:cat>
          <c:val>
            <c:numRef>
              <c:f/>
              <c:numCache>
                <c:formatCode>General</c:formatCode>
                <c:ptCount val="2"/>
                <c:pt idx="0">
                  <c:v>426.37</c:v>
                </c:pt>
                <c:pt idx="1">
                  <c:v>366.73</c:v>
                </c:pt>
              </c:numCache>
            </c:numRef>
          </c:val>
        </c:ser>
        <c:gapWidth val="150"/>
        <c:axId val="0"/>
        <c:axId val="1"/>
      </c:barChart>
      <c:catAx>
        <c:axId val="0"/>
        <c:scaling>
          <c:orientation val="minMax"/>
        </c:scaling>
        <c:delete val="0"/>
        <c:axPos val="b"/>
        <c:numFmt formatCode="General" sourceLinked="1"/>
        <c:majorTickMark val="none"/>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none"/>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At val="1.0"/>
        <c:crossBetween val="between"/>
        <c:crossAx val="0"/>
      </c:valAx>
      <c:spPr>
        <a:noFill/>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08319444"/>
          <c:y val="0.29583332"/>
          <c:w val="0.8879167"/>
          <c:h val="0.57939816"/>
        </c:manualLayout>
      </c:layout>
      <c:barChart>
        <c:barDir val="col"/>
        <c:grouping val="clustered"/>
        <c:varyColors val="0"/>
        <c:ser>
          <c:idx val="0"/>
          <c:order val="0"/>
          <c:tx>
            <c:v>一般公共预算财政拨款支出决算变动情况</c:v>
          </c:tx>
          <c:spPr>
            <a:solidFill>
              <a:srgbClr val="4F81BD"/>
            </a:solidFill>
          </c:spPr>
          <c:invertIfNegative val="0"/>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2023年</c:v>
              </c:pt>
              <c:pt idx="1">
                <c:v>2024年</c:v>
              </c:pt>
            </c:strLit>
          </c:cat>
          <c:val>
            <c:numRef>
              <c:f/>
              <c:numCache>
                <c:formatCode>General</c:formatCode>
                <c:ptCount val="2"/>
                <c:pt idx="0">
                  <c:v>426.36</c:v>
                </c:pt>
                <c:pt idx="1">
                  <c:v>366.73</c:v>
                </c:pt>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At val="1.0"/>
        <c:crossBetween val="between"/>
        <c:crossAx val="0"/>
      </c:valAx>
      <c:spPr>
        <a:noFill/>
      </c:spPr>
    </c:plotArea>
    <c:plotVisOnly val="1"/>
    <c:dispBlanksAs val="gap"/>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AR PL UKai CN"/>
                <a:ea typeface="AR PL UKai CN"/>
                <a:cs typeface="Lucida Sans"/>
              </a:defRPr>
            </a:pPr>
            <a:r>
              <a:rPr lang="zh-CN"/>
              <a:t>一般公共预算财政拨款支出决算结构</a:t>
            </a:r>
          </a:p>
        </c:rich>
      </c:tx>
      <c:layout>
        <c:manualLayout>
          <c:xMode val="edge"/>
          <c:yMode val="edge"/>
          <c:x val="0.11513889"/>
          <c:y val="0.036574073"/>
        </c:manualLayout>
      </c:layout>
      <c:overlay val="0"/>
      <c:spPr>
        <a:ln>
          <a:noFill/>
        </a:ln>
      </c:spPr>
    </c:title>
    <c:autoTitleDeleted val="1"/>
    <c:view3D>
      <c:rotX val="30"/>
      <c:hPercent val="100"/>
      <c:rotY val="0"/>
      <c:depthPercent val="100"/>
      <c:rAngAx val="0"/>
      <c:perspective val="0"/>
    </c:view3D>
    <c:floor>
      <c:thickness val="0"/>
      <c:spPr>
        <a:ln w="6350">
          <a:solidFill>
            <a:srgbClr val="898989"/>
          </a:solidFill>
          <a:prstDash val="solid"/>
        </a:ln>
      </c:spPr>
    </c:floor>
    <c:sideWall>
      <c:thickness val="0"/>
      <c:spPr>
        <a:ln>
          <a:noFill/>
        </a:ln>
      </c:spPr>
    </c:sideWall>
    <c:backWall>
      <c:thickness val="0"/>
      <c:spPr>
        <a:ln>
          <a:noFill/>
        </a:ln>
      </c:spPr>
    </c:backWall>
    <c:plotArea>
      <c:layout/>
      <c:pie3DChart>
        <c:varyColors val="1"/>
        <c:ser>
          <c:idx val="0"/>
          <c:order val="0"/>
          <c:tx>
            <c:v>一般公共预算财政拨款支出决算结构</c:v>
          </c:tx>
          <c:spPr>
            <a:solidFill>
              <a:srgbClr val="4F81BD"/>
            </a:solidFill>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
              <c:idx val="1"/>
              <c:layout>
                <c:manualLayout>
                  <c:x val="-0.030715441"/>
                  <c:y val="-0.024292432"/>
                </c:manualLayout>
              </c:layout>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dLbl>
              <c:idx val="2"/>
              <c:layout>
                <c:manualLayout>
                  <c:x val="-0.0043947943"/>
                  <c:y val="-0.088616945"/>
                </c:manualLayout>
              </c:layout>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dLbl>
              <c:idx val="3"/>
              <c:layout>
                <c:manualLayout>
                  <c:x val="0.13650043"/>
                  <c:y val="-0.038926072"/>
                </c:manualLayout>
              </c:layout>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Lit>
              <c:ptCount val="4"/>
              <c:pt idx="0">
                <c:v>一般公共服务支出</c:v>
              </c:pt>
              <c:pt idx="1">
                <c:v>社会保障和就业支出</c:v>
              </c:pt>
              <c:pt idx="2">
                <c:v>卫生健康支出</c:v>
              </c:pt>
              <c:pt idx="3">
                <c:v>住房保障支出</c:v>
              </c:pt>
            </c:strLit>
          </c:cat>
          <c:val>
            <c:numRef>
              <c:f/>
              <c:numCache>
                <c:formatCode>General</c:formatCode>
                <c:ptCount val="4"/>
                <c:pt idx="0">
                  <c:v>325.79</c:v>
                </c:pt>
                <c:pt idx="1">
                  <c:v>21.09</c:v>
                </c:pt>
                <c:pt idx="2">
                  <c:v>8.43</c:v>
                </c:pt>
                <c:pt idx="3">
                  <c:v>11.42</c:v>
                </c:pt>
              </c:numCache>
            </c:numRef>
          </c:val>
        </c:ser>
        <c:gapDepth val="150"/>
        <c:firstSliceAng val="0"/>
      </c:pie3DChart>
      <c:spPr>
        <a:noFill/>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9</TotalTime>
  <Application>Yozo_Office27021597764231179</Application>
  <Pages>51</Pages>
  <Words>20718</Words>
  <Characters>24422</Characters>
  <Lines>4282</Lines>
  <Paragraphs>2390</Paragraphs>
  <CharactersWithSpaces>24528</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7</cp:revision>
  <cp:lastPrinted>2023-08-03T10:35:00Z</cp:lastPrinted>
  <dcterms:created xsi:type="dcterms:W3CDTF">2024-08-05T07:12:00Z</dcterms:created>
  <dcterms:modified xsi:type="dcterms:W3CDTF">2025-08-18T04:11:42Z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2052-12.1.0.22215</vt:lpwstr>
  </property>
  <property fmtid="{D5CDD505-2E9C-101B-9397-08002B2CF9AE}" pid="3" name="ICV">
    <vt:lpwstr>932F03511D134E45B411B562EEB3B557_13</vt:lpwstr>
  </property>
  <property fmtid="{D5CDD505-2E9C-101B-9397-08002B2CF9AE}" pid="4" name="KSOTemplateDocerSaveRecord">
    <vt:lpwstr>eyJoZGlkIjoiNDU0ZWFjOTk2NGNlYTg2ZWRkMTIxNDA3MGIwZTlmOWQiLCJ1c2VySWQiOiIyOTQ0MDI2OTkifQ==</vt:lpwstr>
  </property>
</Properties>
</file>