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AC0D1">
      <w:pPr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公务服务中心2025年</w:t>
      </w:r>
    </w:p>
    <w:p w14:paraId="78E6AF0B">
      <w:pPr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  <w:bookmarkStart w:id="0" w:name="_GoBack"/>
      <w:bookmarkEnd w:id="0"/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 w14:paraId="38119F00">
      <w:pPr>
        <w:pStyle w:val="2"/>
        <w:jc w:val="left"/>
      </w:pPr>
    </w:p>
    <w:p w14:paraId="481490E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398.06万元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，均严格按绩效管理要求实现项目绩效目标管理，其中重点项目预算1个，现将情况说明如下：</w:t>
      </w:r>
    </w:p>
    <w:p w14:paraId="16AF55F2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695BCDD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完成了2025年本级部门预算整体绩效目标申报和1个重点项目预算绩效目标申报，并编报1个重点项目预算事前绩效评估报告。</w:t>
      </w:r>
    </w:p>
    <w:p w14:paraId="1C6CCD96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5B8B6925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县委、县政府关于2025年全县工作的总体部署，负责县直机关事务的保障、服务工作，指导各乡镇、县级各部门机关事务工作；负责推进、指导、协调、监督全县公共机构节能日常事务，会同有关部门起草县直机关公共机构节能规划、管理制度并组织实施：负责联系协调县级有关部门及关联单位承办县委、县政府重大公务活动的服务工作等。</w:t>
      </w:r>
    </w:p>
    <w:p w14:paraId="1B92C578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F9AC0F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重点项目：公务接待费</w:t>
      </w:r>
    </w:p>
    <w:p w14:paraId="201D3A0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项目年度绩效目标：负责2025年度各级党和国家领导人，各级党委、政府的巡视、考察调研　、考核等工作，外事接待　、招商引资的服务保障；大型会议、活动的服务接待工作；指导乡（镇）、县级部门的公务活动服务保障工作。</w:t>
      </w:r>
    </w:p>
    <w:p w14:paraId="4197FEE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mRjOTJlNzJjZmZkOTQxZDA4NjRhMDllMWM3ZmQ2OTgifQ=="/>
  </w:docVars>
  <w:rsids>
    <w:rsidRoot w:val="00000000"/>
    <w:rsid w:val="21D815E3"/>
    <w:rsid w:val="24950982"/>
    <w:rsid w:val="28F260F4"/>
    <w:rsid w:val="3B6F725F"/>
    <w:rsid w:val="409F74B5"/>
    <w:rsid w:val="53C925EA"/>
    <w:rsid w:val="6A6170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470</Words>
  <Characters>490</Characters>
  <Lines>23</Lines>
  <Paragraphs>15</Paragraphs>
  <TotalTime>0</TotalTime>
  <ScaleCrop>false</ScaleCrop>
  <LinksUpToDate>false</LinksUpToDate>
  <CharactersWithSpaces>493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2025-03-04T05:19:58Z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351C6A20FD234844B267BD9E2DE5A7DB_13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