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2114"/>
      <w:bookmarkStart w:id="2" w:name="_Toc15377193"/>
      <w:bookmarkStart w:id="3" w:name="_Toc15377425"/>
      <w:bookmarkStart w:id="4" w:name="_Toc15378441"/>
      <w:bookmarkStart w:id="5" w:name="_Toc15396597"/>
      <w:bookmarkStart w:id="6" w:name="_Toc15396475"/>
      <w:r>
        <w:rPr>
          <w:rFonts w:hint="eastAsia" w:ascii="黑体" w:eastAsia="黑体"/>
          <w:color w:val="000000"/>
          <w:sz w:val="72"/>
          <w:szCs w:val="72"/>
          <w:lang w:val="en-US" w:eastAsia="zh-CN"/>
        </w:rPr>
        <w:t>2021年</w:t>
      </w:r>
      <w:r>
        <w:rPr>
          <w:rFonts w:hint="eastAsia" w:ascii="方正小标宋简体" w:eastAsia="方正小标宋简体"/>
          <w:color w:val="000000"/>
          <w:sz w:val="72"/>
          <w:szCs w:val="72"/>
        </w:rPr>
        <w:t>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8442"/>
      <w:bookmarkStart w:id="8" w:name="_Toc15377426"/>
      <w:bookmarkStart w:id="9" w:name="_Toc14812"/>
      <w:bookmarkStart w:id="10" w:name="_Toc15396598"/>
      <w:bookmarkStart w:id="11" w:name="_Toc15377194"/>
      <w:bookmarkStart w:id="12" w:name="_Toc15396476"/>
      <w:r>
        <w:rPr>
          <w:rFonts w:hint="eastAsia" w:ascii="方正小标宋简体" w:eastAsia="方正小标宋简体"/>
          <w:color w:val="000000"/>
          <w:sz w:val="72"/>
          <w:szCs w:val="72"/>
          <w:lang w:val="en-US" w:eastAsia="zh-CN"/>
        </w:rPr>
        <w:t>四川省</w:t>
      </w:r>
      <w:r>
        <w:rPr>
          <w:rFonts w:hint="eastAsia" w:ascii="方正小标宋简体" w:eastAsia="方正小标宋简体"/>
          <w:color w:val="000000"/>
          <w:sz w:val="72"/>
          <w:szCs w:val="72"/>
        </w:rPr>
        <w:t>阿坝州</w:t>
      </w:r>
      <w:bookmarkEnd w:id="0"/>
      <w:bookmarkStart w:id="13" w:name="_Toc15306268"/>
      <w:r>
        <w:rPr>
          <w:rFonts w:hint="eastAsia" w:ascii="方正小标宋简体" w:eastAsia="方正小标宋简体"/>
          <w:color w:val="000000"/>
          <w:sz w:val="72"/>
          <w:szCs w:val="72"/>
          <w:lang w:eastAsia="zh-CN"/>
        </w:rPr>
        <w:t>金川县公务服务中心</w:t>
      </w:r>
      <w:r>
        <w:rPr>
          <w:rFonts w:hint="eastAsia" w:ascii="方正小标宋简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eastAsia="仿宋_GB2312" w:cs="仿宋_GB2312"/>
          <w:color w:val="000000"/>
          <w:sz w:val="32"/>
          <w:szCs w:val="32"/>
        </w:rPr>
      </w:pPr>
      <w:r>
        <w:rPr>
          <w:rFonts w:ascii="方正小标宋简体" w:eastAsia="方正小标宋简体"/>
          <w:color w:val="000000"/>
          <w:sz w:val="36"/>
          <w:szCs w:val="36"/>
        </w:rPr>
        <w:br w:type="page"/>
      </w:r>
      <w:r>
        <w:rPr>
          <w:rFonts w:hint="eastAsia" w:ascii="仿宋_GB2312" w:eastAsia="仿宋_GB2312" w:cs="仿宋_GB2312"/>
          <w:color w:val="000000"/>
          <w:sz w:val="32"/>
          <w:szCs w:val="32"/>
        </w:rPr>
        <w:t>目录</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公开时间2021年8月24日</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eastAsia="仿宋_GB2312" w:cs="仿宋_GB2312"/>
          <w:bCs/>
          <w:kern w:val="2"/>
          <w:sz w:val="32"/>
          <w:szCs w:val="32"/>
          <w:lang w:val="en-US" w:eastAsia="zh-CN" w:bidi="ar-SA"/>
        </w:rPr>
      </w:pP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 w:val="21"/>
          <w:szCs w:val="21"/>
          <w:lang w:val="en-US" w:eastAsia="zh-CN" w:bidi="ar-SA"/>
        </w:rPr>
        <w:fldChar w:fldCharType="begin"/>
      </w:r>
      <w:r>
        <w:rPr>
          <w:rFonts w:hint="eastAsia" w:ascii="楷体_GB2312" w:eastAsia="楷体_GB2312" w:cs="楷体_GB2312"/>
          <w:bCs/>
          <w:kern w:val="2"/>
          <w:sz w:val="21"/>
          <w:szCs w:val="21"/>
          <w:lang w:val="en-US" w:eastAsia="zh-CN" w:bidi="ar-SA"/>
        </w:rPr>
        <w:instrText xml:space="preserve">TOC \o "1-4" \f \h </w:instrText>
      </w:r>
      <w:r>
        <w:rPr>
          <w:rFonts w:hint="eastAsia" w:ascii="楷体_GB2312" w:eastAsia="楷体_GB2312" w:cs="楷体_GB2312"/>
          <w:bCs/>
          <w:kern w:val="2"/>
          <w:sz w:val="21"/>
          <w:szCs w:val="21"/>
          <w:lang w:val="en-US" w:eastAsia="zh-CN" w:bidi="ar-SA"/>
        </w:rPr>
        <w:fldChar w:fldCharType="separate"/>
      </w: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_Toc29446 </w:instrText>
      </w:r>
      <w:r>
        <w:rPr>
          <w:rFonts w:hint="eastAsia" w:ascii="楷体_GB2312" w:eastAsia="楷体_GB2312" w:cs="楷体_GB2312"/>
          <w:bCs/>
          <w:kern w:val="2"/>
          <w:szCs w:val="21"/>
          <w:lang w:val="en-US" w:eastAsia="zh-CN" w:bidi="ar-SA"/>
        </w:rPr>
        <w:fldChar w:fldCharType="separate"/>
      </w:r>
      <w:r>
        <w:rPr>
          <w:rFonts w:hint="eastAsia" w:ascii="黑体" w:eastAsia="黑体"/>
        </w:rPr>
        <w:t xml:space="preserve">第一部分 </w:t>
      </w:r>
      <w:r>
        <w:rPr>
          <w:rFonts w:hint="eastAsia" w:ascii="黑体" w:eastAsia="黑体"/>
          <w:bCs w:val="0"/>
        </w:rPr>
        <w:t>部门概况</w:t>
      </w:r>
      <w:r>
        <w:tab/>
      </w:r>
      <w:r>
        <w:fldChar w:fldCharType="begin"/>
      </w:r>
      <w:r>
        <w:instrText xml:space="preserve"> PAGEREF _Toc29446 </w:instrText>
      </w:r>
      <w:r>
        <w:fldChar w:fldCharType="separate"/>
      </w:r>
      <w:r>
        <w:t>3</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_Toc31628 </w:instrText>
      </w:r>
      <w:r>
        <w:rPr>
          <w:rFonts w:hint="eastAsia" w:ascii="楷体_GB2312" w:eastAsia="楷体_GB2312" w:cs="楷体_GB2312"/>
          <w:bCs/>
          <w:kern w:val="2"/>
          <w:szCs w:val="21"/>
          <w:lang w:val="en-US" w:eastAsia="zh-CN" w:bidi="ar-SA"/>
        </w:rPr>
        <w:fldChar w:fldCharType="separate"/>
      </w:r>
      <w:r>
        <w:rPr>
          <w:rFonts w:hint="eastAsia" w:ascii="黑体" w:eastAsia="黑体"/>
        </w:rPr>
        <w:t>一、基</w:t>
      </w:r>
      <w:r>
        <w:rPr>
          <w:rFonts w:hint="eastAsia" w:ascii="黑体" w:eastAsia="黑体"/>
          <w:bCs w:val="0"/>
        </w:rPr>
        <w:t>本职能及主要工作</w:t>
      </w:r>
      <w:r>
        <w:tab/>
      </w:r>
      <w:r>
        <w:fldChar w:fldCharType="begin"/>
      </w:r>
      <w:r>
        <w:instrText xml:space="preserve"> PAGEREF _Toc31628 </w:instrText>
      </w:r>
      <w:r>
        <w:fldChar w:fldCharType="separate"/>
      </w:r>
      <w:r>
        <w:t>3</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_Toc30491 </w:instrText>
      </w:r>
      <w:r>
        <w:rPr>
          <w:rFonts w:hint="eastAsia" w:ascii="楷体_GB2312" w:eastAsia="楷体_GB2312" w:cs="楷体_GB2312"/>
          <w:bCs/>
          <w:kern w:val="2"/>
          <w:szCs w:val="21"/>
          <w:lang w:val="en-US" w:eastAsia="zh-CN" w:bidi="ar-SA"/>
        </w:rPr>
        <w:fldChar w:fldCharType="separate"/>
      </w:r>
      <w:r>
        <w:rPr>
          <w:rFonts w:hint="eastAsia" w:ascii="楷体" w:eastAsia="楷体" w:cs="楷体"/>
          <w:bCs/>
          <w:szCs w:val="32"/>
        </w:rPr>
        <w:t>（一）主要职能</w:t>
      </w:r>
      <w:r>
        <w:tab/>
      </w:r>
      <w:r>
        <w:fldChar w:fldCharType="begin"/>
      </w:r>
      <w:r>
        <w:instrText xml:space="preserve"> PAGEREF _Toc30491 </w:instrText>
      </w:r>
      <w:r>
        <w:fldChar w:fldCharType="separate"/>
      </w:r>
      <w:r>
        <w:t>3</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_Toc19706 </w:instrText>
      </w:r>
      <w:r>
        <w:rPr>
          <w:rFonts w:hint="eastAsia" w:ascii="楷体_GB2312" w:eastAsia="楷体_GB2312" w:cs="楷体_GB2312"/>
          <w:bCs/>
          <w:kern w:val="2"/>
          <w:szCs w:val="21"/>
          <w:lang w:val="en-US" w:eastAsia="zh-CN" w:bidi="ar-SA"/>
        </w:rPr>
        <w:fldChar w:fldCharType="separate"/>
      </w:r>
      <w:r>
        <w:rPr>
          <w:rFonts w:hint="eastAsia" w:ascii="楷体" w:eastAsia="楷体" w:cs="楷体"/>
          <w:bCs/>
          <w:szCs w:val="32"/>
        </w:rPr>
        <w:t>（二）</w:t>
      </w:r>
      <w:r>
        <w:rPr>
          <w:rFonts w:hint="eastAsia" w:ascii="楷体" w:eastAsia="楷体" w:cs="楷体"/>
          <w:bCs/>
          <w:szCs w:val="32"/>
          <w:lang w:val="en-US" w:eastAsia="zh-CN"/>
        </w:rPr>
        <w:t>2021年</w:t>
      </w:r>
      <w:r>
        <w:rPr>
          <w:rFonts w:hint="eastAsia" w:ascii="楷体" w:eastAsia="楷体" w:cs="楷体"/>
          <w:bCs/>
          <w:szCs w:val="32"/>
        </w:rPr>
        <w:t>重点工作完成情况</w:t>
      </w:r>
      <w:r>
        <w:tab/>
      </w:r>
      <w:r>
        <w:fldChar w:fldCharType="begin"/>
      </w:r>
      <w:r>
        <w:instrText xml:space="preserve"> PAGEREF _Toc19706 </w:instrText>
      </w:r>
      <w:r>
        <w:fldChar w:fldCharType="separate"/>
      </w:r>
      <w:r>
        <w:t>4</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_Toc6633 </w:instrText>
      </w:r>
      <w:r>
        <w:rPr>
          <w:rFonts w:hint="eastAsia" w:ascii="楷体_GB2312" w:eastAsia="楷体_GB2312" w:cs="楷体_GB2312"/>
          <w:bCs/>
          <w:kern w:val="2"/>
          <w:szCs w:val="21"/>
          <w:lang w:val="en-US" w:eastAsia="zh-CN" w:bidi="ar-SA"/>
        </w:rPr>
        <w:fldChar w:fldCharType="separate"/>
      </w:r>
      <w:r>
        <w:rPr>
          <w:rFonts w:hint="eastAsia" w:ascii="黑体" w:eastAsia="黑体"/>
          <w:bCs w:val="0"/>
        </w:rPr>
        <w:t>二、机构设置</w:t>
      </w:r>
      <w:r>
        <w:tab/>
      </w:r>
      <w:r>
        <w:fldChar w:fldCharType="begin"/>
      </w:r>
      <w:r>
        <w:instrText xml:space="preserve"> PAGEREF _Toc6633 </w:instrText>
      </w:r>
      <w:r>
        <w:fldChar w:fldCharType="separate"/>
      </w:r>
      <w:r>
        <w:t>4</w:t>
      </w:r>
      <w:r>
        <w:fldChar w:fldCharType="end"/>
      </w:r>
      <w:r>
        <w:rPr>
          <w:rFonts w:hint="eastAsia" w:ascii="楷体_GB2312" w:eastAsia="楷体_GB2312" w:cs="楷体_GB2312"/>
          <w:bCs/>
          <w:kern w:val="2"/>
          <w:szCs w:val="21"/>
          <w:lang w:val="en-US" w:eastAsia="zh-CN" w:bidi="ar-SA"/>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_Toc3818 </w:instrText>
      </w:r>
      <w:r>
        <w:rPr>
          <w:rFonts w:hint="eastAsia" w:ascii="楷体_GB2312" w:eastAsia="楷体_GB2312" w:cs="楷体_GB2312"/>
          <w:bCs/>
          <w:kern w:val="2"/>
          <w:szCs w:val="21"/>
          <w:lang w:val="en-US" w:eastAsia="zh-CN" w:bidi="ar-SA"/>
        </w:rPr>
        <w:fldChar w:fldCharType="separate"/>
      </w:r>
      <w:r>
        <w:rPr>
          <w:rFonts w:hint="eastAsia" w:ascii="黑体" w:eastAsia="黑体"/>
        </w:rPr>
        <w:t xml:space="preserve">第二部分 </w:t>
      </w:r>
      <w:r>
        <w:rPr>
          <w:rFonts w:hint="eastAsia" w:ascii="黑体" w:eastAsia="黑体"/>
          <w:bCs w:val="0"/>
          <w:lang w:val="en-US"/>
        </w:rPr>
        <w:t>2021年</w:t>
      </w:r>
      <w:r>
        <w:rPr>
          <w:rFonts w:hint="eastAsia" w:ascii="黑体" w:eastAsia="黑体"/>
          <w:bCs w:val="0"/>
        </w:rPr>
        <w:t>度部门决算情况说明</w:t>
      </w:r>
      <w:r>
        <w:tab/>
      </w:r>
      <w:r>
        <w:fldChar w:fldCharType="begin"/>
      </w:r>
      <w:r>
        <w:instrText xml:space="preserve"> PAGEREF _Toc3818 </w:instrText>
      </w:r>
      <w:r>
        <w:fldChar w:fldCharType="separate"/>
      </w:r>
      <w:r>
        <w:t>5</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_Toc1580 </w:instrText>
      </w:r>
      <w:r>
        <w:rPr>
          <w:rFonts w:hint="eastAsia" w:ascii="楷体_GB2312" w:eastAsia="楷体_GB2312" w:cs="楷体_GB2312"/>
          <w:bCs/>
          <w:kern w:val="2"/>
          <w:szCs w:val="21"/>
          <w:lang w:val="en-US" w:eastAsia="zh-CN" w:bidi="ar-SA"/>
        </w:rPr>
        <w:fldChar w:fldCharType="separate"/>
      </w:r>
      <w:r>
        <w:rPr>
          <w:rFonts w:hint="eastAsia" w:ascii="黑体" w:eastAsia="黑体"/>
          <w:lang w:eastAsia="zh-CN"/>
        </w:rPr>
        <w:t>一、</w:t>
      </w:r>
      <w:r>
        <w:rPr>
          <w:rFonts w:hint="eastAsia" w:ascii="黑体" w:eastAsia="黑体"/>
        </w:rPr>
        <w:t>收入支出决算总体情况说明</w:t>
      </w:r>
      <w:r>
        <w:tab/>
      </w:r>
      <w:r>
        <w:fldChar w:fldCharType="begin"/>
      </w:r>
      <w:r>
        <w:instrText xml:space="preserve"> PAGEREF _Toc1580 </w:instrText>
      </w:r>
      <w:r>
        <w:fldChar w:fldCharType="separate"/>
      </w:r>
      <w:r>
        <w:t>5</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_Toc8328 </w:instrText>
      </w:r>
      <w:r>
        <w:rPr>
          <w:rFonts w:hint="eastAsia" w:ascii="楷体_GB2312" w:eastAsia="楷体_GB2312" w:cs="楷体_GB2312"/>
          <w:bCs/>
          <w:kern w:val="2"/>
          <w:szCs w:val="21"/>
          <w:lang w:val="en-US" w:eastAsia="zh-CN" w:bidi="ar-SA"/>
        </w:rPr>
        <w:fldChar w:fldCharType="separate"/>
      </w:r>
      <w:r>
        <w:tab/>
      </w:r>
      <w:r>
        <w:fldChar w:fldCharType="begin"/>
      </w:r>
      <w:r>
        <w:instrText xml:space="preserve"> PAGEREF _Toc8328 </w:instrText>
      </w:r>
      <w:r>
        <w:fldChar w:fldCharType="separate"/>
      </w:r>
      <w:r>
        <w:t>5</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_Toc2105 </w:instrText>
      </w:r>
      <w:r>
        <w:rPr>
          <w:rFonts w:hint="eastAsia" w:ascii="楷体_GB2312" w:eastAsia="楷体_GB2312" w:cs="楷体_GB2312"/>
          <w:bCs/>
          <w:kern w:val="2"/>
          <w:szCs w:val="21"/>
          <w:lang w:val="en-US" w:eastAsia="zh-CN" w:bidi="ar-SA"/>
        </w:rPr>
        <w:fldChar w:fldCharType="separate"/>
      </w:r>
      <w:r>
        <w:rPr>
          <w:rFonts w:hint="eastAsia" w:ascii="黑体" w:eastAsia="黑体"/>
          <w:lang w:val="en-US" w:eastAsia="zh-CN"/>
        </w:rPr>
        <w:t>二、收入决</w:t>
      </w:r>
      <w:r>
        <w:rPr>
          <w:rFonts w:hint="eastAsia" w:ascii="黑体" w:eastAsia="黑体"/>
        </w:rPr>
        <w:t>算情况说明</w:t>
      </w:r>
      <w:r>
        <w:tab/>
      </w:r>
      <w:r>
        <w:fldChar w:fldCharType="begin"/>
      </w:r>
      <w:r>
        <w:instrText xml:space="preserve"> PAGEREF _Toc2105 </w:instrText>
      </w:r>
      <w:r>
        <w:fldChar w:fldCharType="separate"/>
      </w:r>
      <w:r>
        <w:t>5</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_Toc18251 </w:instrText>
      </w:r>
      <w:r>
        <w:rPr>
          <w:rFonts w:hint="eastAsia" w:ascii="楷体_GB2312" w:eastAsia="楷体_GB2312" w:cs="楷体_GB2312"/>
          <w:bCs/>
          <w:kern w:val="2"/>
          <w:szCs w:val="21"/>
          <w:lang w:val="en-US" w:eastAsia="zh-CN" w:bidi="ar-SA"/>
        </w:rPr>
        <w:fldChar w:fldCharType="separate"/>
      </w:r>
      <w:r>
        <w:tab/>
      </w:r>
      <w:r>
        <w:fldChar w:fldCharType="begin"/>
      </w:r>
      <w:r>
        <w:instrText xml:space="preserve"> PAGEREF _Toc18251 </w:instrText>
      </w:r>
      <w:r>
        <w:fldChar w:fldCharType="separate"/>
      </w:r>
      <w:r>
        <w:t>6</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_Toc6230 </w:instrText>
      </w:r>
      <w:r>
        <w:rPr>
          <w:rFonts w:hint="eastAsia" w:ascii="楷体_GB2312" w:eastAsia="楷体_GB2312" w:cs="楷体_GB2312"/>
          <w:bCs/>
          <w:kern w:val="2"/>
          <w:szCs w:val="21"/>
          <w:lang w:val="en-US" w:eastAsia="zh-CN" w:bidi="ar-SA"/>
        </w:rPr>
        <w:fldChar w:fldCharType="separate"/>
      </w:r>
      <w:r>
        <w:rPr>
          <w:rFonts w:hint="eastAsia" w:ascii="黑体" w:eastAsia="黑体"/>
          <w:lang w:val="en-US" w:eastAsia="zh-CN"/>
        </w:rPr>
        <w:t>三、支出决</w:t>
      </w:r>
      <w:r>
        <w:rPr>
          <w:rFonts w:hint="eastAsia" w:ascii="黑体" w:eastAsia="黑体"/>
        </w:rPr>
        <w:t>算情况说明</w:t>
      </w:r>
      <w:r>
        <w:tab/>
      </w:r>
      <w:r>
        <w:fldChar w:fldCharType="begin"/>
      </w:r>
      <w:r>
        <w:instrText xml:space="preserve"> PAGEREF _Toc6230 </w:instrText>
      </w:r>
      <w:r>
        <w:fldChar w:fldCharType="separate"/>
      </w:r>
      <w:r>
        <w:t>6</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_Toc26719 </w:instrText>
      </w:r>
      <w:r>
        <w:rPr>
          <w:rFonts w:hint="eastAsia" w:ascii="楷体_GB2312" w:eastAsia="楷体_GB2312" w:cs="楷体_GB2312"/>
          <w:bCs/>
          <w:kern w:val="2"/>
          <w:szCs w:val="21"/>
          <w:lang w:val="en-US" w:eastAsia="zh-CN" w:bidi="ar-SA"/>
        </w:rPr>
        <w:fldChar w:fldCharType="separate"/>
      </w:r>
      <w:r>
        <w:rPr>
          <w:rFonts w:hint="eastAsia" w:ascii="黑体" w:eastAsia="黑体"/>
        </w:rPr>
        <w:t>四、财政拨款收入支出决算总体情况说明</w:t>
      </w:r>
      <w:r>
        <w:tab/>
      </w:r>
      <w:r>
        <w:fldChar w:fldCharType="begin"/>
      </w:r>
      <w:r>
        <w:instrText xml:space="preserve"> PAGEREF _Toc26719 </w:instrText>
      </w:r>
      <w:r>
        <w:fldChar w:fldCharType="separate"/>
      </w:r>
      <w:r>
        <w:t>7</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_Toc9468 </w:instrText>
      </w:r>
      <w:r>
        <w:rPr>
          <w:rFonts w:hint="eastAsia" w:ascii="楷体_GB2312" w:eastAsia="楷体_GB2312" w:cs="楷体_GB2312"/>
          <w:bCs/>
          <w:kern w:val="2"/>
          <w:szCs w:val="21"/>
          <w:lang w:val="en-US" w:eastAsia="zh-CN" w:bidi="ar-SA"/>
        </w:rPr>
        <w:fldChar w:fldCharType="separate"/>
      </w:r>
      <w:r>
        <w:tab/>
      </w:r>
      <w:r>
        <w:fldChar w:fldCharType="begin"/>
      </w:r>
      <w:r>
        <w:instrText xml:space="preserve"> PAGEREF _Toc9468 </w:instrText>
      </w:r>
      <w:r>
        <w:fldChar w:fldCharType="separate"/>
      </w:r>
      <w:r>
        <w:t>7</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_Toc18027 </w:instrText>
      </w:r>
      <w:r>
        <w:rPr>
          <w:rFonts w:hint="eastAsia" w:ascii="楷体_GB2312" w:eastAsia="楷体_GB2312" w:cs="楷体_GB2312"/>
          <w:bCs/>
          <w:kern w:val="2"/>
          <w:szCs w:val="21"/>
          <w:lang w:val="en-US" w:eastAsia="zh-CN" w:bidi="ar-SA"/>
        </w:rPr>
        <w:fldChar w:fldCharType="separate"/>
      </w:r>
      <w:r>
        <w:rPr>
          <w:rFonts w:hint="eastAsia" w:ascii="黑体" w:eastAsia="黑体"/>
        </w:rPr>
        <w:t>五、一般公共预算财政拨款支出决算情况说明</w:t>
      </w:r>
      <w:r>
        <w:tab/>
      </w:r>
      <w:r>
        <w:fldChar w:fldCharType="begin"/>
      </w:r>
      <w:r>
        <w:instrText xml:space="preserve"> PAGEREF _Toc18027 </w:instrText>
      </w:r>
      <w:r>
        <w:fldChar w:fldCharType="separate"/>
      </w:r>
      <w:r>
        <w:t>7</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pos="7600"/>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_Toc1018 </w:instrText>
      </w:r>
      <w:r>
        <w:rPr>
          <w:rFonts w:hint="eastAsia" w:ascii="楷体_GB2312" w:eastAsia="楷体_GB2312" w:cs="楷体_GB2312"/>
          <w:bCs/>
          <w:kern w:val="2"/>
          <w:szCs w:val="21"/>
          <w:lang w:val="en-US" w:eastAsia="zh-CN" w:bidi="ar-SA"/>
        </w:rPr>
        <w:fldChar w:fldCharType="separate"/>
      </w:r>
      <w:r>
        <w:rPr>
          <w:rFonts w:hint="eastAsia" w:ascii="黑体" w:eastAsia="黑体"/>
        </w:rPr>
        <w:t>六、一般公共预算财政拨款基本支出决算情况说明</w:t>
      </w:r>
      <w:r>
        <w:rPr>
          <w:rFonts w:ascii="黑体" w:eastAsia="黑体"/>
        </w:rPr>
        <w:tab/>
      </w:r>
      <w:r>
        <w:tab/>
      </w:r>
      <w:r>
        <w:fldChar w:fldCharType="begin"/>
      </w:r>
      <w:r>
        <w:instrText xml:space="preserve"> PAGEREF _Toc1018 </w:instrText>
      </w:r>
      <w:r>
        <w:fldChar w:fldCharType="separate"/>
      </w:r>
      <w:r>
        <w:t>9</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_Toc11941 </w:instrText>
      </w:r>
      <w:r>
        <w:rPr>
          <w:rFonts w:hint="eastAsia" w:ascii="楷体_GB2312" w:eastAsia="楷体_GB2312" w:cs="楷体_GB2312"/>
          <w:bCs/>
          <w:kern w:val="2"/>
          <w:szCs w:val="21"/>
          <w:lang w:val="en-US" w:eastAsia="zh-CN" w:bidi="ar-SA"/>
        </w:rPr>
        <w:fldChar w:fldCharType="separate"/>
      </w:r>
      <w:r>
        <w:rPr>
          <w:rFonts w:hint="eastAsia" w:ascii="黑体" w:eastAsia="黑体"/>
        </w:rPr>
        <w:t>七、“三公”经费财政拨款支出决算情况说明</w:t>
      </w:r>
      <w:r>
        <w:tab/>
      </w:r>
      <w:r>
        <w:fldChar w:fldCharType="begin"/>
      </w:r>
      <w:r>
        <w:instrText xml:space="preserve"> PAGEREF _Toc11941 </w:instrText>
      </w:r>
      <w:r>
        <w:fldChar w:fldCharType="separate"/>
      </w:r>
      <w:r>
        <w:t>10</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_Toc27086 </w:instrText>
      </w:r>
      <w:r>
        <w:rPr>
          <w:rFonts w:hint="eastAsia" w:ascii="楷体_GB2312" w:eastAsia="楷体_GB2312" w:cs="楷体_GB2312"/>
          <w:bCs/>
          <w:kern w:val="2"/>
          <w:szCs w:val="21"/>
          <w:lang w:val="en-US" w:eastAsia="zh-CN" w:bidi="ar-SA"/>
        </w:rPr>
        <w:fldChar w:fldCharType="separate"/>
      </w:r>
      <w:r>
        <w:rPr>
          <w:rFonts w:hint="eastAsia" w:ascii="黑体" w:eastAsia="黑体"/>
        </w:rPr>
        <w:t>八、政府性基金预算支出决算情况说明</w:t>
      </w:r>
      <w:r>
        <w:tab/>
      </w:r>
      <w:r>
        <w:fldChar w:fldCharType="begin"/>
      </w:r>
      <w:r>
        <w:instrText xml:space="preserve"> PAGEREF _Toc27086 </w:instrText>
      </w:r>
      <w:r>
        <w:fldChar w:fldCharType="separate"/>
      </w:r>
      <w:r>
        <w:t>12</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_Toc5958 </w:instrText>
      </w:r>
      <w:r>
        <w:rPr>
          <w:rFonts w:hint="eastAsia" w:ascii="楷体_GB2312" w:eastAsia="楷体_GB2312" w:cs="楷体_GB2312"/>
          <w:bCs/>
          <w:kern w:val="2"/>
          <w:szCs w:val="21"/>
          <w:lang w:val="en-US" w:eastAsia="zh-CN" w:bidi="ar-SA"/>
        </w:rPr>
        <w:fldChar w:fldCharType="separate"/>
      </w:r>
      <w:r>
        <w:rPr>
          <w:rFonts w:hint="eastAsia" w:ascii="黑体" w:eastAsia="黑体"/>
        </w:rPr>
        <w:t>九、 国有资本经营预算支出决算情况说明</w:t>
      </w:r>
      <w:r>
        <w:tab/>
      </w:r>
      <w:r>
        <w:fldChar w:fldCharType="begin"/>
      </w:r>
      <w:r>
        <w:instrText xml:space="preserve"> PAGEREF _Toc5958 </w:instrText>
      </w:r>
      <w:r>
        <w:fldChar w:fldCharType="separate"/>
      </w:r>
      <w:r>
        <w:t>12</w:t>
      </w:r>
      <w:r>
        <w:fldChar w:fldCharType="end"/>
      </w:r>
      <w:r>
        <w:rPr>
          <w:rFonts w:hint="eastAsia" w:asci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_Toc179 </w:instrText>
      </w:r>
      <w:r>
        <w:rPr>
          <w:rFonts w:hint="eastAsia" w:ascii="楷体_GB2312" w:eastAsia="楷体_GB2312" w:cs="楷体_GB2312"/>
          <w:bCs/>
          <w:kern w:val="2"/>
          <w:szCs w:val="21"/>
          <w:lang w:val="en-US" w:eastAsia="zh-CN" w:bidi="ar-SA"/>
        </w:rPr>
        <w:fldChar w:fldCharType="separate"/>
      </w:r>
      <w:r>
        <w:rPr>
          <w:rFonts w:ascii="黑体" w:eastAsia="黑体"/>
        </w:rPr>
        <w:t xml:space="preserve">十、 </w:t>
      </w:r>
      <w:r>
        <w:rPr>
          <w:rFonts w:hint="eastAsia" w:ascii="黑体" w:eastAsia="黑体"/>
        </w:rPr>
        <w:t>预算绩效情况说明</w:t>
      </w:r>
      <w:r>
        <w:tab/>
      </w:r>
      <w:r>
        <w:fldChar w:fldCharType="begin"/>
      </w:r>
      <w:r>
        <w:instrText xml:space="preserve"> PAGEREF _Toc179 </w:instrText>
      </w:r>
      <w:r>
        <w:fldChar w:fldCharType="separate"/>
      </w:r>
      <w:r>
        <w:t>12</w:t>
      </w:r>
      <w:r>
        <w:fldChar w:fldCharType="end"/>
      </w:r>
      <w:r>
        <w:rPr>
          <w:rFonts w:hint="eastAsia" w:ascii="楷体_GB2312" w:eastAsia="楷体_GB2312" w:cs="楷体_GB2312"/>
          <w:bCs/>
          <w:kern w:val="2"/>
          <w:szCs w:val="21"/>
          <w:lang w:val="en-US" w:eastAsia="zh-CN" w:bidi="ar-SA"/>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_Toc734 </w:instrText>
      </w:r>
      <w:r>
        <w:rPr>
          <w:rFonts w:hint="eastAsia" w:ascii="楷体_GB2312" w:eastAsia="楷体_GB2312" w:cs="楷体_GB2312"/>
          <w:bCs/>
          <w:kern w:val="2"/>
          <w:szCs w:val="21"/>
          <w:lang w:val="en-US" w:eastAsia="zh-CN" w:bidi="ar-SA"/>
        </w:rPr>
        <w:fldChar w:fldCharType="separate"/>
      </w:r>
      <w:r>
        <w:rPr>
          <w:rFonts w:hint="eastAsia" w:ascii="黑体" w:eastAsia="黑体"/>
        </w:rPr>
        <w:t xml:space="preserve">第三部分 </w:t>
      </w:r>
      <w:r>
        <w:rPr>
          <w:rFonts w:hint="eastAsia" w:ascii="黑体" w:eastAsia="黑体"/>
          <w:bCs w:val="0"/>
        </w:rPr>
        <w:t>名词</w:t>
      </w:r>
      <w:r>
        <w:rPr>
          <w:rFonts w:hint="eastAsia" w:ascii="黑体" w:eastAsia="黑体"/>
        </w:rPr>
        <w:t>解释</w:t>
      </w:r>
      <w:r>
        <w:tab/>
      </w:r>
      <w:r>
        <w:fldChar w:fldCharType="begin"/>
      </w:r>
      <w:r>
        <w:instrText xml:space="preserve"> PAGEREF _Toc734 </w:instrText>
      </w:r>
      <w:r>
        <w:fldChar w:fldCharType="separate"/>
      </w:r>
      <w:r>
        <w:t>14</w:t>
      </w:r>
      <w:r>
        <w:fldChar w:fldCharType="end"/>
      </w:r>
      <w:r>
        <w:rPr>
          <w:rFonts w:hint="eastAsia" w:ascii="楷体_GB2312" w:eastAsia="楷体_GB2312" w:cs="楷体_GB2312"/>
          <w:bCs/>
          <w:kern w:val="2"/>
          <w:szCs w:val="21"/>
          <w:lang w:val="en-US" w:eastAsia="zh-CN" w:bidi="ar-SA"/>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_Toc17716 </w:instrText>
      </w:r>
      <w:r>
        <w:rPr>
          <w:rFonts w:hint="eastAsia" w:ascii="楷体_GB2312" w:eastAsia="楷体_GB2312" w:cs="楷体_GB2312"/>
          <w:bCs/>
          <w:kern w:val="2"/>
          <w:szCs w:val="21"/>
          <w:lang w:val="en-US" w:eastAsia="zh-CN" w:bidi="ar-SA"/>
        </w:rPr>
        <w:fldChar w:fldCharType="separate"/>
      </w:r>
      <w:r>
        <w:rPr>
          <w:rFonts w:hint="eastAsia" w:ascii="黑体" w:eastAsia="黑体"/>
        </w:rPr>
        <w:t xml:space="preserve">第四部分 </w:t>
      </w:r>
      <w:r>
        <w:rPr>
          <w:rFonts w:hint="eastAsia" w:ascii="黑体" w:eastAsia="黑体"/>
          <w:lang w:val="en-US"/>
        </w:rPr>
        <w:t>部门整体支出绩效报告</w:t>
      </w:r>
      <w:r>
        <w:tab/>
      </w:r>
      <w:r>
        <w:fldChar w:fldCharType="begin"/>
      </w:r>
      <w:r>
        <w:instrText xml:space="preserve"> PAGEREF _Toc17716 </w:instrText>
      </w:r>
      <w:r>
        <w:fldChar w:fldCharType="separate"/>
      </w:r>
      <w:r>
        <w:t>17</w:t>
      </w:r>
      <w:r>
        <w:fldChar w:fldCharType="end"/>
      </w:r>
      <w:r>
        <w:rPr>
          <w:rFonts w:hint="eastAsia" w:ascii="楷体_GB2312" w:eastAsia="楷体_GB2312" w:cs="楷体_GB2312"/>
          <w:bCs/>
          <w:kern w:val="2"/>
          <w:szCs w:val="21"/>
          <w:lang w:val="en-US" w:eastAsia="zh-CN" w:bidi="ar-SA"/>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20" w:lineRule="exact"/>
        <w:textAlignment w:val="auto"/>
      </w:pPr>
      <w:r>
        <w:rPr>
          <w:rFonts w:hint="eastAsia" w:ascii="楷体_GB2312" w:eastAsia="楷体_GB2312" w:cs="楷体_GB2312"/>
          <w:bCs/>
          <w:kern w:val="2"/>
          <w:szCs w:val="21"/>
          <w:lang w:val="en-US" w:eastAsia="zh-CN" w:bidi="ar-SA"/>
        </w:rPr>
        <w:fldChar w:fldCharType="begin"/>
      </w:r>
      <w:r>
        <w:rPr>
          <w:rFonts w:hint="eastAsia" w:ascii="楷体_GB2312" w:eastAsia="楷体_GB2312" w:cs="楷体_GB2312"/>
          <w:bCs/>
          <w:kern w:val="2"/>
          <w:szCs w:val="21"/>
          <w:lang w:val="en-US" w:eastAsia="zh-CN" w:bidi="ar-SA"/>
        </w:rPr>
        <w:instrText xml:space="preserve"> HYPERLINK \l _Toc22303 </w:instrText>
      </w:r>
      <w:r>
        <w:rPr>
          <w:rFonts w:hint="eastAsia" w:ascii="楷体_GB2312" w:eastAsia="楷体_GB2312" w:cs="楷体_GB2312"/>
          <w:bCs/>
          <w:kern w:val="2"/>
          <w:szCs w:val="21"/>
          <w:lang w:val="en-US" w:eastAsia="zh-CN" w:bidi="ar-SA"/>
        </w:rPr>
        <w:fldChar w:fldCharType="separate"/>
      </w:r>
      <w:r>
        <w:rPr>
          <w:rFonts w:hint="eastAsia" w:ascii="仿宋" w:eastAsia="仿宋"/>
          <w:bCs w:val="0"/>
          <w:szCs w:val="32"/>
        </w:rPr>
        <w:t>附件：202</w:t>
      </w:r>
      <w:r>
        <w:rPr>
          <w:rFonts w:ascii="仿宋" w:eastAsia="仿宋"/>
          <w:bCs w:val="0"/>
          <w:szCs w:val="32"/>
        </w:rPr>
        <w:t>1</w:t>
      </w:r>
      <w:r>
        <w:rPr>
          <w:rFonts w:hint="eastAsia" w:ascii="仿宋" w:eastAsia="仿宋"/>
          <w:bCs w:val="0"/>
          <w:szCs w:val="32"/>
        </w:rPr>
        <w:t>年部门整体支出绩效报告</w:t>
      </w:r>
      <w:r>
        <w:tab/>
      </w:r>
      <w:r>
        <w:fldChar w:fldCharType="begin"/>
      </w:r>
      <w:r>
        <w:instrText xml:space="preserve"> PAGEREF _Toc22303 </w:instrText>
      </w:r>
      <w:r>
        <w:fldChar w:fldCharType="separate"/>
      </w:r>
      <w:r>
        <w:t>17</w:t>
      </w:r>
      <w:r>
        <w:fldChar w:fldCharType="end"/>
      </w:r>
      <w:r>
        <w:rPr>
          <w:rFonts w:hint="eastAsia" w:ascii="楷体_GB2312" w:eastAsia="楷体_GB2312" w:cs="楷体_GB2312"/>
          <w:bCs/>
          <w:kern w:val="2"/>
          <w:szCs w:val="21"/>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楷体_GB2312" w:eastAsia="楷体_GB2312" w:cs="楷体_GB2312"/>
          <w:bCs/>
          <w:kern w:val="2"/>
          <w:szCs w:val="21"/>
          <w:lang w:val="en-US" w:eastAsia="zh-CN" w:bidi="ar-SA"/>
        </w:rPr>
      </w:pPr>
      <w:r>
        <w:rPr>
          <w:rFonts w:hint="eastAsia" w:ascii="楷体_GB2312" w:eastAsia="楷体_GB2312" w:cs="楷体_GB2312"/>
          <w:bCs/>
          <w:kern w:val="2"/>
          <w:szCs w:val="21"/>
          <w:lang w:val="en-US" w:eastAsia="zh-CN" w:bidi="ar-SA"/>
        </w:rPr>
        <w:fldChar w:fldCharType="end"/>
      </w:r>
    </w:p>
    <w:p>
      <w:pPr>
        <w:pStyle w:val="2"/>
        <w:jc w:val="center"/>
        <w:rPr>
          <w:rFonts w:ascii="黑体" w:eastAsia="黑体"/>
          <w:color w:val="000000"/>
          <w:sz w:val="32"/>
          <w:szCs w:val="32"/>
        </w:rPr>
      </w:pPr>
      <w:bookmarkStart w:id="14" w:name="_Toc15396599"/>
      <w:bookmarkStart w:id="15" w:name="_Toc8167"/>
      <w:bookmarkStart w:id="16" w:name="_Toc31727"/>
      <w:bookmarkStart w:id="17" w:name="_Toc29446"/>
      <w:bookmarkStart w:id="18" w:name="_Toc15992"/>
      <w:bookmarkStart w:id="19" w:name="_Toc23005"/>
      <w:bookmarkStart w:id="20" w:name="_Toc15377196"/>
      <w:r>
        <w:rPr>
          <w:rFonts w:hint="eastAsia" w:ascii="黑体" w:eastAsia="黑体"/>
          <w:b w:val="0"/>
        </w:rPr>
        <w:t xml:space="preserve">第一部分 </w:t>
      </w:r>
      <w:r>
        <w:rPr>
          <w:rStyle w:val="17"/>
          <w:rFonts w:hint="eastAsia" w:ascii="黑体" w:eastAsia="黑体"/>
          <w:b w:val="0"/>
          <w:bCs w:val="0"/>
        </w:rPr>
        <w:t>部门概况</w:t>
      </w:r>
      <w:bookmarkEnd w:id="14"/>
      <w:bookmarkEnd w:id="15"/>
      <w:bookmarkEnd w:id="16"/>
      <w:bookmarkEnd w:id="17"/>
      <w:bookmarkEnd w:id="18"/>
      <w:bookmarkEnd w:id="19"/>
      <w:bookmarkEnd w:id="20"/>
    </w:p>
    <w:p>
      <w:pPr>
        <w:pStyle w:val="3"/>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8"/>
          <w:rFonts w:hint="eastAsia" w:ascii="黑体" w:eastAsia="黑体"/>
          <w:b w:val="0"/>
          <w:bCs w:val="0"/>
        </w:rPr>
      </w:pPr>
      <w:bookmarkStart w:id="21" w:name="_Toc15377197"/>
      <w:bookmarkStart w:id="22" w:name="_Toc15396600"/>
      <w:bookmarkStart w:id="23" w:name="_Toc12207"/>
      <w:bookmarkStart w:id="24" w:name="_Toc31628"/>
      <w:bookmarkStart w:id="25" w:name="_Toc4547"/>
      <w:bookmarkStart w:id="26" w:name="_Toc30841"/>
      <w:bookmarkStart w:id="27" w:name="_Toc2736"/>
      <w:r>
        <w:rPr>
          <w:rFonts w:hint="eastAsia" w:ascii="黑体" w:eastAsia="黑体"/>
          <w:b w:val="0"/>
          <w:color w:val="000000"/>
        </w:rPr>
        <w:t>一、基</w:t>
      </w:r>
      <w:r>
        <w:rPr>
          <w:rStyle w:val="18"/>
          <w:rFonts w:hint="eastAsia" w:ascii="黑体" w:eastAsia="黑体"/>
          <w:b w:val="0"/>
          <w:bCs w:val="0"/>
        </w:rPr>
        <w:t>本职能及主要工作</w:t>
      </w:r>
      <w:bookmarkEnd w:id="21"/>
      <w:bookmarkEnd w:id="22"/>
      <w:bookmarkEnd w:id="23"/>
      <w:bookmarkEnd w:id="24"/>
      <w:bookmarkEnd w:id="25"/>
      <w:bookmarkEnd w:id="26"/>
      <w:bookmarkEnd w:id="27"/>
      <w:bookmarkStart w:id="28" w:name="_Toc15377198"/>
      <w:bookmarkStart w:id="29" w:name="_Toc15378445"/>
    </w:p>
    <w:p>
      <w:pPr>
        <w:pStyle w:val="3"/>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bookmarkStart w:id="30" w:name="_Toc5977"/>
      <w:bookmarkStart w:id="31" w:name="_Toc23053"/>
      <w:bookmarkStart w:id="32" w:name="_Toc1651"/>
      <w:bookmarkStart w:id="33" w:name="_Toc1839"/>
      <w:bookmarkStart w:id="34" w:name="_Toc30491"/>
      <w:r>
        <w:rPr>
          <w:rFonts w:hint="eastAsia" w:ascii="楷体" w:eastAsia="楷体" w:cs="楷体"/>
          <w:bCs/>
          <w:color w:val="000000"/>
          <w:sz w:val="32"/>
          <w:szCs w:val="32"/>
        </w:rPr>
        <w:t>（一）主要职能</w:t>
      </w:r>
      <w:bookmarkEnd w:id="28"/>
      <w:bookmarkEnd w:id="29"/>
      <w:bookmarkEnd w:id="30"/>
      <w:bookmarkEnd w:id="31"/>
      <w:bookmarkEnd w:id="32"/>
      <w:bookmarkEnd w:id="33"/>
      <w:bookmarkEnd w:id="34"/>
      <w:bookmarkStart w:id="35" w:name="_Toc15378446"/>
      <w:bookmarkStart w:id="36" w:name="_Toc15377199"/>
    </w:p>
    <w:p>
      <w:pPr>
        <w:spacing w:line="580" w:lineRule="exact"/>
        <w:ind w:firstLine="640" w:firstLineChars="200"/>
        <w:rPr>
          <w:rFonts w:hint="eastAsia" w:ascii="仿宋" w:eastAsia="仿宋"/>
          <w:sz w:val="32"/>
          <w:szCs w:val="32"/>
        </w:rPr>
      </w:pPr>
      <w:r>
        <w:rPr>
          <w:rFonts w:hint="eastAsia" w:ascii="仿宋" w:eastAsia="仿宋"/>
          <w:sz w:val="32"/>
          <w:szCs w:val="32"/>
        </w:rPr>
        <w:t>1、负责党和国家领导人（含曾经担任）、省委、省人大、省政府、省政协、州委、州人大、州政府、州政协领导（含曾经担任）来县的服务保障。</w:t>
      </w:r>
    </w:p>
    <w:p>
      <w:pPr>
        <w:spacing w:line="580" w:lineRule="exact"/>
        <w:ind w:firstLine="640" w:firstLineChars="200"/>
        <w:rPr>
          <w:rFonts w:hint="eastAsia" w:ascii="仿宋" w:eastAsia="仿宋"/>
          <w:sz w:val="32"/>
          <w:szCs w:val="32"/>
        </w:rPr>
      </w:pPr>
      <w:r>
        <w:rPr>
          <w:rFonts w:hint="eastAsia" w:ascii="仿宋" w:eastAsia="仿宋"/>
          <w:sz w:val="32"/>
          <w:szCs w:val="32"/>
        </w:rPr>
        <w:t>2、按照有关规定负责和参与党中央、国务院、省委、省政府、州委、州政府的巡视、检查、督查（督导、督察）、考察、调研、考核、审计等工作组来县的服务保障。</w:t>
      </w:r>
    </w:p>
    <w:p>
      <w:pPr>
        <w:spacing w:line="580" w:lineRule="exact"/>
        <w:ind w:firstLine="640" w:firstLineChars="200"/>
        <w:rPr>
          <w:rFonts w:hint="eastAsia" w:ascii="仿宋" w:eastAsia="仿宋"/>
          <w:sz w:val="32"/>
          <w:szCs w:val="32"/>
        </w:rPr>
      </w:pPr>
      <w:r>
        <w:rPr>
          <w:rFonts w:hint="eastAsia" w:ascii="仿宋" w:eastAsia="仿宋"/>
          <w:sz w:val="32"/>
          <w:szCs w:val="32"/>
        </w:rPr>
        <w:t>3、负责外省（区、市、州、县）党委、政府领导干部来县的服务保障；负责中央和国家机关各部委领导干部、省委、省政府及省级部门领导干部、州委、州政府及州级部门领导干部来县的服务保障；参与县人大常委会办公室、县政协办公室牵头对口接待的领导干部来县的服务保障。</w:t>
      </w:r>
    </w:p>
    <w:p>
      <w:pPr>
        <w:spacing w:line="580" w:lineRule="exact"/>
        <w:ind w:firstLine="640" w:firstLineChars="200"/>
        <w:rPr>
          <w:rFonts w:hint="eastAsia" w:ascii="仿宋" w:eastAsia="仿宋"/>
          <w:sz w:val="32"/>
          <w:szCs w:val="32"/>
        </w:rPr>
      </w:pPr>
      <w:r>
        <w:rPr>
          <w:rFonts w:hint="eastAsia" w:ascii="仿宋" w:eastAsia="仿宋"/>
          <w:sz w:val="32"/>
          <w:szCs w:val="32"/>
        </w:rPr>
        <w:t>4、负责或参与外省（区、市、州、县）党政代表团来县考察的协调联络和服务保障。</w:t>
      </w:r>
    </w:p>
    <w:p>
      <w:pPr>
        <w:spacing w:line="580" w:lineRule="exact"/>
        <w:ind w:firstLine="640" w:firstLineChars="200"/>
        <w:rPr>
          <w:rFonts w:hint="eastAsia" w:ascii="仿宋" w:eastAsia="仿宋"/>
          <w:sz w:val="32"/>
          <w:szCs w:val="32"/>
        </w:rPr>
      </w:pPr>
      <w:r>
        <w:rPr>
          <w:rFonts w:hint="eastAsia" w:ascii="仿宋" w:eastAsia="仿宋"/>
          <w:sz w:val="32"/>
          <w:szCs w:val="32"/>
        </w:rPr>
        <w:t>5、负责我县党政代表团赴外省（州、市、区、县）考察的协调联络和服务保障。</w:t>
      </w:r>
    </w:p>
    <w:p>
      <w:pPr>
        <w:spacing w:line="580" w:lineRule="exact"/>
        <w:ind w:firstLine="640" w:firstLineChars="200"/>
        <w:rPr>
          <w:rFonts w:hint="eastAsia" w:ascii="仿宋" w:eastAsia="仿宋"/>
          <w:sz w:val="32"/>
          <w:szCs w:val="32"/>
        </w:rPr>
      </w:pPr>
      <w:r>
        <w:rPr>
          <w:rFonts w:hint="eastAsia" w:ascii="仿宋" w:eastAsia="仿宋"/>
          <w:sz w:val="32"/>
          <w:szCs w:val="32"/>
        </w:rPr>
        <w:t>6、负责县党委、政府交办的由县公务服务中心承担的外事接待和招商引资事项的服务保障。</w:t>
      </w:r>
    </w:p>
    <w:p>
      <w:pPr>
        <w:spacing w:line="580" w:lineRule="exact"/>
        <w:ind w:firstLine="640" w:firstLineChars="200"/>
        <w:rPr>
          <w:rFonts w:hint="eastAsia" w:ascii="仿宋" w:eastAsia="仿宋"/>
          <w:sz w:val="32"/>
          <w:szCs w:val="32"/>
        </w:rPr>
      </w:pPr>
      <w:r>
        <w:rPr>
          <w:rFonts w:hint="eastAsia" w:ascii="仿宋" w:eastAsia="仿宋"/>
          <w:sz w:val="32"/>
          <w:szCs w:val="32"/>
        </w:rPr>
        <w:t>7、按照中央八项规定、省政府十项规定、</w:t>
      </w:r>
      <w:r>
        <w:rPr>
          <w:rFonts w:ascii="仿宋" w:eastAsia="仿宋"/>
          <w:sz w:val="32"/>
          <w:szCs w:val="32"/>
        </w:rPr>
        <w:t>州委州政府八条意见及实施细则要求，负责联系协调县级有关部门及关联单位承办县委、县政府重大公务活动的服务工作。</w:t>
      </w:r>
    </w:p>
    <w:p>
      <w:pPr>
        <w:spacing w:line="580" w:lineRule="exact"/>
        <w:ind w:firstLine="640" w:firstLineChars="200"/>
        <w:rPr>
          <w:rFonts w:hint="eastAsia" w:ascii="仿宋" w:eastAsia="仿宋"/>
          <w:sz w:val="32"/>
          <w:szCs w:val="32"/>
        </w:rPr>
      </w:pPr>
      <w:r>
        <w:rPr>
          <w:rFonts w:hint="eastAsia" w:ascii="仿宋" w:eastAsia="仿宋"/>
          <w:sz w:val="32"/>
          <w:szCs w:val="32"/>
        </w:rPr>
        <w:t>8、会同县级有关部门承担县委、县政府交办的大型会议、活动的接待服务保障工作。</w:t>
      </w:r>
    </w:p>
    <w:p>
      <w:pPr>
        <w:spacing w:line="580" w:lineRule="exact"/>
        <w:ind w:firstLine="640" w:firstLineChars="200"/>
        <w:rPr>
          <w:rFonts w:hint="eastAsia" w:ascii="仿宋" w:eastAsia="仿宋"/>
          <w:sz w:val="32"/>
          <w:szCs w:val="32"/>
        </w:rPr>
      </w:pPr>
      <w:r>
        <w:rPr>
          <w:rFonts w:hint="eastAsia" w:ascii="仿宋" w:eastAsia="仿宋"/>
          <w:sz w:val="32"/>
          <w:szCs w:val="32"/>
        </w:rPr>
        <w:t>9、指导乡（镇）、县级部门的公务活动服务保障工作，参与拟定全县公务服务相关规定。</w:t>
      </w:r>
    </w:p>
    <w:p>
      <w:pPr>
        <w:pStyle w:val="12"/>
        <w:shd w:val="clear" w:color="auto" w:fill="FFFFFF"/>
        <w:spacing w:before="0" w:beforeAutospacing="0" w:after="0" w:afterAutospacing="0" w:line="335" w:lineRule="atLeast"/>
        <w:ind w:firstLine="640" w:firstLineChars="200"/>
        <w:rPr>
          <w:rFonts w:hint="eastAsia" w:ascii="仿宋_GB2312" w:eastAsia="仿宋_GB2312"/>
          <w:sz w:val="30"/>
          <w:szCs w:val="30"/>
        </w:rPr>
      </w:pPr>
      <w:r>
        <w:rPr>
          <w:rFonts w:hint="eastAsia" w:ascii="仿宋" w:eastAsia="仿宋"/>
          <w:sz w:val="32"/>
          <w:szCs w:val="32"/>
        </w:rPr>
        <w:t>10、完成县委、县政府交办的其他任务。</w:t>
      </w:r>
    </w:p>
    <w:p>
      <w:pPr>
        <w:pStyle w:val="3"/>
        <w:spacing w:before="0" w:after="0" w:line="240" w:lineRule="auto"/>
        <w:ind w:firstLine="321" w:firstLineChars="100"/>
        <w:rPr>
          <w:rFonts w:hint="eastAsia" w:ascii="楷体" w:eastAsia="楷体" w:cs="楷体"/>
          <w:bCs/>
          <w:color w:val="000000"/>
          <w:sz w:val="32"/>
          <w:szCs w:val="32"/>
        </w:rPr>
      </w:pPr>
      <w:bookmarkStart w:id="37" w:name="_Toc19706"/>
      <w:bookmarkStart w:id="38" w:name="_Toc18962"/>
      <w:bookmarkStart w:id="39" w:name="_Toc28227"/>
      <w:bookmarkStart w:id="40" w:name="_Toc1908"/>
      <w:bookmarkStart w:id="41" w:name="_Toc9486"/>
      <w:r>
        <w:rPr>
          <w:rFonts w:hint="eastAsia" w:ascii="楷体" w:eastAsia="楷体" w:cs="楷体"/>
          <w:bCs/>
          <w:color w:val="000000"/>
          <w:sz w:val="32"/>
          <w:szCs w:val="32"/>
        </w:rPr>
        <w:t>（二）</w:t>
      </w:r>
      <w:r>
        <w:rPr>
          <w:rFonts w:hint="eastAsia" w:ascii="楷体" w:eastAsia="楷体" w:cs="楷体"/>
          <w:bCs/>
          <w:color w:val="000000"/>
          <w:sz w:val="32"/>
          <w:szCs w:val="32"/>
          <w:lang w:val="en-US" w:eastAsia="zh-CN"/>
        </w:rPr>
        <w:t>2021年</w:t>
      </w:r>
      <w:r>
        <w:rPr>
          <w:rFonts w:hint="eastAsia" w:ascii="楷体" w:eastAsia="楷体" w:cs="楷体"/>
          <w:bCs/>
          <w:color w:val="000000"/>
          <w:sz w:val="32"/>
          <w:szCs w:val="32"/>
        </w:rPr>
        <w:t>重点工作完成情况</w:t>
      </w:r>
      <w:bookmarkEnd w:id="35"/>
      <w:bookmarkEnd w:id="36"/>
      <w:bookmarkEnd w:id="37"/>
      <w:bookmarkEnd w:id="38"/>
      <w:bookmarkEnd w:id="39"/>
      <w:bookmarkEnd w:id="40"/>
      <w:bookmarkEnd w:id="41"/>
    </w:p>
    <w:p>
      <w:pPr>
        <w:spacing w:line="578" w:lineRule="exact"/>
        <w:ind w:left="0" w:firstLine="640" w:firstLineChars="200"/>
        <w:rPr>
          <w:rFonts w:hint="eastAsia" w:ascii="仿宋" w:eastAsia="仿宋"/>
          <w:sz w:val="32"/>
          <w:szCs w:val="32"/>
          <w:lang w:eastAsia="zh-CN"/>
        </w:rPr>
      </w:pPr>
      <w:bookmarkStart w:id="42" w:name="_Toc15396601"/>
      <w:bookmarkStart w:id="43" w:name="_Toc15377200"/>
      <w:r>
        <w:rPr>
          <w:rFonts w:hint="eastAsia" w:ascii="仿宋" w:eastAsia="仿宋"/>
          <w:sz w:val="32"/>
          <w:szCs w:val="32"/>
          <w:lang w:eastAsia="zh-CN"/>
        </w:rPr>
        <w:t>根据县委、县政府关于2021年全县工作的总体部署，负责公务接待的管理和指导工作，完成全县公务接待管理部门承担的接待任务；负责联系协调县级有关部门及关联单位承办县委、县政府重大公务活动的服务工作;会同县级有关部门承担县委、县政府交办的大型会议、活动的接待服务保障工作;指导乡（镇）、县级部门的公务活动服务保障工作，完成县委、县政府交办的其他任务。</w:t>
      </w:r>
    </w:p>
    <w:p>
      <w:pPr>
        <w:spacing w:line="578" w:lineRule="exact"/>
        <w:ind w:left="0" w:firstLine="640" w:firstLineChars="200"/>
        <w:rPr>
          <w:rStyle w:val="18"/>
          <w:b w:val="0"/>
          <w:bCs w:val="0"/>
        </w:rPr>
      </w:pPr>
      <w:bookmarkStart w:id="44" w:name="_Toc6633"/>
      <w:bookmarkStart w:id="45" w:name="_Toc11460"/>
      <w:bookmarkStart w:id="46" w:name="_Toc28066"/>
      <w:bookmarkStart w:id="47" w:name="_Toc6603"/>
      <w:bookmarkStart w:id="48" w:name="_Toc14136"/>
      <w:r>
        <w:rPr>
          <w:rStyle w:val="18"/>
          <w:rFonts w:hint="eastAsia" w:ascii="黑体" w:eastAsia="黑体"/>
          <w:b w:val="0"/>
          <w:bCs w:val="0"/>
        </w:rPr>
        <w:t>二、机构设置</w:t>
      </w:r>
      <w:bookmarkEnd w:id="42"/>
      <w:bookmarkEnd w:id="43"/>
    </w:p>
    <w:bookmarkEnd w:id="44"/>
    <w:bookmarkEnd w:id="45"/>
    <w:bookmarkEnd w:id="46"/>
    <w:bookmarkEnd w:id="47"/>
    <w:bookmarkEnd w:id="48"/>
    <w:p>
      <w:pPr>
        <w:snapToGrid w:val="0"/>
        <w:spacing w:line="360" w:lineRule="auto"/>
        <w:ind w:firstLine="600" w:firstLineChars="200"/>
        <w:rPr>
          <w:rFonts w:hint="eastAsia" w:ascii="仿宋_GB2312" w:eastAsia="仿宋_GB2312"/>
          <w:sz w:val="30"/>
          <w:szCs w:val="30"/>
        </w:rPr>
      </w:pPr>
      <w:bookmarkStart w:id="49" w:name="_Toc15377204"/>
      <w:bookmarkStart w:id="50" w:name="_Toc15396602"/>
      <w:r>
        <w:rPr>
          <w:rFonts w:hint="eastAsia" w:ascii="仿宋_GB2312" w:eastAsia="仿宋_GB2312"/>
          <w:sz w:val="30"/>
          <w:szCs w:val="30"/>
        </w:rPr>
        <w:t>1、机构情况：我单位只有一个</w:t>
      </w:r>
      <w:r>
        <w:rPr>
          <w:rFonts w:hint="eastAsia" w:ascii="仿宋_GB2312" w:eastAsia="仿宋_GB2312"/>
          <w:sz w:val="30"/>
          <w:szCs w:val="30"/>
          <w:lang w:eastAsia="zh-CN"/>
        </w:rPr>
        <w:t>事业</w:t>
      </w:r>
      <w:r>
        <w:rPr>
          <w:rFonts w:hint="eastAsia" w:ascii="仿宋_GB2312" w:eastAsia="仿宋_GB2312"/>
          <w:sz w:val="30"/>
          <w:szCs w:val="30"/>
        </w:rPr>
        <w:t>核算机构。</w:t>
      </w:r>
    </w:p>
    <w:p>
      <w:pPr>
        <w:snapToGrid w:val="0"/>
        <w:spacing w:line="360" w:lineRule="auto"/>
        <w:ind w:firstLine="604"/>
        <w:rPr>
          <w:rFonts w:hint="eastAsia" w:ascii="仿宋_GB2312" w:eastAsia="仿宋_GB2312"/>
          <w:sz w:val="30"/>
          <w:szCs w:val="30"/>
        </w:rPr>
      </w:pPr>
      <w:r>
        <w:rPr>
          <w:rFonts w:hint="eastAsia" w:ascii="仿宋_GB2312" w:eastAsia="仿宋_GB2312"/>
          <w:sz w:val="30"/>
          <w:szCs w:val="30"/>
        </w:rPr>
        <w:t>2.人员情况：我</w:t>
      </w:r>
      <w:r>
        <w:rPr>
          <w:rFonts w:hint="eastAsia" w:ascii="仿宋_GB2312" w:eastAsia="仿宋_GB2312"/>
          <w:sz w:val="30"/>
          <w:szCs w:val="30"/>
          <w:lang w:eastAsia="zh-CN"/>
        </w:rPr>
        <w:t>中心2021年</w:t>
      </w:r>
      <w:r>
        <w:rPr>
          <w:rFonts w:hint="eastAsia" w:ascii="仿宋_GB2312" w:eastAsia="仿宋_GB2312"/>
          <w:sz w:val="30"/>
          <w:szCs w:val="30"/>
        </w:rPr>
        <w:t>年末在职</w:t>
      </w:r>
      <w:r>
        <w:rPr>
          <w:rFonts w:hint="eastAsia" w:ascii="仿宋_GB2312" w:eastAsia="仿宋_GB2312"/>
          <w:sz w:val="30"/>
          <w:szCs w:val="30"/>
          <w:lang w:val="en-US" w:eastAsia="zh-CN"/>
        </w:rPr>
        <w:t>7</w:t>
      </w:r>
      <w:r>
        <w:rPr>
          <w:rFonts w:hint="eastAsia" w:ascii="仿宋_GB2312" w:eastAsia="仿宋_GB2312"/>
          <w:sz w:val="30"/>
          <w:szCs w:val="30"/>
        </w:rPr>
        <w:t>人，总编制数</w:t>
      </w:r>
      <w:r>
        <w:rPr>
          <w:rFonts w:hint="eastAsia" w:ascii="仿宋_GB2312" w:eastAsia="仿宋_GB2312"/>
          <w:sz w:val="30"/>
          <w:szCs w:val="30"/>
          <w:lang w:val="en-US" w:eastAsia="zh-CN"/>
        </w:rPr>
        <w:t>9</w:t>
      </w:r>
      <w:r>
        <w:rPr>
          <w:rFonts w:hint="eastAsia" w:ascii="仿宋_GB2312" w:eastAsia="仿宋_GB2312"/>
          <w:sz w:val="30"/>
          <w:szCs w:val="30"/>
        </w:rPr>
        <w:t>人（其中:事业</w:t>
      </w:r>
      <w:r>
        <w:rPr>
          <w:rFonts w:hint="eastAsia" w:ascii="仿宋_GB2312" w:eastAsia="仿宋_GB2312"/>
          <w:bCs/>
          <w:sz w:val="30"/>
          <w:szCs w:val="30"/>
        </w:rPr>
        <w:t>编制</w:t>
      </w:r>
      <w:r>
        <w:rPr>
          <w:rFonts w:hint="eastAsia" w:ascii="仿宋_GB2312" w:eastAsia="仿宋_GB2312"/>
          <w:bCs/>
          <w:sz w:val="30"/>
          <w:szCs w:val="30"/>
          <w:lang w:val="en-US" w:eastAsia="zh-CN"/>
        </w:rPr>
        <w:t>9</w:t>
      </w:r>
      <w:r>
        <w:rPr>
          <w:rFonts w:hint="eastAsia" w:ascii="仿宋_GB2312" w:eastAsia="仿宋_GB2312"/>
          <w:bCs/>
          <w:sz w:val="30"/>
          <w:szCs w:val="30"/>
        </w:rPr>
        <w:t>人</w:t>
      </w:r>
      <w:r>
        <w:rPr>
          <w:rFonts w:hint="eastAsia" w:ascii="仿宋_GB2312" w:eastAsia="仿宋_GB2312"/>
          <w:sz w:val="30"/>
          <w:szCs w:val="30"/>
        </w:rPr>
        <w:t>）。</w:t>
      </w:r>
    </w:p>
    <w:p>
      <w:pPr>
        <w:snapToGrid w:val="0"/>
        <w:spacing w:line="360" w:lineRule="auto"/>
        <w:ind w:firstLine="604"/>
        <w:rPr>
          <w:rFonts w:hint="eastAsia" w:ascii="仿宋_GB2312" w:eastAsia="仿宋_GB2312"/>
          <w:sz w:val="30"/>
          <w:szCs w:val="30"/>
        </w:rPr>
      </w:pPr>
    </w:p>
    <w:p>
      <w:pPr>
        <w:snapToGrid w:val="0"/>
        <w:spacing w:line="360" w:lineRule="auto"/>
        <w:ind w:firstLine="604"/>
        <w:rPr>
          <w:rFonts w:hint="eastAsia" w:ascii="仿宋_GB2312" w:eastAsia="仿宋_GB2312"/>
          <w:sz w:val="30"/>
          <w:szCs w:val="30"/>
        </w:rPr>
      </w:pPr>
    </w:p>
    <w:p>
      <w:pPr>
        <w:snapToGrid w:val="0"/>
        <w:spacing w:line="360" w:lineRule="auto"/>
        <w:ind w:firstLine="604"/>
        <w:rPr>
          <w:rFonts w:hint="eastAsia" w:ascii="仿宋_GB2312" w:eastAsia="仿宋_GB2312"/>
          <w:sz w:val="30"/>
          <w:szCs w:val="30"/>
        </w:rPr>
      </w:pPr>
    </w:p>
    <w:p>
      <w:pPr>
        <w:snapToGrid w:val="0"/>
        <w:spacing w:line="360" w:lineRule="auto"/>
        <w:ind w:firstLine="604"/>
        <w:rPr>
          <w:rFonts w:hint="eastAsia" w:ascii="仿宋_GB2312" w:eastAsia="仿宋_GB2312"/>
          <w:sz w:val="30"/>
          <w:szCs w:val="30"/>
        </w:rPr>
      </w:pPr>
    </w:p>
    <w:p>
      <w:pPr>
        <w:pStyle w:val="2"/>
        <w:ind w:right="440"/>
        <w:jc w:val="right"/>
      </w:pPr>
      <w:bookmarkStart w:id="51" w:name="_Toc27838"/>
      <w:bookmarkStart w:id="52" w:name="_Toc1049"/>
      <w:bookmarkStart w:id="53" w:name="_Toc29443"/>
      <w:bookmarkStart w:id="54" w:name="_Toc3818"/>
      <w:bookmarkStart w:id="55" w:name="_Toc26137"/>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lang w:val="en-US"/>
        </w:rPr>
        <w:t>2021年</w:t>
      </w:r>
      <w:r>
        <w:rPr>
          <w:rStyle w:val="17"/>
          <w:rFonts w:hint="eastAsia" w:ascii="黑体" w:eastAsia="黑体"/>
          <w:b w:val="0"/>
          <w:bCs w:val="0"/>
        </w:rPr>
        <w:t>度部门决算情况说明</w:t>
      </w:r>
      <w:bookmarkEnd w:id="49"/>
      <w:bookmarkEnd w:id="50"/>
      <w:bookmarkEnd w:id="51"/>
      <w:bookmarkEnd w:id="52"/>
      <w:bookmarkEnd w:id="53"/>
      <w:bookmarkEnd w:id="54"/>
      <w:bookmarkEnd w:id="55"/>
    </w:p>
    <w:p>
      <w:pPr>
        <w:pStyle w:val="23"/>
        <w:spacing w:line="240" w:lineRule="auto"/>
        <w:outlineLvl w:val="1"/>
        <w:rPr>
          <w:rStyle w:val="18"/>
          <w:rFonts w:ascii="黑体" w:eastAsia="黑体"/>
          <w:b w:val="0"/>
        </w:rPr>
      </w:pPr>
      <w:bookmarkStart w:id="56" w:name="_Toc15377205"/>
      <w:bookmarkStart w:id="57" w:name="_Toc15396603"/>
      <w:r>
        <w:rPr>
          <w:rFonts w:hint="eastAsia" w:ascii="黑体" w:eastAsia="黑体"/>
          <w:color w:val="000000"/>
          <w:sz w:val="32"/>
          <w:szCs w:val="32"/>
          <w:lang w:eastAsia="zh-CN"/>
        </w:rPr>
        <w:t>　　</w:t>
      </w:r>
      <w:bookmarkStart w:id="58" w:name="_Toc30925"/>
      <w:bookmarkStart w:id="59" w:name="_Toc6550"/>
      <w:bookmarkStart w:id="60" w:name="_Toc6930"/>
      <w:bookmarkStart w:id="61" w:name="_Toc23404"/>
      <w:bookmarkStart w:id="62" w:name="_Toc1580"/>
      <w:r>
        <w:rPr>
          <w:rStyle w:val="18"/>
          <w:rFonts w:hint="eastAsia" w:ascii="黑体" w:eastAsia="黑体"/>
          <w:b w:val="0"/>
          <w:lang w:eastAsia="zh-CN"/>
        </w:rPr>
        <w:t>一、</w:t>
      </w:r>
      <w:r>
        <w:rPr>
          <w:rStyle w:val="18"/>
          <w:rFonts w:hint="eastAsia" w:ascii="黑体" w:eastAsia="黑体"/>
          <w:b w:val="0"/>
        </w:rPr>
        <w:t>收入支出决算总体情况说明</w:t>
      </w:r>
      <w:bookmarkEnd w:id="56"/>
      <w:bookmarkEnd w:id="57"/>
      <w:bookmarkEnd w:id="58"/>
    </w:p>
    <w:bookmarkEnd w:id="59"/>
    <w:bookmarkEnd w:id="60"/>
    <w:bookmarkEnd w:id="61"/>
    <w:bookmarkEnd w:id="62"/>
    <w:p>
      <w:pPr>
        <w:snapToGrid w:val="0"/>
        <w:spacing w:line="520" w:lineRule="exact"/>
        <w:ind w:firstLine="632" w:firstLineChars="200"/>
        <w:rPr>
          <w:rFonts w:ascii="仿宋_GB2312" w:eastAsia="仿宋_GB2312"/>
          <w:color w:val="000000"/>
          <w:spacing w:val="-2"/>
          <w:kern w:val="2"/>
          <w:sz w:val="32"/>
          <w:szCs w:val="32"/>
          <w:lang w:val="en-US" w:eastAsia="zh-CN" w:bidi="ar-SA"/>
        </w:rPr>
      </w:pPr>
      <w:bookmarkStart w:id="63" w:name="_Toc15377206"/>
      <w:bookmarkStart w:id="64" w:name="_Toc15396604"/>
      <w:bookmarkStart w:id="65" w:name="_Toc10892"/>
      <w:bookmarkStart w:id="66" w:name="_Toc9817"/>
      <w:bookmarkStart w:id="67" w:name="_Toc22529"/>
      <w:r>
        <w:rPr>
          <w:rFonts w:hint="eastAsia" w:ascii="仿宋_GB2312" w:eastAsia="仿宋_GB2312"/>
          <w:color w:val="000000"/>
          <w:spacing w:val="-2"/>
          <w:kern w:val="2"/>
          <w:sz w:val="32"/>
          <w:szCs w:val="32"/>
          <w:lang w:val="en-US" w:eastAsia="zh-CN" w:bidi="ar-SA"/>
        </w:rPr>
        <w:t>2021年度总收入350.67万元，较上年收入增加38.78万元，增加12.43%。主要原因是2021年新冠疫情的缓解，因此公务接待批／次、人／次有所上升，提高了2020年度目标奖励绩效基数。</w:t>
      </w:r>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auto"/>
          <w:spacing w:val="-2"/>
          <w:kern w:val="2"/>
          <w:sz w:val="32"/>
          <w:szCs w:val="32"/>
          <w:lang w:val="en-US" w:eastAsia="zh-CN" w:bidi="ar-SA"/>
        </w:rPr>
        <w:t>2021年总支出350.67万元，较上年支出增加38.78万元，增加12.43%。</w:t>
      </w:r>
      <w:r>
        <w:rPr>
          <w:rFonts w:hint="eastAsia" w:ascii="仿宋_GB2312" w:eastAsia="仿宋_GB2312"/>
          <w:color w:val="000000"/>
          <w:spacing w:val="-2"/>
          <w:kern w:val="2"/>
          <w:sz w:val="32"/>
          <w:szCs w:val="32"/>
          <w:lang w:val="en-US" w:eastAsia="zh-CN" w:bidi="ar-SA"/>
        </w:rPr>
        <w:t>主要原因是2021年新冠疫情的缓解，因此公务接待批／次、人／次有所上升，提高了2020年度目标奖励绩效基数。</w:t>
      </w:r>
    </w:p>
    <w:p>
      <w:pPr>
        <w:spacing w:line="600" w:lineRule="exact"/>
        <w:ind w:firstLine="420" w:firstLineChars="200"/>
        <w:rPr>
          <w:rStyle w:val="18"/>
          <w:rFonts w:hint="eastAsia" w:ascii="黑体" w:eastAsia="黑体"/>
          <w:b w:val="0"/>
          <w:lang w:val="en-US" w:eastAsia="zh-CN"/>
        </w:rPr>
      </w:pPr>
      <w:r>
        <w:drawing>
          <wp:anchor distT="0" distB="0" distL="114300" distR="114300" simplePos="0" relativeHeight="251659264" behindDoc="0" locked="0" layoutInCell="1" allowOverlap="1">
            <wp:simplePos x="0" y="0"/>
            <wp:positionH relativeFrom="column">
              <wp:posOffset>485775</wp:posOffset>
            </wp:positionH>
            <wp:positionV relativeFrom="paragraph">
              <wp:posOffset>381000</wp:posOffset>
            </wp:positionV>
            <wp:extent cx="4491355" cy="2769235"/>
            <wp:effectExtent l="0" t="0" r="0" b="0"/>
            <wp:wrapNone/>
            <wp:docPr id="1"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68" w:name="_Toc32710"/>
      <w:bookmarkStart w:id="69" w:name="_Toc8328"/>
    </w:p>
    <w:bookmarkEnd w:id="68"/>
    <w:bookmarkEnd w:id="69"/>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ascii="黑体" w:eastAsia="黑体"/>
          <w:b w:val="0"/>
        </w:rPr>
      </w:pPr>
      <w:bookmarkStart w:id="70" w:name="_Toc31756"/>
      <w:bookmarkStart w:id="71" w:name="_Toc2105"/>
      <w:r>
        <w:rPr>
          <w:rStyle w:val="18"/>
          <w:rFonts w:hint="eastAsia" w:ascii="黑体" w:eastAsia="黑体"/>
          <w:b w:val="0"/>
          <w:lang w:val="en-US" w:eastAsia="zh-CN"/>
        </w:rPr>
        <w:t>二、收入决</w:t>
      </w:r>
      <w:r>
        <w:rPr>
          <w:rStyle w:val="18"/>
          <w:rFonts w:hint="eastAsia" w:ascii="黑体" w:eastAsia="黑体"/>
          <w:b w:val="0"/>
        </w:rPr>
        <w:t>算情况说明</w:t>
      </w:r>
      <w:bookmarkEnd w:id="63"/>
      <w:bookmarkEnd w:id="64"/>
    </w:p>
    <w:bookmarkEnd w:id="65"/>
    <w:bookmarkEnd w:id="66"/>
    <w:bookmarkEnd w:id="67"/>
    <w:bookmarkEnd w:id="70"/>
    <w:bookmarkEnd w:id="71"/>
    <w:p>
      <w:pPr>
        <w:spacing w:line="600" w:lineRule="exact"/>
        <w:ind w:firstLine="640" w:firstLineChars="200"/>
        <w:outlineLvl w:val="1"/>
        <w:rPr>
          <w:rFonts w:hint="eastAsia" w:ascii="仿宋" w:eastAsia="仿宋"/>
          <w:color w:val="000000"/>
          <w:sz w:val="32"/>
          <w:szCs w:val="32"/>
          <w:lang w:val="en-US" w:eastAsia="zh-CN"/>
        </w:rPr>
      </w:pPr>
      <w:bookmarkStart w:id="72" w:name="_Toc21083"/>
      <w:bookmarkStart w:id="73" w:name="_Toc3536"/>
      <w:bookmarkStart w:id="74" w:name="_Toc9610"/>
      <w:bookmarkStart w:id="75" w:name="_Toc15396605"/>
      <w:bookmarkStart w:id="76" w:name="_Toc15377207"/>
      <w:bookmarkStart w:id="77" w:name="_Toc5227"/>
      <w:bookmarkStart w:id="78" w:name="_Toc30988"/>
      <w:bookmarkStart w:id="79" w:name="_Toc25926"/>
      <w:r>
        <w:rPr>
          <w:rFonts w:hint="eastAsia" w:ascii="仿宋" w:eastAsia="仿宋"/>
          <w:color w:val="000000"/>
          <w:sz w:val="32"/>
          <w:szCs w:val="32"/>
          <w:lang w:eastAsia="zh-CN"/>
        </w:rPr>
        <w:t>2021</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350.67</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350.67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bookmarkEnd w:id="72"/>
      <w:bookmarkEnd w:id="73"/>
      <w:bookmarkEnd w:id="74"/>
    </w:p>
    <w:p>
      <w:pPr>
        <w:spacing w:line="600" w:lineRule="exact"/>
        <w:ind w:firstLine="640" w:firstLineChars="200"/>
        <w:outlineLvl w:val="1"/>
        <w:rPr>
          <w:rStyle w:val="18"/>
          <w:rFonts w:hint="eastAsia" w:ascii="黑体" w:eastAsia="黑体"/>
          <w:b w:val="0"/>
          <w:lang w:val="en-US" w:eastAsia="zh-CN"/>
        </w:rPr>
      </w:pPr>
      <w:bookmarkStart w:id="80" w:name="_Toc15579"/>
      <w:bookmarkStart w:id="81" w:name="_Toc27544"/>
    </w:p>
    <w:bookmarkEnd w:id="80"/>
    <w:bookmarkEnd w:id="81"/>
    <w:p>
      <w:pPr>
        <w:spacing w:line="600" w:lineRule="exact"/>
        <w:ind w:firstLine="420" w:firstLineChars="200"/>
        <w:outlineLvl w:val="1"/>
        <w:rPr>
          <w:rStyle w:val="18"/>
          <w:rFonts w:hint="eastAsia" w:ascii="黑体" w:eastAsia="黑体"/>
          <w:b w:val="0"/>
          <w:lang w:val="en-US" w:eastAsia="zh-CN"/>
        </w:rPr>
      </w:pPr>
      <w:r>
        <w:drawing>
          <wp:anchor distT="0" distB="0" distL="114300" distR="114300" simplePos="0" relativeHeight="251659264" behindDoc="0" locked="0" layoutInCell="1" allowOverlap="1">
            <wp:simplePos x="0" y="0"/>
            <wp:positionH relativeFrom="column">
              <wp:posOffset>90170</wp:posOffset>
            </wp:positionH>
            <wp:positionV relativeFrom="paragraph">
              <wp:posOffset>45085</wp:posOffset>
            </wp:positionV>
            <wp:extent cx="4947920" cy="2863215"/>
            <wp:effectExtent l="0" t="0" r="0" b="0"/>
            <wp:wrapNone/>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7"/>
                    <a:stretch>
                      <a:fillRect/>
                    </a:stretch>
                  </pic:blipFill>
                  <pic:spPr>
                    <a:xfrm>
                      <a:off x="0" y="0"/>
                      <a:ext cx="4947920" cy="2863215"/>
                    </a:xfrm>
                    <a:prstGeom prst="rect">
                      <a:avLst/>
                    </a:prstGeom>
                    <a:noFill/>
                    <a:ln w="9525" cap="flat" cmpd="sng">
                      <a:noFill/>
                      <a:prstDash val="solid"/>
                      <a:round/>
                    </a:ln>
                  </pic:spPr>
                </pic:pic>
              </a:graphicData>
            </a:graphic>
          </wp:anchor>
        </w:drawing>
      </w:r>
      <w:bookmarkStart w:id="82" w:name="_Toc18251"/>
    </w:p>
    <w:bookmarkEnd w:id="82"/>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rPr>
      </w:pPr>
      <w:bookmarkStart w:id="83" w:name="_Toc24478"/>
      <w:bookmarkStart w:id="84" w:name="_Toc6230"/>
      <w:r>
        <w:rPr>
          <w:rStyle w:val="18"/>
          <w:rFonts w:hint="eastAsia" w:ascii="黑体" w:eastAsia="黑体"/>
          <w:b w:val="0"/>
          <w:lang w:val="en-US" w:eastAsia="zh-CN"/>
        </w:rPr>
        <w:t>三、支出决</w:t>
      </w:r>
      <w:r>
        <w:rPr>
          <w:rStyle w:val="18"/>
          <w:rFonts w:hint="eastAsia" w:ascii="黑体" w:eastAsia="黑体"/>
          <w:b w:val="0"/>
        </w:rPr>
        <w:t>算情况说明</w:t>
      </w:r>
      <w:bookmarkEnd w:id="75"/>
      <w:bookmarkEnd w:id="76"/>
      <w:bookmarkEnd w:id="83"/>
    </w:p>
    <w:bookmarkEnd w:id="77"/>
    <w:bookmarkEnd w:id="78"/>
    <w:bookmarkEnd w:id="79"/>
    <w:bookmarkEnd w:id="84"/>
    <w:p>
      <w:pPr>
        <w:spacing w:line="600" w:lineRule="exact"/>
        <w:ind w:firstLine="640" w:firstLineChars="200"/>
        <w:rPr>
          <w:rFonts w:hint="eastAsia" w:ascii="仿宋_GB2312" w:eastAsia="仿宋_GB2312"/>
          <w:color w:val="FF0000"/>
          <w:sz w:val="32"/>
          <w:szCs w:val="32"/>
          <w:lang w:eastAsia="zh-CN"/>
        </w:rPr>
      </w:pPr>
      <w:r>
        <w:rPr>
          <w:rFonts w:hint="eastAsia" w:ascii="仿宋" w:eastAsia="仿宋"/>
          <w:color w:val="000000"/>
          <w:sz w:val="32"/>
          <w:szCs w:val="32"/>
          <w:lang w:eastAsia="zh-CN"/>
        </w:rPr>
        <w:t>2021</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350.67</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350.67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hint="eastAsia" w:ascii="仿宋" w:eastAsia="仿宋"/>
          <w:color w:val="000000"/>
          <w:sz w:val="32"/>
          <w:szCs w:val="32"/>
        </w:rPr>
        <w:t>%；项目支出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hint="eastAsia" w:ascii="仿宋_GB2312" w:eastAsia="仿宋_GB2312"/>
          <w:color w:val="FF0000"/>
          <w:sz w:val="32"/>
          <w:szCs w:val="32"/>
          <w:lang w:eastAsia="zh-CN"/>
        </w:rPr>
      </w:pPr>
      <w:r>
        <w:drawing>
          <wp:anchor distT="0" distB="0" distL="114300" distR="114300" simplePos="0" relativeHeight="251659264" behindDoc="0" locked="0" layoutInCell="1" allowOverlap="1">
            <wp:simplePos x="0" y="0"/>
            <wp:positionH relativeFrom="column">
              <wp:posOffset>638175</wp:posOffset>
            </wp:positionH>
            <wp:positionV relativeFrom="paragraph">
              <wp:posOffset>266700</wp:posOffset>
            </wp:positionV>
            <wp:extent cx="4205605" cy="2649220"/>
            <wp:effectExtent l="0" t="0" r="0" b="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outlineLvl w:val="1"/>
        <w:rPr>
          <w:rStyle w:val="18"/>
          <w:rFonts w:hint="eastAsia" w:ascii="黑体" w:eastAsia="黑体"/>
          <w:b w:val="0"/>
        </w:rPr>
      </w:pPr>
      <w:bookmarkStart w:id="85" w:name="_Toc15396606"/>
      <w:bookmarkStart w:id="86" w:name="_Toc21662"/>
      <w:bookmarkStart w:id="87" w:name="_Toc15377208"/>
      <w:bookmarkStart w:id="88" w:name="_Toc10840"/>
      <w:bookmarkStart w:id="89" w:name="_Toc26287"/>
      <w:bookmarkStart w:id="90" w:name="_Toc5847"/>
    </w:p>
    <w:p>
      <w:pPr>
        <w:spacing w:line="600" w:lineRule="exact"/>
        <w:ind w:firstLine="640" w:firstLineChars="200"/>
        <w:outlineLvl w:val="1"/>
        <w:rPr>
          <w:rStyle w:val="18"/>
          <w:rFonts w:hint="eastAsia" w:ascii="黑体" w:eastAsia="黑体"/>
          <w:b w:val="0"/>
        </w:rPr>
      </w:pPr>
    </w:p>
    <w:p>
      <w:pPr>
        <w:spacing w:line="600" w:lineRule="exact"/>
        <w:ind w:firstLine="640" w:firstLineChars="200"/>
        <w:outlineLvl w:val="1"/>
        <w:rPr>
          <w:rStyle w:val="18"/>
          <w:rFonts w:ascii="黑体" w:eastAsia="黑体"/>
          <w:b w:val="0"/>
        </w:rPr>
      </w:pPr>
      <w:bookmarkStart w:id="91" w:name="_Toc26719"/>
      <w:r>
        <w:rPr>
          <w:rStyle w:val="18"/>
          <w:rFonts w:hint="eastAsia" w:ascii="黑体" w:eastAsia="黑体"/>
          <w:b w:val="0"/>
        </w:rPr>
        <w:t>四、财政拨款收入支出决算总体情况说明</w:t>
      </w:r>
      <w:bookmarkEnd w:id="85"/>
      <w:bookmarkEnd w:id="86"/>
      <w:bookmarkEnd w:id="87"/>
    </w:p>
    <w:bookmarkEnd w:id="88"/>
    <w:bookmarkEnd w:id="89"/>
    <w:bookmarkEnd w:id="90"/>
    <w:bookmarkEnd w:id="91"/>
    <w:p>
      <w:pPr>
        <w:snapToGrid w:val="0"/>
        <w:spacing w:line="520" w:lineRule="exact"/>
        <w:ind w:firstLine="640" w:firstLineChars="200"/>
        <w:rPr>
          <w:rFonts w:ascii="仿宋_GB2312" w:eastAsia="仿宋_GB2312"/>
          <w:color w:val="000000"/>
          <w:spacing w:val="-2"/>
          <w:kern w:val="2"/>
          <w:sz w:val="32"/>
          <w:szCs w:val="32"/>
          <w:lang w:val="en-US" w:eastAsia="zh-CN" w:bidi="ar-SA"/>
        </w:rPr>
      </w:pPr>
      <w:r>
        <w:rPr>
          <w:rFonts w:hint="eastAsia" w:ascii="仿宋" w:eastAsia="仿宋"/>
          <w:color w:val="000000"/>
          <w:sz w:val="32"/>
          <w:szCs w:val="32"/>
          <w:lang w:val="en-US" w:eastAsia="zh-CN"/>
        </w:rPr>
        <w:t>2021年财政拨款收入350.67万元。与2020年相比，一般公共预算财政拨款收入较上年增加38.78万元，增加12.43%。增加</w:t>
      </w:r>
      <w:r>
        <w:rPr>
          <w:rFonts w:hint="eastAsia" w:ascii="仿宋_GB2312" w:eastAsia="仿宋_GB2312"/>
          <w:color w:val="000000"/>
          <w:spacing w:val="-2"/>
          <w:kern w:val="2"/>
          <w:sz w:val="32"/>
          <w:szCs w:val="32"/>
          <w:lang w:val="en-US" w:eastAsia="zh-CN" w:bidi="ar-SA"/>
        </w:rPr>
        <w:t>主要原因是2021年新冠疫情的缓解，因此公务接待批／次、人／次有所上升，提高了2020年度目标奖励绩效基数。</w:t>
      </w:r>
    </w:p>
    <w:p>
      <w:pPr>
        <w:snapToGrid w:val="0"/>
        <w:spacing w:line="520" w:lineRule="exact"/>
        <w:ind w:firstLine="640" w:firstLineChars="200"/>
        <w:rPr>
          <w:rFonts w:ascii="仿宋" w:eastAsia="仿宋"/>
          <w:color w:val="FF0000"/>
          <w:sz w:val="32"/>
          <w:szCs w:val="32"/>
          <w:lang w:val="en-US" w:eastAsia="zh-CN"/>
        </w:rPr>
      </w:pPr>
      <w:r>
        <w:rPr>
          <w:rFonts w:hint="eastAsia" w:ascii="仿宋" w:eastAsia="仿宋"/>
          <w:color w:val="000000"/>
          <w:sz w:val="32"/>
          <w:szCs w:val="32"/>
          <w:lang w:val="en-US" w:eastAsia="zh-CN"/>
        </w:rPr>
        <w:t>2021年财政拨款支出</w:t>
      </w:r>
      <w:r>
        <w:rPr>
          <w:rFonts w:hint="eastAsia" w:ascii="仿宋" w:eastAsia="仿宋"/>
          <w:color w:val="auto"/>
          <w:sz w:val="32"/>
          <w:szCs w:val="32"/>
          <w:lang w:val="en-US" w:eastAsia="zh-CN"/>
        </w:rPr>
        <w:t>350.67万</w:t>
      </w:r>
      <w:r>
        <w:rPr>
          <w:rFonts w:hint="eastAsia" w:ascii="仿宋" w:eastAsia="仿宋"/>
          <w:color w:val="000000"/>
          <w:sz w:val="32"/>
          <w:szCs w:val="32"/>
          <w:lang w:val="en-US" w:eastAsia="zh-CN"/>
        </w:rPr>
        <w:t>元，</w:t>
      </w:r>
      <w:r>
        <w:rPr>
          <w:rFonts w:hint="eastAsia" w:ascii="仿宋" w:eastAsia="仿宋"/>
          <w:color w:val="auto"/>
          <w:sz w:val="32"/>
          <w:szCs w:val="32"/>
          <w:lang w:val="en-US" w:eastAsia="zh-CN"/>
        </w:rPr>
        <w:t>较上年支出增加38.78万元，增加12.43%</w:t>
      </w:r>
      <w:r>
        <w:rPr>
          <w:rFonts w:hint="eastAsia" w:ascii="仿宋_GB2312" w:eastAsia="仿宋_GB2312"/>
          <w:color w:val="auto"/>
          <w:spacing w:val="-2"/>
          <w:kern w:val="2"/>
          <w:sz w:val="32"/>
          <w:szCs w:val="32"/>
          <w:lang w:val="en-US" w:eastAsia="zh-CN" w:bidi="ar-SA"/>
        </w:rPr>
        <w:t>。</w:t>
      </w:r>
    </w:p>
    <w:p>
      <w:pPr>
        <w:snapToGrid w:val="0"/>
        <w:spacing w:line="520" w:lineRule="exact"/>
        <w:ind w:firstLine="640" w:firstLineChars="200"/>
        <w:rPr>
          <w:rFonts w:ascii="仿宋" w:eastAsia="仿宋"/>
          <w:color w:val="FF0000"/>
          <w:sz w:val="32"/>
          <w:szCs w:val="32"/>
          <w:lang w:val="en-US" w:eastAsia="zh-CN"/>
        </w:rPr>
      </w:pPr>
    </w:p>
    <w:p>
      <w:pPr>
        <w:spacing w:line="600" w:lineRule="exact"/>
        <w:ind w:firstLine="420" w:firstLineChars="200"/>
        <w:rPr>
          <w:rStyle w:val="18"/>
          <w:rFonts w:hint="eastAsia" w:ascii="黑体" w:eastAsia="黑体"/>
          <w:b w:val="0"/>
        </w:rPr>
      </w:pPr>
      <w:bookmarkStart w:id="92" w:name="_Toc15396607"/>
      <w:bookmarkStart w:id="93" w:name="_Toc15377209"/>
      <w:bookmarkStart w:id="94" w:name="_Toc14980"/>
      <w:bookmarkStart w:id="95" w:name="_Toc29357"/>
      <w:bookmarkStart w:id="96" w:name="_Toc29867"/>
      <w:r>
        <w:drawing>
          <wp:anchor distT="0" distB="0" distL="114300" distR="114300" simplePos="0" relativeHeight="251659264" behindDoc="0" locked="0" layoutInCell="1" allowOverlap="1">
            <wp:simplePos x="0" y="0"/>
            <wp:positionH relativeFrom="column">
              <wp:posOffset>266700</wp:posOffset>
            </wp:positionH>
            <wp:positionV relativeFrom="paragraph">
              <wp:posOffset>73025</wp:posOffset>
            </wp:positionV>
            <wp:extent cx="4529455" cy="2956560"/>
            <wp:effectExtent l="0" t="0" r="0" b="0"/>
            <wp:wrapNone/>
            <wp:docPr id="6"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97" w:name="_Toc4497"/>
      <w:bookmarkStart w:id="98" w:name="_Toc9468"/>
    </w:p>
    <w:bookmarkEnd w:id="97"/>
    <w:bookmarkEnd w:id="98"/>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bookmarkStart w:id="99" w:name="_Toc18027"/>
      <w:bookmarkStart w:id="100" w:name="_Toc1488"/>
      <w:r>
        <w:rPr>
          <w:rStyle w:val="18"/>
          <w:rFonts w:hint="eastAsia" w:ascii="黑体" w:eastAsia="黑体"/>
          <w:b w:val="0"/>
        </w:rPr>
        <w:t>五、一般公共预算财政拨款支出决算情况说明</w:t>
      </w:r>
      <w:bookmarkEnd w:id="92"/>
      <w:bookmarkEnd w:id="93"/>
    </w:p>
    <w:bookmarkEnd w:id="94"/>
    <w:bookmarkEnd w:id="95"/>
    <w:bookmarkEnd w:id="96"/>
    <w:bookmarkEnd w:id="99"/>
    <w:bookmarkEnd w:id="100"/>
    <w:p>
      <w:pPr>
        <w:spacing w:line="600" w:lineRule="exact"/>
        <w:ind w:firstLine="643" w:firstLineChars="200"/>
        <w:outlineLvl w:val="2"/>
        <w:rPr>
          <w:rFonts w:ascii="仿宋" w:eastAsia="仿宋"/>
          <w:b/>
          <w:color w:val="000000"/>
          <w:sz w:val="32"/>
          <w:szCs w:val="32"/>
        </w:rPr>
      </w:pPr>
      <w:bookmarkStart w:id="101" w:name="_Toc27391"/>
      <w:bookmarkStart w:id="102" w:name="_Toc15377210"/>
      <w:r>
        <w:rPr>
          <w:rFonts w:hint="eastAsia" w:ascii="仿宋" w:eastAsia="仿宋"/>
          <w:b/>
          <w:color w:val="000000"/>
          <w:sz w:val="32"/>
          <w:szCs w:val="32"/>
        </w:rPr>
        <w:t>（一）一般公共预算财政拨款支出决算总体情况</w:t>
      </w:r>
      <w:bookmarkEnd w:id="101"/>
      <w:bookmarkEnd w:id="102"/>
    </w:p>
    <w:p>
      <w:pPr>
        <w:snapToGrid w:val="0"/>
        <w:spacing w:line="520" w:lineRule="exact"/>
        <w:ind w:firstLine="640" w:firstLineChars="200"/>
        <w:rPr>
          <w:rFonts w:hint="eastAsia" w:ascii="仿宋_GB2312" w:eastAsia="仿宋_GB2312"/>
          <w:color w:val="FF0000"/>
          <w:spacing w:val="-2"/>
          <w:kern w:val="2"/>
          <w:sz w:val="32"/>
          <w:szCs w:val="32"/>
          <w:lang w:val="en-US" w:eastAsia="zh-CN" w:bidi="ar-SA"/>
        </w:rPr>
      </w:pPr>
      <w:r>
        <w:rPr>
          <w:rFonts w:hint="eastAsia" w:ascii="仿宋" w:eastAsia="仿宋"/>
          <w:color w:val="000000"/>
          <w:sz w:val="32"/>
          <w:szCs w:val="32"/>
          <w:lang w:eastAsia="zh-CN"/>
        </w:rPr>
        <w:t>2021</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一般公共预算财政拨款支出350.67万元，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hint="eastAsia" w:ascii="仿宋" w:eastAsia="仿宋"/>
          <w:color w:val="000000"/>
          <w:sz w:val="32"/>
          <w:szCs w:val="32"/>
          <w:lang w:eastAsia="zh-CN"/>
        </w:rPr>
        <w:t>2020</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支出增加38.78万元，增加12.43%。增加的</w:t>
      </w:r>
      <w:r>
        <w:rPr>
          <w:rFonts w:hint="eastAsia" w:ascii="仿宋_GB2312" w:eastAsia="仿宋_GB2312"/>
          <w:color w:val="000000"/>
          <w:spacing w:val="-2"/>
          <w:kern w:val="2"/>
          <w:sz w:val="32"/>
          <w:szCs w:val="32"/>
          <w:lang w:val="en-US" w:eastAsia="zh-CN" w:bidi="ar-SA"/>
        </w:rPr>
        <w:t>主要原因是2021年新冠疫情的缓解，因此公务接待批／次、人／次有所上升，提高了2020年度目标奖励绩效基数。</w:t>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420" w:firstLineChars="200"/>
        <w:rPr>
          <w:rFonts w:hint="eastAsia" w:ascii="仿宋_GB2312" w:eastAsia="仿宋_GB2312"/>
          <w:spacing w:val="-2"/>
          <w:kern w:val="2"/>
          <w:sz w:val="32"/>
          <w:szCs w:val="32"/>
          <w:lang w:val="en-US" w:eastAsia="zh-CN" w:bidi="ar-SA"/>
        </w:rPr>
      </w:pPr>
      <w:r>
        <w:drawing>
          <wp:anchor distT="0" distB="0" distL="114300" distR="114300" simplePos="0" relativeHeight="251659264" behindDoc="0" locked="0" layoutInCell="1" allowOverlap="1">
            <wp:simplePos x="0" y="0"/>
            <wp:positionH relativeFrom="column">
              <wp:posOffset>495300</wp:posOffset>
            </wp:positionH>
            <wp:positionV relativeFrom="paragraph">
              <wp:posOffset>244475</wp:posOffset>
            </wp:positionV>
            <wp:extent cx="4152900" cy="2783840"/>
            <wp:effectExtent l="0" t="0" r="0" b="0"/>
            <wp:wrapNone/>
            <wp:docPr id="7"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rPr>
          <w:rFonts w:hint="eastAsia" w:ascii="仿宋" w:eastAsia="仿宋"/>
          <w:b/>
          <w:color w:val="000000"/>
          <w:sz w:val="32"/>
          <w:szCs w:val="32"/>
        </w:rPr>
      </w:pPr>
      <w:bookmarkStart w:id="103" w:name="_Toc15377211"/>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103"/>
    </w:p>
    <w:p>
      <w:pPr>
        <w:spacing w:line="600" w:lineRule="exact"/>
        <w:ind w:firstLine="640"/>
        <w:rPr>
          <w:rFonts w:hint="eastAsia" w:ascii="仿宋" w:eastAsia="仿宋"/>
          <w:color w:val="000000"/>
          <w:sz w:val="32"/>
          <w:szCs w:val="32"/>
        </w:rPr>
      </w:pPr>
      <w:bookmarkStart w:id="104" w:name="_Toc15377213"/>
      <w:bookmarkStart w:id="105" w:name="_Toc15377444"/>
      <w:bookmarkStart w:id="106" w:name="_Toc15378460"/>
      <w:r>
        <w:rPr>
          <w:rFonts w:hint="eastAsia" w:ascii="仿宋" w:eastAsia="仿宋"/>
          <w:color w:val="000000"/>
          <w:sz w:val="32"/>
          <w:szCs w:val="32"/>
          <w:lang w:eastAsia="zh-CN"/>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350.67</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322.65</w:t>
      </w:r>
      <w:r>
        <w:rPr>
          <w:rFonts w:hint="eastAsia" w:ascii="仿宋" w:eastAsia="仿宋"/>
          <w:color w:val="000000"/>
          <w:sz w:val="32"/>
          <w:szCs w:val="32"/>
        </w:rPr>
        <w:t>万元，占</w:t>
      </w:r>
      <w:r>
        <w:rPr>
          <w:rFonts w:hint="eastAsia" w:ascii="仿宋" w:eastAsia="仿宋"/>
          <w:color w:val="000000"/>
          <w:sz w:val="32"/>
          <w:szCs w:val="32"/>
          <w:lang w:val="en-US" w:eastAsia="zh-CN"/>
        </w:rPr>
        <w:t>92.01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13.75</w:t>
      </w:r>
      <w:r>
        <w:rPr>
          <w:rFonts w:hint="eastAsia" w:ascii="仿宋" w:eastAsia="仿宋"/>
          <w:color w:val="000000"/>
          <w:sz w:val="32"/>
          <w:szCs w:val="32"/>
        </w:rPr>
        <w:t>万元，占</w:t>
      </w:r>
      <w:r>
        <w:rPr>
          <w:rFonts w:hint="eastAsia" w:ascii="仿宋" w:eastAsia="仿宋"/>
          <w:color w:val="000000"/>
          <w:sz w:val="32"/>
          <w:szCs w:val="32"/>
          <w:lang w:val="en-US" w:eastAsia="zh-CN"/>
        </w:rPr>
        <w:t>3.92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5.75</w:t>
      </w:r>
      <w:r>
        <w:rPr>
          <w:rFonts w:hint="eastAsia" w:ascii="仿宋" w:eastAsia="仿宋"/>
          <w:color w:val="000000"/>
          <w:sz w:val="32"/>
          <w:szCs w:val="32"/>
        </w:rPr>
        <w:t>万元，占</w:t>
      </w:r>
      <w:r>
        <w:rPr>
          <w:rFonts w:hint="eastAsia" w:ascii="仿宋" w:eastAsia="仿宋"/>
          <w:color w:val="000000"/>
          <w:sz w:val="32"/>
          <w:szCs w:val="32"/>
          <w:lang w:val="en-US" w:eastAsia="zh-CN"/>
        </w:rPr>
        <w:t>1.64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8.52</w:t>
      </w:r>
      <w:r>
        <w:rPr>
          <w:rFonts w:hint="eastAsia" w:ascii="仿宋" w:eastAsia="仿宋"/>
          <w:color w:val="000000"/>
          <w:sz w:val="32"/>
          <w:szCs w:val="32"/>
        </w:rPr>
        <w:t>万元，占</w:t>
      </w:r>
      <w:r>
        <w:rPr>
          <w:rFonts w:hint="eastAsia" w:ascii="仿宋" w:eastAsia="仿宋"/>
          <w:color w:val="000000"/>
          <w:sz w:val="32"/>
          <w:szCs w:val="32"/>
          <w:lang w:val="en-US" w:eastAsia="zh-CN"/>
        </w:rPr>
        <w:t>2.43</w:t>
      </w:r>
      <w:r>
        <w:rPr>
          <w:rFonts w:ascii="仿宋" w:eastAsia="仿宋"/>
          <w:color w:val="000000"/>
          <w:sz w:val="32"/>
          <w:szCs w:val="32"/>
        </w:rPr>
        <w:t>%</w:t>
      </w:r>
      <w:r>
        <w:rPr>
          <w:rFonts w:hint="eastAsia" w:ascii="仿宋" w:eastAsia="仿宋"/>
          <w:color w:val="000000"/>
          <w:sz w:val="32"/>
          <w:szCs w:val="32"/>
        </w:rPr>
        <w:t>。</w:t>
      </w:r>
    </w:p>
    <w:p>
      <w:pPr>
        <w:spacing w:line="600" w:lineRule="exact"/>
        <w:ind w:firstLine="5460" w:firstLineChars="2600"/>
        <w:outlineLvl w:val="2"/>
        <w:rPr>
          <w:rFonts w:hint="eastAsia" w:ascii="仿宋" w:eastAsia="仿宋"/>
          <w:b/>
          <w:color w:val="000000"/>
          <w:sz w:val="32"/>
          <w:szCs w:val="32"/>
          <w:lang w:val="en-US" w:eastAsia="zh-CN"/>
        </w:rPr>
      </w:pPr>
      <w:r>
        <w:drawing>
          <wp:anchor distT="0" distB="0" distL="114300" distR="114300" simplePos="0" relativeHeight="251659264" behindDoc="0" locked="0" layoutInCell="1" allowOverlap="1">
            <wp:simplePos x="0" y="0"/>
            <wp:positionH relativeFrom="column">
              <wp:posOffset>314325</wp:posOffset>
            </wp:positionH>
            <wp:positionV relativeFrom="paragraph">
              <wp:posOffset>146050</wp:posOffset>
            </wp:positionV>
            <wp:extent cx="4344035" cy="2838450"/>
            <wp:effectExtent l="0" t="0" r="0" b="0"/>
            <wp:wrapNone/>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outlineLvl w:val="2"/>
        <w:rPr>
          <w:rFonts w:hint="eastAsia" w:ascii="仿宋" w:eastAsia="仿宋"/>
          <w:b/>
          <w:color w:val="000000"/>
          <w:sz w:val="32"/>
          <w:szCs w:val="32"/>
          <w:lang w:val="en-US" w:eastAsia="zh-CN"/>
        </w:rPr>
      </w:pPr>
    </w:p>
    <w:p>
      <w:pPr>
        <w:spacing w:line="600" w:lineRule="exact"/>
        <w:outlineLvl w:val="2"/>
        <w:rPr>
          <w:rFonts w:hint="eastAsia" w:ascii="仿宋" w:eastAsia="仿宋"/>
          <w:b/>
          <w:color w:val="000000"/>
          <w:sz w:val="32"/>
          <w:szCs w:val="32"/>
          <w:lang w:val="en-US" w:eastAsia="zh-CN"/>
        </w:rPr>
      </w:pPr>
    </w:p>
    <w:p>
      <w:pPr>
        <w:spacing w:line="600" w:lineRule="exact"/>
        <w:outlineLvl w:val="2"/>
        <w:rPr>
          <w:rFonts w:hint="eastAsia" w:ascii="仿宋" w:eastAsia="仿宋"/>
          <w:b/>
          <w:color w:val="000000"/>
          <w:sz w:val="32"/>
          <w:szCs w:val="32"/>
          <w:lang w:val="en-US" w:eastAsia="zh-CN"/>
        </w:rPr>
      </w:pPr>
    </w:p>
    <w:p>
      <w:pPr>
        <w:numPr>
          <w:ilvl w:val="0"/>
          <w:numId w:val="1"/>
        </w:numPr>
        <w:spacing w:line="600" w:lineRule="exact"/>
        <w:ind w:left="0" w:firstLine="643" w:firstLineChars="200"/>
        <w:outlineLvl w:val="2"/>
        <w:rPr>
          <w:rFonts w:hint="eastAsia" w:ascii="仿宋" w:eastAsia="仿宋"/>
          <w:b/>
          <w:color w:val="000000"/>
          <w:sz w:val="32"/>
          <w:szCs w:val="32"/>
          <w:lang w:val="en-US" w:eastAsia="zh-CN"/>
        </w:rPr>
      </w:pPr>
      <w:bookmarkStart w:id="107" w:name="_Toc15377212"/>
      <w:bookmarkStart w:id="108" w:name="_Toc13152"/>
      <w:r>
        <w:rPr>
          <w:rFonts w:hint="eastAsia" w:ascii="仿宋" w:eastAsia="仿宋"/>
          <w:b/>
          <w:color w:val="000000"/>
          <w:sz w:val="32"/>
          <w:szCs w:val="32"/>
        </w:rPr>
        <w:t>一般公共预算财政拨款支出决算具体情况</w:t>
      </w:r>
      <w:bookmarkEnd w:id="107"/>
      <w:bookmarkEnd w:id="108"/>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bookmarkEnd w:id="104"/>
      <w:bookmarkEnd w:id="105"/>
      <w:bookmarkEnd w:id="106"/>
      <w:bookmarkStart w:id="109" w:name="_Toc15377214"/>
      <w:bookmarkStart w:id="110" w:name="_Toc15396608"/>
      <w:r>
        <w:rPr>
          <w:rFonts w:hint="eastAsia" w:ascii="仿宋" w:eastAsia="仿宋"/>
          <w:b w:val="0"/>
          <w:bCs/>
          <w:color w:val="000000"/>
          <w:sz w:val="32"/>
          <w:szCs w:val="32"/>
          <w:lang w:val="en-US" w:eastAsia="zh-CN"/>
        </w:rPr>
        <w:t xml:space="preserve"> </w:t>
      </w:r>
      <w:bookmarkStart w:id="111" w:name="_Toc25815"/>
      <w:bookmarkStart w:id="112" w:name="_Toc10153"/>
      <w:bookmarkStart w:id="113" w:name="_Toc29261"/>
      <w:r>
        <w:rPr>
          <w:rFonts w:hint="eastAsia" w:ascii="仿宋" w:eastAsia="仿宋"/>
          <w:b w:val="0"/>
          <w:bCs/>
          <w:color w:val="000000"/>
          <w:sz w:val="32"/>
          <w:szCs w:val="32"/>
          <w:lang w:eastAsia="zh-CN"/>
        </w:rPr>
        <w:t>2021</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数为350.67万元，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350.67万元</w:t>
      </w:r>
      <w:r>
        <w:rPr>
          <w:rFonts w:hint="eastAsia" w:ascii="仿宋" w:eastAsia="仿宋"/>
          <w:b w:val="0"/>
          <w:bCs/>
          <w:color w:val="000000"/>
          <w:sz w:val="32"/>
          <w:szCs w:val="32"/>
        </w:rPr>
        <w:t>，完</w:t>
      </w:r>
      <w:r>
        <w:rPr>
          <w:rStyle w:val="15"/>
          <w:rFonts w:hint="eastAsia" w:ascii="仿宋" w:eastAsia="仿宋"/>
          <w:b w:val="0"/>
          <w:bCs/>
          <w:color w:val="000000"/>
          <w:sz w:val="32"/>
          <w:szCs w:val="32"/>
        </w:rPr>
        <w:t>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Style w:val="15"/>
          <w:rFonts w:hint="eastAsia" w:ascii="仿宋" w:eastAsia="仿宋"/>
          <w:b w:val="0"/>
          <w:bCs/>
          <w:color w:val="000000"/>
          <w:sz w:val="32"/>
          <w:szCs w:val="32"/>
          <w:lang w:val="en-US" w:eastAsia="zh-CN"/>
        </w:rPr>
        <w:t>结转下年0万元。</w:t>
      </w:r>
      <w:r>
        <w:rPr>
          <w:rStyle w:val="15"/>
          <w:rFonts w:hint="eastAsia" w:ascii="仿宋" w:eastAsia="仿宋"/>
          <w:b w:val="0"/>
          <w:bCs/>
          <w:color w:val="000000"/>
          <w:sz w:val="32"/>
          <w:szCs w:val="32"/>
        </w:rPr>
        <w:t>其中：</w:t>
      </w:r>
      <w:bookmarkEnd w:id="111"/>
      <w:bookmarkEnd w:id="112"/>
      <w:bookmarkEnd w:id="113"/>
    </w:p>
    <w:p>
      <w:pPr>
        <w:spacing w:line="600" w:lineRule="exact"/>
        <w:ind w:left="0" w:firstLine="643" w:firstLineChars="200"/>
        <w:rPr>
          <w:rStyle w:val="15"/>
          <w:rFonts w:hint="eastAsia" w:ascii="仿宋" w:eastAsia="仿宋"/>
          <w:b w:val="0"/>
          <w:bCs/>
          <w:color w:val="000000"/>
          <w:sz w:val="32"/>
          <w:szCs w:val="32"/>
          <w:lang w:eastAsia="zh-CN"/>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eastAsia="zh-CN"/>
        </w:rPr>
        <w:t>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政府办公厅（室）及相关机构事务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事业运行</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322.65</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2</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9.50</w:t>
      </w:r>
      <w:r>
        <w:rPr>
          <w:rStyle w:val="15"/>
          <w:rFonts w:hint="eastAsia" w:ascii="仿宋" w:eastAsia="仿宋"/>
          <w:b w:val="0"/>
          <w:bCs/>
          <w:color w:val="000000"/>
          <w:sz w:val="32"/>
          <w:szCs w:val="32"/>
        </w:rPr>
        <w:t>万元，完成预算</w:t>
      </w:r>
      <w:r>
        <w:rPr>
          <w:rStyle w:val="15"/>
          <w:rFonts w:hint="eastAsia" w:ascii="仿宋" w:eastAsia="仿宋"/>
          <w:b w:val="0"/>
          <w:bCs/>
          <w:color w:val="auto"/>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3</w:t>
      </w:r>
      <w:r>
        <w:rPr>
          <w:rStyle w:val="15"/>
          <w:rFonts w:ascii="仿宋" w:eastAsia="仿宋"/>
          <w:bCs/>
          <w:color w:val="000000"/>
          <w:sz w:val="32"/>
          <w:szCs w:val="32"/>
        </w:rPr>
        <w:t>.</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机关事业单位基本职业年金缴费支出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4.25</w:t>
      </w:r>
      <w:r>
        <w:rPr>
          <w:rStyle w:val="15"/>
          <w:rFonts w:hint="eastAsia" w:ascii="仿宋" w:eastAsia="仿宋"/>
          <w:b w:val="0"/>
          <w:bCs/>
          <w:color w:val="000000"/>
          <w:sz w:val="32"/>
          <w:szCs w:val="32"/>
        </w:rPr>
        <w:t>万元，完成预算</w:t>
      </w:r>
      <w:r>
        <w:rPr>
          <w:rStyle w:val="15"/>
          <w:rFonts w:hint="eastAsia" w:ascii="仿宋" w:eastAsia="仿宋"/>
          <w:b w:val="0"/>
          <w:bCs/>
          <w:color w:val="auto"/>
          <w:sz w:val="32"/>
          <w:szCs w:val="32"/>
          <w:lang w:val="en-US" w:eastAsia="zh-CN"/>
        </w:rPr>
        <w:t>100</w:t>
      </w:r>
      <w:r>
        <w:rPr>
          <w:rStyle w:val="15"/>
          <w:rFonts w:ascii="仿宋" w:eastAsia="仿宋"/>
          <w:b w:val="0"/>
          <w:bCs/>
          <w:color w:val="auto"/>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hint="eastAsia" w:ascii="仿宋" w:eastAsia="仿宋"/>
          <w:b w:val="0"/>
          <w:bCs/>
          <w:color w:val="000000"/>
          <w:sz w:val="32"/>
          <w:szCs w:val="32"/>
          <w:lang w:val="en-US" w:eastAsia="zh-CN"/>
        </w:rPr>
      </w:pPr>
      <w:r>
        <w:rPr>
          <w:rStyle w:val="15"/>
          <w:rFonts w:hint="eastAsia" w:ascii="仿宋" w:eastAsia="仿宋"/>
          <w:bCs/>
          <w:color w:val="000000"/>
          <w:sz w:val="32"/>
          <w:szCs w:val="32"/>
          <w:lang w:val="en-US" w:eastAsia="zh-CN"/>
        </w:rPr>
        <w:t>4.</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事业单位医疗</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4.49</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lang w:val="en-US" w:eastAsia="zh-CN"/>
        </w:rPr>
        <w:t>5.</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其他行政事业单位医疗支出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1.26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Cs/>
          <w:color w:val="000000"/>
          <w:sz w:val="32"/>
          <w:szCs w:val="32"/>
          <w:lang w:val="en-US" w:eastAsia="zh-CN"/>
        </w:rPr>
      </w:pPr>
      <w:r>
        <w:rPr>
          <w:rStyle w:val="15"/>
          <w:rFonts w:hint="eastAsia" w:ascii="仿宋" w:eastAsia="仿宋"/>
          <w:bCs/>
          <w:color w:val="000000"/>
          <w:sz w:val="32"/>
          <w:szCs w:val="32"/>
          <w:lang w:val="en-US" w:eastAsia="zh-CN"/>
        </w:rPr>
        <w:t>6.住房保障（类）住房改革支出（款）住房公积金（项）：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8.52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0"/>
        <w:rPr>
          <w:rStyle w:val="18"/>
        </w:rPr>
      </w:pPr>
      <w:bookmarkStart w:id="114" w:name="_Toc16119"/>
      <w:bookmarkStart w:id="115" w:name="_Toc1018"/>
      <w:bookmarkStart w:id="116" w:name="_Toc11997"/>
      <w:bookmarkStart w:id="117" w:name="_Toc30846"/>
      <w:bookmarkStart w:id="118" w:name="_Toc31827"/>
      <w:r>
        <w:rPr>
          <w:rStyle w:val="18"/>
          <w:rFonts w:hint="eastAsia" w:ascii="黑体" w:eastAsia="黑体"/>
          <w:b w:val="0"/>
        </w:rPr>
        <w:t>六、一般公共预算财政拨款基本支出决算情况说明</w:t>
      </w:r>
      <w:bookmarkEnd w:id="109"/>
      <w:bookmarkEnd w:id="110"/>
      <w:r>
        <w:rPr>
          <w:rStyle w:val="18"/>
          <w:rFonts w:ascii="黑体" w:eastAsia="黑体"/>
          <w:b w:val="0"/>
        </w:rPr>
        <w:tab/>
      </w:r>
    </w:p>
    <w:bookmarkEnd w:id="114"/>
    <w:bookmarkEnd w:id="115"/>
    <w:bookmarkEnd w:id="116"/>
    <w:bookmarkEnd w:id="117"/>
    <w:bookmarkEnd w:id="118"/>
    <w:p>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350.67</w:t>
      </w:r>
      <w:r>
        <w:rPr>
          <w:rFonts w:hint="eastAsia" w:ascii="仿宋" w:eastAsia="仿宋"/>
          <w:color w:val="000000"/>
          <w:sz w:val="32"/>
          <w:szCs w:val="32"/>
        </w:rPr>
        <w:t>万元，其中：</w:t>
      </w:r>
    </w:p>
    <w:p>
      <w:pPr>
        <w:spacing w:line="600" w:lineRule="exact"/>
        <w:ind w:firstLine="645"/>
        <w:rPr>
          <w:rFonts w:hint="eastAsia" w:ascii="仿宋" w:eastAsia="仿宋"/>
          <w:color w:val="auto"/>
          <w:sz w:val="32"/>
          <w:szCs w:val="32"/>
          <w:lang w:eastAsia="zh-CN"/>
        </w:rPr>
      </w:pPr>
      <w:r>
        <w:rPr>
          <w:rFonts w:hint="eastAsia" w:ascii="仿宋" w:eastAsia="仿宋"/>
          <w:color w:val="auto"/>
          <w:sz w:val="32"/>
          <w:szCs w:val="32"/>
        </w:rPr>
        <w:t>人员经费</w:t>
      </w:r>
      <w:r>
        <w:rPr>
          <w:rFonts w:hint="eastAsia" w:ascii="仿宋" w:eastAsia="仿宋"/>
          <w:color w:val="auto"/>
          <w:sz w:val="32"/>
          <w:szCs w:val="32"/>
          <w:lang w:val="en-US" w:eastAsia="zh-CN"/>
        </w:rPr>
        <w:t>115.79</w:t>
      </w:r>
      <w:r>
        <w:rPr>
          <w:rFonts w:hint="eastAsia" w:ascii="仿宋" w:eastAsia="仿宋"/>
          <w:color w:val="auto"/>
          <w:sz w:val="32"/>
          <w:szCs w:val="32"/>
        </w:rPr>
        <w:t>万元，主要包括：基本工资</w:t>
      </w:r>
      <w:r>
        <w:rPr>
          <w:rFonts w:hint="eastAsia" w:ascii="仿宋" w:eastAsia="仿宋"/>
          <w:color w:val="auto"/>
          <w:sz w:val="32"/>
          <w:szCs w:val="32"/>
          <w:lang w:val="en-US" w:eastAsia="zh-CN"/>
        </w:rPr>
        <w:t>21.23万元</w:t>
      </w:r>
      <w:r>
        <w:rPr>
          <w:rFonts w:hint="eastAsia" w:ascii="仿宋" w:eastAsia="仿宋"/>
          <w:color w:val="auto"/>
          <w:sz w:val="32"/>
          <w:szCs w:val="32"/>
        </w:rPr>
        <w:t>、津贴补贴</w:t>
      </w:r>
      <w:r>
        <w:rPr>
          <w:rFonts w:hint="eastAsia" w:ascii="仿宋" w:eastAsia="仿宋"/>
          <w:color w:val="auto"/>
          <w:sz w:val="32"/>
          <w:szCs w:val="32"/>
          <w:lang w:val="en-US" w:eastAsia="zh-CN"/>
        </w:rPr>
        <w:t>10.37万元</w:t>
      </w:r>
      <w:r>
        <w:rPr>
          <w:rFonts w:hint="eastAsia" w:ascii="仿宋" w:eastAsia="仿宋"/>
          <w:color w:val="auto"/>
          <w:sz w:val="32"/>
          <w:szCs w:val="32"/>
        </w:rPr>
        <w:t>、奖金</w:t>
      </w:r>
      <w:r>
        <w:rPr>
          <w:rFonts w:hint="eastAsia" w:ascii="仿宋" w:eastAsia="仿宋"/>
          <w:color w:val="auto"/>
          <w:sz w:val="32"/>
          <w:szCs w:val="32"/>
          <w:lang w:val="en-US" w:eastAsia="zh-CN"/>
        </w:rPr>
        <w:t>1.76万元</w:t>
      </w:r>
      <w:r>
        <w:rPr>
          <w:rFonts w:hint="eastAsia" w:ascii="仿宋" w:eastAsia="仿宋"/>
          <w:color w:val="auto"/>
          <w:sz w:val="32"/>
          <w:szCs w:val="32"/>
        </w:rPr>
        <w:t>、伙食补助费</w:t>
      </w:r>
      <w:r>
        <w:rPr>
          <w:rFonts w:hint="eastAsia" w:ascii="仿宋" w:eastAsia="仿宋"/>
          <w:color w:val="auto"/>
          <w:sz w:val="32"/>
          <w:szCs w:val="32"/>
          <w:lang w:val="en-US" w:eastAsia="zh-CN"/>
        </w:rPr>
        <w:t>0万元</w:t>
      </w:r>
      <w:r>
        <w:rPr>
          <w:rFonts w:hint="eastAsia" w:ascii="仿宋" w:eastAsia="仿宋"/>
          <w:color w:val="auto"/>
          <w:sz w:val="32"/>
          <w:szCs w:val="32"/>
        </w:rPr>
        <w:t>、</w:t>
      </w:r>
      <w:r>
        <w:rPr>
          <w:rFonts w:hint="eastAsia" w:ascii="仿宋" w:eastAsia="仿宋"/>
          <w:color w:val="auto"/>
          <w:sz w:val="32"/>
          <w:szCs w:val="32"/>
          <w:lang w:eastAsia="zh-CN"/>
        </w:rPr>
        <w:t>绩效工资</w:t>
      </w:r>
      <w:r>
        <w:rPr>
          <w:rFonts w:hint="eastAsia" w:ascii="仿宋" w:eastAsia="仿宋"/>
          <w:color w:val="auto"/>
          <w:sz w:val="32"/>
          <w:szCs w:val="32"/>
          <w:lang w:val="en-US" w:eastAsia="zh-CN"/>
        </w:rPr>
        <w:t>21.29万元、</w:t>
      </w:r>
      <w:r>
        <w:rPr>
          <w:rFonts w:hint="eastAsia" w:ascii="仿宋" w:eastAsia="仿宋"/>
          <w:color w:val="auto"/>
          <w:sz w:val="32"/>
          <w:szCs w:val="32"/>
        </w:rPr>
        <w:t>机关事业单位基本养老保险缴费</w:t>
      </w:r>
      <w:r>
        <w:rPr>
          <w:rFonts w:hint="eastAsia" w:ascii="仿宋" w:eastAsia="仿宋"/>
          <w:color w:val="auto"/>
          <w:sz w:val="32"/>
          <w:szCs w:val="32"/>
          <w:lang w:val="en-US" w:eastAsia="zh-CN"/>
        </w:rPr>
        <w:t>9.50万元</w:t>
      </w:r>
      <w:r>
        <w:rPr>
          <w:rFonts w:hint="eastAsia" w:ascii="仿宋" w:eastAsia="仿宋"/>
          <w:color w:val="auto"/>
          <w:sz w:val="32"/>
          <w:szCs w:val="32"/>
        </w:rPr>
        <w:t>、职业年金缴费</w:t>
      </w:r>
      <w:r>
        <w:rPr>
          <w:rFonts w:hint="eastAsia" w:ascii="仿宋" w:eastAsia="仿宋"/>
          <w:color w:val="auto"/>
          <w:sz w:val="32"/>
          <w:szCs w:val="32"/>
          <w:lang w:val="en-US" w:eastAsia="zh-CN"/>
        </w:rPr>
        <w:t>4.25万元</w:t>
      </w:r>
      <w:r>
        <w:rPr>
          <w:rFonts w:hint="eastAsia" w:ascii="仿宋" w:eastAsia="仿宋"/>
          <w:color w:val="auto"/>
          <w:sz w:val="32"/>
          <w:szCs w:val="32"/>
        </w:rPr>
        <w:t>、</w:t>
      </w:r>
      <w:r>
        <w:rPr>
          <w:rFonts w:hint="eastAsia" w:ascii="仿宋" w:eastAsia="仿宋"/>
          <w:color w:val="auto"/>
          <w:sz w:val="32"/>
          <w:szCs w:val="32"/>
          <w:lang w:eastAsia="zh-CN"/>
        </w:rPr>
        <w:t>生活补助</w:t>
      </w:r>
      <w:r>
        <w:rPr>
          <w:rFonts w:hint="eastAsia" w:ascii="仿宋" w:eastAsia="仿宋"/>
          <w:color w:val="auto"/>
          <w:sz w:val="32"/>
          <w:szCs w:val="32"/>
          <w:lang w:val="en-US" w:eastAsia="zh-CN"/>
        </w:rPr>
        <w:t>0万元、职工基本医疗保险缴费4.49万元、公务员医疗补助缴费0万元、</w:t>
      </w:r>
      <w:r>
        <w:rPr>
          <w:rFonts w:hint="eastAsia" w:ascii="仿宋" w:eastAsia="仿宋"/>
          <w:color w:val="auto"/>
          <w:sz w:val="32"/>
          <w:szCs w:val="32"/>
        </w:rPr>
        <w:t>其他社会保障缴费</w:t>
      </w:r>
      <w:r>
        <w:rPr>
          <w:rFonts w:hint="eastAsia" w:ascii="仿宋" w:eastAsia="仿宋"/>
          <w:color w:val="auto"/>
          <w:sz w:val="32"/>
          <w:szCs w:val="32"/>
          <w:lang w:val="en-US" w:eastAsia="zh-CN"/>
        </w:rPr>
        <w:t>2.43万元</w:t>
      </w:r>
      <w:r>
        <w:rPr>
          <w:rFonts w:hint="eastAsia" w:ascii="仿宋" w:eastAsia="仿宋"/>
          <w:color w:val="auto"/>
          <w:sz w:val="32"/>
          <w:szCs w:val="32"/>
        </w:rPr>
        <w:t>、其他工资福利支出</w:t>
      </w:r>
      <w:r>
        <w:rPr>
          <w:rFonts w:hint="eastAsia" w:ascii="仿宋" w:eastAsia="仿宋"/>
          <w:color w:val="auto"/>
          <w:sz w:val="32"/>
          <w:szCs w:val="32"/>
          <w:lang w:val="en-US" w:eastAsia="zh-CN"/>
        </w:rPr>
        <w:t>0万元</w:t>
      </w:r>
      <w:r>
        <w:rPr>
          <w:rFonts w:hint="eastAsia" w:ascii="仿宋" w:eastAsia="仿宋"/>
          <w:color w:val="auto"/>
          <w:sz w:val="32"/>
          <w:szCs w:val="32"/>
        </w:rPr>
        <w:t>、</w:t>
      </w:r>
      <w:r>
        <w:rPr>
          <w:rFonts w:hint="eastAsia" w:ascii="仿宋" w:eastAsia="仿宋"/>
          <w:color w:val="auto"/>
          <w:sz w:val="32"/>
          <w:szCs w:val="32"/>
          <w:lang w:eastAsia="zh-CN"/>
        </w:rPr>
        <w:t>抚恤金</w:t>
      </w:r>
      <w:r>
        <w:rPr>
          <w:rFonts w:hint="eastAsia" w:ascii="仿宋" w:eastAsia="仿宋"/>
          <w:color w:val="auto"/>
          <w:sz w:val="32"/>
          <w:szCs w:val="32"/>
          <w:lang w:val="en-US" w:eastAsia="zh-CN"/>
        </w:rPr>
        <w:t>0万元、</w:t>
      </w:r>
      <w:r>
        <w:rPr>
          <w:rFonts w:hint="eastAsia" w:ascii="仿宋" w:eastAsia="仿宋"/>
          <w:color w:val="auto"/>
          <w:sz w:val="32"/>
          <w:szCs w:val="32"/>
        </w:rPr>
        <w:t>住房公积金</w:t>
      </w:r>
      <w:r>
        <w:rPr>
          <w:rFonts w:hint="eastAsia" w:ascii="仿宋" w:eastAsia="仿宋"/>
          <w:color w:val="auto"/>
          <w:sz w:val="32"/>
          <w:szCs w:val="32"/>
          <w:lang w:val="en-US" w:eastAsia="zh-CN"/>
        </w:rPr>
        <w:t>8.52万元</w:t>
      </w:r>
      <w:r>
        <w:rPr>
          <w:rFonts w:hint="eastAsia" w:ascii="仿宋" w:eastAsia="仿宋"/>
          <w:color w:val="auto"/>
          <w:sz w:val="32"/>
          <w:szCs w:val="32"/>
        </w:rPr>
        <w:t>、</w:t>
      </w:r>
      <w:r>
        <w:rPr>
          <w:rFonts w:hint="eastAsia" w:ascii="仿宋" w:eastAsia="仿宋"/>
          <w:color w:val="auto"/>
          <w:sz w:val="32"/>
          <w:szCs w:val="32"/>
          <w:lang w:eastAsia="zh-CN"/>
        </w:rPr>
        <w:t>奖励金</w:t>
      </w:r>
      <w:r>
        <w:rPr>
          <w:rFonts w:hint="eastAsia" w:ascii="仿宋" w:eastAsia="仿宋"/>
          <w:color w:val="auto"/>
          <w:sz w:val="32"/>
          <w:szCs w:val="32"/>
          <w:lang w:val="en-US" w:eastAsia="zh-CN"/>
        </w:rPr>
        <w:t>31.95</w:t>
      </w:r>
      <w:r>
        <w:rPr>
          <w:rFonts w:hint="eastAsia" w:ascii="仿宋" w:eastAsia="仿宋"/>
          <w:color w:val="auto"/>
          <w:sz w:val="32"/>
          <w:szCs w:val="32"/>
        </w:rPr>
        <w:t>其他对个人和家庭的补助支出</w:t>
      </w:r>
      <w:r>
        <w:rPr>
          <w:rFonts w:hint="eastAsia" w:ascii="仿宋" w:eastAsia="仿宋"/>
          <w:color w:val="auto"/>
          <w:sz w:val="32"/>
          <w:szCs w:val="32"/>
          <w:lang w:val="en-US" w:eastAsia="zh-CN"/>
        </w:rPr>
        <w:t>0万元</w:t>
      </w:r>
      <w:r>
        <w:rPr>
          <w:rFonts w:hint="eastAsia" w:ascii="仿宋" w:eastAsia="仿宋"/>
          <w:color w:val="auto"/>
          <w:sz w:val="32"/>
          <w:szCs w:val="32"/>
        </w:rPr>
        <w:t>等。</w:t>
      </w:r>
    </w:p>
    <w:p>
      <w:pPr>
        <w:spacing w:line="600" w:lineRule="exact"/>
        <w:ind w:firstLine="645"/>
        <w:rPr>
          <w:rFonts w:ascii="仿宋" w:eastAsia="仿宋"/>
          <w:color w:val="auto"/>
          <w:sz w:val="32"/>
          <w:szCs w:val="32"/>
        </w:rPr>
      </w:pPr>
      <w:r>
        <w:rPr>
          <w:rFonts w:hint="eastAsia" w:ascii="仿宋" w:eastAsia="仿宋"/>
          <w:color w:val="auto"/>
          <w:sz w:val="32"/>
          <w:szCs w:val="32"/>
        </w:rPr>
        <w:t>　　公用经费</w:t>
      </w:r>
      <w:r>
        <w:rPr>
          <w:rFonts w:hint="eastAsia" w:ascii="仿宋" w:eastAsia="仿宋"/>
          <w:color w:val="auto"/>
          <w:sz w:val="32"/>
          <w:szCs w:val="32"/>
          <w:lang w:val="en-US" w:eastAsia="zh-CN"/>
        </w:rPr>
        <w:t>234.88</w:t>
      </w:r>
      <w:r>
        <w:rPr>
          <w:rFonts w:hint="eastAsia" w:ascii="仿宋" w:eastAsia="仿宋"/>
          <w:color w:val="auto"/>
          <w:sz w:val="32"/>
          <w:szCs w:val="32"/>
        </w:rPr>
        <w:t>万元，主要包括：办公费</w:t>
      </w:r>
      <w:r>
        <w:rPr>
          <w:rFonts w:hint="eastAsia" w:ascii="仿宋" w:eastAsia="仿宋"/>
          <w:color w:val="auto"/>
          <w:sz w:val="32"/>
          <w:szCs w:val="32"/>
          <w:lang w:val="en-US" w:eastAsia="zh-CN"/>
        </w:rPr>
        <w:t>2.07万元</w:t>
      </w:r>
      <w:r>
        <w:rPr>
          <w:rFonts w:hint="eastAsia" w:ascii="仿宋" w:eastAsia="仿宋"/>
          <w:color w:val="auto"/>
          <w:sz w:val="32"/>
          <w:szCs w:val="32"/>
        </w:rPr>
        <w:t>、</w:t>
      </w:r>
      <w:r>
        <w:rPr>
          <w:rFonts w:hint="eastAsia" w:ascii="仿宋" w:eastAsia="仿宋"/>
          <w:color w:val="auto"/>
          <w:sz w:val="32"/>
          <w:szCs w:val="32"/>
          <w:lang w:eastAsia="zh-CN"/>
        </w:rPr>
        <w:t>手续费</w:t>
      </w:r>
      <w:r>
        <w:rPr>
          <w:rFonts w:hint="eastAsia" w:ascii="仿宋" w:eastAsia="仿宋"/>
          <w:color w:val="auto"/>
          <w:sz w:val="32"/>
          <w:szCs w:val="32"/>
          <w:lang w:val="en-US" w:eastAsia="zh-CN"/>
        </w:rPr>
        <w:t>0万元、</w:t>
      </w:r>
      <w:r>
        <w:rPr>
          <w:rFonts w:hint="eastAsia" w:ascii="仿宋" w:eastAsia="仿宋"/>
          <w:color w:val="auto"/>
          <w:sz w:val="32"/>
          <w:szCs w:val="32"/>
        </w:rPr>
        <w:t>水费</w:t>
      </w:r>
      <w:r>
        <w:rPr>
          <w:rFonts w:hint="eastAsia" w:ascii="仿宋" w:eastAsia="仿宋"/>
          <w:color w:val="auto"/>
          <w:sz w:val="32"/>
          <w:szCs w:val="32"/>
          <w:lang w:val="en-US" w:eastAsia="zh-CN"/>
        </w:rPr>
        <w:t>0.10万元</w:t>
      </w:r>
      <w:r>
        <w:rPr>
          <w:rFonts w:hint="eastAsia" w:ascii="仿宋" w:eastAsia="仿宋"/>
          <w:color w:val="auto"/>
          <w:sz w:val="32"/>
          <w:szCs w:val="32"/>
        </w:rPr>
        <w:t>、电费</w:t>
      </w:r>
      <w:r>
        <w:rPr>
          <w:rFonts w:hint="eastAsia" w:ascii="仿宋" w:eastAsia="仿宋"/>
          <w:color w:val="auto"/>
          <w:sz w:val="32"/>
          <w:szCs w:val="32"/>
          <w:lang w:val="en-US" w:eastAsia="zh-CN"/>
        </w:rPr>
        <w:t>0.80万元</w:t>
      </w:r>
      <w:r>
        <w:rPr>
          <w:rFonts w:hint="eastAsia" w:ascii="仿宋" w:eastAsia="仿宋"/>
          <w:color w:val="auto"/>
          <w:sz w:val="32"/>
          <w:szCs w:val="32"/>
        </w:rPr>
        <w:t>、邮电费</w:t>
      </w:r>
      <w:r>
        <w:rPr>
          <w:rFonts w:hint="eastAsia" w:ascii="仿宋" w:eastAsia="仿宋"/>
          <w:color w:val="auto"/>
          <w:sz w:val="32"/>
          <w:szCs w:val="32"/>
          <w:lang w:val="en-US" w:eastAsia="zh-CN"/>
        </w:rPr>
        <w:t>0.60万元</w:t>
      </w:r>
      <w:r>
        <w:rPr>
          <w:rFonts w:hint="eastAsia" w:ascii="仿宋" w:eastAsia="仿宋"/>
          <w:color w:val="auto"/>
          <w:sz w:val="32"/>
          <w:szCs w:val="32"/>
        </w:rPr>
        <w:t>、物业管理费</w:t>
      </w:r>
      <w:r>
        <w:rPr>
          <w:rFonts w:hint="eastAsia" w:ascii="仿宋" w:eastAsia="仿宋"/>
          <w:color w:val="auto"/>
          <w:sz w:val="32"/>
          <w:szCs w:val="32"/>
          <w:lang w:val="en-US" w:eastAsia="zh-CN"/>
        </w:rPr>
        <w:t>0万元</w:t>
      </w:r>
      <w:r>
        <w:rPr>
          <w:rFonts w:hint="eastAsia" w:ascii="仿宋" w:eastAsia="仿宋"/>
          <w:color w:val="auto"/>
          <w:sz w:val="32"/>
          <w:szCs w:val="32"/>
        </w:rPr>
        <w:t>、差旅费</w:t>
      </w:r>
      <w:r>
        <w:rPr>
          <w:rFonts w:hint="eastAsia" w:ascii="仿宋" w:eastAsia="仿宋"/>
          <w:color w:val="auto"/>
          <w:sz w:val="32"/>
          <w:szCs w:val="32"/>
          <w:lang w:val="en-US" w:eastAsia="zh-CN"/>
        </w:rPr>
        <w:t>5.88万元</w:t>
      </w:r>
      <w:r>
        <w:rPr>
          <w:rFonts w:hint="eastAsia" w:ascii="仿宋" w:eastAsia="仿宋"/>
          <w:color w:val="auto"/>
          <w:sz w:val="32"/>
          <w:szCs w:val="32"/>
        </w:rPr>
        <w:t>、因公出国（境）费用</w:t>
      </w:r>
      <w:r>
        <w:rPr>
          <w:rFonts w:hint="eastAsia" w:ascii="仿宋" w:eastAsia="仿宋"/>
          <w:color w:val="auto"/>
          <w:sz w:val="32"/>
          <w:szCs w:val="32"/>
          <w:lang w:val="en-US" w:eastAsia="zh-CN"/>
        </w:rPr>
        <w:t>0万元</w:t>
      </w:r>
      <w:r>
        <w:rPr>
          <w:rFonts w:hint="eastAsia" w:ascii="仿宋" w:eastAsia="仿宋"/>
          <w:color w:val="auto"/>
          <w:sz w:val="32"/>
          <w:szCs w:val="32"/>
        </w:rPr>
        <w:t>、维修（护）费</w:t>
      </w:r>
      <w:r>
        <w:rPr>
          <w:rFonts w:hint="eastAsia" w:ascii="仿宋" w:eastAsia="仿宋"/>
          <w:color w:val="auto"/>
          <w:sz w:val="32"/>
          <w:szCs w:val="32"/>
          <w:lang w:val="en-US" w:eastAsia="zh-CN"/>
        </w:rPr>
        <w:t>9.87万元</w:t>
      </w:r>
      <w:r>
        <w:rPr>
          <w:rFonts w:hint="eastAsia" w:ascii="仿宋" w:eastAsia="仿宋"/>
          <w:color w:val="auto"/>
          <w:sz w:val="32"/>
          <w:szCs w:val="32"/>
        </w:rPr>
        <w:t>、租赁费</w:t>
      </w:r>
      <w:r>
        <w:rPr>
          <w:rFonts w:hint="eastAsia" w:ascii="仿宋" w:eastAsia="仿宋"/>
          <w:color w:val="auto"/>
          <w:sz w:val="32"/>
          <w:szCs w:val="32"/>
          <w:lang w:val="en-US" w:eastAsia="zh-CN"/>
        </w:rPr>
        <w:t>0万元</w:t>
      </w:r>
      <w:r>
        <w:rPr>
          <w:rFonts w:hint="eastAsia" w:ascii="仿宋" w:eastAsia="仿宋"/>
          <w:color w:val="auto"/>
          <w:sz w:val="32"/>
          <w:szCs w:val="32"/>
        </w:rPr>
        <w:t>、会议费</w:t>
      </w:r>
      <w:r>
        <w:rPr>
          <w:rFonts w:hint="eastAsia" w:ascii="仿宋" w:eastAsia="仿宋"/>
          <w:color w:val="auto"/>
          <w:sz w:val="32"/>
          <w:szCs w:val="32"/>
          <w:lang w:val="en-US" w:eastAsia="zh-CN"/>
        </w:rPr>
        <w:t>0万元</w:t>
      </w:r>
      <w:r>
        <w:rPr>
          <w:rFonts w:hint="eastAsia" w:ascii="仿宋" w:eastAsia="仿宋"/>
          <w:color w:val="auto"/>
          <w:sz w:val="32"/>
          <w:szCs w:val="32"/>
        </w:rPr>
        <w:t>、培训费</w:t>
      </w:r>
      <w:r>
        <w:rPr>
          <w:rFonts w:hint="eastAsia" w:ascii="仿宋" w:eastAsia="仿宋"/>
          <w:color w:val="auto"/>
          <w:sz w:val="32"/>
          <w:szCs w:val="32"/>
          <w:lang w:val="en-US" w:eastAsia="zh-CN"/>
        </w:rPr>
        <w:t>0万元</w:t>
      </w:r>
      <w:r>
        <w:rPr>
          <w:rFonts w:hint="eastAsia" w:ascii="仿宋" w:eastAsia="仿宋"/>
          <w:color w:val="auto"/>
          <w:sz w:val="32"/>
          <w:szCs w:val="32"/>
        </w:rPr>
        <w:t>、公务接待费</w:t>
      </w:r>
      <w:r>
        <w:rPr>
          <w:rFonts w:hint="eastAsia" w:ascii="仿宋" w:eastAsia="仿宋"/>
          <w:color w:val="auto"/>
          <w:sz w:val="32"/>
          <w:szCs w:val="32"/>
          <w:lang w:val="en-US" w:eastAsia="zh-CN"/>
        </w:rPr>
        <w:t>201.27万元</w:t>
      </w:r>
      <w:r>
        <w:rPr>
          <w:rFonts w:hint="eastAsia" w:ascii="仿宋" w:eastAsia="仿宋"/>
          <w:color w:val="auto"/>
          <w:sz w:val="32"/>
          <w:szCs w:val="32"/>
        </w:rPr>
        <w:t>、</w:t>
      </w:r>
      <w:r>
        <w:rPr>
          <w:rFonts w:hint="eastAsia" w:ascii="仿宋" w:eastAsia="仿宋"/>
          <w:color w:val="auto"/>
          <w:sz w:val="32"/>
          <w:szCs w:val="32"/>
          <w:lang w:eastAsia="zh-CN"/>
        </w:rPr>
        <w:t>劳务费</w:t>
      </w:r>
      <w:r>
        <w:rPr>
          <w:rFonts w:hint="eastAsia" w:ascii="仿宋" w:eastAsia="仿宋"/>
          <w:color w:val="auto"/>
          <w:sz w:val="32"/>
          <w:szCs w:val="32"/>
          <w:lang w:val="en-US" w:eastAsia="zh-CN"/>
        </w:rPr>
        <w:t>10.79万元、</w:t>
      </w:r>
      <w:r>
        <w:rPr>
          <w:rFonts w:hint="eastAsia" w:ascii="仿宋" w:eastAsia="仿宋"/>
          <w:color w:val="auto"/>
          <w:sz w:val="32"/>
          <w:szCs w:val="32"/>
        </w:rPr>
        <w:t>福利费</w:t>
      </w:r>
      <w:r>
        <w:rPr>
          <w:rFonts w:hint="eastAsia" w:ascii="仿宋" w:eastAsia="仿宋"/>
          <w:color w:val="auto"/>
          <w:sz w:val="32"/>
          <w:szCs w:val="32"/>
          <w:lang w:val="en-US" w:eastAsia="zh-CN"/>
        </w:rPr>
        <w:t>0万元</w:t>
      </w:r>
      <w:r>
        <w:rPr>
          <w:rFonts w:hint="eastAsia" w:ascii="仿宋" w:eastAsia="仿宋"/>
          <w:color w:val="auto"/>
          <w:sz w:val="32"/>
          <w:szCs w:val="32"/>
        </w:rPr>
        <w:t>、公务用车运行维护费</w:t>
      </w:r>
      <w:r>
        <w:rPr>
          <w:rFonts w:hint="eastAsia" w:ascii="仿宋" w:eastAsia="仿宋"/>
          <w:color w:val="auto"/>
          <w:sz w:val="32"/>
          <w:szCs w:val="32"/>
          <w:lang w:val="en-US" w:eastAsia="zh-CN"/>
        </w:rPr>
        <w:t>0万元、其他交通费用3.50万元、其他商品和服务支出0万元、办公设备购置0万元、无形资产购置0万元</w:t>
      </w:r>
      <w:r>
        <w:rPr>
          <w:rFonts w:hint="eastAsia" w:ascii="仿宋" w:eastAsia="仿宋"/>
          <w:color w:val="auto"/>
          <w:sz w:val="32"/>
          <w:szCs w:val="32"/>
        </w:rPr>
        <w:t>等。</w:t>
      </w:r>
    </w:p>
    <w:p>
      <w:pPr>
        <w:spacing w:line="600" w:lineRule="exact"/>
        <w:ind w:firstLine="640" w:firstLineChars="200"/>
        <w:outlineLvl w:val="1"/>
        <w:rPr>
          <w:rStyle w:val="18"/>
          <w:rFonts w:hint="eastAsia" w:ascii="黑体" w:eastAsia="黑体"/>
          <w:b w:val="0"/>
        </w:rPr>
      </w:pPr>
      <w:bookmarkStart w:id="119" w:name="_Toc15377215"/>
      <w:bookmarkStart w:id="120" w:name="_Toc15396609"/>
      <w:bookmarkStart w:id="121" w:name="_Toc26242"/>
      <w:bookmarkStart w:id="122" w:name="_Toc20641"/>
      <w:bookmarkStart w:id="123" w:name="_Toc28477"/>
      <w:bookmarkStart w:id="124" w:name="_Toc11941"/>
      <w:bookmarkStart w:id="125" w:name="_Toc6732"/>
      <w:r>
        <w:rPr>
          <w:rStyle w:val="18"/>
          <w:rFonts w:hint="eastAsia" w:ascii="黑体" w:eastAsia="黑体"/>
          <w:b w:val="0"/>
        </w:rPr>
        <w:t>七、“三公”经费财政拨款支出决算情况说明</w:t>
      </w:r>
      <w:bookmarkEnd w:id="119"/>
      <w:bookmarkEnd w:id="120"/>
      <w:bookmarkEnd w:id="121"/>
    </w:p>
    <w:bookmarkEnd w:id="122"/>
    <w:bookmarkEnd w:id="123"/>
    <w:bookmarkEnd w:id="124"/>
    <w:bookmarkEnd w:id="125"/>
    <w:p>
      <w:pPr>
        <w:spacing w:line="600" w:lineRule="exact"/>
        <w:ind w:firstLine="640"/>
        <w:outlineLvl w:val="2"/>
        <w:rPr>
          <w:rFonts w:ascii="仿宋" w:eastAsia="仿宋"/>
          <w:b/>
          <w:color w:val="000000"/>
          <w:sz w:val="32"/>
          <w:szCs w:val="32"/>
        </w:rPr>
      </w:pPr>
      <w:bookmarkStart w:id="126" w:name="_Toc11137"/>
      <w:bookmarkStart w:id="127" w:name="_Toc15377216"/>
      <w:r>
        <w:rPr>
          <w:rFonts w:hint="eastAsia" w:ascii="仿宋" w:eastAsia="仿宋"/>
          <w:b/>
          <w:color w:val="000000"/>
          <w:sz w:val="32"/>
          <w:szCs w:val="32"/>
        </w:rPr>
        <w:t>（一）“三公”经费财政拨款支出决算总体情况说明</w:t>
      </w:r>
      <w:bookmarkEnd w:id="126"/>
      <w:bookmarkEnd w:id="127"/>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“三公”经费财政拨款支出决算为</w:t>
      </w:r>
      <w:r>
        <w:rPr>
          <w:rFonts w:hint="eastAsia" w:ascii="仿宋" w:eastAsia="仿宋"/>
          <w:color w:val="000000"/>
          <w:sz w:val="32"/>
          <w:szCs w:val="32"/>
          <w:lang w:val="en-US" w:eastAsia="zh-CN"/>
        </w:rPr>
        <w:t>201.27</w:t>
      </w:r>
      <w:r>
        <w:rPr>
          <w:rFonts w:hint="eastAsia" w:ascii="仿宋" w:eastAsia="仿宋"/>
          <w:color w:val="000000"/>
          <w:sz w:val="32"/>
          <w:szCs w:val="32"/>
        </w:rPr>
        <w:t>万元，完成预算</w:t>
      </w:r>
      <w:r>
        <w:rPr>
          <w:rFonts w:hint="eastAsia" w:ascii="仿宋" w:eastAsia="仿宋"/>
          <w:color w:val="000000"/>
          <w:sz w:val="32"/>
          <w:szCs w:val="32"/>
          <w:lang w:val="en-US" w:eastAsia="zh-CN"/>
        </w:rPr>
        <w:t>62.90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小于</w:t>
      </w:r>
      <w:r>
        <w:rPr>
          <w:rFonts w:hint="eastAsia" w:ascii="仿宋" w:eastAsia="仿宋"/>
          <w:color w:val="000000"/>
          <w:sz w:val="32"/>
          <w:szCs w:val="32"/>
        </w:rPr>
        <w:t>预算数</w:t>
      </w:r>
      <w:r>
        <w:rPr>
          <w:rFonts w:hint="eastAsia" w:ascii="仿宋" w:eastAsia="仿宋"/>
          <w:color w:val="000000"/>
          <w:sz w:val="32"/>
          <w:szCs w:val="32"/>
          <w:lang w:eastAsia="zh-CN"/>
        </w:rPr>
        <w:t>，</w:t>
      </w:r>
      <w:r>
        <w:rPr>
          <w:rFonts w:hint="eastAsia" w:ascii="仿宋" w:eastAsia="仿宋"/>
          <w:color w:val="000000"/>
          <w:sz w:val="32"/>
          <w:szCs w:val="32"/>
          <w:lang w:val="en-US" w:eastAsia="zh-CN"/>
        </w:rPr>
        <w:t>主要原因</w:t>
      </w:r>
      <w:r>
        <w:rPr>
          <w:rFonts w:hint="eastAsia" w:ascii="仿宋_GB2312" w:eastAsia="仿宋_GB2312"/>
          <w:color w:val="000000"/>
          <w:spacing w:val="-2"/>
          <w:kern w:val="2"/>
          <w:sz w:val="32"/>
          <w:szCs w:val="32"/>
          <w:lang w:val="en-US" w:eastAsia="zh-CN" w:bidi="ar-SA"/>
        </w:rPr>
        <w:t>是历行节约。</w:t>
      </w:r>
    </w:p>
    <w:p>
      <w:pPr>
        <w:spacing w:line="600" w:lineRule="exact"/>
        <w:ind w:firstLine="640"/>
        <w:outlineLvl w:val="2"/>
        <w:rPr>
          <w:rFonts w:ascii="仿宋" w:eastAsia="仿宋"/>
          <w:b/>
          <w:color w:val="000000"/>
          <w:sz w:val="32"/>
          <w:szCs w:val="32"/>
        </w:rPr>
      </w:pPr>
      <w:bookmarkStart w:id="128" w:name="_Toc23984"/>
      <w:bookmarkStart w:id="129" w:name="_Toc15377217"/>
      <w:r>
        <w:rPr>
          <w:rFonts w:hint="eastAsia" w:ascii="仿宋" w:eastAsia="仿宋"/>
          <w:b/>
          <w:color w:val="000000"/>
          <w:sz w:val="32"/>
          <w:szCs w:val="32"/>
        </w:rPr>
        <w:t>（二）“三公”经费财政拨款支出决算具体情况说明</w:t>
      </w:r>
      <w:bookmarkEnd w:id="128"/>
      <w:bookmarkEnd w:id="129"/>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t>2021年</w:t>
      </w:r>
      <w:r>
        <w:rPr>
          <w:rFonts w:hint="eastAsia" w:ascii="仿宋" w:eastAsia="仿宋"/>
          <w:color w:val="000000"/>
          <w:sz w:val="32"/>
          <w:szCs w:val="32"/>
        </w:rPr>
        <w:t>“三公”经费财政拨款支出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201.27万元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201.27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r>
        <w:drawing>
          <wp:anchor distT="0" distB="0" distL="114300" distR="114300" simplePos="0" relativeHeight="251659264" behindDoc="0" locked="0" layoutInCell="1" allowOverlap="1">
            <wp:simplePos x="0" y="0"/>
            <wp:positionH relativeFrom="column">
              <wp:posOffset>264795</wp:posOffset>
            </wp:positionH>
            <wp:positionV relativeFrom="paragraph">
              <wp:posOffset>193040</wp:posOffset>
            </wp:positionV>
            <wp:extent cx="4902200" cy="2638425"/>
            <wp:effectExtent l="0" t="0" r="0" b="0"/>
            <wp:wrapNone/>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2"/>
                    <a:stretch>
                      <a:fillRect/>
                    </a:stretch>
                  </pic:blipFill>
                  <pic:spPr>
                    <a:xfrm>
                      <a:off x="0" y="0"/>
                      <a:ext cx="4902200" cy="2638425"/>
                    </a:xfrm>
                    <a:prstGeom prst="rect">
                      <a:avLst/>
                    </a:prstGeom>
                    <a:noFill/>
                    <a:ln w="9525" cap="flat" cmpd="sng">
                      <a:noFill/>
                      <a:prstDash val="solid"/>
                      <a:round/>
                    </a:ln>
                  </pic:spPr>
                </pic:pic>
              </a:graphicData>
            </a:graphic>
          </wp:anchor>
        </w:drawing>
      </w: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eastAsia="zh-CN"/>
        </w:rPr>
        <w:t>2020年</w:t>
      </w:r>
      <w:r>
        <w:rPr>
          <w:rFonts w:hint="eastAsia" w:ascii="仿宋_GB2312" w:eastAsia="仿宋_GB2312" w:cs="仿宋"/>
          <w:color w:val="000000"/>
          <w:sz w:val="32"/>
          <w:szCs w:val="32"/>
          <w:lang w:val="en-US" w:eastAsia="zh-CN"/>
        </w:rPr>
        <w:t>增加0万元。</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2020年增加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rPr>
        <w:t>。</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hint="eastAsia" w:ascii="仿宋_GB2312" w:eastAsia="仿宋_GB2312"/>
          <w:color w:val="000000"/>
          <w:sz w:val="32"/>
          <w:szCs w:val="32"/>
          <w:lang w:eastAsia="zh-CN"/>
        </w:rPr>
        <w:t>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rPr>
          <w:rFonts w:hint="eastAsia" w:ascii="仿宋_GB2312" w:eastAsia="仿宋_GB2312"/>
          <w:color w:val="000000"/>
          <w:sz w:val="32"/>
          <w:szCs w:val="32"/>
          <w:lang w:val="en-US" w:eastAsia="zh-CN"/>
        </w:rPr>
      </w:pPr>
      <w:bookmarkStart w:id="130" w:name="_Toc15396610"/>
      <w:bookmarkStart w:id="131" w:name="_Toc15377218"/>
      <w:bookmarkStart w:id="132" w:name="_Toc27667"/>
      <w:bookmarkStart w:id="133" w:name="_Toc26072"/>
      <w:bookmarkStart w:id="134" w:name="_Toc11583"/>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201.27</w:t>
      </w:r>
      <w:r>
        <w:rPr>
          <w:rFonts w:hint="eastAsia" w:ascii="仿宋_GB2312" w:eastAsia="仿宋_GB2312"/>
          <w:color w:val="000000"/>
          <w:sz w:val="32"/>
          <w:szCs w:val="32"/>
        </w:rPr>
        <w:t>万元，完成预算</w:t>
      </w:r>
      <w:r>
        <w:rPr>
          <w:rFonts w:hint="eastAsia" w:ascii="仿宋_GB2312" w:eastAsia="仿宋_GB2312"/>
          <w:color w:val="000000"/>
          <w:sz w:val="32"/>
          <w:szCs w:val="32"/>
          <w:lang w:val="en-US" w:eastAsia="zh-CN"/>
        </w:rPr>
        <w:t>62.90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公务接待费201.27万元，较上年增加8.12万元，增加4.20%，增加的主要原因是主要原因是2021年新冠疫情的缓解，因此公务接待批／次、人／次有所上升。</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381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3427</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201.27</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rPr>
      </w:pPr>
      <w:bookmarkStart w:id="135" w:name="_Toc25115"/>
      <w:bookmarkStart w:id="136" w:name="_Toc13522"/>
      <w:bookmarkStart w:id="137" w:name="_Toc16183"/>
      <w:r>
        <w:rPr>
          <w:rFonts w:hint="eastAsia" w:ascii="仿宋" w:eastAsia="仿宋"/>
          <w:b/>
          <w:color w:val="000000"/>
          <w:sz w:val="32"/>
          <w:szCs w:val="32"/>
        </w:rPr>
        <w:t>外事接待支出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End w:id="135"/>
      <w:bookmarkEnd w:id="136"/>
      <w:bookmarkEnd w:id="137"/>
    </w:p>
    <w:p>
      <w:pPr>
        <w:spacing w:line="600" w:lineRule="exact"/>
        <w:ind w:firstLine="640"/>
        <w:outlineLvl w:val="1"/>
        <w:rPr>
          <w:rStyle w:val="18"/>
          <w:rFonts w:hint="eastAsia" w:ascii="黑体" w:eastAsia="黑体"/>
          <w:b w:val="0"/>
        </w:rPr>
      </w:pPr>
      <w:bookmarkStart w:id="138" w:name="_Toc21196"/>
      <w:bookmarkStart w:id="139" w:name="_Toc27086"/>
      <w:r>
        <w:rPr>
          <w:rStyle w:val="18"/>
          <w:rFonts w:hint="eastAsia" w:ascii="黑体" w:eastAsia="黑体"/>
          <w:b w:val="0"/>
        </w:rPr>
        <w:t>八、政府性基金预算支出决算情况说明</w:t>
      </w:r>
      <w:bookmarkEnd w:id="130"/>
      <w:bookmarkEnd w:id="131"/>
      <w:bookmarkEnd w:id="138"/>
    </w:p>
    <w:bookmarkEnd w:id="132"/>
    <w:bookmarkEnd w:id="133"/>
    <w:bookmarkEnd w:id="134"/>
    <w:bookmarkEnd w:id="139"/>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8"/>
          <w:rFonts w:ascii="黑体" w:eastAsia="黑体"/>
          <w:b w:val="0"/>
        </w:rPr>
      </w:pPr>
      <w:bookmarkStart w:id="140" w:name="_Toc15396611"/>
      <w:bookmarkStart w:id="141" w:name="_Toc2417"/>
      <w:bookmarkStart w:id="142" w:name="_Toc15377219"/>
      <w:bookmarkStart w:id="143" w:name="_Toc13305"/>
      <w:bookmarkStart w:id="144" w:name="_Toc12200"/>
      <w:bookmarkStart w:id="145" w:name="_Toc7769"/>
      <w:bookmarkStart w:id="146" w:name="_Toc5958"/>
      <w:r>
        <w:rPr>
          <w:rStyle w:val="18"/>
          <w:rFonts w:hint="eastAsia" w:ascii="黑体" w:eastAsia="黑体"/>
          <w:b w:val="0"/>
        </w:rPr>
        <w:t>国有资本经营预算支出决算情况说明</w:t>
      </w:r>
      <w:bookmarkEnd w:id="140"/>
      <w:bookmarkEnd w:id="141"/>
      <w:bookmarkEnd w:id="142"/>
    </w:p>
    <w:bookmarkEnd w:id="143"/>
    <w:bookmarkEnd w:id="144"/>
    <w:bookmarkEnd w:id="145"/>
    <w:bookmarkEnd w:id="146"/>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3"/>
        </w:numPr>
        <w:spacing w:line="580" w:lineRule="exact"/>
        <w:ind w:firstLineChars="0"/>
        <w:rPr>
          <w:rStyle w:val="18"/>
          <w:rFonts w:ascii="黑体" w:eastAsia="黑体"/>
          <w:b w:val="0"/>
        </w:rPr>
      </w:pPr>
      <w:bookmarkStart w:id="147" w:name="_Toc26917"/>
      <w:bookmarkStart w:id="148" w:name="_Toc14416"/>
      <w:bookmarkStart w:id="149" w:name="_Toc953"/>
      <w:bookmarkStart w:id="150" w:name="_Toc5045"/>
      <w:bookmarkStart w:id="151" w:name="_Toc179"/>
      <w:r>
        <w:rPr>
          <w:rStyle w:val="18"/>
          <w:rFonts w:hint="eastAsia" w:ascii="黑体" w:eastAsia="黑体"/>
          <w:b w:val="0"/>
        </w:rPr>
        <w:t>预算绩效情况说明</w:t>
      </w:r>
    </w:p>
    <w:bookmarkEnd w:id="147"/>
    <w:bookmarkEnd w:id="148"/>
    <w:bookmarkEnd w:id="149"/>
    <w:bookmarkEnd w:id="150"/>
    <w:bookmarkEnd w:id="151"/>
    <w:p>
      <w:pPr>
        <w:numPr>
          <w:ilvl w:val="0"/>
          <w:numId w:val="4"/>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rPr>
          <w:rFonts w:hint="eastAsia" w:ascii="Calibri" w:hAnsi="Calibri" w:eastAsia="仿宋_GB2312"/>
          <w:lang w:eastAsia="zh-CN"/>
        </w:rPr>
      </w:pPr>
      <w:r>
        <w:rPr>
          <w:rFonts w:hint="eastAsia" w:ascii="仿宋_GB2312" w:eastAsia="仿宋_GB2312" w:cs="仿宋_GB2312"/>
          <w:color w:val="FF0000"/>
          <w:sz w:val="32"/>
          <w:szCs w:val="32"/>
          <w:lang w:eastAsia="zh-CN"/>
        </w:rPr>
        <w:t>　　</w:t>
      </w:r>
      <w:r>
        <w:rPr>
          <w:rFonts w:hint="eastAsia" w:ascii="仿宋_GB2312" w:eastAsia="仿宋_GB2312" w:cs="仿宋_GB2312"/>
          <w:color w:val="auto"/>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单位在年初预算编制阶段，开展了预算事前绩效评估，编制了</w:t>
      </w:r>
      <w:r>
        <w:rPr>
          <w:rFonts w:hint="eastAsia" w:ascii="仿宋_GB2312" w:eastAsia="仿宋_GB2312" w:cs="仿宋_GB2312"/>
          <w:sz w:val="32"/>
          <w:szCs w:val="32"/>
          <w:lang w:eastAsia="zh-CN"/>
        </w:rPr>
        <w:t>部门整体</w:t>
      </w:r>
      <w:r>
        <w:rPr>
          <w:rFonts w:hint="eastAsia" w:ascii="仿宋_GB2312" w:eastAsia="仿宋_GB2312" w:cs="仿宋_GB2312"/>
          <w:sz w:val="32"/>
          <w:szCs w:val="32"/>
        </w:rPr>
        <w:t>绩效目标</w:t>
      </w:r>
      <w:r>
        <w:rPr>
          <w:rFonts w:hint="eastAsia" w:ascii="仿宋_GB2312" w:eastAsia="仿宋_GB2312" w:cs="仿宋_GB2312"/>
          <w:sz w:val="32"/>
          <w:szCs w:val="32"/>
          <w:lang w:eastAsia="zh-CN"/>
        </w:rPr>
        <w:t>。</w:t>
      </w:r>
    </w:p>
    <w:p>
      <w:pPr>
        <w:numPr>
          <w:ilvl w:val="0"/>
          <w:numId w:val="4"/>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w:t>
      </w:r>
      <w:r>
        <w:rPr>
          <w:rFonts w:hint="eastAsia" w:ascii="仿宋_GB2312" w:eastAsia="仿宋_GB2312" w:cs="仿宋_GB2312"/>
          <w:sz w:val="32"/>
          <w:szCs w:val="32"/>
        </w:rPr>
        <w:t>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金川县公务服务中心</w:t>
      </w:r>
      <w:r>
        <w:rPr>
          <w:rFonts w:hint="eastAsia" w:ascii="仿宋_GB2312" w:eastAsia="仿宋_GB2312"/>
          <w:sz w:val="32"/>
          <w:szCs w:val="32"/>
          <w:lang w:val="en-US" w:eastAsia="zh-CN"/>
        </w:rPr>
        <w:t>2022年</w:t>
      </w:r>
      <w:r>
        <w:rPr>
          <w:rFonts w:hint="eastAsia" w:ascii="仿宋_GB2312" w:eastAsia="仿宋_GB2312"/>
          <w:sz w:val="32"/>
          <w:szCs w:val="32"/>
        </w:rPr>
        <w:t>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152" w:name="_Toc15377221"/>
      <w:bookmarkStart w:id="153" w:name="_Toc15396612"/>
      <w:bookmarkStart w:id="154" w:name="_Toc2669"/>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152"/>
      <w:bookmarkEnd w:id="153"/>
      <w:bookmarkEnd w:id="154"/>
    </w:p>
    <w:p>
      <w:pPr>
        <w:spacing w:line="600" w:lineRule="exact"/>
        <w:ind w:firstLine="643" w:firstLineChars="200"/>
        <w:outlineLvl w:val="2"/>
        <w:rPr>
          <w:rFonts w:ascii="仿宋" w:eastAsia="仿宋"/>
          <w:color w:val="000000"/>
          <w:sz w:val="32"/>
          <w:szCs w:val="32"/>
        </w:rPr>
      </w:pPr>
      <w:bookmarkStart w:id="155" w:name="_Toc15377222"/>
      <w:bookmarkStart w:id="156" w:name="_Toc25882"/>
      <w:r>
        <w:rPr>
          <w:rFonts w:hint="eastAsia" w:ascii="仿宋" w:eastAsia="仿宋"/>
          <w:b/>
          <w:color w:val="000000"/>
          <w:sz w:val="32"/>
          <w:szCs w:val="32"/>
        </w:rPr>
        <w:t>（一）机关运行经费支出情况</w:t>
      </w:r>
      <w:bookmarkEnd w:id="155"/>
      <w:bookmarkEnd w:id="156"/>
    </w:p>
    <w:p>
      <w:pPr>
        <w:spacing w:line="600" w:lineRule="exact"/>
        <w:ind w:firstLine="640" w:firstLineChars="200"/>
        <w:rPr>
          <w:rFonts w:ascii="仿宋_GB2312" w:eastAsia="仿宋_GB2312"/>
          <w:color w:val="auto"/>
          <w:sz w:val="32"/>
          <w:szCs w:val="32"/>
          <w:lang w:val="en-US" w:eastAsia="zh-CN"/>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公务服务中心为事业单位，机关</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2020年增加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57" w:name="_Toc23145"/>
      <w:bookmarkStart w:id="158" w:name="_Toc15377223"/>
      <w:r>
        <w:rPr>
          <w:rFonts w:hint="eastAsia" w:ascii="仿宋" w:eastAsia="仿宋"/>
          <w:b/>
          <w:color w:val="000000"/>
          <w:sz w:val="32"/>
          <w:szCs w:val="32"/>
        </w:rPr>
        <w:t>（二）政府采购支出情况</w:t>
      </w:r>
      <w:bookmarkEnd w:id="157"/>
      <w:bookmarkEnd w:id="158"/>
    </w:p>
    <w:p>
      <w:pPr>
        <w:spacing w:line="600" w:lineRule="exact"/>
        <w:ind w:firstLine="640" w:firstLineChars="200"/>
        <w:rPr>
          <w:rFonts w:ascii="仿宋" w:eastAsia="仿宋"/>
          <w:b/>
          <w:color w:val="auto"/>
          <w:sz w:val="32"/>
          <w:szCs w:val="32"/>
          <w:lang w:val="en-US" w:eastAsia="zh-CN"/>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59" w:name="_Toc15377224"/>
      <w:bookmarkStart w:id="160" w:name="_Toc13674"/>
      <w:r>
        <w:rPr>
          <w:rFonts w:hint="eastAsia" w:ascii="仿宋" w:eastAsia="仿宋"/>
          <w:b/>
          <w:color w:val="000000"/>
          <w:sz w:val="32"/>
          <w:szCs w:val="32"/>
        </w:rPr>
        <w:t>（三）国有资产占有使用情况</w:t>
      </w:r>
      <w:bookmarkEnd w:id="159"/>
      <w:bookmarkEnd w:id="160"/>
    </w:p>
    <w:p>
      <w:pPr>
        <w:widowControl/>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jc w:val="left"/>
        <w:rPr>
          <w:rFonts w:hint="eastAsia" w:ascii="仿宋_GB2312" w:eastAsia="仿宋_GB2312"/>
          <w:b/>
          <w:color w:val="000000"/>
          <w:sz w:val="32"/>
          <w:szCs w:val="32"/>
          <w:lang w:val="en-US" w:eastAsia="zh-CN"/>
        </w:rPr>
      </w:pPr>
    </w:p>
    <w:p>
      <w:pPr>
        <w:numPr>
          <w:ilvl w:val="0"/>
          <w:numId w:val="5"/>
        </w:numPr>
        <w:spacing w:line="600" w:lineRule="exact"/>
        <w:ind w:left="0" w:firstLine="660" w:firstLineChars="150"/>
        <w:jc w:val="center"/>
        <w:outlineLvl w:val="0"/>
        <w:rPr>
          <w:rStyle w:val="17"/>
          <w:rFonts w:ascii="黑体" w:eastAsia="黑体"/>
          <w:b w:val="0"/>
        </w:rPr>
      </w:pPr>
      <w:bookmarkStart w:id="161" w:name="_Toc15396613"/>
      <w:bookmarkStart w:id="162" w:name="_Toc4580"/>
      <w:bookmarkStart w:id="163" w:name="_Toc15377225"/>
      <w:bookmarkStart w:id="164" w:name="_Toc31705"/>
      <w:bookmarkStart w:id="165" w:name="_Toc734"/>
      <w:r>
        <w:rPr>
          <w:rStyle w:val="17"/>
          <w:rFonts w:hint="eastAsia" w:ascii="黑体" w:eastAsia="黑体"/>
          <w:b w:val="0"/>
          <w:bCs w:val="0"/>
        </w:rPr>
        <w:t>名词</w:t>
      </w:r>
      <w:r>
        <w:rPr>
          <w:rStyle w:val="17"/>
          <w:rFonts w:hint="eastAsia" w:ascii="黑体" w:eastAsia="黑体"/>
          <w:b w:val="0"/>
        </w:rPr>
        <w:t>解释</w:t>
      </w:r>
      <w:bookmarkEnd w:id="161"/>
      <w:bookmarkEnd w:id="162"/>
      <w:bookmarkEnd w:id="163"/>
    </w:p>
    <w:bookmarkEnd w:id="164"/>
    <w:bookmarkEnd w:id="165"/>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一般公共服务支出（类）政府办公厅（室）及相关机构事务（款）事业运行（项）：指事业单位的基本支出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公共卫生</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突发公共卫生事件应急处理</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反映用于突发公共卫生事件应急处理的支出。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事业单位医疗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反映财政部门安排的事业单位基本医疗保险缴纳费经费，未参加医疗保险的事业单位的公费医疗经费，按照国家规定享受离休人员待遇的医疗经费。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166" w:name="_Toc15396614"/>
      <w:bookmarkStart w:id="167" w:name="_Toc15377226"/>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rPr>
      </w:pPr>
    </w:p>
    <w:p>
      <w:pPr>
        <w:numPr>
          <w:ilvl w:val="0"/>
          <w:numId w:val="5"/>
        </w:numPr>
        <w:spacing w:line="600" w:lineRule="exact"/>
        <w:ind w:left="0" w:firstLine="660" w:firstLineChars="150"/>
        <w:jc w:val="center"/>
        <w:outlineLvl w:val="0"/>
        <w:rPr>
          <w:rStyle w:val="17"/>
          <w:rFonts w:hint="eastAsia" w:ascii="黑体" w:eastAsia="黑体"/>
          <w:b w:val="0"/>
        </w:rPr>
      </w:pPr>
      <w:bookmarkStart w:id="168" w:name="_Toc26512"/>
      <w:bookmarkStart w:id="169" w:name="_Toc9035"/>
      <w:bookmarkStart w:id="170" w:name="_Toc27820"/>
      <w:bookmarkStart w:id="171" w:name="_Toc5876"/>
      <w:bookmarkStart w:id="172" w:name="_Toc17716"/>
      <w:r>
        <w:rPr>
          <w:rStyle w:val="17"/>
          <w:rFonts w:hint="eastAsia" w:ascii="黑体" w:eastAsia="黑体"/>
          <w:b w:val="0"/>
          <w:lang w:val="en-US"/>
        </w:rPr>
        <w:t>部门整体支出绩效报告</w:t>
      </w:r>
      <w:bookmarkEnd w:id="166"/>
      <w:bookmarkEnd w:id="168"/>
    </w:p>
    <w:bookmarkEnd w:id="169"/>
    <w:bookmarkEnd w:id="170"/>
    <w:bookmarkEnd w:id="171"/>
    <w:bookmarkEnd w:id="172"/>
    <w:p>
      <w:pPr>
        <w:widowControl/>
        <w:adjustRightInd w:val="0"/>
        <w:snapToGrid w:val="0"/>
        <w:spacing w:line="580" w:lineRule="exact"/>
        <w:contextualSpacing/>
        <w:jc w:val="left"/>
        <w:rPr>
          <w:rStyle w:val="17"/>
          <w:rFonts w:hint="eastAsia" w:ascii="仿宋" w:eastAsia="仿宋"/>
          <w:b w:val="0"/>
          <w:bCs w:val="0"/>
          <w:sz w:val="32"/>
          <w:szCs w:val="32"/>
        </w:rPr>
      </w:pPr>
      <w:bookmarkStart w:id="173" w:name="_Toc25503"/>
      <w:bookmarkStart w:id="174" w:name="_Toc22303"/>
      <w:r>
        <w:rPr>
          <w:rStyle w:val="17"/>
          <w:rFonts w:hint="eastAsia" w:ascii="仿宋" w:eastAsia="仿宋"/>
          <w:b w:val="0"/>
          <w:bCs w:val="0"/>
          <w:sz w:val="32"/>
          <w:szCs w:val="32"/>
        </w:rPr>
        <w:t>附件</w:t>
      </w:r>
      <w:bookmarkEnd w:id="173"/>
      <w:r>
        <w:rPr>
          <w:rStyle w:val="17"/>
          <w:rFonts w:hint="eastAsia" w:ascii="仿宋" w:eastAsia="仿宋"/>
          <w:b w:val="0"/>
          <w:bCs w:val="0"/>
          <w:sz w:val="32"/>
          <w:szCs w:val="32"/>
        </w:rPr>
        <w:t>：202</w:t>
      </w:r>
      <w:r>
        <w:rPr>
          <w:rStyle w:val="17"/>
          <w:rFonts w:ascii="仿宋" w:eastAsia="仿宋"/>
          <w:b w:val="0"/>
          <w:bCs w:val="0"/>
          <w:sz w:val="32"/>
          <w:szCs w:val="32"/>
        </w:rPr>
        <w:t>1</w:t>
      </w:r>
      <w:r>
        <w:rPr>
          <w:rStyle w:val="17"/>
          <w:rFonts w:hint="eastAsia" w:ascii="仿宋" w:eastAsia="仿宋"/>
          <w:b w:val="0"/>
          <w:bCs w:val="0"/>
          <w:sz w:val="32"/>
          <w:szCs w:val="32"/>
        </w:rPr>
        <w:t>年部门整体支出绩效报告</w:t>
      </w:r>
    </w:p>
    <w:bookmarkEnd w:id="174"/>
    <w:p>
      <w:pPr>
        <w:widowControl/>
        <w:adjustRightInd w:val="0"/>
        <w:snapToGrid w:val="0"/>
        <w:spacing w:line="580" w:lineRule="exact"/>
        <w:contextualSpacing/>
        <w:jc w:val="left"/>
        <w:rPr>
          <w:rStyle w:val="17"/>
          <w:rFonts w:hint="eastAsia" w:ascii="仿宋" w:eastAsia="仿宋"/>
          <w:b w:val="0"/>
          <w:bCs w:val="0"/>
          <w:sz w:val="32"/>
          <w:szCs w:val="32"/>
        </w:rPr>
      </w:pPr>
    </w:p>
    <w:bookmarkEnd w:id="167"/>
    <w:p>
      <w:pPr>
        <w:widowControl/>
        <w:spacing w:line="560" w:lineRule="exact"/>
        <w:jc w:val="center"/>
        <w:rPr>
          <w:rFonts w:hint="eastAsia" w:ascii="方正小标宋简体" w:eastAsia="方正小标宋简体" w:cs="方正小标宋简体"/>
          <w:sz w:val="44"/>
          <w:szCs w:val="44"/>
        </w:rPr>
      </w:pPr>
      <w:bookmarkStart w:id="175" w:name="_Toc15396618"/>
      <w:bookmarkStart w:id="176" w:name="_Toc15396619"/>
      <w:r>
        <w:rPr>
          <w:rFonts w:hint="eastAsia" w:ascii="方正小标宋简体" w:eastAsia="方正小标宋简体" w:cs="方正小标宋简体"/>
          <w:sz w:val="44"/>
          <w:szCs w:val="44"/>
        </w:rPr>
        <w:t>金川县公务服务中心</w:t>
      </w:r>
    </w:p>
    <w:p>
      <w:pPr>
        <w:widowControl/>
        <w:adjustRightInd w:val="0"/>
        <w:snapToGrid w:val="0"/>
        <w:spacing w:line="580" w:lineRule="exact"/>
        <w:contextualSpacing/>
        <w:jc w:val="center"/>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202</w:t>
      </w:r>
      <w:r>
        <w:rPr>
          <w:rFonts w:ascii="方正小标宋简体" w:eastAsia="方正小标宋简体" w:cs="方正小标宋简体"/>
          <w:sz w:val="44"/>
          <w:szCs w:val="44"/>
        </w:rPr>
        <w:t>1</w:t>
      </w:r>
      <w:r>
        <w:rPr>
          <w:rFonts w:hint="eastAsia" w:ascii="方正小标宋简体" w:eastAsia="方正小标宋简体" w:cs="方正小标宋简体"/>
          <w:sz w:val="44"/>
          <w:szCs w:val="44"/>
        </w:rPr>
        <w:t>年部门整体支出绩效报告</w:t>
      </w:r>
    </w:p>
    <w:p>
      <w:pPr>
        <w:widowControl/>
        <w:adjustRightInd w:val="0"/>
        <w:snapToGrid w:val="0"/>
        <w:spacing w:line="580" w:lineRule="exact"/>
        <w:ind w:firstLine="880" w:firstLineChars="200"/>
        <w:contextualSpacing/>
        <w:jc w:val="left"/>
        <w:rPr>
          <w:rFonts w:hint="eastAsia" w:ascii="方正小标宋简体" w:eastAsia="方正小标宋简体" w:cs="方正小标宋简体"/>
          <w:sz w:val="44"/>
          <w:szCs w:val="44"/>
        </w:rPr>
      </w:pPr>
    </w:p>
    <w:p>
      <w:pPr>
        <w:snapToGrid w:val="0"/>
        <w:spacing w:line="560" w:lineRule="exact"/>
        <w:rPr>
          <w:rFonts w:hint="eastAsia" w:ascii="方正小标宋简体" w:eastAsia="方正小标宋简体" w:cs="方正小标宋简体"/>
          <w:sz w:val="44"/>
          <w:szCs w:val="44"/>
        </w:rPr>
      </w:pPr>
      <w:r>
        <w:rPr>
          <w:rFonts w:hint="eastAsia" w:ascii="仿宋_GB2312" w:eastAsia="仿宋_GB2312"/>
          <w:bCs/>
          <w:color w:val="000000"/>
          <w:sz w:val="32"/>
          <w:szCs w:val="32"/>
        </w:rPr>
        <w:t>　</w:t>
      </w:r>
      <w:r>
        <w:rPr>
          <w:rFonts w:hint="eastAsia" w:ascii="仿宋_GB2312" w:hAnsi="仿宋_GB2312"/>
          <w:bCs/>
          <w:color w:val="000000"/>
          <w:sz w:val="32"/>
          <w:szCs w:val="32"/>
          <w:lang w:val="en-US" w:eastAsia="zh-CN"/>
        </w:rPr>
        <w:t xml:space="preserve">  </w:t>
      </w:r>
      <w:r>
        <w:rPr>
          <w:rFonts w:hint="eastAsia" w:ascii="仿宋_GB2312" w:eastAsia="仿宋_GB2312"/>
          <w:bCs/>
          <w:color w:val="000000"/>
          <w:sz w:val="32"/>
          <w:szCs w:val="32"/>
        </w:rPr>
        <w:t>根据《金川县财政局关于开展202</w:t>
      </w:r>
      <w:r>
        <w:rPr>
          <w:rFonts w:hint="eastAsia" w:ascii="仿宋_GB2312"/>
          <w:bCs/>
          <w:color w:val="000000"/>
          <w:sz w:val="32"/>
          <w:szCs w:val="32"/>
          <w:lang w:val="en-US" w:eastAsia="zh-CN"/>
        </w:rPr>
        <w:t>2</w:t>
      </w:r>
      <w:r>
        <w:rPr>
          <w:rFonts w:hint="eastAsia" w:ascii="仿宋_GB2312" w:eastAsia="仿宋_GB2312"/>
          <w:bCs/>
          <w:color w:val="000000"/>
          <w:sz w:val="32"/>
          <w:szCs w:val="32"/>
        </w:rPr>
        <w:t>年部门</w:t>
      </w:r>
      <w:r>
        <w:rPr>
          <w:rFonts w:hint="eastAsia" w:ascii="仿宋_GB2312"/>
          <w:bCs/>
          <w:color w:val="000000"/>
          <w:sz w:val="32"/>
          <w:szCs w:val="32"/>
          <w:lang w:eastAsia="zh-CN"/>
        </w:rPr>
        <w:t>整体</w:t>
      </w:r>
      <w:r>
        <w:rPr>
          <w:rFonts w:hint="eastAsia" w:ascii="仿宋_GB2312" w:eastAsia="仿宋_GB2312"/>
          <w:bCs/>
          <w:color w:val="000000"/>
          <w:sz w:val="32"/>
          <w:szCs w:val="32"/>
        </w:rPr>
        <w:t>和项目支出绩效评价工作的通知》（金财监绩</w:t>
      </w:r>
      <w:r>
        <w:rPr>
          <w:rFonts w:hint="eastAsia" w:ascii="宋体" w:hAnsi="宋体" w:eastAsia="宋体" w:cs="宋体"/>
          <w:bCs/>
          <w:color w:val="000000"/>
          <w:sz w:val="32"/>
          <w:szCs w:val="32"/>
        </w:rPr>
        <w:t>〔</w:t>
      </w:r>
      <w:r>
        <w:rPr>
          <w:rFonts w:hint="eastAsia" w:ascii="宋体" w:hAnsi="宋体" w:eastAsia="宋体" w:cs="宋体"/>
          <w:bCs/>
          <w:color w:val="000000"/>
          <w:sz w:val="32"/>
          <w:szCs w:val="32"/>
          <w:lang w:val="en-US" w:eastAsia="zh-CN"/>
        </w:rPr>
        <w:t>2022</w:t>
      </w:r>
      <w:r>
        <w:rPr>
          <w:rFonts w:hint="eastAsia" w:ascii="宋体" w:hAnsi="宋体" w:eastAsia="宋体" w:cs="宋体"/>
          <w:bCs/>
          <w:color w:val="000000"/>
          <w:sz w:val="32"/>
          <w:szCs w:val="32"/>
        </w:rPr>
        <w:t>〕</w:t>
      </w:r>
      <w:r>
        <w:rPr>
          <w:rFonts w:hint="eastAsia" w:ascii="仿宋_GB2312"/>
          <w:bCs/>
          <w:color w:val="000000"/>
          <w:sz w:val="32"/>
          <w:szCs w:val="32"/>
          <w:lang w:val="en-US" w:eastAsia="zh-CN"/>
        </w:rPr>
        <w:t>22</w:t>
      </w:r>
      <w:r>
        <w:rPr>
          <w:rFonts w:hint="eastAsia" w:ascii="仿宋_GB2312" w:eastAsia="仿宋_GB2312"/>
          <w:bCs/>
          <w:color w:val="000000"/>
          <w:sz w:val="32"/>
          <w:szCs w:val="32"/>
        </w:rPr>
        <w:t>号），为深入贯彻落实中央国务院和省政府关于全面实施预算绩效管理文件精神，按照财政部《项目支出绩效评价管理办法》（财预</w:t>
      </w:r>
      <w:r>
        <w:rPr>
          <w:rFonts w:hint="eastAsia" w:ascii="宋体" w:hAnsi="宋体" w:eastAsia="宋体" w:cs="宋体"/>
          <w:bCs/>
          <w:color w:val="000000"/>
          <w:sz w:val="32"/>
          <w:szCs w:val="32"/>
        </w:rPr>
        <w:t>〔</w:t>
      </w:r>
      <w:r>
        <w:rPr>
          <w:rFonts w:hint="eastAsia" w:ascii="宋体" w:hAnsi="宋体" w:eastAsia="宋体" w:cs="宋体"/>
          <w:bCs/>
          <w:color w:val="000000"/>
          <w:sz w:val="32"/>
          <w:szCs w:val="32"/>
          <w:lang w:val="en-US" w:eastAsia="zh-CN"/>
        </w:rPr>
        <w:t>2020</w:t>
      </w:r>
      <w:r>
        <w:rPr>
          <w:rFonts w:hint="eastAsia" w:ascii="宋体" w:hAnsi="宋体" w:eastAsia="宋体" w:cs="宋体"/>
          <w:bCs/>
          <w:color w:val="000000"/>
          <w:sz w:val="32"/>
          <w:szCs w:val="32"/>
        </w:rPr>
        <w:t>〕</w:t>
      </w:r>
      <w:r>
        <w:rPr>
          <w:rFonts w:hint="eastAsia" w:ascii="仿宋_GB2312" w:eastAsia="仿宋_GB2312"/>
          <w:bCs/>
          <w:color w:val="000000"/>
          <w:sz w:val="32"/>
          <w:szCs w:val="32"/>
        </w:rPr>
        <w:t>10号），《财政厅关于开展202</w:t>
      </w:r>
      <w:r>
        <w:rPr>
          <w:rFonts w:hint="eastAsia" w:ascii="仿宋_GB2312"/>
          <w:bCs/>
          <w:color w:val="000000"/>
          <w:sz w:val="32"/>
          <w:szCs w:val="32"/>
          <w:lang w:val="en-US" w:eastAsia="zh-CN"/>
        </w:rPr>
        <w:t>2</w:t>
      </w:r>
      <w:r>
        <w:rPr>
          <w:rFonts w:hint="eastAsia" w:ascii="仿宋_GB2312" w:eastAsia="仿宋_GB2312"/>
          <w:bCs/>
          <w:color w:val="000000"/>
          <w:sz w:val="32"/>
          <w:szCs w:val="32"/>
        </w:rPr>
        <w:t>年部门、政策和项目支出绩效评价工作的通知》等文件，202</w:t>
      </w:r>
      <w:r>
        <w:rPr>
          <w:rFonts w:hint="eastAsia" w:ascii="仿宋_GB2312"/>
          <w:bCs/>
          <w:color w:val="000000"/>
          <w:sz w:val="32"/>
          <w:szCs w:val="32"/>
          <w:lang w:val="en-US" w:eastAsia="zh-CN"/>
        </w:rPr>
        <w:t>1</w:t>
      </w:r>
      <w:r>
        <w:rPr>
          <w:rFonts w:hint="eastAsia" w:ascii="仿宋_GB2312" w:eastAsia="仿宋_GB2312"/>
          <w:bCs/>
          <w:color w:val="000000"/>
          <w:sz w:val="32"/>
          <w:szCs w:val="32"/>
        </w:rPr>
        <w:t>年我单位开展部门整体支出绩效工作报告如下：</w:t>
      </w:r>
    </w:p>
    <w:p>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560" w:lineRule="exact"/>
        <w:ind w:firstLine="720"/>
        <w:jc w:val="left"/>
        <w:rPr>
          <w:rFonts w:hint="eastAsia" w:ascii="仿宋_GB2312" w:hAnsi="仿宋_GB2312" w:cs="宋体"/>
          <w:color w:val="000000"/>
          <w:kern w:val="0"/>
          <w:szCs w:val="32"/>
          <w:shd w:val="clear" w:color="auto" w:fill="FFFFFF"/>
          <w:lang w:val="zh-CN"/>
        </w:rPr>
      </w:pPr>
      <w:r>
        <w:rPr>
          <w:rFonts w:hint="eastAsia" w:ascii="仿宋_GB2312" w:eastAsia="仿宋_GB2312" w:cs="仿宋_GB2312"/>
          <w:color w:val="000000"/>
          <w:kern w:val="0"/>
          <w:sz w:val="32"/>
          <w:szCs w:val="32"/>
          <w:lang w:val="zh-CN"/>
        </w:rPr>
        <w:t>根据（金委办发</w:t>
      </w:r>
      <w:r>
        <w:rPr>
          <w:rFonts w:hint="eastAsia" w:ascii="宋体" w:cs="宋体"/>
          <w:color w:val="000000"/>
          <w:kern w:val="0"/>
          <w:sz w:val="32"/>
          <w:szCs w:val="32"/>
          <w:lang w:val="zh-CN"/>
        </w:rPr>
        <w:t>〔</w:t>
      </w:r>
      <w:r>
        <w:rPr>
          <w:rFonts w:hint="eastAsia" w:ascii="宋体" w:cs="宋体"/>
          <w:color w:val="000000"/>
          <w:kern w:val="0"/>
          <w:sz w:val="32"/>
          <w:szCs w:val="32"/>
        </w:rPr>
        <w:t>2019）96号</w:t>
      </w:r>
      <w:r>
        <w:rPr>
          <w:rFonts w:hint="eastAsia" w:ascii="仿宋_GB2312" w:eastAsia="仿宋_GB2312" w:cs="仿宋_GB2312"/>
          <w:color w:val="000000"/>
          <w:kern w:val="0"/>
          <w:sz w:val="32"/>
          <w:szCs w:val="32"/>
          <w:lang w:val="zh-CN"/>
        </w:rPr>
        <w:t>）《关于印发〈金川县公务服务中心职配置、内设机构人员编制规定〉的通知》</w:t>
      </w:r>
      <w:r>
        <w:rPr>
          <w:rFonts w:hint="eastAsia" w:ascii="仿宋_GB2312" w:eastAsia="仿宋_GB2312" w:cs="仿宋_GB2312"/>
          <w:color w:val="000000"/>
          <w:kern w:val="0"/>
          <w:sz w:val="32"/>
          <w:szCs w:val="32"/>
        </w:rPr>
        <w:t>内设办公室、公共机构节能及后勤服务股、公务服务一股、公务服务二股为</w:t>
      </w:r>
      <w:r>
        <w:rPr>
          <w:rFonts w:hint="eastAsia" w:ascii="仿宋_GB2312" w:eastAsia="仿宋_GB2312" w:cs="仿宋_GB2312"/>
          <w:color w:val="000000"/>
          <w:kern w:val="0"/>
          <w:sz w:val="32"/>
          <w:szCs w:val="32"/>
          <w:lang w:val="zh-CN"/>
        </w:rPr>
        <w:t>县级一级预算单位</w:t>
      </w:r>
      <w:r>
        <w:rPr>
          <w:rFonts w:hint="eastAsia" w:ascii="仿宋_GB2312" w:eastAsia="仿宋_GB2312" w:cs="仿宋_GB2312"/>
          <w:color w:val="000000"/>
          <w:kern w:val="0"/>
          <w:sz w:val="32"/>
          <w:szCs w:val="32"/>
        </w:rPr>
        <w:t xml:space="preserve"> 。</w:t>
      </w:r>
    </w:p>
    <w:p>
      <w:pPr>
        <w:widowControl/>
        <w:numPr>
          <w:ilvl w:val="0"/>
          <w:numId w:val="6"/>
        </w:numPr>
        <w:adjustRightInd w:val="0"/>
        <w:snapToGrid w:val="0"/>
        <w:spacing w:line="580" w:lineRule="exact"/>
        <w:ind w:left="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机构职能。</w:t>
      </w:r>
    </w:p>
    <w:p>
      <w:pPr>
        <w:snapToGrid w:val="0"/>
        <w:spacing w:line="560" w:lineRule="exact"/>
        <w:rPr>
          <w:rFonts w:hint="eastAsia" w:ascii="仿宋_GB2312" w:eastAsia="仿宋_GB2312"/>
          <w:bCs/>
          <w:color w:val="000000"/>
          <w:sz w:val="32"/>
          <w:szCs w:val="32"/>
        </w:rPr>
      </w:pPr>
      <w:r>
        <w:rPr>
          <w:rFonts w:hint="eastAsia" w:ascii="仿宋_GB2312" w:hAnsi="仿宋_GB2312"/>
          <w:bCs/>
          <w:color w:val="000000"/>
          <w:sz w:val="32"/>
          <w:szCs w:val="32"/>
          <w:lang w:eastAsia="zh-CN"/>
        </w:rPr>
        <w:t>　　</w:t>
      </w:r>
      <w:r>
        <w:rPr>
          <w:rFonts w:hint="eastAsia" w:ascii="仿宋_GB2312" w:eastAsia="仿宋_GB2312"/>
          <w:bCs/>
          <w:color w:val="000000"/>
          <w:sz w:val="32"/>
          <w:szCs w:val="32"/>
        </w:rPr>
        <w:t>县公务服务中心设下列内设机构：</w:t>
      </w:r>
    </w:p>
    <w:p>
      <w:pPr>
        <w:snapToGrid w:val="0"/>
        <w:spacing w:line="560" w:lineRule="exact"/>
        <w:rPr>
          <w:rFonts w:hint="eastAsia" w:ascii="仿宋_GB2312" w:eastAsia="仿宋_GB2312"/>
          <w:bCs/>
          <w:color w:val="000000"/>
          <w:sz w:val="32"/>
          <w:szCs w:val="32"/>
        </w:rPr>
      </w:pPr>
      <w:r>
        <w:rPr>
          <w:rFonts w:hint="eastAsia" w:ascii="仿宋_GB2312" w:hAnsi="仿宋_GB2312"/>
          <w:bCs/>
          <w:color w:val="000000"/>
          <w:sz w:val="32"/>
          <w:szCs w:val="32"/>
          <w:lang w:eastAsia="zh-CN"/>
        </w:rPr>
        <w:t>　　</w:t>
      </w:r>
      <w:r>
        <w:rPr>
          <w:rFonts w:hint="eastAsia" w:ascii="仿宋_GB2312" w:eastAsia="仿宋_GB2312"/>
          <w:bCs/>
          <w:color w:val="000000"/>
          <w:sz w:val="32"/>
          <w:szCs w:val="32"/>
        </w:rPr>
        <w:t>办公室。承担机关政务工作，制定工作制度。负责文电、会务、机要、文印、档案、信息、保密、信访、督查、依法行政、绩效管理、政务公开、政府采购、内控管理、固定资产管理等机关日常运转工作。承担意识形态、精神文明、政务公开、综合性文稿起草和史志编纂、干部教育培训、离退休人员管理、车辆管理、网络信息化建设工作。承担本单位行政后勤、人事、机构编制工作。组织开展公务服务对外宣传交流有关事务。组织办理人大代表建议、政协委员提案办理工作。</w:t>
      </w:r>
    </w:p>
    <w:p>
      <w:pPr>
        <w:snapToGrid w:val="0"/>
        <w:spacing w:line="560" w:lineRule="exact"/>
        <w:rPr>
          <w:rFonts w:hint="eastAsia" w:ascii="仿宋_GB2312" w:eastAsia="仿宋_GB2312"/>
          <w:bCs/>
          <w:color w:val="000000"/>
          <w:sz w:val="32"/>
          <w:szCs w:val="32"/>
        </w:rPr>
      </w:pPr>
      <w:r>
        <w:rPr>
          <w:rFonts w:hint="eastAsia" w:ascii="仿宋_GB2312" w:hAnsi="仿宋_GB2312"/>
          <w:bCs/>
          <w:color w:val="000000"/>
          <w:sz w:val="32"/>
          <w:szCs w:val="32"/>
          <w:lang w:eastAsia="zh-CN"/>
        </w:rPr>
        <w:t>　　</w:t>
      </w:r>
      <w:r>
        <w:rPr>
          <w:rFonts w:hint="eastAsia" w:ascii="仿宋_GB2312" w:eastAsia="仿宋_GB2312"/>
          <w:bCs/>
          <w:color w:val="000000"/>
          <w:sz w:val="32"/>
          <w:szCs w:val="32"/>
        </w:rPr>
        <w:t>公共机构节能及后勤服务股。负责会同相关部门提出县直机关周转房的需求及建设计划。负责起草县直机关后勤服务管理制度并实施。负责起草县直机关后勤服务项目和标准。负责县直机关周转房分配方案，做好周转房分配、管理、维修、维护、物业管理等后勤保障工作。负责县直机关周转房安全（制定防火、防盗等安全预案）、环境卫生、绿化、美化、水电气保障等工作。</w:t>
      </w:r>
    </w:p>
    <w:p>
      <w:pPr>
        <w:snapToGrid w:val="0"/>
        <w:spacing w:line="56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负责推进、指导、协调、监督全县公共机构节能日常事务。会同有关部门起草县直机关公共机构节能规划、年度改造计划、规章制度并组织实施。会同相关部门起草公共机构能源消耗支出标准，确定县直机关公共机构能源消耗定额，组织全县公共机构开展能源统计和能耗审计、监测和评价考核日常工作。负责全县公共机构节能目标考核日常工作。指导各乡镇、县级各部门公共机构节能工作。</w:t>
      </w:r>
    </w:p>
    <w:p>
      <w:pPr>
        <w:snapToGrid w:val="0"/>
        <w:spacing w:line="560" w:lineRule="exact"/>
        <w:rPr>
          <w:rFonts w:hint="eastAsia" w:ascii="仿宋_GB2312" w:eastAsia="仿宋_GB2312"/>
          <w:bCs/>
          <w:color w:val="000000"/>
          <w:sz w:val="32"/>
          <w:szCs w:val="32"/>
        </w:rPr>
      </w:pPr>
      <w:r>
        <w:rPr>
          <w:rFonts w:hint="eastAsia" w:ascii="仿宋_GB2312" w:hAnsi="仿宋_GB2312"/>
          <w:bCs/>
          <w:color w:val="000000"/>
          <w:sz w:val="32"/>
          <w:szCs w:val="32"/>
          <w:lang w:eastAsia="zh-CN"/>
        </w:rPr>
        <w:t>　　</w:t>
      </w:r>
      <w:r>
        <w:rPr>
          <w:rFonts w:hint="eastAsia" w:ascii="仿宋_GB2312" w:eastAsia="仿宋_GB2312"/>
          <w:bCs/>
          <w:color w:val="000000"/>
          <w:sz w:val="32"/>
          <w:szCs w:val="32"/>
        </w:rPr>
        <w:t>公务服务一股。承担中央、中央军委领导同志、全国人大常委、省委、省人大常委会、州委、州人大常委领导同志来县的服务保障；承担外省（区、市、州、县）党委代表团和党委领导干部、外省（区、市、州、县）人大常委会领导同志来县的服务保障；参与由县人大常委会办公室牵头对口接待全国人大、省人大、州人大常委会和外省（区、市、州、县）人大常委会领导干部来县的服务保障；会同县委有关部门、群团组织承担中央、省、州部委、群团组织领导干部来县的服务保障；负责或参与县委领导带队的代表团赴外省（区、市、州、县）考察的协调联络和服务保障；参与县委、县人大常委会大型会议、活动的接待服务保障工作。按照有关规定负责和参与中央、省、州巡视、检查、督查（督导、督察）、考察、调研、考核、审计等工作组来县的服务保障。负责县委交办的由县公务服务中心承担的外事接待和招商引资事项的服务保障。</w:t>
      </w:r>
    </w:p>
    <w:p>
      <w:pPr>
        <w:snapToGrid w:val="0"/>
        <w:spacing w:line="560" w:lineRule="exact"/>
        <w:rPr>
          <w:rFonts w:hint="eastAsia" w:ascii="仿宋_GB2312" w:hAnsi="仿宋_GB2312" w:cs="宋体"/>
          <w:color w:val="000000"/>
          <w:kern w:val="0"/>
          <w:szCs w:val="32"/>
          <w:shd w:val="clear" w:color="auto" w:fill="FFFFFF"/>
          <w:lang w:val="zh-CN"/>
        </w:rPr>
      </w:pPr>
      <w:r>
        <w:rPr>
          <w:rFonts w:hint="eastAsia" w:ascii="仿宋_GB2312" w:hAnsi="仿宋_GB2312"/>
          <w:bCs/>
          <w:color w:val="000000"/>
          <w:sz w:val="32"/>
          <w:szCs w:val="32"/>
          <w:lang w:eastAsia="zh-CN"/>
        </w:rPr>
        <w:t>　　</w:t>
      </w:r>
      <w:r>
        <w:rPr>
          <w:rFonts w:hint="eastAsia" w:ascii="仿宋_GB2312" w:eastAsia="仿宋_GB2312"/>
          <w:bCs/>
          <w:color w:val="000000"/>
          <w:sz w:val="32"/>
          <w:szCs w:val="32"/>
        </w:rPr>
        <w:t>公务服务二股。承担国务院领导同志来县的服务保障；承担国务院部委、司（局）、处领导干部来县的服务保障；承担省政府领导同志和省级部门厅、处领导干部来县的服务保障；承担州政府领导和州级部门领导干部来县的服务保障；承担外省（区、市、州、县）政府代表团和政府领导干部来县的服务保障；负责或参与县政府领导带队的代表团赴外省（区、市、州、县）考察的协调联络和服务保障；负责或参与县政府大型会议、活动的接待服务保障工作；承担全国政协、省、州政协领导同志和最高人民法院、最高人民检察院、省高级人民法院、省人民检察院、州中级人民法院、州人民检察院领导同志及外省（区、市、州、县）政协领导干部来县的服务保障；按照有关规定负责或参与国务院巡视、检查、督查（督导、督察）、考察、调研、考核、审计等工作组来县的服务保障。负责县政府交办的由县公务服务中心承担的外事接待和招商引资事项的服务保障。</w:t>
      </w:r>
    </w:p>
    <w:p>
      <w:pPr>
        <w:widowControl/>
        <w:numPr>
          <w:ilvl w:val="0"/>
          <w:numId w:val="6"/>
        </w:numPr>
        <w:adjustRightInd w:val="0"/>
        <w:snapToGrid w:val="0"/>
        <w:spacing w:line="580" w:lineRule="exact"/>
        <w:ind w:left="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人员概况。</w:t>
      </w:r>
    </w:p>
    <w:p>
      <w:pPr>
        <w:snapToGrid w:val="0"/>
        <w:spacing w:line="56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 xml:space="preserve">独立编制单位机构数为 </w:t>
      </w:r>
      <w:r>
        <w:rPr>
          <w:rFonts w:hint="eastAsia" w:ascii="仿宋_GB2312" w:eastAsia="仿宋_GB2312"/>
          <w:bCs/>
          <w:color w:val="000000"/>
          <w:sz w:val="32"/>
          <w:szCs w:val="32"/>
        </w:rPr>
        <w:t>1</w:t>
      </w:r>
      <w:r>
        <w:rPr>
          <w:rFonts w:hint="eastAsia" w:ascii="仿宋_GB2312" w:eastAsia="仿宋_GB2312"/>
          <w:bCs/>
          <w:color w:val="000000"/>
          <w:sz w:val="32"/>
          <w:szCs w:val="32"/>
          <w:lang w:val="zh-CN"/>
        </w:rPr>
        <w:t xml:space="preserve">个，财政供养人员编制为 </w:t>
      </w:r>
      <w:r>
        <w:rPr>
          <w:rFonts w:hint="eastAsia" w:ascii="仿宋_GB2312" w:eastAsia="仿宋_GB2312"/>
          <w:bCs/>
          <w:color w:val="000000"/>
          <w:sz w:val="32"/>
          <w:szCs w:val="32"/>
        </w:rPr>
        <w:t>9</w:t>
      </w:r>
      <w:r>
        <w:rPr>
          <w:rFonts w:hint="eastAsia" w:ascii="仿宋_GB2312" w:eastAsia="仿宋_GB2312"/>
          <w:bCs/>
          <w:color w:val="000000"/>
          <w:sz w:val="32"/>
          <w:szCs w:val="32"/>
          <w:lang w:val="zh-CN"/>
        </w:rPr>
        <w:t xml:space="preserve">名，其中行政编制 </w:t>
      </w:r>
      <w:r>
        <w:rPr>
          <w:rFonts w:hint="eastAsia" w:ascii="仿宋_GB2312" w:eastAsia="仿宋_GB2312"/>
          <w:bCs/>
          <w:color w:val="000000"/>
          <w:sz w:val="32"/>
          <w:szCs w:val="32"/>
        </w:rPr>
        <w:t>0</w:t>
      </w:r>
      <w:r>
        <w:rPr>
          <w:rFonts w:hint="eastAsia" w:ascii="仿宋_GB2312" w:eastAsia="仿宋_GB2312"/>
          <w:bCs/>
          <w:color w:val="000000"/>
          <w:sz w:val="32"/>
          <w:szCs w:val="32"/>
          <w:lang w:val="zh-CN"/>
        </w:rPr>
        <w:t xml:space="preserve">名，行政工勤编制 </w:t>
      </w:r>
      <w:r>
        <w:rPr>
          <w:rFonts w:hint="eastAsia" w:ascii="仿宋_GB2312" w:eastAsia="仿宋_GB2312"/>
          <w:bCs/>
          <w:color w:val="000000"/>
          <w:sz w:val="32"/>
          <w:szCs w:val="32"/>
        </w:rPr>
        <w:t>0</w:t>
      </w:r>
      <w:r>
        <w:rPr>
          <w:rFonts w:hint="eastAsia" w:ascii="仿宋_GB2312" w:eastAsia="仿宋_GB2312"/>
          <w:bCs/>
          <w:color w:val="000000"/>
          <w:sz w:val="32"/>
          <w:szCs w:val="32"/>
          <w:lang w:val="zh-CN"/>
        </w:rPr>
        <w:t xml:space="preserve">名，事业编制 </w:t>
      </w:r>
      <w:r>
        <w:rPr>
          <w:rFonts w:hint="eastAsia" w:ascii="仿宋_GB2312" w:eastAsia="仿宋_GB2312"/>
          <w:bCs/>
          <w:color w:val="000000"/>
          <w:sz w:val="32"/>
          <w:szCs w:val="32"/>
        </w:rPr>
        <w:t>9</w:t>
      </w:r>
      <w:r>
        <w:rPr>
          <w:rFonts w:hint="eastAsia" w:ascii="仿宋_GB2312" w:eastAsia="仿宋_GB2312"/>
          <w:bCs/>
          <w:color w:val="000000"/>
          <w:sz w:val="32"/>
          <w:szCs w:val="32"/>
          <w:lang w:val="zh-CN"/>
        </w:rPr>
        <w:t xml:space="preserve">名。实际财政供养人员 </w:t>
      </w:r>
      <w:r>
        <w:rPr>
          <w:rFonts w:hint="eastAsia" w:ascii="仿宋_GB2312" w:eastAsia="仿宋_GB2312"/>
          <w:bCs/>
          <w:color w:val="000000"/>
          <w:sz w:val="32"/>
          <w:szCs w:val="32"/>
        </w:rPr>
        <w:t>7</w:t>
      </w:r>
      <w:r>
        <w:rPr>
          <w:rFonts w:hint="eastAsia" w:ascii="仿宋_GB2312" w:eastAsia="仿宋_GB2312"/>
          <w:bCs/>
          <w:color w:val="000000"/>
          <w:sz w:val="32"/>
          <w:szCs w:val="32"/>
          <w:lang w:val="zh-CN"/>
        </w:rPr>
        <w:t xml:space="preserve">人，其中：行政 </w:t>
      </w:r>
      <w:r>
        <w:rPr>
          <w:rFonts w:hint="eastAsia" w:ascii="仿宋_GB2312" w:eastAsia="仿宋_GB2312"/>
          <w:bCs/>
          <w:color w:val="000000"/>
          <w:sz w:val="32"/>
          <w:szCs w:val="32"/>
        </w:rPr>
        <w:t>0</w:t>
      </w:r>
      <w:r>
        <w:rPr>
          <w:rFonts w:hint="eastAsia" w:ascii="仿宋_GB2312" w:eastAsia="仿宋_GB2312"/>
          <w:bCs/>
          <w:color w:val="000000"/>
          <w:sz w:val="32"/>
          <w:szCs w:val="32"/>
          <w:lang w:val="zh-CN"/>
        </w:rPr>
        <w:t xml:space="preserve">人，行政工勤 </w:t>
      </w:r>
      <w:r>
        <w:rPr>
          <w:rFonts w:hint="eastAsia" w:ascii="仿宋_GB2312" w:eastAsia="仿宋_GB2312"/>
          <w:bCs/>
          <w:color w:val="000000"/>
          <w:sz w:val="32"/>
          <w:szCs w:val="32"/>
        </w:rPr>
        <w:t>0</w:t>
      </w:r>
      <w:r>
        <w:rPr>
          <w:rFonts w:hint="eastAsia" w:ascii="仿宋_GB2312" w:eastAsia="仿宋_GB2312"/>
          <w:bCs/>
          <w:color w:val="000000"/>
          <w:sz w:val="32"/>
          <w:szCs w:val="32"/>
          <w:lang w:val="zh-CN"/>
        </w:rPr>
        <w:t>人， 事业</w:t>
      </w:r>
      <w:r>
        <w:rPr>
          <w:rFonts w:hint="eastAsia" w:ascii="仿宋_GB2312" w:eastAsia="仿宋_GB2312"/>
          <w:bCs/>
          <w:color w:val="000000"/>
          <w:sz w:val="32"/>
          <w:szCs w:val="32"/>
        </w:rPr>
        <w:t>7</w:t>
      </w:r>
      <w:r>
        <w:rPr>
          <w:rFonts w:hint="eastAsia" w:ascii="仿宋_GB2312" w:eastAsia="仿宋_GB2312"/>
          <w:bCs/>
          <w:color w:val="000000"/>
          <w:sz w:val="32"/>
          <w:szCs w:val="32"/>
          <w:lang w:val="zh-CN"/>
        </w:rPr>
        <w:t xml:space="preserve"> 人。</w:t>
      </w:r>
    </w:p>
    <w:p>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60" w:lineRule="exact"/>
        <w:ind w:firstLine="720"/>
        <w:jc w:val="left"/>
        <w:rPr>
          <w:rFonts w:hint="eastAsia" w:ascii="仿宋_GB2312" w:eastAsia="仿宋_GB2312" w:cs="仿宋_GB2312"/>
          <w:color w:val="FF0000"/>
          <w:kern w:val="0"/>
          <w:sz w:val="32"/>
          <w:szCs w:val="32"/>
        </w:rPr>
      </w:pPr>
      <w:r>
        <w:rPr>
          <w:rFonts w:hint="eastAsia" w:ascii="仿宋_GB2312" w:eastAsia="仿宋_GB2312" w:cs="仿宋_GB2312"/>
          <w:color w:val="auto"/>
          <w:kern w:val="0"/>
          <w:sz w:val="32"/>
          <w:szCs w:val="32"/>
        </w:rPr>
        <w:t>1、</w:t>
      </w:r>
      <w:r>
        <w:rPr>
          <w:rFonts w:hint="eastAsia" w:ascii="仿宋_GB2312" w:eastAsia="仿宋_GB2312" w:cs="仿宋_GB2312"/>
          <w:color w:val="auto"/>
          <w:kern w:val="0"/>
          <w:sz w:val="32"/>
          <w:szCs w:val="32"/>
          <w:lang w:val="zh-CN"/>
        </w:rPr>
        <w:t>20</w:t>
      </w:r>
      <w:r>
        <w:rPr>
          <w:rFonts w:hint="eastAsia" w:ascii="仿宋_GB2312" w:eastAsia="仿宋_GB2312" w:cs="仿宋_GB2312"/>
          <w:color w:val="auto"/>
          <w:kern w:val="0"/>
          <w:sz w:val="32"/>
          <w:szCs w:val="32"/>
        </w:rPr>
        <w:t>2</w:t>
      </w:r>
      <w:r>
        <w:rPr>
          <w:rFonts w:hint="eastAsia" w:ascii="仿宋_GB2312" w:hAnsi="仿宋_GB2312" w:cs="仿宋_GB2312"/>
          <w:color w:val="auto"/>
          <w:kern w:val="0"/>
          <w:sz w:val="32"/>
          <w:szCs w:val="32"/>
          <w:lang w:val="en-US" w:eastAsia="zh-CN"/>
        </w:rPr>
        <w:t>1</w:t>
      </w:r>
      <w:r>
        <w:rPr>
          <w:rFonts w:hint="eastAsia" w:ascii="仿宋_GB2312" w:eastAsia="仿宋_GB2312" w:cs="仿宋_GB2312"/>
          <w:color w:val="auto"/>
          <w:kern w:val="0"/>
          <w:sz w:val="32"/>
          <w:szCs w:val="32"/>
          <w:lang w:val="zh-CN"/>
        </w:rPr>
        <w:t>年县公务服务中心本年收入合计</w:t>
      </w:r>
      <w:r>
        <w:rPr>
          <w:rFonts w:hint="eastAsia" w:ascii="仿宋_GB2312" w:hAnsi="仿宋_GB2312" w:cs="仿宋_GB2312"/>
          <w:color w:val="auto"/>
          <w:kern w:val="0"/>
          <w:sz w:val="32"/>
          <w:szCs w:val="32"/>
          <w:lang w:val="en-US" w:eastAsia="zh-CN"/>
        </w:rPr>
        <w:t>350.67</w:t>
      </w:r>
      <w:r>
        <w:rPr>
          <w:rFonts w:hint="eastAsia" w:ascii="仿宋_GB2312" w:eastAsia="仿宋_GB2312" w:cs="仿宋_GB2312"/>
          <w:color w:val="auto"/>
          <w:kern w:val="0"/>
          <w:sz w:val="32"/>
          <w:szCs w:val="32"/>
          <w:lang w:val="zh-CN"/>
        </w:rPr>
        <w:t>万元，财政拨款收入</w:t>
      </w:r>
      <w:r>
        <w:rPr>
          <w:rFonts w:hint="eastAsia" w:ascii="仿宋_GB2312" w:hAnsi="仿宋_GB2312" w:cs="仿宋_GB2312"/>
          <w:color w:val="auto"/>
          <w:kern w:val="0"/>
          <w:sz w:val="32"/>
          <w:szCs w:val="32"/>
          <w:lang w:val="en-US" w:eastAsia="zh-CN"/>
        </w:rPr>
        <w:t>350.67</w:t>
      </w:r>
      <w:r>
        <w:rPr>
          <w:rFonts w:hint="eastAsia" w:ascii="仿宋_GB2312" w:eastAsia="仿宋_GB2312" w:cs="仿宋_GB2312"/>
          <w:color w:val="auto"/>
          <w:kern w:val="0"/>
          <w:sz w:val="32"/>
          <w:szCs w:val="32"/>
          <w:lang w:val="zh-CN"/>
        </w:rPr>
        <w:t>万元</w:t>
      </w:r>
      <w:r>
        <w:rPr>
          <w:rFonts w:hint="eastAsia" w:ascii="仿宋_GB2312" w:eastAsia="仿宋_GB2312" w:cs="仿宋_GB2312"/>
          <w:color w:val="auto"/>
          <w:kern w:val="0"/>
          <w:sz w:val="32"/>
          <w:szCs w:val="32"/>
        </w:rPr>
        <w:t>,年初结转和结余0万元</w:t>
      </w:r>
      <w:r>
        <w:rPr>
          <w:rFonts w:hint="eastAsia" w:ascii="仿宋_GB2312" w:eastAsia="仿宋_GB2312" w:cs="仿宋_GB2312"/>
          <w:color w:val="auto"/>
          <w:kern w:val="0"/>
          <w:sz w:val="32"/>
          <w:szCs w:val="32"/>
          <w:lang w:val="zh-CN"/>
        </w:rPr>
        <w:t>：其中人员经费收入</w:t>
      </w:r>
      <w:r>
        <w:rPr>
          <w:rFonts w:hint="eastAsia" w:ascii="仿宋_GB2312" w:hAnsi="仿宋_GB2312" w:cs="仿宋_GB2312"/>
          <w:color w:val="auto"/>
          <w:kern w:val="0"/>
          <w:sz w:val="32"/>
          <w:szCs w:val="32"/>
          <w:lang w:val="en-US" w:eastAsia="zh-CN"/>
        </w:rPr>
        <w:t>115.79</w:t>
      </w:r>
      <w:r>
        <w:rPr>
          <w:rFonts w:hint="eastAsia" w:ascii="仿宋_GB2312" w:eastAsia="仿宋_GB2312" w:cs="仿宋_GB2312"/>
          <w:color w:val="auto"/>
          <w:kern w:val="0"/>
          <w:sz w:val="32"/>
          <w:szCs w:val="32"/>
        </w:rPr>
        <w:t>万元、公用经费</w:t>
      </w:r>
      <w:r>
        <w:rPr>
          <w:rFonts w:hint="eastAsia" w:ascii="仿宋_GB2312" w:hAnsi="仿宋_GB2312" w:cs="仿宋_GB2312"/>
          <w:color w:val="auto"/>
          <w:kern w:val="0"/>
          <w:sz w:val="32"/>
          <w:szCs w:val="32"/>
          <w:lang w:val="en-US" w:eastAsia="zh-CN"/>
        </w:rPr>
        <w:t>234.88</w:t>
      </w:r>
      <w:r>
        <w:rPr>
          <w:rFonts w:hint="eastAsia" w:ascii="仿宋_GB2312" w:eastAsia="仿宋_GB2312" w:cs="仿宋_GB2312"/>
          <w:color w:val="auto"/>
          <w:kern w:val="0"/>
          <w:sz w:val="32"/>
          <w:szCs w:val="32"/>
        </w:rPr>
        <w:t>万元、项目经费收入</w:t>
      </w:r>
      <w:r>
        <w:rPr>
          <w:rFonts w:hint="eastAsia" w:ascii="仿宋_GB2312" w:hAnsi="仿宋_GB2312" w:cs="仿宋_GB2312"/>
          <w:color w:val="auto"/>
          <w:kern w:val="0"/>
          <w:sz w:val="32"/>
          <w:szCs w:val="32"/>
          <w:lang w:val="en-US" w:eastAsia="zh-CN"/>
        </w:rPr>
        <w:t>0</w:t>
      </w:r>
      <w:r>
        <w:rPr>
          <w:rFonts w:hint="eastAsia" w:ascii="仿宋_GB2312" w:eastAsia="仿宋_GB2312" w:cs="仿宋_GB2312"/>
          <w:color w:val="auto"/>
          <w:kern w:val="0"/>
          <w:sz w:val="32"/>
          <w:szCs w:val="32"/>
        </w:rPr>
        <w:t>万元</w:t>
      </w:r>
      <w:r>
        <w:rPr>
          <w:rFonts w:hint="eastAsia" w:ascii="仿宋_GB2312" w:eastAsia="仿宋_GB2312" w:cs="仿宋_GB2312"/>
          <w:color w:val="auto"/>
          <w:kern w:val="0"/>
          <w:sz w:val="32"/>
          <w:szCs w:val="32"/>
          <w:lang w:val="zh-CN"/>
        </w:rPr>
        <w:t>。</w:t>
      </w:r>
      <w:r>
        <w:rPr>
          <w:rFonts w:hint="eastAsia" w:ascii="仿宋_GB2312" w:eastAsia="仿宋_GB2312" w:cs="仿宋_GB2312"/>
          <w:color w:val="FF0000"/>
          <w:kern w:val="0"/>
          <w:sz w:val="32"/>
          <w:szCs w:val="32"/>
          <w:lang w:val="zh-CN"/>
        </w:rPr>
        <w:t xml:space="preserve">   </w:t>
      </w:r>
    </w:p>
    <w:p>
      <w:pPr>
        <w:widowControl/>
        <w:adjustRightInd w:val="0"/>
        <w:snapToGrid w:val="0"/>
        <w:spacing w:line="580" w:lineRule="exact"/>
        <w:ind w:firstLine="640" w:firstLineChars="200"/>
        <w:contextualSpacing/>
        <w:jc w:val="left"/>
        <w:rPr>
          <w:rFonts w:hint="eastAsia" w:ascii="仿宋_GB2312" w:hAnsi="仿宋_GB2312" w:cs="宋体"/>
          <w:color w:val="FF0000"/>
          <w:kern w:val="0"/>
          <w:szCs w:val="32"/>
          <w:shd w:val="clear" w:color="auto" w:fill="FFFFFF"/>
          <w:lang w:val="zh-CN"/>
        </w:rPr>
      </w:pPr>
      <w:r>
        <w:rPr>
          <w:rFonts w:hint="eastAsia" w:ascii="仿宋_GB2312" w:eastAsia="仿宋_GB2312" w:cs="仿宋_GB2312"/>
          <w:color w:val="auto"/>
          <w:kern w:val="0"/>
          <w:sz w:val="32"/>
          <w:szCs w:val="32"/>
        </w:rPr>
        <w:t>2、202</w:t>
      </w:r>
      <w:r>
        <w:rPr>
          <w:rFonts w:hint="eastAsia" w:ascii="仿宋_GB2312" w:hAnsi="仿宋_GB2312" w:cs="仿宋_GB2312"/>
          <w:color w:val="auto"/>
          <w:kern w:val="0"/>
          <w:sz w:val="32"/>
          <w:szCs w:val="32"/>
          <w:lang w:val="en-US" w:eastAsia="zh-CN"/>
        </w:rPr>
        <w:t>2</w:t>
      </w:r>
      <w:r>
        <w:rPr>
          <w:rFonts w:hint="eastAsia" w:ascii="仿宋_GB2312" w:eastAsia="仿宋_GB2312" w:cs="仿宋_GB2312"/>
          <w:color w:val="auto"/>
          <w:kern w:val="0"/>
          <w:sz w:val="32"/>
          <w:szCs w:val="32"/>
        </w:rPr>
        <w:t>年上半年收入</w:t>
      </w:r>
      <w:r>
        <w:rPr>
          <w:rFonts w:hint="eastAsia" w:ascii="仿宋_GB2312" w:hAnsi="仿宋_GB2312" w:cs="仿宋_GB2312"/>
          <w:color w:val="auto"/>
          <w:kern w:val="0"/>
          <w:sz w:val="32"/>
          <w:szCs w:val="32"/>
          <w:lang w:val="en-US" w:eastAsia="zh-CN"/>
        </w:rPr>
        <w:t>78.67</w:t>
      </w:r>
      <w:r>
        <w:rPr>
          <w:rFonts w:hint="eastAsia" w:ascii="仿宋_GB2312" w:eastAsia="仿宋_GB2312" w:cs="仿宋_GB2312"/>
          <w:color w:val="auto"/>
          <w:kern w:val="0"/>
          <w:sz w:val="32"/>
          <w:szCs w:val="32"/>
        </w:rPr>
        <w:t>万元，</w:t>
      </w:r>
      <w:r>
        <w:rPr>
          <w:rFonts w:hint="eastAsia" w:ascii="仿宋_GB2312" w:eastAsia="仿宋_GB2312" w:cs="仿宋_GB2312"/>
          <w:color w:val="auto"/>
          <w:kern w:val="0"/>
          <w:sz w:val="32"/>
          <w:szCs w:val="32"/>
          <w:lang w:val="zh-CN"/>
        </w:rPr>
        <w:t>财政拨款收入</w:t>
      </w:r>
      <w:r>
        <w:rPr>
          <w:rFonts w:hint="eastAsia" w:ascii="仿宋_GB2312" w:hAnsi="仿宋_GB2312" w:cs="仿宋_GB2312"/>
          <w:color w:val="auto"/>
          <w:kern w:val="0"/>
          <w:sz w:val="32"/>
          <w:szCs w:val="32"/>
          <w:lang w:val="en-US" w:eastAsia="zh-CN"/>
        </w:rPr>
        <w:t>78.67</w:t>
      </w:r>
      <w:r>
        <w:rPr>
          <w:rFonts w:hint="eastAsia" w:ascii="仿宋_GB2312" w:eastAsia="仿宋_GB2312" w:cs="仿宋_GB2312"/>
          <w:color w:val="auto"/>
          <w:kern w:val="0"/>
          <w:sz w:val="32"/>
          <w:szCs w:val="32"/>
          <w:lang w:val="zh-CN"/>
        </w:rPr>
        <w:t>万元，其中：其中人员经费收入</w:t>
      </w:r>
      <w:r>
        <w:rPr>
          <w:rFonts w:hint="eastAsia" w:ascii="仿宋_GB2312" w:hAnsi="仿宋_GB2312" w:cs="仿宋_GB2312"/>
          <w:color w:val="auto"/>
          <w:kern w:val="0"/>
          <w:sz w:val="32"/>
          <w:szCs w:val="32"/>
          <w:lang w:val="en-US" w:eastAsia="zh-CN"/>
        </w:rPr>
        <w:t>73.97</w:t>
      </w:r>
      <w:r>
        <w:rPr>
          <w:rFonts w:hint="eastAsia" w:ascii="仿宋_GB2312" w:eastAsia="仿宋_GB2312" w:cs="仿宋_GB2312"/>
          <w:color w:val="auto"/>
          <w:kern w:val="0"/>
          <w:sz w:val="32"/>
          <w:szCs w:val="32"/>
        </w:rPr>
        <w:t>万元、公用经费</w:t>
      </w:r>
      <w:r>
        <w:rPr>
          <w:rFonts w:hint="eastAsia" w:ascii="仿宋_GB2312" w:hAnsi="仿宋_GB2312" w:cs="仿宋_GB2312"/>
          <w:color w:val="auto"/>
          <w:kern w:val="0"/>
          <w:sz w:val="32"/>
          <w:szCs w:val="32"/>
          <w:lang w:val="en-US" w:eastAsia="zh-CN"/>
        </w:rPr>
        <w:t>4.7</w:t>
      </w:r>
      <w:r>
        <w:rPr>
          <w:rFonts w:hint="eastAsia" w:ascii="仿宋_GB2312" w:eastAsia="仿宋_GB2312" w:cs="仿宋_GB2312"/>
          <w:color w:val="auto"/>
          <w:kern w:val="0"/>
          <w:sz w:val="32"/>
          <w:szCs w:val="32"/>
        </w:rPr>
        <w:t>万元</w:t>
      </w:r>
      <w:r>
        <w:rPr>
          <w:rFonts w:hint="eastAsia" w:ascii="仿宋_GB2312" w:eastAsia="仿宋_GB2312" w:cs="仿宋_GB2312"/>
          <w:color w:val="auto"/>
          <w:kern w:val="0"/>
          <w:sz w:val="32"/>
          <w:szCs w:val="32"/>
          <w:lang w:val="zh-CN"/>
        </w:rPr>
        <w:t>。</w:t>
      </w:r>
    </w:p>
    <w:p>
      <w:pPr>
        <w:widowControl/>
        <w:numPr>
          <w:ilvl w:val="0"/>
          <w:numId w:val="7"/>
        </w:numPr>
        <w:adjustRightInd w:val="0"/>
        <w:snapToGrid w:val="0"/>
        <w:spacing w:line="580" w:lineRule="exact"/>
        <w:ind w:left="0"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部门财政资金支出情况。</w:t>
      </w:r>
    </w:p>
    <w:p>
      <w:pPr>
        <w:widowControl/>
        <w:adjustRightInd w:val="0"/>
        <w:snapToGrid w:val="0"/>
        <w:spacing w:line="560" w:lineRule="exact"/>
        <w:ind w:firstLine="72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1、202</w:t>
      </w:r>
      <w:r>
        <w:rPr>
          <w:rFonts w:hint="eastAsia" w:ascii="仿宋_GB2312" w:hAnsi="仿宋_GB2312" w:cs="仿宋_GB2312"/>
          <w:color w:val="auto"/>
          <w:kern w:val="0"/>
          <w:sz w:val="32"/>
          <w:szCs w:val="32"/>
          <w:lang w:val="en-US" w:eastAsia="zh-CN"/>
        </w:rPr>
        <w:t>1</w:t>
      </w:r>
      <w:r>
        <w:rPr>
          <w:rFonts w:hint="eastAsia" w:ascii="仿宋_GB2312" w:eastAsia="仿宋_GB2312" w:cs="仿宋_GB2312"/>
          <w:color w:val="auto"/>
          <w:kern w:val="0"/>
          <w:sz w:val="32"/>
          <w:szCs w:val="32"/>
        </w:rPr>
        <w:t>年支出</w:t>
      </w:r>
    </w:p>
    <w:p>
      <w:pPr>
        <w:spacing w:line="600" w:lineRule="exact"/>
        <w:ind w:firstLine="640" w:firstLineChars="200"/>
        <w:outlineLvl w:val="0"/>
        <w:rPr>
          <w:rFonts w:hint="eastAsia" w:ascii="仿宋" w:eastAsia="仿宋"/>
          <w:color w:val="auto"/>
          <w:sz w:val="32"/>
          <w:szCs w:val="32"/>
        </w:rPr>
      </w:pPr>
      <w:r>
        <w:rPr>
          <w:rFonts w:hint="eastAsia" w:ascii="仿宋" w:eastAsia="仿宋"/>
          <w:color w:val="auto"/>
          <w:sz w:val="32"/>
          <w:szCs w:val="32"/>
        </w:rPr>
        <w:t>金川县公务服务中心202</w:t>
      </w:r>
      <w:r>
        <w:rPr>
          <w:rFonts w:hint="eastAsia" w:ascii="仿宋" w:eastAsia="仿宋"/>
          <w:color w:val="auto"/>
          <w:sz w:val="32"/>
          <w:szCs w:val="32"/>
          <w:lang w:val="en-US" w:eastAsia="zh-CN"/>
        </w:rPr>
        <w:t>1</w:t>
      </w:r>
      <w:r>
        <w:rPr>
          <w:rFonts w:hint="eastAsia" w:ascii="仿宋" w:eastAsia="仿宋"/>
          <w:color w:val="auto"/>
          <w:sz w:val="32"/>
          <w:szCs w:val="32"/>
        </w:rPr>
        <w:t>年一般公共预算财政拨款基本支出</w:t>
      </w:r>
      <w:r>
        <w:rPr>
          <w:rFonts w:hint="eastAsia" w:ascii="仿宋" w:eastAsia="仿宋"/>
          <w:color w:val="auto"/>
          <w:sz w:val="32"/>
          <w:szCs w:val="32"/>
          <w:lang w:val="en-US" w:eastAsia="zh-CN"/>
        </w:rPr>
        <w:t>350.67</w:t>
      </w:r>
      <w:r>
        <w:rPr>
          <w:rFonts w:hint="eastAsia" w:ascii="仿宋" w:eastAsia="仿宋"/>
          <w:color w:val="auto"/>
          <w:sz w:val="32"/>
          <w:szCs w:val="32"/>
        </w:rPr>
        <w:t>万元，其中：人员经费</w:t>
      </w:r>
      <w:r>
        <w:rPr>
          <w:rFonts w:hint="eastAsia" w:ascii="仿宋" w:eastAsia="仿宋"/>
          <w:color w:val="auto"/>
          <w:sz w:val="32"/>
          <w:szCs w:val="32"/>
          <w:lang w:val="en-US" w:eastAsia="zh-CN"/>
        </w:rPr>
        <w:t>115.79</w:t>
      </w:r>
      <w:r>
        <w:rPr>
          <w:rFonts w:hint="eastAsia" w:ascii="仿宋" w:eastAsia="仿宋"/>
          <w:color w:val="auto"/>
          <w:sz w:val="32"/>
          <w:szCs w:val="32"/>
        </w:rPr>
        <w:t>万元，主要包括：基本工资21.</w:t>
      </w:r>
      <w:r>
        <w:rPr>
          <w:rFonts w:hint="eastAsia" w:ascii="仿宋" w:eastAsia="仿宋"/>
          <w:color w:val="auto"/>
          <w:sz w:val="32"/>
          <w:szCs w:val="32"/>
          <w:lang w:val="en-US" w:eastAsia="zh-CN"/>
        </w:rPr>
        <w:t>23</w:t>
      </w:r>
      <w:r>
        <w:rPr>
          <w:rFonts w:hint="eastAsia" w:ascii="仿宋" w:eastAsia="仿宋"/>
          <w:color w:val="auto"/>
          <w:sz w:val="32"/>
          <w:szCs w:val="32"/>
        </w:rPr>
        <w:t>万元、津贴补贴10.</w:t>
      </w:r>
      <w:r>
        <w:rPr>
          <w:rFonts w:hint="eastAsia" w:ascii="仿宋" w:eastAsia="仿宋"/>
          <w:color w:val="auto"/>
          <w:sz w:val="32"/>
          <w:szCs w:val="32"/>
          <w:lang w:val="en-US" w:eastAsia="zh-CN"/>
        </w:rPr>
        <w:t>37</w:t>
      </w:r>
      <w:r>
        <w:rPr>
          <w:rFonts w:hint="eastAsia" w:ascii="仿宋" w:eastAsia="仿宋"/>
          <w:color w:val="auto"/>
          <w:sz w:val="32"/>
          <w:szCs w:val="32"/>
        </w:rPr>
        <w:t>万元、年终一次性奖金1.</w:t>
      </w:r>
      <w:r>
        <w:rPr>
          <w:rFonts w:hint="eastAsia" w:ascii="仿宋" w:eastAsia="仿宋"/>
          <w:color w:val="auto"/>
          <w:sz w:val="32"/>
          <w:szCs w:val="32"/>
          <w:lang w:val="en-US" w:eastAsia="zh-CN"/>
        </w:rPr>
        <w:t>76</w:t>
      </w:r>
      <w:r>
        <w:rPr>
          <w:rFonts w:hint="eastAsia" w:ascii="仿宋" w:eastAsia="仿宋"/>
          <w:color w:val="auto"/>
          <w:sz w:val="32"/>
          <w:szCs w:val="32"/>
        </w:rPr>
        <w:t>万元，绩效工资21.</w:t>
      </w:r>
      <w:r>
        <w:rPr>
          <w:rFonts w:hint="eastAsia" w:ascii="仿宋" w:eastAsia="仿宋"/>
          <w:color w:val="auto"/>
          <w:sz w:val="32"/>
          <w:szCs w:val="32"/>
          <w:lang w:val="en-US" w:eastAsia="zh-CN"/>
        </w:rPr>
        <w:t>29</w:t>
      </w:r>
      <w:r>
        <w:rPr>
          <w:rFonts w:hint="eastAsia" w:ascii="仿宋" w:eastAsia="仿宋"/>
          <w:color w:val="auto"/>
          <w:sz w:val="32"/>
          <w:szCs w:val="32"/>
        </w:rPr>
        <w:t>万元、其他社会保障缴费</w:t>
      </w:r>
      <w:r>
        <w:rPr>
          <w:rFonts w:hint="eastAsia" w:ascii="仿宋" w:eastAsia="仿宋"/>
          <w:color w:val="auto"/>
          <w:sz w:val="32"/>
          <w:szCs w:val="32"/>
          <w:lang w:val="en-US" w:eastAsia="zh-CN"/>
        </w:rPr>
        <w:t>2.43</w:t>
      </w:r>
      <w:r>
        <w:rPr>
          <w:rFonts w:hint="eastAsia" w:ascii="仿宋" w:eastAsia="仿宋"/>
          <w:color w:val="auto"/>
          <w:sz w:val="32"/>
          <w:szCs w:val="32"/>
        </w:rPr>
        <w:t>万元，机关事业单位基本养老保险费9.</w:t>
      </w:r>
      <w:r>
        <w:rPr>
          <w:rFonts w:hint="eastAsia" w:ascii="仿宋" w:eastAsia="仿宋"/>
          <w:color w:val="auto"/>
          <w:sz w:val="32"/>
          <w:szCs w:val="32"/>
          <w:lang w:val="en-US" w:eastAsia="zh-CN"/>
        </w:rPr>
        <w:t>50</w:t>
      </w:r>
      <w:r>
        <w:rPr>
          <w:rFonts w:hint="eastAsia" w:ascii="仿宋" w:eastAsia="仿宋"/>
          <w:color w:val="auto"/>
          <w:sz w:val="32"/>
          <w:szCs w:val="32"/>
        </w:rPr>
        <w:t>万元，机关事业单位职业年金4.</w:t>
      </w:r>
      <w:r>
        <w:rPr>
          <w:rFonts w:hint="eastAsia" w:ascii="仿宋" w:eastAsia="仿宋"/>
          <w:color w:val="auto"/>
          <w:sz w:val="32"/>
          <w:szCs w:val="32"/>
          <w:lang w:val="en-US" w:eastAsia="zh-CN"/>
        </w:rPr>
        <w:t>25</w:t>
      </w:r>
      <w:r>
        <w:rPr>
          <w:rFonts w:hint="eastAsia" w:ascii="仿宋" w:eastAsia="仿宋"/>
          <w:color w:val="auto"/>
          <w:sz w:val="32"/>
          <w:szCs w:val="32"/>
        </w:rPr>
        <w:t>万元，奖励金</w:t>
      </w:r>
      <w:r>
        <w:rPr>
          <w:rFonts w:hint="eastAsia" w:ascii="仿宋" w:eastAsia="仿宋"/>
          <w:color w:val="auto"/>
          <w:sz w:val="32"/>
          <w:szCs w:val="32"/>
          <w:lang w:val="en-US" w:eastAsia="zh-CN"/>
        </w:rPr>
        <w:t>31.95</w:t>
      </w:r>
      <w:r>
        <w:rPr>
          <w:rFonts w:hint="eastAsia" w:ascii="仿宋" w:eastAsia="仿宋"/>
          <w:color w:val="auto"/>
          <w:sz w:val="32"/>
          <w:szCs w:val="32"/>
        </w:rPr>
        <w:t>万元，住房公积金</w:t>
      </w:r>
      <w:r>
        <w:rPr>
          <w:rFonts w:hint="eastAsia" w:ascii="仿宋" w:eastAsia="仿宋"/>
          <w:color w:val="auto"/>
          <w:sz w:val="32"/>
          <w:szCs w:val="32"/>
          <w:lang w:val="en-US" w:eastAsia="zh-CN"/>
        </w:rPr>
        <w:t>8.52</w:t>
      </w:r>
      <w:r>
        <w:rPr>
          <w:rFonts w:hint="eastAsia" w:ascii="仿宋" w:eastAsia="仿宋"/>
          <w:color w:val="auto"/>
          <w:sz w:val="32"/>
          <w:szCs w:val="32"/>
        </w:rPr>
        <w:t>万元，事业单位医疗</w:t>
      </w:r>
      <w:r>
        <w:rPr>
          <w:rFonts w:hint="eastAsia" w:ascii="仿宋" w:eastAsia="仿宋"/>
          <w:color w:val="auto"/>
          <w:sz w:val="32"/>
          <w:szCs w:val="32"/>
          <w:lang w:val="en-US" w:eastAsia="zh-CN"/>
        </w:rPr>
        <w:t>4.49</w:t>
      </w:r>
      <w:r>
        <w:rPr>
          <w:rFonts w:hint="eastAsia" w:ascii="仿宋" w:eastAsia="仿宋"/>
          <w:color w:val="auto"/>
          <w:sz w:val="32"/>
          <w:szCs w:val="32"/>
        </w:rPr>
        <w:t>万元。</w:t>
      </w:r>
    </w:p>
    <w:p>
      <w:pPr>
        <w:spacing w:line="600" w:lineRule="exact"/>
        <w:ind w:firstLine="640" w:firstLineChars="200"/>
        <w:outlineLvl w:val="0"/>
        <w:rPr>
          <w:rFonts w:hint="eastAsia" w:ascii="仿宋" w:eastAsia="仿宋"/>
          <w:color w:val="auto"/>
          <w:sz w:val="32"/>
          <w:szCs w:val="32"/>
        </w:rPr>
      </w:pPr>
      <w:r>
        <w:rPr>
          <w:rFonts w:hint="eastAsia" w:ascii="仿宋" w:eastAsia="仿宋"/>
          <w:color w:val="auto"/>
          <w:sz w:val="32"/>
          <w:szCs w:val="32"/>
        </w:rPr>
        <w:t>公用经费</w:t>
      </w:r>
      <w:r>
        <w:rPr>
          <w:rFonts w:hint="eastAsia" w:ascii="仿宋" w:eastAsia="仿宋"/>
          <w:color w:val="auto"/>
          <w:sz w:val="32"/>
          <w:szCs w:val="32"/>
          <w:lang w:val="en-US" w:eastAsia="zh-CN"/>
        </w:rPr>
        <w:t>234.88</w:t>
      </w:r>
      <w:r>
        <w:rPr>
          <w:rFonts w:hint="eastAsia" w:ascii="仿宋" w:eastAsia="仿宋"/>
          <w:color w:val="auto"/>
          <w:sz w:val="32"/>
          <w:szCs w:val="32"/>
        </w:rPr>
        <w:t>万元，其中办公费</w:t>
      </w:r>
      <w:r>
        <w:rPr>
          <w:rFonts w:hint="eastAsia" w:ascii="仿宋" w:eastAsia="仿宋"/>
          <w:color w:val="auto"/>
          <w:sz w:val="32"/>
          <w:szCs w:val="32"/>
          <w:lang w:val="en-US" w:eastAsia="zh-CN"/>
        </w:rPr>
        <w:t>2.07</w:t>
      </w:r>
      <w:r>
        <w:rPr>
          <w:rFonts w:hint="eastAsia" w:ascii="仿宋" w:eastAsia="仿宋"/>
          <w:color w:val="auto"/>
          <w:sz w:val="32"/>
          <w:szCs w:val="32"/>
        </w:rPr>
        <w:t>万元、水费0.</w:t>
      </w:r>
      <w:r>
        <w:rPr>
          <w:rFonts w:hint="eastAsia" w:ascii="仿宋" w:eastAsia="仿宋"/>
          <w:color w:val="auto"/>
          <w:sz w:val="32"/>
          <w:szCs w:val="32"/>
          <w:lang w:val="en-US" w:eastAsia="zh-CN"/>
        </w:rPr>
        <w:t>1</w:t>
      </w:r>
      <w:r>
        <w:rPr>
          <w:rFonts w:hint="eastAsia" w:ascii="仿宋" w:eastAsia="仿宋"/>
          <w:color w:val="auto"/>
          <w:sz w:val="32"/>
          <w:szCs w:val="32"/>
        </w:rPr>
        <w:t>0元、电费0.80万元、邮电费0.60万元、差旅费5.</w:t>
      </w:r>
      <w:r>
        <w:rPr>
          <w:rFonts w:hint="eastAsia" w:ascii="仿宋" w:eastAsia="仿宋"/>
          <w:color w:val="auto"/>
          <w:sz w:val="32"/>
          <w:szCs w:val="32"/>
          <w:lang w:val="en-US" w:eastAsia="zh-CN"/>
        </w:rPr>
        <w:t>88</w:t>
      </w:r>
      <w:r>
        <w:rPr>
          <w:rFonts w:hint="eastAsia" w:ascii="仿宋" w:eastAsia="仿宋"/>
          <w:color w:val="auto"/>
          <w:sz w:val="32"/>
          <w:szCs w:val="32"/>
        </w:rPr>
        <w:t>万元、公务接待费</w:t>
      </w:r>
      <w:r>
        <w:rPr>
          <w:rFonts w:hint="eastAsia" w:ascii="仿宋" w:eastAsia="仿宋"/>
          <w:color w:val="auto"/>
          <w:sz w:val="32"/>
          <w:szCs w:val="32"/>
          <w:lang w:val="en-US" w:eastAsia="zh-CN"/>
        </w:rPr>
        <w:t>201.27</w:t>
      </w:r>
      <w:r>
        <w:rPr>
          <w:rFonts w:hint="eastAsia" w:ascii="仿宋" w:eastAsia="仿宋"/>
          <w:color w:val="auto"/>
          <w:sz w:val="32"/>
          <w:szCs w:val="32"/>
        </w:rPr>
        <w:t>万元、</w:t>
      </w:r>
      <w:r>
        <w:rPr>
          <w:rFonts w:hint="eastAsia" w:ascii="仿宋" w:eastAsia="仿宋"/>
          <w:color w:val="auto"/>
          <w:sz w:val="32"/>
          <w:szCs w:val="32"/>
          <w:lang w:eastAsia="zh-CN"/>
        </w:rPr>
        <w:t>劳务费</w:t>
      </w:r>
      <w:r>
        <w:rPr>
          <w:rFonts w:hint="eastAsia" w:ascii="仿宋" w:eastAsia="仿宋"/>
          <w:color w:val="auto"/>
          <w:sz w:val="32"/>
          <w:szCs w:val="32"/>
          <w:lang w:val="en-US" w:eastAsia="zh-CN"/>
        </w:rPr>
        <w:t>10.79万元、</w:t>
      </w:r>
      <w:r>
        <w:rPr>
          <w:rFonts w:hint="eastAsia" w:ascii="仿宋" w:eastAsia="仿宋"/>
          <w:color w:val="auto"/>
          <w:sz w:val="32"/>
          <w:szCs w:val="32"/>
        </w:rPr>
        <w:t>其他交通费用3.</w:t>
      </w:r>
      <w:r>
        <w:rPr>
          <w:rFonts w:hint="eastAsia" w:ascii="仿宋" w:eastAsia="仿宋"/>
          <w:color w:val="auto"/>
          <w:sz w:val="32"/>
          <w:szCs w:val="32"/>
          <w:lang w:val="en-US" w:eastAsia="zh-CN"/>
        </w:rPr>
        <w:t>5</w:t>
      </w:r>
      <w:r>
        <w:rPr>
          <w:rFonts w:hint="eastAsia" w:ascii="仿宋" w:eastAsia="仿宋"/>
          <w:color w:val="auto"/>
          <w:sz w:val="32"/>
          <w:szCs w:val="32"/>
        </w:rPr>
        <w:t>0万元。</w:t>
      </w:r>
    </w:p>
    <w:p>
      <w:pPr>
        <w:spacing w:line="600" w:lineRule="exact"/>
        <w:ind w:firstLine="640" w:firstLineChars="200"/>
        <w:outlineLvl w:val="0"/>
        <w:rPr>
          <w:rFonts w:hint="eastAsia" w:ascii="仿宋" w:eastAsia="仿宋"/>
          <w:color w:val="auto"/>
          <w:sz w:val="32"/>
          <w:szCs w:val="32"/>
        </w:rPr>
      </w:pPr>
      <w:r>
        <w:rPr>
          <w:rFonts w:hint="eastAsia" w:ascii="仿宋" w:eastAsia="仿宋"/>
          <w:color w:val="auto"/>
          <w:sz w:val="32"/>
          <w:szCs w:val="32"/>
        </w:rPr>
        <w:t>项目支出0万元。</w:t>
      </w:r>
    </w:p>
    <w:p>
      <w:pPr>
        <w:spacing w:line="600" w:lineRule="exact"/>
        <w:rPr>
          <w:rFonts w:hint="eastAsia" w:ascii="仿宋_GB2312" w:eastAsia="仿宋_GB2312" w:cs="仿宋_GB2312"/>
          <w:color w:val="FF0000"/>
          <w:kern w:val="0"/>
          <w:sz w:val="32"/>
          <w:szCs w:val="32"/>
        </w:rPr>
      </w:pPr>
      <w:r>
        <w:rPr>
          <w:rFonts w:hint="eastAsia" w:ascii="仿宋_GB2312" w:eastAsia="仿宋_GB2312" w:cs="仿宋_GB2312"/>
          <w:color w:val="FF0000"/>
          <w:kern w:val="0"/>
          <w:sz w:val="32"/>
          <w:szCs w:val="32"/>
        </w:rPr>
        <w:t>　　</w:t>
      </w:r>
      <w:r>
        <w:rPr>
          <w:rFonts w:hint="eastAsia" w:ascii="仿宋_GB2312" w:eastAsia="仿宋_GB2312" w:cs="仿宋_GB2312"/>
          <w:color w:val="auto"/>
          <w:kern w:val="0"/>
          <w:sz w:val="32"/>
          <w:szCs w:val="32"/>
        </w:rPr>
        <w:t>2、202</w:t>
      </w:r>
      <w:r>
        <w:rPr>
          <w:rFonts w:hint="eastAsia" w:ascii="仿宋_GB2312" w:hAnsi="仿宋_GB2312" w:cs="仿宋_GB2312"/>
          <w:color w:val="auto"/>
          <w:kern w:val="0"/>
          <w:sz w:val="32"/>
          <w:szCs w:val="32"/>
          <w:lang w:val="en-US" w:eastAsia="zh-CN"/>
        </w:rPr>
        <w:t>2</w:t>
      </w:r>
      <w:r>
        <w:rPr>
          <w:rFonts w:hint="eastAsia" w:ascii="仿宋_GB2312" w:eastAsia="仿宋_GB2312" w:cs="仿宋_GB2312"/>
          <w:color w:val="auto"/>
          <w:kern w:val="0"/>
          <w:sz w:val="32"/>
          <w:szCs w:val="32"/>
        </w:rPr>
        <w:t>年1-6月支出　</w:t>
      </w:r>
    </w:p>
    <w:p>
      <w:pPr>
        <w:widowControl/>
        <w:adjustRightInd w:val="0"/>
        <w:snapToGrid w:val="0"/>
        <w:spacing w:line="560" w:lineRule="exact"/>
        <w:ind w:firstLine="72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金川县公务服务中心2021年上半年一般公共预算财政拨款基本支出</w:t>
      </w:r>
      <w:r>
        <w:rPr>
          <w:rFonts w:hint="eastAsia" w:ascii="仿宋_GB2312" w:hAnsi="仿宋_GB2312" w:cs="仿宋_GB2312"/>
          <w:color w:val="auto"/>
          <w:kern w:val="0"/>
          <w:sz w:val="32"/>
          <w:szCs w:val="32"/>
          <w:lang w:val="en-US" w:eastAsia="zh-CN"/>
        </w:rPr>
        <w:t>78.67</w:t>
      </w:r>
      <w:r>
        <w:rPr>
          <w:rFonts w:hint="eastAsia" w:ascii="仿宋_GB2312" w:eastAsia="仿宋_GB2312" w:cs="仿宋_GB2312"/>
          <w:color w:val="auto"/>
          <w:kern w:val="0"/>
          <w:sz w:val="32"/>
          <w:szCs w:val="32"/>
        </w:rPr>
        <w:t>万元，其中：</w:t>
      </w:r>
    </w:p>
    <w:p>
      <w:pPr>
        <w:widowControl/>
        <w:adjustRightInd w:val="0"/>
        <w:snapToGrid w:val="0"/>
        <w:spacing w:line="560" w:lineRule="exact"/>
        <w:ind w:firstLine="720"/>
        <w:jc w:val="left"/>
        <w:rPr>
          <w:rFonts w:hint="eastAsia" w:ascii="仿宋_GB2312" w:eastAsia="仿宋_GB2312" w:cs="仿宋_GB2312"/>
          <w:color w:val="auto"/>
          <w:sz w:val="32"/>
          <w:szCs w:val="32"/>
          <w:lang w:eastAsia="zh-CN"/>
        </w:rPr>
      </w:pPr>
      <w:r>
        <w:rPr>
          <w:rFonts w:hint="eastAsia" w:ascii="仿宋_GB2312" w:eastAsia="仿宋_GB2312" w:cs="仿宋_GB2312"/>
          <w:color w:val="auto"/>
          <w:kern w:val="0"/>
          <w:sz w:val="32"/>
          <w:szCs w:val="32"/>
        </w:rPr>
        <w:t>人员经费</w:t>
      </w:r>
      <w:r>
        <w:rPr>
          <w:rFonts w:hint="eastAsia" w:ascii="仿宋_GB2312" w:hAnsi="仿宋_GB2312" w:cs="仿宋_GB2312"/>
          <w:color w:val="auto"/>
          <w:kern w:val="0"/>
          <w:sz w:val="32"/>
          <w:szCs w:val="32"/>
          <w:lang w:val="en-US" w:eastAsia="zh-CN"/>
        </w:rPr>
        <w:t>73.97</w:t>
      </w:r>
      <w:r>
        <w:rPr>
          <w:rFonts w:hint="eastAsia" w:ascii="仿宋_GB2312" w:eastAsia="仿宋_GB2312" w:cs="仿宋_GB2312"/>
          <w:color w:val="auto"/>
          <w:kern w:val="0"/>
          <w:sz w:val="32"/>
          <w:szCs w:val="32"/>
        </w:rPr>
        <w:t>万元，主要包括：基本工资</w:t>
      </w:r>
      <w:r>
        <w:rPr>
          <w:rFonts w:hint="eastAsia" w:ascii="仿宋_GB2312" w:hAnsi="仿宋_GB2312" w:cs="仿宋_GB2312"/>
          <w:color w:val="auto"/>
          <w:kern w:val="0"/>
          <w:sz w:val="32"/>
          <w:szCs w:val="32"/>
          <w:lang w:val="en-US" w:eastAsia="zh-CN"/>
        </w:rPr>
        <w:t>15.29</w:t>
      </w:r>
      <w:r>
        <w:rPr>
          <w:rFonts w:hint="eastAsia" w:ascii="仿宋_GB2312" w:eastAsia="仿宋_GB2312" w:cs="仿宋_GB2312"/>
          <w:color w:val="auto"/>
          <w:kern w:val="0"/>
          <w:sz w:val="32"/>
          <w:szCs w:val="32"/>
        </w:rPr>
        <w:t>万元、津贴补贴</w:t>
      </w:r>
      <w:r>
        <w:rPr>
          <w:rFonts w:hint="eastAsia" w:ascii="仿宋_GB2312" w:hAnsi="仿宋_GB2312" w:cs="仿宋_GB2312"/>
          <w:color w:val="auto"/>
          <w:kern w:val="0"/>
          <w:sz w:val="32"/>
          <w:szCs w:val="32"/>
          <w:lang w:val="en-US" w:eastAsia="zh-CN"/>
        </w:rPr>
        <w:t>6.06</w:t>
      </w:r>
      <w:r>
        <w:rPr>
          <w:rFonts w:hint="eastAsia" w:ascii="仿宋_GB2312" w:eastAsia="仿宋_GB2312" w:cs="仿宋_GB2312"/>
          <w:color w:val="auto"/>
          <w:kern w:val="0"/>
          <w:sz w:val="32"/>
          <w:szCs w:val="32"/>
        </w:rPr>
        <w:t>万元、</w:t>
      </w:r>
      <w:r>
        <w:rPr>
          <w:rFonts w:hint="eastAsia" w:ascii="仿宋_GB2312" w:hAnsi="仿宋_GB2312" w:cs="仿宋_GB2312"/>
          <w:color w:val="auto"/>
          <w:kern w:val="0"/>
          <w:sz w:val="32"/>
          <w:szCs w:val="32"/>
          <w:lang w:eastAsia="zh-CN"/>
        </w:rPr>
        <w:t>奖金</w:t>
      </w:r>
      <w:r>
        <w:rPr>
          <w:rFonts w:hint="eastAsia" w:ascii="仿宋_GB2312" w:hAnsi="仿宋_GB2312" w:cs="仿宋_GB2312"/>
          <w:color w:val="auto"/>
          <w:kern w:val="0"/>
          <w:sz w:val="32"/>
          <w:szCs w:val="32"/>
          <w:lang w:val="en-US" w:eastAsia="zh-CN"/>
        </w:rPr>
        <w:t>10.93万元、</w:t>
      </w:r>
      <w:r>
        <w:rPr>
          <w:rFonts w:hint="eastAsia" w:ascii="仿宋_GB2312" w:eastAsia="仿宋_GB2312" w:cs="仿宋_GB2312"/>
          <w:color w:val="auto"/>
          <w:kern w:val="0"/>
          <w:sz w:val="32"/>
          <w:szCs w:val="32"/>
        </w:rPr>
        <w:t>绩效工资</w:t>
      </w:r>
      <w:r>
        <w:rPr>
          <w:rFonts w:hint="eastAsia" w:ascii="仿宋_GB2312" w:hAnsi="仿宋_GB2312" w:cs="仿宋_GB2312"/>
          <w:color w:val="auto"/>
          <w:kern w:val="0"/>
          <w:sz w:val="32"/>
          <w:szCs w:val="32"/>
          <w:lang w:val="en-US" w:eastAsia="zh-CN"/>
        </w:rPr>
        <w:t>9.50</w:t>
      </w:r>
      <w:r>
        <w:rPr>
          <w:rFonts w:hint="eastAsia" w:ascii="仿宋_GB2312" w:eastAsia="仿宋_GB2312" w:cs="仿宋_GB2312"/>
          <w:color w:val="auto"/>
          <w:kern w:val="0"/>
          <w:sz w:val="32"/>
          <w:szCs w:val="32"/>
        </w:rPr>
        <w:t>万元、机关事业单</w:t>
      </w:r>
      <w:r>
        <w:rPr>
          <w:rFonts w:hint="eastAsia" w:ascii="仿宋_GB2312" w:eastAsia="仿宋_GB2312" w:cs="仿宋_GB2312"/>
          <w:color w:val="auto"/>
          <w:sz w:val="32"/>
          <w:szCs w:val="32"/>
        </w:rPr>
        <w:t>位基本养老保险缴费</w:t>
      </w:r>
      <w:r>
        <w:rPr>
          <w:rFonts w:hint="eastAsia" w:ascii="仿宋_GB2312" w:hAnsi="仿宋_GB2312" w:cs="仿宋_GB2312"/>
          <w:color w:val="auto"/>
          <w:sz w:val="32"/>
          <w:szCs w:val="32"/>
          <w:lang w:val="en-US" w:eastAsia="zh-CN"/>
        </w:rPr>
        <w:t>4.33</w:t>
      </w:r>
      <w:r>
        <w:rPr>
          <w:rFonts w:hint="eastAsia" w:ascii="仿宋_GB2312" w:eastAsia="仿宋_GB2312" w:cs="仿宋_GB2312"/>
          <w:color w:val="auto"/>
          <w:sz w:val="32"/>
          <w:szCs w:val="32"/>
        </w:rPr>
        <w:t>万元、职业年金缴费</w:t>
      </w:r>
      <w:r>
        <w:rPr>
          <w:rFonts w:hint="eastAsia" w:ascii="仿宋_GB2312" w:hAnsi="仿宋_GB2312" w:cs="仿宋_GB2312"/>
          <w:color w:val="auto"/>
          <w:sz w:val="32"/>
          <w:szCs w:val="32"/>
          <w:lang w:val="en-US" w:eastAsia="zh-CN"/>
        </w:rPr>
        <w:t>2.16</w:t>
      </w:r>
      <w:r>
        <w:rPr>
          <w:rFonts w:hint="eastAsia" w:ascii="仿宋_GB2312" w:eastAsia="仿宋_GB2312" w:cs="仿宋_GB2312"/>
          <w:color w:val="auto"/>
          <w:sz w:val="32"/>
          <w:szCs w:val="32"/>
        </w:rPr>
        <w:t>万元、职工基本医疗保险缴费</w:t>
      </w:r>
      <w:r>
        <w:rPr>
          <w:rFonts w:hint="eastAsia" w:ascii="仿宋_GB2312" w:hAnsi="仿宋_GB2312" w:cs="仿宋_GB2312"/>
          <w:color w:val="auto"/>
          <w:sz w:val="32"/>
          <w:szCs w:val="32"/>
          <w:lang w:val="en-US" w:eastAsia="zh-CN"/>
        </w:rPr>
        <w:t>1.93</w:t>
      </w:r>
      <w:r>
        <w:rPr>
          <w:rFonts w:hint="eastAsia" w:ascii="仿宋_GB2312" w:eastAsia="仿宋_GB2312" w:cs="仿宋_GB2312"/>
          <w:color w:val="auto"/>
          <w:sz w:val="32"/>
          <w:szCs w:val="32"/>
        </w:rPr>
        <w:t>万元、公务员医疗补助</w:t>
      </w:r>
      <w:r>
        <w:rPr>
          <w:rFonts w:hint="eastAsia" w:ascii="仿宋_GB2312" w:hAnsi="仿宋_GB2312" w:cs="仿宋_GB2312"/>
          <w:color w:val="auto"/>
          <w:sz w:val="32"/>
          <w:szCs w:val="32"/>
          <w:lang w:val="en-US" w:eastAsia="zh-CN"/>
        </w:rPr>
        <w:t>0.64</w:t>
      </w:r>
      <w:r>
        <w:rPr>
          <w:rFonts w:hint="eastAsia" w:ascii="仿宋_GB2312" w:eastAsia="仿宋_GB2312" w:cs="仿宋_GB2312"/>
          <w:color w:val="auto"/>
          <w:sz w:val="32"/>
          <w:szCs w:val="32"/>
        </w:rPr>
        <w:t>万元、其他社会保障缴费0.2</w:t>
      </w:r>
      <w:r>
        <w:rPr>
          <w:rFonts w:hint="eastAsia" w:ascii="仿宋_GB2312" w:hAnsi="仿宋_GB2312" w:cs="仿宋_GB2312"/>
          <w:color w:val="auto"/>
          <w:sz w:val="32"/>
          <w:szCs w:val="32"/>
          <w:lang w:val="en-US" w:eastAsia="zh-CN"/>
        </w:rPr>
        <w:t>2</w:t>
      </w:r>
      <w:r>
        <w:rPr>
          <w:rFonts w:hint="eastAsia" w:ascii="仿宋_GB2312" w:eastAsia="仿宋_GB2312" w:cs="仿宋_GB2312"/>
          <w:color w:val="auto"/>
          <w:sz w:val="32"/>
          <w:szCs w:val="32"/>
        </w:rPr>
        <w:t>万元、住房公积金</w:t>
      </w:r>
      <w:r>
        <w:rPr>
          <w:rFonts w:hint="eastAsia" w:ascii="仿宋_GB2312" w:hAnsi="仿宋_GB2312" w:cs="仿宋_GB2312"/>
          <w:color w:val="auto"/>
          <w:sz w:val="32"/>
          <w:szCs w:val="32"/>
          <w:lang w:val="en-US" w:eastAsia="zh-CN"/>
        </w:rPr>
        <w:t>4.29</w:t>
      </w:r>
      <w:r>
        <w:rPr>
          <w:rFonts w:hint="eastAsia" w:ascii="仿宋_GB2312" w:eastAsia="仿宋_GB2312" w:cs="仿宋_GB2312"/>
          <w:color w:val="auto"/>
          <w:sz w:val="32"/>
          <w:szCs w:val="32"/>
        </w:rPr>
        <w:t>万元、奖励金</w:t>
      </w:r>
      <w:r>
        <w:rPr>
          <w:rFonts w:hint="eastAsia" w:ascii="仿宋_GB2312" w:hAnsi="仿宋_GB2312" w:cs="仿宋_GB2312"/>
          <w:color w:val="auto"/>
          <w:sz w:val="32"/>
          <w:szCs w:val="32"/>
          <w:lang w:val="en-US" w:eastAsia="zh-CN"/>
        </w:rPr>
        <w:t>18.62</w:t>
      </w:r>
      <w:r>
        <w:rPr>
          <w:rFonts w:hint="eastAsia" w:ascii="仿宋_GB2312" w:eastAsia="仿宋_GB2312" w:cs="仿宋_GB2312"/>
          <w:color w:val="auto"/>
          <w:sz w:val="32"/>
          <w:szCs w:val="32"/>
        </w:rPr>
        <w:t>万元。</w:t>
      </w:r>
    </w:p>
    <w:p>
      <w:pPr>
        <w:widowControl/>
        <w:adjustRightInd w:val="0"/>
        <w:snapToGrid w:val="0"/>
        <w:spacing w:line="560" w:lineRule="exact"/>
        <w:ind w:firstLine="720"/>
        <w:jc w:val="left"/>
        <w:rPr>
          <w:rFonts w:hint="eastAsia" w:ascii="仿宋_GB2312" w:hAnsi="仿宋_GB2312" w:cs="宋体"/>
          <w:color w:val="000000"/>
          <w:kern w:val="0"/>
          <w:szCs w:val="32"/>
          <w:shd w:val="clear" w:color="auto" w:fill="FFFFFF"/>
          <w:lang w:val="zh-CN"/>
        </w:rPr>
      </w:pPr>
      <w:r>
        <w:rPr>
          <w:rFonts w:hint="eastAsia" w:ascii="仿宋_GB2312" w:eastAsia="仿宋_GB2312" w:cs="仿宋_GB2312"/>
          <w:color w:val="auto"/>
          <w:sz w:val="32"/>
          <w:szCs w:val="32"/>
        </w:rPr>
        <w:t>　　公用经费</w:t>
      </w:r>
      <w:r>
        <w:rPr>
          <w:rFonts w:hint="eastAsia" w:ascii="仿宋_GB2312" w:hAnsi="仿宋_GB2312" w:cs="仿宋_GB2312"/>
          <w:color w:val="auto"/>
          <w:sz w:val="32"/>
          <w:szCs w:val="32"/>
          <w:lang w:val="en-US" w:eastAsia="zh-CN"/>
        </w:rPr>
        <w:t>4.70</w:t>
      </w:r>
      <w:r>
        <w:rPr>
          <w:rFonts w:hint="eastAsia" w:ascii="仿宋_GB2312" w:eastAsia="仿宋_GB2312" w:cs="仿宋_GB2312"/>
          <w:color w:val="auto"/>
          <w:sz w:val="32"/>
          <w:szCs w:val="32"/>
        </w:rPr>
        <w:t>万元，主要包括：</w:t>
      </w:r>
      <w:r>
        <w:rPr>
          <w:rFonts w:hint="eastAsia" w:ascii="仿宋_GB2312" w:hAnsi="仿宋_GB2312" w:cs="仿宋_GB2312"/>
          <w:color w:val="auto"/>
          <w:sz w:val="32"/>
          <w:szCs w:val="32"/>
          <w:lang w:eastAsia="zh-CN"/>
        </w:rPr>
        <w:t>办公费</w:t>
      </w:r>
      <w:r>
        <w:rPr>
          <w:rFonts w:hint="eastAsia" w:ascii="仿宋_GB2312" w:hAnsi="仿宋_GB2312" w:cs="仿宋_GB2312"/>
          <w:color w:val="auto"/>
          <w:sz w:val="32"/>
          <w:szCs w:val="32"/>
          <w:lang w:val="en-US" w:eastAsia="zh-CN"/>
        </w:rPr>
        <w:t>0.31万元、差旅费0.13万元、其他交通费用4.10万元、公务接待费0.16万元</w:t>
      </w:r>
      <w:r>
        <w:rPr>
          <w:rFonts w:hint="eastAsia" w:ascii="仿宋_GB2312" w:eastAsia="仿宋_GB2312" w:cs="仿宋_GB2312"/>
          <w:color w:val="auto"/>
          <w:sz w:val="32"/>
          <w:szCs w:val="32"/>
        </w:rPr>
        <w:t>。</w:t>
      </w:r>
    </w:p>
    <w:p>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三、部门整体预算绩效管理情况（根据适用指标体系进行调整</w:t>
      </w:r>
      <w:r>
        <w:rPr>
          <w:rFonts w:hint="eastAsia" w:ascii="黑体" w:eastAsia="黑体" w:cs="宋体"/>
          <w:color w:val="000000"/>
          <w:kern w:val="0"/>
          <w:sz w:val="32"/>
          <w:szCs w:val="32"/>
          <w:shd w:val="clear" w:color="auto" w:fill="FFFFFF"/>
          <w:lang w:eastAsia="zh-CN"/>
        </w:rPr>
        <w:t>，涉及到有专项预算的部门，专项预算项目自评报告根据要求另行单独报送</w:t>
      </w:r>
      <w:r>
        <w:rPr>
          <w:rFonts w:hint="eastAsia" w:ascii="黑体" w:eastAsia="黑体" w:cs="宋体"/>
          <w:color w:val="000000"/>
          <w:kern w:val="0"/>
          <w:sz w:val="32"/>
          <w:szCs w:val="32"/>
          <w:shd w:val="clear" w:color="auto" w:fill="FFFFFF"/>
        </w:rPr>
        <w:t>）</w:t>
      </w:r>
    </w:p>
    <w:p>
      <w:pPr>
        <w:widowControl/>
        <w:adjustRightInd w:val="0"/>
        <w:snapToGrid w:val="0"/>
        <w:spacing w:line="560" w:lineRule="exact"/>
        <w:ind w:firstLine="720"/>
        <w:jc w:val="left"/>
        <w:rPr>
          <w:rFonts w:hint="eastAsia" w:ascii="楷体" w:eastAsia="楷体" w:cs="宋体"/>
          <w:color w:val="000000"/>
          <w:kern w:val="0"/>
          <w:lang w:val="zh-CN"/>
        </w:rPr>
      </w:pPr>
      <w:r>
        <w:rPr>
          <w:rFonts w:hint="eastAsia" w:ascii="楷体" w:eastAsia="楷体" w:cs="宋体"/>
          <w:color w:val="000000"/>
          <w:kern w:val="0"/>
          <w:sz w:val="32"/>
          <w:lang w:val="zh-CN"/>
        </w:rPr>
        <w:t>（一）预算编制情况。</w:t>
      </w:r>
    </w:p>
    <w:p>
      <w:pPr>
        <w:spacing w:line="560" w:lineRule="exact"/>
        <w:ind w:firstLine="640" w:firstLineChars="200"/>
        <w:rPr>
          <w:rFonts w:hint="eastAsia" w:ascii="仿宋_GB2312" w:eastAsia="仿宋_GB2312" w:cs="仿宋_GB2312"/>
          <w:bCs/>
          <w:sz w:val="32"/>
          <w:szCs w:val="32"/>
        </w:rPr>
      </w:pPr>
      <w:r>
        <w:rPr>
          <w:rFonts w:hint="eastAsia" w:ascii="仿宋_GB2312" w:eastAsia="仿宋_GB2312" w:cs="仿宋_GB2312"/>
          <w:color w:val="auto"/>
          <w:kern w:val="0"/>
          <w:sz w:val="32"/>
          <w:szCs w:val="32"/>
        </w:rPr>
        <w:t>按照综合预算的编制原则，保证预算编制质量，公务服务中心所有收入和支出均纳入财政预算管理，公用经费按人</w:t>
      </w:r>
      <w:r>
        <w:rPr>
          <w:rFonts w:hint="eastAsia" w:ascii="仿宋_GB2312" w:eastAsia="仿宋_GB2312" w:cs="仿宋_GB2312"/>
          <w:bCs/>
          <w:sz w:val="32"/>
          <w:szCs w:val="32"/>
        </w:rPr>
        <w:t>员数进行编制，其它经费严格按照有关预算法执行。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bCs/>
          <w:sz w:val="32"/>
          <w:szCs w:val="32"/>
        </w:rPr>
        <w:t>1.2021年预算按三定方案编制数计算公用经费。编制数9人，2021年公用经费13.64万元（编制方法：9600元/人/年*9＝86400元，再以财政要求小单位增加5万元的公用经费保底；另0.67万元调为残疾人就业保障金。），项目支出320万元，为公务接待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bCs/>
          <w:sz w:val="32"/>
          <w:szCs w:val="32"/>
        </w:rPr>
        <w:t>2.202</w:t>
      </w:r>
      <w:r>
        <w:rPr>
          <w:rFonts w:hint="eastAsia" w:ascii="仿宋_GB2312" w:hAnsi="仿宋_GB2312" w:cs="仿宋_GB2312"/>
          <w:bCs/>
          <w:sz w:val="32"/>
          <w:szCs w:val="32"/>
          <w:lang w:val="en-US" w:eastAsia="zh-CN"/>
        </w:rPr>
        <w:t>2</w:t>
      </w:r>
      <w:r>
        <w:rPr>
          <w:rFonts w:hint="eastAsia" w:ascii="仿宋_GB2312" w:eastAsia="仿宋_GB2312" w:cs="仿宋_GB2312"/>
          <w:bCs/>
          <w:sz w:val="32"/>
          <w:szCs w:val="32"/>
        </w:rPr>
        <w:t>年预算按三定方案编制数计算公用经费。编制数9人。202</w:t>
      </w:r>
      <w:r>
        <w:rPr>
          <w:rFonts w:hint="eastAsia" w:ascii="仿宋_GB2312" w:hAnsi="仿宋_GB2312" w:cs="仿宋_GB2312"/>
          <w:bCs/>
          <w:sz w:val="32"/>
          <w:szCs w:val="32"/>
          <w:lang w:val="en-US" w:eastAsia="zh-CN"/>
        </w:rPr>
        <w:t>2</w:t>
      </w:r>
      <w:r>
        <w:rPr>
          <w:rFonts w:hint="eastAsia" w:ascii="仿宋_GB2312" w:eastAsia="仿宋_GB2312" w:cs="仿宋_GB2312"/>
          <w:bCs/>
          <w:sz w:val="32"/>
          <w:szCs w:val="32"/>
        </w:rPr>
        <w:t>年公用经费</w:t>
      </w:r>
      <w:r>
        <w:rPr>
          <w:rFonts w:hint="eastAsia" w:ascii="仿宋_GB2312" w:hAnsi="仿宋_GB2312" w:cs="仿宋_GB2312"/>
          <w:bCs/>
          <w:sz w:val="32"/>
          <w:szCs w:val="32"/>
          <w:lang w:val="en-US" w:eastAsia="zh-CN"/>
        </w:rPr>
        <w:t>13.64</w:t>
      </w:r>
      <w:r>
        <w:rPr>
          <w:rFonts w:hint="eastAsia" w:ascii="仿宋_GB2312" w:eastAsia="仿宋_GB2312" w:cs="仿宋_GB2312"/>
          <w:bCs/>
          <w:sz w:val="32"/>
          <w:szCs w:val="32"/>
        </w:rPr>
        <w:t>万元（编制方法：9600元/人/年*8＝76800元，再以财政要求小单位增加5万元的公用经费保底；另0.</w:t>
      </w:r>
      <w:r>
        <w:rPr>
          <w:rFonts w:hint="eastAsia" w:ascii="仿宋_GB2312" w:hAnsi="仿宋_GB2312" w:cs="仿宋_GB2312"/>
          <w:bCs/>
          <w:sz w:val="32"/>
          <w:szCs w:val="32"/>
          <w:lang w:val="en-US" w:eastAsia="zh-CN"/>
        </w:rPr>
        <w:t>84</w:t>
      </w:r>
      <w:r>
        <w:rPr>
          <w:rFonts w:hint="eastAsia" w:ascii="仿宋_GB2312" w:eastAsia="仿宋_GB2312" w:cs="仿宋_GB2312"/>
          <w:bCs/>
          <w:sz w:val="32"/>
          <w:szCs w:val="32"/>
        </w:rPr>
        <w:t>万元调为残疾人就业保障缴费）;</w:t>
      </w:r>
    </w:p>
    <w:p>
      <w:pPr>
        <w:widowControl/>
        <w:adjustRightInd w:val="0"/>
        <w:snapToGrid w:val="0"/>
        <w:spacing w:line="560" w:lineRule="exact"/>
        <w:ind w:firstLine="720"/>
        <w:jc w:val="left"/>
        <w:rPr>
          <w:rFonts w:hint="eastAsia" w:ascii="楷体" w:eastAsia="楷体" w:cs="宋体"/>
          <w:color w:val="000000"/>
          <w:kern w:val="0"/>
          <w:lang w:val="zh-CN"/>
        </w:rPr>
      </w:pPr>
      <w:r>
        <w:rPr>
          <w:rFonts w:hint="eastAsia" w:ascii="楷体" w:eastAsia="楷体" w:cs="宋体"/>
          <w:color w:val="000000"/>
          <w:kern w:val="0"/>
          <w:sz w:val="32"/>
          <w:lang w:val="zh-CN"/>
        </w:rPr>
        <w:t>（二）执行管理情况。</w:t>
      </w:r>
      <w:r>
        <w:rPr>
          <w:rFonts w:hint="eastAsia" w:ascii="楷体" w:eastAsia="楷体" w:cs="宋体"/>
          <w:color w:val="000000"/>
          <w:kern w:val="0"/>
          <w:sz w:val="32"/>
          <w:lang w:val="zh-CN"/>
        </w:rPr>
        <w:tab/>
      </w:r>
    </w:p>
    <w:p>
      <w:pPr>
        <w:spacing w:line="560" w:lineRule="exact"/>
        <w:ind w:firstLine="640" w:firstLineChars="200"/>
        <w:rPr>
          <w:rFonts w:hint="eastAsia" w:ascii="仿宋_GB2312" w:eastAsia="仿宋_GB2312" w:cs="仿宋_GB2312"/>
          <w:bCs/>
          <w:sz w:val="32"/>
          <w:szCs w:val="32"/>
        </w:rPr>
      </w:pPr>
      <w:r>
        <w:rPr>
          <w:rFonts w:hint="eastAsia" w:ascii="仿宋_GB2312" w:eastAsia="仿宋_GB2312" w:cs="仿宋_GB2312"/>
          <w:bCs/>
          <w:sz w:val="32"/>
          <w:szCs w:val="32"/>
        </w:rPr>
        <w:t>1、预算执行情况：所有预算严格按照预算法执行，我中心由于人员少，存在预算下达后增加人员，后勤保障工作涉及面广，临时工作多。年初预算和当年决算数相比人员经费和公用经费没有达到只减不增要求，预算经费中人员经费是按月</w:t>
      </w:r>
      <w:r>
        <w:rPr>
          <w:rFonts w:hint="eastAsia" w:ascii="仿宋_GB2312" w:hAnsi="仿宋_GB2312" w:cs="仿宋_GB2312"/>
          <w:bCs/>
          <w:sz w:val="32"/>
          <w:szCs w:val="32"/>
          <w:lang w:eastAsia="zh-CN"/>
        </w:rPr>
        <w:t>拨</w:t>
      </w:r>
      <w:r>
        <w:rPr>
          <w:rFonts w:hint="eastAsia" w:ascii="仿宋_GB2312" w:eastAsia="仿宋_GB2312" w:cs="仿宋_GB2312"/>
          <w:bCs/>
          <w:sz w:val="32"/>
          <w:szCs w:val="32"/>
        </w:rPr>
        <w:t>付，公用经费在预算指标内按需求</w:t>
      </w:r>
      <w:r>
        <w:rPr>
          <w:rFonts w:hint="eastAsia" w:ascii="仿宋_GB2312" w:hAnsi="仿宋_GB2312" w:cs="仿宋_GB2312"/>
          <w:bCs/>
          <w:sz w:val="32"/>
          <w:szCs w:val="32"/>
          <w:lang w:eastAsia="zh-CN"/>
        </w:rPr>
        <w:t>拨</w:t>
      </w:r>
      <w:r>
        <w:rPr>
          <w:rFonts w:hint="eastAsia" w:ascii="仿宋_GB2312" w:eastAsia="仿宋_GB2312" w:cs="仿宋_GB2312"/>
          <w:bCs/>
          <w:sz w:val="32"/>
          <w:szCs w:val="32"/>
        </w:rPr>
        <w:t>付。</w:t>
      </w:r>
    </w:p>
    <w:p>
      <w:pPr>
        <w:spacing w:line="560" w:lineRule="exact"/>
        <w:ind w:firstLine="640" w:firstLineChars="200"/>
        <w:rPr>
          <w:rFonts w:hint="eastAsia" w:ascii="仿宋_GB2312" w:eastAsia="仿宋_GB2312" w:cs="仿宋_GB2312"/>
          <w:bCs/>
          <w:sz w:val="32"/>
          <w:szCs w:val="32"/>
        </w:rPr>
      </w:pPr>
      <w:r>
        <w:rPr>
          <w:rFonts w:hint="eastAsia" w:ascii="仿宋_GB2312" w:eastAsia="仿宋_GB2312" w:cs="仿宋_GB2312"/>
          <w:bCs/>
          <w:sz w:val="32"/>
          <w:szCs w:val="32"/>
        </w:rPr>
        <w:t>2.中期评估:根据《</w:t>
      </w:r>
      <w:r>
        <w:rPr>
          <w:rFonts w:hint="eastAsia" w:ascii="仿宋_GB2312" w:eastAsia="仿宋_GB2312" w:cs="仿宋_GB2312"/>
          <w:bCs/>
          <w:sz w:val="32"/>
          <w:szCs w:val="32"/>
          <w:lang w:eastAsia="zh-CN"/>
        </w:rPr>
        <w:t>中华人民共和国</w:t>
      </w:r>
      <w:r>
        <w:rPr>
          <w:rFonts w:hint="eastAsia" w:ascii="仿宋_GB2312" w:eastAsia="仿宋_GB2312" w:cs="仿宋_GB2312"/>
          <w:bCs/>
          <w:sz w:val="32"/>
          <w:szCs w:val="32"/>
        </w:rPr>
        <w:t>预算法》以及部门预算编制重点，结合本单位工作实际，编制本单位三年流动财政规划报表。</w:t>
      </w:r>
    </w:p>
    <w:p>
      <w:pPr>
        <w:spacing w:line="560" w:lineRule="exact"/>
        <w:ind w:firstLine="640" w:firstLineChars="200"/>
        <w:rPr>
          <w:rFonts w:hint="eastAsia" w:ascii="仿宋_GB2312" w:eastAsia="仿宋_GB2312" w:cs="仿宋_GB2312"/>
          <w:bCs/>
          <w:sz w:val="32"/>
          <w:szCs w:val="32"/>
        </w:rPr>
      </w:pPr>
      <w:r>
        <w:rPr>
          <w:rFonts w:hint="eastAsia" w:ascii="仿宋_GB2312" w:eastAsia="仿宋_GB2312" w:cs="仿宋_GB2312"/>
          <w:bCs/>
          <w:sz w:val="32"/>
          <w:szCs w:val="32"/>
        </w:rPr>
        <w:t>（1）我中心编制县级20</w:t>
      </w:r>
      <w:r>
        <w:rPr>
          <w:rFonts w:hint="eastAsia" w:ascii="仿宋_GB2312" w:hAnsi="仿宋_GB2312" w:cs="仿宋_GB2312"/>
          <w:bCs/>
          <w:sz w:val="32"/>
          <w:szCs w:val="32"/>
          <w:lang w:val="en-US" w:eastAsia="zh-CN"/>
        </w:rPr>
        <w:t>17</w:t>
      </w:r>
      <w:r>
        <w:rPr>
          <w:rFonts w:hint="eastAsia" w:ascii="仿宋_GB2312" w:eastAsia="仿宋_GB2312" w:cs="仿宋_GB2312"/>
          <w:bCs/>
          <w:sz w:val="32"/>
          <w:szCs w:val="32"/>
        </w:rPr>
        <w:t>年—20</w:t>
      </w:r>
      <w:r>
        <w:rPr>
          <w:rFonts w:hint="eastAsia" w:ascii="仿宋_GB2312" w:hAnsi="仿宋_GB2312" w:cs="仿宋_GB2312"/>
          <w:bCs/>
          <w:sz w:val="32"/>
          <w:szCs w:val="32"/>
          <w:lang w:val="en-US" w:eastAsia="zh-CN"/>
        </w:rPr>
        <w:t>19</w:t>
      </w:r>
      <w:r>
        <w:rPr>
          <w:rFonts w:hint="eastAsia" w:ascii="仿宋_GB2312" w:eastAsia="仿宋_GB2312" w:cs="仿宋_GB2312"/>
          <w:bCs/>
          <w:sz w:val="32"/>
          <w:szCs w:val="32"/>
        </w:rPr>
        <w:t>年三年滚动财政规划表。</w:t>
      </w:r>
    </w:p>
    <w:p>
      <w:pPr>
        <w:spacing w:line="560" w:lineRule="exact"/>
        <w:ind w:firstLine="640" w:firstLineChars="200"/>
        <w:rPr>
          <w:rFonts w:hint="eastAsia" w:ascii="仿宋_GB2312" w:eastAsia="仿宋_GB2312" w:cs="仿宋_GB2312"/>
          <w:bCs/>
          <w:sz w:val="32"/>
          <w:szCs w:val="32"/>
        </w:rPr>
      </w:pPr>
      <w:r>
        <w:rPr>
          <w:rFonts w:hint="eastAsia" w:ascii="仿宋_GB2312" w:eastAsia="仿宋_GB2312" w:cs="仿宋_GB2312"/>
          <w:bCs/>
          <w:sz w:val="32"/>
          <w:szCs w:val="32"/>
        </w:rPr>
        <w:t>（2）我中心编制县级20</w:t>
      </w:r>
      <w:r>
        <w:rPr>
          <w:rFonts w:hint="eastAsia" w:ascii="仿宋_GB2312" w:hAnsi="仿宋_GB2312" w:cs="仿宋_GB2312"/>
          <w:bCs/>
          <w:sz w:val="32"/>
          <w:szCs w:val="32"/>
          <w:lang w:val="en-US" w:eastAsia="zh-CN"/>
        </w:rPr>
        <w:t>19</w:t>
      </w:r>
      <w:r>
        <w:rPr>
          <w:rFonts w:hint="eastAsia" w:ascii="仿宋_GB2312" w:eastAsia="仿宋_GB2312" w:cs="仿宋_GB2312"/>
          <w:bCs/>
          <w:sz w:val="32"/>
          <w:szCs w:val="32"/>
        </w:rPr>
        <w:t>年—202</w:t>
      </w:r>
      <w:r>
        <w:rPr>
          <w:rFonts w:hint="eastAsia" w:ascii="仿宋_GB2312" w:hAnsi="仿宋_GB2312" w:cs="仿宋_GB2312"/>
          <w:bCs/>
          <w:sz w:val="32"/>
          <w:szCs w:val="32"/>
          <w:lang w:val="en-US" w:eastAsia="zh-CN"/>
        </w:rPr>
        <w:t>1</w:t>
      </w:r>
      <w:r>
        <w:rPr>
          <w:rFonts w:hint="eastAsia" w:ascii="仿宋_GB2312" w:eastAsia="仿宋_GB2312" w:cs="仿宋_GB2312"/>
          <w:bCs/>
          <w:sz w:val="32"/>
          <w:szCs w:val="32"/>
        </w:rPr>
        <w:t>年三年滚动财政规划表。</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3.节能降耗方面：水、电、油202</w:t>
      </w:r>
      <w:r>
        <w:rPr>
          <w:rFonts w:hint="eastAsia" w:ascii="仿宋_GB2312" w:hAnsi="仿宋_GB2312"/>
          <w:sz w:val="32"/>
          <w:szCs w:val="32"/>
          <w:lang w:val="en-US" w:eastAsia="zh-CN"/>
        </w:rPr>
        <w:t>1</w:t>
      </w:r>
      <w:r>
        <w:rPr>
          <w:rFonts w:hint="eastAsia" w:ascii="仿宋_GB2312" w:eastAsia="仿宋_GB2312"/>
          <w:sz w:val="32"/>
          <w:szCs w:val="32"/>
        </w:rPr>
        <w:t>年、202</w:t>
      </w:r>
      <w:r>
        <w:rPr>
          <w:rFonts w:hint="eastAsia" w:ascii="仿宋_GB2312" w:hAnsi="仿宋_GB2312"/>
          <w:sz w:val="32"/>
          <w:szCs w:val="32"/>
          <w:lang w:val="en-US" w:eastAsia="zh-CN"/>
        </w:rPr>
        <w:t>2</w:t>
      </w:r>
      <w:r>
        <w:rPr>
          <w:rFonts w:hint="eastAsia" w:ascii="仿宋_GB2312" w:eastAsia="仿宋_GB2312"/>
          <w:sz w:val="32"/>
          <w:szCs w:val="32"/>
        </w:rPr>
        <w:t>年预算数差别不大。</w:t>
      </w:r>
    </w:p>
    <w:p>
      <w:pPr>
        <w:spacing w:line="560" w:lineRule="exact"/>
        <w:ind w:firstLine="640" w:firstLineChars="200"/>
        <w:rPr>
          <w:rFonts w:hint="eastAsia" w:ascii="仿宋_GB2312" w:eastAsia="仿宋_GB2312" w:cs="仿宋_GB2312"/>
          <w:bCs/>
          <w:sz w:val="32"/>
          <w:szCs w:val="32"/>
        </w:rPr>
      </w:pPr>
      <w:r>
        <w:rPr>
          <w:rFonts w:hint="eastAsia" w:ascii="仿宋_GB2312" w:eastAsia="仿宋_GB2312"/>
          <w:sz w:val="32"/>
          <w:szCs w:val="32"/>
        </w:rPr>
        <w:t>4.</w:t>
      </w:r>
      <w:r>
        <w:rPr>
          <w:rFonts w:hint="eastAsia" w:ascii="仿宋_GB2312" w:eastAsia="仿宋_GB2312" w:cs="仿宋_GB2312"/>
          <w:bCs/>
          <w:sz w:val="32"/>
          <w:szCs w:val="32"/>
        </w:rPr>
        <w:t>三公经费预算执行情况;</w:t>
      </w:r>
    </w:p>
    <w:p>
      <w:pPr>
        <w:spacing w:line="560" w:lineRule="exact"/>
        <w:ind w:firstLine="640" w:firstLineChars="200"/>
        <w:rPr>
          <w:rFonts w:hint="eastAsia" w:ascii="仿宋_GB2312" w:eastAsia="仿宋_GB2312" w:cs="仿宋_GB2312"/>
          <w:bCs/>
          <w:sz w:val="32"/>
          <w:szCs w:val="32"/>
        </w:rPr>
      </w:pPr>
      <w:r>
        <w:rPr>
          <w:rFonts w:hint="eastAsia" w:ascii="仿宋_GB2312" w:eastAsia="仿宋_GB2312" w:cs="仿宋_GB2312"/>
          <w:bCs/>
          <w:sz w:val="32"/>
          <w:szCs w:val="32"/>
        </w:rPr>
        <w:t>(1)202</w:t>
      </w:r>
      <w:r>
        <w:rPr>
          <w:rFonts w:hint="eastAsia" w:ascii="仿宋_GB2312" w:hAnsi="仿宋_GB2312" w:cs="仿宋_GB2312"/>
          <w:bCs/>
          <w:sz w:val="32"/>
          <w:szCs w:val="32"/>
          <w:lang w:val="en-US" w:eastAsia="zh-CN"/>
        </w:rPr>
        <w:t>1</w:t>
      </w:r>
      <w:r>
        <w:rPr>
          <w:rFonts w:hint="eastAsia" w:ascii="仿宋_GB2312" w:eastAsia="仿宋_GB2312" w:cs="仿宋_GB2312"/>
          <w:bCs/>
          <w:sz w:val="32"/>
          <w:szCs w:val="32"/>
        </w:rPr>
        <w:t>年“三公”经费:202</w:t>
      </w:r>
      <w:r>
        <w:rPr>
          <w:rFonts w:hint="eastAsia" w:ascii="仿宋_GB2312" w:hAnsi="仿宋_GB2312" w:cs="仿宋_GB2312"/>
          <w:bCs/>
          <w:sz w:val="32"/>
          <w:szCs w:val="32"/>
          <w:lang w:val="en-US" w:eastAsia="zh-CN"/>
        </w:rPr>
        <w:t>1</w:t>
      </w:r>
      <w:r>
        <w:rPr>
          <w:rFonts w:hint="eastAsia" w:ascii="仿宋_GB2312" w:eastAsia="仿宋_GB2312" w:cs="仿宋_GB2312"/>
          <w:bCs/>
          <w:sz w:val="32"/>
          <w:szCs w:val="32"/>
        </w:rPr>
        <w:t>年公务接待费</w:t>
      </w:r>
      <w:r>
        <w:rPr>
          <w:rFonts w:hint="eastAsia" w:ascii="仿宋_GB2312" w:hAnsi="仿宋_GB2312" w:cs="仿宋_GB2312"/>
          <w:bCs/>
          <w:sz w:val="32"/>
          <w:szCs w:val="32"/>
          <w:lang w:val="en-US" w:eastAsia="zh-CN"/>
        </w:rPr>
        <w:t>201.27</w:t>
      </w:r>
      <w:r>
        <w:rPr>
          <w:rFonts w:hint="eastAsia" w:ascii="仿宋_GB2312" w:eastAsia="仿宋_GB2312" w:cs="仿宋_GB2312"/>
          <w:bCs/>
          <w:sz w:val="32"/>
          <w:szCs w:val="32"/>
        </w:rPr>
        <w:t>万元，202</w:t>
      </w:r>
      <w:r>
        <w:rPr>
          <w:rFonts w:hint="eastAsia" w:ascii="仿宋_GB2312" w:hAnsi="仿宋_GB2312" w:cs="仿宋_GB2312"/>
          <w:bCs/>
          <w:sz w:val="32"/>
          <w:szCs w:val="32"/>
          <w:lang w:val="en-US" w:eastAsia="zh-CN"/>
        </w:rPr>
        <w:t>1</w:t>
      </w:r>
      <w:r>
        <w:rPr>
          <w:rFonts w:hint="eastAsia" w:ascii="仿宋_GB2312" w:eastAsia="仿宋_GB2312" w:cs="仿宋_GB2312"/>
          <w:bCs/>
          <w:sz w:val="32"/>
          <w:szCs w:val="32"/>
        </w:rPr>
        <w:t>年公务用车运行维护费0万元，20</w:t>
      </w:r>
      <w:r>
        <w:rPr>
          <w:rFonts w:hint="eastAsia" w:ascii="仿宋_GB2312" w:hAnsi="仿宋_GB2312" w:cs="仿宋_GB2312"/>
          <w:bCs/>
          <w:sz w:val="32"/>
          <w:szCs w:val="32"/>
          <w:lang w:val="en-US" w:eastAsia="zh-CN"/>
        </w:rPr>
        <w:t>21</w:t>
      </w:r>
      <w:r>
        <w:rPr>
          <w:rFonts w:hint="eastAsia" w:ascii="仿宋_GB2312" w:eastAsia="仿宋_GB2312" w:cs="仿宋_GB2312"/>
          <w:bCs/>
          <w:sz w:val="32"/>
          <w:szCs w:val="32"/>
        </w:rPr>
        <w:t>年财政下达公务接待费预算数3</w:t>
      </w:r>
      <w:r>
        <w:rPr>
          <w:rFonts w:hint="eastAsia" w:ascii="仿宋_GB2312" w:hAnsi="仿宋_GB2312" w:cs="仿宋_GB2312"/>
          <w:bCs/>
          <w:sz w:val="32"/>
          <w:szCs w:val="32"/>
          <w:lang w:val="en-US" w:eastAsia="zh-CN"/>
        </w:rPr>
        <w:t>20</w:t>
      </w:r>
      <w:r>
        <w:rPr>
          <w:rFonts w:hint="eastAsia" w:ascii="仿宋_GB2312" w:eastAsia="仿宋_GB2312" w:cs="仿宋_GB2312"/>
          <w:bCs/>
          <w:sz w:val="32"/>
          <w:szCs w:val="32"/>
        </w:rPr>
        <w:t>.00万元。</w:t>
      </w:r>
    </w:p>
    <w:p>
      <w:pPr>
        <w:spacing w:line="560" w:lineRule="exact"/>
        <w:ind w:firstLine="640" w:firstLineChars="200"/>
        <w:rPr>
          <w:rFonts w:hint="eastAsia" w:ascii="仿宋_GB2312" w:eastAsia="仿宋_GB2312" w:cs="仿宋_GB2312"/>
          <w:bCs/>
          <w:sz w:val="32"/>
          <w:szCs w:val="32"/>
        </w:rPr>
      </w:pPr>
      <w:r>
        <w:rPr>
          <w:rFonts w:hint="eastAsia" w:ascii="仿宋_GB2312" w:eastAsia="仿宋_GB2312" w:cs="仿宋_GB2312"/>
          <w:bCs/>
          <w:sz w:val="32"/>
          <w:szCs w:val="32"/>
        </w:rPr>
        <w:t>（2）2021年上半年“三公”经费:公务接待费0万元，2021年上半年公务用车维护费0万元。</w:t>
      </w:r>
    </w:p>
    <w:p>
      <w:pPr>
        <w:widowControl/>
        <w:adjustRightInd w:val="0"/>
        <w:snapToGrid w:val="0"/>
        <w:spacing w:line="560" w:lineRule="exact"/>
        <w:jc w:val="left"/>
        <w:rPr>
          <w:rFonts w:hint="eastAsia" w:ascii="楷体" w:eastAsia="楷体" w:cs="宋体"/>
          <w:color w:val="000000"/>
          <w:kern w:val="0"/>
          <w:lang w:val="zh-CN"/>
        </w:rPr>
      </w:pPr>
      <w:r>
        <w:rPr>
          <w:rFonts w:hint="eastAsia" w:ascii="楷体" w:eastAsia="楷体" w:cs="宋体"/>
          <w:color w:val="000000"/>
          <w:kern w:val="0"/>
          <w:sz w:val="32"/>
          <w:lang w:val="zh-CN"/>
        </w:rPr>
        <w:t>　　（三）综合管理情况。</w:t>
      </w:r>
    </w:p>
    <w:p>
      <w:pPr>
        <w:spacing w:line="560" w:lineRule="exact"/>
        <w:ind w:firstLine="640" w:firstLineChars="200"/>
        <w:rPr>
          <w:rFonts w:hint="eastAsia" w:ascii="仿宋_GB2312" w:eastAsia="仿宋_GB2312"/>
          <w:b/>
          <w:bCs/>
          <w:sz w:val="32"/>
          <w:szCs w:val="32"/>
        </w:rPr>
      </w:pPr>
      <w:r>
        <w:rPr>
          <w:rFonts w:hint="eastAsia" w:ascii="仿宋_GB2312" w:eastAsia="仿宋_GB2312"/>
          <w:color w:val="FF0000"/>
          <w:sz w:val="32"/>
          <w:szCs w:val="32"/>
        </w:rPr>
        <w:t xml:space="preserve"> </w:t>
      </w:r>
      <w:r>
        <w:rPr>
          <w:rFonts w:hint="eastAsia" w:ascii="仿宋_GB2312" w:eastAsia="仿宋_GB2312"/>
          <w:sz w:val="32"/>
          <w:szCs w:val="32"/>
        </w:rPr>
        <w:t>1.政府采购方面：无政府采购，零星采购严格按固定资产管理办法进行登记入账。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2.固定资产管理方面：本单位固定资产按科学合理、优化资产结构、勤俭节约的原则和专门的资产管理系统进行管理，截止202</w:t>
      </w:r>
      <w:r>
        <w:rPr>
          <w:rFonts w:hint="eastAsia" w:ascii="仿宋_GB2312" w:hAnsi="仿宋_GB2312"/>
          <w:sz w:val="32"/>
          <w:szCs w:val="32"/>
          <w:lang w:val="en-US" w:eastAsia="zh-CN"/>
        </w:rPr>
        <w:t>1</w:t>
      </w:r>
      <w:r>
        <w:rPr>
          <w:rFonts w:hint="eastAsia" w:ascii="仿宋_GB2312" w:eastAsia="仿宋_GB2312"/>
          <w:sz w:val="32"/>
          <w:szCs w:val="32"/>
        </w:rPr>
        <w:t>年12月3</w:t>
      </w:r>
      <w:r>
        <w:rPr>
          <w:rFonts w:hint="eastAsia" w:ascii="仿宋_GB2312" w:hAnsi="仿宋_GB2312"/>
          <w:sz w:val="32"/>
          <w:szCs w:val="32"/>
          <w:lang w:val="en-US" w:eastAsia="zh-CN"/>
        </w:rPr>
        <w:t>1</w:t>
      </w:r>
      <w:r>
        <w:rPr>
          <w:rFonts w:hint="eastAsia" w:ascii="仿宋_GB2312" w:eastAsia="仿宋_GB2312"/>
          <w:sz w:val="32"/>
          <w:szCs w:val="32"/>
        </w:rPr>
        <w:t>日，固定资产账面数</w:t>
      </w:r>
      <w:r>
        <w:rPr>
          <w:rFonts w:hint="eastAsia" w:ascii="仿宋_GB2312" w:hAnsi="仿宋_GB2312"/>
          <w:sz w:val="32"/>
          <w:szCs w:val="32"/>
          <w:lang w:val="en-US" w:eastAsia="zh-CN"/>
        </w:rPr>
        <w:t>12.27</w:t>
      </w:r>
      <w:r>
        <w:rPr>
          <w:rFonts w:hint="eastAsia" w:ascii="仿宋_GB2312" w:eastAsia="仿宋_GB2312"/>
          <w:sz w:val="32"/>
          <w:szCs w:val="32"/>
        </w:rPr>
        <w:t>万元，固定资产账面数据和固定资产管理系统数据一至。</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3.内控制度方面:为进一步做好行政事业单位内部控制基础性工作，贯彻执行县财政局《关于开展行政事业单位内部控制报告编报工作的通知》金财〔2017〕35号文件要求，结合我局实际，特制订以下制度草案。</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（1）金川县公务服务中心预算业务管理制度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（2）金川县公务服务中心财务收支管理制度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（3）金川县公务服务中心政府采购管理制度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（4）金川县公务服务中心资产管理制度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（5）金川县公务服务中心合同管理制度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（6）金川县公务服务中心办公室财务管理制度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（7）金川县公务服务中心办公室差旅费报销制度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（8）金川县公务服务中心办公室公务接待制度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（9）金川县公务服务中心办公室考勤制度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（10）金川县公务服务中心办公室销假制度</w:t>
      </w:r>
    </w:p>
    <w:p>
      <w:pPr>
        <w:spacing w:line="560" w:lineRule="exact"/>
        <w:rPr>
          <w:rFonts w:hint="eastAsia" w:ascii="仿宋_GB2312" w:eastAsia="仿宋_GB2312"/>
          <w:sz w:val="32"/>
          <w:szCs w:val="32"/>
        </w:rPr>
      </w:pPr>
      <w:r>
        <w:rPr>
          <w:rFonts w:hint="eastAsia" w:ascii="仿宋_GB2312" w:eastAsia="仿宋_GB2312"/>
          <w:sz w:val="32"/>
          <w:szCs w:val="32"/>
        </w:rPr>
        <w:t>　　（11）金川县公务服务中心公务用车日常管理使用制度</w:t>
      </w:r>
    </w:p>
    <w:p>
      <w:pPr>
        <w:spacing w:line="560" w:lineRule="exact"/>
        <w:rPr>
          <w:rFonts w:hint="eastAsia" w:ascii="仿宋_GB2312" w:eastAsia="仿宋_GB2312"/>
          <w:sz w:val="32"/>
          <w:szCs w:val="32"/>
        </w:rPr>
      </w:pPr>
      <w:r>
        <w:rPr>
          <w:rFonts w:hint="eastAsia" w:ascii="仿宋_GB2312" w:eastAsia="仿宋_GB2312"/>
          <w:sz w:val="32"/>
          <w:szCs w:val="32"/>
        </w:rPr>
        <w:t>　　（12）金川县公务服务中心办公室保密工作制度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（13）金川县公务服务中心办公室首问制度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（14）金川县公务服务中心办公室学习制度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（15）金川县公务服务中心办公室印章管理使用制度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（16）金川县公务服务中心环境卫生制度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（17）金川县公务服务中心计算机管理制度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4.信息公开方面：预算决算公开按财政局的要求在收到财政批复后20个工作日在金川县政府中心的信息网站进行公开。</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5.绩效评价及财政监督情况:按</w:t>
      </w:r>
      <w:r>
        <w:rPr>
          <w:rFonts w:hint="eastAsia" w:ascii="仿宋_GB2312" w:eastAsia="仿宋_GB2312"/>
          <w:bCs/>
          <w:sz w:val="32"/>
          <w:szCs w:val="32"/>
        </w:rPr>
        <w:t>金财监绩</w:t>
      </w:r>
      <w:r>
        <w:rPr>
          <w:rFonts w:hint="eastAsia" w:ascii="仿宋_GB2312" w:eastAsia="仿宋_GB2312" w:cs="仿宋_GB2312"/>
          <w:sz w:val="32"/>
          <w:szCs w:val="32"/>
        </w:rPr>
        <w:t>〔202</w:t>
      </w:r>
      <w:r>
        <w:rPr>
          <w:rFonts w:hint="eastAsia" w:ascii="仿宋_GB2312" w:hAnsi="仿宋_GB2312" w:cs="仿宋_GB2312"/>
          <w:sz w:val="32"/>
          <w:szCs w:val="32"/>
          <w:lang w:val="en-US" w:eastAsia="zh-CN"/>
        </w:rPr>
        <w:t>2</w:t>
      </w:r>
      <w:r>
        <w:rPr>
          <w:rFonts w:hint="eastAsia" w:ascii="仿宋_GB2312" w:eastAsia="仿宋_GB2312" w:cs="仿宋_GB2312"/>
          <w:sz w:val="32"/>
          <w:szCs w:val="32"/>
        </w:rPr>
        <w:t>〕</w:t>
      </w:r>
      <w:r>
        <w:rPr>
          <w:rFonts w:hint="eastAsia" w:ascii="仿宋_GB2312" w:hAnsi="仿宋_GB2312" w:cs="仿宋_GB2312"/>
          <w:sz w:val="32"/>
          <w:szCs w:val="32"/>
          <w:lang w:val="en-US" w:eastAsia="zh-CN"/>
        </w:rPr>
        <w:t>22</w:t>
      </w:r>
      <w:r>
        <w:rPr>
          <w:rFonts w:hint="eastAsia" w:ascii="仿宋_GB2312" w:eastAsia="仿宋_GB2312" w:cs="仿宋_GB2312"/>
          <w:sz w:val="32"/>
          <w:szCs w:val="32"/>
        </w:rPr>
        <w:t>号</w:t>
      </w:r>
      <w:r>
        <w:rPr>
          <w:rFonts w:hint="eastAsia" w:ascii="仿宋_GB2312" w:eastAsia="仿宋_GB2312"/>
          <w:bCs/>
          <w:sz w:val="32"/>
          <w:szCs w:val="32"/>
        </w:rPr>
        <w:t>文件的附件</w:t>
      </w:r>
      <w:r>
        <w:rPr>
          <w:rFonts w:hint="eastAsia" w:ascii="仿宋_GB2312" w:eastAsia="仿宋_GB2312"/>
          <w:bCs/>
          <w:sz w:val="32"/>
          <w:szCs w:val="32"/>
          <w:lang w:val="en-US" w:eastAsia="zh-CN"/>
        </w:rPr>
        <w:t>1</w:t>
      </w:r>
      <w:r>
        <w:rPr>
          <w:rFonts w:hint="eastAsia" w:ascii="仿宋_GB2312" w:eastAsia="仿宋_GB2312"/>
          <w:sz w:val="32"/>
          <w:szCs w:val="32"/>
        </w:rPr>
        <w:t>部门支出绩效评价指标体系进行单位自评，按财政要求收支并接受财政的监督管理。</w:t>
      </w:r>
    </w:p>
    <w:p>
      <w:pPr>
        <w:widowControl/>
        <w:adjustRightInd w:val="0"/>
        <w:snapToGrid w:val="0"/>
        <w:spacing w:line="560" w:lineRule="exact"/>
        <w:ind w:firstLine="720"/>
        <w:jc w:val="left"/>
        <w:rPr>
          <w:rFonts w:hint="eastAsia" w:ascii="楷体" w:eastAsia="楷体" w:cs="宋体"/>
          <w:kern w:val="0"/>
          <w:lang w:val="zh-CN"/>
        </w:rPr>
      </w:pPr>
      <w:r>
        <w:rPr>
          <w:rFonts w:hint="eastAsia" w:ascii="楷体" w:eastAsia="楷体" w:cs="宋体"/>
          <w:kern w:val="0"/>
          <w:sz w:val="32"/>
          <w:lang w:val="zh-CN"/>
        </w:rPr>
        <w:t>（四）整体绩效。</w:t>
      </w:r>
    </w:p>
    <w:p>
      <w:pPr>
        <w:widowControl/>
        <w:adjustRightInd w:val="0"/>
        <w:snapToGrid w:val="0"/>
        <w:spacing w:line="560" w:lineRule="exact"/>
        <w:ind w:firstLine="720"/>
        <w:jc w:val="left"/>
        <w:rPr>
          <w:rFonts w:hint="eastAsia" w:ascii="仿宋_GB2312" w:eastAsia="仿宋_GB2312" w:cs="宋体"/>
          <w:kern w:val="0"/>
          <w:lang w:val="zh-CN"/>
        </w:rPr>
      </w:pPr>
      <w:r>
        <w:rPr>
          <w:rFonts w:hint="eastAsia" w:ascii="仿宋_GB2312" w:eastAsia="仿宋_GB2312" w:cs="宋体"/>
          <w:kern w:val="0"/>
          <w:sz w:val="32"/>
          <w:lang w:val="zh-CN"/>
        </w:rPr>
        <w:t>包括部门职责履行结果、重点项目绩效评价结果和服务对象满意度等。</w:t>
      </w:r>
    </w:p>
    <w:p>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snapToGrid w:val="0"/>
        <w:spacing w:line="560" w:lineRule="exact"/>
        <w:ind w:firstLine="640" w:firstLineChars="200"/>
        <w:rPr>
          <w:rFonts w:hint="eastAsia" w:ascii="仿宋_GB2312" w:eastAsia="仿宋_GB2312" w:cs="宋体"/>
          <w:color w:val="000000"/>
          <w:kern w:val="0"/>
          <w:sz w:val="32"/>
          <w:lang w:val="zh-CN"/>
        </w:rPr>
      </w:pPr>
      <w:r>
        <w:rPr>
          <w:rFonts w:hint="eastAsia" w:ascii="仿宋_GB2312" w:eastAsia="仿宋_GB2312" w:cs="宋体"/>
          <w:color w:val="000000"/>
          <w:kern w:val="0"/>
          <w:sz w:val="32"/>
          <w:lang w:val="zh-CN"/>
        </w:rPr>
        <w:t>（一）评价结论。</w:t>
      </w:r>
    </w:p>
    <w:p>
      <w:pPr>
        <w:snapToGrid w:val="0"/>
        <w:spacing w:line="560" w:lineRule="exact"/>
        <w:ind w:firstLine="640" w:firstLineChars="200"/>
        <w:rPr>
          <w:rFonts w:hint="eastAsia" w:ascii="仿宋_GB2312" w:eastAsia="仿宋_GB2312"/>
          <w:bCs/>
          <w:sz w:val="32"/>
          <w:szCs w:val="32"/>
        </w:rPr>
      </w:pPr>
      <w:r>
        <w:rPr>
          <w:rFonts w:hint="eastAsia" w:ascii="仿宋_GB2312" w:eastAsia="仿宋_GB2312"/>
          <w:bCs/>
          <w:sz w:val="32"/>
          <w:szCs w:val="32"/>
        </w:rPr>
        <w:t>按金财监绩</w:t>
      </w:r>
      <w:r>
        <w:rPr>
          <w:rFonts w:hint="eastAsia" w:ascii="宋体" w:eastAsia="宋体" w:cs="宋体"/>
          <w:bCs/>
          <w:sz w:val="32"/>
          <w:szCs w:val="32"/>
        </w:rPr>
        <w:t>〔</w:t>
      </w:r>
      <w:r>
        <w:rPr>
          <w:rFonts w:hint="eastAsia" w:ascii="宋体" w:eastAsia="宋体" w:cs="宋体"/>
          <w:bCs/>
          <w:sz w:val="32"/>
          <w:szCs w:val="32"/>
          <w:lang w:val="en-US" w:eastAsia="zh-CN"/>
        </w:rPr>
        <w:t>2022</w:t>
      </w:r>
      <w:r>
        <w:rPr>
          <w:rFonts w:hint="eastAsia" w:ascii="宋体" w:eastAsia="宋体" w:cs="宋体"/>
          <w:bCs/>
          <w:sz w:val="32"/>
          <w:szCs w:val="32"/>
        </w:rPr>
        <w:t>〕</w:t>
      </w:r>
      <w:r>
        <w:rPr>
          <w:rFonts w:hint="eastAsia" w:ascii="仿宋_GB2312" w:eastAsia="仿宋_GB2312"/>
          <w:bCs/>
          <w:sz w:val="32"/>
          <w:szCs w:val="32"/>
        </w:rPr>
        <w:t>2</w:t>
      </w:r>
      <w:r>
        <w:rPr>
          <w:rFonts w:hint="eastAsia" w:ascii="仿宋_GB2312" w:hAnsi="仿宋_GB2312"/>
          <w:bCs/>
          <w:sz w:val="32"/>
          <w:szCs w:val="32"/>
          <w:lang w:val="en-US" w:eastAsia="zh-CN"/>
        </w:rPr>
        <w:t>2</w:t>
      </w:r>
      <w:r>
        <w:rPr>
          <w:rFonts w:hint="eastAsia" w:ascii="仿宋_GB2312" w:eastAsia="仿宋_GB2312"/>
          <w:bCs/>
          <w:sz w:val="32"/>
          <w:szCs w:val="32"/>
        </w:rPr>
        <w:t>号文件附件</w:t>
      </w:r>
      <w:r>
        <w:rPr>
          <w:rFonts w:hint="eastAsia" w:ascii="仿宋_GB2312" w:eastAsia="仿宋_GB2312"/>
          <w:bCs/>
          <w:sz w:val="32"/>
          <w:szCs w:val="32"/>
          <w:lang w:val="en-US" w:eastAsia="zh-CN"/>
        </w:rPr>
        <w:t>1</w:t>
      </w:r>
      <w:r>
        <w:rPr>
          <w:rFonts w:hint="eastAsia" w:ascii="仿宋_GB2312" w:eastAsia="仿宋_GB2312"/>
          <w:bCs/>
          <w:sz w:val="32"/>
          <w:szCs w:val="32"/>
        </w:rPr>
        <w:t>部门支出绩效评价指标体系进行单位自评，圆满完成绩效自评工作，圆满完成中央、省、州委和县的重要工作、目标任务。</w:t>
      </w:r>
    </w:p>
    <w:p>
      <w:pPr>
        <w:widowControl/>
        <w:adjustRightInd w:val="0"/>
        <w:snapToGrid w:val="0"/>
        <w:spacing w:line="560" w:lineRule="exact"/>
        <w:ind w:firstLine="640" w:firstLineChars="200"/>
        <w:jc w:val="left"/>
        <w:rPr>
          <w:rFonts w:hint="eastAsia" w:ascii="仿宋_GB2312" w:eastAsia="仿宋_GB2312" w:cs="宋体"/>
          <w:color w:val="000000"/>
          <w:kern w:val="0"/>
          <w:sz w:val="32"/>
          <w:lang w:val="zh-CN"/>
        </w:rPr>
      </w:pPr>
      <w:r>
        <w:rPr>
          <w:rFonts w:hint="eastAsia" w:ascii="仿宋_GB2312" w:eastAsia="仿宋_GB2312" w:cs="宋体"/>
          <w:color w:val="000000"/>
          <w:kern w:val="0"/>
          <w:sz w:val="32"/>
          <w:lang w:val="zh-CN"/>
        </w:rPr>
        <w:t>（二）存在问题。</w:t>
      </w:r>
    </w:p>
    <w:p>
      <w:pPr>
        <w:snapToGrid w:val="0"/>
        <w:spacing w:line="560" w:lineRule="exact"/>
        <w:ind w:firstLine="640" w:firstLineChars="200"/>
        <w:rPr>
          <w:rFonts w:hint="eastAsia" w:ascii="仿宋_GB2312" w:eastAsia="仿宋_GB2312" w:cs="宋体"/>
          <w:color w:val="000000"/>
          <w:kern w:val="0"/>
          <w:sz w:val="32"/>
          <w:lang w:val="zh-CN"/>
        </w:rPr>
      </w:pPr>
      <w:r>
        <w:rPr>
          <w:rFonts w:hint="eastAsia" w:ascii="仿宋_GB2312" w:eastAsia="仿宋_GB2312"/>
          <w:bCs/>
          <w:sz w:val="32"/>
          <w:szCs w:val="32"/>
        </w:rPr>
        <w:t>综合全局情况，收发文件、传递文件还不够及时；公务接待工作还不够细致；资产管理和公务用车、后勤保障和节能工作力度还应加强；财务管理制度有待加强</w:t>
      </w:r>
      <w:r>
        <w:rPr>
          <w:rFonts w:hint="eastAsia" w:ascii="仿宋_GB2312" w:eastAsia="仿宋_GB2312"/>
          <w:sz w:val="32"/>
          <w:szCs w:val="32"/>
        </w:rPr>
        <w:t>。</w:t>
      </w:r>
    </w:p>
    <w:p>
      <w:pPr>
        <w:widowControl/>
        <w:adjustRightInd w:val="0"/>
        <w:snapToGrid w:val="0"/>
        <w:spacing w:line="560" w:lineRule="exact"/>
        <w:ind w:firstLine="640" w:firstLineChars="200"/>
        <w:jc w:val="left"/>
        <w:rPr>
          <w:rFonts w:hint="eastAsia" w:ascii="仿宋_GB2312" w:eastAsia="仿宋_GB2312" w:cs="宋体"/>
          <w:color w:val="000000"/>
          <w:kern w:val="0"/>
          <w:sz w:val="32"/>
          <w:lang w:val="zh-CN"/>
        </w:rPr>
      </w:pPr>
      <w:r>
        <w:rPr>
          <w:rFonts w:hint="eastAsia" w:ascii="仿宋_GB2312" w:eastAsia="仿宋_GB2312" w:cs="宋体"/>
          <w:color w:val="000000"/>
          <w:kern w:val="0"/>
          <w:sz w:val="32"/>
          <w:lang w:val="zh-CN"/>
        </w:rPr>
        <w:t>（三）改进建议。</w:t>
      </w:r>
    </w:p>
    <w:p>
      <w:pPr>
        <w:widowControl/>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1、严格按照《</w:t>
      </w:r>
      <w:r>
        <w:rPr>
          <w:rFonts w:hint="eastAsia" w:ascii="仿宋_GB2312" w:hAnsi="仿宋_GB2312" w:eastAsia="仿宋_GB2312" w:cs="仿宋_GB2312"/>
          <w:color w:val="000000"/>
          <w:kern w:val="0"/>
          <w:sz w:val="32"/>
          <w:szCs w:val="32"/>
          <w:lang w:val="zh-CN"/>
        </w:rPr>
        <w:t>中华人民共和国会计法</w:t>
      </w:r>
      <w:bookmarkStart w:id="177" w:name="_GoBack"/>
      <w:bookmarkEnd w:id="177"/>
      <w:r>
        <w:rPr>
          <w:rFonts w:hint="eastAsia" w:ascii="仿宋_GB2312" w:eastAsia="仿宋_GB2312"/>
          <w:color w:val="000000"/>
          <w:sz w:val="32"/>
          <w:szCs w:val="32"/>
        </w:rPr>
        <w:t>》、《行政单位会计制度》、《行政单位财务规则》等规定执行财务核算，并结合实际情况，完整、准确地披露相关信息，尽可能地做到决算与预算相衔接。</w:t>
      </w:r>
    </w:p>
    <w:p>
      <w:pPr>
        <w:pStyle w:val="12"/>
        <w:spacing w:before="0" w:beforeAutospacing="0" w:after="0" w:afterAutospacing="0" w:line="560" w:lineRule="exact"/>
        <w:ind w:firstLine="640" w:firstLineChars="200"/>
        <w:rPr>
          <w:rFonts w:hint="eastAsia" w:ascii="仿宋_GB2312" w:eastAsia="仿宋_GB2312" w:cs="Times New Roman"/>
          <w:color w:val="000000"/>
          <w:kern w:val="2"/>
          <w:sz w:val="32"/>
          <w:szCs w:val="32"/>
        </w:rPr>
      </w:pPr>
      <w:r>
        <w:rPr>
          <w:rFonts w:hint="eastAsia" w:ascii="仿宋_GB2312" w:eastAsia="仿宋_GB2312" w:cs="Times New Roman"/>
          <w:color w:val="000000"/>
          <w:kern w:val="2"/>
          <w:sz w:val="32"/>
          <w:szCs w:val="32"/>
        </w:rPr>
        <w:t xml:space="preserve">2、进一步加强内部控制，加强内部管理；注重资金管理的事前、事中、事后的全过程监督，加强资金使用效率。 </w:t>
      </w:r>
    </w:p>
    <w:p>
      <w:pPr>
        <w:widowControl/>
        <w:adjustRightInd w:val="0"/>
        <w:snapToGrid w:val="0"/>
        <w:spacing w:line="560" w:lineRule="exact"/>
        <w:ind w:firstLine="640" w:firstLineChars="200"/>
        <w:jc w:val="left"/>
        <w:rPr>
          <w:rFonts w:hint="eastAsia" w:ascii="仿宋_GB2312" w:eastAsia="仿宋_GB2312"/>
          <w:bCs/>
          <w:sz w:val="32"/>
          <w:szCs w:val="32"/>
        </w:rPr>
      </w:pPr>
      <w:r>
        <w:rPr>
          <w:rFonts w:hint="eastAsia" w:ascii="仿宋_GB2312" w:eastAsia="仿宋_GB2312"/>
          <w:sz w:val="32"/>
          <w:szCs w:val="32"/>
        </w:rPr>
        <w:t>3、加强会计核算和财务管理能力，</w:t>
      </w:r>
      <w:r>
        <w:rPr>
          <w:rFonts w:hint="eastAsia" w:ascii="仿宋_GB2312" w:eastAsia="仿宋_GB2312"/>
          <w:bCs/>
          <w:sz w:val="32"/>
          <w:szCs w:val="32"/>
        </w:rPr>
        <w:t>请财政局多指导我们部门的工作，不规范的收支请及给我们指出，及时与财政局相关科室对接工作，提升工作效率。</w:t>
      </w:r>
    </w:p>
    <w:p>
      <w:pPr>
        <w:spacing w:line="600" w:lineRule="exact"/>
        <w:jc w:val="center"/>
        <w:outlineLvl w:val="0"/>
        <w:rPr>
          <w:rFonts w:hint="eastAsia" w:ascii="黑体" w:eastAsia="黑体"/>
          <w:color w:val="000000"/>
          <w:sz w:val="44"/>
          <w:szCs w:val="44"/>
        </w:rPr>
      </w:pPr>
    </w:p>
    <w:bookmarkEnd w:id="175"/>
    <w:bookmarkEnd w:id="176"/>
    <w:p>
      <w:pPr>
        <w:spacing w:line="600" w:lineRule="exact"/>
        <w:jc w:val="center"/>
        <w:outlineLvl w:val="0"/>
        <w:rPr>
          <w:rFonts w:hint="eastAsia" w:ascii="黑体" w:eastAsia="黑体"/>
          <w:color w:val="000000"/>
          <w:sz w:val="44"/>
          <w:szCs w:val="44"/>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7409615"/>
      <w:docPartList>
        <w:docPartGallery w:val="autotext"/>
      </w:docPartList>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D1F0CDF"/>
    <w:multiLevelType w:val="singleLevel"/>
    <w:tmpl w:val="DD1F0CDF"/>
    <w:lvl w:ilvl="0" w:tentative="0">
      <w:start w:val="2"/>
      <w:numFmt w:val="chineseCounting"/>
      <w:suff w:val="nothing"/>
      <w:lvlText w:val="（%1）"/>
      <w:lvlJc w:val="left"/>
      <w:pPr>
        <w:tabs>
          <w:tab w:val="left" w:pos="0"/>
        </w:tabs>
        <w:ind w:left="0" w:firstLine="0"/>
      </w:pPr>
      <w:rPr>
        <w:rFonts w:hint="eastAsia"/>
      </w:rPr>
    </w:lvl>
  </w:abstractNum>
  <w:abstractNum w:abstractNumId="2">
    <w:nsid w:val="E13FC95E"/>
    <w:multiLevelType w:val="singleLevel"/>
    <w:tmpl w:val="E13FC95E"/>
    <w:lvl w:ilvl="0" w:tentative="0">
      <w:start w:val="2"/>
      <w:numFmt w:val="chineseCounting"/>
      <w:suff w:val="nothing"/>
      <w:lvlText w:val="（%1）"/>
      <w:lvlJc w:val="left"/>
      <w:pPr>
        <w:tabs>
          <w:tab w:val="left" w:pos="0"/>
        </w:tabs>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4">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746F7071"/>
    <w:multiLevelType w:val="singleLevel"/>
    <w:tmpl w:val="746F7071"/>
    <w:lvl w:ilvl="0" w:tentative="0">
      <w:start w:val="3"/>
      <w:numFmt w:val="chineseCounting"/>
      <w:suff w:val="nothing"/>
      <w:lvlText w:val="（%1）"/>
      <w:lvlJc w:val="left"/>
      <w:pPr>
        <w:tabs>
          <w:tab w:val="left" w:pos="0"/>
        </w:tabs>
        <w:ind w:left="0" w:firstLine="0"/>
      </w:pPr>
      <w:rPr>
        <w:rFonts w:hint="eastAsia"/>
      </w:rPr>
    </w:lvl>
  </w:abstractNum>
  <w:num w:numId="1">
    <w:abstractNumId w:val="6"/>
  </w:num>
  <w:num w:numId="2">
    <w:abstractNumId w:val="0"/>
  </w:num>
  <w:num w:numId="3">
    <w:abstractNumId w:val="5"/>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mRjOTJlNzJjZmZkOTQxZDA4NjRhMDllMWM3ZmQ2OTgifQ=="/>
  </w:docVars>
  <w:rsids>
    <w:rsidRoot w:val="00000000"/>
    <w:rsid w:val="08C00547"/>
    <w:rsid w:val="16023F03"/>
    <w:rsid w:val="23217884"/>
    <w:rsid w:val="2C161B9B"/>
    <w:rsid w:val="61F14AE4"/>
    <w:rsid w:val="767114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widowControl/>
      <w:spacing w:before="100" w:beforeAutospacing="1" w:after="100" w:afterAutospacing="1"/>
      <w:jc w:val="left"/>
    </w:pPr>
    <w:rPr>
      <w:rFonts w:ascii="宋体" w:cs="宋体"/>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9709515"/>
          <c:y val="0.19637918"/>
          <c:w val="0.7639713"/>
          <c:h val="0.69905764"/>
        </c:manualLayout>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{311.89,350.67}</c:f>
              <c:numCache>
                <c:formatCode>General</c:formatCode>
                <c:ptCount val="2"/>
                <c:pt idx="0">
                  <c:v>311.89</c:v>
                </c:pt>
                <c:pt idx="1">
                  <c:v>350.67</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{311.89,350.67}</c:f>
              <c:numCache>
                <c:formatCode>General</c:formatCode>
                <c:ptCount val="2"/>
                <c:pt idx="0">
                  <c:v>311.89</c:v>
                </c:pt>
                <c:pt idx="1">
                  <c:v>350.67</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solidFill>
          <a:srgbClr val="FFFFFF"/>
        </a:solid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a:t>支出决算结构图</a:t>
            </a:r>
            <a:endParaRPr lang="zh-CN"/>
          </a:p>
        </c:rich>
      </c:tx>
      <c:layout/>
      <c:overlay val="0"/>
      <c:spPr>
        <a:ln>
          <a:noFill/>
        </a:ln>
      </c:spPr>
    </c:title>
    <c:autoTitleDeleted val="0"/>
    <c:plotArea>
      <c:layout/>
      <c:pieChart>
        <c:varyColors val="1"/>
        <c:ser>
          <c:idx val="0"/>
          <c:order val="0"/>
          <c:tx>
            <c:strRef>
              <c:f>支出决算结构图</c:f>
              <c:strCache>
                <c:ptCount val="1"/>
                <c:pt idx="0">
                  <c:v>支出决算结构图</c:v>
                </c:pt>
              </c:strCache>
            </c:strRef>
          </c:tx>
          <c:spPr>
            <a:ln>
              <a:noFill/>
            </a:ln>
          </c:spPr>
          <c:explosion val="0"/>
          <c:dPt>
            <c:idx val="0"/>
            <c:bubble3D val="0"/>
            <c:spPr>
              <a:solidFill>
                <a:srgbClr val="4F81BD"/>
              </a:solidFill>
            </c:spPr>
          </c:dPt>
          <c:dPt>
            <c:idx val="1"/>
            <c:bubble3D val="0"/>
            <c:spPr>
              <a:solidFill>
                <a:srgbClr val="C0504D"/>
              </a:solidFill>
            </c:spPr>
          </c:dPt>
          <c:dLbls>
            <c:dLbl>
              <c:idx val="0"/>
              <c:delete val="1"/>
            </c:dLbl>
            <c:dLbl>
              <c:idx val="1"/>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{"基本支出","项目支出"}</c:f>
              <c:strCache>
                <c:ptCount val="2"/>
                <c:pt idx="0">
                  <c:v>基本支出</c:v>
                </c:pt>
                <c:pt idx="1">
                  <c:v>项目支出</c:v>
                </c:pt>
              </c:strCache>
            </c:strRef>
          </c:cat>
          <c:val>
            <c:numRef>
              <c:f>{100,0}</c:f>
              <c:numCache>
                <c:formatCode>General</c:formatCode>
                <c:ptCount val="2"/>
                <c:pt idx="0">
                  <c:v>100</c:v>
                </c:pt>
                <c:pt idx="1">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071745"/>
          <c:y val="0.18365686"/>
          <c:w val="0.7639713"/>
          <c:h val="0.72631025"/>
        </c:manualLayout>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{311.89,350.67}</c:f>
              <c:numCache>
                <c:formatCode>General</c:formatCode>
                <c:ptCount val="2"/>
                <c:pt idx="0">
                  <c:v>311.89</c:v>
                </c:pt>
                <c:pt idx="1">
                  <c:v>350.67</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{311.89,350.67}</c:f>
              <c:numCache>
                <c:formatCode>General</c:formatCode>
                <c:ptCount val="2"/>
                <c:pt idx="0">
                  <c:v>311.89</c:v>
                </c:pt>
                <c:pt idx="1">
                  <c:v>350.67</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solidFill>
          <a:srgbClr val="FFFFFF"/>
        </a:solid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a:t>一般公共预算财政拨款支出决算变动情况</a:t>
            </a:r>
            <a:endParaRPr lang="zh-CN"/>
          </a:p>
        </c:rich>
      </c:tx>
      <c:layout>
        <c:manualLayout>
          <c:xMode val="edge"/>
          <c:yMode val="edge"/>
          <c:x val="0.103975534"/>
          <c:y val="0.006843066"/>
        </c:manualLayout>
      </c:layout>
      <c:overlay val="0"/>
      <c:spPr>
        <a:ln>
          <a:noFill/>
        </a:ln>
      </c:spPr>
    </c:title>
    <c:autoTitleDeleted val="0"/>
    <c:plotArea>
      <c:layout/>
      <c:barChart>
        <c:barDir val="col"/>
        <c:grouping val="clustered"/>
        <c:varyColors val="0"/>
        <c:ser>
          <c:idx val="0"/>
          <c:order val="0"/>
          <c:tx>
            <c:strRef>
              <c:f>一般公共预算财政拨款支出决算变动情况</c:f>
              <c:strCache>
                <c:ptCount val="1"/>
                <c:pt idx="0">
                  <c:v>一般公共预算财政拨款支出决算变动情况</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{"2020年","2021年"}</c:f>
              <c:strCache>
                <c:ptCount val="2"/>
                <c:pt idx="0">
                  <c:v>2020年</c:v>
                </c:pt>
                <c:pt idx="1">
                  <c:v>2021年</c:v>
                </c:pt>
              </c:strCache>
            </c:strRef>
          </c:cat>
          <c:val>
            <c:numRef>
              <c:f>{311.89,350.67}</c:f>
              <c:numCache>
                <c:formatCode>General</c:formatCode>
                <c:ptCount val="2"/>
                <c:pt idx="0">
                  <c:v>311.89</c:v>
                </c:pt>
                <c:pt idx="1">
                  <c:v>350.67</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solidFill>
          <a:srgbClr val="FFFFFF"/>
        </a:solidFill>
        <a:ln>
          <a:noFill/>
        </a:ln>
      </c:spPr>
    </c:plotArea>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a:t>一般公共预算财政拨款支出决算结构</a:t>
            </a:r>
            <a:endParaRPr lang="zh-CN"/>
          </a:p>
        </c:rich>
      </c:tx>
      <c:layout/>
      <c:overlay val="0"/>
      <c:spPr>
        <a:ln>
          <a:noFill/>
        </a:ln>
      </c:spPr>
    </c:title>
    <c:autoTitleDeleted val="0"/>
    <c:plotArea>
      <c:layout/>
      <c:pieChart>
        <c:varyColors val="1"/>
        <c:ser>
          <c:idx val="0"/>
          <c:order val="0"/>
          <c:tx>
            <c:strRef>
              <c:f>一般公共预算财政拨款支出决算结构</c:f>
              <c:strCache>
                <c:ptCount val="1"/>
                <c:pt idx="0">
                  <c:v>一般公共预算财政拨款支出决算结构</c:v>
                </c:pt>
              </c:strCache>
            </c:strRef>
          </c:tx>
          <c:spPr>
            <a:ln>
              <a:noFill/>
            </a:ln>
          </c:spPr>
          <c:explosion val="13"/>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1"/>
              <c:layout>
                <c:manualLayout>
                  <c:x val="-0.019056005"/>
                  <c:y val="-0.029473972"/>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1115363"/>
                  <c:y val="-0.0696161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1105425"/>
                  <c:y val="0.0053164186"/>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{92.01,3.92,1.64,2.43}</c:f>
              <c:numCache>
                <c:formatCode>General</c:formatCode>
                <c:ptCount val="4"/>
                <c:pt idx="0">
                  <c:v>92.01</c:v>
                </c:pt>
                <c:pt idx="1">
                  <c:v>3.92</c:v>
                </c:pt>
                <c:pt idx="2">
                  <c:v>1.64</c:v>
                </c:pt>
                <c:pt idx="3">
                  <c:v>2.43</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gap"/>
    <c:showDLblsOverMax val="0"/>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0.5158809</cdr:x>
      <cdr:y>0.07639006</cdr:y>
    </cdr:from>
    <cdr:to>
      <cdr:x>0.70636</cdr:x>
      <cdr:y>0.40972847</cdr:y>
    </cdr:to>
    <cdr:sp>
      <cdr:nvSpPr>
        <cdr:cNvPr id="2" name="矩形 1"/>
        <cdr:cNvSpPr/>
      </cdr:nvSpPr>
      <cdr:spPr xmlns:a="http://schemas.openxmlformats.org/drawingml/2006/main">
        <a:xfrm xmlns:a="http://schemas.openxmlformats.org/drawingml/2006/main">
          <a:off x="2476500" y="209550"/>
          <a:ext cx="914400" cy="914400"/>
        </a:xfrm>
        <a:prstGeom xmlns:a="http://schemas.openxmlformats.org/drawingml/2006/main" prst="rect">
          <a:avLst/>
        </a:prstGeom>
        <a:noFill/>
        <a:ln w="9525" cap="flat" cmpd="sng">
          <a:noFill/>
          <a:prstDash val="solid"/>
          <a:miter/>
        </a:ln>
      </cdr:spPr>
    </cdr:sp>
  </cdr:relSizeAnchor>
  <cdr:relSizeAnchor xmlns:cdr="http://schemas.openxmlformats.org/drawingml/2006/chartDrawing">
    <cdr:from>
      <cdr:x>0.34921166</cdr:x>
      <cdr:y>0.10416826</cdr:y>
    </cdr:from>
    <cdr:to>
      <cdr:x>0.5396908</cdr:x>
      <cdr:y>0.21528107</cdr:y>
    </cdr:to>
    <cdr:sp>
      <cdr:nvSpPr>
        <cdr:cNvPr id="3" name="矩形 2"/>
        <cdr:cNvSpPr/>
      </cdr:nvSpPr>
      <cdr:spPr xmlns:a="http://schemas.openxmlformats.org/drawingml/2006/main">
        <a:xfrm xmlns:a="http://schemas.openxmlformats.org/drawingml/2006/main">
          <a:off x="1676400" y="285750"/>
          <a:ext cx="914400" cy="304800"/>
        </a:xfrm>
        <a:prstGeom xmlns:a="http://schemas.openxmlformats.org/drawingml/2006/main" prst="rect">
          <a:avLst/>
        </a:prstGeom>
        <a:noFill/>
        <a:ln w="9525" cap="flat" cmpd="sng">
          <a:noFill/>
          <a:prstDash val="solid"/>
          <a:miter/>
        </a:ln>
      </cdr:spPr>
    </cdr:sp>
  </cdr:relSizeAnchor>
  <cdr:relSizeAnchor xmlns:cdr="http://schemas.openxmlformats.org/drawingml/2006/chartDrawing">
    <cdr:from>
      <cdr:x>0.17460583</cdr:x>
      <cdr:y>0.09722371</cdr:y>
    </cdr:from>
    <cdr:to>
      <cdr:x>0.90326583</cdr:x>
      <cdr:y>0.21180879</cdr:y>
    </cdr:to>
    <cdr:sp>
      <cdr:nvSpPr>
        <cdr:cNvPr id="4" name="矩形 3"/>
        <cdr:cNvSpPr/>
      </cdr:nvSpPr>
      <cdr:spPr xmlns:a="http://schemas.openxmlformats.org/drawingml/2006/main">
        <a:xfrm xmlns:a="http://schemas.openxmlformats.org/drawingml/2006/main">
          <a:off x="838200" y="266700"/>
          <a:ext cx="3497952" cy="314325"/>
        </a:xfrm>
        <a:prstGeom xmlns:a="http://schemas.openxmlformats.org/drawingml/2006/main" prst="rect">
          <a:avLst/>
        </a:prstGeom>
        <a:noFill/>
        <a:ln w="9525" cap="flat" cmpd="sng">
          <a:noFill/>
          <a:prstDash val="solid"/>
          <a:miter/>
        </a:ln>
      </cdr:spPr>
      <cdr:txBody xmlns:a="http://schemas.openxmlformats.org/drawingml/2006/main">
        <a:bodyPr vert="horz" wrap="none" lIns="45720" tIns="45720" rIns="45720" bIns="45720" anchor="t" anchorCtr="0">
          <a:normAutofit/>
        </a:bodyPr>
        <a:lstStyle/>
        <a:p>
          <a:pPr defTabSz="266700"/>
          <a:r>
            <a:rPr lang="en-US" altLang="zh-CN" sz="1800" b="1">
              <a:latin typeface="AR PL UKai CN"/>
              <a:ea typeface="AR PL UKai CN"/>
            </a:rPr>
            <a:t>财政拨款收、支决算总计变动情况</a:t>
          </a:r>
          <a:endParaRPr lang="en-US" altLang="zh-CN" sz="1800" b="1">
            <a:latin typeface="AR PL UKai CN"/>
            <a:ea typeface="AR PL UKai CN"/>
          </a:endParaRPr>
        </a:p>
      </cdr:txBody>
    </cdr:sp>
  </cdr:relSizeAnchor>
  <cdr:relSizeAnchor xmlns:cdr="http://schemas.openxmlformats.org/drawingml/2006/chartDrawing">
    <cdr:from>
      <cdr:x>0.45437202</cdr:x>
      <cdr:y>0.107640535</cdr:y>
    </cdr:from>
    <cdr:to>
      <cdr:x>0.6448511</cdr:x>
      <cdr:y>0.44097894</cdr:y>
    </cdr:to>
    <cdr:sp>
      <cdr:nvSpPr>
        <cdr:cNvPr id="5" name="矩形 4"/>
        <cdr:cNvSpPr/>
      </cdr:nvSpPr>
      <cdr:spPr xmlns:a="http://schemas.openxmlformats.org/drawingml/2006/main">
        <a:xfrm xmlns:a="http://schemas.openxmlformats.org/drawingml/2006/main">
          <a:off x="2181225" y="295275"/>
          <a:ext cx="914399" cy="914400"/>
        </a:xfrm>
        <a:prstGeom xmlns:a="http://schemas.openxmlformats.org/drawingml/2006/main" prst="rect">
          <a:avLst/>
        </a:prstGeom>
        <a:noFill/>
        <a:ln w="9525" cap="flat" cmpd="sng">
          <a:noFill/>
          <a:prstDash val="solid"/>
          <a:miter/>
        </a:ln>
      </cdr:spPr>
    </cdr:sp>
  </cdr:relSizeAnchor>
</c:userShapes>
</file>

<file path=word/drawings/drawing2.xml><?xml version="1.0" encoding="utf-8"?>
<c:userShapes xmlns:c="http://schemas.openxmlformats.org/drawingml/2006/chart">
  <cdr:relSizeAnchor xmlns:cdr="http://schemas.openxmlformats.org/drawingml/2006/chartDrawing">
    <cdr:from>
      <cdr:x>0.26786122</cdr:x>
      <cdr:y>0.08127703</cdr:y>
    </cdr:from>
    <cdr:to>
      <cdr:x>0.66689694</cdr:x>
      <cdr:y>0.22592938</cdr:y>
    </cdr:to>
    <cdr:sp>
      <cdr:nvSpPr>
        <cdr:cNvPr id="2" name="矩形 1"/>
        <cdr:cNvSpPr/>
      </cdr:nvSpPr>
      <cdr:spPr xmlns:a="http://schemas.openxmlformats.org/drawingml/2006/main">
        <a:xfrm xmlns:a="http://schemas.openxmlformats.org/drawingml/2006/main">
          <a:off x="1285875" y="209021"/>
          <a:ext cx="1915581" cy="372004"/>
        </a:xfrm>
        <a:prstGeom xmlns:a="http://schemas.openxmlformats.org/drawingml/2006/main" prst="rect">
          <a:avLst/>
        </a:prstGeom>
        <a:noFill/>
        <a:ln w="9525" cap="flat" cmpd="sng">
          <a:noFill/>
          <a:prstDash val="solid"/>
          <a:miter/>
        </a:ln>
      </cdr:spPr>
      <cdr:txBody xmlns:a="http://schemas.openxmlformats.org/drawingml/2006/main">
        <a:bodyPr vert="horz" wrap="none" lIns="45720" tIns="45720" rIns="45720" bIns="45720" anchor="t" anchorCtr="0">
          <a:normAutofit/>
        </a:bodyPr>
        <a:lstStyle/>
        <a:p>
          <a:pPr defTabSz="266700"/>
          <a:r>
            <a:rPr lang="en-US" altLang="zh-CN" sz="1800" b="1">
              <a:latin typeface="AR PL UKai CN"/>
              <a:ea typeface="AR PL UKai CN"/>
            </a:rPr>
            <a:t>收、支决算结构图</a:t>
          </a:r>
          <a:endParaRPr lang="en-US" altLang="zh-CN" sz="1800" b="1">
            <a:latin typeface="AR PL UKai CN"/>
            <a:ea typeface="AR PL UKai CN"/>
          </a:endParaRPr>
        </a:p>
      </cdr:txBody>
    </cdr:sp>
  </cdr:relSizeAnchor>
  <cdr:relSizeAnchor xmlns:cdr="http://schemas.openxmlformats.org/drawingml/2006/chartDrawing">
    <cdr:from>
      <cdr:x>0.43849877</cdr:x>
      <cdr:y>0.15926169</cdr:y>
    </cdr:from>
    <cdr:to>
      <cdr:x>0.62897784</cdr:x>
      <cdr:y>0.51482266</cdr:y>
    </cdr:to>
    <cdr:sp>
      <cdr:nvSpPr>
        <cdr:cNvPr id="3" name="矩形 2"/>
        <cdr:cNvSpPr/>
      </cdr:nvSpPr>
      <cdr:spPr xmlns:a="http://schemas.openxmlformats.org/drawingml/2006/main">
        <a:xfrm xmlns:a="http://schemas.openxmlformats.org/drawingml/2006/main">
          <a:off x="2105025" y="409575"/>
          <a:ext cx="914399" cy="914400"/>
        </a:xfrm>
        <a:prstGeom xmlns:a="http://schemas.openxmlformats.org/drawingml/2006/main" prst="rect">
          <a:avLst/>
        </a:prstGeom>
        <a:noFill/>
        <a:ln w="9525" cap="flat" cmpd="sng">
          <a:noFill/>
          <a:prstDash val="solid"/>
          <a:miter/>
        </a:ln>
      </cdr:spPr>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8889</Words>
  <Characters>9751</Characters>
  <Lines>565</Lines>
  <Paragraphs>197</Paragraphs>
  <TotalTime>0</TotalTime>
  <ScaleCrop>false</ScaleCrop>
  <LinksUpToDate>false</LinksUpToDate>
  <CharactersWithSpaces>9848</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云淡风清</cp:lastModifiedBy>
  <cp:lastPrinted>2020-09-29T10:36:00Z</cp:lastPrinted>
  <dcterms:modified xsi:type="dcterms:W3CDTF">2023-09-20T02:24:58Z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26122FE0D8B341708A6BB657F3E72521</vt:lpwstr>
  </property>
  <property fmtid="{D5CDD505-2E9C-101B-9397-08002B2CF9AE}" pid="4" name="commondata">
    <vt:lpwstr>eyJoZGlkIjoiNmRjOTJlNzJjZmZkOTQxZDA4NjRhMDllMWM3ZmQ2OTgifQ==</vt:lpwstr>
  </property>
</Properties>
</file>