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2026年金川县党史研究和地方志编纂中心部门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141.95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一是认真贯彻执行县委、政府各项决议决定。二是编纂出版《中国共产党金川县执政实录》（202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）卷。三是编纂出版精品年鉴《金川年鉴》（202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）卷。四是拍摄党史短视频。五是按照州地方志统一安排继续推进16个乡镇志、村志的编纂出版工作。六是编纂出版《金川县扶贫志》。七是编纂出版《党史》（1935年—1978年）。八是完成县委政府以及州委委党史研究室、州地方志办安排的其他工作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重点项目: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日常公用经费。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绩效指标设置情况：细化指标2个，包括产出指标、效益指标。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DejaVu Sans"/>
    <w:panose1 w:val="02020603050405020304"/>
    <w:charset w:val="86"/>
    <w:family w:val="auto"/>
    <w:pitch w:val="variable"/>
    <w:sig w:usb0="00000000" w:usb1="00000000" w:usb2="00000009" w:usb3="00000000" w:csb0="400001FF" w:csb1="FFFF0000"/>
  </w:font>
  <w:font w:name="方正小标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60</TotalTime>
  <Application>Yozo_Office27021597764231179</Application>
  <Pages>1</Pages>
  <Words>420</Words>
  <Characters>448</Characters>
  <Lines>24</Lines>
  <Paragraphs>10</Paragraphs>
  <CharactersWithSpaces>449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2023-02-06T14:46:00Z</dcterms:created>
  <dcterms:modified xsi:type="dcterms:W3CDTF">2026-03-11T02:57:20Z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2052-11.8.2.1130</vt:lpwstr>
  </property>
  <property fmtid="{D5CDD505-2E9C-101B-9397-08002B2CF9AE}" pid="3" name="ICV">
    <vt:lpwstr>2D4682B66FAA8D4C1439B467DBB68C10</vt:lpwstr>
  </property>
</Properties>
</file>