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8"/>
        <w:rPr>
          <w:rFonts w:ascii="Times New Roman" w:eastAsia="方正小标宋简体" w:cs="Times New Roman" w:hAnsi="Times New Roman" w:hint="eastAsia"/>
          <w:color w:val="auto"/>
          <w:kern w:val="2"/>
          <w:sz w:val="72"/>
          <w:szCs w:val="72"/>
          <w:lang w:val="en-US" w:eastAsia="zh-CN" w:bidi="ar-SA"/>
          <w:highlight w:val="auto"/>
        </w:rPr>
      </w:pPr>
      <w:bookmarkStart w:id="0" w:name="_Toc15377193"/>
      <w:bookmarkStart w:id="1" w:name="_Toc15396475"/>
      <w:bookmarkStart w:id="2" w:name="_Toc15377425"/>
      <w:bookmarkStart w:id="3" w:name="_Toc15378441"/>
      <w:bookmarkStart w:id="4" w:name="_Toc15396597"/>
      <w:bookmarkStart w:id="5" w:name="_Toc15306267"/>
    </w:p>
    <w:p>
      <w:pPr>
        <w:pStyle w:val="18"/>
        <w:rPr>
          <w:rFonts w:ascii="Times New Roman" w:eastAsia="方正小标宋简体" w:cs="Times New Roman" w:hAnsi="Times New Roman" w:hint="eastAsia"/>
          <w:color w:val="auto"/>
          <w:kern w:val="2"/>
          <w:sz w:val="72"/>
          <w:szCs w:val="72"/>
          <w:lang w:val="en-US" w:eastAsia="zh-CN" w:bidi="ar-SA"/>
          <w:highlight w:val="auto"/>
        </w:rPr>
      </w:pPr>
    </w:p>
    <w:p>
      <w:pPr>
        <w:pStyle w:val="18"/>
        <w:rPr>
          <w:rFonts w:ascii="Times New Roman" w:eastAsia="方正小标宋简体" w:cs="Times New Roman" w:hAnsi="Times New Roman" w:hint="eastAsia"/>
          <w:color w:val="auto"/>
          <w:kern w:val="2"/>
          <w:sz w:val="72"/>
          <w:szCs w:val="72"/>
          <w:lang w:val="en-US" w:eastAsia="zh-CN" w:bidi="ar-SA"/>
          <w:highlight w:val="auto"/>
        </w:rPr>
      </w:pPr>
    </w:p>
    <w:p>
      <w:pPr>
        <w:pStyle w:val="18"/>
        <w:jc w:val="center"/>
        <w:rPr>
          <w:rFonts w:ascii="Times New Roman" w:eastAsia="方正小标宋简体" w:cs="Times New Roman" w:hAnsi="Times New Roman" w:hint="eastAsia"/>
          <w:color w:val="auto"/>
          <w:kern w:val="2"/>
          <w:sz w:val="44"/>
          <w:szCs w:val="44"/>
          <w:lang w:val="en-US" w:eastAsia="zh-CN" w:bidi="ar-SA"/>
        </w:rPr>
      </w:pPr>
      <w:r>
        <w:rPr>
          <w:rFonts w:ascii="Times New Roman" w:eastAsia="方正小标宋简体" w:cs="Times New Roman" w:hAnsi="Times New Roman" w:hint="eastAsia"/>
          <w:color w:val="auto"/>
          <w:kern w:val="2"/>
          <w:sz w:val="44"/>
          <w:szCs w:val="44"/>
          <w:lang w:val="en-US" w:eastAsia="zh-CN" w:bidi="ar-SA"/>
          <w:highlight w:val="auto"/>
        </w:rPr>
        <w:t>2024年度</w:t>
      </w:r>
      <w:r>
        <w:rPr>
          <w:rFonts w:ascii="Times New Roman" w:eastAsia="方正小标宋简体" w:cs="Times New Roman" w:hAnsi="Times New Roman" w:hint="eastAsia"/>
          <w:color w:val="auto"/>
          <w:kern w:val="2"/>
          <w:sz w:val="44"/>
          <w:szCs w:val="44"/>
          <w:lang w:val="en-US" w:eastAsia="zh-CN" w:bidi="ar-SA"/>
        </w:rPr>
        <w:t>中共四川省阿坝州</w:t>
      </w:r>
    </w:p>
    <w:p>
      <w:pPr>
        <w:pStyle w:val="18"/>
        <w:jc w:val="center"/>
        <w:rPr>
          <w:rFonts w:ascii="Times New Roman" w:eastAsia="方正小标宋简体" w:cs="Times New Roman" w:hAnsi="Times New Roman"/>
          <w:color w:val="auto"/>
          <w:kern w:val="2"/>
          <w:sz w:val="44"/>
          <w:szCs w:val="44"/>
          <w:lang w:val="en-US" w:eastAsia="zh-CN" w:bidi="ar-SA"/>
        </w:rPr>
      </w:pPr>
      <w:r>
        <w:rPr>
          <w:rFonts w:ascii="Times New Roman" w:eastAsia="方正小标宋简体" w:cs="Times New Roman" w:hAnsi="Times New Roman" w:hint="eastAsia"/>
          <w:color w:val="auto"/>
          <w:kern w:val="2"/>
          <w:sz w:val="44"/>
          <w:szCs w:val="44"/>
          <w:lang w:val="en-US" w:eastAsia="zh-CN" w:bidi="ar-SA"/>
        </w:rPr>
        <w:t>金川县党史研究和地方志编纂中心</w:t>
      </w:r>
    </w:p>
    <w:p>
      <w:pPr>
        <w:pStyle w:val="18"/>
        <w:jc w:val="center"/>
        <w:rPr>
          <w:rFonts w:ascii="Times New Roman" w:eastAsia="方正小标宋简体" w:cs="Times New Roman" w:hAnsi="Times New Roman" w:hint="eastAsia"/>
          <w:color w:val="auto"/>
          <w:kern w:val="2"/>
          <w:sz w:val="44"/>
          <w:szCs w:val="44"/>
          <w:lang w:val="en-US" w:eastAsia="zh-CN" w:bidi="ar-SA"/>
          <w:highlight w:val="auto"/>
        </w:rPr>
      </w:pPr>
      <w:r>
        <w:rPr>
          <w:rFonts w:ascii="Times New Roman" w:eastAsia="方正小标宋简体" w:cs="Times New Roman" w:hAnsi="Times New Roman"/>
          <w:color w:val="auto"/>
          <w:kern w:val="2"/>
          <w:sz w:val="44"/>
          <w:szCs w:val="44"/>
          <w:lang w:val="en-US" w:eastAsia="zh-CN" w:bidi="ar-SA"/>
          <w:highlight w:val="auto"/>
        </w:rPr>
        <w:t>部门</w:t>
      </w:r>
      <w:r>
        <w:rPr>
          <w:rFonts w:ascii="Times New Roman" w:eastAsia="方正小标宋简体" w:cs="Times New Roman" w:hAnsi="Times New Roman" w:hint="eastAsia"/>
          <w:color w:val="auto"/>
          <w:kern w:val="2"/>
          <w:sz w:val="44"/>
          <w:szCs w:val="44"/>
          <w:lang w:val="en-US" w:eastAsia="zh-CN" w:bidi="ar-SA"/>
          <w:highlight w:val="auto"/>
        </w:rPr>
        <w:t>决算</w:t>
      </w:r>
    </w:p>
    <w:p>
      <w:pPr>
        <w:spacing w:line="600" w:lineRule="exact"/>
        <w:jc w:val="center"/>
        <w:outlineLvl w:val="0"/>
        <w:rPr>
          <w:rFonts w:ascii="Times New Roman" w:eastAsia="方正小标宋简体" w:hAnsi="Times New Roman"/>
          <w:color w:val="auto"/>
          <w:sz w:val="72"/>
          <w:szCs w:val="72"/>
          <w:highlight w:val="auto"/>
        </w:rPr>
      </w:pPr>
    </w:p>
    <w:p>
      <w:pPr>
        <w:pStyle w:val="27"/>
        <w:rPr>
          <w:rFonts w:ascii="Times New Roman" w:hAnsi="Times New Roman"/>
        </w:rPr>
        <w:sectPr>
          <w:headerReference w:type="default" r:id="rId2"/>
          <w:footerReference w:type="default" r:id="rId3"/>
          <w:pgSz w:w="11906" w:h="16838"/>
          <w:pgMar w:top="1440" w:right="1800" w:bottom="1440" w:left="1800" w:header="851" w:footer="992" w:gutter="0"/>
          <w:pgNumType w:fmt="numberInDash" w:start="1"/>
          <w:titlePg/>
          <w:docGrid w:type="lines" w:linePitch="312" w:charSpace="0"/>
        </w:sectPr>
      </w:pPr>
    </w:p>
    <w:p>
      <w:pPr>
        <w:rPr>
          <w:rFonts w:ascii="Times New Roman" w:hAnsi="Times New Roman"/>
        </w:rPr>
      </w:pPr>
    </w:p>
    <w:p>
      <w:pPr>
        <w:pStyle w:val="18"/>
        <w:jc w:val="center"/>
        <w:rPr>
          <w:rFonts w:ascii="Times New Roman" w:eastAsia="方正小标宋简体" w:cs="Times New Roman" w:hAnsi="Times New Roman" w:hint="eastAsia"/>
          <w:color w:val="auto"/>
          <w:kern w:val="2"/>
          <w:sz w:val="44"/>
          <w:szCs w:val="44"/>
          <w:lang w:val="en-US" w:eastAsia="zh-CN" w:bidi="ar-SA"/>
          <w:highlight w:val="auto"/>
        </w:rPr>
      </w:pPr>
    </w:p>
    <w:p>
      <w:pPr>
        <w:pStyle w:val="18"/>
        <w:jc w:val="center"/>
        <w:rPr>
          <w:rFonts w:ascii="Times New Roman" w:eastAsia="方正小标宋简体" w:cs="Times New Roman" w:hAnsi="Times New Roman" w:hint="eastAsia"/>
          <w:color w:val="auto"/>
          <w:kern w:val="2"/>
          <w:sz w:val="44"/>
          <w:szCs w:val="44"/>
          <w:lang w:val="en-US" w:eastAsia="zh-CN" w:bidi="ar-SA"/>
          <w:highlight w:val="auto"/>
        </w:rPr>
      </w:pPr>
    </w:p>
    <w:p>
      <w:pPr>
        <w:pStyle w:val="18"/>
        <w:jc w:val="center"/>
        <w:rPr>
          <w:rFonts w:ascii="Times New Roman" w:eastAsia="方正小标宋简体" w:cs="Times New Roman" w:hAnsi="Times New Roman" w:hint="eastAsia"/>
          <w:color w:val="auto"/>
          <w:kern w:val="2"/>
          <w:sz w:val="44"/>
          <w:szCs w:val="44"/>
          <w:lang w:val="en-US" w:eastAsia="zh-CN" w:bidi="ar-SA"/>
          <w:highlight w:val="auto"/>
        </w:rPr>
      </w:pPr>
    </w:p>
    <w:p>
      <w:pPr>
        <w:pStyle w:val="18"/>
        <w:jc w:val="center"/>
        <w:rPr>
          <w:rFonts w:ascii="Times New Roman" w:eastAsia="方正小标宋简体" w:cs="Times New Roman" w:hAnsi="Times New Roman" w:hint="eastAsia"/>
          <w:color w:val="auto"/>
          <w:kern w:val="2"/>
          <w:sz w:val="44"/>
          <w:szCs w:val="44"/>
          <w:lang w:val="en-US" w:eastAsia="zh-CN" w:bidi="ar-SA"/>
          <w:highlight w:val="auto"/>
        </w:rPr>
      </w:pPr>
    </w:p>
    <w:p>
      <w:pPr>
        <w:pStyle w:val="18"/>
        <w:jc w:val="center"/>
        <w:rPr>
          <w:rFonts w:ascii="Times New Roman" w:eastAsia="方正小标宋简体" w:cs="Times New Roman" w:hAnsi="Times New Roman" w:hint="eastAsia"/>
          <w:color w:val="auto"/>
          <w:kern w:val="2"/>
          <w:sz w:val="44"/>
          <w:szCs w:val="44"/>
          <w:lang w:val="en-US" w:eastAsia="zh-CN" w:bidi="ar-SA"/>
        </w:rPr>
      </w:pPr>
      <w:bookmarkStart w:id="6" w:name="_Toc15377194"/>
      <w:bookmarkStart w:id="7" w:name="_Toc15396476"/>
      <w:bookmarkStart w:id="8" w:name="_Toc15396598"/>
      <w:bookmarkStart w:id="9" w:name="_Toc15377426"/>
      <w:bookmarkStart w:id="10" w:name="_Toc15378442"/>
      <w:bookmarkEnd w:id="0"/>
      <w:bookmarkEnd w:id="1"/>
      <w:bookmarkEnd w:id="2"/>
      <w:bookmarkEnd w:id="3"/>
      <w:bookmarkEnd w:id="4"/>
      <w:r>
        <w:rPr>
          <w:rFonts w:ascii="Times New Roman" w:eastAsia="方正小标宋简体" w:cs="Times New Roman" w:hAnsi="Times New Roman" w:hint="eastAsia"/>
          <w:color w:val="auto"/>
          <w:kern w:val="2"/>
          <w:sz w:val="44"/>
          <w:szCs w:val="44"/>
          <w:lang w:val="en-US" w:eastAsia="zh-CN" w:bidi="ar-SA"/>
          <w:highlight w:val="auto"/>
        </w:rPr>
        <w:t>2024年度</w:t>
      </w:r>
      <w:bookmarkStart w:id="11" w:name="_Toc15306268"/>
      <w:bookmarkEnd w:id="5"/>
      <w:r>
        <w:rPr>
          <w:rFonts w:ascii="Times New Roman" w:eastAsia="方正小标宋简体" w:cs="Times New Roman" w:hAnsi="Times New Roman" w:hint="eastAsia"/>
          <w:color w:val="auto"/>
          <w:kern w:val="2"/>
          <w:sz w:val="44"/>
          <w:szCs w:val="44"/>
          <w:lang w:val="en-US" w:eastAsia="zh-CN" w:bidi="ar-SA"/>
        </w:rPr>
        <w:t>中共四川省阿坝州</w:t>
      </w:r>
    </w:p>
    <w:p>
      <w:pPr>
        <w:pStyle w:val="18"/>
        <w:jc w:val="center"/>
        <w:rPr>
          <w:rFonts w:ascii="Times New Roman" w:eastAsia="方正小标宋简体" w:cs="Times New Roman" w:hAnsi="Times New Roman"/>
          <w:color w:val="auto"/>
          <w:kern w:val="2"/>
          <w:sz w:val="44"/>
          <w:szCs w:val="44"/>
          <w:lang w:val="en-US" w:eastAsia="zh-CN" w:bidi="ar-SA"/>
        </w:rPr>
      </w:pPr>
      <w:r>
        <w:rPr>
          <w:rFonts w:ascii="Times New Roman" w:eastAsia="方正小标宋简体" w:cs="Times New Roman" w:hAnsi="Times New Roman" w:hint="eastAsia"/>
          <w:color w:val="auto"/>
          <w:kern w:val="2"/>
          <w:sz w:val="44"/>
          <w:szCs w:val="44"/>
          <w:lang w:val="en-US" w:eastAsia="zh-CN" w:bidi="ar-SA"/>
        </w:rPr>
        <w:t>金川县党史研究和地方志编纂中心</w:t>
      </w:r>
    </w:p>
    <w:p>
      <w:pPr>
        <w:pStyle w:val="18"/>
        <w:jc w:val="center"/>
        <w:rPr>
          <w:rFonts w:ascii="Times New Roman" w:eastAsia="方正小标宋简体" w:cs="Times New Roman" w:hAnsi="Times New Roman" w:hint="eastAsia"/>
          <w:color w:val="auto"/>
          <w:kern w:val="2"/>
          <w:sz w:val="44"/>
          <w:szCs w:val="44"/>
          <w:lang w:val="en-US" w:eastAsia="zh-CN" w:bidi="ar-SA"/>
          <w:highlight w:val="auto"/>
        </w:rPr>
      </w:pPr>
      <w:r>
        <w:rPr>
          <w:rFonts w:ascii="Times New Roman" w:eastAsia="方正小标宋简体" w:cs="Times New Roman" w:hAnsi="Times New Roman" w:hint="eastAsia"/>
          <w:color w:val="auto"/>
          <w:kern w:val="2"/>
          <w:sz w:val="44"/>
          <w:szCs w:val="44"/>
          <w:lang w:val="en-US" w:eastAsia="zh-CN" w:bidi="ar-SA"/>
          <w:highlight w:val="auto"/>
        </w:rPr>
        <w:t>部门决算</w:t>
      </w:r>
      <w:bookmarkEnd w:id="6"/>
      <w:bookmarkEnd w:id="7"/>
      <w:bookmarkEnd w:id="8"/>
      <w:bookmarkEnd w:id="9"/>
      <w:bookmarkEnd w:id="10"/>
      <w:bookmarkEnd w:id="11"/>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lang w:val="en-US" w:eastAsia="zh-CN"/>
          <w:highlight w:val="auto"/>
        </w:rPr>
      </w:pPr>
      <w:r>
        <w:rPr>
          <w:rFonts w:ascii="Times New Roman" w:eastAsia="仿宋_GB2312" w:cs="仿宋_GB2312" w:hAnsi="Times New Roman" w:hint="eastAsia"/>
          <w:color w:val="auto"/>
          <w:sz w:val="32"/>
          <w:szCs w:val="32"/>
          <w:lang w:val="en-US" w:eastAsia="zh-CN"/>
          <w:highlight w:val="auto"/>
        </w:rPr>
        <w:t>（注：</w:t>
      </w:r>
      <w:r>
        <w:rPr>
          <w:rFonts w:eastAsia="仿宋_GB2312" w:cs="仿宋_GB2312" w:hint="eastAsia"/>
          <w:color w:val="auto"/>
          <w:sz w:val="32"/>
          <w:szCs w:val="32"/>
          <w:lang w:val="en-US" w:eastAsia="zh-CN"/>
          <w:highlight w:val="auto"/>
        </w:rPr>
        <w:t>以下为部门公开范本。单位公开内容应参照部门公开内容和报表格式，并与部门公开内容做好衔接）</w:t>
      </w:r>
    </w:p>
    <w:p>
      <w:pPr>
        <w:widowControl/>
        <w:jc w:val="center"/>
        <w:rPr>
          <w:rFonts w:ascii="Times New Roman" w:eastAsia="黑体" w:hAnsi="Times New Roman"/>
          <w:color w:val="auto"/>
          <w:sz w:val="48"/>
          <w:szCs w:val="48"/>
          <w:highlight w:val="auto"/>
        </w:rPr>
      </w:pPr>
      <w:r>
        <w:rPr>
          <w:rFonts w:ascii="Times New Roman" w:eastAsia="方正小标宋简体" w:hAnsi="Times New Roman"/>
          <w:color w:val="auto"/>
          <w:sz w:val="36"/>
          <w:szCs w:val="36"/>
          <w:highlight w:val="auto"/>
        </w:rPr>
        <w:br w:type="page"/>
      </w:r>
      <w:r>
        <w:rPr>
          <w:rFonts w:ascii="Times New Roman" w:eastAsia="黑体" w:hAnsi="Times New Roman" w:hint="eastAsia"/>
          <w:color w:val="auto"/>
          <w:sz w:val="48"/>
          <w:szCs w:val="48"/>
          <w:highlight w:val="auto"/>
        </w:rPr>
        <w:t>目录</w:t>
      </w:r>
    </w:p>
    <w:p>
      <w:pPr>
        <w:widowControl/>
        <w:jc w:val="center"/>
        <w:rPr>
          <w:rFonts w:ascii="Times New Roman" w:eastAsia="黑体" w:cs="Arial" w:hAnsi="Times New Roman"/>
          <w:color w:val="auto"/>
          <w:sz w:val="28"/>
          <w:szCs w:val="28"/>
          <w:highlight w:val="auto"/>
        </w:rPr>
      </w:pPr>
    </w:p>
    <w:p>
      <w:pPr>
        <w:pStyle w:val="23"/>
        <w:tabs>
          <w:tab w:val="right" w:leader="dot" w:pos="8296"/>
        </w:tabs>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公开时间：20</w:t>
      </w:r>
      <w:r>
        <w:rPr>
          <w:rFonts w:ascii="Times New Roman" w:eastAsia="仿宋_GB2312" w:cs="仿宋_GB2312" w:hAnsi="Times New Roman" w:hint="eastAsia"/>
          <w:color w:val="auto"/>
          <w:sz w:val="32"/>
          <w:szCs w:val="32"/>
          <w:lang w:val="en-US" w:eastAsia="zh-CN"/>
          <w:highlight w:val="auto"/>
        </w:rPr>
        <w:t>2</w:t>
      </w:r>
      <w:r>
        <w:rPr>
          <w:rFonts w:ascii="Times New Roman" w:eastAsia="仿宋_GB2312" w:cs="仿宋_GB2312" w:hAnsi="Times New Roman"/>
          <w:color w:val="auto"/>
          <w:sz w:val="32"/>
          <w:szCs w:val="32"/>
          <w:lang w:val="en-US" w:eastAsia="zh-CN"/>
          <w:highlight w:val="auto"/>
        </w:rPr>
        <w:t>5</w:t>
      </w:r>
      <w:r>
        <w:rPr>
          <w:rFonts w:ascii="Times New Roman" w:eastAsia="仿宋_GB2312" w:cs="仿宋_GB2312" w:hAnsi="Times New Roman" w:hint="eastAsia"/>
          <w:color w:val="auto"/>
          <w:sz w:val="32"/>
          <w:szCs w:val="32"/>
          <w:highlight w:val="auto"/>
        </w:rPr>
        <w:t>年</w:t>
      </w:r>
      <w:r>
        <w:rPr>
          <w:rFonts w:ascii="Times New Roman" w:eastAsia="仿宋_GB2312" w:cs="仿宋_GB2312" w:hAnsi="Times New Roman"/>
          <w:color w:val="auto"/>
          <w:sz w:val="32"/>
          <w:szCs w:val="32"/>
          <w:highlight w:val="auto"/>
        </w:rPr>
        <w:t>8</w:t>
      </w:r>
      <w:r>
        <w:rPr>
          <w:rFonts w:ascii="Times New Roman" w:eastAsia="仿宋_GB2312" w:cs="仿宋_GB2312" w:hAnsi="Times New Roman" w:hint="eastAsia"/>
          <w:color w:val="auto"/>
          <w:sz w:val="32"/>
          <w:szCs w:val="32"/>
          <w:highlight w:val="auto"/>
        </w:rPr>
        <w:t>月</w:t>
      </w:r>
      <w:r>
        <w:rPr>
          <w:rFonts w:ascii="Times New Roman" w:eastAsia="仿宋_GB2312" w:cs="仿宋_GB2312" w:hAnsi="Times New Roman"/>
          <w:color w:val="auto"/>
          <w:sz w:val="32"/>
          <w:szCs w:val="32"/>
          <w:highlight w:val="auto"/>
        </w:rPr>
        <w:t>20</w:t>
      </w:r>
      <w:r>
        <w:rPr>
          <w:rFonts w:ascii="Times New Roman" w:eastAsia="仿宋_GB2312" w:cs="仿宋_GB2312" w:hAnsi="Times New Roman" w:hint="eastAsia"/>
          <w:color w:val="auto"/>
          <w:sz w:val="32"/>
          <w:szCs w:val="32"/>
          <w:highlight w:val="auto"/>
        </w:rPr>
        <w:t>日</w:t>
      </w:r>
      <w:bookmarkStart w:id="12" w:name="_GoBack"/>
      <w:bookmarkEnd w:id="12"/>
    </w:p>
    <w:p>
      <w:pPr>
        <w:pStyle w:val="23"/>
        <w:tabs>
          <w:tab w:val="right" w:leader="dot" w:pos="8306"/>
        </w:tabs>
        <w:bidi w:val="0"/>
        <w:jc w:val="left"/>
        <w:rPr>
          <w:sz w:val="28"/>
          <w:szCs w:val="28"/>
        </w:rPr>
      </w:pPr>
      <w:bookmarkStart w:id="13" w:name="_Toc15377196"/>
      <w:bookmarkStart w:id="14" w:name="_Toc15396599"/>
      <w:r>
        <w:rPr>
          <w:rFonts w:ascii="Times New Roman" w:hAnsi="Times New Roman"/>
          <w:color w:val="auto"/>
          <w:sz w:val="28"/>
          <w:szCs w:val="28"/>
          <w:highlight w:val="auto"/>
        </w:rPr>
        <w:fldChar w:fldCharType="begin"/>
      </w:r>
      <w:r>
        <w:rPr>
          <w:rFonts w:ascii="Times New Roman" w:hAnsi="Times New Roman"/>
          <w:color w:val="auto"/>
          <w:sz w:val="28"/>
          <w:szCs w:val="28"/>
          <w:highlight w:val="auto"/>
        </w:rPr>
        <w:instrText xml:space="preserve"> TOC \o "1-3" \h \u</w:instrText>
      </w:r>
      <w:r>
        <w:rPr>
          <w:rFonts w:ascii="Times New Roman" w:hAnsi="Times New Roman"/>
          <w:color w:val="auto"/>
          <w:sz w:val="28"/>
          <w:szCs w:val="28"/>
          <w:highlight w:val="auto"/>
        </w:rPr>
        <w:fldChar w:fldCharType="separate"/>
      </w:r>
      <w:r>
        <w:rPr>
          <w:sz w:val="28"/>
          <w:szCs w:val="28"/>
        </w:rPr>
        <w:fldChar w:fldCharType="begin"/>
      </w:r>
      <w:r>
        <w:rPr>
          <w:sz w:val="28"/>
          <w:szCs w:val="28"/>
        </w:rPr>
        <w:instrText>Hyperlink \l "_Toc57013454"</w:instrText>
      </w:r>
      <w:r>
        <w:rPr>
          <w:sz w:val="28"/>
          <w:szCs w:val="28"/>
        </w:rPr>
        <w:fldChar w:fldCharType="separate"/>
      </w:r>
      <w:r>
        <w:rPr>
          <w:rFonts w:ascii="Times New Roman" w:eastAsia="方正小标宋简体" w:cs="方正小标宋简体" w:hAnsi="Times New Roman" w:hint="eastAsia"/>
          <w:sz w:val="28"/>
          <w:szCs w:val="28"/>
          <w:highlight w:val="auto"/>
        </w:rPr>
        <w:t>第一部分</w:t>
      </w:r>
      <w:r>
        <w:rPr>
          <w:rFonts w:ascii="Times New Roman" w:eastAsia="方正小标宋简体" w:cs="方正小标宋简体" w:hAnsi="Times New Roman" w:hint="eastAsia"/>
          <w:sz w:val="28"/>
          <w:szCs w:val="28"/>
          <w:lang w:val="en-US" w:eastAsia="zh-CN"/>
          <w:highlight w:val="auto"/>
        </w:rPr>
        <w:t xml:space="preserve"> </w:t>
      </w:r>
      <w:r>
        <w:rPr>
          <w:rFonts w:ascii="Times New Roman" w:eastAsia="方正小标宋简体" w:cs="方正小标宋简体" w:hAnsi="Times New Roman" w:hint="eastAsia"/>
          <w:sz w:val="28"/>
          <w:szCs w:val="28"/>
          <w:highlight w:val="auto"/>
        </w:rPr>
        <w:t xml:space="preserve"> </w:t>
      </w:r>
      <w:r>
        <w:rPr>
          <w:rFonts w:ascii="Times New Roman" w:eastAsia="方正小标宋简体" w:cs="方正小标宋简体" w:hAnsi="Times New Roman" w:hint="eastAsia"/>
          <w:bCs w:val="0"/>
          <w:kern w:val="44"/>
          <w:sz w:val="28"/>
          <w:szCs w:val="28"/>
          <w:lang w:val="en-US" w:eastAsia="zh-CN" w:bidi="ar-SA"/>
        </w:rPr>
        <w:t>部门概况</w:t>
      </w:r>
      <w:r>
        <w:rPr>
          <w:sz w:val="28"/>
          <w:szCs w:val="28"/>
        </w:rPr>
        <w:tab/>
      </w:r>
      <w:r>
        <w:rPr>
          <w:sz w:val="28"/>
          <w:szCs w:val="28"/>
        </w:rPr>
        <w:fldChar w:fldCharType="begin"/>
      </w:r>
      <w:r>
        <w:rPr>
          <w:sz w:val="28"/>
          <w:szCs w:val="28"/>
        </w:rPr>
        <w:instrText>PageRef _Toc57013454 \h</w:instrText>
      </w:r>
      <w:r>
        <w:rPr>
          <w:sz w:val="28"/>
          <w:szCs w:val="28"/>
        </w:rPr>
        <w:fldChar w:fldCharType="separate"/>
      </w:r>
      <w:r>
        <w:rPr>
          <w:sz w:val="28"/>
          <w:szCs w:val="28"/>
        </w:rPr>
        <w:t>- 4 -</w:t>
      </w:r>
      <w:r>
        <w:rPr>
          <w:sz w:val="28"/>
          <w:szCs w:val="28"/>
        </w:rPr>
        <w:fldChar w:fldCharType="end"/>
      </w:r>
      <w:r>
        <w:rPr>
          <w:sz w:val="28"/>
          <w:szCs w:val="28"/>
        </w:rPr>
        <w:fldChar w:fldCharType="end"/>
      </w:r>
    </w:p>
    <w:p>
      <w:pPr>
        <w:pStyle w:val="24"/>
        <w:tabs>
          <w:tab w:val="right" w:leader="dot" w:pos="8306"/>
        </w:tabs>
        <w:rPr>
          <w:sz w:val="28"/>
          <w:szCs w:val="28"/>
        </w:rPr>
      </w:pPr>
      <w:r>
        <w:rPr>
          <w:sz w:val="28"/>
          <w:szCs w:val="28"/>
        </w:rPr>
        <w:fldChar w:fldCharType="begin"/>
      </w:r>
      <w:r>
        <w:rPr>
          <w:sz w:val="28"/>
          <w:szCs w:val="28"/>
        </w:rPr>
        <w:instrText>Hyperlink \l "_Toc57013455"</w:instrText>
      </w:r>
      <w:r>
        <w:rPr>
          <w:sz w:val="28"/>
          <w:szCs w:val="28"/>
        </w:rPr>
        <w:fldChar w:fldCharType="separate"/>
      </w:r>
      <w:r>
        <w:rPr>
          <w:rFonts w:ascii="Times New Roman" w:eastAsia="黑体" w:hAnsi="Times New Roman" w:hint="eastAsia"/>
          <w:sz w:val="28"/>
          <w:szCs w:val="28"/>
          <w:u w:color="auto"/>
          <w:shd w:val="clear" w:color="auto" w:fill="auto"/>
          <w:lang w:eastAsia="zh-CN"/>
          <w:highlight w:val="auto"/>
        </w:rPr>
        <w:t>一、</w:t>
      </w:r>
      <w:r>
        <w:rPr>
          <w:rFonts w:ascii="Times New Roman" w:eastAsia="黑体" w:hAnsi="Times New Roman" w:hint="eastAsia"/>
          <w:sz w:val="28"/>
          <w:szCs w:val="28"/>
          <w:lang w:eastAsia="zh-CN"/>
          <w:highlight w:val="auto"/>
        </w:rPr>
        <w:t>部门职责</w:t>
      </w:r>
      <w:r>
        <w:rPr>
          <w:sz w:val="28"/>
          <w:szCs w:val="28"/>
        </w:rPr>
        <w:tab/>
      </w:r>
      <w:r>
        <w:rPr>
          <w:sz w:val="28"/>
          <w:szCs w:val="28"/>
        </w:rPr>
        <w:fldChar w:fldCharType="begin"/>
      </w:r>
      <w:r>
        <w:rPr>
          <w:sz w:val="28"/>
          <w:szCs w:val="28"/>
        </w:rPr>
        <w:instrText>PageRef _Toc57013455 \h</w:instrText>
      </w:r>
      <w:r>
        <w:rPr>
          <w:sz w:val="28"/>
          <w:szCs w:val="28"/>
        </w:rPr>
        <w:fldChar w:fldCharType="separate"/>
      </w:r>
      <w:r>
        <w:rPr>
          <w:sz w:val="28"/>
          <w:szCs w:val="28"/>
        </w:rPr>
        <w:t>- 4 -</w:t>
      </w:r>
      <w:r>
        <w:rPr>
          <w:sz w:val="28"/>
          <w:szCs w:val="28"/>
        </w:rPr>
        <w:fldChar w:fldCharType="end"/>
      </w:r>
      <w:r>
        <w:rPr>
          <w:sz w:val="28"/>
          <w:szCs w:val="28"/>
        </w:rPr>
        <w:fldChar w:fldCharType="end"/>
      </w:r>
    </w:p>
    <w:p>
      <w:pPr>
        <w:pStyle w:val="24"/>
        <w:tabs>
          <w:tab w:val="right" w:leader="dot" w:pos="8306"/>
        </w:tabs>
        <w:bidi w:val="0"/>
        <w:jc w:val="left"/>
        <w:rPr>
          <w:sz w:val="28"/>
          <w:szCs w:val="28"/>
        </w:rPr>
      </w:pPr>
      <w:r>
        <w:rPr>
          <w:sz w:val="28"/>
          <w:szCs w:val="28"/>
        </w:rPr>
        <w:fldChar w:fldCharType="begin"/>
      </w:r>
      <w:r>
        <w:rPr>
          <w:sz w:val="28"/>
          <w:szCs w:val="28"/>
        </w:rPr>
        <w:instrText>Hyperlink \l "_Toc57013457"</w:instrText>
      </w:r>
      <w:r>
        <w:rPr>
          <w:sz w:val="28"/>
          <w:szCs w:val="28"/>
        </w:rPr>
        <w:fldChar w:fldCharType="separate"/>
      </w:r>
      <w:r>
        <w:rPr>
          <w:rFonts w:ascii="Times New Roman" w:eastAsia="黑体" w:hAnsi="Times New Roman" w:hint="eastAsia"/>
          <w:sz w:val="28"/>
          <w:szCs w:val="28"/>
          <w:highlight w:val="auto"/>
        </w:rPr>
        <w:t>二、机</w:t>
      </w:r>
      <w:r>
        <w:rPr>
          <w:rFonts w:ascii="Times New Roman" w:eastAsia="黑体" w:cs="Times New Roman" w:hAnsi="Times New Roman" w:hint="eastAsia"/>
          <w:bCs w:val="0"/>
          <w:kern w:val="2"/>
          <w:sz w:val="28"/>
          <w:szCs w:val="28"/>
          <w:lang w:val="en-US" w:eastAsia="zh-CN" w:bidi="ar-SA"/>
        </w:rPr>
        <w:t>构设置</w:t>
      </w:r>
      <w:r>
        <w:rPr>
          <w:sz w:val="28"/>
          <w:szCs w:val="28"/>
        </w:rPr>
        <w:tab/>
      </w:r>
      <w:r>
        <w:rPr>
          <w:sz w:val="28"/>
          <w:szCs w:val="28"/>
        </w:rPr>
        <w:fldChar w:fldCharType="begin"/>
      </w:r>
      <w:r>
        <w:rPr>
          <w:sz w:val="28"/>
          <w:szCs w:val="28"/>
        </w:rPr>
        <w:instrText>PageRef _Toc57013457 \h</w:instrText>
      </w:r>
      <w:r>
        <w:rPr>
          <w:sz w:val="28"/>
          <w:szCs w:val="28"/>
        </w:rPr>
        <w:fldChar w:fldCharType="separate"/>
      </w:r>
      <w:r>
        <w:rPr>
          <w:sz w:val="28"/>
          <w:szCs w:val="28"/>
        </w:rPr>
        <w:t>- 6 -</w:t>
      </w:r>
      <w:r>
        <w:rPr>
          <w:sz w:val="28"/>
          <w:szCs w:val="28"/>
        </w:rPr>
        <w:fldChar w:fldCharType="end"/>
      </w:r>
      <w:r>
        <w:rPr>
          <w:sz w:val="28"/>
          <w:szCs w:val="28"/>
        </w:rPr>
        <w:fldChar w:fldCharType="end"/>
      </w:r>
    </w:p>
    <w:p>
      <w:pPr>
        <w:pStyle w:val="23"/>
        <w:tabs>
          <w:tab w:val="right" w:leader="dot" w:pos="8306"/>
        </w:tabs>
        <w:bidi w:val="0"/>
        <w:jc w:val="left"/>
        <w:rPr>
          <w:sz w:val="28"/>
          <w:szCs w:val="28"/>
        </w:rPr>
      </w:pPr>
      <w:r>
        <w:rPr>
          <w:sz w:val="28"/>
          <w:szCs w:val="28"/>
        </w:rPr>
        <w:fldChar w:fldCharType="begin"/>
      </w:r>
      <w:r>
        <w:rPr>
          <w:sz w:val="28"/>
          <w:szCs w:val="28"/>
        </w:rPr>
        <w:instrText>Hyperlink \l "_Toc57013458"</w:instrText>
      </w:r>
      <w:r>
        <w:rPr>
          <w:sz w:val="28"/>
          <w:szCs w:val="28"/>
        </w:rPr>
        <w:fldChar w:fldCharType="separate"/>
      </w:r>
      <w:r>
        <w:rPr>
          <w:rFonts w:ascii="Times New Roman" w:eastAsia="方正小标宋简体" w:cs="方正小标宋简体" w:hAnsi="Times New Roman" w:hint="eastAsia"/>
          <w:sz w:val="28"/>
          <w:szCs w:val="28"/>
          <w:highlight w:val="auto"/>
        </w:rPr>
        <w:t>第二部分</w:t>
      </w:r>
      <w:r>
        <w:rPr>
          <w:rFonts w:ascii="Times New Roman" w:eastAsia="方正小标宋简体" w:cs="方正小标宋简体" w:hAnsi="Times New Roman" w:hint="eastAsia"/>
          <w:sz w:val="28"/>
          <w:szCs w:val="28"/>
          <w:lang w:val="en-US" w:eastAsia="zh-CN"/>
          <w:highlight w:val="auto"/>
        </w:rPr>
        <w:t xml:space="preserve"> </w:t>
      </w:r>
      <w:r>
        <w:rPr>
          <w:rFonts w:ascii="Times New Roman" w:eastAsia="方正小标宋简体" w:cs="方正小标宋简体" w:hAnsi="Times New Roman" w:hint="eastAsia"/>
          <w:sz w:val="28"/>
          <w:szCs w:val="28"/>
          <w:highlight w:val="auto"/>
        </w:rPr>
        <w:t xml:space="preserve"> </w:t>
      </w:r>
      <w:r>
        <w:rPr>
          <w:rFonts w:ascii="Times New Roman" w:eastAsia="方正小标宋简体" w:cs="方正小标宋简体" w:hAnsi="Times New Roman" w:hint="eastAsia"/>
          <w:sz w:val="28"/>
          <w:szCs w:val="28"/>
          <w:lang w:val="en-US" w:eastAsia="zh-CN"/>
          <w:highlight w:val="auto"/>
        </w:rPr>
        <w:t>2024年度</w:t>
      </w:r>
      <w:r>
        <w:rPr>
          <w:rFonts w:ascii="Times New Roman" w:eastAsia="方正小标宋简体" w:cs="方正小标宋简体" w:hAnsi="Times New Roman" w:hint="eastAsia"/>
          <w:sz w:val="28"/>
          <w:szCs w:val="28"/>
          <w:highlight w:val="auto"/>
        </w:rPr>
        <w:t>部门决算情况说明</w:t>
      </w:r>
      <w:r>
        <w:rPr>
          <w:sz w:val="28"/>
          <w:szCs w:val="28"/>
        </w:rPr>
        <w:tab/>
      </w:r>
      <w:r>
        <w:rPr>
          <w:sz w:val="28"/>
          <w:szCs w:val="28"/>
        </w:rPr>
        <w:fldChar w:fldCharType="begin"/>
      </w:r>
      <w:r>
        <w:rPr>
          <w:sz w:val="28"/>
          <w:szCs w:val="28"/>
        </w:rPr>
        <w:instrText>PageRef _Toc57013458 \h</w:instrText>
      </w:r>
      <w:r>
        <w:rPr>
          <w:sz w:val="28"/>
          <w:szCs w:val="28"/>
        </w:rPr>
        <w:fldChar w:fldCharType="separate"/>
      </w:r>
      <w:r>
        <w:rPr>
          <w:sz w:val="28"/>
          <w:szCs w:val="28"/>
        </w:rPr>
        <w:t>- 7 -</w:t>
      </w:r>
      <w:r>
        <w:rPr>
          <w:sz w:val="28"/>
          <w:szCs w:val="28"/>
        </w:rPr>
        <w:fldChar w:fldCharType="end"/>
      </w:r>
      <w:r>
        <w:rPr>
          <w:sz w:val="28"/>
          <w:szCs w:val="28"/>
        </w:rPr>
        <w:fldChar w:fldCharType="end"/>
      </w:r>
    </w:p>
    <w:p>
      <w:pPr>
        <w:pStyle w:val="24"/>
        <w:tabs>
          <w:tab w:val="right" w:leader="dot" w:pos="8306"/>
        </w:tabs>
        <w:bidi w:val="0"/>
        <w:jc w:val="left"/>
        <w:rPr>
          <w:sz w:val="28"/>
          <w:szCs w:val="28"/>
        </w:rPr>
      </w:pPr>
      <w:r>
        <w:rPr>
          <w:sz w:val="28"/>
          <w:szCs w:val="28"/>
        </w:rPr>
        <w:fldChar w:fldCharType="begin"/>
      </w:r>
      <w:r>
        <w:rPr>
          <w:sz w:val="28"/>
          <w:szCs w:val="28"/>
        </w:rPr>
        <w:instrText>Hyperlink \l "_Toc57013459"</w:instrText>
      </w:r>
      <w:r>
        <w:rPr>
          <w:sz w:val="28"/>
          <w:szCs w:val="28"/>
        </w:rPr>
        <w:fldChar w:fldCharType="separate"/>
      </w:r>
      <w:r>
        <w:rPr>
          <w:rFonts w:ascii="Times New Roman" w:eastAsia="黑体" w:hAnsi="Times New Roman" w:hint="eastAsia"/>
          <w:sz w:val="28"/>
          <w:szCs w:val="28"/>
          <w:lang w:eastAsia="zh-CN"/>
          <w:highlight w:val="auto"/>
        </w:rPr>
        <w:t>一、</w:t>
      </w:r>
      <w:r>
        <w:rPr>
          <w:rFonts w:ascii="Times New Roman" w:eastAsia="黑体" w:hAnsi="Times New Roman" w:hint="eastAsia"/>
          <w:sz w:val="28"/>
          <w:szCs w:val="28"/>
          <w:highlight w:val="auto"/>
        </w:rPr>
        <w:t>收</w:t>
      </w:r>
      <w:r>
        <w:rPr>
          <w:rFonts w:ascii="Times New Roman" w:eastAsia="黑体" w:cs="Times New Roman" w:hAnsi="Times New Roman" w:hint="eastAsia"/>
          <w:bCs/>
          <w:kern w:val="2"/>
          <w:sz w:val="28"/>
          <w:szCs w:val="28"/>
          <w:lang w:val="en-US" w:eastAsia="zh-CN" w:bidi="ar-SA"/>
        </w:rPr>
        <w:t>入支出决算总体情况说明</w:t>
      </w:r>
      <w:r>
        <w:rPr>
          <w:sz w:val="28"/>
          <w:szCs w:val="28"/>
        </w:rPr>
        <w:tab/>
      </w:r>
      <w:r>
        <w:rPr>
          <w:sz w:val="28"/>
          <w:szCs w:val="28"/>
        </w:rPr>
        <w:fldChar w:fldCharType="begin"/>
      </w:r>
      <w:r>
        <w:rPr>
          <w:sz w:val="28"/>
          <w:szCs w:val="28"/>
        </w:rPr>
        <w:instrText>PageRef _Toc57013459 \h</w:instrText>
      </w:r>
      <w:r>
        <w:rPr>
          <w:sz w:val="28"/>
          <w:szCs w:val="28"/>
        </w:rPr>
        <w:fldChar w:fldCharType="separate"/>
      </w:r>
      <w:r>
        <w:rPr>
          <w:sz w:val="28"/>
          <w:szCs w:val="28"/>
        </w:rPr>
        <w:t>- 7 -</w:t>
      </w:r>
      <w:r>
        <w:rPr>
          <w:sz w:val="28"/>
          <w:szCs w:val="28"/>
        </w:rPr>
        <w:fldChar w:fldCharType="end"/>
      </w:r>
      <w:r>
        <w:rPr>
          <w:sz w:val="28"/>
          <w:szCs w:val="28"/>
        </w:rPr>
        <w:fldChar w:fldCharType="end"/>
      </w:r>
    </w:p>
    <w:p>
      <w:pPr>
        <w:pStyle w:val="24"/>
        <w:tabs>
          <w:tab w:val="right" w:leader="dot" w:pos="8306"/>
        </w:tabs>
        <w:bidi w:val="0"/>
        <w:jc w:val="left"/>
        <w:rPr>
          <w:sz w:val="28"/>
          <w:szCs w:val="28"/>
        </w:rPr>
      </w:pPr>
      <w:r>
        <w:rPr>
          <w:sz w:val="28"/>
          <w:szCs w:val="28"/>
        </w:rPr>
        <w:fldChar w:fldCharType="begin"/>
      </w:r>
      <w:r>
        <w:rPr>
          <w:sz w:val="28"/>
          <w:szCs w:val="28"/>
        </w:rPr>
        <w:instrText>Hyperlink \l "_Toc57013461"</w:instrText>
      </w:r>
      <w:r>
        <w:rPr>
          <w:sz w:val="28"/>
          <w:szCs w:val="28"/>
        </w:rPr>
        <w:fldChar w:fldCharType="separate"/>
      </w:r>
      <w:r>
        <w:rPr>
          <w:rFonts w:ascii="Times New Roman" w:eastAsia="黑体" w:hAnsi="Times New Roman" w:hint="eastAsia"/>
          <w:sz w:val="28"/>
          <w:szCs w:val="28"/>
          <w:lang w:eastAsia="zh-CN"/>
          <w:highlight w:val="auto"/>
        </w:rPr>
        <w:t>二、收入决算情况说明</w:t>
      </w:r>
      <w:r>
        <w:rPr>
          <w:sz w:val="28"/>
          <w:szCs w:val="28"/>
        </w:rPr>
        <w:tab/>
      </w:r>
      <w:r>
        <w:rPr>
          <w:sz w:val="28"/>
          <w:szCs w:val="28"/>
        </w:rPr>
        <w:fldChar w:fldCharType="begin"/>
      </w:r>
      <w:r>
        <w:rPr>
          <w:sz w:val="28"/>
          <w:szCs w:val="28"/>
        </w:rPr>
        <w:instrText>PageRef _Toc57013461 \h</w:instrText>
      </w:r>
      <w:r>
        <w:rPr>
          <w:sz w:val="28"/>
          <w:szCs w:val="28"/>
        </w:rPr>
        <w:fldChar w:fldCharType="separate"/>
      </w:r>
      <w:r>
        <w:rPr>
          <w:sz w:val="28"/>
          <w:szCs w:val="28"/>
        </w:rPr>
        <w:t>- 7 -</w:t>
      </w:r>
      <w:r>
        <w:rPr>
          <w:sz w:val="28"/>
          <w:szCs w:val="28"/>
        </w:rPr>
        <w:fldChar w:fldCharType="end"/>
      </w:r>
      <w:r>
        <w:rPr>
          <w:sz w:val="28"/>
          <w:szCs w:val="28"/>
        </w:rPr>
        <w:fldChar w:fldCharType="end"/>
      </w:r>
    </w:p>
    <w:p>
      <w:pPr>
        <w:pStyle w:val="24"/>
        <w:tabs>
          <w:tab w:val="right" w:leader="dot" w:pos="8306"/>
        </w:tabs>
        <w:bidi w:val="0"/>
        <w:jc w:val="left"/>
        <w:rPr>
          <w:sz w:val="28"/>
          <w:szCs w:val="28"/>
        </w:rPr>
      </w:pPr>
      <w:r>
        <w:rPr>
          <w:sz w:val="28"/>
          <w:szCs w:val="28"/>
        </w:rPr>
        <w:fldChar w:fldCharType="begin"/>
      </w:r>
      <w:r>
        <w:rPr>
          <w:sz w:val="28"/>
          <w:szCs w:val="28"/>
        </w:rPr>
        <w:instrText>Hyperlink \l "_Toc57013463"</w:instrText>
      </w:r>
      <w:r>
        <w:rPr>
          <w:sz w:val="28"/>
          <w:szCs w:val="28"/>
        </w:rPr>
        <w:fldChar w:fldCharType="separate"/>
      </w:r>
      <w:r>
        <w:rPr>
          <w:rFonts w:ascii="Times New Roman" w:eastAsia="黑体" w:hAnsi="Times New Roman" w:hint="eastAsia"/>
          <w:sz w:val="28"/>
          <w:szCs w:val="28"/>
          <w:lang w:eastAsia="zh-CN"/>
          <w:highlight w:val="auto"/>
        </w:rPr>
        <w:t>三、</w:t>
      </w:r>
      <w:r>
        <w:rPr>
          <w:rFonts w:ascii="Times New Roman" w:eastAsia="黑体" w:hAnsi="Times New Roman" w:hint="eastAsia"/>
          <w:sz w:val="28"/>
          <w:szCs w:val="28"/>
          <w:highlight w:val="auto"/>
        </w:rPr>
        <w:t>支</w:t>
      </w:r>
      <w:r>
        <w:rPr>
          <w:rFonts w:ascii="Times New Roman" w:eastAsia="黑体" w:cs="Times New Roman" w:hAnsi="Times New Roman" w:hint="eastAsia"/>
          <w:bCs/>
          <w:kern w:val="2"/>
          <w:sz w:val="28"/>
          <w:szCs w:val="28"/>
          <w:lang w:val="en-US" w:eastAsia="zh-CN" w:bidi="ar-SA"/>
        </w:rPr>
        <w:t>出决算情况说明</w:t>
      </w:r>
      <w:r>
        <w:rPr>
          <w:sz w:val="28"/>
          <w:szCs w:val="28"/>
        </w:rPr>
        <w:tab/>
      </w:r>
      <w:r>
        <w:rPr>
          <w:sz w:val="28"/>
          <w:szCs w:val="28"/>
        </w:rPr>
        <w:fldChar w:fldCharType="begin"/>
      </w:r>
      <w:r>
        <w:rPr>
          <w:sz w:val="28"/>
          <w:szCs w:val="28"/>
        </w:rPr>
        <w:instrText>PageRef _Toc57013463 \h</w:instrText>
      </w:r>
      <w:r>
        <w:rPr>
          <w:sz w:val="28"/>
          <w:szCs w:val="28"/>
        </w:rPr>
        <w:fldChar w:fldCharType="separate"/>
      </w:r>
      <w:r>
        <w:rPr>
          <w:sz w:val="28"/>
          <w:szCs w:val="28"/>
        </w:rPr>
        <w:t>- 8 -</w:t>
      </w:r>
      <w:r>
        <w:rPr>
          <w:sz w:val="28"/>
          <w:szCs w:val="28"/>
        </w:rPr>
        <w:fldChar w:fldCharType="end"/>
      </w:r>
      <w:r>
        <w:rPr>
          <w:sz w:val="28"/>
          <w:szCs w:val="28"/>
        </w:rPr>
        <w:fldChar w:fldCharType="end"/>
      </w:r>
    </w:p>
    <w:p>
      <w:pPr>
        <w:pStyle w:val="24"/>
        <w:tabs>
          <w:tab w:val="right" w:leader="dot" w:pos="8306"/>
        </w:tabs>
        <w:bidi w:val="0"/>
        <w:jc w:val="left"/>
        <w:rPr>
          <w:sz w:val="28"/>
          <w:szCs w:val="28"/>
        </w:rPr>
      </w:pPr>
      <w:r>
        <w:rPr>
          <w:sz w:val="28"/>
          <w:szCs w:val="28"/>
        </w:rPr>
        <w:fldChar w:fldCharType="begin"/>
      </w:r>
      <w:r>
        <w:rPr>
          <w:sz w:val="28"/>
          <w:szCs w:val="28"/>
        </w:rPr>
        <w:instrText>Hyperlink \l "_Toc57013465"</w:instrText>
      </w:r>
      <w:r>
        <w:rPr>
          <w:sz w:val="28"/>
          <w:szCs w:val="28"/>
        </w:rPr>
        <w:fldChar w:fldCharType="separate"/>
      </w:r>
      <w:r>
        <w:rPr>
          <w:rFonts w:ascii="Times New Roman" w:eastAsia="黑体" w:hAnsi="Times New Roman" w:hint="eastAsia"/>
          <w:sz w:val="28"/>
          <w:szCs w:val="28"/>
          <w:highlight w:val="auto"/>
        </w:rPr>
        <w:t>四、财</w:t>
      </w:r>
      <w:r>
        <w:rPr>
          <w:rFonts w:ascii="Times New Roman" w:eastAsia="黑体" w:cs="Times New Roman" w:hAnsi="Times New Roman" w:hint="eastAsia"/>
          <w:bCs/>
          <w:kern w:val="2"/>
          <w:sz w:val="28"/>
          <w:szCs w:val="28"/>
          <w:lang w:val="en-US" w:eastAsia="zh-CN" w:bidi="ar-SA"/>
        </w:rPr>
        <w:t>政拨款收入支出决算总体情况说明</w:t>
      </w:r>
      <w:r>
        <w:rPr>
          <w:sz w:val="28"/>
          <w:szCs w:val="28"/>
        </w:rPr>
        <w:tab/>
      </w:r>
      <w:r>
        <w:rPr>
          <w:sz w:val="28"/>
          <w:szCs w:val="28"/>
        </w:rPr>
        <w:fldChar w:fldCharType="begin"/>
      </w:r>
      <w:r>
        <w:rPr>
          <w:sz w:val="28"/>
          <w:szCs w:val="28"/>
        </w:rPr>
        <w:instrText>PageRef _Toc57013465 \h</w:instrText>
      </w:r>
      <w:r>
        <w:rPr>
          <w:sz w:val="28"/>
          <w:szCs w:val="28"/>
        </w:rPr>
        <w:fldChar w:fldCharType="separate"/>
      </w:r>
      <w:r>
        <w:rPr>
          <w:sz w:val="28"/>
          <w:szCs w:val="28"/>
        </w:rPr>
        <w:t>- 8 -</w:t>
      </w:r>
      <w:r>
        <w:rPr>
          <w:sz w:val="28"/>
          <w:szCs w:val="28"/>
        </w:rPr>
        <w:fldChar w:fldCharType="end"/>
      </w:r>
      <w:r>
        <w:rPr>
          <w:sz w:val="28"/>
          <w:szCs w:val="28"/>
        </w:rPr>
        <w:fldChar w:fldCharType="end"/>
      </w:r>
    </w:p>
    <w:p>
      <w:pPr>
        <w:pStyle w:val="24"/>
        <w:tabs>
          <w:tab w:val="right" w:leader="dot" w:pos="8306"/>
        </w:tabs>
        <w:bidi w:val="0"/>
        <w:jc w:val="left"/>
        <w:rPr>
          <w:sz w:val="28"/>
          <w:szCs w:val="28"/>
        </w:rPr>
      </w:pPr>
      <w:r>
        <w:rPr>
          <w:sz w:val="28"/>
          <w:szCs w:val="28"/>
        </w:rPr>
        <w:fldChar w:fldCharType="begin"/>
      </w:r>
      <w:r>
        <w:rPr>
          <w:sz w:val="28"/>
          <w:szCs w:val="28"/>
        </w:rPr>
        <w:instrText>Hyperlink \l "_Toc57013466"</w:instrText>
      </w:r>
      <w:r>
        <w:rPr>
          <w:sz w:val="28"/>
          <w:szCs w:val="28"/>
        </w:rPr>
        <w:fldChar w:fldCharType="separate"/>
      </w:r>
      <w:r>
        <w:rPr>
          <w:rFonts w:ascii="Times New Roman" w:eastAsia="黑体" w:hAnsi="Times New Roman" w:hint="eastAsia"/>
          <w:sz w:val="28"/>
          <w:szCs w:val="28"/>
          <w:highlight w:val="auto"/>
        </w:rPr>
        <w:t>五、一</w:t>
      </w:r>
      <w:r>
        <w:rPr>
          <w:rFonts w:ascii="Times New Roman" w:eastAsia="黑体" w:cs="Times New Roman" w:hAnsi="Times New Roman" w:hint="eastAsia"/>
          <w:bCs/>
          <w:kern w:val="2"/>
          <w:sz w:val="28"/>
          <w:szCs w:val="28"/>
          <w:lang w:val="en-US" w:eastAsia="zh-CN" w:bidi="ar-SA"/>
        </w:rPr>
        <w:t>般公共预算财政拨款支出决算情况说明</w:t>
      </w:r>
      <w:r>
        <w:rPr>
          <w:sz w:val="28"/>
          <w:szCs w:val="28"/>
        </w:rPr>
        <w:tab/>
      </w:r>
      <w:r>
        <w:rPr>
          <w:sz w:val="28"/>
          <w:szCs w:val="28"/>
        </w:rPr>
        <w:fldChar w:fldCharType="begin"/>
      </w:r>
      <w:r>
        <w:rPr>
          <w:sz w:val="28"/>
          <w:szCs w:val="28"/>
        </w:rPr>
        <w:instrText>PageRef _Toc57013466 \h</w:instrText>
      </w:r>
      <w:r>
        <w:rPr>
          <w:sz w:val="28"/>
          <w:szCs w:val="28"/>
        </w:rPr>
        <w:fldChar w:fldCharType="separate"/>
      </w:r>
      <w:r>
        <w:rPr>
          <w:sz w:val="28"/>
          <w:szCs w:val="28"/>
        </w:rPr>
        <w:t>- 9 -</w:t>
      </w:r>
      <w:r>
        <w:rPr>
          <w:sz w:val="28"/>
          <w:szCs w:val="28"/>
        </w:rPr>
        <w:fldChar w:fldCharType="end"/>
      </w:r>
      <w:r>
        <w:rPr>
          <w:sz w:val="28"/>
          <w:szCs w:val="28"/>
        </w:rPr>
        <w:fldChar w:fldCharType="end"/>
      </w:r>
    </w:p>
    <w:p>
      <w:pPr>
        <w:pStyle w:val="19"/>
        <w:tabs>
          <w:tab w:val="right" w:leader="dot" w:pos="8306"/>
        </w:tabs>
        <w:bidi w:val="0"/>
        <w:jc w:val="left"/>
        <w:rPr>
          <w:sz w:val="28"/>
          <w:szCs w:val="28"/>
        </w:rPr>
      </w:pPr>
      <w:r>
        <w:rPr>
          <w:sz w:val="28"/>
          <w:szCs w:val="28"/>
        </w:rPr>
        <w:fldChar w:fldCharType="begin"/>
      </w:r>
      <w:r>
        <w:rPr>
          <w:sz w:val="28"/>
          <w:szCs w:val="28"/>
        </w:rPr>
        <w:instrText>Hyperlink \l "_Toc57013467"</w:instrText>
      </w:r>
      <w:r>
        <w:rPr>
          <w:sz w:val="28"/>
          <w:szCs w:val="28"/>
        </w:rPr>
        <w:fldChar w:fldCharType="separate"/>
      </w:r>
      <w:r>
        <w:rPr>
          <w:rFonts w:ascii="Times New Roman" w:eastAsia="楷体_GB2312" w:cs="楷体_GB2312" w:hAnsi="Times New Roman" w:hint="eastAsia"/>
          <w:sz w:val="28"/>
          <w:szCs w:val="28"/>
          <w:highlight w:val="auto"/>
        </w:rPr>
        <w:t>（一）一般公共预算财政拨款支出决算总体情况</w:t>
      </w:r>
      <w:r>
        <w:rPr>
          <w:sz w:val="28"/>
          <w:szCs w:val="28"/>
        </w:rPr>
        <w:tab/>
      </w:r>
      <w:r>
        <w:rPr>
          <w:sz w:val="28"/>
          <w:szCs w:val="28"/>
        </w:rPr>
        <w:fldChar w:fldCharType="begin"/>
      </w:r>
      <w:r>
        <w:rPr>
          <w:sz w:val="28"/>
          <w:szCs w:val="28"/>
        </w:rPr>
        <w:instrText>PageRef _Toc57013467 \h</w:instrText>
      </w:r>
      <w:r>
        <w:rPr>
          <w:sz w:val="28"/>
          <w:szCs w:val="28"/>
        </w:rPr>
        <w:fldChar w:fldCharType="separate"/>
      </w:r>
      <w:r>
        <w:rPr>
          <w:sz w:val="28"/>
          <w:szCs w:val="28"/>
        </w:rPr>
        <w:t>- 9 -</w:t>
      </w:r>
      <w:r>
        <w:rPr>
          <w:sz w:val="28"/>
          <w:szCs w:val="28"/>
        </w:rPr>
        <w:fldChar w:fldCharType="end"/>
      </w:r>
      <w:r>
        <w:rPr>
          <w:sz w:val="28"/>
          <w:szCs w:val="28"/>
        </w:rPr>
        <w:fldChar w:fldCharType="end"/>
      </w:r>
    </w:p>
    <w:p>
      <w:pPr>
        <w:pStyle w:val="19"/>
        <w:tabs>
          <w:tab w:val="right" w:leader="dot" w:pos="8306"/>
        </w:tabs>
        <w:bidi w:val="0"/>
        <w:jc w:val="left"/>
        <w:rPr>
          <w:sz w:val="28"/>
          <w:szCs w:val="28"/>
        </w:rPr>
      </w:pPr>
      <w:r>
        <w:rPr>
          <w:sz w:val="28"/>
          <w:szCs w:val="28"/>
        </w:rPr>
        <w:fldChar w:fldCharType="begin"/>
      </w:r>
      <w:r>
        <w:rPr>
          <w:sz w:val="28"/>
          <w:szCs w:val="28"/>
        </w:rPr>
        <w:instrText>Hyperlink \l "_Toc57013468"</w:instrText>
      </w:r>
      <w:r>
        <w:rPr>
          <w:sz w:val="28"/>
          <w:szCs w:val="28"/>
        </w:rPr>
        <w:fldChar w:fldCharType="separate"/>
      </w:r>
      <w:r>
        <w:rPr>
          <w:rFonts w:ascii="Times New Roman" w:eastAsia="楷体_GB2312" w:cs="楷体_GB2312" w:hAnsi="Times New Roman" w:hint="eastAsia"/>
          <w:sz w:val="28"/>
          <w:szCs w:val="28"/>
          <w:highlight w:val="auto"/>
        </w:rPr>
        <w:t>（二）一般公共预算财政拨款支出决算结构情况</w:t>
      </w:r>
      <w:r>
        <w:rPr>
          <w:sz w:val="28"/>
          <w:szCs w:val="28"/>
        </w:rPr>
        <w:tab/>
      </w:r>
      <w:r>
        <w:rPr>
          <w:sz w:val="28"/>
          <w:szCs w:val="28"/>
        </w:rPr>
        <w:fldChar w:fldCharType="begin"/>
      </w:r>
      <w:r>
        <w:rPr>
          <w:sz w:val="28"/>
          <w:szCs w:val="28"/>
        </w:rPr>
        <w:instrText>PageRef _Toc57013468 \h</w:instrText>
      </w:r>
      <w:r>
        <w:rPr>
          <w:sz w:val="28"/>
          <w:szCs w:val="28"/>
        </w:rPr>
        <w:fldChar w:fldCharType="separate"/>
      </w:r>
      <w:r>
        <w:rPr>
          <w:sz w:val="28"/>
          <w:szCs w:val="28"/>
        </w:rPr>
        <w:t>- 10 -</w:t>
      </w:r>
      <w:r>
        <w:rPr>
          <w:sz w:val="28"/>
          <w:szCs w:val="28"/>
        </w:rPr>
        <w:fldChar w:fldCharType="end"/>
      </w:r>
      <w:r>
        <w:rPr>
          <w:sz w:val="28"/>
          <w:szCs w:val="28"/>
        </w:rPr>
        <w:fldChar w:fldCharType="end"/>
      </w:r>
    </w:p>
    <w:p>
      <w:pPr>
        <w:pStyle w:val="19"/>
        <w:tabs>
          <w:tab w:val="right" w:leader="dot" w:pos="8306"/>
        </w:tabs>
        <w:bidi w:val="0"/>
        <w:jc w:val="left"/>
        <w:rPr>
          <w:sz w:val="28"/>
          <w:szCs w:val="28"/>
        </w:rPr>
      </w:pPr>
      <w:r>
        <w:rPr>
          <w:sz w:val="28"/>
          <w:szCs w:val="28"/>
        </w:rPr>
        <w:fldChar w:fldCharType="begin"/>
      </w:r>
      <w:r>
        <w:rPr>
          <w:sz w:val="28"/>
          <w:szCs w:val="28"/>
        </w:rPr>
        <w:instrText>Hyperlink \l "_Toc57013469"</w:instrText>
      </w:r>
      <w:r>
        <w:rPr>
          <w:sz w:val="28"/>
          <w:szCs w:val="28"/>
        </w:rPr>
        <w:fldChar w:fldCharType="separate"/>
      </w:r>
      <w:r>
        <w:rPr>
          <w:rFonts w:ascii="Times New Roman" w:eastAsia="楷体_GB2312" w:cs="楷体_GB2312" w:hAnsi="Times New Roman" w:hint="eastAsia"/>
          <w:sz w:val="28"/>
          <w:szCs w:val="28"/>
          <w:highlight w:val="auto"/>
        </w:rPr>
        <w:t>（三）一般公共预算财政拨款支出决算具体情况</w:t>
      </w:r>
      <w:r>
        <w:rPr>
          <w:sz w:val="28"/>
          <w:szCs w:val="28"/>
        </w:rPr>
        <w:tab/>
      </w:r>
      <w:r>
        <w:rPr>
          <w:sz w:val="28"/>
          <w:szCs w:val="28"/>
        </w:rPr>
        <w:fldChar w:fldCharType="begin"/>
      </w:r>
      <w:r>
        <w:rPr>
          <w:sz w:val="28"/>
          <w:szCs w:val="28"/>
        </w:rPr>
        <w:instrText>PageRef _Toc57013469 \h</w:instrText>
      </w:r>
      <w:r>
        <w:rPr>
          <w:sz w:val="28"/>
          <w:szCs w:val="28"/>
        </w:rPr>
        <w:fldChar w:fldCharType="separate"/>
      </w:r>
      <w:r>
        <w:rPr>
          <w:sz w:val="28"/>
          <w:szCs w:val="28"/>
        </w:rPr>
        <w:t>- 11 -</w:t>
      </w:r>
      <w:r>
        <w:rPr>
          <w:sz w:val="28"/>
          <w:szCs w:val="28"/>
        </w:rPr>
        <w:fldChar w:fldCharType="end"/>
      </w:r>
      <w:r>
        <w:rPr>
          <w:sz w:val="28"/>
          <w:szCs w:val="28"/>
        </w:rPr>
        <w:fldChar w:fldCharType="end"/>
      </w:r>
    </w:p>
    <w:p>
      <w:pPr>
        <w:pStyle w:val="24"/>
        <w:tabs>
          <w:tab w:val="right" w:leader="dot" w:pos="8306"/>
        </w:tabs>
        <w:bidi w:val="0"/>
        <w:jc w:val="left"/>
        <w:rPr>
          <w:sz w:val="28"/>
          <w:szCs w:val="28"/>
        </w:rPr>
      </w:pPr>
      <w:r>
        <w:rPr>
          <w:sz w:val="28"/>
          <w:szCs w:val="28"/>
        </w:rPr>
        <w:fldChar w:fldCharType="begin"/>
      </w:r>
      <w:r>
        <w:rPr>
          <w:sz w:val="28"/>
          <w:szCs w:val="28"/>
        </w:rPr>
        <w:instrText>Hyperlink \l "_Toc57013470"</w:instrText>
      </w:r>
      <w:r>
        <w:rPr>
          <w:sz w:val="28"/>
          <w:szCs w:val="28"/>
        </w:rPr>
        <w:fldChar w:fldCharType="separate"/>
      </w:r>
      <w:r>
        <w:rPr>
          <w:rFonts w:ascii="Times New Roman" w:eastAsia="黑体" w:hAnsi="Times New Roman" w:hint="eastAsia"/>
          <w:sz w:val="28"/>
          <w:szCs w:val="28"/>
          <w:highlight w:val="auto"/>
        </w:rPr>
        <w:t>六、一</w:t>
      </w:r>
      <w:r>
        <w:rPr>
          <w:rFonts w:ascii="Times New Roman" w:eastAsia="黑体" w:cs="Times New Roman" w:hAnsi="Times New Roman" w:hint="eastAsia"/>
          <w:bCs/>
          <w:kern w:val="2"/>
          <w:sz w:val="28"/>
          <w:szCs w:val="28"/>
          <w:lang w:val="en-US" w:eastAsia="zh-CN" w:bidi="ar-SA"/>
        </w:rPr>
        <w:t>般公共预算财政拨款基本支出决算情况说明</w:t>
      </w:r>
      <w:r>
        <w:rPr>
          <w:sz w:val="28"/>
          <w:szCs w:val="28"/>
        </w:rPr>
        <w:tab/>
      </w:r>
      <w:r>
        <w:rPr>
          <w:sz w:val="28"/>
          <w:szCs w:val="28"/>
        </w:rPr>
        <w:fldChar w:fldCharType="begin"/>
      </w:r>
      <w:r>
        <w:rPr>
          <w:sz w:val="28"/>
          <w:szCs w:val="28"/>
        </w:rPr>
        <w:instrText>PageRef _Toc57013470 \h</w:instrText>
      </w:r>
      <w:r>
        <w:rPr>
          <w:sz w:val="28"/>
          <w:szCs w:val="28"/>
        </w:rPr>
        <w:fldChar w:fldCharType="separate"/>
      </w:r>
      <w:r>
        <w:rPr>
          <w:sz w:val="28"/>
          <w:szCs w:val="28"/>
        </w:rPr>
        <w:t>- 12 -</w:t>
      </w:r>
      <w:r>
        <w:rPr>
          <w:sz w:val="28"/>
          <w:szCs w:val="28"/>
        </w:rPr>
        <w:fldChar w:fldCharType="end"/>
      </w:r>
      <w:r>
        <w:rPr>
          <w:sz w:val="28"/>
          <w:szCs w:val="28"/>
        </w:rPr>
        <w:fldChar w:fldCharType="end"/>
      </w:r>
    </w:p>
    <w:p>
      <w:pPr>
        <w:pStyle w:val="24"/>
        <w:tabs>
          <w:tab w:val="right" w:leader="dot" w:pos="8306"/>
        </w:tabs>
        <w:bidi w:val="0"/>
        <w:jc w:val="left"/>
        <w:rPr>
          <w:sz w:val="28"/>
          <w:szCs w:val="28"/>
        </w:rPr>
      </w:pPr>
      <w:r>
        <w:rPr>
          <w:sz w:val="28"/>
          <w:szCs w:val="28"/>
        </w:rPr>
        <w:fldChar w:fldCharType="begin"/>
      </w:r>
      <w:r>
        <w:rPr>
          <w:sz w:val="28"/>
          <w:szCs w:val="28"/>
        </w:rPr>
        <w:instrText>Hyperlink \l "_Toc57013471"</w:instrText>
      </w:r>
      <w:r>
        <w:rPr>
          <w:sz w:val="28"/>
          <w:szCs w:val="28"/>
        </w:rPr>
        <w:fldChar w:fldCharType="separate"/>
      </w:r>
      <w:r>
        <w:rPr>
          <w:rFonts w:ascii="Times New Roman" w:eastAsia="黑体" w:hAnsi="Times New Roman" w:hint="eastAsia"/>
          <w:sz w:val="28"/>
          <w:szCs w:val="28"/>
          <w:highlight w:val="auto"/>
        </w:rPr>
        <w:t>七、</w:t>
      </w:r>
      <w:r>
        <w:rPr>
          <w:rFonts w:ascii="Times New Roman" w:eastAsia="黑体" w:cs="Times New Roman" w:hAnsi="Times New Roman" w:hint="eastAsia"/>
          <w:bCs/>
          <w:kern w:val="2"/>
          <w:sz w:val="28"/>
          <w:szCs w:val="28"/>
          <w:lang w:val="en-US" w:eastAsia="zh-CN" w:bidi="ar-SA"/>
        </w:rPr>
        <w:t>财政拨款“三公”经费支出决算情况说明</w:t>
      </w:r>
      <w:r>
        <w:rPr>
          <w:sz w:val="28"/>
          <w:szCs w:val="28"/>
        </w:rPr>
        <w:tab/>
      </w:r>
      <w:r>
        <w:rPr>
          <w:sz w:val="28"/>
          <w:szCs w:val="28"/>
        </w:rPr>
        <w:fldChar w:fldCharType="begin"/>
      </w:r>
      <w:r>
        <w:rPr>
          <w:sz w:val="28"/>
          <w:szCs w:val="28"/>
        </w:rPr>
        <w:instrText>PageRef _Toc57013471 \h</w:instrText>
      </w:r>
      <w:r>
        <w:rPr>
          <w:sz w:val="28"/>
          <w:szCs w:val="28"/>
        </w:rPr>
        <w:fldChar w:fldCharType="separate"/>
      </w:r>
      <w:r>
        <w:rPr>
          <w:sz w:val="28"/>
          <w:szCs w:val="28"/>
        </w:rPr>
        <w:t>- 13 -</w:t>
      </w:r>
      <w:r>
        <w:rPr>
          <w:sz w:val="28"/>
          <w:szCs w:val="28"/>
        </w:rPr>
        <w:fldChar w:fldCharType="end"/>
      </w:r>
      <w:r>
        <w:rPr>
          <w:sz w:val="28"/>
          <w:szCs w:val="28"/>
        </w:rPr>
        <w:fldChar w:fldCharType="end"/>
      </w:r>
    </w:p>
    <w:p>
      <w:pPr>
        <w:pStyle w:val="19"/>
        <w:tabs>
          <w:tab w:val="right" w:leader="dot" w:pos="8306"/>
        </w:tabs>
        <w:bidi w:val="0"/>
        <w:jc w:val="left"/>
        <w:rPr>
          <w:sz w:val="28"/>
          <w:szCs w:val="28"/>
        </w:rPr>
      </w:pPr>
      <w:r>
        <w:rPr>
          <w:sz w:val="28"/>
          <w:szCs w:val="28"/>
        </w:rPr>
        <w:fldChar w:fldCharType="begin"/>
      </w:r>
      <w:r>
        <w:rPr>
          <w:sz w:val="28"/>
          <w:szCs w:val="28"/>
        </w:rPr>
        <w:instrText>Hyperlink \l "_Toc57013472"</w:instrText>
      </w:r>
      <w:r>
        <w:rPr>
          <w:sz w:val="28"/>
          <w:szCs w:val="28"/>
        </w:rPr>
        <w:fldChar w:fldCharType="separate"/>
      </w:r>
      <w:r>
        <w:rPr>
          <w:rFonts w:ascii="Times New Roman" w:eastAsia="楷体_GB2312" w:cs="楷体_GB2312" w:hAnsi="Times New Roman" w:hint="eastAsia"/>
          <w:sz w:val="28"/>
          <w:szCs w:val="28"/>
          <w:highlight w:val="auto"/>
        </w:rPr>
        <w:t>（一）“三公”经费财政拨款支出决算总体情况说明</w:t>
      </w:r>
      <w:r>
        <w:rPr>
          <w:sz w:val="28"/>
          <w:szCs w:val="28"/>
        </w:rPr>
        <w:tab/>
      </w:r>
      <w:r>
        <w:rPr>
          <w:sz w:val="28"/>
          <w:szCs w:val="28"/>
        </w:rPr>
        <w:fldChar w:fldCharType="begin"/>
      </w:r>
      <w:r>
        <w:rPr>
          <w:sz w:val="28"/>
          <w:szCs w:val="28"/>
        </w:rPr>
        <w:instrText>PageRef _Toc57013472 \h</w:instrText>
      </w:r>
      <w:r>
        <w:rPr>
          <w:sz w:val="28"/>
          <w:szCs w:val="28"/>
        </w:rPr>
        <w:fldChar w:fldCharType="separate"/>
      </w:r>
      <w:r>
        <w:rPr>
          <w:sz w:val="28"/>
          <w:szCs w:val="28"/>
        </w:rPr>
        <w:t>- 13 -</w:t>
      </w:r>
      <w:r>
        <w:rPr>
          <w:sz w:val="28"/>
          <w:szCs w:val="28"/>
        </w:rPr>
        <w:fldChar w:fldCharType="end"/>
      </w:r>
      <w:r>
        <w:rPr>
          <w:sz w:val="28"/>
          <w:szCs w:val="28"/>
        </w:rPr>
        <w:fldChar w:fldCharType="end"/>
      </w:r>
    </w:p>
    <w:p>
      <w:pPr>
        <w:pStyle w:val="19"/>
        <w:tabs>
          <w:tab w:val="right" w:leader="dot" w:pos="8306"/>
        </w:tabs>
        <w:bidi w:val="0"/>
        <w:jc w:val="left"/>
        <w:rPr>
          <w:sz w:val="28"/>
          <w:szCs w:val="28"/>
        </w:rPr>
      </w:pPr>
      <w:r>
        <w:rPr>
          <w:sz w:val="28"/>
          <w:szCs w:val="28"/>
        </w:rPr>
        <w:fldChar w:fldCharType="begin"/>
      </w:r>
      <w:r>
        <w:rPr>
          <w:sz w:val="28"/>
          <w:szCs w:val="28"/>
        </w:rPr>
        <w:instrText>Hyperlink \l "_Toc57013473"</w:instrText>
      </w:r>
      <w:r>
        <w:rPr>
          <w:sz w:val="28"/>
          <w:szCs w:val="28"/>
        </w:rPr>
        <w:fldChar w:fldCharType="separate"/>
      </w:r>
      <w:r>
        <w:rPr>
          <w:rFonts w:ascii="Times New Roman" w:eastAsia="楷体_GB2312" w:cs="楷体_GB2312" w:hAnsi="Times New Roman" w:hint="eastAsia"/>
          <w:sz w:val="28"/>
          <w:szCs w:val="28"/>
          <w:highlight w:val="auto"/>
        </w:rPr>
        <w:t>（二）“三公”经费财政拨款支出决算具体情况说明</w:t>
      </w:r>
      <w:r>
        <w:rPr>
          <w:sz w:val="28"/>
          <w:szCs w:val="28"/>
        </w:rPr>
        <w:tab/>
      </w:r>
      <w:r>
        <w:rPr>
          <w:sz w:val="28"/>
          <w:szCs w:val="28"/>
        </w:rPr>
        <w:fldChar w:fldCharType="begin"/>
      </w:r>
      <w:r>
        <w:rPr>
          <w:sz w:val="28"/>
          <w:szCs w:val="28"/>
        </w:rPr>
        <w:instrText>PageRef _Toc57013473 \h</w:instrText>
      </w:r>
      <w:r>
        <w:rPr>
          <w:sz w:val="28"/>
          <w:szCs w:val="28"/>
        </w:rPr>
        <w:fldChar w:fldCharType="separate"/>
      </w:r>
      <w:r>
        <w:rPr>
          <w:sz w:val="28"/>
          <w:szCs w:val="28"/>
        </w:rPr>
        <w:t>- 13 -</w:t>
      </w:r>
      <w:r>
        <w:rPr>
          <w:sz w:val="28"/>
          <w:szCs w:val="28"/>
        </w:rPr>
        <w:fldChar w:fldCharType="end"/>
      </w:r>
      <w:r>
        <w:rPr>
          <w:sz w:val="28"/>
          <w:szCs w:val="28"/>
        </w:rPr>
        <w:fldChar w:fldCharType="end"/>
      </w:r>
    </w:p>
    <w:p>
      <w:pPr>
        <w:pStyle w:val="24"/>
        <w:tabs>
          <w:tab w:val="right" w:leader="dot" w:pos="8306"/>
        </w:tabs>
        <w:bidi w:val="0"/>
        <w:jc w:val="left"/>
        <w:rPr>
          <w:sz w:val="28"/>
          <w:szCs w:val="28"/>
        </w:rPr>
      </w:pPr>
      <w:r>
        <w:rPr>
          <w:sz w:val="28"/>
          <w:szCs w:val="28"/>
        </w:rPr>
        <w:fldChar w:fldCharType="begin"/>
      </w:r>
      <w:r>
        <w:rPr>
          <w:sz w:val="28"/>
          <w:szCs w:val="28"/>
        </w:rPr>
        <w:instrText>Hyperlink \l "_Toc57013474"</w:instrText>
      </w:r>
      <w:r>
        <w:rPr>
          <w:sz w:val="28"/>
          <w:szCs w:val="28"/>
        </w:rPr>
        <w:fldChar w:fldCharType="separate"/>
      </w:r>
      <w:r>
        <w:rPr>
          <w:rFonts w:ascii="Times New Roman" w:eastAsia="黑体" w:hAnsi="Times New Roman" w:hint="eastAsia"/>
          <w:sz w:val="28"/>
          <w:szCs w:val="28"/>
          <w:highlight w:val="auto"/>
        </w:rPr>
        <w:t>八、</w:t>
      </w:r>
      <w:r>
        <w:rPr>
          <w:rFonts w:ascii="Times New Roman" w:eastAsia="黑体" w:cs="Times New Roman" w:hAnsi="Times New Roman" w:hint="eastAsia"/>
          <w:bCs/>
          <w:kern w:val="2"/>
          <w:sz w:val="28"/>
          <w:szCs w:val="28"/>
          <w:lang w:val="en-US" w:eastAsia="zh-CN" w:bidi="ar-SA"/>
        </w:rPr>
        <w:t>政府性基金预算支出决算情况说明</w:t>
      </w:r>
      <w:r>
        <w:rPr>
          <w:sz w:val="28"/>
          <w:szCs w:val="28"/>
        </w:rPr>
        <w:tab/>
      </w:r>
      <w:r>
        <w:rPr>
          <w:sz w:val="28"/>
          <w:szCs w:val="28"/>
        </w:rPr>
        <w:fldChar w:fldCharType="begin"/>
      </w:r>
      <w:r>
        <w:rPr>
          <w:sz w:val="28"/>
          <w:szCs w:val="28"/>
        </w:rPr>
        <w:instrText>PageRef _Toc57013474 \h</w:instrText>
      </w:r>
      <w:r>
        <w:rPr>
          <w:sz w:val="28"/>
          <w:szCs w:val="28"/>
        </w:rPr>
        <w:fldChar w:fldCharType="separate"/>
      </w:r>
      <w:r>
        <w:rPr>
          <w:sz w:val="28"/>
          <w:szCs w:val="28"/>
        </w:rPr>
        <w:t>- 14 -</w:t>
      </w:r>
      <w:r>
        <w:rPr>
          <w:sz w:val="28"/>
          <w:szCs w:val="28"/>
        </w:rPr>
        <w:fldChar w:fldCharType="end"/>
      </w:r>
      <w:r>
        <w:rPr>
          <w:sz w:val="28"/>
          <w:szCs w:val="28"/>
        </w:rPr>
        <w:fldChar w:fldCharType="end"/>
      </w:r>
    </w:p>
    <w:p>
      <w:pPr>
        <w:pStyle w:val="24"/>
        <w:tabs>
          <w:tab w:val="right" w:leader="dot" w:pos="8306"/>
        </w:tabs>
        <w:bidi w:val="0"/>
        <w:jc w:val="left"/>
        <w:rPr>
          <w:sz w:val="28"/>
          <w:szCs w:val="28"/>
        </w:rPr>
      </w:pPr>
      <w:r>
        <w:rPr>
          <w:sz w:val="28"/>
          <w:szCs w:val="28"/>
        </w:rPr>
        <w:fldChar w:fldCharType="begin"/>
      </w:r>
      <w:r>
        <w:rPr>
          <w:sz w:val="28"/>
          <w:szCs w:val="28"/>
        </w:rPr>
        <w:instrText>Hyperlink \l "_Toc57013475"</w:instrText>
      </w:r>
      <w:r>
        <w:rPr>
          <w:sz w:val="28"/>
          <w:szCs w:val="28"/>
        </w:rPr>
        <w:fldChar w:fldCharType="separate"/>
      </w:r>
      <w:r>
        <w:rPr>
          <w:rFonts w:ascii="Times New Roman" w:eastAsia="黑体" w:cs="Times New Roman" w:hAnsi="Times New Roman" w:hint="eastAsia"/>
          <w:bCs/>
          <w:kern w:val="2"/>
          <w:sz w:val="28"/>
          <w:szCs w:val="28"/>
          <w:lang w:val="en-US" w:eastAsia="zh-CN" w:bidi="ar-SA"/>
        </w:rPr>
        <w:t>九、国有资本经营预算支出决算情况说明</w:t>
      </w:r>
      <w:r>
        <w:rPr>
          <w:sz w:val="28"/>
          <w:szCs w:val="28"/>
        </w:rPr>
        <w:tab/>
      </w:r>
      <w:r>
        <w:rPr>
          <w:sz w:val="28"/>
          <w:szCs w:val="28"/>
        </w:rPr>
        <w:fldChar w:fldCharType="begin"/>
      </w:r>
      <w:r>
        <w:rPr>
          <w:sz w:val="28"/>
          <w:szCs w:val="28"/>
        </w:rPr>
        <w:instrText>PageRef _Toc57013475 \h</w:instrText>
      </w:r>
      <w:r>
        <w:rPr>
          <w:sz w:val="28"/>
          <w:szCs w:val="28"/>
        </w:rPr>
        <w:fldChar w:fldCharType="separate"/>
      </w:r>
      <w:r>
        <w:rPr>
          <w:sz w:val="28"/>
          <w:szCs w:val="28"/>
        </w:rPr>
        <w:t>- 14 -</w:t>
      </w:r>
      <w:r>
        <w:rPr>
          <w:sz w:val="28"/>
          <w:szCs w:val="28"/>
        </w:rPr>
        <w:fldChar w:fldCharType="end"/>
      </w:r>
      <w:r>
        <w:rPr>
          <w:sz w:val="28"/>
          <w:szCs w:val="28"/>
        </w:rPr>
        <w:fldChar w:fldCharType="end"/>
      </w:r>
    </w:p>
    <w:p>
      <w:pPr>
        <w:pStyle w:val="24"/>
        <w:tabs>
          <w:tab w:val="right" w:leader="dot" w:pos="8306"/>
        </w:tabs>
        <w:bidi w:val="0"/>
        <w:jc w:val="left"/>
        <w:rPr>
          <w:sz w:val="28"/>
          <w:szCs w:val="28"/>
        </w:rPr>
      </w:pPr>
      <w:r>
        <w:rPr>
          <w:sz w:val="28"/>
          <w:szCs w:val="28"/>
        </w:rPr>
        <w:fldChar w:fldCharType="begin"/>
      </w:r>
      <w:r>
        <w:rPr>
          <w:sz w:val="28"/>
          <w:szCs w:val="28"/>
        </w:rPr>
        <w:instrText>Hyperlink \l "_Toc57013476"</w:instrText>
      </w:r>
      <w:r>
        <w:rPr>
          <w:sz w:val="28"/>
          <w:szCs w:val="28"/>
        </w:rPr>
        <w:fldChar w:fldCharType="separate"/>
      </w:r>
      <w:r>
        <w:rPr>
          <w:rFonts w:ascii="Times New Roman" w:eastAsia="黑体" w:cs="Times New Roman" w:hAnsi="Times New Roman" w:hint="eastAsia"/>
          <w:bCs/>
          <w:kern w:val="2"/>
          <w:sz w:val="28"/>
          <w:szCs w:val="28"/>
          <w:lang w:val="en-US" w:eastAsia="zh-CN" w:bidi="ar-SA"/>
        </w:rPr>
        <w:t>十、其他重要事项的情况说明</w:t>
      </w:r>
      <w:r>
        <w:rPr>
          <w:sz w:val="28"/>
          <w:szCs w:val="28"/>
        </w:rPr>
        <w:tab/>
      </w:r>
      <w:r>
        <w:rPr>
          <w:sz w:val="28"/>
          <w:szCs w:val="28"/>
        </w:rPr>
        <w:fldChar w:fldCharType="begin"/>
      </w:r>
      <w:r>
        <w:rPr>
          <w:sz w:val="28"/>
          <w:szCs w:val="28"/>
        </w:rPr>
        <w:instrText>PageRef _Toc57013476 \h</w:instrText>
      </w:r>
      <w:r>
        <w:rPr>
          <w:sz w:val="28"/>
          <w:szCs w:val="28"/>
        </w:rPr>
        <w:fldChar w:fldCharType="separate"/>
      </w:r>
      <w:r>
        <w:rPr>
          <w:sz w:val="28"/>
          <w:szCs w:val="28"/>
        </w:rPr>
        <w:t>- 14 -</w:t>
      </w:r>
      <w:r>
        <w:rPr>
          <w:sz w:val="28"/>
          <w:szCs w:val="28"/>
        </w:rPr>
        <w:fldChar w:fldCharType="end"/>
      </w:r>
      <w:r>
        <w:rPr>
          <w:sz w:val="28"/>
          <w:szCs w:val="28"/>
        </w:rPr>
        <w:fldChar w:fldCharType="end"/>
      </w:r>
    </w:p>
    <w:p>
      <w:pPr>
        <w:pStyle w:val="19"/>
        <w:tabs>
          <w:tab w:val="right" w:leader="dot" w:pos="8306"/>
        </w:tabs>
        <w:bidi w:val="0"/>
        <w:jc w:val="left"/>
        <w:rPr>
          <w:sz w:val="28"/>
          <w:szCs w:val="28"/>
        </w:rPr>
      </w:pPr>
      <w:r>
        <w:rPr>
          <w:sz w:val="28"/>
          <w:szCs w:val="28"/>
        </w:rPr>
        <w:fldChar w:fldCharType="begin"/>
      </w:r>
      <w:r>
        <w:rPr>
          <w:sz w:val="28"/>
          <w:szCs w:val="28"/>
        </w:rPr>
        <w:instrText>Hyperlink \l "_Toc57013477"</w:instrText>
      </w:r>
      <w:r>
        <w:rPr>
          <w:sz w:val="28"/>
          <w:szCs w:val="28"/>
        </w:rPr>
        <w:fldChar w:fldCharType="separate"/>
      </w:r>
      <w:r>
        <w:rPr>
          <w:rFonts w:ascii="Times New Roman" w:eastAsia="楷体_GB2312" w:cs="楷体_GB2312" w:hAnsi="Times New Roman" w:hint="eastAsia"/>
          <w:sz w:val="28"/>
          <w:szCs w:val="28"/>
          <w:highlight w:val="auto"/>
        </w:rPr>
        <w:t>（一）机关运行经费支出情况</w:t>
      </w:r>
      <w:r>
        <w:rPr>
          <w:sz w:val="28"/>
          <w:szCs w:val="28"/>
        </w:rPr>
        <w:tab/>
      </w:r>
      <w:r>
        <w:rPr>
          <w:sz w:val="28"/>
          <w:szCs w:val="28"/>
        </w:rPr>
        <w:fldChar w:fldCharType="begin"/>
      </w:r>
      <w:r>
        <w:rPr>
          <w:sz w:val="28"/>
          <w:szCs w:val="28"/>
        </w:rPr>
        <w:instrText>PageRef _Toc57013477 \h</w:instrText>
      </w:r>
      <w:r>
        <w:rPr>
          <w:sz w:val="28"/>
          <w:szCs w:val="28"/>
        </w:rPr>
        <w:fldChar w:fldCharType="separate"/>
      </w:r>
      <w:r>
        <w:rPr>
          <w:sz w:val="28"/>
          <w:szCs w:val="28"/>
        </w:rPr>
        <w:t>- 14 -</w:t>
      </w:r>
      <w:r>
        <w:rPr>
          <w:sz w:val="28"/>
          <w:szCs w:val="28"/>
        </w:rPr>
        <w:fldChar w:fldCharType="end"/>
      </w:r>
      <w:r>
        <w:rPr>
          <w:sz w:val="28"/>
          <w:szCs w:val="28"/>
        </w:rPr>
        <w:fldChar w:fldCharType="end"/>
      </w:r>
    </w:p>
    <w:p>
      <w:pPr>
        <w:pStyle w:val="19"/>
        <w:tabs>
          <w:tab w:val="right" w:leader="dot" w:pos="8306"/>
        </w:tabs>
        <w:bidi w:val="0"/>
        <w:jc w:val="left"/>
        <w:rPr>
          <w:sz w:val="28"/>
          <w:szCs w:val="28"/>
        </w:rPr>
      </w:pPr>
      <w:r>
        <w:rPr>
          <w:sz w:val="28"/>
          <w:szCs w:val="28"/>
        </w:rPr>
        <w:fldChar w:fldCharType="begin"/>
      </w:r>
      <w:r>
        <w:rPr>
          <w:sz w:val="28"/>
          <w:szCs w:val="28"/>
        </w:rPr>
        <w:instrText>Hyperlink \l "_Toc57013478"</w:instrText>
      </w:r>
      <w:r>
        <w:rPr>
          <w:sz w:val="28"/>
          <w:szCs w:val="28"/>
        </w:rPr>
        <w:fldChar w:fldCharType="separate"/>
      </w:r>
      <w:r>
        <w:rPr>
          <w:rFonts w:ascii="Times New Roman" w:eastAsia="楷体_GB2312" w:cs="楷体_GB2312" w:hAnsi="Times New Roman" w:hint="eastAsia"/>
          <w:sz w:val="28"/>
          <w:szCs w:val="28"/>
          <w:highlight w:val="auto"/>
        </w:rPr>
        <w:t>（二）政府采购支出情况</w:t>
      </w:r>
      <w:r>
        <w:rPr>
          <w:sz w:val="28"/>
          <w:szCs w:val="28"/>
        </w:rPr>
        <w:tab/>
      </w:r>
      <w:r>
        <w:rPr>
          <w:sz w:val="28"/>
          <w:szCs w:val="28"/>
        </w:rPr>
        <w:fldChar w:fldCharType="begin"/>
      </w:r>
      <w:r>
        <w:rPr>
          <w:sz w:val="28"/>
          <w:szCs w:val="28"/>
        </w:rPr>
        <w:instrText>PageRef _Toc57013478 \h</w:instrText>
      </w:r>
      <w:r>
        <w:rPr>
          <w:sz w:val="28"/>
          <w:szCs w:val="28"/>
        </w:rPr>
        <w:fldChar w:fldCharType="separate"/>
      </w:r>
      <w:r>
        <w:rPr>
          <w:sz w:val="28"/>
          <w:szCs w:val="28"/>
        </w:rPr>
        <w:t>- 15 -</w:t>
      </w:r>
      <w:r>
        <w:rPr>
          <w:sz w:val="28"/>
          <w:szCs w:val="28"/>
        </w:rPr>
        <w:fldChar w:fldCharType="end"/>
      </w:r>
      <w:r>
        <w:rPr>
          <w:sz w:val="28"/>
          <w:szCs w:val="28"/>
        </w:rPr>
        <w:fldChar w:fldCharType="end"/>
      </w:r>
    </w:p>
    <w:p>
      <w:pPr>
        <w:pStyle w:val="19"/>
        <w:tabs>
          <w:tab w:val="right" w:leader="dot" w:pos="8306"/>
        </w:tabs>
        <w:bidi w:val="0"/>
        <w:jc w:val="left"/>
        <w:rPr>
          <w:sz w:val="28"/>
          <w:szCs w:val="28"/>
        </w:rPr>
      </w:pPr>
      <w:r>
        <w:rPr>
          <w:sz w:val="28"/>
          <w:szCs w:val="28"/>
        </w:rPr>
        <w:fldChar w:fldCharType="begin"/>
      </w:r>
      <w:r>
        <w:rPr>
          <w:sz w:val="28"/>
          <w:szCs w:val="28"/>
        </w:rPr>
        <w:instrText>Hyperlink \l "_Toc57013479"</w:instrText>
      </w:r>
      <w:r>
        <w:rPr>
          <w:sz w:val="28"/>
          <w:szCs w:val="28"/>
        </w:rPr>
        <w:fldChar w:fldCharType="separate"/>
      </w:r>
      <w:r>
        <w:rPr>
          <w:rFonts w:ascii="Times New Roman" w:eastAsia="楷体_GB2312" w:cs="楷体_GB2312" w:hAnsi="Times New Roman" w:hint="eastAsia"/>
          <w:sz w:val="28"/>
          <w:szCs w:val="28"/>
          <w:highlight w:val="auto"/>
        </w:rPr>
        <w:t>（三）国有资产占有使用情况</w:t>
      </w:r>
      <w:r>
        <w:rPr>
          <w:sz w:val="28"/>
          <w:szCs w:val="28"/>
        </w:rPr>
        <w:tab/>
      </w:r>
      <w:r>
        <w:rPr>
          <w:sz w:val="28"/>
          <w:szCs w:val="28"/>
        </w:rPr>
        <w:fldChar w:fldCharType="begin"/>
      </w:r>
      <w:r>
        <w:rPr>
          <w:sz w:val="28"/>
          <w:szCs w:val="28"/>
        </w:rPr>
        <w:instrText>PageRef _Toc57013479 \h</w:instrText>
      </w:r>
      <w:r>
        <w:rPr>
          <w:sz w:val="28"/>
          <w:szCs w:val="28"/>
        </w:rPr>
        <w:fldChar w:fldCharType="separate"/>
      </w:r>
      <w:r>
        <w:rPr>
          <w:sz w:val="28"/>
          <w:szCs w:val="28"/>
        </w:rPr>
        <w:t>- 15 -</w:t>
      </w:r>
      <w:r>
        <w:rPr>
          <w:sz w:val="28"/>
          <w:szCs w:val="28"/>
        </w:rPr>
        <w:fldChar w:fldCharType="end"/>
      </w:r>
      <w:r>
        <w:rPr>
          <w:sz w:val="28"/>
          <w:szCs w:val="28"/>
        </w:rPr>
        <w:fldChar w:fldCharType="end"/>
      </w:r>
    </w:p>
    <w:p>
      <w:pPr>
        <w:pStyle w:val="19"/>
        <w:tabs>
          <w:tab w:val="right" w:leader="dot" w:pos="8306"/>
        </w:tabs>
        <w:bidi w:val="0"/>
        <w:jc w:val="left"/>
        <w:rPr>
          <w:sz w:val="28"/>
          <w:szCs w:val="28"/>
        </w:rPr>
      </w:pPr>
      <w:r>
        <w:rPr>
          <w:sz w:val="28"/>
          <w:szCs w:val="28"/>
        </w:rPr>
        <w:fldChar w:fldCharType="begin"/>
      </w:r>
      <w:r>
        <w:rPr>
          <w:sz w:val="28"/>
          <w:szCs w:val="28"/>
        </w:rPr>
        <w:instrText>Hyperlink \l "_Toc57013480"</w:instrText>
      </w:r>
      <w:r>
        <w:rPr>
          <w:sz w:val="28"/>
          <w:szCs w:val="28"/>
        </w:rPr>
        <w:fldChar w:fldCharType="separate"/>
      </w:r>
      <w:r>
        <w:rPr>
          <w:rFonts w:ascii="Times New Roman" w:eastAsia="楷体_GB2312" w:cs="楷体_GB2312" w:hAnsi="Times New Roman" w:hint="eastAsia"/>
          <w:sz w:val="28"/>
          <w:szCs w:val="28"/>
          <w:highlight w:val="auto"/>
        </w:rPr>
        <w:t>（四）预算绩效管理情况</w:t>
      </w:r>
      <w:r>
        <w:rPr>
          <w:sz w:val="28"/>
          <w:szCs w:val="28"/>
        </w:rPr>
        <w:tab/>
      </w:r>
      <w:r>
        <w:rPr>
          <w:sz w:val="28"/>
          <w:szCs w:val="28"/>
        </w:rPr>
        <w:fldChar w:fldCharType="begin"/>
      </w:r>
      <w:r>
        <w:rPr>
          <w:sz w:val="28"/>
          <w:szCs w:val="28"/>
        </w:rPr>
        <w:instrText>PageRef _Toc57013480 \h</w:instrText>
      </w:r>
      <w:r>
        <w:rPr>
          <w:sz w:val="28"/>
          <w:szCs w:val="28"/>
        </w:rPr>
        <w:fldChar w:fldCharType="separate"/>
      </w:r>
      <w:r>
        <w:rPr>
          <w:sz w:val="28"/>
          <w:szCs w:val="28"/>
        </w:rPr>
        <w:t>- 15 -</w:t>
      </w:r>
      <w:r>
        <w:rPr>
          <w:sz w:val="28"/>
          <w:szCs w:val="28"/>
        </w:rPr>
        <w:fldChar w:fldCharType="end"/>
      </w:r>
      <w:r>
        <w:rPr>
          <w:sz w:val="28"/>
          <w:szCs w:val="28"/>
        </w:rPr>
        <w:fldChar w:fldCharType="end"/>
      </w:r>
    </w:p>
    <w:p>
      <w:pPr>
        <w:pStyle w:val="23"/>
        <w:tabs>
          <w:tab w:val="right" w:leader="dot" w:pos="8306"/>
        </w:tabs>
        <w:bidi w:val="0"/>
        <w:jc w:val="left"/>
        <w:rPr>
          <w:sz w:val="28"/>
          <w:szCs w:val="28"/>
        </w:rPr>
      </w:pPr>
      <w:r>
        <w:rPr>
          <w:sz w:val="28"/>
          <w:szCs w:val="28"/>
        </w:rPr>
        <w:fldChar w:fldCharType="begin"/>
      </w:r>
      <w:r>
        <w:rPr>
          <w:sz w:val="28"/>
          <w:szCs w:val="28"/>
        </w:rPr>
        <w:instrText>Hyperlink \l "_Toc57013481"</w:instrText>
      </w:r>
      <w:r>
        <w:rPr>
          <w:sz w:val="28"/>
          <w:szCs w:val="28"/>
        </w:rPr>
        <w:fldChar w:fldCharType="separate"/>
      </w:r>
      <w:r>
        <w:rPr>
          <w:rFonts w:ascii="Times New Roman" w:eastAsia="方正小标宋简体" w:cs="方正小标宋简体" w:hAnsi="Times New Roman" w:hint="eastAsia"/>
          <w:sz w:val="28"/>
          <w:szCs w:val="28"/>
          <w:highlight w:val="auto"/>
        </w:rPr>
        <w:t>第</w:t>
      </w:r>
      <w:r>
        <w:rPr>
          <w:rFonts w:ascii="Times New Roman" w:eastAsia="方正小标宋简体" w:cs="方正小标宋简体" w:hAnsi="Times New Roman" w:hint="eastAsia"/>
          <w:sz w:val="28"/>
          <w:szCs w:val="28"/>
          <w:lang w:eastAsia="zh-CN"/>
          <w:highlight w:val="auto"/>
        </w:rPr>
        <w:t>三</w:t>
      </w:r>
      <w:r>
        <w:rPr>
          <w:rFonts w:ascii="Times New Roman" w:eastAsia="方正小标宋简体" w:cs="方正小标宋简体" w:hAnsi="Times New Roman" w:hint="eastAsia"/>
          <w:sz w:val="28"/>
          <w:szCs w:val="28"/>
          <w:highlight w:val="auto"/>
        </w:rPr>
        <w:t>部分</w:t>
      </w:r>
      <w:r>
        <w:rPr>
          <w:rFonts w:ascii="Times New Roman" w:eastAsia="方正小标宋简体" w:cs="方正小标宋简体" w:hAnsi="Times New Roman" w:hint="eastAsia"/>
          <w:sz w:val="28"/>
          <w:szCs w:val="28"/>
          <w:lang w:val="en-US" w:eastAsia="zh-CN"/>
          <w:highlight w:val="auto"/>
        </w:rPr>
        <w:t xml:space="preserve">  </w:t>
      </w:r>
      <w:r>
        <w:rPr>
          <w:rFonts w:ascii="Times New Roman" w:eastAsia="方正小标宋简体" w:cs="方正小标宋简体" w:hAnsi="Times New Roman" w:hint="eastAsia"/>
          <w:sz w:val="28"/>
          <w:szCs w:val="28"/>
          <w:highlight w:val="auto"/>
        </w:rPr>
        <w:t>名词解释</w:t>
      </w:r>
      <w:r>
        <w:rPr>
          <w:sz w:val="28"/>
          <w:szCs w:val="28"/>
        </w:rPr>
        <w:tab/>
      </w:r>
      <w:r>
        <w:rPr>
          <w:sz w:val="28"/>
          <w:szCs w:val="28"/>
        </w:rPr>
        <w:fldChar w:fldCharType="begin"/>
      </w:r>
      <w:r>
        <w:rPr>
          <w:sz w:val="28"/>
          <w:szCs w:val="28"/>
        </w:rPr>
        <w:instrText>PageRef _Toc57013481 \h</w:instrText>
      </w:r>
      <w:r>
        <w:rPr>
          <w:sz w:val="28"/>
          <w:szCs w:val="28"/>
        </w:rPr>
        <w:fldChar w:fldCharType="separate"/>
      </w:r>
      <w:r>
        <w:rPr>
          <w:sz w:val="28"/>
          <w:szCs w:val="28"/>
        </w:rPr>
        <w:t>- 17 -</w:t>
      </w:r>
      <w:r>
        <w:rPr>
          <w:sz w:val="28"/>
          <w:szCs w:val="28"/>
        </w:rPr>
        <w:fldChar w:fldCharType="end"/>
      </w:r>
      <w:r>
        <w:rPr>
          <w:sz w:val="28"/>
          <w:szCs w:val="28"/>
        </w:rPr>
        <w:fldChar w:fldCharType="end"/>
      </w:r>
    </w:p>
    <w:p>
      <w:pPr>
        <w:pStyle w:val="23"/>
        <w:tabs>
          <w:tab w:val="right" w:leader="dot" w:pos="8306"/>
        </w:tabs>
        <w:rPr>
          <w:rFonts w:ascii="Times New Roman" w:hAnsi="Times New Roman"/>
          <w:color w:val="auto"/>
          <w:sz w:val="28"/>
          <w:szCs w:val="28"/>
          <w:highlight w:val="auto"/>
        </w:rPr>
      </w:pPr>
      <w:r>
        <w:rPr>
          <w:sz w:val="28"/>
          <w:szCs w:val="28"/>
        </w:rPr>
        <w:fldChar w:fldCharType="begin"/>
      </w:r>
      <w:r>
        <w:rPr>
          <w:sz w:val="28"/>
          <w:szCs w:val="28"/>
        </w:rPr>
        <w:instrText>Hyperlink \l "_Toc57013482"</w:instrText>
      </w:r>
      <w:r>
        <w:rPr>
          <w:sz w:val="28"/>
          <w:szCs w:val="28"/>
        </w:rPr>
        <w:fldChar w:fldCharType="separate"/>
      </w:r>
      <w:r>
        <w:rPr>
          <w:rFonts w:ascii="Times New Roman" w:eastAsia="方正小标宋简体" w:cs="方正小标宋简体" w:hAnsi="Times New Roman" w:hint="eastAsia"/>
          <w:sz w:val="28"/>
          <w:szCs w:val="28"/>
        </w:rPr>
        <w:t>第四部分  附件</w:t>
      </w:r>
      <w:r>
        <w:rPr>
          <w:sz w:val="28"/>
          <w:szCs w:val="28"/>
        </w:rPr>
        <w:tab/>
      </w:r>
      <w:r>
        <w:rPr>
          <w:sz w:val="28"/>
          <w:szCs w:val="28"/>
        </w:rPr>
        <w:fldChar w:fldCharType="begin"/>
      </w:r>
      <w:r>
        <w:rPr>
          <w:sz w:val="28"/>
          <w:szCs w:val="28"/>
        </w:rPr>
        <w:instrText>PageRef _Toc57013482 \h</w:instrText>
      </w:r>
      <w:r>
        <w:rPr>
          <w:sz w:val="28"/>
          <w:szCs w:val="28"/>
        </w:rPr>
        <w:fldChar w:fldCharType="separate"/>
      </w:r>
      <w:r>
        <w:rPr>
          <w:sz w:val="28"/>
          <w:szCs w:val="28"/>
        </w:rPr>
        <w:t>- 19 -</w:t>
      </w:r>
      <w:r>
        <w:rPr>
          <w:sz w:val="28"/>
          <w:szCs w:val="28"/>
        </w:rPr>
        <w:fldChar w:fldCharType="end"/>
      </w:r>
      <w:r>
        <w:rPr>
          <w:sz w:val="28"/>
          <w:szCs w:val="28"/>
        </w:rPr>
        <w:fldChar w:fldCharType="end"/>
      </w:r>
      <w:r>
        <w:rPr>
          <w:rFonts w:ascii="Times New Roman" w:hAnsi="Times New Roman"/>
          <w:color w:val="auto"/>
          <w:sz w:val="28"/>
          <w:szCs w:val="28"/>
          <w:highlight w:val="auto"/>
        </w:rPr>
        <w:fldChar w:fldCharType="end"/>
      </w:r>
    </w:p>
    <w:p>
      <w:pPr>
        <w:pStyle w:val="24"/>
        <w:tabs>
          <w:tab w:val="right" w:leader="dot" w:pos="8306"/>
        </w:tabs>
        <w:ind w:left="0" w:firstLineChars="100" w:firstLine="280"/>
        <w:rPr>
          <w:rFonts w:ascii="Times New Roman" w:eastAsia="黑体" w:cs="方正小标宋简体" w:hAnsi="Times New Roman" w:hint="eastAsia"/>
          <w:sz w:val="28"/>
          <w:szCs w:val="28"/>
          <w:lang w:bidi="ar-SA"/>
        </w:rPr>
      </w:pPr>
      <w:r>
        <w:rPr>
          <w:rFonts w:ascii="Times New Roman" w:eastAsia="黑体" w:cs="Times New Roman" w:hAnsi="Times New Roman" w:hint="eastAsia"/>
          <w:bCs/>
          <w:kern w:val="2"/>
          <w:sz w:val="28"/>
          <w:szCs w:val="28"/>
          <w:lang w:val="en-US" w:eastAsia="zh-CN" w:bidi="ar-SA"/>
        </w:rPr>
        <w:t>附件1：金川县党史研究和地方志编纂中心2024年部门整体支出</w:t>
      </w:r>
      <w:r>
        <w:rPr>
          <w:rFonts w:ascii="Times New Roman" w:eastAsia="黑体" w:cs="Times New Roman" w:hAnsi="Times New Roman" w:hint="eastAsia"/>
          <w:bCs/>
          <w:kern w:val="2"/>
          <w:sz w:val="28"/>
          <w:szCs w:val="28"/>
          <w:lang w:val="en-US" w:eastAsia="zh-CN" w:bidi="ar-SA"/>
          <w:highlight w:val="auto"/>
        </w:rPr>
        <w:t>绩效评价报告</w:t>
      </w:r>
      <w:r>
        <w:rPr>
          <w:sz w:val="28"/>
          <w:szCs w:val="28"/>
        </w:rPr>
        <w:fldChar w:fldCharType="begin"/>
      </w:r>
      <w:r>
        <w:rPr>
          <w:sz w:val="28"/>
          <w:szCs w:val="28"/>
        </w:rPr>
        <w:instrText>Hyperlink \l "_Toc57013461"</w:instrText>
      </w:r>
      <w:r>
        <w:rPr>
          <w:sz w:val="28"/>
          <w:szCs w:val="28"/>
        </w:rPr>
        <w:fldChar w:fldCharType="separate"/>
      </w:r>
      <w:r>
        <w:rPr>
          <w:sz w:val="28"/>
          <w:szCs w:val="28"/>
        </w:rPr>
        <w:tab/>
      </w:r>
      <w:r>
        <w:rPr>
          <w:sz w:val="28"/>
          <w:szCs w:val="28"/>
        </w:rPr>
        <w:fldChar w:fldCharType="begin"/>
      </w:r>
      <w:r>
        <w:rPr>
          <w:sz w:val="28"/>
          <w:szCs w:val="28"/>
        </w:rPr>
        <w:instrText>PageRef _Toc57013461 \h</w:instrText>
      </w:r>
      <w:r>
        <w:rPr>
          <w:sz w:val="28"/>
          <w:szCs w:val="28"/>
        </w:rPr>
        <w:fldChar w:fldCharType="separate"/>
      </w:r>
      <w:r>
        <w:rPr>
          <w:sz w:val="28"/>
          <w:szCs w:val="28"/>
        </w:rPr>
        <w:t>- 19 -</w:t>
      </w:r>
      <w:r>
        <w:rPr>
          <w:sz w:val="28"/>
          <w:szCs w:val="28"/>
        </w:rPr>
        <w:fldChar w:fldCharType="end"/>
      </w:r>
      <w:r>
        <w:rPr>
          <w:sz w:val="28"/>
          <w:szCs w:val="28"/>
        </w:rPr>
        <w:fldChar w:fldCharType="end"/>
      </w:r>
      <w:r>
        <w:rPr>
          <w:rFonts w:ascii="Times New Roman" w:hAnsi="Times New Roman"/>
          <w:b w:val="0"/>
          <w:bCs w:val="0"/>
          <w:sz w:val="28"/>
          <w:szCs w:val="28"/>
        </w:rPr>
        <w:fldChar w:fldCharType="begin"/>
      </w:r>
      <w:r>
        <w:rPr>
          <w:rFonts w:ascii="Times New Roman" w:hAnsi="Times New Roman"/>
          <w:b w:val="0"/>
          <w:bCs w:val="0"/>
          <w:sz w:val="28"/>
          <w:szCs w:val="28"/>
        </w:rPr>
        <w:instrText xml:space="preserve"> TOC \o \u </w:instrText>
      </w:r>
      <w:r>
        <w:rPr>
          <w:rFonts w:ascii="Times New Roman" w:hAnsi="Times New Roman"/>
          <w:b w:val="0"/>
          <w:bCs w:val="0"/>
          <w:sz w:val="28"/>
          <w:szCs w:val="28"/>
        </w:rPr>
        <w:fldChar w:fldCharType="separate"/>
      </w:r>
    </w:p>
    <w:p>
      <w:pPr>
        <w:pStyle w:val="23"/>
        <w:tabs>
          <w:tab w:val="right" w:leader="dot" w:pos="8296"/>
        </w:tabs>
        <w:rPr>
          <w:rFonts w:ascii="Times New Roman" w:eastAsia="宋体" w:hAnsi="Times New Roman"/>
          <w:sz w:val="28"/>
          <w:szCs w:val="28"/>
          <w:lang w:bidi="ar-SA"/>
        </w:rPr>
      </w:pPr>
      <w:r>
        <w:rPr>
          <w:rFonts w:ascii="Times New Roman" w:eastAsia="方正小标宋简体" w:cs="方正小标宋简体" w:hAnsi="Times New Roman" w:hint="eastAsia"/>
          <w:sz w:val="28"/>
          <w:szCs w:val="28"/>
        </w:rPr>
        <w:t>第五部分 附表</w:t>
      </w:r>
      <w:r>
        <w:rPr>
          <w:rFonts w:ascii="Times New Roman" w:hAnsi="Times New Roman"/>
          <w:sz w:val="28"/>
          <w:szCs w:val="28"/>
        </w:rPr>
        <w:tab/>
        <w:t>-58-</w:t>
      </w:r>
    </w:p>
    <w:p>
      <w:pPr>
        <w:pStyle w:val="24"/>
        <w:tabs>
          <w:tab w:val="right" w:leader="dot" w:pos="8306"/>
        </w:tabs>
        <w:rPr>
          <w:rFonts w:ascii="Times New Roman" w:eastAsia="黑体" w:hAnsi="Times New Roman" w:hint="eastAsia"/>
          <w:sz w:val="28"/>
          <w:szCs w:val="28"/>
          <w:lang w:eastAsia="zh-CN" w:bidi="ar-SA"/>
        </w:rPr>
      </w:pPr>
      <w:r>
        <w:rPr>
          <w:rFonts w:ascii="Times New Roman" w:eastAsia="黑体" w:hAnsi="Times New Roman" w:hint="eastAsia"/>
          <w:bCs/>
          <w:sz w:val="28"/>
          <w:szCs w:val="28"/>
          <w:lang w:eastAsia="zh-CN"/>
        </w:rPr>
        <w:t>一、收入支出决算总表</w:t>
      </w:r>
      <w:r>
        <w:rPr>
          <w:rFonts w:ascii="Times New Roman" w:eastAsia="黑体" w:hAnsi="Times New Roman" w:hint="eastAsia"/>
          <w:sz w:val="28"/>
          <w:szCs w:val="28"/>
          <w:lang w:eastAsia="zh-CN"/>
        </w:rPr>
        <w:tab/>
      </w:r>
      <w:r>
        <w:rPr>
          <w:rFonts w:ascii="Times New Roman" w:eastAsia="黑体" w:hAnsi="Times New Roman"/>
          <w:sz w:val="28"/>
          <w:szCs w:val="28"/>
          <w:lang w:eastAsia="zh-CN"/>
        </w:rPr>
        <w:t>-58-</w:t>
      </w:r>
    </w:p>
    <w:p>
      <w:pPr>
        <w:pStyle w:val="24"/>
        <w:tabs>
          <w:tab w:val="right" w:leader="dot" w:pos="8306"/>
        </w:tabs>
        <w:rPr>
          <w:rFonts w:ascii="Times New Roman" w:eastAsia="黑体" w:hAnsi="Times New Roman" w:hint="eastAsia"/>
          <w:sz w:val="28"/>
          <w:szCs w:val="28"/>
          <w:lang w:eastAsia="zh-CN" w:bidi="ar-SA"/>
        </w:rPr>
      </w:pPr>
      <w:r>
        <w:rPr>
          <w:rFonts w:ascii="Times New Roman" w:eastAsia="黑体" w:hAnsi="Times New Roman" w:hint="eastAsia"/>
          <w:bCs/>
          <w:sz w:val="28"/>
          <w:szCs w:val="28"/>
          <w:lang w:eastAsia="zh-CN"/>
        </w:rPr>
        <w:t>二、收入决算表</w:t>
      </w:r>
      <w:r>
        <w:rPr>
          <w:rFonts w:ascii="Times New Roman" w:eastAsia="黑体" w:hAnsi="Times New Roman" w:hint="eastAsia"/>
          <w:sz w:val="28"/>
          <w:szCs w:val="28"/>
          <w:lang w:eastAsia="zh-CN"/>
        </w:rPr>
        <w:tab/>
      </w:r>
      <w:r>
        <w:rPr>
          <w:rFonts w:ascii="Times New Roman" w:eastAsia="黑体" w:hAnsi="Times New Roman"/>
          <w:sz w:val="28"/>
          <w:szCs w:val="28"/>
          <w:lang w:eastAsia="zh-CN"/>
        </w:rPr>
        <w:t>-58-</w:t>
      </w:r>
    </w:p>
    <w:p>
      <w:pPr>
        <w:pStyle w:val="24"/>
        <w:tabs>
          <w:tab w:val="right" w:leader="dot" w:pos="8306"/>
        </w:tabs>
        <w:rPr>
          <w:rFonts w:ascii="Times New Roman" w:eastAsia="黑体" w:hAnsi="Times New Roman" w:hint="eastAsia"/>
          <w:sz w:val="28"/>
          <w:szCs w:val="28"/>
          <w:lang w:eastAsia="zh-CN" w:bidi="ar-SA"/>
        </w:rPr>
      </w:pPr>
      <w:r>
        <w:rPr>
          <w:rFonts w:ascii="Times New Roman" w:eastAsia="黑体" w:hAnsi="Times New Roman" w:hint="eastAsia"/>
          <w:bCs/>
          <w:sz w:val="28"/>
          <w:szCs w:val="28"/>
          <w:lang w:eastAsia="zh-CN"/>
        </w:rPr>
        <w:t>三、支出决算表</w:t>
      </w:r>
      <w:r>
        <w:rPr>
          <w:rFonts w:ascii="Times New Roman" w:eastAsia="黑体" w:hAnsi="Times New Roman" w:hint="eastAsia"/>
          <w:sz w:val="28"/>
          <w:szCs w:val="28"/>
          <w:lang w:eastAsia="zh-CN"/>
        </w:rPr>
        <w:tab/>
      </w:r>
      <w:r>
        <w:rPr>
          <w:rFonts w:ascii="Times New Roman" w:eastAsia="黑体" w:hAnsi="Times New Roman"/>
          <w:sz w:val="28"/>
          <w:szCs w:val="28"/>
          <w:lang w:eastAsia="zh-CN"/>
        </w:rPr>
        <w:t>-58-</w:t>
      </w:r>
    </w:p>
    <w:p>
      <w:pPr>
        <w:pStyle w:val="24"/>
        <w:tabs>
          <w:tab w:val="right" w:leader="dot" w:pos="8306"/>
        </w:tabs>
        <w:rPr>
          <w:rFonts w:ascii="Times New Roman" w:eastAsia="黑体" w:hAnsi="Times New Roman" w:hint="eastAsia"/>
          <w:sz w:val="28"/>
          <w:szCs w:val="28"/>
          <w:lang w:eastAsia="zh-CN" w:bidi="ar-SA"/>
        </w:rPr>
      </w:pPr>
      <w:r>
        <w:rPr>
          <w:rFonts w:ascii="Times New Roman" w:eastAsia="黑体" w:hAnsi="Times New Roman" w:hint="eastAsia"/>
          <w:bCs/>
          <w:sz w:val="28"/>
          <w:szCs w:val="28"/>
          <w:lang w:eastAsia="zh-CN"/>
        </w:rPr>
        <w:t>四、财政拨款收入支出决算总表</w:t>
      </w:r>
      <w:r>
        <w:rPr>
          <w:rFonts w:ascii="Times New Roman" w:eastAsia="黑体" w:hAnsi="Times New Roman" w:hint="eastAsia"/>
          <w:sz w:val="28"/>
          <w:szCs w:val="28"/>
          <w:lang w:eastAsia="zh-CN"/>
        </w:rPr>
        <w:tab/>
      </w:r>
      <w:r>
        <w:rPr>
          <w:rFonts w:ascii="Times New Roman" w:eastAsia="黑体" w:hAnsi="Times New Roman"/>
          <w:sz w:val="28"/>
          <w:szCs w:val="28"/>
          <w:lang w:eastAsia="zh-CN"/>
        </w:rPr>
        <w:t>-58-</w:t>
      </w:r>
    </w:p>
    <w:p>
      <w:pPr>
        <w:pStyle w:val="24"/>
        <w:tabs>
          <w:tab w:val="right" w:leader="dot" w:pos="8306"/>
        </w:tabs>
        <w:rPr>
          <w:rFonts w:ascii="Times New Roman" w:eastAsia="黑体" w:hAnsi="Times New Roman" w:hint="eastAsia"/>
          <w:sz w:val="28"/>
          <w:szCs w:val="28"/>
          <w:lang w:eastAsia="zh-CN" w:bidi="ar-SA"/>
        </w:rPr>
      </w:pPr>
      <w:r>
        <w:rPr>
          <w:rFonts w:ascii="Times New Roman" w:eastAsia="黑体" w:hAnsi="Times New Roman" w:hint="eastAsia"/>
          <w:bCs/>
          <w:sz w:val="28"/>
          <w:szCs w:val="28"/>
          <w:lang w:eastAsia="zh-CN"/>
        </w:rPr>
        <w:t>五、财政拨款支出决算明细表</w:t>
      </w:r>
      <w:r>
        <w:rPr>
          <w:rFonts w:ascii="Times New Roman" w:eastAsia="黑体" w:hAnsi="Times New Roman" w:hint="eastAsia"/>
          <w:sz w:val="28"/>
          <w:szCs w:val="28"/>
          <w:lang w:eastAsia="zh-CN"/>
        </w:rPr>
        <w:tab/>
      </w:r>
      <w:r>
        <w:rPr>
          <w:rFonts w:ascii="Times New Roman" w:eastAsia="黑体" w:hAnsi="Times New Roman"/>
          <w:sz w:val="28"/>
          <w:szCs w:val="28"/>
          <w:lang w:eastAsia="zh-CN"/>
        </w:rPr>
        <w:t>-58-</w:t>
      </w:r>
    </w:p>
    <w:p>
      <w:pPr>
        <w:pStyle w:val="24"/>
        <w:tabs>
          <w:tab w:val="right" w:leader="dot" w:pos="8306"/>
        </w:tabs>
        <w:rPr>
          <w:rFonts w:ascii="Times New Roman" w:eastAsia="黑体" w:hAnsi="Times New Roman" w:hint="eastAsia"/>
          <w:sz w:val="28"/>
          <w:szCs w:val="28"/>
          <w:lang w:eastAsia="zh-CN" w:bidi="ar-SA"/>
        </w:rPr>
      </w:pPr>
      <w:r>
        <w:rPr>
          <w:rFonts w:ascii="Times New Roman" w:eastAsia="黑体" w:hAnsi="Times New Roman" w:hint="eastAsia"/>
          <w:bCs/>
          <w:sz w:val="28"/>
          <w:szCs w:val="28"/>
          <w:lang w:eastAsia="zh-CN"/>
        </w:rPr>
        <w:t>六、一般公共预算财政拨款支出决算表</w:t>
      </w:r>
      <w:r>
        <w:rPr>
          <w:rFonts w:ascii="Times New Roman" w:eastAsia="黑体" w:hAnsi="Times New Roman" w:hint="eastAsia"/>
          <w:sz w:val="28"/>
          <w:szCs w:val="28"/>
          <w:lang w:eastAsia="zh-CN"/>
        </w:rPr>
        <w:tab/>
      </w:r>
      <w:r>
        <w:rPr>
          <w:rFonts w:ascii="Times New Roman" w:eastAsia="黑体" w:hAnsi="Times New Roman"/>
          <w:sz w:val="28"/>
          <w:szCs w:val="28"/>
          <w:lang w:eastAsia="zh-CN"/>
        </w:rPr>
        <w:t>-58-</w:t>
      </w:r>
    </w:p>
    <w:p>
      <w:pPr>
        <w:pStyle w:val="24"/>
        <w:tabs>
          <w:tab w:val="right" w:leader="dot" w:pos="8306"/>
        </w:tabs>
        <w:rPr>
          <w:rFonts w:ascii="Times New Roman" w:eastAsia="黑体" w:hAnsi="Times New Roman" w:hint="eastAsia"/>
          <w:sz w:val="28"/>
          <w:szCs w:val="28"/>
          <w:lang w:eastAsia="zh-CN" w:bidi="ar-SA"/>
        </w:rPr>
      </w:pPr>
      <w:r>
        <w:rPr>
          <w:rFonts w:ascii="Times New Roman" w:eastAsia="黑体" w:hAnsi="Times New Roman" w:hint="eastAsia"/>
          <w:bCs/>
          <w:sz w:val="28"/>
          <w:szCs w:val="28"/>
          <w:lang w:eastAsia="zh-CN"/>
        </w:rPr>
        <w:t>七、一般公共预算财政拨款支出决算明细表</w:t>
      </w:r>
      <w:r>
        <w:rPr>
          <w:rFonts w:ascii="Times New Roman" w:eastAsia="黑体" w:hAnsi="Times New Roman" w:hint="eastAsia"/>
          <w:sz w:val="28"/>
          <w:szCs w:val="28"/>
          <w:lang w:eastAsia="zh-CN"/>
        </w:rPr>
        <w:tab/>
      </w:r>
      <w:r>
        <w:rPr>
          <w:rFonts w:ascii="Times New Roman" w:eastAsia="黑体" w:hAnsi="Times New Roman"/>
          <w:sz w:val="28"/>
          <w:szCs w:val="28"/>
          <w:lang w:eastAsia="zh-CN"/>
        </w:rPr>
        <w:t>-58</w:t>
      </w:r>
      <w:r>
        <w:rPr>
          <w:rFonts w:ascii="Times New Roman" w:eastAsia="黑体" w:hAnsi="Times New Roman"/>
          <w:sz w:val="28"/>
          <w:szCs w:val="28"/>
          <w:lang w:eastAsia="zh-CN" w:bidi="ar-SA"/>
        </w:rPr>
        <w:t>-</w:t>
      </w:r>
    </w:p>
    <w:p>
      <w:pPr>
        <w:pStyle w:val="24"/>
        <w:tabs>
          <w:tab w:val="right" w:leader="dot" w:pos="8306"/>
        </w:tabs>
        <w:rPr>
          <w:rFonts w:ascii="Times New Roman" w:eastAsia="黑体" w:hAnsi="Times New Roman" w:hint="eastAsia"/>
          <w:sz w:val="28"/>
          <w:szCs w:val="28"/>
          <w:lang w:eastAsia="zh-CN" w:bidi="ar-SA"/>
        </w:rPr>
      </w:pPr>
      <w:r>
        <w:rPr>
          <w:rFonts w:ascii="Times New Roman" w:eastAsia="黑体" w:hAnsi="Times New Roman" w:hint="eastAsia"/>
          <w:bCs/>
          <w:sz w:val="28"/>
          <w:szCs w:val="28"/>
          <w:lang w:eastAsia="zh-CN"/>
        </w:rPr>
        <w:t>八、一般公共预算财政拨款基本支出决算明细表</w:t>
      </w:r>
      <w:r>
        <w:rPr>
          <w:rFonts w:ascii="Times New Roman" w:eastAsia="黑体" w:hAnsi="Times New Roman" w:hint="eastAsia"/>
          <w:sz w:val="28"/>
          <w:szCs w:val="28"/>
          <w:lang w:eastAsia="zh-CN"/>
        </w:rPr>
        <w:tab/>
      </w:r>
      <w:r>
        <w:rPr>
          <w:rFonts w:ascii="Times New Roman" w:eastAsia="黑体" w:hAnsi="Times New Roman"/>
          <w:sz w:val="28"/>
          <w:szCs w:val="28"/>
          <w:lang w:eastAsia="zh-CN"/>
        </w:rPr>
        <w:t>-58-</w:t>
      </w:r>
    </w:p>
    <w:p>
      <w:pPr>
        <w:pStyle w:val="24"/>
        <w:tabs>
          <w:tab w:val="right" w:leader="dot" w:pos="8306"/>
        </w:tabs>
        <w:rPr>
          <w:rFonts w:ascii="Times New Roman" w:eastAsia="黑体" w:hAnsi="Times New Roman" w:hint="eastAsia"/>
          <w:sz w:val="28"/>
          <w:szCs w:val="28"/>
          <w:lang w:eastAsia="zh-CN" w:bidi="ar-SA"/>
        </w:rPr>
      </w:pPr>
      <w:r>
        <w:rPr>
          <w:rFonts w:ascii="Times New Roman" w:eastAsia="黑体" w:hAnsi="Times New Roman" w:hint="eastAsia"/>
          <w:bCs/>
          <w:sz w:val="28"/>
          <w:szCs w:val="28"/>
          <w:lang w:eastAsia="zh-CN"/>
        </w:rPr>
        <w:t>九、一般公共预算财政拨款项目支出决算表</w:t>
      </w:r>
      <w:r>
        <w:rPr>
          <w:rFonts w:ascii="Times New Roman" w:eastAsia="黑体" w:hAnsi="Times New Roman" w:hint="eastAsia"/>
          <w:sz w:val="28"/>
          <w:szCs w:val="28"/>
          <w:lang w:eastAsia="zh-CN"/>
        </w:rPr>
        <w:tab/>
      </w:r>
      <w:r>
        <w:rPr>
          <w:rFonts w:ascii="Times New Roman" w:eastAsia="黑体" w:hAnsi="Times New Roman"/>
          <w:sz w:val="28"/>
          <w:szCs w:val="28"/>
          <w:lang w:eastAsia="zh-CN"/>
        </w:rPr>
        <w:t>-58-</w:t>
      </w:r>
    </w:p>
    <w:p>
      <w:pPr>
        <w:pStyle w:val="24"/>
        <w:tabs>
          <w:tab w:val="right" w:leader="dot" w:pos="8306"/>
        </w:tabs>
        <w:rPr>
          <w:rFonts w:ascii="Times New Roman" w:eastAsia="黑体" w:hAnsi="Times New Roman" w:hint="eastAsia"/>
          <w:sz w:val="28"/>
          <w:szCs w:val="28"/>
          <w:lang w:eastAsia="zh-CN" w:bidi="ar-SA"/>
        </w:rPr>
      </w:pPr>
      <w:r>
        <w:rPr>
          <w:rFonts w:ascii="Times New Roman" w:eastAsia="黑体" w:hAnsi="Times New Roman" w:hint="eastAsia"/>
          <w:bCs/>
          <w:sz w:val="28"/>
          <w:szCs w:val="28"/>
          <w:lang w:eastAsia="zh-CN"/>
        </w:rPr>
        <w:t>十、政府性基金预算财政拨款收入支出决算表</w:t>
      </w:r>
      <w:r>
        <w:rPr>
          <w:rFonts w:ascii="Times New Roman" w:eastAsia="黑体" w:hAnsi="Times New Roman" w:hint="eastAsia"/>
          <w:sz w:val="28"/>
          <w:szCs w:val="28"/>
          <w:lang w:eastAsia="zh-CN"/>
        </w:rPr>
        <w:tab/>
      </w:r>
      <w:r>
        <w:rPr>
          <w:rFonts w:ascii="Times New Roman" w:eastAsia="黑体" w:hAnsi="Times New Roman"/>
          <w:sz w:val="28"/>
          <w:szCs w:val="28"/>
          <w:lang w:eastAsia="zh-CN"/>
        </w:rPr>
        <w:t>-58</w:t>
      </w:r>
      <w:r>
        <w:rPr>
          <w:rFonts w:ascii="Times New Roman" w:eastAsia="黑体" w:hAnsi="Times New Roman"/>
          <w:sz w:val="28"/>
          <w:szCs w:val="28"/>
          <w:lang w:eastAsia="zh-CN" w:bidi="ar-SA"/>
        </w:rPr>
        <w:t>-</w:t>
      </w:r>
    </w:p>
    <w:p>
      <w:pPr>
        <w:pStyle w:val="24"/>
        <w:tabs>
          <w:tab w:val="right" w:leader="dot" w:pos="8306"/>
        </w:tabs>
        <w:rPr>
          <w:rFonts w:ascii="Times New Roman" w:eastAsia="黑体" w:hAnsi="Times New Roman" w:hint="eastAsia"/>
          <w:sz w:val="28"/>
          <w:szCs w:val="28"/>
          <w:lang w:eastAsia="zh-CN" w:bidi="ar-SA"/>
        </w:rPr>
      </w:pPr>
      <w:r>
        <w:rPr>
          <w:rFonts w:ascii="Times New Roman" w:eastAsia="黑体" w:hAnsi="Times New Roman" w:hint="eastAsia"/>
          <w:bCs/>
          <w:sz w:val="28"/>
          <w:szCs w:val="28"/>
          <w:lang w:eastAsia="zh-CN"/>
        </w:rPr>
        <w:t>十一、国有资本经营预算财政拨款收入支出决算表</w:t>
      </w:r>
      <w:r>
        <w:rPr>
          <w:rFonts w:ascii="Times New Roman" w:eastAsia="黑体" w:hAnsi="Times New Roman" w:hint="eastAsia"/>
          <w:sz w:val="28"/>
          <w:szCs w:val="28"/>
          <w:lang w:eastAsia="zh-CN"/>
        </w:rPr>
        <w:tab/>
      </w:r>
      <w:r>
        <w:rPr>
          <w:rFonts w:ascii="Times New Roman" w:eastAsia="黑体" w:hAnsi="Times New Roman"/>
          <w:sz w:val="28"/>
          <w:szCs w:val="28"/>
          <w:lang w:eastAsia="zh-CN"/>
        </w:rPr>
        <w:t>-</w:t>
      </w:r>
      <w:r>
        <w:rPr>
          <w:rFonts w:ascii="Times New Roman" w:eastAsia="黑体" w:hAnsi="Times New Roman"/>
          <w:sz w:val="28"/>
          <w:szCs w:val="28"/>
          <w:lang w:eastAsia="zh-CN"/>
        </w:rPr>
        <w:t>58-</w:t>
      </w:r>
    </w:p>
    <w:p>
      <w:pPr>
        <w:pStyle w:val="24"/>
        <w:tabs>
          <w:tab w:val="right" w:leader="dot" w:pos="8306"/>
        </w:tabs>
        <w:rPr>
          <w:rFonts w:ascii="Times New Roman" w:eastAsia="黑体" w:hAnsi="Times New Roman" w:hint="eastAsia"/>
          <w:sz w:val="28"/>
          <w:szCs w:val="28"/>
          <w:lang w:eastAsia="zh-CN" w:bidi="ar-SA"/>
        </w:rPr>
      </w:pPr>
      <w:r>
        <w:rPr>
          <w:rFonts w:ascii="Times New Roman" w:eastAsia="黑体" w:hAnsi="Times New Roman" w:hint="eastAsia"/>
          <w:bCs/>
          <w:sz w:val="28"/>
          <w:szCs w:val="28"/>
          <w:lang w:eastAsia="zh-CN"/>
        </w:rPr>
        <w:t>十二、国有资本经营预算财政拨款支出决算表</w:t>
      </w:r>
      <w:r>
        <w:rPr>
          <w:rFonts w:ascii="Times New Roman" w:eastAsia="黑体" w:hAnsi="Times New Roman" w:hint="eastAsia"/>
          <w:sz w:val="28"/>
          <w:szCs w:val="28"/>
          <w:lang w:eastAsia="zh-CN"/>
        </w:rPr>
        <w:tab/>
      </w:r>
      <w:r>
        <w:rPr>
          <w:rFonts w:ascii="Times New Roman" w:eastAsia="黑体" w:hAnsi="Times New Roman"/>
          <w:sz w:val="28"/>
          <w:szCs w:val="28"/>
          <w:lang w:eastAsia="zh-CN"/>
        </w:rPr>
        <w:t>-</w:t>
      </w:r>
      <w:r>
        <w:rPr>
          <w:rFonts w:ascii="Times New Roman" w:eastAsia="黑体" w:hAnsi="Times New Roman"/>
          <w:sz w:val="28"/>
          <w:szCs w:val="28"/>
          <w:lang w:eastAsia="zh-CN"/>
        </w:rPr>
        <w:t>58</w:t>
      </w:r>
      <w:r>
        <w:rPr>
          <w:rFonts w:ascii="Times New Roman" w:eastAsia="黑体" w:hAnsi="Times New Roman"/>
          <w:sz w:val="28"/>
          <w:szCs w:val="28"/>
          <w:lang w:eastAsia="zh-CN" w:bidi="ar-SA"/>
        </w:rPr>
        <w:t>-</w:t>
      </w:r>
    </w:p>
    <w:p>
      <w:pPr>
        <w:pStyle w:val="24"/>
        <w:tabs>
          <w:tab w:val="right" w:leader="dot" w:pos="8306"/>
        </w:tabs>
        <w:rPr>
          <w:rFonts w:ascii="Times New Roman" w:eastAsia="黑体" w:hAnsi="Times New Roman" w:hint="eastAsia"/>
          <w:sz w:val="28"/>
          <w:szCs w:val="28"/>
          <w:lang w:eastAsia="zh-CN" w:bidi="ar-SA"/>
        </w:rPr>
      </w:pPr>
      <w:r>
        <w:rPr>
          <w:rFonts w:ascii="Times New Roman" w:eastAsia="黑体" w:hAnsi="Times New Roman" w:hint="eastAsia"/>
          <w:bCs/>
          <w:sz w:val="28"/>
          <w:szCs w:val="28"/>
          <w:lang w:eastAsia="zh-CN"/>
        </w:rPr>
        <w:t>十三、财政拨款“三公”经费支出决算表</w:t>
      </w:r>
      <w:r>
        <w:rPr>
          <w:rFonts w:ascii="Times New Roman" w:eastAsia="黑体" w:hAnsi="Times New Roman" w:hint="eastAsia"/>
          <w:sz w:val="28"/>
          <w:szCs w:val="28"/>
          <w:lang w:eastAsia="zh-CN"/>
        </w:rPr>
        <w:tab/>
      </w:r>
      <w:r>
        <w:rPr>
          <w:rFonts w:ascii="Times New Roman" w:eastAsia="黑体" w:hAnsi="Times New Roman"/>
          <w:sz w:val="28"/>
          <w:szCs w:val="28"/>
          <w:lang w:eastAsia="zh-CN"/>
        </w:rPr>
        <w:t>-</w:t>
      </w:r>
      <w:r>
        <w:rPr>
          <w:rFonts w:ascii="Times New Roman" w:eastAsia="黑体" w:hAnsi="Times New Roman"/>
          <w:sz w:val="28"/>
          <w:szCs w:val="28"/>
          <w:lang w:eastAsia="zh-CN"/>
        </w:rPr>
        <w:t>58-</w:t>
      </w:r>
    </w:p>
    <w:p>
      <w:pPr>
        <w:pStyle w:val="23"/>
        <w:tabs>
          <w:tab w:val="right" w:leader="dot" w:pos="8306"/>
        </w:tabs>
        <w:bidi w:val="0"/>
        <w:jc w:val="left"/>
        <w:rPr>
          <w:sz w:val="28"/>
          <w:szCs w:val="28"/>
        </w:rPr>
      </w:pPr>
      <w:r>
        <w:rPr>
          <w:rFonts w:eastAsia="Calibri"/>
          <w:b/>
          <w:bCs/>
          <w:caps/>
          <w:smallCaps w:val="0"/>
          <w:sz w:val="28"/>
          <w:szCs w:val="28"/>
        </w:rPr>
        <w:fldChar w:fldCharType="end"/>
      </w:r>
    </w:p>
    <w:p>
      <w:pPr>
        <w:keepNext w:val="0"/>
        <w:keepLines w:val="0"/>
        <w:pageBreakBefore w:val="0"/>
        <w:widowControl/>
        <w:kinsoku/>
        <w:wordWrap/>
        <w:overflowPunct/>
        <w:topLinePunct w:val="0"/>
        <w:autoSpaceDE/>
        <w:autoSpaceDN/>
        <w:bidi w:val="0"/>
        <w:spacing w:line="560" w:lineRule="exact"/>
        <w:jc w:val="left"/>
        <w:textAlignment w:val="auto"/>
        <w:rPr>
          <w:rFonts w:ascii="Times New Roman" w:eastAsia="仿宋_GB2312" w:cs="仿宋_GB2312" w:hAnsi="Times New Roman" w:hint="eastAsia"/>
          <w:bCs/>
          <w:color w:val="auto"/>
          <w:kern w:val="44"/>
          <w:sz w:val="32"/>
          <w:szCs w:val="32"/>
          <w:highlight w:val="auto"/>
        </w:rPr>
      </w:pPr>
      <w:r>
        <w:rPr>
          <w:rFonts w:ascii="Times New Roman" w:eastAsia="仿宋_GB2312" w:cs="仿宋_GB2312" w:hAnsi="Times New Roman" w:hint="eastAsia"/>
          <w:b/>
          <w:color w:val="auto"/>
          <w:sz w:val="32"/>
          <w:szCs w:val="32"/>
          <w:highlight w:val="auto"/>
        </w:rPr>
        <w:br w:type="page"/>
      </w:r>
    </w:p>
    <w:p>
      <w:pPr>
        <w:pStyle w:val="1"/>
        <w:jc w:val="center"/>
        <w:rPr>
          <w:rStyle w:val="1Char"/>
          <w:rFonts w:eastAsia="方正小标宋简体" w:cs="方正小标宋简体" w:hint="eastAsia"/>
          <w:bCs w:val="0"/>
        </w:rPr>
      </w:pPr>
      <w:bookmarkStart w:id="15" w:name="_Toc57013126"/>
      <w:bookmarkStart w:id="16" w:name="_Toc57013184"/>
      <w:bookmarkStart w:id="17" w:name="_Toc57013242"/>
      <w:bookmarkStart w:id="18" w:name="_Toc57013300"/>
      <w:bookmarkStart w:id="19" w:name="_Toc57013396"/>
      <w:bookmarkStart w:id="20" w:name="_Toc57013454"/>
      <w:r>
        <w:rPr>
          <w:rFonts w:ascii="Times New Roman" w:eastAsia="方正小标宋简体" w:cs="方正小标宋简体" w:hAnsi="Times New Roman" w:hint="eastAsia"/>
          <w:b w:val="0"/>
          <w:color w:val="auto"/>
          <w:highlight w:val="auto"/>
        </w:rPr>
        <w:t>第一部分</w:t>
      </w:r>
      <w:r>
        <w:rPr>
          <w:rFonts w:ascii="Times New Roman" w:eastAsia="方正小标宋简体" w:cs="方正小标宋简体" w:hAnsi="Times New Roman" w:hint="eastAsia"/>
          <w:b w:val="0"/>
          <w:color w:val="auto"/>
          <w:lang w:val="en-US" w:eastAsia="zh-CN"/>
          <w:highlight w:val="auto"/>
        </w:rPr>
        <w:t xml:space="preserve"> </w:t>
      </w:r>
      <w:r>
        <w:rPr>
          <w:rFonts w:ascii="Times New Roman" w:eastAsia="方正小标宋简体" w:cs="方正小标宋简体" w:hAnsi="Times New Roman" w:hint="eastAsia"/>
          <w:b w:val="0"/>
          <w:color w:val="auto"/>
          <w:highlight w:val="auto"/>
        </w:rPr>
        <w:t xml:space="preserve"> </w:t>
      </w:r>
      <w:r>
        <w:rPr>
          <w:rStyle w:val="1Char"/>
          <w:rFonts w:ascii="Times New Roman" w:eastAsia="方正小标宋简体" w:cs="方正小标宋简体" w:hAnsi="Times New Roman" w:hint="eastAsia"/>
          <w:b w:val="0"/>
          <w:bCs w:val="0"/>
          <w:color w:val="auto"/>
          <w:highlight w:val="auto"/>
        </w:rPr>
        <w:t>部门概况</w:t>
      </w:r>
      <w:bookmarkEnd w:id="13"/>
      <w:bookmarkEnd w:id="14"/>
      <w:bookmarkEnd w:id="15"/>
      <w:bookmarkEnd w:id="16"/>
      <w:bookmarkEnd w:id="17"/>
      <w:bookmarkEnd w:id="18"/>
      <w:bookmarkEnd w:id="19"/>
      <w:bookmarkEnd w:id="20"/>
    </w:p>
    <w:p>
      <w:pPr>
        <w:pStyle w:val="2"/>
        <w:numPr>
          <w:ilvl w:val="0"/>
          <w:numId w:val="1"/>
        </w:numPr>
        <w:rPr>
          <w:rFonts w:ascii="Times New Roman" w:eastAsia="黑体" w:hAnsi="Times New Roman"/>
          <w:b w:val="0"/>
          <w:color w:val="auto"/>
          <w:lang w:eastAsia="zh-CN"/>
          <w:highlight w:val="auto"/>
        </w:rPr>
      </w:pPr>
      <w:bookmarkStart w:id="21" w:name="_Toc15377197"/>
      <w:bookmarkStart w:id="22" w:name="_Toc15396600"/>
      <w:bookmarkStart w:id="23" w:name="_Toc57013127"/>
      <w:bookmarkStart w:id="24" w:name="_Toc57013185"/>
      <w:bookmarkStart w:id="25" w:name="_Toc57013243"/>
      <w:bookmarkStart w:id="26" w:name="_Toc57013301"/>
      <w:bookmarkStart w:id="27" w:name="_Toc57013397"/>
      <w:bookmarkStart w:id="28" w:name="_Toc57013455"/>
      <w:bookmarkEnd w:id="21"/>
      <w:bookmarkEnd w:id="22"/>
      <w:r>
        <w:rPr>
          <w:rFonts w:ascii="Times New Roman" w:eastAsia="黑体" w:hAnsi="Times New Roman" w:hint="eastAsia"/>
          <w:b w:val="0"/>
          <w:color w:val="auto"/>
          <w:lang w:eastAsia="zh-CN"/>
          <w:highlight w:val="auto"/>
        </w:rPr>
        <w:t>部门职责</w:t>
      </w:r>
      <w:bookmarkEnd w:id="23"/>
      <w:bookmarkEnd w:id="24"/>
      <w:bookmarkEnd w:id="25"/>
      <w:bookmarkEnd w:id="26"/>
      <w:bookmarkEnd w:id="27"/>
      <w:bookmarkEnd w:id="28"/>
    </w:p>
    <w:p>
      <w:pPr>
        <w:pStyle w:val="18"/>
        <w:adjustRightInd w:val="0"/>
        <w:snapToGrid w:val="0"/>
        <w:spacing w:beforeLines="0" w:before="0" w:line="560" w:lineRule="exact"/>
        <w:ind w:firstLineChars="208" w:firstLine="666"/>
        <w:outlineLvl w:val="2"/>
        <w:rPr>
          <w:rFonts w:ascii="Times New Roman" w:eastAsia="楷体" w:hAnsi="Times New Roman"/>
          <w:b/>
          <w:bCs/>
          <w:color w:val="000000"/>
          <w:sz w:val="32"/>
          <w:szCs w:val="32"/>
        </w:rPr>
      </w:pPr>
      <w:bookmarkStart w:id="29" w:name="_Toc79163603"/>
      <w:bookmarkStart w:id="30" w:name="_Toc79163853"/>
      <w:bookmarkStart w:id="31" w:name="_Toc15378445"/>
      <w:bookmarkStart w:id="32" w:name="_Toc15377198"/>
      <w:bookmarkStart w:id="33" w:name="_Toc57013128"/>
      <w:bookmarkStart w:id="34" w:name="_Toc57013186"/>
      <w:bookmarkStart w:id="35" w:name="_Toc57013244"/>
      <w:bookmarkStart w:id="36" w:name="_Toc57013398"/>
      <w:bookmarkStart w:id="37" w:name="_Toc57013456"/>
      <w:r>
        <w:rPr>
          <w:rFonts w:ascii="Times New Roman" w:eastAsia="楷体" w:hAnsi="Times New Roman"/>
          <w:b/>
          <w:bCs/>
          <w:color w:val="000000"/>
          <w:sz w:val="32"/>
          <w:szCs w:val="32"/>
        </w:rPr>
        <w:t>（一）主要职能。</w:t>
      </w:r>
      <w:bookmarkEnd w:id="29"/>
      <w:bookmarkEnd w:id="30"/>
      <w:bookmarkEnd w:id="33"/>
      <w:bookmarkEnd w:id="34"/>
      <w:bookmarkEnd w:id="35"/>
      <w:bookmarkEnd w:id="36"/>
      <w:bookmarkEnd w:id="37"/>
    </w:p>
    <w:p>
      <w:pPr>
        <w:widowControl/>
        <w:spacing w:line="600" w:lineRule="exact"/>
        <w:ind w:firstLineChars="200" w:firstLine="640"/>
        <w:jc w:val="left"/>
        <w:rPr>
          <w:rFonts w:eastAsia="仿宋_GB2312"/>
          <w:b/>
          <w:bCs/>
          <w:color w:val="000000"/>
          <w:kern w:val="0"/>
          <w:sz w:val="32"/>
          <w:szCs w:val="32"/>
          <w:shd w:val="clear" w:color="auto" w:fill="FFFFFF"/>
          <w:lang w:val="zh-CN"/>
        </w:rPr>
      </w:pPr>
      <w:bookmarkEnd w:id="31"/>
      <w:bookmarkEnd w:id="32"/>
      <w:r>
        <w:rPr>
          <w:rFonts w:eastAsia="仿宋_GB2312"/>
          <w:sz w:val="32"/>
          <w:szCs w:val="32"/>
          <w:lang w:val="en-US" w:eastAsia="zh-CN"/>
        </w:rPr>
        <w:t>在县委、县政府领导下，统一组织指导并具体操作县内党史研究和各级地方志的编纂工作。</w:t>
      </w:r>
    </w:p>
    <w:p>
      <w:pPr>
        <w:numPr>
          <w:ilvl w:val="0"/>
          <w:numId w:val="2"/>
        </w:numPr>
        <w:snapToGrid w:val="0"/>
        <w:spacing w:line="520" w:lineRule="exact"/>
        <w:ind w:left="0" w:firstLineChars="200" w:firstLine="640"/>
        <w:rPr>
          <w:rFonts w:ascii="楷体_GB2312" w:eastAsia="楷体_GB2312" w:hint="eastAsia"/>
          <w:b/>
          <w:sz w:val="32"/>
          <w:szCs w:val="32"/>
        </w:rPr>
      </w:pPr>
      <w:r>
        <w:rPr>
          <w:rFonts w:ascii="楷体_GB2312" w:eastAsia="楷体_GB2312"/>
          <w:b/>
          <w:sz w:val="32"/>
          <w:szCs w:val="32"/>
        </w:rPr>
        <w:t>2024年</w:t>
      </w:r>
      <w:r>
        <w:rPr>
          <w:rFonts w:ascii="楷体_GB2312" w:eastAsia="楷体_GB2312" w:hint="eastAsia"/>
          <w:b/>
          <w:sz w:val="32"/>
          <w:szCs w:val="32"/>
        </w:rPr>
        <w:t>取得的主要事业成效。</w:t>
      </w:r>
    </w:p>
    <w:p>
      <w:pPr>
        <w:ind w:firstLineChars="250" w:firstLine="800"/>
        <w:rPr>
          <w:rFonts w:ascii="仿宋_GB2312" w:eastAsia="仿宋_GB2312" w:hint="eastAsia"/>
          <w:sz w:val="32"/>
          <w:szCs w:val="32"/>
        </w:rPr>
      </w:pPr>
      <w:r>
        <w:rPr>
          <w:rFonts w:ascii="仿宋_GB2312" w:eastAsia="仿宋_GB2312" w:hint="eastAsia"/>
          <w:b/>
          <w:bCs/>
          <w:sz w:val="32"/>
          <w:szCs w:val="32"/>
        </w:rPr>
        <w:t>一是</w:t>
      </w:r>
      <w:r>
        <w:rPr>
          <w:rFonts w:ascii="仿宋_GB2312" w:eastAsia="仿宋_GB2312" w:hint="eastAsia"/>
          <w:sz w:val="32"/>
          <w:szCs w:val="32"/>
        </w:rPr>
        <w:t>向州志办主办“志中阿坝”微信公众号报送文章13篇；</w:t>
      </w:r>
      <w:r>
        <w:rPr>
          <w:rFonts w:ascii="仿宋_GB2312" w:eastAsia="仿宋_GB2312" w:hint="eastAsia"/>
          <w:b/>
          <w:bCs/>
          <w:sz w:val="32"/>
          <w:szCs w:val="32"/>
        </w:rPr>
        <w:t>二是</w:t>
      </w:r>
      <w:r>
        <w:rPr>
          <w:rFonts w:ascii="仿宋_GB2312" w:eastAsia="仿宋_GB2312" w:hint="eastAsia"/>
          <w:sz w:val="32"/>
          <w:szCs w:val="32"/>
        </w:rPr>
        <w:t>向州志办主办《雪原文史》刊物完成组稿文章3篇、图片10余张；</w:t>
      </w:r>
      <w:r>
        <w:rPr>
          <w:rFonts w:ascii="仿宋_GB2312" w:eastAsia="仿宋_GB2312" w:hint="eastAsia"/>
          <w:b/>
          <w:bCs/>
          <w:sz w:val="32"/>
          <w:szCs w:val="32"/>
        </w:rPr>
        <w:t>三是</w:t>
      </w:r>
      <w:r>
        <w:rPr>
          <w:rFonts w:ascii="仿宋_GB2312" w:eastAsia="仿宋_GB2312" w:hint="eastAsia"/>
          <w:sz w:val="32"/>
          <w:szCs w:val="32"/>
        </w:rPr>
        <w:t>补充完善了《四川地理标志产品图志》中阿坝州地理标志保护产品基础资料（金川）部分；</w:t>
      </w:r>
      <w:r>
        <w:rPr>
          <w:rFonts w:ascii="仿宋_GB2312" w:eastAsia="仿宋_GB2312" w:hint="eastAsia"/>
          <w:b/>
          <w:bCs/>
          <w:sz w:val="32"/>
          <w:szCs w:val="32"/>
        </w:rPr>
        <w:t>四是</w:t>
      </w:r>
      <w:r>
        <w:rPr>
          <w:rFonts w:ascii="仿宋_GB2312" w:eastAsia="仿宋_GB2312" w:hint="eastAsia"/>
          <w:sz w:val="32"/>
          <w:szCs w:val="32"/>
        </w:rPr>
        <w:t>完成《阿坝藏族羌族自治州扶贫志》（金川）部分资料收集整理；</w:t>
      </w:r>
      <w:r>
        <w:rPr>
          <w:rFonts w:ascii="仿宋_GB2312" w:eastAsia="仿宋_GB2312" w:hint="eastAsia"/>
          <w:b/>
          <w:bCs/>
          <w:sz w:val="32"/>
          <w:szCs w:val="32"/>
        </w:rPr>
        <w:t>五是</w:t>
      </w:r>
      <w:r>
        <w:rPr>
          <w:rFonts w:ascii="仿宋_GB2312" w:eastAsia="仿宋_GB2312" w:hint="eastAsia"/>
          <w:sz w:val="32"/>
          <w:szCs w:val="32"/>
        </w:rPr>
        <w:t>完成《阿坝自然灾异志》（金川）部分资料收集整理；</w:t>
      </w:r>
      <w:r>
        <w:rPr>
          <w:rFonts w:ascii="仿宋_GB2312" w:eastAsia="仿宋_GB2312" w:hint="eastAsia"/>
          <w:b/>
          <w:bCs/>
          <w:sz w:val="32"/>
          <w:szCs w:val="32"/>
        </w:rPr>
        <w:t>六是</w:t>
      </w:r>
      <w:r>
        <w:rPr>
          <w:rFonts w:ascii="仿宋_GB2312" w:eastAsia="仿宋_GB2312" w:hint="eastAsia"/>
          <w:sz w:val="32"/>
          <w:szCs w:val="32"/>
        </w:rPr>
        <w:t>集中组织中心干部职工学习了《党史学习教育工作条例》；</w:t>
      </w:r>
      <w:r>
        <w:rPr>
          <w:rFonts w:ascii="仿宋_GB2312" w:eastAsia="仿宋_GB2312" w:hint="eastAsia"/>
          <w:b/>
          <w:bCs/>
          <w:sz w:val="32"/>
          <w:szCs w:val="32"/>
        </w:rPr>
        <w:t>七是</w:t>
      </w:r>
      <w:r>
        <w:rPr>
          <w:rFonts w:ascii="仿宋_GB2312" w:eastAsia="仿宋_GB2312" w:hint="eastAsia"/>
          <w:sz w:val="32"/>
          <w:szCs w:val="32"/>
        </w:rPr>
        <w:t>向县委宣传部报送四川党史学界纪念邓小平同志诞辰120周年学术研讨活动征文1篇；</w:t>
      </w:r>
      <w:r>
        <w:rPr>
          <w:rFonts w:ascii="仿宋_GB2312" w:eastAsia="仿宋_GB2312" w:hint="eastAsia"/>
          <w:b/>
          <w:bCs/>
          <w:sz w:val="32"/>
          <w:szCs w:val="32"/>
        </w:rPr>
        <w:t>八是</w:t>
      </w:r>
      <w:r>
        <w:rPr>
          <w:rFonts w:ascii="仿宋_GB2312" w:eastAsia="仿宋_GB2312" w:hint="eastAsia"/>
          <w:sz w:val="32"/>
          <w:szCs w:val="32"/>
        </w:rPr>
        <w:t>在县委党校、东方红小学、县武警大队、城关清真寺、河东乡政府、河东乡八字口村、勒乌镇城南社区开展了史志“七进”活动，新建勒乌镇城南社区、河东乡政府、河东乡八字口村史志阅览室3个，在县图书馆设立首个“地方史志文献”专柜，播放口述历史纪录片《一花一叶.梨世界》4场次，发放《金川县革命老区发展史》《金川年鉴（2022）》等史志类书籍500余册；</w:t>
      </w:r>
      <w:r>
        <w:rPr>
          <w:rFonts w:ascii="仿宋_GB2312" w:eastAsia="仿宋_GB2312" w:hint="eastAsia"/>
          <w:b/>
          <w:bCs/>
          <w:sz w:val="32"/>
          <w:szCs w:val="32"/>
        </w:rPr>
        <w:t>九是</w:t>
      </w:r>
      <w:r>
        <w:rPr>
          <w:rFonts w:ascii="仿宋_GB2312" w:eastAsia="仿宋_GB2312" w:hint="eastAsia"/>
          <w:sz w:val="32"/>
          <w:szCs w:val="32"/>
        </w:rPr>
        <w:t>撰写简报12期。</w:t>
      </w:r>
      <w:r>
        <w:rPr>
          <w:rFonts w:ascii="仿宋_GB2312" w:eastAsia="仿宋_GB2312" w:hint="eastAsia"/>
          <w:b/>
          <w:bCs/>
          <w:sz w:val="32"/>
          <w:szCs w:val="32"/>
        </w:rPr>
        <w:t>十是</w:t>
      </w:r>
      <w:r>
        <w:rPr>
          <w:rFonts w:ascii="仿宋_GB2312" w:eastAsia="仿宋_GB2312" w:hint="eastAsia"/>
          <w:sz w:val="32"/>
          <w:szCs w:val="32"/>
        </w:rPr>
        <w:t>完成《金川年鉴》（2024卷）、《中国共产党金川县执政实录》（2023卷）编纂出版；</w:t>
      </w:r>
      <w:r>
        <w:rPr>
          <w:rFonts w:ascii="仿宋_GB2312" w:eastAsia="仿宋_GB2312" w:hint="eastAsia"/>
          <w:b/>
          <w:bCs/>
          <w:sz w:val="32"/>
          <w:szCs w:val="32"/>
        </w:rPr>
        <w:t>十一是</w:t>
      </w:r>
      <w:r>
        <w:rPr>
          <w:rFonts w:ascii="仿宋_GB2312" w:eastAsia="仿宋_GB2312" w:hint="eastAsia"/>
          <w:sz w:val="32"/>
          <w:szCs w:val="32"/>
        </w:rPr>
        <w:t>拍摄完成了党史短视频《梨乡回望 缅怀英烈》。</w:t>
      </w:r>
      <w:r>
        <w:rPr>
          <w:rFonts w:ascii="仿宋_GB2312" w:eastAsia="仿宋_GB2312" w:hint="eastAsia"/>
          <w:b/>
          <w:bCs/>
          <w:sz w:val="32"/>
          <w:szCs w:val="32"/>
        </w:rPr>
        <w:t>十二是</w:t>
      </w:r>
      <w:r>
        <w:rPr>
          <w:rFonts w:ascii="仿宋_GB2312" w:eastAsia="仿宋_GB2312" w:hint="eastAsia"/>
          <w:sz w:val="32"/>
          <w:szCs w:val="32"/>
        </w:rPr>
        <w:t>强力推进乡（镇）志、村志编纂出版工作，完成了《阿科里乡志》、《卡拉脚乡志》、《撒瓦脚乡志》、《二甲村志》编纂，进入专家评审阶段；完成了《二普鲁村志》、《甲布脚村志》初稿编纂，正在开展初稿校对工作。及时启动了第二批10个乡（镇）志、村志的编纂出版，解决资金141.8万元。</w:t>
      </w:r>
      <w:r>
        <w:rPr>
          <w:rFonts w:ascii="仿宋_GB2312" w:eastAsia="仿宋_GB2312" w:hint="eastAsia"/>
          <w:b/>
          <w:bCs/>
          <w:sz w:val="32"/>
          <w:szCs w:val="32"/>
        </w:rPr>
        <w:t>十三是</w:t>
      </w:r>
      <w:r>
        <w:rPr>
          <w:rFonts w:ascii="仿宋_GB2312" w:eastAsia="仿宋_GB2312" w:hint="eastAsia"/>
          <w:sz w:val="32"/>
          <w:szCs w:val="32"/>
        </w:rPr>
        <w:t>完成了《中国共产党金川县历史（1935年—1978年）》初稿编纂、县级专家评审工作，并上报州党史研究室审核。</w:t>
      </w:r>
      <w:r>
        <w:rPr>
          <w:rFonts w:ascii="仿宋_GB2312" w:eastAsia="仿宋_GB2312" w:hint="eastAsia"/>
          <w:b/>
          <w:bCs/>
          <w:sz w:val="32"/>
          <w:szCs w:val="32"/>
        </w:rPr>
        <w:t>十四是</w:t>
      </w:r>
      <w:r>
        <w:rPr>
          <w:rFonts w:ascii="仿宋_GB2312" w:eastAsia="仿宋_GB2312" w:hint="eastAsia"/>
          <w:sz w:val="32"/>
          <w:szCs w:val="32"/>
        </w:rPr>
        <w:t>启动了《金川县扶贫志》编纂出版工作，落实编纂出版资金55万元，印发《金川县扶贫志编纂工作方案》，完成招投标工作，正有序地开展资料收集整理工作。</w:t>
      </w:r>
      <w:r>
        <w:rPr>
          <w:rFonts w:ascii="仿宋_GB2312" w:eastAsia="仿宋_GB2312" w:hint="eastAsia"/>
          <w:b/>
          <w:bCs/>
          <w:sz w:val="32"/>
          <w:szCs w:val="32"/>
        </w:rPr>
        <w:t>十五是</w:t>
      </w:r>
      <w:r>
        <w:rPr>
          <w:rFonts w:ascii="仿宋_GB2312" w:eastAsia="仿宋_GB2312" w:hint="eastAsia"/>
          <w:sz w:val="32"/>
          <w:szCs w:val="32"/>
        </w:rPr>
        <w:t>积极与县教育局携手面向全县各类学校启动了“六个一”品牌活动。通过向东方红小学图书室捐赠史志类书籍方式，在该图书室开辟史志图书角。目前，东方红小学图书室史志图书角史志类藏书100册左右。明确2025年底前完成金川中学、金川县东方红小学2所学校校志编纂工作。广泛动员学校师生积极关注、浏览观看“志中阿坝”微信公众号文章和视频。县教育局荣获州地方志、州教育局2024年度“童心悟志 青春励志”活动优秀组织奖。</w:t>
      </w:r>
    </w:p>
    <w:p>
      <w:pPr>
        <w:rPr>
          <w:rFonts w:hint="eastAsia"/>
        </w:rPr>
      </w:pPr>
    </w:p>
    <w:p>
      <w:pPr>
        <w:pStyle w:val="2"/>
        <w:rPr>
          <w:rStyle w:val="2Char"/>
          <w:rFonts w:ascii="Times New Roman" w:hAnsi="Times New Roman"/>
          <w:b w:val="0"/>
          <w:bCs w:val="0"/>
          <w:color w:val="auto"/>
          <w:highlight w:val="auto"/>
        </w:rPr>
      </w:pPr>
      <w:bookmarkStart w:id="38" w:name="_Toc15396601"/>
      <w:bookmarkStart w:id="39" w:name="_Toc15377200"/>
      <w:bookmarkStart w:id="40" w:name="_Toc57013129"/>
      <w:bookmarkStart w:id="41" w:name="_Toc57013187"/>
      <w:bookmarkStart w:id="42" w:name="_Toc57013245"/>
      <w:bookmarkStart w:id="43" w:name="_Toc57013302"/>
      <w:bookmarkStart w:id="44" w:name="_Toc57013399"/>
      <w:bookmarkStart w:id="45" w:name="_Toc57013457"/>
      <w:r>
        <w:rPr>
          <w:rFonts w:ascii="Times New Roman" w:eastAsia="黑体" w:hAnsi="Times New Roman" w:hint="eastAsia"/>
          <w:b w:val="0"/>
          <w:color w:val="auto"/>
          <w:highlight w:val="auto"/>
        </w:rPr>
        <w:t>二、机</w:t>
      </w:r>
      <w:r>
        <w:rPr>
          <w:rStyle w:val="2Char"/>
          <w:rFonts w:ascii="Times New Roman" w:eastAsia="黑体" w:hAnsi="Times New Roman" w:hint="eastAsia"/>
          <w:b w:val="0"/>
          <w:bCs w:val="0"/>
          <w:color w:val="auto"/>
          <w:highlight w:val="auto"/>
        </w:rPr>
        <w:t>构设置</w:t>
      </w:r>
      <w:bookmarkEnd w:id="38"/>
      <w:bookmarkEnd w:id="39"/>
      <w:bookmarkEnd w:id="40"/>
      <w:bookmarkEnd w:id="41"/>
      <w:bookmarkEnd w:id="42"/>
      <w:bookmarkEnd w:id="43"/>
      <w:bookmarkEnd w:id="44"/>
      <w:bookmarkEnd w:id="45"/>
    </w:p>
    <w:p>
      <w:pPr>
        <w:ind w:firstLineChars="250" w:firstLine="800"/>
        <w:rPr>
          <w:rStyle w:val="0"/>
          <w:rFonts w:ascii="仿宋_GB2312" w:eastAsia="仿宋_GB2312" w:hint="eastAsia"/>
          <w:sz w:val="32"/>
          <w:szCs w:val="32"/>
        </w:rPr>
      </w:pPr>
      <w:r>
        <w:rPr>
          <w:rStyle w:val="0"/>
          <w:rFonts w:ascii="仿宋_GB2312" w:eastAsia="仿宋_GB2312" w:hint="eastAsia"/>
          <w:sz w:val="32"/>
          <w:szCs w:val="32"/>
        </w:rPr>
        <w:t>金川县党史研究和地方志编纂中心下属二级预算单位1个，其中行政单位0个，参照公务员法管理的事业单位</w:t>
      </w:r>
      <w:r>
        <w:rPr>
          <w:rStyle w:val="0"/>
          <w:rFonts w:ascii="仿宋_GB2312" w:eastAsia="仿宋_GB2312" w:hint="eastAsia"/>
          <w:bCs/>
          <w:sz w:val="32"/>
          <w:szCs w:val="32"/>
        </w:rPr>
        <w:t>1</w:t>
      </w:r>
      <w:r>
        <w:rPr>
          <w:rStyle w:val="0"/>
          <w:rFonts w:ascii="仿宋_GB2312" w:eastAsia="仿宋_GB2312" w:hint="eastAsia"/>
          <w:sz w:val="32"/>
          <w:szCs w:val="32"/>
        </w:rPr>
        <w:t>个，其他事业单位0个。</w:t>
      </w:r>
    </w:p>
    <w:p>
      <w:pPr>
        <w:ind w:firstLineChars="250" w:firstLine="800"/>
        <w:rPr>
          <w:rFonts w:ascii="仿宋_GB2312" w:eastAsia="仿宋_GB2312" w:hint="eastAsia"/>
          <w:sz w:val="32"/>
          <w:szCs w:val="32"/>
        </w:rPr>
      </w:pPr>
      <w:r>
        <w:rPr>
          <w:rFonts w:ascii="仿宋_GB2312" w:eastAsia="仿宋_GB2312" w:hint="eastAsia"/>
          <w:sz w:val="32"/>
          <w:szCs w:val="32"/>
        </w:rPr>
        <w:t>纳入金川县党史研究和地方志编纂中心2024年度部门决算编制范围的二级预算单位包括：</w:t>
      </w:r>
    </w:p>
    <w:p>
      <w:pPr>
        <w:ind w:firstLineChars="250" w:firstLine="800"/>
        <w:rPr>
          <w:rStyle w:val="0"/>
          <w:rFonts w:ascii="仿宋_GB2312" w:eastAsia="仿宋_GB2312" w:hint="eastAsia"/>
          <w:sz w:val="32"/>
          <w:szCs w:val="32"/>
        </w:rPr>
      </w:pPr>
      <w:r>
        <w:rPr>
          <w:rStyle w:val="0"/>
          <w:rFonts w:ascii="仿宋_GB2312" w:eastAsia="仿宋_GB2312" w:hint="eastAsia"/>
          <w:sz w:val="32"/>
          <w:szCs w:val="32"/>
          <w:lang w:eastAsia="zh-CN"/>
        </w:rPr>
        <w:t>金川县党史研究和地方志编纂</w:t>
      </w:r>
      <w:r>
        <w:rPr>
          <w:rStyle w:val="0"/>
          <w:rFonts w:ascii="仿宋_GB2312" w:eastAsia="仿宋_GB2312" w:hint="eastAsia"/>
          <w:sz w:val="32"/>
          <w:szCs w:val="32"/>
          <w:lang w:val="en-US" w:eastAsia="zh-CN"/>
        </w:rPr>
        <w:t>中心。</w:t>
      </w:r>
      <w:r>
        <w:rPr>
          <w:rStyle w:val="0"/>
          <w:rFonts w:ascii="仿宋_GB2312" w:eastAsia="仿宋_GB2312" w:hint="eastAsia"/>
          <w:sz w:val="32"/>
          <w:szCs w:val="32"/>
        </w:rPr>
        <w:t>其中:参照公务员法管理的事业单位</w:t>
      </w:r>
      <w:r>
        <w:rPr>
          <w:rStyle w:val="0"/>
          <w:rFonts w:ascii="仿宋_GB2312" w:eastAsia="仿宋_GB2312" w:hint="eastAsia"/>
          <w:sz w:val="32"/>
          <w:szCs w:val="32"/>
          <w:lang w:val="en-US" w:eastAsia="zh-CN"/>
        </w:rPr>
        <w:t>1</w:t>
      </w:r>
      <w:r>
        <w:rPr>
          <w:rStyle w:val="0"/>
          <w:rFonts w:ascii="仿宋_GB2312" w:eastAsia="仿宋_GB2312" w:hint="eastAsia"/>
          <w:sz w:val="32"/>
          <w:szCs w:val="32"/>
        </w:rPr>
        <w:t>个</w:t>
      </w:r>
      <w:r>
        <w:rPr>
          <w:rStyle w:val="0"/>
          <w:rFonts w:ascii="仿宋_GB2312" w:eastAsia="仿宋_GB2312" w:hint="eastAsia"/>
          <w:sz w:val="32"/>
          <w:szCs w:val="32"/>
          <w:lang w:eastAsia="zh-CN"/>
        </w:rPr>
        <w:t>。</w:t>
      </w:r>
      <w:r>
        <w:rPr>
          <w:rStyle w:val="0"/>
          <w:rFonts w:ascii="仿宋_GB2312" w:eastAsia="仿宋_GB2312" w:hint="eastAsia"/>
          <w:sz w:val="32"/>
          <w:szCs w:val="32"/>
        </w:rPr>
        <w:t>人员编制数6人，参公编制5人，参公工勤编制1人。20</w:t>
      </w:r>
      <w:r>
        <w:rPr>
          <w:rStyle w:val="0"/>
          <w:rFonts w:ascii="仿宋_GB2312" w:eastAsia="仿宋_GB2312" w:hint="eastAsia"/>
          <w:sz w:val="32"/>
          <w:szCs w:val="32"/>
          <w:lang w:val="en-US" w:eastAsia="zh-CN"/>
        </w:rPr>
        <w:t>24</w:t>
      </w:r>
      <w:r>
        <w:rPr>
          <w:rStyle w:val="0"/>
          <w:rFonts w:ascii="仿宋_GB2312" w:eastAsia="仿宋_GB2312" w:hint="eastAsia"/>
          <w:sz w:val="32"/>
          <w:szCs w:val="32"/>
        </w:rPr>
        <w:t>年财政供养人员为5人。</w:t>
      </w:r>
    </w:p>
    <w:p>
      <w:pPr>
        <w:pStyle w:val="17"/>
      </w:pPr>
    </w:p>
    <w:p>
      <w:pPr>
        <w:pStyle w:val="15"/>
        <w:rPr>
          <w:rFonts w:hint="eastAsia"/>
        </w:rPr>
      </w:pPr>
    </w:p>
    <w:p>
      <w:pPr>
        <w:widowControl/>
        <w:jc w:val="left"/>
        <w:rPr>
          <w:rFonts w:ascii="Times New Roman" w:eastAsia="仿宋" w:hAnsi="Times New Roman"/>
          <w:color w:val="auto"/>
          <w:kern w:val="0"/>
          <w:sz w:val="32"/>
          <w:szCs w:val="32"/>
          <w:highlight w:val="auto"/>
        </w:rPr>
      </w:pPr>
      <w:r>
        <w:rPr>
          <w:rFonts w:ascii="Times New Roman" w:eastAsia="仿宋" w:hAnsi="Times New Roman"/>
          <w:color w:val="auto"/>
          <w:sz w:val="32"/>
          <w:szCs w:val="32"/>
          <w:highlight w:val="auto"/>
        </w:rPr>
        <w:br w:type="page"/>
      </w:r>
    </w:p>
    <w:p>
      <w:pPr>
        <w:pStyle w:val="1"/>
        <w:jc w:val="center"/>
        <w:rPr>
          <w:rFonts w:eastAsia="方正小标宋简体" w:cs="方正小标宋简体" w:hint="eastAsia"/>
          <w:b w:val="0"/>
        </w:rPr>
      </w:pPr>
      <w:bookmarkStart w:id="46" w:name="_Toc15377204"/>
      <w:bookmarkStart w:id="47" w:name="_Toc15396602"/>
      <w:bookmarkStart w:id="48" w:name="_Toc57013130"/>
      <w:bookmarkStart w:id="49" w:name="_Toc57013188"/>
      <w:bookmarkStart w:id="50" w:name="_Toc57013246"/>
      <w:bookmarkStart w:id="51" w:name="_Toc57013303"/>
      <w:bookmarkStart w:id="52" w:name="_Toc57013400"/>
      <w:bookmarkStart w:id="53" w:name="_Toc57013458"/>
      <w:r>
        <w:rPr>
          <w:rFonts w:ascii="Times New Roman" w:eastAsia="方正小标宋简体" w:cs="方正小标宋简体" w:hAnsi="Times New Roman" w:hint="eastAsia"/>
          <w:b w:val="0"/>
          <w:color w:val="auto"/>
          <w:highlight w:val="auto"/>
        </w:rPr>
        <w:t>第二部分</w:t>
      </w:r>
      <w:r>
        <w:rPr>
          <w:rFonts w:ascii="Times New Roman" w:eastAsia="方正小标宋简体" w:cs="方正小标宋简体" w:hAnsi="Times New Roman" w:hint="eastAsia"/>
          <w:b w:val="0"/>
          <w:color w:val="auto"/>
          <w:lang w:val="en-US" w:eastAsia="zh-CN"/>
          <w:highlight w:val="auto"/>
        </w:rPr>
        <w:t xml:space="preserve"> </w:t>
      </w:r>
      <w:r>
        <w:rPr>
          <w:rFonts w:ascii="Times New Roman" w:eastAsia="方正小标宋简体" w:cs="方正小标宋简体" w:hAnsi="Times New Roman" w:hint="eastAsia"/>
          <w:b w:val="0"/>
          <w:color w:val="auto"/>
          <w:highlight w:val="auto"/>
        </w:rPr>
        <w:t xml:space="preserve"> </w:t>
      </w:r>
      <w:r>
        <w:rPr>
          <w:rFonts w:ascii="Times New Roman" w:eastAsia="方正小标宋简体" w:cs="方正小标宋简体" w:hAnsi="Times New Roman" w:hint="eastAsia"/>
          <w:b w:val="0"/>
          <w:color w:val="auto"/>
          <w:lang w:val="en-US" w:eastAsia="zh-CN"/>
          <w:highlight w:val="auto"/>
        </w:rPr>
        <w:t>2024年度</w:t>
      </w:r>
      <w:r>
        <w:rPr>
          <w:rFonts w:ascii="Times New Roman" w:eastAsia="方正小标宋简体" w:cs="方正小标宋简体" w:hAnsi="Times New Roman" w:hint="eastAsia"/>
          <w:b w:val="0"/>
          <w:color w:val="auto"/>
          <w:highlight w:val="auto"/>
        </w:rPr>
        <w:t>部门决算情况说明</w:t>
      </w:r>
      <w:bookmarkEnd w:id="46"/>
      <w:bookmarkEnd w:id="47"/>
      <w:bookmarkEnd w:id="48"/>
      <w:bookmarkEnd w:id="49"/>
      <w:bookmarkEnd w:id="50"/>
      <w:bookmarkEnd w:id="51"/>
      <w:bookmarkEnd w:id="52"/>
      <w:bookmarkEnd w:id="53"/>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Style w:val="2Char"/>
          <w:rFonts w:ascii="Times New Roman" w:eastAsia="黑体" w:hAnsi="Times New Roman" w:hint="eastAsia"/>
          <w:b w:val="0"/>
          <w:color w:val="auto"/>
          <w:highlight w:val="auto"/>
        </w:rPr>
      </w:pPr>
      <w:bookmarkStart w:id="54" w:name="_Toc15377205"/>
      <w:bookmarkStart w:id="55" w:name="_Toc15396603"/>
      <w:bookmarkStart w:id="56" w:name="_Toc57013131"/>
      <w:bookmarkStart w:id="57" w:name="_Toc57013189"/>
      <w:bookmarkStart w:id="58" w:name="_Toc57013247"/>
      <w:bookmarkStart w:id="59" w:name="_Toc57013304"/>
      <w:bookmarkStart w:id="60" w:name="_Toc57013401"/>
      <w:bookmarkStart w:id="61" w:name="_Toc57013459"/>
      <w:r>
        <w:rPr>
          <w:rFonts w:ascii="Times New Roman" w:eastAsia="黑体" w:hAnsi="Times New Roman" w:hint="eastAsia"/>
          <w:color w:val="auto"/>
          <w:sz w:val="32"/>
          <w:szCs w:val="32"/>
          <w:lang w:eastAsia="zh-CN"/>
          <w:highlight w:val="auto"/>
        </w:rPr>
        <w:t>一、</w:t>
      </w:r>
      <w:r>
        <w:rPr>
          <w:rFonts w:ascii="Times New Roman" w:eastAsia="黑体" w:hAnsi="Times New Roman" w:hint="eastAsia"/>
          <w:color w:val="auto"/>
          <w:sz w:val="32"/>
          <w:szCs w:val="32"/>
          <w:highlight w:val="auto"/>
        </w:rPr>
        <w:t>收</w:t>
      </w:r>
      <w:r>
        <w:rPr>
          <w:rStyle w:val="2Char"/>
          <w:rFonts w:ascii="Times New Roman" w:eastAsia="黑体" w:hAnsi="Times New Roman" w:hint="eastAsia"/>
          <w:b w:val="0"/>
          <w:color w:val="auto"/>
          <w:highlight w:val="auto"/>
        </w:rPr>
        <w:t>入支出决算总体情况说明</w:t>
      </w:r>
      <w:bookmarkEnd w:id="54"/>
      <w:bookmarkEnd w:id="55"/>
      <w:bookmarkEnd w:id="56"/>
      <w:bookmarkEnd w:id="57"/>
      <w:bookmarkEnd w:id="58"/>
      <w:bookmarkEnd w:id="59"/>
      <w:bookmarkEnd w:id="60"/>
      <w:bookmarkEnd w:id="61"/>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ascii="Times New Roman" w:eastAsia="仿宋_GB2312" w:cs="仿宋_GB2312" w:hAnsi="Times New Roman" w:hint="eastAsia"/>
          <w:color w:val="auto"/>
          <w:sz w:val="32"/>
          <w:szCs w:val="32"/>
          <w:lang w:eastAsia="zh-CN"/>
          <w:highlight w:val="auto"/>
        </w:rPr>
      </w:pPr>
      <w:bookmarkStart w:id="62" w:name="_Toc57013132"/>
      <w:bookmarkStart w:id="63" w:name="_Toc57013190"/>
      <w:bookmarkStart w:id="64" w:name="_Toc57013248"/>
      <w:bookmarkStart w:id="65" w:name="_Toc57013305"/>
      <w:bookmarkStart w:id="66" w:name="_Toc57013324"/>
      <w:bookmarkStart w:id="67" w:name="_Toc57013402"/>
      <w:bookmarkStart w:id="68" w:name="_Toc57013460"/>
      <w:r>
        <w:rPr>
          <w:rFonts w:ascii="Times New Roman" w:eastAsia="仿宋_GB2312" w:cs="仿宋_GB2312" w:hAnsi="Times New Roman" w:hint="eastAsia"/>
          <w:color w:val="auto"/>
          <w:sz w:val="32"/>
          <w:szCs w:val="32"/>
          <w:lang w:eastAsia="zh-CN"/>
          <w:highlight w:val="auto"/>
        </w:rPr>
        <w:t>2024年度收入</w:t>
      </w:r>
      <w:r>
        <w:rPr>
          <w:rFonts w:ascii="Times New Roman" w:eastAsia="仿宋_GB2312" w:cs="仿宋_GB2312" w:hAnsi="Times New Roman" w:hint="eastAsia"/>
          <w:color w:val="auto"/>
          <w:sz w:val="32"/>
          <w:szCs w:val="32"/>
          <w:highlight w:val="auto"/>
        </w:rPr>
        <w:t>、</w:t>
      </w:r>
      <w:r>
        <w:rPr>
          <w:rFonts w:ascii="Times New Roman" w:eastAsia="仿宋_GB2312" w:cs="仿宋_GB2312" w:hAnsi="Times New Roman" w:hint="eastAsia"/>
          <w:color w:val="auto"/>
          <w:sz w:val="32"/>
          <w:szCs w:val="32"/>
          <w:lang w:eastAsia="zh-CN"/>
          <w:highlight w:val="auto"/>
        </w:rPr>
        <w:t>支出</w:t>
      </w:r>
      <w:r>
        <w:rPr>
          <w:rFonts w:ascii="Times New Roman" w:eastAsia="仿宋_GB2312" w:cs="仿宋_GB2312" w:hAnsi="Times New Roman" w:hint="eastAsia"/>
          <w:color w:val="auto"/>
          <w:sz w:val="32"/>
          <w:szCs w:val="32"/>
          <w:highlight w:val="auto"/>
        </w:rPr>
        <w:t>总计</w:t>
      </w:r>
      <w:r>
        <w:rPr>
          <w:rFonts w:ascii="Times New Roman" w:eastAsia="仿宋_GB2312" w:cs="仿宋_GB2312" w:hAnsi="Times New Roman" w:hint="eastAsia"/>
          <w:color w:val="auto"/>
          <w:sz w:val="32"/>
          <w:szCs w:val="32"/>
          <w:lang w:eastAsia="zh-CN"/>
          <w:highlight w:val="auto"/>
        </w:rPr>
        <w:t>均为</w:t>
      </w:r>
      <w:r>
        <w:rPr>
          <w:rFonts w:ascii="仿宋_GB2312" w:eastAsia="仿宋_GB2312" w:cs="仿宋_GB2312" w:hint="eastAsia"/>
          <w:sz w:val="32"/>
          <w:szCs w:val="32"/>
        </w:rPr>
        <w:t>192.23</w:t>
      </w:r>
      <w:r>
        <w:rPr>
          <w:rFonts w:ascii="Times New Roman" w:eastAsia="仿宋_GB2312" w:cs="仿宋_GB2312" w:hAnsi="Times New Roman" w:hint="eastAsia"/>
          <w:color w:val="auto"/>
          <w:sz w:val="32"/>
          <w:szCs w:val="32"/>
          <w:highlight w:val="auto"/>
        </w:rPr>
        <w:t>万元。与</w:t>
      </w:r>
      <w:r>
        <w:rPr>
          <w:rFonts w:ascii="Times New Roman" w:eastAsia="仿宋_GB2312" w:cs="仿宋_GB2312" w:hAnsi="Times New Roman" w:hint="eastAsia"/>
          <w:color w:val="auto"/>
          <w:sz w:val="32"/>
          <w:szCs w:val="32"/>
          <w:lang w:eastAsia="zh-CN"/>
          <w:highlight w:val="auto"/>
        </w:rPr>
        <w:t>202</w:t>
      </w:r>
      <w:r>
        <w:rPr>
          <w:rFonts w:ascii="Times New Roman" w:eastAsia="仿宋_GB2312" w:cs="仿宋_GB2312" w:hAnsi="Times New Roman" w:hint="eastAsia"/>
          <w:color w:val="auto"/>
          <w:sz w:val="32"/>
          <w:szCs w:val="32"/>
          <w:lang w:val="en-US" w:eastAsia="zh-CN"/>
          <w:highlight w:val="auto"/>
        </w:rPr>
        <w:t>3</w:t>
      </w:r>
      <w:r>
        <w:rPr>
          <w:rFonts w:ascii="Times New Roman" w:eastAsia="仿宋_GB2312" w:cs="仿宋_GB2312" w:hAnsi="Times New Roman" w:hint="eastAsia"/>
          <w:color w:val="auto"/>
          <w:sz w:val="32"/>
          <w:szCs w:val="32"/>
          <w:highlight w:val="auto"/>
        </w:rPr>
        <w:t>年</w:t>
      </w:r>
      <w:r>
        <w:rPr>
          <w:rFonts w:ascii="Times New Roman" w:eastAsia="仿宋_GB2312" w:cs="仿宋_GB2312" w:hAnsi="Times New Roman" w:hint="eastAsia"/>
          <w:color w:val="auto"/>
          <w:sz w:val="32"/>
          <w:szCs w:val="32"/>
          <w:lang w:eastAsia="zh-CN"/>
          <w:highlight w:val="auto"/>
        </w:rPr>
        <w:t>度</w:t>
      </w:r>
      <w:r>
        <w:rPr>
          <w:rFonts w:ascii="Times New Roman" w:eastAsia="仿宋_GB2312" w:cs="仿宋_GB2312" w:hAnsi="Times New Roman" w:hint="eastAsia"/>
          <w:color w:val="auto"/>
          <w:sz w:val="32"/>
          <w:szCs w:val="32"/>
          <w:highlight w:val="auto"/>
        </w:rPr>
        <w:t>相比，</w:t>
      </w:r>
      <w:r>
        <w:rPr>
          <w:rFonts w:ascii="Times New Roman" w:eastAsia="仿宋_GB2312" w:cs="仿宋_GB2312" w:hAnsi="Times New Roman" w:hint="eastAsia"/>
          <w:color w:val="auto"/>
          <w:sz w:val="32"/>
          <w:szCs w:val="32"/>
          <w:lang w:eastAsia="zh-CN"/>
          <w:highlight w:val="auto"/>
        </w:rPr>
        <w:t>收入</w:t>
      </w:r>
      <w:r>
        <w:rPr>
          <w:rFonts w:ascii="Times New Roman" w:eastAsia="仿宋_GB2312" w:cs="仿宋_GB2312" w:hAnsi="Times New Roman" w:hint="eastAsia"/>
          <w:color w:val="auto"/>
          <w:sz w:val="32"/>
          <w:szCs w:val="32"/>
          <w:highlight w:val="auto"/>
        </w:rPr>
        <w:t>、</w:t>
      </w:r>
      <w:r>
        <w:rPr>
          <w:rFonts w:ascii="Times New Roman" w:eastAsia="仿宋_GB2312" w:cs="仿宋_GB2312" w:hAnsi="Times New Roman" w:hint="eastAsia"/>
          <w:color w:val="auto"/>
          <w:sz w:val="32"/>
          <w:szCs w:val="32"/>
          <w:lang w:eastAsia="zh-CN"/>
          <w:highlight w:val="auto"/>
        </w:rPr>
        <w:t>支出</w:t>
      </w:r>
      <w:r>
        <w:rPr>
          <w:rFonts w:ascii="Times New Roman" w:eastAsia="仿宋_GB2312" w:cs="仿宋_GB2312" w:hAnsi="Times New Roman" w:hint="eastAsia"/>
          <w:color w:val="auto"/>
          <w:sz w:val="32"/>
          <w:szCs w:val="32"/>
          <w:highlight w:val="auto"/>
        </w:rPr>
        <w:t>总计各增加</w:t>
      </w:r>
      <w:r>
        <w:rPr>
          <w:rFonts w:ascii="Times New Roman" w:eastAsia="仿宋_GB2312" w:cs="仿宋_GB2312" w:hAnsi="Times New Roman"/>
          <w:color w:val="auto"/>
          <w:kern w:val="2"/>
          <w:sz w:val="32"/>
          <w:szCs w:val="32"/>
          <w:lang w:val="en-US" w:eastAsia="zh-CN" w:bidi="ar-SA"/>
          <w:highlight w:val="auto"/>
        </w:rPr>
        <w:t>67.31</w:t>
      </w:r>
      <w:r>
        <w:rPr>
          <w:rFonts w:ascii="Times New Roman" w:eastAsia="仿宋_GB2312" w:cs="仿宋_GB2312" w:hAnsi="Times New Roman" w:hint="eastAsia"/>
          <w:color w:val="auto"/>
          <w:sz w:val="32"/>
          <w:szCs w:val="32"/>
          <w:highlight w:val="auto"/>
        </w:rPr>
        <w:t>万元，增长</w:t>
      </w:r>
      <w:r>
        <w:rPr>
          <w:rFonts w:ascii="Times New Roman" w:eastAsia="仿宋_GB2312" w:cs="仿宋_GB2312" w:hAnsi="Times New Roman"/>
          <w:color w:val="auto"/>
          <w:sz w:val="32"/>
          <w:szCs w:val="32"/>
          <w:highlight w:val="auto"/>
        </w:rPr>
        <w:t>35.02</w:t>
      </w:r>
      <w:r>
        <w:rPr>
          <w:rFonts w:ascii="Times New Roman" w:eastAsia="仿宋_GB2312" w:cs="仿宋_GB2312" w:hAnsi="Times New Roman" w:hint="eastAsia"/>
          <w:color w:val="auto"/>
          <w:sz w:val="32"/>
          <w:szCs w:val="32"/>
          <w:highlight w:val="auto"/>
        </w:rPr>
        <w:t>%。主要变动原因</w:t>
      </w:r>
      <w:r>
        <w:rPr>
          <w:rFonts w:ascii="Times New Roman" w:eastAsia="仿宋_GB2312" w:cs="仿宋_GB2312" w:hAnsi="Times New Roman"/>
          <w:color w:val="auto"/>
          <w:sz w:val="32"/>
          <w:szCs w:val="32"/>
          <w:highlight w:val="auto"/>
        </w:rPr>
        <w:t>一是增加</w:t>
      </w:r>
      <w:r>
        <w:rPr>
          <w:rStyle w:val="25"/>
          <w:rFonts w:ascii="仿宋_GB2312" w:eastAsia="仿宋_GB2312" w:cs="仿宋_GB2312" w:hint="eastAsia"/>
          <w:b w:val="0"/>
          <w:bCs/>
          <w:color w:val="auto"/>
          <w:sz w:val="32"/>
          <w:szCs w:val="32"/>
          <w:lang w:val="en-US" w:eastAsia="zh-CN" w:bidi="ar-SA"/>
        </w:rPr>
        <w:t>项目经费</w:t>
      </w:r>
      <w:r>
        <w:rPr>
          <w:rStyle w:val="25"/>
          <w:rFonts w:ascii="仿宋_GB2312" w:eastAsia="仿宋_GB2312" w:cs="仿宋_GB2312"/>
          <w:b w:val="0"/>
          <w:bCs/>
          <w:color w:val="auto"/>
          <w:sz w:val="32"/>
          <w:szCs w:val="32"/>
          <w:lang w:val="en-US" w:eastAsia="zh-CN" w:bidi="ar-SA"/>
        </w:rPr>
        <w:t>，二</w:t>
      </w:r>
      <w:r>
        <w:rPr>
          <w:rFonts w:ascii="Times New Roman" w:eastAsia="仿宋_GB2312" w:cs="仿宋_GB2312" w:hAnsi="Times New Roman" w:hint="eastAsia"/>
          <w:color w:val="auto"/>
          <w:sz w:val="32"/>
          <w:szCs w:val="32"/>
          <w:highlight w:val="auto"/>
        </w:rPr>
        <w:t>是</w:t>
      </w:r>
      <w:r>
        <w:rPr>
          <w:rFonts w:ascii="Times New Roman" w:eastAsia="仿宋_GB2312" w:cs="仿宋_GB2312" w:hAnsi="Times New Roman" w:hint="eastAsia"/>
          <w:color w:val="auto"/>
          <w:sz w:val="32"/>
          <w:szCs w:val="32"/>
        </w:rPr>
        <w:t>2024</w:t>
      </w:r>
      <w:r>
        <w:rPr>
          <w:rFonts w:ascii="Times New Roman" w:eastAsia="仿宋_GB2312" w:cs="仿宋_GB2312" w:hAnsi="Times New Roman"/>
          <w:color w:val="auto"/>
          <w:sz w:val="32"/>
          <w:szCs w:val="32"/>
        </w:rPr>
        <w:t>年人员变动</w:t>
      </w:r>
      <w:r>
        <w:rPr>
          <w:rFonts w:ascii="Times New Roman" w:eastAsia="仿宋_GB2312" w:cs="仿宋_GB2312" w:hAnsi="Times New Roman" w:hint="eastAsia"/>
          <w:color w:val="auto"/>
          <w:sz w:val="32"/>
          <w:szCs w:val="32"/>
        </w:rPr>
        <w:t>及职务工资结构变动。</w:t>
      </w:r>
      <w:bookmarkEnd w:id="62"/>
      <w:bookmarkEnd w:id="63"/>
      <w:bookmarkEnd w:id="64"/>
      <w:bookmarkEnd w:id="65"/>
      <w:bookmarkEnd w:id="66"/>
      <w:bookmarkEnd w:id="67"/>
      <w:bookmarkEnd w:id="68"/>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（图1：</w:t>
      </w:r>
      <w:r>
        <w:rPr>
          <w:rFonts w:ascii="Times New Roman" w:eastAsia="仿宋_GB2312" w:cs="仿宋_GB2312" w:hAnsi="Times New Roman" w:hint="eastAsia"/>
          <w:color w:val="auto"/>
          <w:sz w:val="32"/>
          <w:szCs w:val="32"/>
          <w:lang w:eastAsia="zh-CN"/>
          <w:highlight w:val="auto"/>
        </w:rPr>
        <w:t>收入</w:t>
      </w:r>
      <w:r>
        <w:rPr>
          <w:rFonts w:ascii="Times New Roman" w:eastAsia="仿宋_GB2312" w:cs="仿宋_GB2312" w:hAnsi="Times New Roman" w:hint="eastAsia"/>
          <w:color w:val="auto"/>
          <w:sz w:val="32"/>
          <w:szCs w:val="32"/>
          <w:highlight w:val="auto"/>
        </w:rPr>
        <w:t>、</w:t>
      </w:r>
      <w:r>
        <w:rPr>
          <w:rFonts w:ascii="Times New Roman" w:eastAsia="仿宋_GB2312" w:cs="仿宋_GB2312" w:hAnsi="Times New Roman" w:hint="eastAsia"/>
          <w:color w:val="auto"/>
          <w:sz w:val="32"/>
          <w:szCs w:val="32"/>
          <w:lang w:eastAsia="zh-CN"/>
          <w:highlight w:val="auto"/>
        </w:rPr>
        <w:t>支出</w:t>
      </w:r>
      <w:r>
        <w:rPr>
          <w:rFonts w:ascii="Times New Roman" w:eastAsia="仿宋_GB2312" w:cs="仿宋_GB2312" w:hAnsi="Times New Roman" w:hint="eastAsia"/>
          <w:color w:val="auto"/>
          <w:sz w:val="32"/>
          <w:szCs w:val="32"/>
          <w:highlight w:val="auto"/>
        </w:rPr>
        <w:t>决算总计变动情况图）（柱状图）</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Times New Roman" w:eastAsia="仿宋_GB2312" w:cs="仿宋_GB2312" w:hAnsi="Times New Roman"/>
          <w:color w:val="auto"/>
          <w:sz w:val="32"/>
          <w:szCs w:val="32"/>
          <w:highlight w:val="auto"/>
        </w:rPr>
      </w:pPr>
      <w:r>
        <w:rPr>
          <w:rFonts w:ascii="Times New Roman" w:eastAsia="仿宋_GB2312" w:cs="仿宋_GB2312" w:hAnsi="Times New Roman"/>
          <w:color w:val="auto"/>
          <w:sz w:val="32"/>
          <w:szCs w:val="32"/>
          <w:highlight w:val="auto"/>
        </w:rPr>
        <w:drawing>
          <wp:inline distT="0" distB="0" distL="85723" distR="85723">
            <wp:extent cx="4571929" cy="2743157"/>
            <wp:effectExtent l="0" t="0" r="1" b="1"/>
            <wp:docPr id="1" name="图片"/>
            <wp:cNvGraphicFramePr>
              <a:graphicFrameLocks noChangeAspect="1"/>
            </wp:cNvGraphicFramePr>
            <a:graphic>
              <a:graphicData uri="http://schemas.openxmlformats.org/drawingml/2006/picture">
                <pic:pic>
                  <pic:nvPicPr>
                    <pic:cNvPr id="3" name="图片 3"/>
                    <pic:cNvPicPr/>
                  </pic:nvPicPr>
                  <pic:blipFill>
                    <a:blip r:embed="rId6"/>
                    <a:stretch>
                      <a:fillRect/>
                    </a:stretch>
                  </pic:blipFill>
                  <pic:spPr>
                    <a:xfrm rot="0">
                      <a:off x="0" y="0"/>
                      <a:ext cx="4571929" cy="2743157"/>
                    </a:xfrm>
                    <a:prstGeom prst="rect"/>
                    <a:noFill/>
                    <a:ln w="9525" cmpd="sng" cap="flat">
                      <a:noFill/>
                      <a:prstDash val="solid"/>
                      <a:miter/>
                    </a:ln>
                  </pic:spPr>
                </pic:pic>
              </a:graphicData>
            </a:graphic>
          </wp:inline>
        </w:drawing>
      </w:r>
    </w:p>
    <w:p>
      <w:pPr>
        <w:pStyle w:val="15"/>
        <w:keepNext w:val="0"/>
        <w:keepLines w:val="0"/>
        <w:pageBreakBefore w:val="0"/>
        <w:widowControl w:val="0"/>
        <w:bidi w:val="0"/>
        <w:adjustRightInd/>
        <w:snapToGrid w:val="0"/>
        <w:contextualSpacing w:val="0"/>
      </w:pP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ascii="Times New Roman" w:eastAsia="黑体" w:hAnsi="Times New Roman" w:hint="eastAsia"/>
          <w:color w:val="auto"/>
          <w:sz w:val="32"/>
          <w:szCs w:val="32"/>
          <w:lang w:eastAsia="zh-CN"/>
          <w:highlight w:val="auto"/>
        </w:rPr>
      </w:pPr>
      <w:bookmarkStart w:id="69" w:name="_Toc15377206"/>
      <w:bookmarkStart w:id="70" w:name="_Toc15396604"/>
      <w:bookmarkStart w:id="71" w:name="_Toc57013133"/>
      <w:bookmarkStart w:id="72" w:name="_Toc57013191"/>
      <w:bookmarkStart w:id="73" w:name="_Toc57013249"/>
      <w:bookmarkStart w:id="74" w:name="_Toc57013306"/>
      <w:bookmarkStart w:id="75" w:name="_Toc57013403"/>
      <w:bookmarkStart w:id="76" w:name="_Toc57013461"/>
      <w:r>
        <w:rPr>
          <w:rFonts w:ascii="Times New Roman" w:eastAsia="黑体" w:hAnsi="Times New Roman" w:hint="eastAsia"/>
          <w:color w:val="auto"/>
          <w:sz w:val="32"/>
          <w:szCs w:val="32"/>
          <w:lang w:eastAsia="zh-CN"/>
          <w:highlight w:val="auto"/>
        </w:rPr>
        <w:t>二、收入决算情况说明</w:t>
      </w:r>
      <w:bookmarkEnd w:id="69"/>
      <w:bookmarkEnd w:id="70"/>
      <w:bookmarkEnd w:id="71"/>
      <w:bookmarkEnd w:id="72"/>
      <w:bookmarkEnd w:id="73"/>
      <w:bookmarkEnd w:id="74"/>
      <w:bookmarkEnd w:id="75"/>
      <w:bookmarkEnd w:id="76"/>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b/>
          <w:bCs/>
          <w:color w:val="auto"/>
          <w:sz w:val="32"/>
          <w:szCs w:val="32"/>
          <w:lang w:eastAsia="zh-CN"/>
          <w:highlight w:val="auto"/>
        </w:rPr>
      </w:pPr>
      <w:bookmarkStart w:id="77" w:name="_Toc57013134"/>
      <w:bookmarkStart w:id="78" w:name="_Toc57013192"/>
      <w:bookmarkStart w:id="79" w:name="_Toc57013250"/>
      <w:bookmarkStart w:id="80" w:name="_Toc57013307"/>
      <w:bookmarkStart w:id="81" w:name="_Toc57013326"/>
      <w:bookmarkStart w:id="82" w:name="_Toc57013404"/>
      <w:bookmarkStart w:id="83" w:name="_Toc57013462"/>
      <w:r>
        <w:rPr>
          <w:rFonts w:ascii="仿宋_GB2312" w:eastAsia="仿宋_GB2312" w:cs="仿宋_GB2312" w:hint="eastAsia"/>
          <w:color w:val="auto"/>
          <w:sz w:val="32"/>
          <w:szCs w:val="32"/>
          <w:lang w:eastAsia="zh-CN"/>
          <w:highlight w:val="auto"/>
        </w:rPr>
        <w:t>2024年度本年收入合计</w:t>
      </w:r>
      <w:r>
        <w:rPr>
          <w:rFonts w:ascii="仿宋_GB2312" w:eastAsia="仿宋_GB2312" w:cs="仿宋_GB2312" w:hint="eastAsia"/>
          <w:sz w:val="32"/>
          <w:szCs w:val="32"/>
        </w:rPr>
        <w:t>192.23万元，其中：一般公共预算财政拨款收入192.23</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100</w:t>
      </w:r>
      <w:r>
        <w:rPr>
          <w:rFonts w:ascii="仿宋_GB2312" w:eastAsia="仿宋_GB2312" w:cs="仿宋_GB2312" w:hint="eastAsia"/>
          <w:color w:val="auto"/>
          <w:sz w:val="32"/>
          <w:szCs w:val="32"/>
          <w:lang w:eastAsia="zh-CN"/>
          <w:highlight w:val="auto"/>
        </w:rPr>
        <w:t>%；政府性基金预算财政拨款收入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%；国有资本经营预算财政拨款收入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%；上级补助收入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%；事业收入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%；经营收入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%；附属单位上缴收入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%；其他收入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w:t>
      </w:r>
      <w:r>
        <w:rPr>
          <w:rFonts w:ascii="Times New Roman" w:eastAsia="仿宋_GB2312" w:cs="仿宋_GB2312" w:hAnsi="Times New Roman" w:hint="eastAsia"/>
          <w:b/>
          <w:bCs/>
          <w:color w:val="auto"/>
          <w:sz w:val="32"/>
          <w:szCs w:val="32"/>
          <w:lang w:eastAsia="zh-CN"/>
          <w:highlight w:val="auto"/>
        </w:rPr>
        <w:t>（注：仅罗列本部门涉及的收入）</w:t>
      </w:r>
      <w:bookmarkEnd w:id="77"/>
      <w:bookmarkEnd w:id="78"/>
      <w:bookmarkEnd w:id="79"/>
      <w:bookmarkEnd w:id="80"/>
      <w:bookmarkEnd w:id="81"/>
      <w:bookmarkEnd w:id="82"/>
      <w:bookmarkEnd w:id="83"/>
    </w:p>
    <w:p>
      <w:pPr>
        <w:ind w:firstLineChars="250" w:firstLine="800"/>
        <w:rPr>
          <w:rFonts w:hint="eastAsia"/>
        </w:rPr>
      </w:pPr>
      <w:r>
        <w:rPr>
          <w:rFonts w:ascii="Times New Roman" w:eastAsia="仿宋_GB2312" w:cs="仿宋_GB2312" w:hAnsi="Times New Roman" w:hint="eastAsia"/>
          <w:color w:val="auto"/>
          <w:sz w:val="32"/>
          <w:szCs w:val="32"/>
          <w:lang w:eastAsia="zh-CN"/>
          <w:highlight w:val="auto"/>
        </w:rPr>
        <w:t>（图2：收入决算结构图）（饼状图）</w:t>
      </w:r>
    </w:p>
    <w:p>
      <w:pPr>
        <w:ind w:firstLineChars="250" w:firstLine="800"/>
        <w:rPr>
          <w:rFonts w:eastAsia="仿宋_GB2312" w:cs="仿宋_GB2312" w:hint="eastAsia"/>
          <w:sz w:val="32"/>
          <w:szCs w:val="32"/>
        </w:rPr>
      </w:pPr>
      <w:r>
        <w:rPr>
          <w:rFonts w:ascii="Times New Roman" w:eastAsia="仿宋_GB2312" w:cs="仿宋_GB2312" w:hAnsi="Times New Roman"/>
          <w:color w:val="auto"/>
          <w:sz w:val="32"/>
          <w:szCs w:val="32"/>
          <w:lang w:eastAsia="zh-CN"/>
          <w:highlight w:val="auto"/>
        </w:rPr>
        <w:drawing>
          <wp:inline distT="0" distB="0" distL="85723" distR="85723">
            <wp:extent cx="4265817" cy="2413378"/>
            <wp:effectExtent l="0" t="0" r="16" b="29"/>
            <wp:docPr id="4" name="图片"/>
            <wp:cNvGraphicFramePr>
              <a:graphicFrameLocks noChangeAspect="1"/>
            </wp:cNvGraphicFramePr>
            <a:graphic>
              <a:graphicData uri="http://schemas.openxmlformats.org/drawingml/2006/picture">
                <pic:pic>
                  <pic:nvPicPr>
                    <pic:cNvPr id="6" name="图片 6"/>
                    <pic:cNvPicPr/>
                  </pic:nvPicPr>
                  <pic:blipFill>
                    <a:blip r:embed="rId7"/>
                    <a:stretch>
                      <a:fillRect/>
                    </a:stretch>
                  </pic:blipFill>
                  <pic:spPr>
                    <a:xfrm rot="0">
                      <a:off x="0" y="0"/>
                      <a:ext cx="4265817" cy="2413378"/>
                    </a:xfrm>
                    <a:prstGeom prst="rect"/>
                    <a:noFill/>
                    <a:ln w="9525" cmpd="sng" cap="flat">
                      <a:noFill/>
                      <a:prstDash val="solid"/>
                      <a:miter/>
                    </a:ln>
                  </pic:spPr>
                </pic:pic>
              </a:graphicData>
            </a:graphic>
          </wp:inline>
        </w:drawing>
      </w: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Style w:val="2Char"/>
          <w:rFonts w:ascii="Times New Roman" w:eastAsia="黑体" w:hAnsi="Times New Roman" w:hint="eastAsia"/>
          <w:b w:val="0"/>
          <w:color w:val="auto"/>
          <w:highlight w:val="auto"/>
        </w:rPr>
      </w:pPr>
      <w:bookmarkStart w:id="84" w:name="_Toc15377207"/>
      <w:bookmarkStart w:id="85" w:name="_Toc15396605"/>
      <w:bookmarkStart w:id="86" w:name="_Toc57013135"/>
      <w:bookmarkStart w:id="87" w:name="_Toc57013193"/>
      <w:bookmarkStart w:id="88" w:name="_Toc57013251"/>
      <w:bookmarkStart w:id="89" w:name="_Toc57013308"/>
      <w:bookmarkStart w:id="90" w:name="_Toc57013405"/>
      <w:bookmarkStart w:id="91" w:name="_Toc57013463"/>
      <w:r>
        <w:rPr>
          <w:rFonts w:ascii="Times New Roman" w:eastAsia="黑体" w:hAnsi="Times New Roman" w:hint="eastAsia"/>
          <w:color w:val="auto"/>
          <w:sz w:val="32"/>
          <w:szCs w:val="32"/>
          <w:lang w:eastAsia="zh-CN"/>
          <w:highlight w:val="auto"/>
        </w:rPr>
        <w:t>三、</w:t>
      </w:r>
      <w:r>
        <w:rPr>
          <w:rFonts w:ascii="Times New Roman" w:eastAsia="黑体" w:hAnsi="Times New Roman" w:hint="eastAsia"/>
          <w:color w:val="auto"/>
          <w:sz w:val="32"/>
          <w:szCs w:val="32"/>
          <w:highlight w:val="auto"/>
        </w:rPr>
        <w:t>支</w:t>
      </w:r>
      <w:r>
        <w:rPr>
          <w:rStyle w:val="2Char"/>
          <w:rFonts w:ascii="Times New Roman" w:eastAsia="黑体" w:hAnsi="Times New Roman" w:hint="eastAsia"/>
          <w:b w:val="0"/>
          <w:color w:val="auto"/>
          <w:highlight w:val="auto"/>
        </w:rPr>
        <w:t>出决算情况说明</w:t>
      </w:r>
      <w:bookmarkEnd w:id="84"/>
      <w:bookmarkEnd w:id="85"/>
      <w:bookmarkEnd w:id="86"/>
      <w:bookmarkEnd w:id="87"/>
      <w:bookmarkEnd w:id="88"/>
      <w:bookmarkEnd w:id="89"/>
      <w:bookmarkEnd w:id="90"/>
      <w:bookmarkEnd w:id="91"/>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color w:val="auto"/>
          <w:sz w:val="32"/>
          <w:szCs w:val="32"/>
          <w:lang w:eastAsia="zh-CN"/>
          <w:highlight w:val="auto"/>
        </w:rPr>
      </w:pPr>
      <w:bookmarkStart w:id="92" w:name="_Toc57013136"/>
      <w:bookmarkStart w:id="93" w:name="_Toc57013194"/>
      <w:bookmarkStart w:id="94" w:name="_Toc57013252"/>
      <w:bookmarkStart w:id="95" w:name="_Toc57013309"/>
      <w:bookmarkStart w:id="96" w:name="_Toc57013328"/>
      <w:bookmarkStart w:id="97" w:name="_Toc57013406"/>
      <w:bookmarkStart w:id="98" w:name="_Toc57013464"/>
      <w:r>
        <w:rPr>
          <w:rFonts w:ascii="仿宋_GB2312" w:eastAsia="仿宋_GB2312" w:cs="仿宋_GB2312" w:hint="eastAsia"/>
          <w:color w:val="auto"/>
          <w:sz w:val="32"/>
          <w:szCs w:val="32"/>
          <w:lang w:eastAsia="zh-CN"/>
          <w:highlight w:val="auto"/>
        </w:rPr>
        <w:t>2024年度本年支出合计</w:t>
      </w:r>
      <w:r>
        <w:rPr>
          <w:rFonts w:ascii="仿宋_GB2312" w:eastAsia="仿宋_GB2312" w:cs="仿宋_GB2312" w:hint="eastAsia"/>
          <w:sz w:val="32"/>
          <w:szCs w:val="32"/>
        </w:rPr>
        <w:t>192.23</w:t>
      </w:r>
      <w:r>
        <w:rPr>
          <w:rFonts w:ascii="仿宋_GB2312" w:eastAsia="仿宋_GB2312" w:cs="仿宋_GB2312" w:hint="eastAsia"/>
          <w:color w:val="auto"/>
          <w:sz w:val="32"/>
          <w:szCs w:val="32"/>
          <w:lang w:eastAsia="zh-CN"/>
          <w:highlight w:val="auto"/>
        </w:rPr>
        <w:t>万元，其中：基本支出</w:t>
      </w:r>
      <w:r>
        <w:rPr>
          <w:rFonts w:ascii="仿宋_GB2312" w:eastAsia="仿宋_GB2312" w:cs="仿宋_GB2312" w:hint="eastAsia"/>
          <w:sz w:val="32"/>
          <w:szCs w:val="32"/>
        </w:rPr>
        <w:t>136.41</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70.96</w:t>
      </w:r>
      <w:r>
        <w:rPr>
          <w:rFonts w:ascii="仿宋_GB2312" w:eastAsia="仿宋_GB2312" w:cs="仿宋_GB2312" w:hint="eastAsia"/>
          <w:color w:val="auto"/>
          <w:sz w:val="32"/>
          <w:szCs w:val="32"/>
          <w:lang w:eastAsia="zh-CN"/>
          <w:highlight w:val="auto"/>
        </w:rPr>
        <w:t>%；项目支出</w:t>
      </w:r>
      <w:r>
        <w:rPr>
          <w:rFonts w:ascii="仿宋_GB2312" w:eastAsia="仿宋_GB2312" w:cs="仿宋_GB2312" w:hint="eastAsia"/>
          <w:sz w:val="32"/>
          <w:szCs w:val="32"/>
        </w:rPr>
        <w:t>55.82</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29.03</w:t>
      </w:r>
      <w:r>
        <w:rPr>
          <w:rFonts w:ascii="仿宋_GB2312" w:eastAsia="仿宋_GB2312" w:cs="仿宋_GB2312" w:hint="eastAsia"/>
          <w:color w:val="auto"/>
          <w:sz w:val="32"/>
          <w:szCs w:val="32"/>
          <w:lang w:eastAsia="zh-CN"/>
          <w:highlight w:val="auto"/>
        </w:rPr>
        <w:t>%；上缴上级支出</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%；经营支出</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%；对附属单位补助支出</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w:t>
      </w:r>
      <w:r>
        <w:rPr>
          <w:rFonts w:ascii="Times New Roman" w:eastAsia="仿宋_GB2312" w:cs="仿宋_GB2312" w:hAnsi="Times New Roman" w:hint="eastAsia"/>
          <w:b/>
          <w:bCs/>
          <w:color w:val="auto"/>
          <w:sz w:val="32"/>
          <w:szCs w:val="32"/>
          <w:lang w:eastAsia="zh-CN"/>
          <w:highlight w:val="auto"/>
        </w:rPr>
        <w:t>（注：仅罗列本部门涉及的支出）</w:t>
      </w:r>
      <w:bookmarkEnd w:id="92"/>
      <w:bookmarkEnd w:id="93"/>
      <w:bookmarkEnd w:id="94"/>
      <w:bookmarkEnd w:id="95"/>
      <w:bookmarkEnd w:id="96"/>
      <w:bookmarkEnd w:id="97"/>
      <w:bookmarkEnd w:id="98"/>
    </w:p>
    <w:p>
      <w:pPr>
        <w:ind w:firstLineChars="250" w:firstLine="800"/>
        <w:rPr>
          <w:rFonts w:ascii="Times New Roman" w:eastAsia="仿宋_GB2312" w:cs="仿宋_GB2312" w:hAnsi="Times New Roman" w:hint="eastAsia"/>
          <w:color w:val="auto"/>
          <w:sz w:val="32"/>
          <w:szCs w:val="32"/>
          <w:lang w:eastAsia="zh-CN"/>
          <w:highlight w:val="auto"/>
        </w:rPr>
      </w:pPr>
      <w:r>
        <w:rPr>
          <w:rFonts w:ascii="Times New Roman" w:eastAsia="仿宋_GB2312" w:cs="仿宋_GB2312" w:hAnsi="Times New Roman" w:hint="eastAsia"/>
          <w:color w:val="auto"/>
          <w:sz w:val="32"/>
          <w:szCs w:val="32"/>
          <w:lang w:eastAsia="zh-CN"/>
          <w:highlight w:val="auto"/>
        </w:rPr>
        <w:t>（图3：支出决算结构图）（饼状图）</w:t>
      </w:r>
    </w:p>
    <w:p>
      <w:pPr>
        <w:ind w:firstLineChars="250" w:firstLine="800"/>
        <w:rPr>
          <w:rFonts w:eastAsia="仿宋_GB2312" w:cs="仿宋_GB2312" w:hint="eastAsia"/>
          <w:sz w:val="32"/>
          <w:szCs w:val="32"/>
        </w:rPr>
      </w:pPr>
      <w:r>
        <w:rPr>
          <w:rFonts w:ascii="Times New Roman" w:eastAsia="仿宋_GB2312" w:cs="仿宋_GB2312" w:hAnsi="Times New Roman"/>
          <w:color w:val="auto"/>
          <w:sz w:val="32"/>
          <w:szCs w:val="32"/>
          <w:lang w:eastAsia="zh-CN"/>
          <w:highlight w:val="auto"/>
        </w:rPr>
        <w:drawing>
          <wp:inline distT="0" distB="0" distL="85723" distR="85723">
            <wp:extent cx="3873415" cy="2324050"/>
            <wp:effectExtent l="0" t="0" r="38" b="14"/>
            <wp:docPr id="7" name="图片"/>
            <wp:cNvGraphicFramePr>
              <a:graphicFrameLocks noChangeAspect="1"/>
            </wp:cNvGraphicFramePr>
            <a:graphic>
              <a:graphicData uri="http://schemas.openxmlformats.org/drawingml/2006/picture">
                <pic:pic>
                  <pic:nvPicPr>
                    <pic:cNvPr id="9" name="图片 9"/>
                    <pic:cNvPicPr/>
                  </pic:nvPicPr>
                  <pic:blipFill>
                    <a:blip r:embed="rId8"/>
                    <a:stretch>
                      <a:fillRect/>
                    </a:stretch>
                  </pic:blipFill>
                  <pic:spPr>
                    <a:xfrm rot="0">
                      <a:off x="0" y="0"/>
                      <a:ext cx="3873415" cy="2324050"/>
                    </a:xfrm>
                    <a:prstGeom prst="rect"/>
                    <a:noFill/>
                    <a:ln w="9525" cmpd="sng" cap="flat">
                      <a:noFill/>
                      <a:prstDash val="solid"/>
                      <a:miter/>
                    </a:ln>
                  </pic:spPr>
                </pic:pic>
              </a:graphicData>
            </a:graphic>
          </wp:inline>
        </w:drawing>
      </w:r>
    </w:p>
    <w:p>
      <w:pPr>
        <w:spacing w:line="600" w:lineRule="exact"/>
        <w:ind w:firstLineChars="200" w:firstLine="640"/>
        <w:outlineLvl w:val="1"/>
        <w:rPr>
          <w:rStyle w:val="2Char"/>
          <w:rFonts w:ascii="Times New Roman" w:eastAsia="黑体" w:hAnsi="Times New Roman"/>
          <w:b w:val="0"/>
          <w:color w:val="auto"/>
          <w:highlight w:val="auto"/>
        </w:rPr>
      </w:pPr>
      <w:bookmarkStart w:id="99" w:name="_Toc15377208"/>
      <w:bookmarkStart w:id="100" w:name="_Toc15396606"/>
      <w:bookmarkStart w:id="101" w:name="_Toc57013137"/>
      <w:bookmarkStart w:id="102" w:name="_Toc57013195"/>
      <w:bookmarkStart w:id="103" w:name="_Toc57013253"/>
      <w:bookmarkStart w:id="104" w:name="_Toc57013310"/>
      <w:bookmarkStart w:id="105" w:name="_Toc57013407"/>
      <w:bookmarkStart w:id="106" w:name="_Toc57013465"/>
      <w:r>
        <w:rPr>
          <w:rFonts w:ascii="Times New Roman" w:eastAsia="黑体" w:hAnsi="Times New Roman" w:hint="eastAsia"/>
          <w:color w:val="auto"/>
          <w:sz w:val="32"/>
          <w:szCs w:val="32"/>
          <w:highlight w:val="auto"/>
        </w:rPr>
        <w:t>四、财</w:t>
      </w:r>
      <w:r>
        <w:rPr>
          <w:rStyle w:val="2Char"/>
          <w:rFonts w:ascii="Times New Roman" w:eastAsia="黑体" w:hAnsi="Times New Roman" w:hint="eastAsia"/>
          <w:b w:val="0"/>
          <w:color w:val="auto"/>
          <w:highlight w:val="auto"/>
        </w:rPr>
        <w:t>政拨款收入支出决算总体情况说明</w:t>
      </w:r>
      <w:bookmarkEnd w:id="99"/>
      <w:bookmarkEnd w:id="100"/>
      <w:bookmarkEnd w:id="101"/>
      <w:bookmarkEnd w:id="102"/>
      <w:bookmarkEnd w:id="103"/>
      <w:bookmarkEnd w:id="104"/>
      <w:bookmarkEnd w:id="105"/>
      <w:bookmarkEnd w:id="106"/>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2024年度财政拨款收入、支出总计均为</w:t>
      </w:r>
      <w:r>
        <w:rPr>
          <w:rFonts w:ascii="仿宋_GB2312" w:eastAsia="仿宋_GB2312" w:cs="仿宋_GB2312" w:hint="eastAsia"/>
          <w:sz w:val="32"/>
          <w:szCs w:val="32"/>
        </w:rPr>
        <w:t>192.23</w:t>
      </w:r>
      <w:r>
        <w:rPr>
          <w:rFonts w:ascii="Times New Roman" w:eastAsia="仿宋_GB2312" w:cs="仿宋_GB2312" w:hAnsi="Times New Roman" w:hint="eastAsia"/>
          <w:color w:val="auto"/>
          <w:kern w:val="2"/>
          <w:sz w:val="32"/>
          <w:szCs w:val="32"/>
          <w:lang w:val="en-US" w:eastAsia="zh-CN" w:bidi="ar-SA"/>
          <w:highlight w:val="auto"/>
        </w:rPr>
        <w:t>万元。与2023年度相比，财政拨款收入总计、支出总计各增加</w:t>
      </w:r>
      <w:r>
        <w:rPr>
          <w:rFonts w:ascii="Times New Roman" w:eastAsia="仿宋_GB2312" w:cs="仿宋_GB2312" w:hAnsi="Times New Roman"/>
          <w:color w:val="auto"/>
          <w:kern w:val="2"/>
          <w:sz w:val="32"/>
          <w:szCs w:val="32"/>
          <w:lang w:val="en-US" w:eastAsia="zh-CN" w:bidi="ar-SA"/>
          <w:highlight w:val="auto"/>
        </w:rPr>
        <w:t>67.31</w:t>
      </w:r>
      <w:r>
        <w:rPr>
          <w:rFonts w:ascii="Times New Roman" w:eastAsia="仿宋_GB2312" w:cs="仿宋_GB2312" w:hAnsi="Times New Roman" w:hint="eastAsia"/>
          <w:color w:val="auto"/>
          <w:kern w:val="2"/>
          <w:sz w:val="32"/>
          <w:szCs w:val="32"/>
          <w:lang w:val="en-US" w:eastAsia="zh-CN" w:bidi="ar-SA"/>
          <w:highlight w:val="auto"/>
        </w:rPr>
        <w:t>万元，增长</w:t>
      </w:r>
      <w:r>
        <w:rPr>
          <w:rFonts w:ascii="Times New Roman" w:eastAsia="仿宋_GB2312" w:cs="仿宋_GB2312" w:hAnsi="Times New Roman"/>
          <w:color w:val="auto"/>
          <w:sz w:val="32"/>
          <w:szCs w:val="32"/>
          <w:highlight w:val="auto"/>
        </w:rPr>
        <w:t>35.02</w:t>
      </w:r>
      <w:r>
        <w:rPr>
          <w:rFonts w:ascii="Times New Roman" w:eastAsia="仿宋_GB2312" w:cs="仿宋_GB2312" w:hAnsi="Times New Roman" w:hint="eastAsia"/>
          <w:color w:val="auto"/>
          <w:kern w:val="2"/>
          <w:sz w:val="32"/>
          <w:szCs w:val="32"/>
          <w:lang w:val="en-US" w:eastAsia="zh-CN" w:bidi="ar-SA"/>
          <w:highlight w:val="auto"/>
        </w:rPr>
        <w:t>%。主要变动原因</w:t>
      </w:r>
      <w:r>
        <w:rPr>
          <w:rFonts w:ascii="Times New Roman" w:eastAsia="仿宋_GB2312" w:cs="仿宋_GB2312" w:hAnsi="Times New Roman"/>
          <w:color w:val="auto"/>
          <w:sz w:val="32"/>
          <w:szCs w:val="32"/>
          <w:highlight w:val="auto"/>
        </w:rPr>
        <w:t>一是增加</w:t>
      </w:r>
      <w:r>
        <w:rPr>
          <w:rStyle w:val="25"/>
          <w:rFonts w:ascii="仿宋_GB2312" w:eastAsia="仿宋_GB2312" w:cs="仿宋_GB2312" w:hint="eastAsia"/>
          <w:b w:val="0"/>
          <w:bCs/>
          <w:color w:val="auto"/>
          <w:sz w:val="32"/>
          <w:szCs w:val="32"/>
          <w:lang w:val="en-US" w:eastAsia="zh-CN" w:bidi="ar-SA"/>
        </w:rPr>
        <w:t>项目经费</w:t>
      </w:r>
      <w:r>
        <w:rPr>
          <w:rStyle w:val="25"/>
          <w:rFonts w:ascii="仿宋_GB2312" w:eastAsia="仿宋_GB2312" w:cs="仿宋_GB2312"/>
          <w:b w:val="0"/>
          <w:bCs/>
          <w:color w:val="auto"/>
          <w:sz w:val="32"/>
          <w:szCs w:val="32"/>
          <w:lang w:val="en-US" w:eastAsia="zh-CN" w:bidi="ar-SA"/>
        </w:rPr>
        <w:t>，二</w:t>
      </w:r>
      <w:r>
        <w:rPr>
          <w:rFonts w:ascii="Times New Roman" w:eastAsia="仿宋_GB2312" w:cs="仿宋_GB2312" w:hAnsi="Times New Roman" w:hint="eastAsia"/>
          <w:color w:val="auto"/>
          <w:sz w:val="32"/>
          <w:szCs w:val="32"/>
          <w:highlight w:val="auto"/>
        </w:rPr>
        <w:t>是</w:t>
      </w:r>
      <w:r>
        <w:rPr>
          <w:rFonts w:ascii="Times New Roman" w:eastAsia="仿宋_GB2312" w:cs="仿宋_GB2312" w:hAnsi="Times New Roman" w:hint="eastAsia"/>
          <w:color w:val="auto"/>
          <w:sz w:val="32"/>
          <w:szCs w:val="32"/>
        </w:rPr>
        <w:t>2024</w:t>
      </w:r>
      <w:r>
        <w:rPr>
          <w:rFonts w:ascii="Times New Roman" w:eastAsia="仿宋_GB2312" w:cs="仿宋_GB2312" w:hAnsi="Times New Roman"/>
          <w:color w:val="auto"/>
          <w:sz w:val="32"/>
          <w:szCs w:val="32"/>
        </w:rPr>
        <w:t>年人员变动</w:t>
      </w:r>
      <w:r>
        <w:rPr>
          <w:rFonts w:ascii="Times New Roman" w:eastAsia="仿宋_GB2312" w:cs="仿宋_GB2312" w:hAnsi="Times New Roman" w:hint="eastAsia"/>
          <w:color w:val="auto"/>
          <w:sz w:val="32"/>
          <w:szCs w:val="32"/>
        </w:rPr>
        <w:t>及职务工资结构变动。</w:t>
      </w:r>
    </w:p>
    <w:p>
      <w:pPr>
        <w:spacing w:line="600" w:lineRule="exact"/>
        <w:ind w:firstLineChars="200" w:firstLine="640"/>
        <w:rPr>
          <w:rFonts w:ascii="Times New Roman" w:eastAsia="仿宋_GB2312" w:cs="仿宋_GB2312" w:hAnsi="Times New Roman"/>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（图4：财政拨款收、支决算总计变动情况）（柱状图）</w:t>
      </w:r>
    </w:p>
    <w:p>
      <w:pPr>
        <w:pStyle w:val="17"/>
        <w:ind w:leftChars="0" w:left="0" w:firstLineChars="0" w:firstLine="0"/>
        <w:rPr>
          <w:rFonts w:hint="eastAsia"/>
        </w:rPr>
      </w:pPr>
      <w:r>
        <w:rPr>
          <w:rFonts w:ascii="Times New Roman" w:eastAsia="仿宋_GB2312" w:cs="仿宋_GB2312" w:hAnsi="Times New Roman"/>
          <w:color w:val="auto"/>
          <w:kern w:val="2"/>
          <w:sz w:val="32"/>
          <w:szCs w:val="32"/>
          <w:lang w:val="en-US" w:eastAsia="zh-CN" w:bidi="ar-SA"/>
          <w:highlight w:val="auto"/>
        </w:rPr>
        <w:t xml:space="preserve">      </w:t>
      </w:r>
      <w:r>
        <w:rPr>
          <w:rFonts w:ascii="Times New Roman" w:eastAsia="仿宋_GB2312" w:cs="仿宋_GB2312" w:hAnsi="Times New Roman"/>
          <w:color w:val="auto"/>
          <w:kern w:val="2"/>
          <w:sz w:val="32"/>
          <w:szCs w:val="32"/>
          <w:lang w:val="en-US" w:eastAsia="zh-CN" w:bidi="ar-SA"/>
          <w:highlight w:val="auto"/>
        </w:rPr>
        <w:drawing>
          <wp:inline distT="0" distB="0" distL="85723" distR="85723">
            <wp:extent cx="4571929" cy="2743157"/>
            <wp:effectExtent l="0" t="0" r="1" b="1"/>
            <wp:docPr id="10" name="图片"/>
            <wp:cNvGraphicFramePr>
              <a:graphicFrameLocks noChangeAspect="1"/>
            </wp:cNvGraphicFramePr>
            <a:graphic>
              <a:graphicData uri="http://schemas.openxmlformats.org/drawingml/2006/picture">
                <pic:pic>
                  <pic:nvPicPr>
                    <pic:cNvPr id="11" name="图片 11"/>
                    <pic:cNvPicPr/>
                  </pic:nvPicPr>
                  <pic:blipFill>
                    <a:blip r:embed="rId9"/>
                    <a:stretch>
                      <a:fillRect/>
                    </a:stretch>
                  </pic:blipFill>
                  <pic:spPr>
                    <a:xfrm rot="0">
                      <a:off x="0" y="0"/>
                      <a:ext cx="4571929" cy="2743157"/>
                    </a:xfrm>
                    <a:prstGeom prst="rect"/>
                    <a:noFill/>
                    <a:ln w="9525" cmpd="sng" cap="flat">
                      <a:noFill/>
                      <a:prstDash val="solid"/>
                      <a:miter/>
                    </a:ln>
                  </pic:spPr>
                </pic:pic>
              </a:graphicData>
            </a:graphic>
          </wp:inline>
        </w:drawing>
      </w:r>
    </w:p>
    <w:p>
      <w:pPr>
        <w:spacing w:line="600" w:lineRule="exact"/>
        <w:ind w:firstLineChars="200" w:firstLine="640"/>
        <w:outlineLvl w:val="1"/>
        <w:rPr>
          <w:rStyle w:val="2Char"/>
          <w:rFonts w:ascii="Times New Roman" w:eastAsia="黑体" w:hAnsi="Times New Roman"/>
          <w:b w:val="0"/>
          <w:color w:val="auto"/>
          <w:highlight w:val="auto"/>
        </w:rPr>
      </w:pPr>
      <w:bookmarkStart w:id="107" w:name="_Toc15377209"/>
      <w:bookmarkStart w:id="108" w:name="_Toc15396607"/>
      <w:bookmarkStart w:id="109" w:name="_Toc57013138"/>
      <w:bookmarkStart w:id="110" w:name="_Toc57013196"/>
      <w:bookmarkStart w:id="111" w:name="_Toc57013254"/>
      <w:bookmarkStart w:id="112" w:name="_Toc57013311"/>
      <w:bookmarkStart w:id="113" w:name="_Toc57013408"/>
      <w:bookmarkStart w:id="114" w:name="_Toc57013466"/>
      <w:r>
        <w:rPr>
          <w:rFonts w:ascii="Times New Roman" w:eastAsia="黑体" w:hAnsi="Times New Roman" w:hint="eastAsia"/>
          <w:color w:val="auto"/>
          <w:sz w:val="32"/>
          <w:szCs w:val="32"/>
          <w:highlight w:val="auto"/>
        </w:rPr>
        <w:t>五、</w:t>
      </w:r>
      <w:r>
        <w:rPr>
          <w:rFonts w:ascii="Times New Roman" w:eastAsia="黑体" w:hAnsi="Times New Roman" w:hint="eastAsia"/>
          <w:b/>
          <w:color w:val="auto"/>
          <w:sz w:val="32"/>
          <w:szCs w:val="32"/>
          <w:highlight w:val="auto"/>
        </w:rPr>
        <w:t>一</w:t>
      </w:r>
      <w:r>
        <w:rPr>
          <w:rStyle w:val="2Char"/>
          <w:rFonts w:ascii="Times New Roman" w:eastAsia="黑体" w:hAnsi="Times New Roman" w:hint="eastAsia"/>
          <w:b w:val="0"/>
          <w:color w:val="auto"/>
          <w:highlight w:val="auto"/>
        </w:rPr>
        <w:t>般公共预算财政拨款支出决算情况说明</w:t>
      </w:r>
      <w:bookmarkEnd w:id="107"/>
      <w:bookmarkEnd w:id="108"/>
      <w:bookmarkEnd w:id="109"/>
      <w:bookmarkEnd w:id="110"/>
      <w:bookmarkEnd w:id="111"/>
      <w:bookmarkEnd w:id="112"/>
      <w:bookmarkEnd w:id="113"/>
      <w:bookmarkEnd w:id="114"/>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115" w:name="_Toc15377210"/>
      <w:bookmarkStart w:id="116" w:name="_Toc57013139"/>
      <w:bookmarkStart w:id="117" w:name="_Toc57013197"/>
      <w:bookmarkStart w:id="118" w:name="_Toc57013255"/>
      <w:bookmarkStart w:id="119" w:name="_Toc57013409"/>
      <w:bookmarkStart w:id="120" w:name="_Toc57013467"/>
      <w:r>
        <w:rPr>
          <w:rFonts w:ascii="Times New Roman" w:eastAsia="楷体_GB2312" w:cs="楷体_GB2312" w:hAnsi="Times New Roman" w:hint="eastAsia"/>
          <w:b/>
          <w:color w:val="auto"/>
          <w:sz w:val="32"/>
          <w:szCs w:val="32"/>
          <w:highlight w:val="auto"/>
        </w:rPr>
        <w:t>（一）一般公共预算财政拨款支出决算总体情况</w:t>
      </w:r>
      <w:bookmarkEnd w:id="115"/>
      <w:bookmarkEnd w:id="116"/>
      <w:bookmarkEnd w:id="117"/>
      <w:bookmarkEnd w:id="118"/>
      <w:bookmarkEnd w:id="119"/>
      <w:bookmarkEnd w:id="120"/>
    </w:p>
    <w:p>
      <w:pPr>
        <w:spacing w:line="600" w:lineRule="exact"/>
        <w:ind w:firstLine="640"/>
        <w:rPr>
          <w:rFonts w:ascii="Times New Roman" w:eastAsia="仿宋_GB2312" w:cs="仿宋_GB2312" w:hAnsi="Times New Roman"/>
          <w:color w:val="auto"/>
          <w:sz w:val="32"/>
          <w:szCs w:val="32"/>
        </w:rPr>
      </w:pPr>
      <w:r>
        <w:rPr>
          <w:rFonts w:ascii="仿宋_GB2312" w:eastAsia="仿宋_GB2312" w:cs="仿宋_GB2312" w:hint="eastAsia"/>
          <w:color w:val="auto"/>
          <w:kern w:val="2"/>
          <w:sz w:val="32"/>
          <w:szCs w:val="32"/>
          <w:lang w:val="en-US" w:eastAsia="zh-CN" w:bidi="ar-SA"/>
          <w:highlight w:val="auto"/>
        </w:rPr>
        <w:t>2024年度一般公共预算财政拨款支出</w:t>
      </w:r>
      <w:r>
        <w:rPr>
          <w:rFonts w:ascii="仿宋_GB2312" w:eastAsia="仿宋_GB2312" w:cs="仿宋_GB2312" w:hint="eastAsia"/>
          <w:sz w:val="32"/>
          <w:szCs w:val="32"/>
        </w:rPr>
        <w:t>192.23</w:t>
      </w:r>
      <w:r>
        <w:rPr>
          <w:rFonts w:ascii="仿宋_GB2312" w:eastAsia="仿宋_GB2312" w:cs="仿宋_GB2312" w:hint="eastAsia"/>
          <w:color w:val="auto"/>
          <w:kern w:val="2"/>
          <w:sz w:val="32"/>
          <w:szCs w:val="32"/>
          <w:lang w:val="en-US" w:eastAsia="zh-CN" w:bidi="ar-SA"/>
          <w:highlight w:val="auto"/>
        </w:rPr>
        <w:t>万元，占本年支出合计的</w:t>
      </w:r>
      <w:r>
        <w:rPr>
          <w:rFonts w:ascii="仿宋_GB2312" w:eastAsia="仿宋_GB2312" w:cs="仿宋_GB2312" w:hint="eastAsia"/>
          <w:sz w:val="32"/>
          <w:szCs w:val="32"/>
        </w:rPr>
        <w:t>100</w:t>
      </w:r>
      <w:r>
        <w:rPr>
          <w:rFonts w:ascii="仿宋_GB2312" w:eastAsia="仿宋_GB2312" w:cs="仿宋_GB2312" w:hint="eastAsia"/>
          <w:color w:val="auto"/>
          <w:kern w:val="2"/>
          <w:sz w:val="32"/>
          <w:szCs w:val="32"/>
          <w:lang w:val="en-US" w:eastAsia="zh-CN" w:bidi="ar-SA"/>
          <w:highlight w:val="auto"/>
        </w:rPr>
        <w:t>%。与2023年度相比，一般公共预算财政拨款支出增加</w:t>
      </w:r>
      <w:r>
        <w:rPr>
          <w:rFonts w:ascii="仿宋_GB2312" w:eastAsia="仿宋_GB2312" w:cs="仿宋_GB2312"/>
          <w:color w:val="auto"/>
          <w:kern w:val="2"/>
          <w:sz w:val="32"/>
          <w:szCs w:val="32"/>
          <w:lang w:val="en-US" w:eastAsia="zh-CN" w:bidi="ar-SA"/>
          <w:highlight w:val="auto"/>
        </w:rPr>
        <w:t>67.31</w:t>
      </w:r>
      <w:r>
        <w:rPr>
          <w:rFonts w:ascii="仿宋_GB2312" w:eastAsia="仿宋_GB2312" w:cs="仿宋_GB2312" w:hint="eastAsia"/>
          <w:color w:val="auto"/>
          <w:kern w:val="2"/>
          <w:sz w:val="32"/>
          <w:szCs w:val="32"/>
          <w:lang w:val="en-US" w:eastAsia="zh-CN" w:bidi="ar-SA"/>
          <w:highlight w:val="auto"/>
        </w:rPr>
        <w:t>万元，增长</w:t>
      </w:r>
      <w:r>
        <w:rPr>
          <w:rFonts w:ascii="仿宋_GB2312" w:eastAsia="仿宋_GB2312" w:cs="仿宋_GB2312"/>
          <w:color w:val="auto"/>
          <w:kern w:val="2"/>
          <w:sz w:val="32"/>
          <w:szCs w:val="32"/>
          <w:lang w:val="en-US" w:eastAsia="zh-CN" w:bidi="ar-SA"/>
          <w:highlight w:val="auto"/>
        </w:rPr>
        <w:t>35.02</w:t>
      </w:r>
      <w:r>
        <w:rPr>
          <w:rFonts w:ascii="仿宋_GB2312" w:eastAsia="仿宋_GB2312" w:cs="仿宋_GB2312" w:hint="eastAsia"/>
          <w:color w:val="auto"/>
          <w:kern w:val="2"/>
          <w:sz w:val="32"/>
          <w:szCs w:val="32"/>
          <w:lang w:val="en-US" w:eastAsia="zh-CN" w:bidi="ar-SA"/>
          <w:highlight w:val="auto"/>
        </w:rPr>
        <w:t>%。主要变动原因是</w:t>
      </w:r>
      <w:r>
        <w:rPr>
          <w:rFonts w:ascii="Times New Roman" w:eastAsia="仿宋_GB2312" w:cs="仿宋_GB2312" w:hAnsi="Times New Roman"/>
          <w:color w:val="auto"/>
          <w:sz w:val="32"/>
          <w:szCs w:val="32"/>
          <w:highlight w:val="auto"/>
        </w:rPr>
        <w:t>一是增加</w:t>
      </w:r>
      <w:r>
        <w:rPr>
          <w:rStyle w:val="25"/>
          <w:rFonts w:ascii="仿宋_GB2312" w:eastAsia="仿宋_GB2312" w:cs="仿宋_GB2312" w:hint="eastAsia"/>
          <w:b w:val="0"/>
          <w:bCs/>
          <w:color w:val="auto"/>
          <w:sz w:val="32"/>
          <w:szCs w:val="32"/>
          <w:lang w:val="en-US" w:eastAsia="zh-CN" w:bidi="ar-SA"/>
        </w:rPr>
        <w:t>项目经费</w:t>
      </w:r>
      <w:r>
        <w:rPr>
          <w:rStyle w:val="25"/>
          <w:rFonts w:ascii="仿宋_GB2312" w:eastAsia="仿宋_GB2312" w:cs="仿宋_GB2312"/>
          <w:b w:val="0"/>
          <w:bCs/>
          <w:color w:val="auto"/>
          <w:sz w:val="32"/>
          <w:szCs w:val="32"/>
          <w:lang w:val="en-US" w:eastAsia="zh-CN" w:bidi="ar-SA"/>
        </w:rPr>
        <w:t>，二</w:t>
      </w:r>
      <w:r>
        <w:rPr>
          <w:rFonts w:ascii="Times New Roman" w:eastAsia="仿宋_GB2312" w:cs="仿宋_GB2312" w:hAnsi="Times New Roman" w:hint="eastAsia"/>
          <w:color w:val="auto"/>
          <w:sz w:val="32"/>
          <w:szCs w:val="32"/>
          <w:highlight w:val="auto"/>
        </w:rPr>
        <w:t>是</w:t>
      </w:r>
      <w:r>
        <w:rPr>
          <w:rFonts w:ascii="Times New Roman" w:eastAsia="仿宋_GB2312" w:cs="仿宋_GB2312" w:hAnsi="Times New Roman" w:hint="eastAsia"/>
          <w:color w:val="auto"/>
          <w:sz w:val="32"/>
          <w:szCs w:val="32"/>
        </w:rPr>
        <w:t>2024</w:t>
      </w:r>
      <w:r>
        <w:rPr>
          <w:rFonts w:ascii="Times New Roman" w:eastAsia="仿宋_GB2312" w:cs="仿宋_GB2312" w:hAnsi="Times New Roman"/>
          <w:color w:val="auto"/>
          <w:sz w:val="32"/>
          <w:szCs w:val="32"/>
        </w:rPr>
        <w:t>年人员变动</w:t>
      </w:r>
      <w:r>
        <w:rPr>
          <w:rFonts w:ascii="Times New Roman" w:eastAsia="仿宋_GB2312" w:cs="仿宋_GB2312" w:hAnsi="Times New Roman" w:hint="eastAsia"/>
          <w:color w:val="auto"/>
          <w:sz w:val="32"/>
          <w:szCs w:val="32"/>
        </w:rPr>
        <w:t>及职务工资结构变动。</w:t>
      </w:r>
    </w:p>
    <w:p>
      <w:pPr>
        <w:spacing w:line="600" w:lineRule="exact"/>
        <w:ind w:firstLine="640"/>
        <w:rPr>
          <w:rFonts w:ascii="Times New Roman" w:eastAsia="仿宋_GB2312" w:cs="仿宋_GB2312" w:hAnsi="Times New Roman"/>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（图5：一般公共预算财政拨款支出决算变动情况）（柱状图）</w:t>
      </w:r>
    </w:p>
    <w:p>
      <w:pPr>
        <w:pStyle w:val="15"/>
        <w:jc w:val="center"/>
        <w:rPr>
          <w:rFonts w:hint="eastAsia"/>
        </w:rPr>
      </w:pPr>
      <w:r>
        <w:drawing>
          <wp:inline distT="0" distB="0" distL="85723" distR="85723">
            <wp:extent cx="4571929" cy="2743157"/>
            <wp:effectExtent l="0" t="0" r="1" b="1"/>
            <wp:docPr id="12" name="图片"/>
            <wp:cNvGraphicFramePr>
              <a:graphicFrameLocks noChangeAspect="1"/>
            </wp:cNvGraphicFramePr>
            <a:graphic>
              <a:graphicData uri="http://schemas.openxmlformats.org/drawingml/2006/picture">
                <pic:pic>
                  <pic:nvPicPr>
                    <pic:cNvPr id="14" name="图片 14"/>
                    <pic:cNvPicPr/>
                  </pic:nvPicPr>
                  <pic:blipFill>
                    <a:blip r:embed="rId10"/>
                    <a:stretch>
                      <a:fillRect/>
                    </a:stretch>
                  </pic:blipFill>
                  <pic:spPr>
                    <a:xfrm rot="0">
                      <a:off x="0" y="0"/>
                      <a:ext cx="4571929" cy="2743157"/>
                    </a:xfrm>
                    <a:prstGeom prst="rect"/>
                    <a:noFill/>
                    <a:ln w="9525" cmpd="sng" cap="flat">
                      <a:noFill/>
                      <a:prstDash val="solid"/>
                      <a:miter/>
                    </a:ln>
                  </pic:spPr>
                </pic:pic>
              </a:graphicData>
            </a:graphic>
          </wp:inline>
        </w:drawing>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121" w:name="_Toc15377211"/>
      <w:bookmarkStart w:id="122" w:name="_Toc57013140"/>
      <w:bookmarkStart w:id="123" w:name="_Toc57013198"/>
      <w:bookmarkStart w:id="124" w:name="_Toc57013256"/>
      <w:bookmarkStart w:id="125" w:name="_Toc57013410"/>
      <w:bookmarkStart w:id="126" w:name="_Toc57013468"/>
      <w:r>
        <w:rPr>
          <w:rFonts w:ascii="Times New Roman" w:eastAsia="楷体_GB2312" w:cs="楷体_GB2312" w:hAnsi="Times New Roman" w:hint="eastAsia"/>
          <w:b/>
          <w:color w:val="auto"/>
          <w:sz w:val="32"/>
          <w:szCs w:val="32"/>
          <w:highlight w:val="auto"/>
        </w:rPr>
        <w:t>（二）一般公共预算财政拨款支出决算结构情况</w:t>
      </w:r>
      <w:bookmarkEnd w:id="121"/>
      <w:bookmarkEnd w:id="122"/>
      <w:bookmarkEnd w:id="123"/>
      <w:bookmarkEnd w:id="124"/>
      <w:bookmarkEnd w:id="125"/>
      <w:bookmarkEnd w:id="126"/>
    </w:p>
    <w:p>
      <w:pPr>
        <w:spacing w:line="600" w:lineRule="exact"/>
        <w:ind w:firstLine="640"/>
        <w:rPr>
          <w:rFonts w:ascii="Times New Roman" w:eastAsia="仿宋_GB2312" w:cs="仿宋_GB2312" w:hAnsi="Times New Roman"/>
          <w:b/>
          <w:bCs/>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2024年度一般公共预算财政拨款支出</w:t>
      </w:r>
      <w:r>
        <w:rPr>
          <w:rFonts w:ascii="仿宋_GB2312" w:eastAsia="仿宋_GB2312" w:cs="仿宋_GB2312" w:hint="eastAsia"/>
          <w:sz w:val="32"/>
          <w:szCs w:val="32"/>
        </w:rPr>
        <w:t>192.23</w:t>
      </w:r>
      <w:r>
        <w:rPr>
          <w:rFonts w:ascii="仿宋_GB2312" w:eastAsia="仿宋_GB2312" w:cs="仿宋_GB2312" w:hint="eastAsia"/>
          <w:color w:val="auto"/>
          <w:kern w:val="2"/>
          <w:sz w:val="32"/>
          <w:szCs w:val="32"/>
          <w:lang w:val="en-US" w:eastAsia="zh-CN" w:bidi="ar-SA"/>
          <w:highlight w:val="auto"/>
        </w:rPr>
        <w:t>万元</w:t>
      </w:r>
      <w:r>
        <w:rPr>
          <w:rFonts w:ascii="Times New Roman" w:eastAsia="仿宋_GB2312" w:cs="仿宋_GB2312" w:hAnsi="Times New Roman" w:hint="eastAsia"/>
          <w:color w:val="auto"/>
          <w:kern w:val="2"/>
          <w:sz w:val="32"/>
          <w:szCs w:val="32"/>
          <w:lang w:val="en-US" w:eastAsia="zh-CN" w:bidi="ar-SA"/>
          <w:highlight w:val="auto"/>
        </w:rPr>
        <w:t>，主要用于以下方面</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科学技术支出</w:t>
      </w:r>
      <w:r>
        <w:rPr>
          <w:rFonts w:ascii="Times New Roman" w:eastAsia="仿宋_GB2312" w:cs="仿宋_GB2312" w:hAnsi="Times New Roman"/>
          <w:color w:val="auto"/>
          <w:kern w:val="2"/>
          <w:sz w:val="32"/>
          <w:szCs w:val="32"/>
          <w:lang w:val="en-US" w:eastAsia="zh-CN" w:bidi="ar-SA"/>
        </w:rPr>
        <w:t>156.63</w:t>
      </w:r>
      <w:r>
        <w:rPr>
          <w:rFonts w:ascii="Times New Roman" w:eastAsia="仿宋_GB2312" w:cs="仿宋_GB2312" w:hAnsi="Times New Roman" w:hint="eastAsia"/>
          <w:color w:val="auto"/>
          <w:kern w:val="2"/>
          <w:sz w:val="32"/>
          <w:szCs w:val="32"/>
          <w:lang w:val="en-US" w:eastAsia="zh-CN" w:bidi="ar-SA"/>
          <w:highlight w:val="auto"/>
        </w:rPr>
        <w:t>万元，占</w:t>
      </w:r>
      <w:r>
        <w:rPr>
          <w:rFonts w:ascii="Times New Roman" w:eastAsia="仿宋_GB2312" w:cs="仿宋_GB2312" w:hAnsi="Times New Roman"/>
          <w:color w:val="auto"/>
          <w:kern w:val="2"/>
          <w:sz w:val="32"/>
          <w:szCs w:val="32"/>
          <w:lang w:val="en-US" w:eastAsia="zh-CN" w:bidi="ar-SA"/>
          <w:highlight w:val="auto"/>
        </w:rPr>
        <w:t>81.48</w:t>
      </w:r>
      <w:r>
        <w:rPr>
          <w:rFonts w:ascii="Times New Roman" w:eastAsia="仿宋_GB2312" w:cs="仿宋_GB2312" w:hAnsi="Times New Roman" w:hint="eastAsia"/>
          <w:color w:val="auto"/>
          <w:kern w:val="2"/>
          <w:sz w:val="32"/>
          <w:szCs w:val="32"/>
          <w:lang w:val="en-US" w:eastAsia="zh-CN" w:bidi="ar-SA"/>
          <w:highlight w:val="auto"/>
        </w:rPr>
        <w:t>%；社会保障和就业支出</w:t>
      </w:r>
      <w:r>
        <w:rPr>
          <w:rFonts w:ascii="Times New Roman" w:eastAsia="仿宋_GB2312" w:cs="仿宋_GB2312" w:hAnsi="Times New Roman"/>
          <w:color w:val="auto"/>
          <w:kern w:val="2"/>
          <w:sz w:val="32"/>
          <w:szCs w:val="32"/>
          <w:lang w:val="en-US" w:eastAsia="zh-CN" w:bidi="ar-SA"/>
          <w:highlight w:val="auto"/>
        </w:rPr>
        <w:t>17.05</w:t>
      </w:r>
      <w:r>
        <w:rPr>
          <w:rFonts w:ascii="Times New Roman" w:eastAsia="仿宋_GB2312" w:cs="仿宋_GB2312" w:hAnsi="Times New Roman" w:hint="eastAsia"/>
          <w:color w:val="auto"/>
          <w:kern w:val="2"/>
          <w:sz w:val="32"/>
          <w:szCs w:val="32"/>
          <w:lang w:val="en-US" w:eastAsia="zh-CN" w:bidi="ar-SA"/>
          <w:highlight w:val="auto"/>
        </w:rPr>
        <w:t>万元，占</w:t>
      </w:r>
      <w:r>
        <w:rPr>
          <w:rFonts w:ascii="Times New Roman" w:eastAsia="仿宋_GB2312" w:cs="仿宋_GB2312" w:hAnsi="Times New Roman"/>
          <w:color w:val="auto"/>
          <w:kern w:val="2"/>
          <w:sz w:val="32"/>
          <w:szCs w:val="32"/>
          <w:lang w:val="en-US" w:eastAsia="zh-CN" w:bidi="ar-SA"/>
          <w:highlight w:val="auto"/>
        </w:rPr>
        <w:t>8.87</w:t>
      </w:r>
      <w:r>
        <w:rPr>
          <w:rFonts w:ascii="Times New Roman" w:eastAsia="仿宋_GB2312" w:cs="仿宋_GB2312" w:hAnsi="Times New Roman" w:hint="eastAsia"/>
          <w:color w:val="auto"/>
          <w:kern w:val="2"/>
          <w:sz w:val="32"/>
          <w:szCs w:val="32"/>
          <w:lang w:val="en-US" w:eastAsia="zh-CN" w:bidi="ar-SA"/>
          <w:highlight w:val="auto"/>
        </w:rPr>
        <w:t>%；卫生健康支出</w:t>
      </w:r>
      <w:r>
        <w:rPr>
          <w:rFonts w:ascii="Times New Roman" w:eastAsia="仿宋_GB2312" w:cs="仿宋_GB2312" w:hAnsi="Times New Roman"/>
          <w:color w:val="auto"/>
          <w:kern w:val="2"/>
          <w:sz w:val="32"/>
          <w:szCs w:val="32"/>
          <w:lang w:val="en-US" w:eastAsia="zh-CN" w:bidi="ar-SA"/>
          <w:highlight w:val="auto"/>
        </w:rPr>
        <w:t>7.31</w:t>
      </w:r>
      <w:r>
        <w:rPr>
          <w:rFonts w:ascii="Times New Roman" w:eastAsia="仿宋_GB2312" w:cs="仿宋_GB2312" w:hAnsi="Times New Roman" w:hint="eastAsia"/>
          <w:color w:val="auto"/>
          <w:kern w:val="2"/>
          <w:sz w:val="32"/>
          <w:szCs w:val="32"/>
          <w:lang w:val="en-US" w:eastAsia="zh-CN" w:bidi="ar-SA"/>
          <w:highlight w:val="auto"/>
        </w:rPr>
        <w:t>万元，占</w:t>
      </w:r>
      <w:r>
        <w:rPr>
          <w:rFonts w:ascii="Times New Roman" w:eastAsia="仿宋_GB2312" w:cs="仿宋_GB2312" w:hAnsi="Times New Roman"/>
          <w:color w:val="auto"/>
          <w:kern w:val="2"/>
          <w:sz w:val="32"/>
          <w:szCs w:val="32"/>
          <w:lang w:val="en-US" w:eastAsia="zh-CN" w:bidi="ar-SA"/>
          <w:highlight w:val="auto"/>
        </w:rPr>
        <w:t>3.8</w:t>
      </w:r>
      <w:r>
        <w:rPr>
          <w:rFonts w:ascii="Times New Roman" w:eastAsia="仿宋_GB2312" w:cs="仿宋_GB2312" w:hAnsi="Times New Roman" w:hint="eastAsia"/>
          <w:color w:val="auto"/>
          <w:kern w:val="2"/>
          <w:sz w:val="32"/>
          <w:szCs w:val="32"/>
          <w:lang w:val="en-US" w:eastAsia="zh-CN" w:bidi="ar-SA"/>
          <w:highlight w:val="auto"/>
        </w:rPr>
        <w:t>%；住房保障支出</w:t>
      </w:r>
      <w:r>
        <w:rPr>
          <w:rFonts w:ascii="Times New Roman" w:eastAsia="仿宋_GB2312" w:cs="仿宋_GB2312" w:hAnsi="Times New Roman"/>
          <w:color w:val="auto"/>
          <w:kern w:val="2"/>
          <w:sz w:val="32"/>
          <w:szCs w:val="32"/>
          <w:lang w:val="en-US" w:eastAsia="zh-CN" w:bidi="ar-SA"/>
          <w:highlight w:val="auto"/>
        </w:rPr>
        <w:t>11.25</w:t>
      </w:r>
      <w:r>
        <w:rPr>
          <w:rFonts w:ascii="Times New Roman" w:eastAsia="仿宋_GB2312" w:cs="仿宋_GB2312" w:hAnsi="Times New Roman" w:hint="eastAsia"/>
          <w:color w:val="auto"/>
          <w:kern w:val="2"/>
          <w:sz w:val="32"/>
          <w:szCs w:val="32"/>
          <w:lang w:val="en-US" w:eastAsia="zh-CN" w:bidi="ar-SA"/>
          <w:highlight w:val="auto"/>
        </w:rPr>
        <w:t>万元，占</w:t>
      </w:r>
      <w:r>
        <w:rPr>
          <w:rFonts w:ascii="Times New Roman" w:eastAsia="仿宋_GB2312" w:cs="仿宋_GB2312" w:hAnsi="Times New Roman"/>
          <w:color w:val="auto"/>
          <w:kern w:val="2"/>
          <w:sz w:val="32"/>
          <w:szCs w:val="32"/>
          <w:lang w:val="en-US" w:eastAsia="zh-CN" w:bidi="ar-SA"/>
          <w:highlight w:val="auto"/>
        </w:rPr>
        <w:t>5.85</w:t>
      </w:r>
      <w:r>
        <w:rPr>
          <w:rFonts w:ascii="Times New Roman" w:eastAsia="仿宋_GB2312" w:cs="仿宋_GB2312" w:hAnsi="Times New Roman" w:hint="eastAsia"/>
          <w:color w:val="auto"/>
          <w:kern w:val="2"/>
          <w:sz w:val="32"/>
          <w:szCs w:val="32"/>
          <w:lang w:val="en-US" w:eastAsia="zh-CN" w:bidi="ar-SA"/>
          <w:highlight w:val="auto"/>
        </w:rPr>
        <w:t>%；</w:t>
      </w:r>
      <w:r>
        <w:rPr>
          <w:rFonts w:ascii="Times New Roman" w:eastAsia="仿宋_GB2312" w:cs="仿宋_GB2312" w:hAnsi="Times New Roman" w:hint="eastAsia"/>
          <w:b/>
          <w:bCs/>
          <w:color w:val="auto"/>
          <w:kern w:val="2"/>
          <w:sz w:val="32"/>
          <w:szCs w:val="32"/>
          <w:lang w:val="en-US" w:eastAsia="zh-CN" w:bidi="ar-SA"/>
          <w:highlight w:val="auto"/>
        </w:rPr>
        <w:t>（注：仅罗列本部门涉及的全部功能分类科目，至类级）</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（图6：一般公共预算财政拨款支出决算结构）（饼状图）</w:t>
      </w:r>
    </w:p>
    <w:p>
      <w:pPr>
        <w:pStyle w:val="17"/>
        <w:ind w:leftChars="0" w:left="0" w:firstLineChars="0" w:firstLine="0"/>
      </w:pPr>
    </w:p>
    <w:p>
      <w:pPr>
        <w:pStyle w:val="17"/>
        <w:jc w:val="center"/>
      </w:pPr>
      <w:r>
        <w:rPr>
          <w:rFonts w:ascii="Times New Roman" w:eastAsia="仿宋_GB2312" w:cs="仿宋_GB2312" w:hAnsi="Times New Roman"/>
          <w:color w:val="auto"/>
          <w:kern w:val="2"/>
          <w:sz w:val="32"/>
          <w:szCs w:val="32"/>
          <w:lang w:val="en-US" w:eastAsia="zh-CN" w:bidi="ar-SA"/>
          <w:highlight w:val="auto"/>
        </w:rPr>
        <w:drawing>
          <wp:inline distT="0" distB="0" distL="85723" distR="85723">
            <wp:extent cx="4571929" cy="2743157"/>
            <wp:effectExtent l="0" t="0" r="1" b="1"/>
            <wp:docPr id="15" name="图片"/>
            <wp:cNvGraphicFramePr>
              <a:graphicFrameLocks noChangeAspect="1"/>
            </wp:cNvGraphicFramePr>
            <a:graphic>
              <a:graphicData uri="http://schemas.openxmlformats.org/drawingml/2006/picture">
                <pic:pic>
                  <pic:nvPicPr>
                    <pic:cNvPr id="17" name="图片 17"/>
                    <pic:cNvPicPr/>
                  </pic:nvPicPr>
                  <pic:blipFill>
                    <a:blip r:embed="rId11"/>
                    <a:stretch>
                      <a:fillRect/>
                    </a:stretch>
                  </pic:blipFill>
                  <pic:spPr>
                    <a:xfrm rot="0">
                      <a:off x="0" y="0"/>
                      <a:ext cx="4571929" cy="2743157"/>
                    </a:xfrm>
                    <a:prstGeom prst="rect"/>
                    <a:noFill/>
                    <a:ln w="9525" cmpd="sng" cap="flat">
                      <a:noFill/>
                      <a:prstDash val="solid"/>
                      <a:miter/>
                    </a:ln>
                  </pic:spPr>
                </pic:pic>
              </a:graphicData>
            </a:graphic>
          </wp:inline>
        </w:drawing>
      </w:r>
    </w:p>
    <w:p>
      <w:pPr>
        <w:pStyle w:val="17"/>
        <w:ind w:leftChars="0" w:left="0" w:firstLineChars="0" w:firstLine="0"/>
        <w:rPr>
          <w:rFonts w:hint="eastAsia"/>
        </w:rPr>
      </w:pP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127" w:name="_Toc15377212"/>
      <w:bookmarkStart w:id="128" w:name="_Toc57013141"/>
      <w:bookmarkStart w:id="129" w:name="_Toc57013199"/>
      <w:bookmarkStart w:id="130" w:name="_Toc57013257"/>
      <w:bookmarkStart w:id="131" w:name="_Toc57013411"/>
      <w:bookmarkStart w:id="132" w:name="_Toc57013469"/>
      <w:r>
        <w:rPr>
          <w:rFonts w:ascii="Times New Roman" w:eastAsia="楷体_GB2312" w:cs="楷体_GB2312" w:hAnsi="Times New Roman" w:hint="eastAsia"/>
          <w:b/>
          <w:color w:val="auto"/>
          <w:sz w:val="32"/>
          <w:szCs w:val="32"/>
          <w:highlight w:val="auto"/>
        </w:rPr>
        <w:t>（三）一般公共预算财政拨款支出决算具体情况</w:t>
      </w:r>
      <w:bookmarkEnd w:id="127"/>
      <w:bookmarkEnd w:id="128"/>
      <w:bookmarkEnd w:id="129"/>
      <w:bookmarkEnd w:id="130"/>
      <w:bookmarkEnd w:id="131"/>
      <w:bookmarkEnd w:id="132"/>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bookmarkStart w:id="133" w:name="_Toc15377444"/>
      <w:bookmarkStart w:id="134" w:name="_Toc15378460"/>
      <w:bookmarkStart w:id="135" w:name="_Toc15377213"/>
      <w:r>
        <w:rPr>
          <w:rFonts w:ascii="Times New Roman" w:eastAsia="仿宋_GB2312" w:cs="仿宋_GB2312" w:hAnsi="Times New Roman" w:hint="eastAsia"/>
          <w:color w:val="auto"/>
          <w:kern w:val="2"/>
          <w:sz w:val="32"/>
          <w:szCs w:val="32"/>
          <w:lang w:val="en-US" w:eastAsia="zh-CN" w:bidi="ar-SA"/>
          <w:highlight w:val="auto"/>
        </w:rPr>
        <w:t>2024年度一般公共预算财政拨款支出决算数为</w:t>
      </w:r>
      <w:r>
        <w:rPr>
          <w:rFonts w:ascii="仿宋_GB2312" w:eastAsia="仿宋_GB2312" w:cs="仿宋_GB2312" w:hint="eastAsia"/>
          <w:sz w:val="32"/>
          <w:szCs w:val="32"/>
        </w:rPr>
        <w:t>192.23</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完成预算</w:t>
      </w:r>
      <w:r>
        <w:rPr>
          <w:rFonts w:ascii="Times New Roman" w:eastAsia="仿宋_GB2312" w:cs="仿宋_GB2312" w:hAnsi="Times New Roman"/>
          <w:color w:val="auto"/>
          <w:kern w:val="2"/>
          <w:sz w:val="32"/>
          <w:szCs w:val="32"/>
          <w:lang w:val="en-US" w:eastAsia="zh-CN" w:bidi="ar-SA"/>
          <w:highlight w:val="auto"/>
        </w:rPr>
        <w:t>100</w:t>
      </w:r>
      <w:r>
        <w:rPr>
          <w:rFonts w:ascii="Times New Roman" w:eastAsia="仿宋_GB2312" w:cs="仿宋_GB2312" w:hAnsi="Times New Roman" w:hint="eastAsia"/>
          <w:color w:val="auto"/>
          <w:kern w:val="2"/>
          <w:sz w:val="32"/>
          <w:szCs w:val="32"/>
          <w:lang w:val="en-US" w:eastAsia="zh-CN" w:bidi="ar-SA"/>
          <w:highlight w:val="auto"/>
        </w:rPr>
        <w:t>%。其中：</w:t>
      </w:r>
      <w:bookmarkEnd w:id="133"/>
      <w:bookmarkEnd w:id="134"/>
      <w:bookmarkEnd w:id="135"/>
    </w:p>
    <w:p>
      <w:pPr>
        <w:spacing w:line="600" w:lineRule="exact"/>
        <w:ind w:firstLine="640"/>
        <w:rPr>
          <w:rFonts w:ascii="Times New Roman" w:eastAsia="仿宋_GB2312" w:cs="仿宋_GB2312" w:hAnsi="Times New Roman"/>
          <w:color w:val="auto"/>
          <w:kern w:val="2"/>
          <w:sz w:val="32"/>
          <w:szCs w:val="32"/>
          <w:lang w:val="en-US" w:eastAsia="zh-CN" w:bidi="ar-SA"/>
          <w:highlight w:val="auto"/>
        </w:rPr>
      </w:pPr>
      <w:r>
        <w:rPr>
          <w:rFonts w:ascii="Times New Roman" w:eastAsia="仿宋_GB2312" w:cs="仿宋_GB2312" w:hAnsi="Times New Roman"/>
          <w:color w:val="auto"/>
          <w:kern w:val="2"/>
          <w:sz w:val="32"/>
          <w:szCs w:val="32"/>
          <w:lang w:val="en-US" w:eastAsia="zh-CN" w:bidi="ar-SA"/>
          <w:highlight w:val="auto"/>
        </w:rPr>
        <w:t>1</w:t>
      </w:r>
      <w:r>
        <w:rPr>
          <w:rFonts w:ascii="Times New Roman" w:eastAsia="仿宋_GB2312" w:cs="仿宋_GB2312" w:hAnsi="Times New Roman" w:hint="eastAsia"/>
          <w:color w:val="auto"/>
          <w:kern w:val="2"/>
          <w:sz w:val="32"/>
          <w:szCs w:val="32"/>
          <w:lang w:val="en-US" w:eastAsia="zh-CN" w:bidi="ar-SA"/>
          <w:highlight w:val="auto"/>
        </w:rPr>
        <w:t>.科学技术（类）</w:t>
      </w:r>
      <w:r>
        <w:rPr>
          <w:rFonts w:ascii="Times New Roman" w:eastAsia="仿宋_GB2312" w:cs="仿宋_GB2312" w:hAnsi="Times New Roman"/>
          <w:color w:val="auto"/>
          <w:kern w:val="2"/>
          <w:sz w:val="32"/>
          <w:szCs w:val="32"/>
          <w:lang w:val="en-US" w:eastAsia="zh-CN" w:bidi="ar-SA"/>
        </w:rPr>
        <w:t>科学技术支出</w:t>
      </w:r>
      <w:r>
        <w:rPr>
          <w:rFonts w:ascii="Times New Roman" w:eastAsia="仿宋_GB2312" w:cs="仿宋_GB2312" w:hAnsi="Times New Roman" w:hint="eastAsia"/>
          <w:color w:val="auto"/>
          <w:kern w:val="2"/>
          <w:sz w:val="32"/>
          <w:szCs w:val="32"/>
          <w:lang w:val="en-US" w:eastAsia="zh-CN" w:bidi="ar-SA"/>
          <w:highlight w:val="auto"/>
        </w:rPr>
        <w:t>（款）</w:t>
      </w:r>
      <w:r>
        <w:rPr>
          <w:rFonts w:ascii="Times New Roman" w:eastAsia="仿宋_GB2312" w:cs="仿宋_GB2312" w:hAnsi="Times New Roman"/>
          <w:color w:val="auto"/>
          <w:kern w:val="2"/>
          <w:sz w:val="32"/>
          <w:szCs w:val="32"/>
          <w:lang w:val="en-US" w:eastAsia="zh-CN" w:bidi="ar-SA"/>
        </w:rPr>
        <w:t>社会科学研究机构</w:t>
      </w:r>
      <w:r>
        <w:rPr>
          <w:rFonts w:ascii="Times New Roman" w:eastAsia="仿宋_GB2312" w:cs="仿宋_GB2312" w:hAnsi="Times New Roman" w:hint="eastAsia"/>
          <w:color w:val="auto"/>
          <w:kern w:val="2"/>
          <w:sz w:val="32"/>
          <w:szCs w:val="32"/>
          <w:lang w:val="en-US" w:eastAsia="zh-CN" w:bidi="ar-SA"/>
          <w:highlight w:val="auto"/>
        </w:rPr>
        <w:t>（项）</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支出决算为</w:t>
      </w:r>
      <w:r>
        <w:rPr>
          <w:rFonts w:ascii="Times New Roman" w:eastAsia="仿宋_GB2312" w:cs="仿宋_GB2312" w:hAnsi="Times New Roman"/>
          <w:color w:val="auto"/>
          <w:kern w:val="2"/>
          <w:sz w:val="32"/>
          <w:szCs w:val="32"/>
          <w:lang w:val="en-US" w:eastAsia="zh-CN" w:bidi="ar-SA"/>
          <w:highlight w:val="auto"/>
        </w:rPr>
        <w:t>100.81</w:t>
      </w:r>
      <w:r>
        <w:rPr>
          <w:rFonts w:ascii="Times New Roman" w:eastAsia="仿宋_GB2312" w:cs="仿宋_GB2312" w:hAnsi="Times New Roman" w:hint="eastAsia"/>
          <w:color w:val="auto"/>
          <w:kern w:val="2"/>
          <w:sz w:val="32"/>
          <w:szCs w:val="32"/>
          <w:lang w:val="en-US" w:eastAsia="zh-CN" w:bidi="ar-SA"/>
          <w:highlight w:val="auto"/>
        </w:rPr>
        <w:t>万元，完成预算</w:t>
      </w:r>
      <w:r>
        <w:rPr>
          <w:rFonts w:ascii="Times New Roman" w:eastAsia="仿宋_GB2312" w:cs="仿宋_GB2312" w:hAnsi="Times New Roman"/>
          <w:color w:val="auto"/>
          <w:kern w:val="2"/>
          <w:sz w:val="32"/>
          <w:szCs w:val="32"/>
          <w:lang w:val="en-US" w:eastAsia="zh-CN" w:bidi="ar-SA"/>
          <w:highlight w:val="auto"/>
        </w:rPr>
        <w:t>100</w:t>
      </w:r>
      <w:r>
        <w:rPr>
          <w:rFonts w:ascii="Times New Roman" w:eastAsia="仿宋_GB2312" w:cs="仿宋_GB2312" w:hAnsi="Times New Roman" w:hint="eastAsia"/>
          <w:color w:val="auto"/>
          <w:kern w:val="2"/>
          <w:sz w:val="32"/>
          <w:szCs w:val="32"/>
          <w:lang w:val="en-US" w:eastAsia="zh-CN" w:bidi="ar-SA"/>
          <w:highlight w:val="auto"/>
        </w:rPr>
        <w:t>%，决算数等于预算数</w:t>
      </w:r>
      <w:r>
        <w:rPr>
          <w:rFonts w:ascii="Times New Roman" w:eastAsia="仿宋_GB2312" w:cs="仿宋_GB2312" w:hAnsi="Times New Roman"/>
          <w:color w:val="auto"/>
          <w:kern w:val="2"/>
          <w:sz w:val="32"/>
          <w:szCs w:val="32"/>
          <w:lang w:val="en-US" w:eastAsia="zh-CN" w:bidi="ar-SA"/>
          <w:highlight w:val="auto"/>
        </w:rPr>
        <w:t>。</w:t>
      </w:r>
    </w:p>
    <w:p>
      <w:pPr>
        <w:spacing w:line="600" w:lineRule="exact"/>
        <w:ind w:firstLine="640"/>
        <w:rPr>
          <w:rFonts w:ascii="Times New Roman" w:eastAsia="仿宋_GB2312" w:cs="仿宋_GB2312" w:hAnsi="Times New Roman"/>
          <w:color w:val="auto"/>
          <w:kern w:val="2"/>
          <w:sz w:val="32"/>
          <w:szCs w:val="32"/>
          <w:lang w:val="en-US" w:eastAsia="zh-CN" w:bidi="ar-SA"/>
          <w:highlight w:val="auto"/>
        </w:rPr>
      </w:pPr>
      <w:r>
        <w:rPr>
          <w:rFonts w:ascii="Times New Roman" w:eastAsia="仿宋_GB2312" w:cs="仿宋_GB2312" w:hAnsi="Times New Roman"/>
          <w:color w:val="auto"/>
          <w:kern w:val="2"/>
          <w:sz w:val="32"/>
          <w:szCs w:val="32"/>
          <w:lang w:val="en-US" w:eastAsia="zh-CN" w:bidi="ar-SA"/>
          <w:highlight w:val="auto"/>
        </w:rPr>
        <w:t>2</w:t>
      </w:r>
      <w:r>
        <w:rPr>
          <w:rFonts w:ascii="Times New Roman" w:eastAsia="仿宋_GB2312" w:cs="仿宋_GB2312" w:hAnsi="Times New Roman" w:hint="eastAsia"/>
          <w:color w:val="auto"/>
          <w:kern w:val="2"/>
          <w:sz w:val="32"/>
          <w:szCs w:val="32"/>
          <w:lang w:val="en-US" w:eastAsia="zh-CN" w:bidi="ar-SA"/>
          <w:highlight w:val="auto"/>
        </w:rPr>
        <w:t>.科学技术（类）</w:t>
      </w:r>
      <w:r>
        <w:rPr>
          <w:rFonts w:ascii="Times New Roman" w:eastAsia="仿宋_GB2312" w:cs="仿宋_GB2312" w:hAnsi="Times New Roman"/>
          <w:color w:val="auto"/>
          <w:kern w:val="2"/>
          <w:sz w:val="32"/>
          <w:szCs w:val="32"/>
          <w:lang w:val="en-US" w:eastAsia="zh-CN" w:bidi="ar-SA"/>
        </w:rPr>
        <w:t>科学技术支出</w:t>
      </w:r>
      <w:r>
        <w:rPr>
          <w:rFonts w:ascii="Times New Roman" w:eastAsia="仿宋_GB2312" w:cs="仿宋_GB2312" w:hAnsi="Times New Roman" w:hint="eastAsia"/>
          <w:color w:val="auto"/>
          <w:kern w:val="2"/>
          <w:sz w:val="32"/>
          <w:szCs w:val="32"/>
          <w:lang w:val="en-US" w:eastAsia="zh-CN" w:bidi="ar-SA"/>
          <w:highlight w:val="auto"/>
        </w:rPr>
        <w:t>（款）</w:t>
      </w:r>
      <w:r>
        <w:rPr>
          <w:rFonts w:ascii="Times New Roman" w:eastAsia="仿宋_GB2312" w:cs="仿宋_GB2312" w:hAnsi="Times New Roman"/>
          <w:color w:val="auto"/>
          <w:kern w:val="2"/>
          <w:sz w:val="32"/>
          <w:szCs w:val="32"/>
          <w:lang w:val="en-US" w:eastAsia="zh-CN" w:bidi="ar-SA"/>
        </w:rPr>
        <w:t>其他社会科学支出</w:t>
      </w:r>
      <w:r>
        <w:rPr>
          <w:rFonts w:ascii="Times New Roman" w:eastAsia="仿宋_GB2312" w:cs="仿宋_GB2312" w:hAnsi="Times New Roman" w:hint="eastAsia"/>
          <w:color w:val="auto"/>
          <w:kern w:val="2"/>
          <w:sz w:val="32"/>
          <w:szCs w:val="32"/>
          <w:lang w:val="en-US" w:eastAsia="zh-CN" w:bidi="ar-SA"/>
          <w:highlight w:val="auto"/>
        </w:rPr>
        <w:t>（项）</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支出决算为</w:t>
      </w:r>
      <w:r>
        <w:rPr>
          <w:rFonts w:ascii="Times New Roman" w:eastAsia="仿宋_GB2312" w:cs="仿宋_GB2312" w:hAnsi="Times New Roman"/>
          <w:color w:val="auto"/>
          <w:kern w:val="2"/>
          <w:sz w:val="32"/>
          <w:szCs w:val="32"/>
          <w:lang w:val="en-US" w:eastAsia="zh-CN" w:bidi="ar-SA"/>
          <w:highlight w:val="auto"/>
        </w:rPr>
        <w:t>55.82</w:t>
      </w:r>
      <w:r>
        <w:rPr>
          <w:rFonts w:ascii="Times New Roman" w:eastAsia="仿宋_GB2312" w:cs="仿宋_GB2312" w:hAnsi="Times New Roman" w:hint="eastAsia"/>
          <w:color w:val="auto"/>
          <w:kern w:val="2"/>
          <w:sz w:val="32"/>
          <w:szCs w:val="32"/>
          <w:lang w:val="en-US" w:eastAsia="zh-CN" w:bidi="ar-SA"/>
          <w:highlight w:val="auto"/>
        </w:rPr>
        <w:t>万元，完成预算</w:t>
      </w:r>
      <w:r>
        <w:rPr>
          <w:rFonts w:ascii="Times New Roman" w:eastAsia="仿宋_GB2312" w:cs="仿宋_GB2312" w:hAnsi="Times New Roman"/>
          <w:color w:val="auto"/>
          <w:kern w:val="2"/>
          <w:sz w:val="32"/>
          <w:szCs w:val="32"/>
          <w:lang w:val="en-US" w:eastAsia="zh-CN" w:bidi="ar-SA"/>
          <w:highlight w:val="auto"/>
        </w:rPr>
        <w:t>100</w:t>
      </w:r>
      <w:r>
        <w:rPr>
          <w:rFonts w:ascii="Times New Roman" w:eastAsia="仿宋_GB2312" w:cs="仿宋_GB2312" w:hAnsi="Times New Roman" w:hint="eastAsia"/>
          <w:color w:val="auto"/>
          <w:kern w:val="2"/>
          <w:sz w:val="32"/>
          <w:szCs w:val="32"/>
          <w:lang w:val="en-US" w:eastAsia="zh-CN" w:bidi="ar-SA"/>
          <w:highlight w:val="auto"/>
        </w:rPr>
        <w:t>%，决算数等于预算数</w:t>
      </w:r>
      <w:r>
        <w:rPr>
          <w:rFonts w:ascii="Times New Roman" w:eastAsia="仿宋_GB2312" w:cs="仿宋_GB2312" w:hAnsi="Times New Roman"/>
          <w:color w:val="auto"/>
          <w:kern w:val="2"/>
          <w:sz w:val="32"/>
          <w:szCs w:val="32"/>
          <w:lang w:val="en-US" w:eastAsia="zh-CN" w:bidi="ar-SA"/>
          <w:highlight w:val="auto"/>
        </w:rPr>
        <w:t>。</w:t>
      </w:r>
    </w:p>
    <w:p>
      <w:pPr>
        <w:spacing w:line="600" w:lineRule="exact"/>
        <w:ind w:firstLine="640"/>
        <w:rPr>
          <w:rFonts w:eastAsia="仿宋_GB2312" w:cs="仿宋_GB2312" w:hint="eastAsia"/>
          <w:sz w:val="32"/>
          <w:szCs w:val="32"/>
        </w:rPr>
      </w:pPr>
      <w:r>
        <w:rPr>
          <w:rFonts w:ascii="Times New Roman" w:eastAsia="仿宋_GB2312" w:cs="仿宋_GB2312" w:hAnsi="Times New Roman"/>
          <w:color w:val="auto"/>
          <w:kern w:val="2"/>
          <w:sz w:val="32"/>
          <w:szCs w:val="32"/>
          <w:lang w:val="en-US" w:eastAsia="zh-CN" w:bidi="ar-SA"/>
          <w:highlight w:val="auto"/>
        </w:rPr>
        <w:t>3</w:t>
      </w:r>
      <w:r>
        <w:rPr>
          <w:rFonts w:ascii="Times New Roman" w:eastAsia="仿宋_GB2312" w:cs="仿宋_GB2312" w:hAnsi="Times New Roman"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rPr>
        <w:t>社会保障和就业（类）</w:t>
      </w:r>
      <w:r>
        <w:rPr>
          <w:rFonts w:ascii="Times New Roman" w:eastAsia="仿宋_GB2312" w:cs="仿宋_GB2312" w:hAnsi="Times New Roman"/>
          <w:color w:val="auto"/>
          <w:kern w:val="2"/>
          <w:sz w:val="32"/>
          <w:szCs w:val="32"/>
          <w:lang w:val="en-US" w:eastAsia="zh-CN" w:bidi="ar-SA"/>
        </w:rPr>
        <w:t>行政事业单位养老支出</w:t>
      </w:r>
      <w:r>
        <w:rPr>
          <w:rFonts w:ascii="Times New Roman" w:eastAsia="仿宋_GB2312" w:cs="仿宋_GB2312" w:hAnsi="Times New Roman" w:hint="eastAsia"/>
          <w:color w:val="auto"/>
          <w:kern w:val="2"/>
          <w:sz w:val="32"/>
          <w:szCs w:val="32"/>
          <w:lang w:val="en-US" w:eastAsia="zh-CN" w:bidi="ar-SA"/>
        </w:rPr>
        <w:t>（款）机关事业单位基本养老保险缴费支出（项）</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支出决算为</w:t>
      </w:r>
      <w:r>
        <w:rPr>
          <w:rFonts w:ascii="Times New Roman" w:eastAsia="仿宋_GB2312" w:cs="仿宋_GB2312" w:hAnsi="Times New Roman"/>
          <w:color w:val="auto"/>
          <w:kern w:val="2"/>
          <w:sz w:val="32"/>
          <w:szCs w:val="32"/>
          <w:lang w:val="en-US" w:eastAsia="zh-CN" w:bidi="ar-SA"/>
          <w:highlight w:val="auto"/>
        </w:rPr>
        <w:t>11.36</w:t>
      </w:r>
      <w:r>
        <w:rPr>
          <w:rFonts w:ascii="Times New Roman" w:eastAsia="仿宋_GB2312" w:cs="仿宋_GB2312" w:hAnsi="Times New Roman" w:hint="eastAsia"/>
          <w:color w:val="auto"/>
          <w:kern w:val="2"/>
          <w:sz w:val="32"/>
          <w:szCs w:val="32"/>
          <w:lang w:val="en-US" w:eastAsia="zh-CN" w:bidi="ar-SA"/>
          <w:highlight w:val="auto"/>
        </w:rPr>
        <w:t>万元，完成预算</w:t>
      </w:r>
      <w:r>
        <w:rPr>
          <w:rFonts w:ascii="Times New Roman" w:eastAsia="仿宋_GB2312" w:cs="仿宋_GB2312" w:hAnsi="Times New Roman"/>
          <w:color w:val="auto"/>
          <w:kern w:val="2"/>
          <w:sz w:val="32"/>
          <w:szCs w:val="32"/>
          <w:lang w:val="en-US" w:eastAsia="zh-CN" w:bidi="ar-SA"/>
          <w:highlight w:val="auto"/>
        </w:rPr>
        <w:t>100</w:t>
      </w:r>
      <w:r>
        <w:rPr>
          <w:rFonts w:ascii="Times New Roman" w:eastAsia="仿宋_GB2312" w:cs="仿宋_GB2312" w:hAnsi="Times New Roman" w:hint="eastAsia"/>
          <w:color w:val="auto"/>
          <w:kern w:val="2"/>
          <w:sz w:val="32"/>
          <w:szCs w:val="32"/>
          <w:lang w:val="en-US" w:eastAsia="zh-CN" w:bidi="ar-SA"/>
          <w:highlight w:val="auto"/>
        </w:rPr>
        <w:t>%，决算数等于预算数</w:t>
      </w:r>
      <w:r>
        <w:rPr>
          <w:rFonts w:ascii="Times New Roman" w:eastAsia="仿宋_GB2312" w:cs="仿宋_GB2312" w:hAnsi="Times New Roman"/>
          <w:color w:val="auto"/>
          <w:kern w:val="2"/>
          <w:sz w:val="32"/>
          <w:szCs w:val="32"/>
          <w:lang w:val="en-US" w:eastAsia="zh-CN" w:bidi="ar-SA"/>
          <w:highlight w:val="auto"/>
        </w:rPr>
        <w:t>。</w:t>
      </w:r>
    </w:p>
    <w:p>
      <w:pPr>
        <w:spacing w:line="600" w:lineRule="exact"/>
        <w:ind w:firstLine="640"/>
        <w:rPr>
          <w:rFonts w:eastAsia="仿宋_GB2312" w:cs="仿宋_GB2312" w:hint="eastAsia"/>
          <w:sz w:val="32"/>
          <w:szCs w:val="32"/>
        </w:rPr>
      </w:pPr>
      <w:r>
        <w:rPr>
          <w:rFonts w:ascii="Times New Roman" w:eastAsia="仿宋_GB2312" w:cs="仿宋_GB2312" w:hAnsi="Times New Roman"/>
          <w:color w:val="auto"/>
          <w:kern w:val="2"/>
          <w:sz w:val="32"/>
          <w:szCs w:val="32"/>
          <w:lang w:val="en-US" w:eastAsia="zh-CN" w:bidi="ar-SA"/>
          <w:highlight w:val="auto"/>
        </w:rPr>
        <w:t>4</w:t>
      </w:r>
      <w:r>
        <w:rPr>
          <w:rFonts w:ascii="Times New Roman" w:eastAsia="仿宋_GB2312" w:cs="仿宋_GB2312" w:hAnsi="Times New Roman"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rPr>
        <w:t>社会保障和就业（类）</w:t>
      </w:r>
      <w:r>
        <w:rPr>
          <w:rFonts w:ascii="Times New Roman" w:eastAsia="仿宋_GB2312" w:cs="仿宋_GB2312" w:hAnsi="Times New Roman"/>
          <w:color w:val="auto"/>
          <w:kern w:val="2"/>
          <w:sz w:val="32"/>
          <w:szCs w:val="32"/>
          <w:lang w:val="en-US" w:eastAsia="zh-CN" w:bidi="ar-SA"/>
        </w:rPr>
        <w:t>行政事业单位养老支出</w:t>
      </w:r>
      <w:r>
        <w:rPr>
          <w:rFonts w:ascii="Times New Roman" w:eastAsia="仿宋_GB2312" w:cs="仿宋_GB2312" w:hAnsi="Times New Roman" w:hint="eastAsia"/>
          <w:color w:val="auto"/>
          <w:kern w:val="2"/>
          <w:sz w:val="32"/>
          <w:szCs w:val="32"/>
          <w:lang w:val="en-US" w:eastAsia="zh-CN" w:bidi="ar-SA"/>
        </w:rPr>
        <w:t>（款）</w:t>
      </w:r>
      <w:r>
        <w:rPr>
          <w:rFonts w:ascii="Times New Roman" w:eastAsia="仿宋_GB2312" w:cs="仿宋_GB2312" w:hAnsi="Times New Roman"/>
          <w:color w:val="auto"/>
          <w:kern w:val="2"/>
          <w:sz w:val="32"/>
          <w:szCs w:val="32"/>
          <w:lang w:val="en-US" w:eastAsia="zh-CN" w:bidi="ar-SA"/>
        </w:rPr>
        <w:t>机关事业单位职业年金缴费支出</w:t>
      </w:r>
      <w:r>
        <w:rPr>
          <w:rFonts w:ascii="Times New Roman" w:eastAsia="仿宋_GB2312" w:cs="仿宋_GB2312" w:hAnsi="Times New Roman" w:hint="eastAsia"/>
          <w:color w:val="auto"/>
          <w:kern w:val="2"/>
          <w:sz w:val="32"/>
          <w:szCs w:val="32"/>
          <w:lang w:val="en-US" w:eastAsia="zh-CN" w:bidi="ar-SA"/>
        </w:rPr>
        <w:t>（项）</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支出决算为</w:t>
      </w:r>
      <w:r>
        <w:rPr>
          <w:rFonts w:ascii="Times New Roman" w:eastAsia="仿宋_GB2312" w:cs="仿宋_GB2312" w:hAnsi="Times New Roman"/>
          <w:color w:val="auto"/>
          <w:kern w:val="2"/>
          <w:sz w:val="32"/>
          <w:szCs w:val="32"/>
          <w:lang w:val="en-US" w:eastAsia="zh-CN" w:bidi="ar-SA"/>
          <w:highlight w:val="auto"/>
        </w:rPr>
        <w:t>5.68</w:t>
      </w:r>
      <w:r>
        <w:rPr>
          <w:rFonts w:ascii="Times New Roman" w:eastAsia="仿宋_GB2312" w:cs="仿宋_GB2312" w:hAnsi="Times New Roman" w:hint="eastAsia"/>
          <w:color w:val="auto"/>
          <w:kern w:val="2"/>
          <w:sz w:val="32"/>
          <w:szCs w:val="32"/>
          <w:lang w:val="en-US" w:eastAsia="zh-CN" w:bidi="ar-SA"/>
          <w:highlight w:val="auto"/>
        </w:rPr>
        <w:t>万元，完成预算</w:t>
      </w:r>
      <w:r>
        <w:rPr>
          <w:rFonts w:ascii="Times New Roman" w:eastAsia="仿宋_GB2312" w:cs="仿宋_GB2312" w:hAnsi="Times New Roman"/>
          <w:color w:val="auto"/>
          <w:kern w:val="2"/>
          <w:sz w:val="32"/>
          <w:szCs w:val="32"/>
          <w:lang w:val="en-US" w:eastAsia="zh-CN" w:bidi="ar-SA"/>
          <w:highlight w:val="auto"/>
        </w:rPr>
        <w:t>100</w:t>
      </w:r>
      <w:r>
        <w:rPr>
          <w:rFonts w:ascii="Times New Roman" w:eastAsia="仿宋_GB2312" w:cs="仿宋_GB2312" w:hAnsi="Times New Roman" w:hint="eastAsia"/>
          <w:color w:val="auto"/>
          <w:kern w:val="2"/>
          <w:sz w:val="32"/>
          <w:szCs w:val="32"/>
          <w:lang w:val="en-US" w:eastAsia="zh-CN" w:bidi="ar-SA"/>
          <w:highlight w:val="auto"/>
        </w:rPr>
        <w:t>%，决算数等于预算数</w:t>
      </w:r>
      <w:r>
        <w:rPr>
          <w:rFonts w:ascii="Times New Roman" w:eastAsia="仿宋_GB2312" w:cs="仿宋_GB2312" w:hAnsi="Times New Roman"/>
          <w:color w:val="auto"/>
          <w:kern w:val="2"/>
          <w:sz w:val="32"/>
          <w:szCs w:val="32"/>
          <w:lang w:val="en-US" w:eastAsia="zh-CN" w:bidi="ar-SA"/>
          <w:highlight w:val="auto"/>
        </w:rPr>
        <w:t>。</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color w:val="auto"/>
          <w:kern w:val="2"/>
          <w:sz w:val="32"/>
          <w:szCs w:val="32"/>
          <w:lang w:val="en-US" w:eastAsia="zh-CN" w:bidi="ar-SA"/>
          <w:highlight w:val="auto"/>
        </w:rPr>
        <w:t>5</w:t>
      </w:r>
      <w:r>
        <w:rPr>
          <w:rFonts w:ascii="Times New Roman" w:eastAsia="仿宋_GB2312" w:cs="仿宋_GB2312" w:hAnsi="Times New Roman"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rPr>
        <w:t>卫生健康支出（类）行政事业单位医疗（款）行政单位医疗（项）</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支出决算为</w:t>
      </w:r>
      <w:r>
        <w:rPr>
          <w:rFonts w:ascii="Times New Roman" w:eastAsia="仿宋_GB2312" w:cs="仿宋_GB2312" w:hAnsi="Times New Roman"/>
          <w:color w:val="auto"/>
          <w:kern w:val="2"/>
          <w:sz w:val="32"/>
          <w:szCs w:val="32"/>
          <w:lang w:val="en-US" w:eastAsia="zh-CN" w:bidi="ar-SA"/>
          <w:highlight w:val="auto"/>
        </w:rPr>
        <w:t>5.40</w:t>
      </w:r>
      <w:r>
        <w:rPr>
          <w:rFonts w:ascii="Times New Roman" w:eastAsia="仿宋_GB2312" w:cs="仿宋_GB2312" w:hAnsi="Times New Roman" w:hint="eastAsia"/>
          <w:color w:val="auto"/>
          <w:kern w:val="2"/>
          <w:sz w:val="32"/>
          <w:szCs w:val="32"/>
          <w:lang w:val="en-US" w:eastAsia="zh-CN" w:bidi="ar-SA"/>
          <w:highlight w:val="auto"/>
        </w:rPr>
        <w:t>万元，完成预算</w:t>
      </w:r>
      <w:r>
        <w:rPr>
          <w:rFonts w:ascii="Times New Roman" w:eastAsia="仿宋_GB2312" w:cs="仿宋_GB2312" w:hAnsi="Times New Roman"/>
          <w:color w:val="auto"/>
          <w:kern w:val="2"/>
          <w:sz w:val="32"/>
          <w:szCs w:val="32"/>
          <w:lang w:val="en-US" w:eastAsia="zh-CN" w:bidi="ar-SA"/>
          <w:highlight w:val="auto"/>
        </w:rPr>
        <w:t>100</w:t>
      </w:r>
      <w:r>
        <w:rPr>
          <w:rFonts w:ascii="Times New Roman" w:eastAsia="仿宋_GB2312" w:cs="仿宋_GB2312" w:hAnsi="Times New Roman" w:hint="eastAsia"/>
          <w:color w:val="auto"/>
          <w:kern w:val="2"/>
          <w:sz w:val="32"/>
          <w:szCs w:val="32"/>
          <w:lang w:val="en-US" w:eastAsia="zh-CN" w:bidi="ar-SA"/>
          <w:highlight w:val="auto"/>
        </w:rPr>
        <w:t>%，决算数等于预算数</w:t>
      </w:r>
      <w:r>
        <w:rPr>
          <w:rFonts w:ascii="Times New Roman" w:eastAsia="仿宋_GB2312" w:cs="仿宋_GB2312" w:hAnsi="Times New Roman"/>
          <w:color w:val="auto"/>
          <w:kern w:val="2"/>
          <w:sz w:val="32"/>
          <w:szCs w:val="32"/>
          <w:lang w:val="en-US" w:eastAsia="zh-CN" w:bidi="ar-SA"/>
          <w:highlight w:val="auto"/>
        </w:rPr>
        <w:t>。</w:t>
      </w:r>
    </w:p>
    <w:p>
      <w:pPr>
        <w:spacing w:line="600" w:lineRule="exact"/>
        <w:ind w:firstLine="640"/>
        <w:rPr>
          <w:rStyle w:val="0"/>
          <w:rFonts w:eastAsia="仿宋_GB2312" w:cs="仿宋_GB2312"/>
          <w:bCs/>
          <w:sz w:val="32"/>
          <w:szCs w:val="32"/>
        </w:rPr>
      </w:pPr>
      <w:r>
        <w:rPr>
          <w:rFonts w:ascii="Times New Roman" w:eastAsia="仿宋_GB2312" w:cs="仿宋_GB2312" w:hAnsi="Times New Roman"/>
          <w:color w:val="auto"/>
          <w:kern w:val="2"/>
          <w:sz w:val="32"/>
          <w:szCs w:val="32"/>
          <w:lang w:val="en-US" w:eastAsia="zh-CN" w:bidi="ar-SA"/>
          <w:highlight w:val="auto"/>
        </w:rPr>
        <w:t>6</w:t>
      </w:r>
      <w:r>
        <w:rPr>
          <w:rFonts w:ascii="Times New Roman" w:eastAsia="仿宋_GB2312" w:cs="仿宋_GB2312" w:hAnsi="Times New Roman"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rPr>
        <w:t>卫生健康支出（类）行政事业单位医疗（款）</w:t>
      </w:r>
      <w:r>
        <w:rPr>
          <w:rFonts w:ascii="Times New Roman" w:eastAsia="仿宋_GB2312" w:cs="仿宋_GB2312" w:hAnsi="Times New Roman"/>
          <w:color w:val="auto"/>
          <w:kern w:val="2"/>
          <w:sz w:val="32"/>
          <w:szCs w:val="32"/>
          <w:lang w:val="en-US" w:eastAsia="zh-CN" w:bidi="ar-SA"/>
        </w:rPr>
        <w:t>公务员医疗补助</w:t>
      </w:r>
      <w:r>
        <w:rPr>
          <w:rFonts w:ascii="Times New Roman" w:eastAsia="仿宋_GB2312" w:cs="仿宋_GB2312" w:hAnsi="Times New Roman" w:hint="eastAsia"/>
          <w:color w:val="auto"/>
          <w:kern w:val="2"/>
          <w:sz w:val="32"/>
          <w:szCs w:val="32"/>
          <w:lang w:val="en-US" w:eastAsia="zh-CN" w:bidi="ar-SA"/>
        </w:rPr>
        <w:t>（项）</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支出决算为</w:t>
      </w:r>
      <w:r>
        <w:rPr>
          <w:rFonts w:ascii="Times New Roman" w:eastAsia="仿宋_GB2312" w:cs="仿宋_GB2312" w:hAnsi="Times New Roman"/>
          <w:color w:val="auto"/>
          <w:kern w:val="2"/>
          <w:sz w:val="32"/>
          <w:szCs w:val="32"/>
          <w:lang w:val="en-US" w:eastAsia="zh-CN" w:bidi="ar-SA"/>
          <w:highlight w:val="auto"/>
        </w:rPr>
        <w:t>1.92</w:t>
      </w:r>
      <w:r>
        <w:rPr>
          <w:rFonts w:ascii="Times New Roman" w:eastAsia="仿宋_GB2312" w:cs="仿宋_GB2312" w:hAnsi="Times New Roman" w:hint="eastAsia"/>
          <w:color w:val="auto"/>
          <w:kern w:val="2"/>
          <w:sz w:val="32"/>
          <w:szCs w:val="32"/>
          <w:lang w:val="en-US" w:eastAsia="zh-CN" w:bidi="ar-SA"/>
          <w:highlight w:val="auto"/>
        </w:rPr>
        <w:t>万元，完成预算</w:t>
      </w:r>
      <w:r>
        <w:rPr>
          <w:rFonts w:ascii="Times New Roman" w:eastAsia="仿宋_GB2312" w:cs="仿宋_GB2312" w:hAnsi="Times New Roman"/>
          <w:color w:val="auto"/>
          <w:kern w:val="2"/>
          <w:sz w:val="32"/>
          <w:szCs w:val="32"/>
          <w:lang w:val="en-US" w:eastAsia="zh-CN" w:bidi="ar-SA"/>
          <w:highlight w:val="auto"/>
        </w:rPr>
        <w:t>100</w:t>
      </w:r>
      <w:r>
        <w:rPr>
          <w:rFonts w:ascii="Times New Roman" w:eastAsia="仿宋_GB2312" w:cs="仿宋_GB2312" w:hAnsi="Times New Roman" w:hint="eastAsia"/>
          <w:color w:val="auto"/>
          <w:kern w:val="2"/>
          <w:sz w:val="32"/>
          <w:szCs w:val="32"/>
          <w:lang w:val="en-US" w:eastAsia="zh-CN" w:bidi="ar-SA"/>
          <w:highlight w:val="auto"/>
        </w:rPr>
        <w:t>%，决算数等于预算数</w:t>
      </w:r>
      <w:r>
        <w:rPr>
          <w:rFonts w:ascii="Times New Roman" w:eastAsia="仿宋_GB2312" w:cs="仿宋_GB2312" w:hAnsi="Times New Roman"/>
          <w:color w:val="auto"/>
          <w:kern w:val="2"/>
          <w:sz w:val="32"/>
          <w:szCs w:val="32"/>
          <w:lang w:val="en-US" w:eastAsia="zh-CN" w:bidi="ar-SA"/>
          <w:highlight w:val="auto"/>
        </w:rPr>
        <w:t>。</w:t>
      </w:r>
    </w:p>
    <w:p>
      <w:pPr>
        <w:spacing w:line="600" w:lineRule="exact"/>
        <w:ind w:firstLine="640"/>
        <w:rPr>
          <w:rFonts w:ascii="Times New Roman" w:eastAsia="仿宋_GB2312" w:cs="仿宋_GB2312" w:hAnsi="Times New Roman"/>
          <w:color w:val="auto"/>
          <w:kern w:val="2"/>
          <w:sz w:val="32"/>
          <w:szCs w:val="32"/>
          <w:lang w:val="en-US" w:eastAsia="zh-CN" w:bidi="ar-SA"/>
          <w:highlight w:val="auto"/>
        </w:rPr>
      </w:pPr>
      <w:r>
        <w:rPr>
          <w:rStyle w:val="0"/>
          <w:rFonts w:eastAsia="仿宋_GB2312" w:cs="仿宋_GB2312"/>
          <w:bCs/>
          <w:sz w:val="32"/>
          <w:szCs w:val="32"/>
        </w:rPr>
        <w:t>7.</w:t>
      </w:r>
      <w:r>
        <w:rPr>
          <w:rStyle w:val="0"/>
          <w:rFonts w:eastAsia="仿宋_GB2312" w:cs="仿宋_GB2312" w:hint="eastAsia"/>
          <w:bCs/>
          <w:sz w:val="32"/>
          <w:szCs w:val="32"/>
        </w:rPr>
        <w:t>住房保障（类）住房改革支出（款）住房公积金（项）：</w:t>
      </w:r>
      <w:r>
        <w:rPr>
          <w:rFonts w:ascii="Times New Roman" w:eastAsia="仿宋_GB2312" w:cs="仿宋_GB2312" w:hAnsi="Times New Roman" w:hint="eastAsia"/>
          <w:color w:val="auto"/>
          <w:kern w:val="2"/>
          <w:sz w:val="32"/>
          <w:szCs w:val="32"/>
          <w:lang w:val="en-US" w:eastAsia="zh-CN" w:bidi="ar-SA"/>
          <w:highlight w:val="auto"/>
        </w:rPr>
        <w:t>支出决算为</w:t>
      </w:r>
      <w:r>
        <w:rPr>
          <w:rFonts w:ascii="Times New Roman" w:eastAsia="仿宋_GB2312" w:cs="仿宋_GB2312" w:hAnsi="Times New Roman"/>
          <w:color w:val="auto"/>
          <w:kern w:val="2"/>
          <w:sz w:val="32"/>
          <w:szCs w:val="32"/>
          <w:lang w:val="en-US" w:eastAsia="zh-CN" w:bidi="ar-SA"/>
          <w:highlight w:val="auto"/>
        </w:rPr>
        <w:t>8.85</w:t>
      </w:r>
      <w:r>
        <w:rPr>
          <w:rFonts w:ascii="Times New Roman" w:eastAsia="仿宋_GB2312" w:cs="仿宋_GB2312" w:hAnsi="Times New Roman" w:hint="eastAsia"/>
          <w:color w:val="auto"/>
          <w:kern w:val="2"/>
          <w:sz w:val="32"/>
          <w:szCs w:val="32"/>
          <w:lang w:val="en-US" w:eastAsia="zh-CN" w:bidi="ar-SA"/>
          <w:highlight w:val="auto"/>
        </w:rPr>
        <w:t>万元，完成预算</w:t>
      </w:r>
      <w:r>
        <w:rPr>
          <w:rFonts w:ascii="Times New Roman" w:eastAsia="仿宋_GB2312" w:cs="仿宋_GB2312" w:hAnsi="Times New Roman"/>
          <w:color w:val="auto"/>
          <w:kern w:val="2"/>
          <w:sz w:val="32"/>
          <w:szCs w:val="32"/>
          <w:lang w:val="en-US" w:eastAsia="zh-CN" w:bidi="ar-SA"/>
          <w:highlight w:val="auto"/>
        </w:rPr>
        <w:t>100</w:t>
      </w:r>
      <w:r>
        <w:rPr>
          <w:rFonts w:ascii="Times New Roman" w:eastAsia="仿宋_GB2312" w:cs="仿宋_GB2312" w:hAnsi="Times New Roman" w:hint="eastAsia"/>
          <w:color w:val="auto"/>
          <w:kern w:val="2"/>
          <w:sz w:val="32"/>
          <w:szCs w:val="32"/>
          <w:lang w:val="en-US" w:eastAsia="zh-CN" w:bidi="ar-SA"/>
          <w:highlight w:val="auto"/>
        </w:rPr>
        <w:t>%，决算数等于预算数</w:t>
      </w:r>
      <w:r>
        <w:rPr>
          <w:rFonts w:ascii="Times New Roman" w:eastAsia="仿宋_GB2312" w:cs="仿宋_GB2312" w:hAnsi="Times New Roman"/>
          <w:color w:val="auto"/>
          <w:kern w:val="2"/>
          <w:sz w:val="32"/>
          <w:szCs w:val="32"/>
          <w:lang w:val="en-US" w:eastAsia="zh-CN" w:bidi="ar-SA"/>
          <w:highlight w:val="auto"/>
        </w:rPr>
        <w:t>。</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Style w:val="0"/>
          <w:rFonts w:eastAsia="仿宋_GB2312" w:cs="仿宋_GB2312"/>
          <w:bCs/>
          <w:sz w:val="32"/>
          <w:szCs w:val="32"/>
        </w:rPr>
        <w:t>8.</w:t>
      </w:r>
      <w:r>
        <w:rPr>
          <w:rStyle w:val="0"/>
          <w:rFonts w:eastAsia="仿宋_GB2312" w:cs="仿宋_GB2312" w:hint="eastAsia"/>
          <w:bCs/>
          <w:sz w:val="32"/>
          <w:szCs w:val="32"/>
        </w:rPr>
        <w:t>住房保障（类）住房改革支出（款）</w:t>
      </w:r>
      <w:r>
        <w:rPr>
          <w:rStyle w:val="0"/>
          <w:rFonts w:eastAsia="仿宋_GB2312" w:cs="仿宋_GB2312"/>
          <w:bCs/>
          <w:sz w:val="32"/>
          <w:szCs w:val="32"/>
        </w:rPr>
        <w:t>购房补贴</w:t>
      </w:r>
      <w:r>
        <w:rPr>
          <w:rStyle w:val="0"/>
          <w:rFonts w:eastAsia="仿宋_GB2312" w:cs="仿宋_GB2312" w:hint="eastAsia"/>
          <w:bCs/>
          <w:sz w:val="32"/>
          <w:szCs w:val="32"/>
        </w:rPr>
        <w:t>（项）：</w:t>
      </w:r>
      <w:r>
        <w:rPr>
          <w:rFonts w:ascii="Times New Roman" w:eastAsia="仿宋_GB2312" w:cs="仿宋_GB2312" w:hAnsi="Times New Roman" w:hint="eastAsia"/>
          <w:color w:val="auto"/>
          <w:kern w:val="2"/>
          <w:sz w:val="32"/>
          <w:szCs w:val="32"/>
          <w:lang w:val="en-US" w:eastAsia="zh-CN" w:bidi="ar-SA"/>
          <w:highlight w:val="auto"/>
        </w:rPr>
        <w:t>支出决算为</w:t>
      </w:r>
      <w:r>
        <w:rPr>
          <w:rFonts w:ascii="Times New Roman" w:eastAsia="仿宋_GB2312" w:cs="仿宋_GB2312" w:hAnsi="Times New Roman"/>
          <w:color w:val="auto"/>
          <w:kern w:val="2"/>
          <w:sz w:val="32"/>
          <w:szCs w:val="32"/>
          <w:lang w:val="en-US" w:eastAsia="zh-CN" w:bidi="ar-SA"/>
          <w:highlight w:val="auto"/>
        </w:rPr>
        <w:t>2.40</w:t>
      </w:r>
      <w:r>
        <w:rPr>
          <w:rFonts w:ascii="Times New Roman" w:eastAsia="仿宋_GB2312" w:cs="仿宋_GB2312" w:hAnsi="Times New Roman" w:hint="eastAsia"/>
          <w:color w:val="auto"/>
          <w:kern w:val="2"/>
          <w:sz w:val="32"/>
          <w:szCs w:val="32"/>
          <w:lang w:val="en-US" w:eastAsia="zh-CN" w:bidi="ar-SA"/>
          <w:highlight w:val="auto"/>
        </w:rPr>
        <w:t>万元，完成预算</w:t>
      </w:r>
      <w:r>
        <w:rPr>
          <w:rFonts w:ascii="Times New Roman" w:eastAsia="仿宋_GB2312" w:cs="仿宋_GB2312" w:hAnsi="Times New Roman"/>
          <w:color w:val="auto"/>
          <w:kern w:val="2"/>
          <w:sz w:val="32"/>
          <w:szCs w:val="32"/>
          <w:lang w:val="en-US" w:eastAsia="zh-CN" w:bidi="ar-SA"/>
          <w:highlight w:val="auto"/>
        </w:rPr>
        <w:t>100</w:t>
      </w:r>
      <w:r>
        <w:rPr>
          <w:rFonts w:ascii="Times New Roman" w:eastAsia="仿宋_GB2312" w:cs="仿宋_GB2312" w:hAnsi="Times New Roman" w:hint="eastAsia"/>
          <w:color w:val="auto"/>
          <w:kern w:val="2"/>
          <w:sz w:val="32"/>
          <w:szCs w:val="32"/>
          <w:lang w:val="en-US" w:eastAsia="zh-CN" w:bidi="ar-SA"/>
          <w:highlight w:val="auto"/>
        </w:rPr>
        <w:t>%，决算数等于预算数</w:t>
      </w:r>
      <w:r>
        <w:rPr>
          <w:rFonts w:ascii="Times New Roman" w:eastAsia="仿宋_GB2312" w:cs="仿宋_GB2312" w:hAnsi="Times New Roman"/>
          <w:color w:val="auto"/>
          <w:kern w:val="2"/>
          <w:sz w:val="32"/>
          <w:szCs w:val="32"/>
          <w:lang w:val="en-US" w:eastAsia="zh-CN" w:bidi="ar-SA"/>
          <w:highlight w:val="auto"/>
        </w:rPr>
        <w:t>。</w:t>
      </w:r>
    </w:p>
    <w:p>
      <w:pPr>
        <w:pStyle w:val="15"/>
        <w:rPr>
          <w:rFonts w:hint="eastAsia"/>
        </w:rPr>
      </w:pPr>
    </w:p>
    <w:p>
      <w:pPr>
        <w:spacing w:line="600" w:lineRule="exact"/>
        <w:ind w:firstLine="640"/>
        <w:rPr>
          <w:rFonts w:eastAsia="仿宋_GB2312" w:cs="仿宋_GB2312" w:hint="eastAsia"/>
          <w:b/>
          <w:bCs/>
          <w:sz w:val="32"/>
          <w:szCs w:val="32"/>
        </w:rPr>
      </w:pPr>
      <w:r>
        <w:rPr>
          <w:rFonts w:ascii="Times New Roman" w:eastAsia="仿宋_GB2312" w:cs="仿宋_GB2312" w:hAnsi="Times New Roman" w:hint="eastAsia"/>
          <w:b/>
          <w:bCs/>
          <w:color w:val="auto"/>
          <w:kern w:val="2"/>
          <w:sz w:val="32"/>
          <w:szCs w:val="32"/>
          <w:lang w:val="en-US" w:eastAsia="zh-CN" w:bidi="ar-SA"/>
          <w:highlight w:val="auto"/>
        </w:rPr>
        <w:t>（注：仅罗列本部门涉及的全部功能分类科目，至项级。上述“预算”口径为全年预算数。增减变动原因为决算数&lt;项级&gt;和全年预算数&lt;项级&gt;比较，与预算数持平可以不写原因）</w:t>
      </w:r>
    </w:p>
    <w:p>
      <w:pPr>
        <w:tabs>
          <w:tab w:val="right" w:pos="8306"/>
        </w:tabs>
        <w:spacing w:line="600" w:lineRule="exact"/>
        <w:ind w:firstLine="640"/>
        <w:outlineLvl w:val="1"/>
        <w:rPr>
          <w:rStyle w:val="2Char"/>
          <w:rFonts w:ascii="Times New Roman" w:hAnsi="Times New Roman"/>
          <w:color w:val="auto"/>
          <w:highlight w:val="auto"/>
        </w:rPr>
      </w:pPr>
      <w:bookmarkStart w:id="136" w:name="_Toc15396608"/>
      <w:bookmarkStart w:id="137" w:name="_Toc15377214"/>
      <w:bookmarkStart w:id="138" w:name="_Toc57013142"/>
      <w:bookmarkStart w:id="139" w:name="_Toc57013200"/>
      <w:bookmarkStart w:id="140" w:name="_Toc57013258"/>
      <w:bookmarkStart w:id="141" w:name="_Toc57013312"/>
      <w:bookmarkStart w:id="142" w:name="_Toc57013412"/>
      <w:bookmarkStart w:id="143" w:name="_Toc57013470"/>
      <w:r>
        <w:rPr>
          <w:rFonts w:ascii="Times New Roman" w:eastAsia="黑体" w:hAnsi="Times New Roman" w:hint="eastAsia"/>
          <w:color w:val="auto"/>
          <w:sz w:val="32"/>
          <w:szCs w:val="32"/>
          <w:highlight w:val="auto"/>
        </w:rPr>
        <w:t>六</w:t>
      </w:r>
      <w:r>
        <w:rPr>
          <w:rFonts w:ascii="Times New Roman" w:eastAsia="黑体" w:hAnsi="Times New Roman" w:hint="eastAsia"/>
          <w:b/>
          <w:color w:val="auto"/>
          <w:sz w:val="32"/>
          <w:szCs w:val="32"/>
          <w:highlight w:val="auto"/>
        </w:rPr>
        <w:t>、一</w:t>
      </w:r>
      <w:r>
        <w:rPr>
          <w:rStyle w:val="2Char"/>
          <w:rFonts w:ascii="Times New Roman" w:eastAsia="黑体" w:hAnsi="Times New Roman" w:hint="eastAsia"/>
          <w:b w:val="0"/>
          <w:color w:val="auto"/>
          <w:highlight w:val="auto"/>
        </w:rPr>
        <w:t>般公共预算财政拨款基本支出决算情况说明</w:t>
      </w:r>
      <w:bookmarkEnd w:id="136"/>
      <w:bookmarkEnd w:id="137"/>
      <w:r>
        <w:rPr>
          <w:rStyle w:val="2Char"/>
          <w:rFonts w:ascii="Times New Roman" w:eastAsia="黑体" w:hAnsi="Times New Roman"/>
          <w:b w:val="0"/>
          <w:color w:val="auto"/>
          <w:highlight w:val="auto"/>
        </w:rPr>
        <w:tab/>
      </w:r>
      <w:bookmarkEnd w:id="138"/>
      <w:bookmarkEnd w:id="139"/>
      <w:bookmarkEnd w:id="140"/>
      <w:bookmarkEnd w:id="141"/>
      <w:bookmarkEnd w:id="142"/>
      <w:bookmarkEnd w:id="143"/>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2024年度一般公共预算财政拨款基本支出</w:t>
      </w:r>
      <w:r>
        <w:rPr>
          <w:rFonts w:ascii="仿宋_GB2312" w:eastAsia="仿宋_GB2312" w:cs="仿宋_GB2312" w:hint="eastAsia"/>
          <w:sz w:val="32"/>
          <w:szCs w:val="32"/>
        </w:rPr>
        <w:t>136.41</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元，其中：</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人员经费</w:t>
      </w:r>
      <w:r>
        <w:rPr>
          <w:rFonts w:ascii="仿宋_GB2312" w:eastAsia="仿宋_GB2312" w:cs="仿宋_GB2312" w:hint="eastAsia"/>
          <w:sz w:val="32"/>
          <w:szCs w:val="32"/>
        </w:rPr>
        <w:t>127.45</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元，主要包括：基本工资</w:t>
      </w:r>
      <w:r>
        <w:rPr>
          <w:rFonts w:ascii="Times New Roman" w:eastAsia="仿宋_GB2312" w:cs="仿宋_GB2312" w:hAnsi="Times New Roman"/>
          <w:color w:val="auto"/>
          <w:kern w:val="2"/>
          <w:sz w:val="32"/>
          <w:szCs w:val="32"/>
          <w:lang w:val="en-US" w:eastAsia="zh-CN" w:bidi="ar-SA"/>
        </w:rPr>
        <w:t>23.30</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元、津贴补贴</w:t>
      </w:r>
      <w:r>
        <w:rPr>
          <w:rFonts w:ascii="Times New Roman" w:eastAsia="仿宋_GB2312" w:cs="仿宋_GB2312" w:hAnsi="Times New Roman"/>
          <w:color w:val="auto"/>
          <w:kern w:val="2"/>
          <w:sz w:val="32"/>
          <w:szCs w:val="32"/>
          <w:lang w:val="en-US" w:eastAsia="zh-CN" w:bidi="ar-SA"/>
        </w:rPr>
        <w:t>30.43</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元、奖金</w:t>
      </w:r>
      <w:r>
        <w:rPr>
          <w:rFonts w:ascii="Times New Roman" w:eastAsia="仿宋_GB2312" w:cs="仿宋_GB2312" w:hAnsi="Times New Roman"/>
          <w:color w:val="auto"/>
          <w:kern w:val="2"/>
          <w:sz w:val="32"/>
          <w:szCs w:val="32"/>
          <w:lang w:val="en-US" w:eastAsia="zh-CN" w:bidi="ar-SA"/>
        </w:rPr>
        <w:t>28.61</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元、机关事业单位基本养老保险缴费</w:t>
      </w:r>
      <w:r>
        <w:rPr>
          <w:rFonts w:ascii="Times New Roman" w:eastAsia="仿宋_GB2312" w:cs="仿宋_GB2312" w:hAnsi="Times New Roman"/>
          <w:color w:val="auto"/>
          <w:kern w:val="2"/>
          <w:sz w:val="32"/>
          <w:szCs w:val="32"/>
          <w:lang w:val="en-US" w:eastAsia="zh-CN" w:bidi="ar-SA"/>
        </w:rPr>
        <w:t>11.36</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元、职业年金缴费</w:t>
      </w:r>
      <w:r>
        <w:rPr>
          <w:rFonts w:ascii="Times New Roman" w:eastAsia="仿宋_GB2312" w:cs="仿宋_GB2312" w:hAnsi="Times New Roman"/>
          <w:color w:val="auto"/>
          <w:kern w:val="2"/>
          <w:sz w:val="32"/>
          <w:szCs w:val="32"/>
          <w:lang w:val="en-US" w:eastAsia="zh-CN" w:bidi="ar-SA"/>
        </w:rPr>
        <w:t>5.68</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元、其他社会保障缴费</w:t>
      </w:r>
      <w:r>
        <w:rPr>
          <w:rFonts w:ascii="Times New Roman" w:eastAsia="仿宋_GB2312" w:cs="仿宋_GB2312" w:hAnsi="Times New Roman"/>
          <w:color w:val="auto"/>
          <w:kern w:val="2"/>
          <w:sz w:val="32"/>
          <w:szCs w:val="32"/>
          <w:lang w:val="en-US" w:eastAsia="zh-CN" w:bidi="ar-SA"/>
        </w:rPr>
        <w:t>1.33</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元、生活补助</w:t>
      </w:r>
      <w:r>
        <w:rPr>
          <w:rFonts w:ascii="Times New Roman" w:eastAsia="仿宋_GB2312" w:cs="仿宋_GB2312" w:hAnsi="Times New Roman"/>
          <w:color w:val="auto"/>
          <w:kern w:val="2"/>
          <w:sz w:val="32"/>
          <w:szCs w:val="32"/>
          <w:lang w:val="en-US" w:eastAsia="zh-CN" w:bidi="ar-SA"/>
        </w:rPr>
        <w:t>10.56</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元、住房公积金</w:t>
      </w:r>
      <w:r>
        <w:rPr>
          <w:rFonts w:ascii="Times New Roman" w:eastAsia="仿宋_GB2312" w:cs="仿宋_GB2312" w:hAnsi="Times New Roman"/>
          <w:color w:val="auto"/>
          <w:kern w:val="2"/>
          <w:sz w:val="32"/>
          <w:szCs w:val="32"/>
          <w:lang w:val="en-US" w:eastAsia="zh-CN" w:bidi="ar-SA"/>
        </w:rPr>
        <w:t>8.85</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元、其他对个人和家庭的补助支出</w:t>
      </w:r>
      <w:r>
        <w:rPr>
          <w:rFonts w:ascii="Times New Roman" w:eastAsia="仿宋_GB2312" w:cs="仿宋_GB2312" w:hAnsi="Times New Roman"/>
          <w:color w:val="auto"/>
          <w:kern w:val="2"/>
          <w:sz w:val="32"/>
          <w:szCs w:val="32"/>
          <w:lang w:val="en-US" w:eastAsia="zh-CN" w:bidi="ar-SA"/>
        </w:rPr>
        <w:t>10.56</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w:t>
      </w:r>
      <w:r>
        <w:rPr>
          <w:rFonts w:ascii="Times New Roman" w:eastAsia="仿宋_GB2312" w:cs="仿宋_GB2312" w:hAnsi="Times New Roman"/>
          <w:color w:val="auto"/>
          <w:kern w:val="2"/>
          <w:sz w:val="32"/>
          <w:szCs w:val="32"/>
          <w:lang w:val="en-US" w:eastAsia="zh-CN" w:bidi="ar-SA"/>
          <w:highlight w:val="auto"/>
        </w:rPr>
        <w:t>、</w:t>
      </w:r>
      <w:r>
        <w:rPr>
          <w:rFonts w:ascii="Times New Roman" w:eastAsia="仿宋_GB2312" w:cs="仿宋_GB2312" w:hAnsi="Times New Roman"/>
          <w:color w:val="auto"/>
          <w:kern w:val="2"/>
          <w:sz w:val="32"/>
          <w:szCs w:val="32"/>
          <w:lang w:val="en-US" w:eastAsia="zh-CN" w:bidi="ar-SA"/>
        </w:rPr>
        <w:t>职工基本医疗保险缴费5.40</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w:t>
      </w:r>
      <w:r>
        <w:rPr>
          <w:rFonts w:ascii="Times New Roman" w:eastAsia="仿宋_GB2312" w:cs="仿宋_GB2312" w:hAnsi="Times New Roman"/>
          <w:color w:val="auto"/>
          <w:kern w:val="2"/>
          <w:sz w:val="32"/>
          <w:szCs w:val="32"/>
          <w:lang w:val="en-US" w:eastAsia="zh-CN" w:bidi="ar-SA"/>
        </w:rPr>
        <w:t>、公务员医疗补助缴费1.92</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w:t>
      </w:r>
      <w:r>
        <w:rPr>
          <w:rFonts w:ascii="Times New Roman" w:eastAsia="仿宋_GB2312" w:cs="仿宋_GB2312" w:hAnsi="Times New Roman"/>
          <w:color w:val="auto"/>
          <w:kern w:val="2"/>
          <w:sz w:val="32"/>
          <w:szCs w:val="32"/>
          <w:lang w:val="en-US" w:eastAsia="zh-CN" w:bidi="ar-SA"/>
        </w:rPr>
        <w:t>、工资福利支出116.89</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w:t>
      </w:r>
      <w:r>
        <w:rPr>
          <w:rFonts w:ascii="Times New Roman" w:eastAsia="仿宋_GB2312" w:cs="仿宋_GB2312" w:hAnsi="Times New Roman"/>
          <w:color w:val="auto"/>
          <w:kern w:val="2"/>
          <w:sz w:val="32"/>
          <w:szCs w:val="32"/>
          <w:lang w:val="en-US" w:eastAsia="zh-CN" w:bidi="ar-SA"/>
        </w:rPr>
        <w:t>。</w:t>
      </w:r>
      <w:r>
        <w:rPr>
          <w:rFonts w:ascii="Times New Roman" w:eastAsia="仿宋_GB2312" w:cs="仿宋_GB2312" w:hAnsi="Times New Roman" w:hint="eastAsia"/>
          <w:color w:val="auto"/>
          <w:kern w:val="2"/>
          <w:sz w:val="32"/>
          <w:szCs w:val="32"/>
          <w:lang w:val="en-US" w:eastAsia="zh-CN" w:bidi="ar-SA"/>
          <w:highlight w:val="auto"/>
        </w:rPr>
        <w:br/>
        <w:t>　　公用经费</w:t>
      </w:r>
      <w:r>
        <w:rPr>
          <w:rFonts w:ascii="仿宋_GB2312" w:eastAsia="仿宋_GB2312" w:cs="仿宋_GB2312" w:hint="eastAsia"/>
          <w:sz w:val="32"/>
          <w:szCs w:val="32"/>
        </w:rPr>
        <w:t>8.96</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元，主要包括：办公费</w:t>
      </w:r>
      <w:r>
        <w:rPr>
          <w:rFonts w:ascii="Times New Roman" w:eastAsia="仿宋_GB2312" w:cs="仿宋_GB2312" w:hAnsi="Times New Roman"/>
          <w:color w:val="auto"/>
          <w:kern w:val="2"/>
          <w:sz w:val="32"/>
          <w:szCs w:val="32"/>
          <w:lang w:val="en-US" w:eastAsia="zh-CN" w:bidi="ar-SA"/>
        </w:rPr>
        <w:t>2.85</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元、咨询费</w:t>
      </w:r>
      <w:r>
        <w:rPr>
          <w:rFonts w:ascii="Times New Roman" w:eastAsia="仿宋_GB2312" w:cs="仿宋_GB2312" w:hAnsi="Times New Roman"/>
          <w:color w:val="auto"/>
          <w:kern w:val="2"/>
          <w:sz w:val="32"/>
          <w:szCs w:val="32"/>
          <w:lang w:val="en-US" w:eastAsia="zh-CN" w:bidi="ar-SA"/>
        </w:rPr>
        <w:t>0.05</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元、水费</w:t>
      </w:r>
      <w:r>
        <w:rPr>
          <w:rFonts w:ascii="Times New Roman" w:eastAsia="仿宋_GB2312" w:cs="仿宋_GB2312" w:hAnsi="Times New Roman"/>
          <w:color w:val="auto"/>
          <w:kern w:val="2"/>
          <w:sz w:val="32"/>
          <w:szCs w:val="32"/>
          <w:lang w:val="en-US" w:eastAsia="zh-CN" w:bidi="ar-SA"/>
        </w:rPr>
        <w:t>0.14</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元、邮电费</w:t>
      </w:r>
      <w:r>
        <w:rPr>
          <w:rFonts w:ascii="Times New Roman" w:eastAsia="仿宋_GB2312" w:cs="仿宋_GB2312" w:hAnsi="Times New Roman"/>
          <w:color w:val="auto"/>
          <w:kern w:val="2"/>
          <w:sz w:val="32"/>
          <w:szCs w:val="32"/>
          <w:lang w:val="en-US" w:eastAsia="zh-CN" w:bidi="ar-SA"/>
        </w:rPr>
        <w:t>0.47</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元、差旅费</w:t>
      </w:r>
      <w:r>
        <w:rPr>
          <w:rFonts w:ascii="Times New Roman" w:eastAsia="仿宋_GB2312" w:cs="仿宋_GB2312" w:hAnsi="Times New Roman"/>
          <w:color w:val="auto"/>
          <w:kern w:val="2"/>
          <w:sz w:val="32"/>
          <w:szCs w:val="32"/>
          <w:lang w:val="en-US" w:eastAsia="zh-CN" w:bidi="ar-SA"/>
        </w:rPr>
        <w:t>2</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元、劳务费</w:t>
      </w:r>
      <w:r>
        <w:rPr>
          <w:rFonts w:ascii="Times New Roman" w:eastAsia="仿宋_GB2312" w:cs="仿宋_GB2312" w:hAnsi="Times New Roman"/>
          <w:color w:val="auto"/>
          <w:kern w:val="2"/>
          <w:sz w:val="32"/>
          <w:szCs w:val="32"/>
          <w:lang w:val="en-US" w:eastAsia="zh-CN" w:bidi="ar-SA"/>
        </w:rPr>
        <w:t>5.75</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元、委托业务费</w:t>
      </w:r>
      <w:r>
        <w:rPr>
          <w:rFonts w:ascii="Times New Roman" w:eastAsia="仿宋_GB2312" w:cs="仿宋_GB2312" w:hAnsi="Times New Roman"/>
          <w:color w:val="auto"/>
          <w:kern w:val="2"/>
          <w:sz w:val="32"/>
          <w:szCs w:val="32"/>
          <w:lang w:val="en-US" w:eastAsia="zh-CN" w:bidi="ar-SA"/>
        </w:rPr>
        <w:t>51.82</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元、福利费</w:t>
      </w:r>
      <w:r>
        <w:rPr>
          <w:rFonts w:ascii="Times New Roman" w:eastAsia="仿宋_GB2312" w:cs="仿宋_GB2312" w:hAnsi="Times New Roman"/>
          <w:color w:val="auto"/>
          <w:kern w:val="2"/>
          <w:sz w:val="32"/>
          <w:szCs w:val="32"/>
          <w:lang w:val="en-US" w:eastAsia="zh-CN" w:bidi="ar-SA"/>
        </w:rPr>
        <w:t>0.22</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元、其他交通费</w:t>
      </w:r>
      <w:r>
        <w:rPr>
          <w:rFonts w:ascii="Times New Roman" w:eastAsia="仿宋_GB2312" w:cs="仿宋_GB2312" w:hAnsi="Times New Roman"/>
          <w:color w:val="auto"/>
          <w:kern w:val="2"/>
          <w:sz w:val="32"/>
          <w:szCs w:val="32"/>
          <w:lang w:val="en-US" w:eastAsia="zh-CN" w:bidi="ar-SA"/>
        </w:rPr>
        <w:t>1.49</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元、其他商品和服务支出</w:t>
      </w:r>
      <w:r>
        <w:rPr>
          <w:rFonts w:ascii="Times New Roman" w:eastAsia="仿宋_GB2312" w:cs="仿宋_GB2312" w:hAnsi="Times New Roman"/>
          <w:color w:val="auto"/>
          <w:kern w:val="2"/>
          <w:sz w:val="32"/>
          <w:szCs w:val="32"/>
          <w:lang w:val="en-US" w:eastAsia="zh-CN" w:bidi="ar-SA"/>
        </w:rPr>
        <w:t>64.78</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w:t>
      </w:r>
    </w:p>
    <w:p>
      <w:pPr>
        <w:spacing w:line="600" w:lineRule="exact"/>
        <w:ind w:firstLine="640"/>
        <w:rPr>
          <w:rFonts w:eastAsia="仿宋_GB2312" w:cs="仿宋_GB2312" w:hint="eastAsia"/>
          <w:b/>
          <w:bCs/>
          <w:sz w:val="32"/>
          <w:szCs w:val="32"/>
        </w:rPr>
      </w:pPr>
      <w:r>
        <w:rPr>
          <w:rFonts w:ascii="Times New Roman" w:eastAsia="仿宋_GB2312" w:cs="仿宋_GB2312" w:hAnsi="Times New Roman" w:hint="eastAsia"/>
          <w:b/>
          <w:bCs/>
          <w:color w:val="auto"/>
          <w:kern w:val="2"/>
          <w:sz w:val="32"/>
          <w:szCs w:val="32"/>
          <w:lang w:val="en-US" w:eastAsia="zh-CN" w:bidi="ar-SA"/>
          <w:highlight w:val="auto"/>
        </w:rPr>
        <w:t>（注：仅罗列本部门实际支出涉及的经济分类科目）</w:t>
      </w:r>
    </w:p>
    <w:p>
      <w:pPr>
        <w:spacing w:line="600" w:lineRule="exact"/>
        <w:ind w:firstLine="640"/>
        <w:outlineLvl w:val="1"/>
        <w:rPr>
          <w:rStyle w:val="2Char"/>
          <w:rFonts w:ascii="Times New Roman" w:eastAsia="黑体" w:hAnsi="Times New Roman"/>
          <w:b w:val="0"/>
          <w:color w:val="auto"/>
          <w:highlight w:val="auto"/>
        </w:rPr>
      </w:pPr>
      <w:bookmarkStart w:id="144" w:name="_Toc15396609"/>
      <w:bookmarkStart w:id="145" w:name="_Toc15377215"/>
      <w:bookmarkStart w:id="146" w:name="_Toc57013143"/>
      <w:bookmarkStart w:id="147" w:name="_Toc57013201"/>
      <w:bookmarkStart w:id="148" w:name="_Toc57013259"/>
      <w:bookmarkStart w:id="149" w:name="_Toc57013313"/>
      <w:bookmarkStart w:id="150" w:name="_Toc57013413"/>
      <w:bookmarkStart w:id="151" w:name="_Toc57013471"/>
      <w:r>
        <w:rPr>
          <w:rFonts w:ascii="Times New Roman" w:eastAsia="黑体" w:hAnsi="Times New Roman" w:hint="eastAsia"/>
          <w:color w:val="auto"/>
          <w:sz w:val="32"/>
          <w:szCs w:val="32"/>
          <w:highlight w:val="auto"/>
        </w:rPr>
        <w:t>七、</w:t>
      </w:r>
      <w:r>
        <w:rPr>
          <w:rStyle w:val="2Char"/>
          <w:rFonts w:ascii="Times New Roman" w:eastAsia="黑体" w:hAnsi="Times New Roman" w:hint="eastAsia"/>
          <w:b w:val="0"/>
          <w:color w:val="auto"/>
          <w:highlight w:val="auto"/>
        </w:rPr>
        <w:t>财政拨款</w:t>
      </w:r>
      <w:r>
        <w:rPr>
          <w:rStyle w:val="2Char"/>
          <w:rFonts w:ascii="Times New Roman" w:eastAsia="黑体" w:hAnsi="Times New Roman" w:hint="eastAsia"/>
          <w:color w:val="auto"/>
          <w:highlight w:val="auto"/>
        </w:rPr>
        <w:t>“</w:t>
      </w:r>
      <w:r>
        <w:rPr>
          <w:rStyle w:val="2Char"/>
          <w:rFonts w:ascii="Times New Roman" w:eastAsia="黑体" w:hAnsi="Times New Roman" w:hint="eastAsia"/>
          <w:b w:val="0"/>
          <w:color w:val="auto"/>
          <w:highlight w:val="auto"/>
        </w:rPr>
        <w:t>三公”经费支出决算情况说明</w:t>
      </w:r>
      <w:bookmarkEnd w:id="144"/>
      <w:bookmarkEnd w:id="145"/>
      <w:bookmarkEnd w:id="146"/>
      <w:bookmarkEnd w:id="147"/>
      <w:bookmarkEnd w:id="148"/>
      <w:bookmarkEnd w:id="149"/>
      <w:bookmarkEnd w:id="150"/>
      <w:bookmarkEnd w:id="151"/>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152" w:name="_Toc15377216"/>
      <w:bookmarkStart w:id="153" w:name="_Toc57013144"/>
      <w:bookmarkStart w:id="154" w:name="_Toc57013202"/>
      <w:bookmarkStart w:id="155" w:name="_Toc57013260"/>
      <w:bookmarkStart w:id="156" w:name="_Toc57013414"/>
      <w:bookmarkStart w:id="157" w:name="_Toc57013472"/>
      <w:r>
        <w:rPr>
          <w:rFonts w:ascii="Times New Roman" w:eastAsia="楷体_GB2312" w:cs="楷体_GB2312" w:hAnsi="Times New Roman" w:hint="eastAsia"/>
          <w:b/>
          <w:color w:val="auto"/>
          <w:sz w:val="32"/>
          <w:szCs w:val="32"/>
          <w:highlight w:val="auto"/>
        </w:rPr>
        <w:t>（一）“三公”经费财政拨款支出决算总体情况说明</w:t>
      </w:r>
      <w:bookmarkEnd w:id="152"/>
      <w:bookmarkEnd w:id="153"/>
      <w:bookmarkEnd w:id="154"/>
      <w:bookmarkEnd w:id="155"/>
      <w:bookmarkEnd w:id="156"/>
      <w:bookmarkEnd w:id="157"/>
    </w:p>
    <w:p>
      <w:pPr>
        <w:snapToGrid w:val="0"/>
        <w:spacing w:line="520" w:lineRule="exact"/>
        <w:ind w:firstLineChars="200" w:firstLine="640"/>
        <w:rPr>
          <w:rFonts w:eastAsia="仿宋_GB2312" w:cs="仿宋_GB2312" w:hint="eastAsia"/>
          <w:sz w:val="32"/>
          <w:szCs w:val="32"/>
        </w:rPr>
      </w:pPr>
      <w:r>
        <w:rPr>
          <w:rFonts w:ascii="Times New Roman" w:eastAsia="仿宋_GB2312" w:cs="仿宋_GB2312" w:hAnsi="Times New Roman" w:hint="eastAsia"/>
          <w:color w:val="auto"/>
          <w:kern w:val="2"/>
          <w:sz w:val="32"/>
          <w:szCs w:val="32"/>
          <w:lang w:val="en-US" w:eastAsia="zh-CN" w:bidi="ar-SA"/>
          <w:highlight w:val="auto"/>
        </w:rPr>
        <w:t>2024年度“三公”</w:t>
      </w:r>
      <w:r>
        <w:rPr>
          <w:rFonts w:eastAsia="仿宋_GB2312" w:cs="仿宋_GB2312" w:hint="eastAsia"/>
          <w:sz w:val="32"/>
          <w:szCs w:val="32"/>
          <w:highlight w:val="auto"/>
        </w:rPr>
        <w:t>经费财政拨款支出决算为</w:t>
      </w:r>
      <w:r>
        <w:rPr>
          <w:rFonts w:eastAsia="仿宋_GB2312" w:cs="仿宋_GB2312" w:hint="eastAsia"/>
          <w:sz w:val="32"/>
          <w:szCs w:val="32"/>
        </w:rPr>
        <w:t>0</w:t>
      </w:r>
      <w:r>
        <w:rPr>
          <w:rFonts w:eastAsia="仿宋_GB2312" w:cs="仿宋_GB2312" w:hint="eastAsia"/>
          <w:sz w:val="32"/>
          <w:szCs w:val="32"/>
          <w:highlight w:val="auto"/>
        </w:rPr>
        <w:t>万元，完成预算</w:t>
      </w:r>
      <w:r>
        <w:rPr>
          <w:rFonts w:eastAsia="仿宋_GB2312" w:cs="仿宋_GB2312"/>
          <w:sz w:val="32"/>
          <w:szCs w:val="32"/>
        </w:rPr>
        <w:t>100</w:t>
      </w:r>
      <w:r>
        <w:rPr>
          <w:rFonts w:eastAsia="仿宋_GB2312" w:cs="仿宋_GB2312" w:hint="eastAsia"/>
          <w:sz w:val="32"/>
          <w:szCs w:val="32"/>
          <w:highlight w:val="auto"/>
        </w:rPr>
        <w:t>%，</w:t>
      </w:r>
      <w:r>
        <w:rPr>
          <w:rFonts w:eastAsia="仿宋_GB2312" w:cs="仿宋_GB2312" w:hint="eastAsia"/>
          <w:sz w:val="32"/>
          <w:szCs w:val="32"/>
        </w:rPr>
        <w:t>2023年未产生</w:t>
      </w:r>
      <w:r>
        <w:rPr>
          <w:rFonts w:ascii="Times New Roman" w:eastAsia="仿宋_GB2312" w:cs="仿宋_GB2312" w:hAnsi="Times New Roman" w:hint="eastAsia"/>
          <w:color w:val="auto"/>
          <w:kern w:val="2"/>
          <w:sz w:val="32"/>
          <w:szCs w:val="32"/>
          <w:lang w:val="en-US" w:eastAsia="zh-CN" w:bidi="ar-SA"/>
          <w:highlight w:val="auto"/>
        </w:rPr>
        <w:t>“三公”</w:t>
      </w:r>
      <w:r>
        <w:rPr>
          <w:rFonts w:eastAsia="仿宋_GB2312" w:cs="仿宋_GB2312" w:hint="eastAsia"/>
          <w:sz w:val="32"/>
          <w:szCs w:val="32"/>
          <w:highlight w:val="auto"/>
        </w:rPr>
        <w:t>经费</w:t>
      </w:r>
      <w:r>
        <w:rPr>
          <w:rFonts w:eastAsia="仿宋_GB2312" w:cs="仿宋_GB2312" w:hint="eastAsia"/>
          <w:sz w:val="32"/>
          <w:szCs w:val="32"/>
        </w:rPr>
        <w:t>支出</w:t>
      </w:r>
      <w:r>
        <w:rPr>
          <w:rFonts w:ascii="Times New Roman" w:eastAsia="仿宋_GB2312" w:cs="仿宋_GB2312" w:hAnsi="Times New Roman" w:hint="eastAsia"/>
          <w:color w:val="auto"/>
          <w:kern w:val="2"/>
          <w:sz w:val="32"/>
          <w:szCs w:val="32"/>
          <w:lang w:val="en-US" w:eastAsia="zh-CN" w:bidi="ar-SA"/>
          <w:highlight w:val="auto"/>
        </w:rPr>
        <w:t>。决算数</w:t>
      </w:r>
      <w:r>
        <w:rPr>
          <w:rFonts w:ascii="Times New Roman" w:eastAsia="仿宋_GB2312" w:cs="仿宋_GB2312" w:hAnsi="Times New Roman"/>
          <w:color w:val="auto"/>
          <w:kern w:val="2"/>
          <w:sz w:val="32"/>
          <w:szCs w:val="32"/>
          <w:lang w:val="en-US" w:eastAsia="zh-CN" w:bidi="ar-SA"/>
          <w:highlight w:val="auto"/>
        </w:rPr>
        <w:t>等于</w:t>
      </w:r>
      <w:r>
        <w:rPr>
          <w:rFonts w:ascii="Times New Roman" w:eastAsia="仿宋_GB2312" w:cs="仿宋_GB2312" w:hAnsi="Times New Roman" w:hint="eastAsia"/>
          <w:color w:val="auto"/>
          <w:kern w:val="2"/>
          <w:sz w:val="32"/>
          <w:szCs w:val="32"/>
          <w:lang w:val="en-US" w:eastAsia="zh-CN" w:bidi="ar-SA"/>
          <w:highlight w:val="auto"/>
        </w:rPr>
        <w:t>预算数</w:t>
      </w:r>
      <w:r>
        <w:rPr>
          <w:rFonts w:ascii="Times New Roman" w:eastAsia="仿宋_GB2312" w:cs="仿宋_GB2312" w:hAnsi="Times New Roman"/>
          <w:color w:val="auto"/>
          <w:kern w:val="2"/>
          <w:sz w:val="32"/>
          <w:szCs w:val="32"/>
          <w:lang w:val="en-US" w:eastAsia="zh-CN" w:bidi="ar-SA"/>
          <w:highlight w:val="auto"/>
        </w:rPr>
        <w:t>。</w:t>
      </w:r>
    </w:p>
    <w:p>
      <w:pPr>
        <w:spacing w:line="600" w:lineRule="exact"/>
        <w:ind w:firstLine="640"/>
        <w:rPr>
          <w:rFonts w:ascii="Times New Roman" w:eastAsia="仿宋_GB2312" w:cs="仿宋_GB2312" w:hAnsi="Times New Roman" w:hint="eastAsia"/>
          <w:b/>
          <w:bCs/>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（注：上述“预算”口径为全年预算数，包括一般公共预算和政府性基金预算财政拨款支出决算情况）</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158" w:name="_Toc15377217"/>
      <w:bookmarkStart w:id="159" w:name="_Toc57013145"/>
      <w:bookmarkStart w:id="160" w:name="_Toc57013203"/>
      <w:bookmarkStart w:id="161" w:name="_Toc57013261"/>
      <w:bookmarkStart w:id="162" w:name="_Toc57013415"/>
      <w:bookmarkStart w:id="163" w:name="_Toc57013473"/>
      <w:r>
        <w:rPr>
          <w:rFonts w:ascii="Times New Roman" w:eastAsia="楷体_GB2312" w:cs="楷体_GB2312" w:hAnsi="Times New Roman" w:hint="eastAsia"/>
          <w:b/>
          <w:color w:val="auto"/>
          <w:sz w:val="32"/>
          <w:szCs w:val="32"/>
          <w:highlight w:val="auto"/>
        </w:rPr>
        <w:t>（二）“三公”经费财政拨款支出决算具体情况说明</w:t>
      </w:r>
      <w:bookmarkEnd w:id="158"/>
      <w:bookmarkEnd w:id="159"/>
      <w:bookmarkEnd w:id="160"/>
      <w:bookmarkEnd w:id="161"/>
      <w:bookmarkEnd w:id="162"/>
      <w:bookmarkEnd w:id="163"/>
    </w:p>
    <w:p>
      <w:pPr>
        <w:spacing w:line="600" w:lineRule="exact"/>
        <w:ind w:firstLine="640"/>
        <w:rPr>
          <w:rFonts w:ascii="仿宋_GB2312" w:eastAsia="仿宋_GB2312" w:cs="仿宋_GB2312"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2024年度“三公”经费财政拨款支出决算中，因公出国（境）费支出决算</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w:t>
      </w:r>
      <w:r>
        <w:rPr>
          <w:rFonts w:ascii="仿宋_GB2312" w:eastAsia="仿宋_GB2312" w:cs="仿宋_GB2312"/>
          <w:color w:val="auto"/>
          <w:kern w:val="2"/>
          <w:sz w:val="32"/>
          <w:szCs w:val="32"/>
          <w:lang w:val="en-US" w:eastAsia="zh-CN" w:bidi="ar-SA"/>
          <w:highlight w:val="auto"/>
        </w:rPr>
        <w:t>0</w:t>
      </w:r>
      <w:r>
        <w:rPr>
          <w:rFonts w:ascii="仿宋_GB2312" w:eastAsia="仿宋_GB2312" w:cs="仿宋_GB2312" w:hint="eastAsia"/>
          <w:color w:val="auto"/>
          <w:kern w:val="2"/>
          <w:sz w:val="32"/>
          <w:szCs w:val="32"/>
          <w:lang w:val="en-US" w:eastAsia="zh-CN" w:bidi="ar-SA"/>
          <w:highlight w:val="auto"/>
        </w:rPr>
        <w:t>%；公务用车购置及运行维护费支出决算</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w:t>
      </w:r>
      <w:r>
        <w:rPr>
          <w:rFonts w:ascii="仿宋_GB2312" w:eastAsia="仿宋_GB2312" w:cs="仿宋_GB2312"/>
          <w:color w:val="auto"/>
          <w:kern w:val="2"/>
          <w:sz w:val="32"/>
          <w:szCs w:val="32"/>
          <w:lang w:val="en-US" w:eastAsia="zh-CN" w:bidi="ar-SA"/>
          <w:highlight w:val="auto"/>
        </w:rPr>
        <w:t>0</w:t>
      </w:r>
      <w:r>
        <w:rPr>
          <w:rFonts w:ascii="仿宋_GB2312" w:eastAsia="仿宋_GB2312" w:cs="仿宋_GB2312" w:hint="eastAsia"/>
          <w:color w:val="auto"/>
          <w:kern w:val="2"/>
          <w:sz w:val="32"/>
          <w:szCs w:val="32"/>
          <w:lang w:val="en-US" w:eastAsia="zh-CN" w:bidi="ar-SA"/>
          <w:highlight w:val="auto"/>
        </w:rPr>
        <w:t>%；公务接待费支出决算</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w:t>
      </w:r>
      <w:r>
        <w:rPr>
          <w:rFonts w:ascii="仿宋_GB2312" w:eastAsia="仿宋_GB2312" w:cs="仿宋_GB2312"/>
          <w:color w:val="auto"/>
          <w:kern w:val="2"/>
          <w:sz w:val="32"/>
          <w:szCs w:val="32"/>
          <w:lang w:val="en-US" w:eastAsia="zh-CN" w:bidi="ar-SA"/>
          <w:highlight w:val="auto"/>
        </w:rPr>
        <w:t>0</w:t>
      </w:r>
      <w:r>
        <w:rPr>
          <w:rFonts w:ascii="仿宋_GB2312" w:eastAsia="仿宋_GB2312" w:cs="仿宋_GB2312" w:hint="eastAsia"/>
          <w:color w:val="auto"/>
          <w:kern w:val="2"/>
          <w:sz w:val="32"/>
          <w:szCs w:val="32"/>
          <w:lang w:val="en-US" w:eastAsia="zh-CN" w:bidi="ar-SA"/>
          <w:highlight w:val="auto"/>
        </w:rPr>
        <w:t>%。具体情况如下：</w:t>
      </w:r>
    </w:p>
    <w:p>
      <w:pPr>
        <w:spacing w:line="600" w:lineRule="exact"/>
        <w:ind w:firstLine="640"/>
        <w:rPr>
          <w:rFonts w:ascii="Times New Roman" w:eastAsia="仿宋_GB2312" w:cs="仿宋_GB2312" w:hAnsi="Times New Roman"/>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（图7：“三公”经费财政拨款支出结构）（饼状图）</w:t>
      </w:r>
    </w:p>
    <w:p>
      <w:pPr>
        <w:pStyle w:val="15"/>
      </w:pPr>
    </w:p>
    <w:p>
      <w:pPr>
        <w:pStyle w:val="17"/>
        <w:rPr>
          <w:rFonts w:hint="eastAsia"/>
        </w:rPr>
      </w:pPr>
      <w:r>
        <w:drawing>
          <wp:inline distT="0" distB="0" distL="85723" distR="85723">
            <wp:extent cx="4571929" cy="2409788"/>
            <wp:effectExtent l="0" t="0" r="1" b="0"/>
            <wp:docPr id="18" name="图片"/>
            <wp:cNvGraphicFramePr>
              <a:graphicFrameLocks noChangeAspect="1"/>
            </wp:cNvGraphicFramePr>
            <a:graphic>
              <a:graphicData uri="http://schemas.openxmlformats.org/drawingml/2006/picture">
                <pic:pic>
                  <pic:nvPicPr>
                    <pic:cNvPr id="20" name="图片 20"/>
                    <pic:cNvPicPr/>
                  </pic:nvPicPr>
                  <pic:blipFill>
                    <a:blip r:embed="rId12"/>
                    <a:stretch>
                      <a:fillRect/>
                    </a:stretch>
                  </pic:blipFill>
                  <pic:spPr>
                    <a:xfrm rot="0">
                      <a:off x="0" y="0"/>
                      <a:ext cx="4571929" cy="2409788"/>
                    </a:xfrm>
                    <a:prstGeom prst="rect"/>
                    <a:noFill/>
                    <a:ln w="9525" cmpd="sng" cap="flat">
                      <a:noFill/>
                      <a:prstDash val="solid"/>
                      <a:miter/>
                    </a:ln>
                  </pic:spPr>
                </pic:pic>
              </a:graphicData>
            </a:graphic>
          </wp:inline>
        </w:drawing>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1.因公出国（境）经费支出</w:t>
      </w:r>
      <w:r>
        <w:rPr>
          <w:rFonts w:ascii="Times New Roman" w:eastAsia="仿宋_GB2312" w:cs="仿宋_GB2312" w:hAnsi="Times New Roman"/>
          <w:b/>
          <w:bCs/>
          <w:color w:val="auto"/>
          <w:kern w:val="2"/>
          <w:sz w:val="32"/>
          <w:szCs w:val="32"/>
          <w:lang w:val="en-US" w:eastAsia="zh-CN" w:bidi="ar-SA"/>
          <w:highlight w:val="auto"/>
        </w:rPr>
        <w:t>0</w:t>
      </w:r>
      <w:r>
        <w:rPr>
          <w:rFonts w:ascii="Times New Roman" w:eastAsia="仿宋_GB2312" w:cs="仿宋_GB2312" w:hAnsi="Times New Roman" w:hint="eastAsia"/>
          <w:b/>
          <w:bCs/>
          <w:color w:val="auto"/>
          <w:kern w:val="2"/>
          <w:sz w:val="32"/>
          <w:szCs w:val="32"/>
          <w:lang w:val="en-US" w:eastAsia="zh-CN" w:bidi="ar-SA"/>
          <w:highlight w:val="auto"/>
        </w:rPr>
        <w:t>万元，完成预算</w:t>
      </w:r>
      <w:r>
        <w:rPr>
          <w:rFonts w:ascii="Times New Roman" w:eastAsia="仿宋_GB2312" w:cs="仿宋_GB2312" w:hAnsi="Times New Roman"/>
          <w:b/>
          <w:bCs/>
          <w:color w:val="auto"/>
          <w:kern w:val="2"/>
          <w:sz w:val="32"/>
          <w:szCs w:val="32"/>
          <w:lang w:val="en-US" w:eastAsia="zh-CN" w:bidi="ar-SA"/>
          <w:highlight w:val="auto"/>
        </w:rPr>
        <w:t>100</w:t>
      </w:r>
      <w:r>
        <w:rPr>
          <w:rFonts w:ascii="Times New Roman" w:eastAsia="仿宋_GB2312" w:cs="仿宋_GB2312" w:hAnsi="Times New Roman" w:hint="eastAsia"/>
          <w:b/>
          <w:bCs/>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全年安排因公出国（境）团</w:t>
      </w:r>
      <w:r>
        <w:rPr>
          <w:rFonts w:ascii="仿宋_GB2312" w:eastAsia="仿宋_GB2312" w:cs="仿宋_GB2312" w:hint="eastAsia"/>
          <w:color w:val="auto"/>
          <w:kern w:val="2"/>
          <w:sz w:val="32"/>
          <w:szCs w:val="32"/>
          <w:lang w:val="en-US" w:eastAsia="zh-CN" w:bidi="ar-SA"/>
          <w:highlight w:val="auto"/>
        </w:rPr>
        <w:t>组</w:t>
      </w:r>
      <w:r>
        <w:rPr>
          <w:rFonts w:ascii="仿宋_GB2312" w:eastAsia="仿宋_GB2312" w:cs="仿宋_GB2312" w:hint="eastAsia"/>
          <w:sz w:val="32"/>
          <w:szCs w:val="32"/>
        </w:rPr>
        <w:t>0</w:t>
      </w:r>
      <w:r>
        <w:rPr>
          <w:rFonts w:ascii="Times New Roman" w:eastAsia="仿宋_GB2312" w:cs="仿宋_GB2312" w:hAnsi="Times New Roman" w:hint="eastAsia"/>
          <w:color w:val="auto"/>
          <w:kern w:val="2"/>
          <w:sz w:val="32"/>
          <w:szCs w:val="32"/>
          <w:lang w:val="en-US" w:eastAsia="zh-CN" w:bidi="ar-SA"/>
          <w:highlight w:val="auto"/>
        </w:rPr>
        <w:t>次，出国（境）</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人</w:t>
      </w:r>
      <w:r>
        <w:rPr>
          <w:rFonts w:ascii="Times New Roman" w:eastAsia="仿宋_GB2312" w:cs="仿宋_GB2312" w:hAnsi="Times New Roman" w:hint="eastAsia"/>
          <w:color w:val="auto"/>
          <w:kern w:val="2"/>
          <w:sz w:val="32"/>
          <w:szCs w:val="32"/>
          <w:lang w:val="en-US" w:eastAsia="zh-CN" w:bidi="ar-SA"/>
          <w:highlight w:val="auto"/>
        </w:rPr>
        <w:t>。2023年度</w:t>
      </w:r>
      <w:r>
        <w:rPr>
          <w:rFonts w:ascii="Times New Roman" w:eastAsia="仿宋_GB2312" w:cs="仿宋_GB2312" w:hAnsi="Times New Roman"/>
          <w:color w:val="auto"/>
          <w:kern w:val="2"/>
          <w:sz w:val="32"/>
          <w:szCs w:val="32"/>
          <w:lang w:val="en-US" w:eastAsia="zh-CN" w:bidi="ar-SA"/>
          <w:highlight w:val="auto"/>
        </w:rPr>
        <w:t>未产生</w:t>
      </w:r>
      <w:r>
        <w:rPr>
          <w:rFonts w:ascii="Times New Roman" w:eastAsia="仿宋_GB2312" w:cs="仿宋_GB2312" w:hAnsi="Times New Roman" w:hint="eastAsia"/>
          <w:color w:val="auto"/>
          <w:kern w:val="2"/>
          <w:sz w:val="32"/>
          <w:szCs w:val="32"/>
          <w:lang w:val="en-US" w:eastAsia="zh-CN" w:bidi="ar-SA"/>
          <w:highlight w:val="auto"/>
        </w:rPr>
        <w:t>因公出国（境）支出决算。</w:t>
      </w:r>
    </w:p>
    <w:p>
      <w:pPr>
        <w:spacing w:line="600" w:lineRule="exact"/>
        <w:ind w:firstLine="640"/>
        <w:rPr>
          <w:rFonts w:ascii="Times New Roman" w:eastAsia="仿宋_GB2312" w:cs="仿宋_GB2312" w:hAnsi="Times New Roman"/>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2.公务用车购置及运行维护费支出</w:t>
      </w:r>
      <w:r>
        <w:rPr>
          <w:rFonts w:ascii="仿宋_GB2312" w:eastAsia="仿宋_GB2312" w:cs="仿宋_GB2312" w:hint="eastAsia"/>
          <w:b/>
          <w:bCs/>
          <w:color w:val="auto"/>
          <w:kern w:val="2"/>
          <w:sz w:val="32"/>
          <w:szCs w:val="32"/>
          <w:lang w:val="en-US" w:eastAsia="zh-CN" w:bidi="ar-SA"/>
          <w:highlight w:val="auto"/>
        </w:rPr>
        <w:t>0万</w:t>
      </w:r>
      <w:r>
        <w:rPr>
          <w:rFonts w:ascii="Times New Roman" w:eastAsia="仿宋_GB2312" w:cs="仿宋_GB2312" w:hAnsi="Times New Roman" w:hint="eastAsia"/>
          <w:b/>
          <w:bCs/>
          <w:color w:val="auto"/>
          <w:kern w:val="2"/>
          <w:sz w:val="32"/>
          <w:szCs w:val="32"/>
          <w:lang w:val="en-US" w:eastAsia="zh-CN" w:bidi="ar-SA"/>
          <w:highlight w:val="auto"/>
        </w:rPr>
        <w:t>元</w:t>
      </w:r>
      <w:r>
        <w:rPr>
          <w:rFonts w:eastAsia="仿宋_GB2312" w:cs="仿宋_GB2312" w:hint="eastAsia"/>
          <w:b/>
          <w:bCs/>
          <w:color w:val="auto"/>
          <w:kern w:val="2"/>
          <w:sz w:val="32"/>
          <w:szCs w:val="32"/>
          <w:lang w:val="en-US" w:eastAsia="zh-CN" w:bidi="ar-SA"/>
          <w:highlight w:val="auto"/>
        </w:rPr>
        <w:t>，</w:t>
      </w:r>
      <w:r>
        <w:rPr>
          <w:rFonts w:ascii="Times New Roman" w:eastAsia="仿宋_GB2312" w:cs="仿宋_GB2312" w:hAnsi="Times New Roman" w:hint="eastAsia"/>
          <w:b/>
          <w:bCs/>
          <w:color w:val="auto"/>
          <w:kern w:val="2"/>
          <w:sz w:val="32"/>
          <w:szCs w:val="32"/>
          <w:lang w:val="en-US" w:eastAsia="zh-CN" w:bidi="ar-SA"/>
          <w:highlight w:val="auto"/>
        </w:rPr>
        <w:t>完成预算</w:t>
      </w:r>
      <w:r>
        <w:rPr>
          <w:rFonts w:ascii="Times New Roman" w:eastAsia="仿宋_GB2312" w:cs="仿宋_GB2312" w:hAnsi="Times New Roman"/>
          <w:b/>
          <w:bCs/>
          <w:color w:val="auto"/>
          <w:kern w:val="2"/>
          <w:sz w:val="32"/>
          <w:szCs w:val="32"/>
          <w:lang w:val="en-US" w:eastAsia="zh-CN" w:bidi="ar-SA"/>
          <w:highlight w:val="auto"/>
        </w:rPr>
        <w:t>100</w:t>
      </w:r>
      <w:r>
        <w:rPr>
          <w:rFonts w:ascii="Times New Roman" w:eastAsia="仿宋_GB2312" w:cs="仿宋_GB2312" w:hAnsi="Times New Roman" w:hint="eastAsia"/>
          <w:b/>
          <w:bCs/>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2023年度</w:t>
      </w:r>
      <w:r>
        <w:rPr>
          <w:rFonts w:ascii="Times New Roman" w:eastAsia="仿宋_GB2312" w:cs="仿宋_GB2312" w:hAnsi="Times New Roman"/>
          <w:color w:val="auto"/>
          <w:kern w:val="2"/>
          <w:sz w:val="32"/>
          <w:szCs w:val="32"/>
          <w:lang w:val="en-US" w:eastAsia="zh-CN" w:bidi="ar-SA"/>
          <w:highlight w:val="auto"/>
        </w:rPr>
        <w:t>未产生</w:t>
      </w:r>
      <w:r>
        <w:rPr>
          <w:rFonts w:ascii="Times New Roman" w:eastAsia="仿宋_GB2312" w:cs="仿宋_GB2312" w:hAnsi="Times New Roman" w:hint="eastAsia"/>
          <w:color w:val="auto"/>
          <w:kern w:val="2"/>
          <w:sz w:val="32"/>
          <w:szCs w:val="32"/>
          <w:lang w:val="en-US" w:eastAsia="zh-CN" w:bidi="ar-SA"/>
          <w:highlight w:val="auto"/>
        </w:rPr>
        <w:t>公务用车购置及运行维护费支出。</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其中：公务用车购置支</w:t>
      </w:r>
      <w:r>
        <w:rPr>
          <w:rFonts w:ascii="仿宋_GB2312" w:eastAsia="仿宋_GB2312" w:cs="仿宋_GB2312" w:hint="eastAsia"/>
          <w:color w:val="auto"/>
          <w:kern w:val="2"/>
          <w:sz w:val="32"/>
          <w:szCs w:val="32"/>
          <w:lang w:val="en-US" w:eastAsia="zh-CN" w:bidi="ar-SA"/>
          <w:highlight w:val="auto"/>
        </w:rPr>
        <w:t>出</w:t>
      </w:r>
      <w:r>
        <w:rPr>
          <w:rFonts w:ascii="仿宋_GB2312" w:eastAsia="仿宋_GB2312" w:cs="仿宋_GB2312" w:hint="eastAsia"/>
          <w:sz w:val="32"/>
          <w:szCs w:val="32"/>
        </w:rPr>
        <w:t>0</w:t>
      </w:r>
      <w:r>
        <w:rPr>
          <w:rFonts w:ascii="Times New Roman" w:eastAsia="仿宋_GB2312" w:cs="仿宋_GB2312" w:hAnsi="Times New Roman" w:hint="eastAsia"/>
          <w:color w:val="auto"/>
          <w:kern w:val="2"/>
          <w:sz w:val="32"/>
          <w:szCs w:val="32"/>
          <w:lang w:val="en-US" w:eastAsia="zh-CN" w:bidi="ar-SA"/>
          <w:highlight w:val="auto"/>
        </w:rPr>
        <w:t>万元。全年按规定更新购置公务用车</w:t>
      </w:r>
      <w:r>
        <w:rPr>
          <w:rFonts w:ascii="Times New Roman" w:eastAsia="仿宋_GB2312" w:cs="仿宋_GB2312" w:hAnsi="Times New Roman"/>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辆，其中：轿车</w:t>
      </w:r>
      <w:r>
        <w:rPr>
          <w:rFonts w:ascii="Times New Roman" w:eastAsia="仿宋_GB2312" w:cs="仿宋_GB2312" w:hAnsi="Times New Roman"/>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辆、金额</w:t>
      </w:r>
      <w:r>
        <w:rPr>
          <w:rFonts w:ascii="Times New Roman" w:eastAsia="仿宋_GB2312" w:cs="仿宋_GB2312" w:hAnsi="Times New Roman"/>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万元，越野车</w:t>
      </w:r>
      <w:r>
        <w:rPr>
          <w:rFonts w:ascii="Times New Roman" w:eastAsia="仿宋_GB2312" w:cs="仿宋_GB2312" w:hAnsi="Times New Roman"/>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辆、金额</w:t>
      </w:r>
      <w:r>
        <w:rPr>
          <w:rFonts w:ascii="Times New Roman" w:eastAsia="仿宋_GB2312" w:cs="仿宋_GB2312" w:hAnsi="Times New Roman"/>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万元，载客汽车</w:t>
      </w:r>
      <w:r>
        <w:rPr>
          <w:rFonts w:ascii="Times New Roman" w:eastAsia="仿宋_GB2312" w:cs="仿宋_GB2312" w:hAnsi="Times New Roman"/>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辆、金额</w:t>
      </w:r>
      <w:r>
        <w:rPr>
          <w:rFonts w:ascii="Times New Roman" w:eastAsia="仿宋_GB2312" w:cs="仿宋_GB2312" w:hAnsi="Times New Roman"/>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万元。截至2024年12月31日，单位共有公务用车</w:t>
      </w:r>
      <w:r>
        <w:rPr>
          <w:rFonts w:ascii="Times New Roman" w:eastAsia="仿宋_GB2312" w:cs="仿宋_GB2312" w:hAnsi="Times New Roman"/>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辆，其中：轿车</w:t>
      </w:r>
      <w:r>
        <w:rPr>
          <w:rFonts w:ascii="Times New Roman" w:eastAsia="仿宋_GB2312" w:cs="仿宋_GB2312" w:hAnsi="Times New Roman"/>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辆、越野车</w:t>
      </w:r>
      <w:r>
        <w:rPr>
          <w:rFonts w:ascii="Times New Roman" w:eastAsia="仿宋_GB2312" w:cs="仿宋_GB2312" w:hAnsi="Times New Roman"/>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辆、载客汽车</w:t>
      </w:r>
      <w:r>
        <w:rPr>
          <w:rFonts w:ascii="Times New Roman" w:eastAsia="仿宋_GB2312" w:cs="仿宋_GB2312" w:hAnsi="Times New Roman"/>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辆。</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公务用车运行维护费支</w:t>
      </w:r>
      <w:r>
        <w:rPr>
          <w:rFonts w:ascii="仿宋_GB2312" w:eastAsia="仿宋_GB2312" w:cs="仿宋_GB2312" w:hint="eastAsia"/>
          <w:color w:val="auto"/>
          <w:kern w:val="2"/>
          <w:sz w:val="32"/>
          <w:szCs w:val="32"/>
          <w:lang w:val="en-US" w:eastAsia="zh-CN" w:bidi="ar-SA"/>
          <w:highlight w:val="auto"/>
        </w:rPr>
        <w:t>出</w:t>
      </w:r>
      <w:r>
        <w:rPr>
          <w:rFonts w:ascii="仿宋_GB2312" w:eastAsia="仿宋_GB2312" w:cs="仿宋_GB2312" w:hint="eastAsia"/>
          <w:sz w:val="32"/>
          <w:szCs w:val="32"/>
        </w:rPr>
        <w:t>0</w:t>
      </w:r>
      <w:r>
        <w:rPr>
          <w:rFonts w:ascii="Times New Roman" w:eastAsia="仿宋_GB2312" w:cs="仿宋_GB2312" w:hAnsi="Times New Roman" w:hint="eastAsia"/>
          <w:color w:val="auto"/>
          <w:kern w:val="2"/>
          <w:sz w:val="32"/>
          <w:szCs w:val="32"/>
          <w:lang w:val="en-US" w:eastAsia="zh-CN" w:bidi="ar-SA"/>
          <w:highlight w:val="auto"/>
        </w:rPr>
        <w:t>万元。</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3.公务接待费支出</w:t>
      </w:r>
      <w:r>
        <w:rPr>
          <w:rFonts w:ascii="仿宋_GB2312" w:eastAsia="仿宋_GB2312" w:cs="仿宋_GB2312" w:hint="eastAsia"/>
          <w:b/>
          <w:bCs/>
          <w:color w:val="auto"/>
          <w:kern w:val="2"/>
          <w:sz w:val="32"/>
          <w:szCs w:val="32"/>
          <w:lang w:val="en-US" w:eastAsia="zh-CN" w:bidi="ar-SA"/>
          <w:highlight w:val="auto"/>
        </w:rPr>
        <w:t>0万</w:t>
      </w:r>
      <w:r>
        <w:rPr>
          <w:rFonts w:ascii="Times New Roman" w:eastAsia="仿宋_GB2312" w:cs="仿宋_GB2312" w:hAnsi="Times New Roman" w:hint="eastAsia"/>
          <w:b/>
          <w:bCs/>
          <w:color w:val="auto"/>
          <w:kern w:val="2"/>
          <w:sz w:val="32"/>
          <w:szCs w:val="32"/>
          <w:lang w:val="en-US" w:eastAsia="zh-CN" w:bidi="ar-SA"/>
          <w:highlight w:val="auto"/>
        </w:rPr>
        <w:t>元，完成预算</w:t>
      </w:r>
      <w:r>
        <w:rPr>
          <w:rFonts w:ascii="Times New Roman" w:eastAsia="仿宋_GB2312" w:cs="仿宋_GB2312" w:hAnsi="Times New Roman"/>
          <w:b/>
          <w:bCs/>
          <w:color w:val="auto"/>
          <w:kern w:val="2"/>
          <w:sz w:val="32"/>
          <w:szCs w:val="32"/>
          <w:lang w:val="en-US" w:eastAsia="zh-CN" w:bidi="ar-SA"/>
          <w:highlight w:val="auto"/>
        </w:rPr>
        <w:t>100</w:t>
      </w:r>
      <w:r>
        <w:rPr>
          <w:rFonts w:ascii="Times New Roman" w:eastAsia="仿宋_GB2312" w:cs="仿宋_GB2312" w:hAnsi="Times New Roman" w:hint="eastAsia"/>
          <w:b/>
          <w:bCs/>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2023年度</w:t>
      </w:r>
      <w:r>
        <w:rPr>
          <w:rFonts w:ascii="Times New Roman" w:eastAsia="仿宋_GB2312" w:cs="仿宋_GB2312" w:hAnsi="Times New Roman"/>
          <w:color w:val="auto"/>
          <w:kern w:val="2"/>
          <w:sz w:val="32"/>
          <w:szCs w:val="32"/>
          <w:lang w:val="en-US" w:eastAsia="zh-CN" w:bidi="ar-SA"/>
          <w:highlight w:val="auto"/>
        </w:rPr>
        <w:t>未产生</w:t>
      </w:r>
      <w:r>
        <w:rPr>
          <w:rFonts w:ascii="Times New Roman" w:eastAsia="仿宋_GB2312" w:cs="仿宋_GB2312" w:hAnsi="Times New Roman" w:hint="eastAsia"/>
          <w:color w:val="auto"/>
          <w:kern w:val="2"/>
          <w:sz w:val="32"/>
          <w:szCs w:val="32"/>
          <w:lang w:val="en-US" w:eastAsia="zh-CN" w:bidi="ar-SA"/>
          <w:highlight w:val="auto"/>
        </w:rPr>
        <w:t>公务接待费支出。国内公务接待支</w:t>
      </w:r>
      <w:r>
        <w:rPr>
          <w:rFonts w:ascii="仿宋_GB2312" w:eastAsia="仿宋_GB2312" w:cs="仿宋_GB2312" w:hint="eastAsia"/>
          <w:color w:val="auto"/>
          <w:kern w:val="2"/>
          <w:sz w:val="32"/>
          <w:szCs w:val="32"/>
          <w:lang w:val="en-US" w:eastAsia="zh-CN" w:bidi="ar-SA"/>
          <w:highlight w:val="auto"/>
        </w:rPr>
        <w:t>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元。国内公务接</w:t>
      </w:r>
      <w:r>
        <w:rPr>
          <w:rFonts w:ascii="仿宋_GB2312" w:eastAsia="仿宋_GB2312" w:cs="仿宋_GB2312" w:hint="eastAsia"/>
          <w:color w:val="auto"/>
          <w:kern w:val="2"/>
          <w:sz w:val="32"/>
          <w:szCs w:val="32"/>
          <w:lang w:val="en-US" w:eastAsia="zh-CN" w:bidi="ar-SA"/>
          <w:highlight w:val="auto"/>
        </w:rPr>
        <w:t>待</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批次，</w:t>
      </w:r>
      <w:r>
        <w:rPr>
          <w:rFonts w:ascii="仿宋_GB2312" w:eastAsia="仿宋_GB2312" w:cs="仿宋_GB2312" w:hint="eastAsia"/>
          <w:sz w:val="32"/>
          <w:szCs w:val="32"/>
        </w:rPr>
        <w:t>0</w:t>
      </w:r>
      <w:r>
        <w:rPr>
          <w:rFonts w:ascii="Times New Roman" w:eastAsia="仿宋_GB2312" w:cs="仿宋_GB2312" w:hAnsi="Times New Roman" w:hint="eastAsia"/>
          <w:color w:val="auto"/>
          <w:kern w:val="2"/>
          <w:sz w:val="32"/>
          <w:szCs w:val="32"/>
          <w:lang w:val="en-US" w:eastAsia="zh-CN" w:bidi="ar-SA"/>
          <w:highlight w:val="auto"/>
        </w:rPr>
        <w:t>人次（不包括陪同人员）。</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外事接待支</w:t>
      </w:r>
      <w:r>
        <w:rPr>
          <w:rFonts w:ascii="仿宋_GB2312" w:eastAsia="仿宋_GB2312" w:cs="仿宋_GB2312" w:hint="eastAsia"/>
          <w:color w:val="auto"/>
          <w:kern w:val="2"/>
          <w:sz w:val="32"/>
          <w:szCs w:val="32"/>
          <w:lang w:val="en-US" w:eastAsia="zh-CN" w:bidi="ar-SA"/>
          <w:highlight w:val="auto"/>
        </w:rPr>
        <w:t>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万元。外事接待</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批次，</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人次（不包括陪同人员）</w:t>
      </w:r>
      <w:r>
        <w:rPr>
          <w:rFonts w:ascii="Times New Roman" w:eastAsia="仿宋_GB2312" w:cs="仿宋_GB2312" w:hAnsi="Times New Roman" w:hint="eastAsia"/>
          <w:color w:val="auto"/>
          <w:kern w:val="2"/>
          <w:sz w:val="32"/>
          <w:szCs w:val="32"/>
          <w:lang w:val="en-US" w:eastAsia="zh-CN" w:bidi="ar-SA"/>
          <w:highlight w:val="auto"/>
        </w:rPr>
        <w:t>。</w:t>
      </w:r>
      <w:bookmarkStart w:id="164" w:name="_Toc15377218"/>
      <w:bookmarkStart w:id="165" w:name="_Toc15396610"/>
    </w:p>
    <w:p>
      <w:pPr>
        <w:spacing w:line="600" w:lineRule="exact"/>
        <w:ind w:firstLine="640"/>
        <w:outlineLvl w:val="1"/>
        <w:rPr>
          <w:rStyle w:val="2Char"/>
          <w:rFonts w:ascii="Times New Roman" w:eastAsia="黑体" w:hAnsi="Times New Roman"/>
          <w:color w:val="auto"/>
          <w:highlight w:val="auto"/>
        </w:rPr>
      </w:pPr>
      <w:bookmarkStart w:id="166" w:name="_Toc57013146"/>
      <w:bookmarkStart w:id="167" w:name="_Toc57013204"/>
      <w:bookmarkStart w:id="168" w:name="_Toc57013262"/>
      <w:bookmarkStart w:id="169" w:name="_Toc57013314"/>
      <w:bookmarkStart w:id="170" w:name="_Toc57013416"/>
      <w:bookmarkStart w:id="171" w:name="_Toc57013474"/>
      <w:r>
        <w:rPr>
          <w:rFonts w:ascii="Times New Roman" w:eastAsia="黑体" w:hAnsi="Times New Roman" w:hint="eastAsia"/>
          <w:color w:val="auto"/>
          <w:sz w:val="32"/>
          <w:szCs w:val="32"/>
          <w:highlight w:val="auto"/>
        </w:rPr>
        <w:t>八、</w:t>
      </w:r>
      <w:r>
        <w:rPr>
          <w:rStyle w:val="2Char"/>
          <w:rFonts w:ascii="Times New Roman" w:eastAsia="黑体" w:hAnsi="Times New Roman" w:hint="eastAsia"/>
          <w:b w:val="0"/>
          <w:color w:val="auto"/>
          <w:highlight w:val="auto"/>
        </w:rPr>
        <w:t>政府性基金预算支出决算情况说明</w:t>
      </w:r>
      <w:bookmarkEnd w:id="164"/>
      <w:bookmarkEnd w:id="165"/>
      <w:bookmarkEnd w:id="166"/>
      <w:bookmarkEnd w:id="167"/>
      <w:bookmarkEnd w:id="168"/>
      <w:bookmarkEnd w:id="169"/>
      <w:bookmarkEnd w:id="170"/>
      <w:bookmarkEnd w:id="171"/>
    </w:p>
    <w:p>
      <w:pPr>
        <w:spacing w:line="600" w:lineRule="exact"/>
        <w:ind w:firstLine="640"/>
        <w:rPr>
          <w:rFonts w:eastAsia="仿宋_GB2312" w:cs="仿宋_GB2312" w:hint="eastAsia"/>
          <w:b/>
          <w:bCs/>
          <w:sz w:val="32"/>
          <w:szCs w:val="32"/>
        </w:rPr>
      </w:pPr>
      <w:r>
        <w:rPr>
          <w:rFonts w:ascii="仿宋_GB2312" w:eastAsia="仿宋_GB2312" w:cs="仿宋_GB2312" w:hint="eastAsia"/>
          <w:color w:val="auto"/>
          <w:kern w:val="2"/>
          <w:sz w:val="32"/>
          <w:szCs w:val="32"/>
          <w:lang w:val="en-US" w:eastAsia="zh-CN" w:bidi="ar-SA"/>
          <w:highlight w:val="auto"/>
        </w:rPr>
        <w:t>2024年度政府性基金预算财政拨款支出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万元，占本年支出合计的</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。2023年度</w:t>
      </w:r>
      <w:r>
        <w:rPr>
          <w:rFonts w:ascii="Times New Roman" w:eastAsia="仿宋_GB2312" w:cs="仿宋_GB2312" w:hAnsi="Times New Roman"/>
          <w:color w:val="auto"/>
          <w:kern w:val="2"/>
          <w:sz w:val="32"/>
          <w:szCs w:val="32"/>
          <w:lang w:val="en-US" w:eastAsia="zh-CN" w:bidi="ar-SA"/>
          <w:highlight w:val="auto"/>
        </w:rPr>
        <w:t>未产生</w:t>
      </w:r>
      <w:r>
        <w:rPr>
          <w:rFonts w:ascii="Times New Roman" w:eastAsia="仿宋_GB2312" w:cs="仿宋_GB2312" w:hAnsi="Times New Roman" w:hint="eastAsia"/>
          <w:color w:val="auto"/>
          <w:kern w:val="2"/>
          <w:sz w:val="32"/>
          <w:szCs w:val="32"/>
          <w:lang w:val="en-US" w:eastAsia="zh-CN" w:bidi="ar-SA"/>
          <w:highlight w:val="auto"/>
        </w:rPr>
        <w:t>政府性基金预算财政拨款支出</w:t>
      </w:r>
      <w:r>
        <w:rPr>
          <w:rFonts w:ascii="Times New Roman" w:eastAsia="仿宋_GB2312" w:cs="仿宋_GB2312" w:hAnsi="Times New Roman"/>
          <w:color w:val="auto"/>
          <w:kern w:val="2"/>
          <w:sz w:val="32"/>
          <w:szCs w:val="32"/>
          <w:lang w:val="en-US" w:eastAsia="zh-CN" w:bidi="ar-SA"/>
          <w:highlight w:val="auto"/>
        </w:rPr>
        <w:t>。</w:t>
      </w:r>
    </w:p>
    <w:p>
      <w:pPr>
        <w:spacing w:line="600" w:lineRule="exact"/>
        <w:ind w:left="630"/>
        <w:outlineLvl w:val="1"/>
        <w:rPr>
          <w:rStyle w:val="2Char"/>
          <w:rFonts w:ascii="Times New Roman" w:eastAsia="黑体" w:hAnsi="Times New Roman"/>
          <w:b w:val="0"/>
          <w:color w:val="auto"/>
          <w:highlight w:val="auto"/>
        </w:rPr>
      </w:pPr>
      <w:bookmarkStart w:id="172" w:name="_Toc15396611"/>
      <w:bookmarkStart w:id="173" w:name="_Toc15377219"/>
      <w:bookmarkStart w:id="174" w:name="_Toc57013147"/>
      <w:bookmarkStart w:id="175" w:name="_Toc57013205"/>
      <w:bookmarkStart w:id="176" w:name="_Toc57013263"/>
      <w:bookmarkStart w:id="177" w:name="_Toc57013315"/>
      <w:bookmarkStart w:id="178" w:name="_Toc57013417"/>
      <w:bookmarkStart w:id="179" w:name="_Toc57013475"/>
      <w:r>
        <w:rPr>
          <w:rStyle w:val="2Char"/>
          <w:rFonts w:ascii="Times New Roman" w:eastAsia="黑体" w:hAnsi="Times New Roman" w:hint="eastAsia"/>
          <w:b w:val="0"/>
          <w:color w:val="auto"/>
          <w:lang w:eastAsia="zh-CN"/>
          <w:highlight w:val="auto"/>
        </w:rPr>
        <w:t>九、</w:t>
      </w:r>
      <w:r>
        <w:rPr>
          <w:rStyle w:val="2Char"/>
          <w:rFonts w:ascii="Times New Roman" w:eastAsia="黑体" w:hAnsi="Times New Roman" w:hint="eastAsia"/>
          <w:b w:val="0"/>
          <w:color w:val="auto"/>
          <w:highlight w:val="auto"/>
        </w:rPr>
        <w:t>国有资本经营预算支出决算情况说明</w:t>
      </w:r>
      <w:bookmarkEnd w:id="172"/>
      <w:bookmarkEnd w:id="173"/>
      <w:bookmarkEnd w:id="174"/>
      <w:bookmarkEnd w:id="175"/>
      <w:bookmarkEnd w:id="176"/>
      <w:bookmarkEnd w:id="177"/>
      <w:bookmarkEnd w:id="178"/>
      <w:bookmarkEnd w:id="179"/>
    </w:p>
    <w:p>
      <w:pPr>
        <w:spacing w:line="600" w:lineRule="exact"/>
        <w:ind w:firstLine="640"/>
        <w:rPr>
          <w:rFonts w:ascii="Times New Roman" w:eastAsia="仿宋_GB2312" w:cs="仿宋_GB2312" w:hAnsi="Times New Roman"/>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2024年度国有资本经营预算财政拨款支出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万元，占本年支出合计的</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。2023年度</w:t>
      </w:r>
      <w:r>
        <w:rPr>
          <w:rFonts w:ascii="Times New Roman" w:eastAsia="仿宋_GB2312" w:cs="仿宋_GB2312" w:hAnsi="Times New Roman"/>
          <w:color w:val="auto"/>
          <w:kern w:val="2"/>
          <w:sz w:val="32"/>
          <w:szCs w:val="32"/>
          <w:lang w:val="en-US" w:eastAsia="zh-CN" w:bidi="ar-SA"/>
          <w:highlight w:val="auto"/>
        </w:rPr>
        <w:t>未产生</w:t>
      </w:r>
      <w:r>
        <w:rPr>
          <w:rFonts w:ascii="Times New Roman" w:eastAsia="仿宋_GB2312" w:cs="仿宋_GB2312" w:hAnsi="Times New Roman" w:hint="eastAsia"/>
          <w:color w:val="auto"/>
          <w:kern w:val="2"/>
          <w:sz w:val="32"/>
          <w:szCs w:val="32"/>
          <w:lang w:val="en-US" w:eastAsia="zh-CN" w:bidi="ar-SA"/>
          <w:highlight w:val="auto"/>
        </w:rPr>
        <w:t>国有资本经营预算财政拨款支出</w:t>
      </w:r>
      <w:bookmarkStart w:id="180" w:name="_Toc15396612"/>
      <w:bookmarkStart w:id="181" w:name="_Toc15377221"/>
      <w:r>
        <w:rPr>
          <w:rFonts w:ascii="Times New Roman" w:eastAsia="仿宋_GB2312" w:cs="仿宋_GB2312" w:hAnsi="Times New Roman"/>
          <w:color w:val="auto"/>
          <w:kern w:val="2"/>
          <w:sz w:val="32"/>
          <w:szCs w:val="32"/>
          <w:lang w:val="en-US" w:eastAsia="zh-CN" w:bidi="ar-SA"/>
          <w:highlight w:val="auto"/>
        </w:rPr>
        <w:t>。</w:t>
      </w:r>
    </w:p>
    <w:p>
      <w:pPr>
        <w:spacing w:line="600" w:lineRule="exact"/>
        <w:ind w:firstLine="640"/>
        <w:rPr>
          <w:rStyle w:val="2Char"/>
          <w:rFonts w:ascii="Times New Roman" w:eastAsia="黑体" w:hAnsi="Times New Roman" w:hint="eastAsia"/>
          <w:b w:val="0"/>
          <w:color w:val="auto"/>
          <w:highlight w:val="auto"/>
        </w:rPr>
      </w:pPr>
      <w:bookmarkStart w:id="182" w:name="_Toc57013148"/>
      <w:bookmarkStart w:id="183" w:name="_Toc57013206"/>
      <w:bookmarkStart w:id="184" w:name="_Toc57013264"/>
      <w:bookmarkStart w:id="185" w:name="_Toc57013316"/>
      <w:bookmarkStart w:id="186" w:name="_Toc57013418"/>
      <w:bookmarkStart w:id="187" w:name="_Toc57013476"/>
      <w:r>
        <w:rPr>
          <w:rStyle w:val="2Char"/>
          <w:rFonts w:ascii="Times New Roman" w:eastAsia="黑体" w:hAnsi="Times New Roman" w:hint="eastAsia"/>
          <w:b w:val="0"/>
          <w:color w:val="auto"/>
          <w:lang w:eastAsia="zh-CN"/>
          <w:highlight w:val="auto"/>
        </w:rPr>
        <w:t>十、</w:t>
      </w:r>
      <w:r>
        <w:rPr>
          <w:rStyle w:val="2Char"/>
          <w:rFonts w:ascii="Times New Roman" w:eastAsia="黑体" w:hAnsi="Times New Roman" w:hint="eastAsia"/>
          <w:b w:val="0"/>
          <w:color w:val="auto"/>
          <w:highlight w:val="auto"/>
        </w:rPr>
        <w:t>其他重要事项的情况说明</w:t>
      </w:r>
      <w:bookmarkEnd w:id="180"/>
      <w:bookmarkEnd w:id="181"/>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188" w:name="_Toc15377222"/>
      <w:bookmarkStart w:id="189" w:name="_Toc57013149"/>
      <w:bookmarkStart w:id="190" w:name="_Toc57013207"/>
      <w:bookmarkStart w:id="191" w:name="_Toc57013265"/>
      <w:bookmarkStart w:id="192" w:name="_Toc57013419"/>
      <w:bookmarkStart w:id="193" w:name="_Toc57013477"/>
      <w:bookmarkEnd w:id="182"/>
      <w:bookmarkEnd w:id="183"/>
      <w:bookmarkEnd w:id="184"/>
      <w:bookmarkEnd w:id="185"/>
      <w:bookmarkEnd w:id="186"/>
      <w:bookmarkEnd w:id="187"/>
      <w:r>
        <w:rPr>
          <w:rFonts w:ascii="Times New Roman" w:eastAsia="楷体_GB2312" w:cs="楷体_GB2312" w:hAnsi="Times New Roman" w:hint="eastAsia"/>
          <w:b/>
          <w:color w:val="auto"/>
          <w:sz w:val="32"/>
          <w:szCs w:val="32"/>
          <w:highlight w:val="auto"/>
        </w:rPr>
        <w:t>（一）机关运行经费支出情况</w:t>
      </w:r>
      <w:bookmarkEnd w:id="188"/>
      <w:bookmarkEnd w:id="189"/>
      <w:bookmarkEnd w:id="190"/>
      <w:bookmarkEnd w:id="191"/>
      <w:bookmarkEnd w:id="192"/>
      <w:bookmarkEnd w:id="193"/>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w:t>
      </w:r>
      <w:r>
        <w:rPr>
          <w:rFonts w:ascii="仿宋_GB2312" w:eastAsia="仿宋_GB2312" w:cs="仿宋_GB2312" w:hint="eastAsia"/>
          <w:color w:val="auto"/>
          <w:kern w:val="2"/>
          <w:sz w:val="32"/>
          <w:szCs w:val="32"/>
          <w:lang w:val="en-US" w:eastAsia="zh-CN" w:bidi="ar-SA"/>
          <w:highlight w:val="auto"/>
        </w:rPr>
        <w:t>，</w:t>
      </w:r>
      <w:r>
        <w:rPr>
          <w:rFonts w:ascii="仿宋_GB2312" w:eastAsia="仿宋_GB2312" w:cs="仿宋_GB2312" w:hint="eastAsia"/>
          <w:sz w:val="32"/>
          <w:szCs w:val="32"/>
        </w:rPr>
        <w:t>金川县党史研究和地方志编纂中心</w:t>
      </w:r>
      <w:r>
        <w:rPr>
          <w:rFonts w:ascii="仿宋_GB2312" w:eastAsia="仿宋_GB2312" w:cs="仿宋_GB2312" w:hint="eastAsia"/>
          <w:color w:val="auto"/>
          <w:kern w:val="2"/>
          <w:sz w:val="32"/>
          <w:szCs w:val="32"/>
          <w:lang w:val="en-US" w:eastAsia="zh-CN" w:bidi="ar-SA"/>
          <w:highlight w:val="auto"/>
        </w:rPr>
        <w:t>机关运行经费支出</w:t>
      </w:r>
      <w:r>
        <w:rPr>
          <w:rFonts w:ascii="仿宋_GB2312" w:eastAsia="仿宋_GB2312" w:cs="仿宋_GB2312" w:hint="eastAsia"/>
          <w:sz w:val="32"/>
          <w:szCs w:val="32"/>
        </w:rPr>
        <w:t>8.96</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元，比2023年度减少</w:t>
      </w:r>
      <w:r>
        <w:rPr>
          <w:rFonts w:ascii="Times New Roman" w:eastAsia="仿宋_GB2312" w:cs="仿宋_GB2312" w:hAnsi="Times New Roman"/>
          <w:color w:val="auto"/>
          <w:kern w:val="2"/>
          <w:sz w:val="32"/>
          <w:szCs w:val="32"/>
          <w:lang w:val="en-US" w:eastAsia="zh-CN" w:bidi="ar-SA"/>
          <w:highlight w:val="auto"/>
        </w:rPr>
        <w:t>0.76</w:t>
      </w:r>
      <w:r>
        <w:rPr>
          <w:rFonts w:ascii="Times New Roman" w:eastAsia="仿宋_GB2312" w:cs="仿宋_GB2312" w:hAnsi="Times New Roman" w:hint="eastAsia"/>
          <w:color w:val="auto"/>
          <w:kern w:val="2"/>
          <w:sz w:val="32"/>
          <w:szCs w:val="32"/>
          <w:lang w:val="en-US" w:eastAsia="zh-CN" w:bidi="ar-SA"/>
          <w:highlight w:val="auto"/>
        </w:rPr>
        <w:t>万元，下降</w:t>
      </w:r>
      <w:r>
        <w:rPr>
          <w:rFonts w:ascii="Times New Roman" w:eastAsia="仿宋_GB2312" w:cs="仿宋_GB2312" w:hAnsi="Times New Roman"/>
          <w:color w:val="auto"/>
          <w:kern w:val="2"/>
          <w:sz w:val="32"/>
          <w:szCs w:val="32"/>
          <w:lang w:val="en-US" w:eastAsia="zh-CN" w:bidi="ar-SA"/>
          <w:highlight w:val="auto"/>
        </w:rPr>
        <w:t>8.48</w:t>
      </w:r>
      <w:r>
        <w:rPr>
          <w:rFonts w:ascii="Times New Roman" w:eastAsia="仿宋_GB2312" w:cs="仿宋_GB2312" w:hAnsi="Times New Roman" w:hint="eastAsia"/>
          <w:color w:val="auto"/>
          <w:kern w:val="2"/>
          <w:sz w:val="32"/>
          <w:szCs w:val="32"/>
          <w:lang w:val="en-US" w:eastAsia="zh-CN" w:bidi="ar-SA"/>
          <w:highlight w:val="auto"/>
        </w:rPr>
        <w:t>%。主要原因是</w:t>
      </w:r>
      <w:r>
        <w:rPr>
          <w:rFonts w:ascii="仿宋_GB2312" w:eastAsia="仿宋_GB2312"/>
          <w:sz w:val="32"/>
          <w:szCs w:val="32"/>
        </w:rPr>
        <w:t>劳务费减少。</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194" w:name="_Toc15377223"/>
      <w:bookmarkStart w:id="195" w:name="_Toc57013150"/>
      <w:bookmarkStart w:id="196" w:name="_Toc57013208"/>
      <w:bookmarkStart w:id="197" w:name="_Toc57013266"/>
      <w:bookmarkStart w:id="198" w:name="_Toc57013420"/>
      <w:bookmarkStart w:id="199" w:name="_Toc57013478"/>
      <w:r>
        <w:rPr>
          <w:rFonts w:ascii="Times New Roman" w:eastAsia="楷体_GB2312" w:cs="楷体_GB2312" w:hAnsi="Times New Roman" w:hint="eastAsia"/>
          <w:b/>
          <w:color w:val="auto"/>
          <w:sz w:val="32"/>
          <w:szCs w:val="32"/>
          <w:highlight w:val="auto"/>
        </w:rPr>
        <w:t>（二）政府采购支出情况</w:t>
      </w:r>
      <w:bookmarkEnd w:id="194"/>
      <w:bookmarkEnd w:id="195"/>
      <w:bookmarkEnd w:id="196"/>
      <w:bookmarkEnd w:id="197"/>
      <w:bookmarkEnd w:id="198"/>
      <w:bookmarkEnd w:id="199"/>
    </w:p>
    <w:p>
      <w:pPr>
        <w:spacing w:line="600" w:lineRule="exact"/>
        <w:ind w:firstLine="640"/>
        <w:rPr>
          <w:rFonts w:ascii="仿宋_GB2312" w:eastAsia="仿宋_GB2312" w:cs="仿宋_GB2312" w:hint="eastAsia"/>
          <w:sz w:val="32"/>
          <w:szCs w:val="32"/>
        </w:rPr>
      </w:pPr>
      <w:r>
        <w:rPr>
          <w:rFonts w:ascii="仿宋_GB2312" w:eastAsia="仿宋_GB2312" w:cs="仿宋_GB2312" w:hint="eastAsia"/>
          <w:color w:val="auto"/>
          <w:kern w:val="2"/>
          <w:sz w:val="32"/>
          <w:szCs w:val="32"/>
          <w:lang w:val="en-US" w:eastAsia="zh-CN" w:bidi="ar-SA"/>
          <w:highlight w:val="auto"/>
        </w:rPr>
        <w:t>2024年度，</w:t>
      </w:r>
      <w:r>
        <w:rPr>
          <w:rFonts w:ascii="仿宋_GB2312" w:eastAsia="仿宋_GB2312" w:cs="仿宋_GB2312" w:hint="eastAsia"/>
          <w:sz w:val="32"/>
          <w:szCs w:val="32"/>
        </w:rPr>
        <w:t>金川县党史研究和地方志编纂中心</w:t>
      </w:r>
      <w:r>
        <w:rPr>
          <w:rFonts w:ascii="仿宋_GB2312" w:eastAsia="仿宋_GB2312" w:cs="仿宋_GB2312" w:hint="eastAsia"/>
          <w:color w:val="auto"/>
          <w:kern w:val="2"/>
          <w:sz w:val="32"/>
          <w:szCs w:val="32"/>
          <w:lang w:val="en-US" w:eastAsia="zh-CN" w:bidi="ar-SA"/>
          <w:highlight w:val="auto"/>
        </w:rPr>
        <w:t>政府采购支出总额</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万元，其中：政府采购货物支出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万元、政府采购工程支出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万元、政府采购服务支出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万元。主要用于……（具体工作）。授予中小企业合同金额</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万元，占政府采购支出总额的</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%，其中：授予小微企业合同金额</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万元，占政府采购支出总额的</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200" w:name="_Toc15377224"/>
      <w:bookmarkStart w:id="201" w:name="_Toc57013151"/>
      <w:bookmarkStart w:id="202" w:name="_Toc57013209"/>
      <w:bookmarkStart w:id="203" w:name="_Toc57013267"/>
      <w:bookmarkStart w:id="204" w:name="_Toc57013421"/>
      <w:bookmarkStart w:id="205" w:name="_Toc57013479"/>
      <w:r>
        <w:rPr>
          <w:rFonts w:ascii="Times New Roman" w:eastAsia="楷体_GB2312" w:cs="楷体_GB2312" w:hAnsi="Times New Roman" w:hint="eastAsia"/>
          <w:b/>
          <w:color w:val="auto"/>
          <w:sz w:val="32"/>
          <w:szCs w:val="32"/>
          <w:highlight w:val="auto"/>
        </w:rPr>
        <w:t>（三）国有资产占有使用情况</w:t>
      </w:r>
      <w:bookmarkEnd w:id="200"/>
      <w:bookmarkEnd w:id="201"/>
      <w:bookmarkEnd w:id="202"/>
      <w:bookmarkEnd w:id="203"/>
      <w:bookmarkEnd w:id="204"/>
      <w:bookmarkEnd w:id="205"/>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截至2024年12月31日，</w:t>
      </w:r>
      <w:r>
        <w:rPr>
          <w:rFonts w:ascii="仿宋_GB2312" w:eastAsia="仿宋_GB2312" w:cs="仿宋_GB2312" w:hint="eastAsia"/>
          <w:sz w:val="32"/>
          <w:szCs w:val="32"/>
        </w:rPr>
        <w:t>金川县党史研究和地方志编纂中心</w:t>
      </w:r>
      <w:r>
        <w:rPr>
          <w:rFonts w:ascii="仿宋_GB2312" w:eastAsia="仿宋_GB2312" w:cs="仿宋_GB2312" w:hint="eastAsia"/>
          <w:color w:val="auto"/>
          <w:kern w:val="2"/>
          <w:sz w:val="32"/>
          <w:szCs w:val="32"/>
          <w:lang w:val="en-US" w:eastAsia="zh-CN" w:bidi="ar-SA"/>
          <w:highlight w:val="auto"/>
        </w:rPr>
        <w:t>共有车辆</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辆，其中：主要负责人用车</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辆、机要通信用车</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辆、应急保障用车</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辆、其他用车</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辆，其他用车主要是用于……。单价100万元（含）以上设备（不含车辆）</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台（套）</w:t>
      </w:r>
      <w:r>
        <w:rPr>
          <w:rFonts w:ascii="Times New Roman" w:eastAsia="仿宋_GB2312" w:cs="仿宋_GB2312" w:hAnsi="Times New Roman" w:hint="eastAsia"/>
          <w:color w:val="auto"/>
          <w:kern w:val="2"/>
          <w:sz w:val="32"/>
          <w:szCs w:val="32"/>
          <w:lang w:val="en-US" w:eastAsia="zh-CN" w:bidi="ar-SA"/>
          <w:highlight w:val="auto"/>
        </w:rPr>
        <w:t>。</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206" w:name="_Toc57013152"/>
      <w:bookmarkStart w:id="207" w:name="_Toc57013210"/>
      <w:bookmarkStart w:id="208" w:name="_Toc57013268"/>
      <w:bookmarkStart w:id="209" w:name="_Toc57013422"/>
      <w:bookmarkStart w:id="210" w:name="_Toc57013480"/>
      <w:r>
        <w:rPr>
          <w:rFonts w:ascii="Times New Roman" w:eastAsia="楷体_GB2312" w:cs="楷体_GB2312" w:hAnsi="Times New Roman" w:hint="eastAsia"/>
          <w:b/>
          <w:color w:val="auto"/>
          <w:sz w:val="32"/>
          <w:szCs w:val="32"/>
          <w:highlight w:val="auto"/>
        </w:rPr>
        <w:t>（四）预算绩效管理情况</w:t>
      </w:r>
      <w:bookmarkEnd w:id="206"/>
      <w:bookmarkEnd w:id="207"/>
      <w:bookmarkEnd w:id="208"/>
      <w:bookmarkEnd w:id="209"/>
      <w:bookmarkEnd w:id="210"/>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根据预算绩效管理要求，</w:t>
      </w:r>
      <w:r>
        <w:rPr>
          <w:rFonts w:ascii="仿宋_GB2312" w:eastAsia="仿宋_GB2312" w:cs="仿宋_GB2312" w:hint="eastAsia"/>
          <w:sz w:val="32"/>
          <w:szCs w:val="32"/>
        </w:rPr>
        <w:t>本部门</w:t>
      </w:r>
      <w:r>
        <w:rPr>
          <w:rFonts w:ascii="Times New Roman" w:eastAsia="仿宋_GB2312" w:cs="仿宋_GB2312" w:hAnsi="Times New Roman" w:hint="eastAsia"/>
          <w:color w:val="auto"/>
          <w:kern w:val="2"/>
          <w:sz w:val="32"/>
          <w:szCs w:val="32"/>
          <w:lang w:val="en-US" w:eastAsia="zh-CN" w:bidi="ar-SA"/>
          <w:highlight w:val="auto"/>
        </w:rPr>
        <w:t>在2024年度预算编制阶段，组织对</w:t>
      </w:r>
      <w:r>
        <w:rPr>
          <w:rFonts w:ascii="Times New Roman" w:eastAsia="仿宋_GB2312" w:cs="仿宋_GB2312" w:hAnsi="Times New Roman" w:hint="eastAsia"/>
          <w:color w:val="auto"/>
          <w:kern w:val="2"/>
          <w:sz w:val="32"/>
          <w:szCs w:val="32"/>
          <w:lang w:val="en-US" w:eastAsia="zh-CN" w:bidi="ar-SA"/>
        </w:rPr>
        <w:t>51000021Y000000011490-日常公用经费</w:t>
      </w:r>
      <w:r>
        <w:rPr>
          <w:rFonts w:ascii="Times New Roman" w:eastAsia="仿宋_GB2312" w:cs="仿宋_GB2312" w:hAnsi="Times New Roman" w:hint="eastAsia"/>
          <w:color w:val="auto"/>
          <w:kern w:val="2"/>
          <w:sz w:val="32"/>
          <w:szCs w:val="32"/>
          <w:lang w:val="en-US" w:eastAsia="zh-CN" w:bidi="ar-SA"/>
          <w:highlight w:val="auto"/>
        </w:rPr>
        <w:t>等</w:t>
      </w:r>
      <w:r>
        <w:rPr>
          <w:rFonts w:ascii="Times New Roman" w:eastAsia="仿宋_GB2312" w:cs="仿宋_GB2312" w:hAnsi="Times New Roman"/>
          <w:color w:val="auto"/>
          <w:kern w:val="2"/>
          <w:sz w:val="32"/>
          <w:szCs w:val="32"/>
          <w:lang w:val="en-US" w:eastAsia="zh-CN" w:bidi="ar-SA"/>
          <w:highlight w:val="auto"/>
        </w:rPr>
        <w:t>29</w:t>
      </w:r>
      <w:r>
        <w:rPr>
          <w:rFonts w:ascii="Times New Roman" w:eastAsia="仿宋_GB2312" w:cs="仿宋_GB2312" w:hAnsi="Times New Roman" w:hint="eastAsia"/>
          <w:color w:val="auto"/>
          <w:kern w:val="2"/>
          <w:sz w:val="32"/>
          <w:szCs w:val="32"/>
          <w:lang w:val="en-US" w:eastAsia="zh-CN" w:bidi="ar-SA"/>
          <w:highlight w:val="auto"/>
        </w:rPr>
        <w:t>个项目开展了预算事前绩效评估，对</w:t>
      </w:r>
      <w:r>
        <w:rPr>
          <w:rFonts w:ascii="Times New Roman" w:eastAsia="仿宋_GB2312" w:cs="仿宋_GB2312" w:hAnsi="Times New Roman"/>
          <w:color w:val="auto"/>
          <w:kern w:val="2"/>
          <w:sz w:val="32"/>
          <w:szCs w:val="32"/>
          <w:lang w:val="en-US" w:eastAsia="zh-CN" w:bidi="ar-SA"/>
          <w:highlight w:val="auto"/>
        </w:rPr>
        <w:t>29</w:t>
      </w:r>
      <w:r>
        <w:rPr>
          <w:rFonts w:ascii="Times New Roman" w:eastAsia="仿宋_GB2312" w:cs="仿宋_GB2312" w:hAnsi="Times New Roman" w:hint="eastAsia"/>
          <w:color w:val="auto"/>
          <w:kern w:val="2"/>
          <w:sz w:val="32"/>
          <w:szCs w:val="32"/>
          <w:lang w:val="en-US" w:eastAsia="zh-CN" w:bidi="ar-SA"/>
          <w:highlight w:val="auto"/>
        </w:rPr>
        <w:t>个项目编制了绩效目标，预算执行过程中，选取</w:t>
      </w:r>
      <w:r>
        <w:rPr>
          <w:rFonts w:ascii="Times New Roman" w:eastAsia="仿宋_GB2312" w:cs="仿宋_GB2312" w:hAnsi="Times New Roman"/>
          <w:color w:val="auto"/>
          <w:kern w:val="2"/>
          <w:sz w:val="32"/>
          <w:szCs w:val="32"/>
          <w:lang w:val="en-US" w:eastAsia="zh-CN" w:bidi="ar-SA"/>
          <w:highlight w:val="auto"/>
        </w:rPr>
        <w:t>29</w:t>
      </w:r>
      <w:r>
        <w:rPr>
          <w:rFonts w:ascii="Times New Roman" w:eastAsia="仿宋_GB2312" w:cs="仿宋_GB2312" w:hAnsi="Times New Roman" w:hint="eastAsia"/>
          <w:color w:val="auto"/>
          <w:kern w:val="2"/>
          <w:sz w:val="32"/>
          <w:szCs w:val="32"/>
          <w:lang w:val="en-US" w:eastAsia="zh-CN" w:bidi="ar-SA"/>
          <w:highlight w:val="auto"/>
        </w:rPr>
        <w:t>个项目开展绩效监控。</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组织对2024年度一般公共预算、政府性基金预算、国有资本经营预算、社会保险基金预算以及资本资产、债券资金等全面开展绩效自评，形成</w:t>
      </w:r>
      <w:r>
        <w:rPr>
          <w:rFonts w:ascii="仿宋_GB2312" w:eastAsia="仿宋_GB2312" w:cs="仿宋_GB2312"/>
          <w:sz w:val="32"/>
          <w:szCs w:val="32"/>
        </w:rPr>
        <w:t>金川县史志中心</w:t>
      </w:r>
      <w:r>
        <w:rPr>
          <w:rFonts w:ascii="Times New Roman" w:eastAsia="仿宋_GB2312" w:cs="仿宋_GB2312" w:hAnsi="Times New Roman" w:hint="eastAsia"/>
          <w:color w:val="auto"/>
          <w:kern w:val="2"/>
          <w:sz w:val="32"/>
          <w:szCs w:val="32"/>
          <w:lang w:val="en-US" w:eastAsia="zh-CN" w:bidi="ar-SA"/>
          <w:highlight w:val="auto"/>
        </w:rPr>
        <w:t>部门整体（含部门预算项目）绩效自评报告，其中，</w:t>
      </w:r>
      <w:r>
        <w:rPr>
          <w:rFonts w:ascii="仿宋_GB2312" w:eastAsia="仿宋_GB2312" w:cs="仿宋_GB2312"/>
          <w:sz w:val="32"/>
          <w:szCs w:val="32"/>
        </w:rPr>
        <w:t>金川县史志中心</w:t>
      </w:r>
      <w:r>
        <w:rPr>
          <w:rFonts w:ascii="Times New Roman" w:eastAsia="仿宋_GB2312" w:cs="仿宋_GB2312" w:hAnsi="Times New Roman" w:hint="eastAsia"/>
          <w:color w:val="auto"/>
          <w:kern w:val="2"/>
          <w:sz w:val="32"/>
          <w:szCs w:val="32"/>
          <w:lang w:val="en-US" w:eastAsia="zh-CN" w:bidi="ar-SA"/>
          <w:highlight w:val="auto"/>
        </w:rPr>
        <w:t>部门整体（含部门预算项目）绩效自评得分为</w:t>
      </w:r>
      <w:r>
        <w:rPr>
          <w:rFonts w:ascii="Times New Roman" w:eastAsia="仿宋_GB2312" w:cs="仿宋_GB2312" w:hAnsi="Times New Roman"/>
          <w:color w:val="auto"/>
          <w:kern w:val="2"/>
          <w:sz w:val="32"/>
          <w:szCs w:val="32"/>
          <w:lang w:val="en-US" w:eastAsia="zh-CN" w:bidi="ar-SA"/>
          <w:highlight w:val="auto"/>
        </w:rPr>
        <w:t>94</w:t>
      </w:r>
      <w:r>
        <w:rPr>
          <w:rFonts w:ascii="Times New Roman" w:eastAsia="仿宋_GB2312" w:cs="仿宋_GB2312" w:hAnsi="Times New Roman" w:hint="eastAsia"/>
          <w:color w:val="auto"/>
          <w:kern w:val="2"/>
          <w:sz w:val="32"/>
          <w:szCs w:val="32"/>
          <w:lang w:val="en-US" w:eastAsia="zh-CN" w:bidi="ar-SA"/>
          <w:highlight w:val="auto"/>
        </w:rPr>
        <w:t>分，绩效自评综述</w:t>
      </w:r>
      <w:r>
        <w:rPr>
          <w:rFonts w:ascii="Times New Roman" w:eastAsia="仿宋_GB2312" w:cs="仿宋_GB2312" w:hAnsi="Times New Roman"/>
          <w:color w:val="auto"/>
          <w:kern w:val="2"/>
          <w:sz w:val="32"/>
          <w:szCs w:val="32"/>
          <w:lang w:val="en-US" w:eastAsia="zh-CN" w:bidi="ar-SA"/>
          <w:highlight w:val="auto"/>
        </w:rPr>
        <w:t>：:</w:t>
      </w:r>
      <w:r>
        <w:rPr>
          <w:rFonts w:eastAsia="仿宋_GB2312"/>
          <w:sz w:val="32"/>
          <w:szCs w:val="32"/>
          <w:lang w:eastAsia="zh-CN" w:bidi="ar-SA"/>
        </w:rPr>
        <w:t>我中心</w:t>
      </w:r>
      <w:r>
        <w:rPr>
          <w:rFonts w:eastAsia="仿宋_GB2312"/>
          <w:sz w:val="32"/>
          <w:szCs w:val="32"/>
          <w:lang w:bidi="ar-SA"/>
        </w:rPr>
        <w:t>按要求对202</w:t>
      </w:r>
      <w:r>
        <w:rPr>
          <w:rFonts w:eastAsia="仿宋_GB2312"/>
          <w:sz w:val="32"/>
          <w:szCs w:val="32"/>
          <w:lang w:val="en-US" w:eastAsia="zh-CN" w:bidi="ar-SA"/>
        </w:rPr>
        <w:t>4</w:t>
      </w:r>
      <w:r>
        <w:rPr>
          <w:rFonts w:eastAsia="仿宋_GB2312"/>
          <w:sz w:val="32"/>
          <w:szCs w:val="32"/>
          <w:lang w:bidi="ar-SA"/>
        </w:rPr>
        <w:t>年部门整体支出绩效评价情况开展自评，《</w:t>
      </w:r>
      <w:r>
        <w:rPr>
          <w:rFonts w:eastAsia="仿宋_GB2312"/>
          <w:sz w:val="32"/>
          <w:szCs w:val="32"/>
          <w:lang w:val="en-US" w:eastAsia="zh-CN" w:bidi="ar-SA"/>
        </w:rPr>
        <w:t>2024年金川县党史研究和地方编纂中心整体支出绩效评价报告</w:t>
      </w:r>
      <w:r>
        <w:rPr>
          <w:rFonts w:eastAsia="仿宋_GB2312"/>
          <w:sz w:val="32"/>
          <w:szCs w:val="32"/>
          <w:lang w:bidi="ar-SA"/>
        </w:rPr>
        <w:t>》见附件。</w:t>
      </w:r>
    </w:p>
    <w:p>
      <w:pPr>
        <w:spacing w:line="600" w:lineRule="exact"/>
        <w:ind w:firstLine="640"/>
        <w:rPr>
          <w:rFonts w:ascii="Times New Roman" w:eastAsia="仿宋_GB2312" w:cs="仿宋_GB2312" w:hAnsi="Times New Roman"/>
          <w:color w:val="auto"/>
          <w:kern w:val="2"/>
          <w:sz w:val="32"/>
          <w:szCs w:val="32"/>
          <w:lang w:val="en-US" w:eastAsia="zh-CN" w:bidi="ar-SA"/>
          <w:highlight w:val="auto"/>
        </w:rPr>
      </w:pPr>
    </w:p>
    <w:p>
      <w:pPr>
        <w:pStyle w:val="15"/>
      </w:pP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pStyle w:val="17"/>
        <w:rPr>
          <w:rFonts w:hint="eastAsia"/>
        </w:rPr>
      </w:pPr>
    </w:p>
    <w:p>
      <w:pPr>
        <w:spacing w:line="600" w:lineRule="exact"/>
        <w:jc w:val="center"/>
        <w:outlineLvl w:val="0"/>
        <w:rPr>
          <w:rFonts w:ascii="Times New Roman" w:eastAsia="黑体" w:hAnsi="Times New Roman" w:hint="eastAsia"/>
          <w:color w:val="auto"/>
          <w:sz w:val="44"/>
          <w:szCs w:val="44"/>
          <w:highlight w:val="auto"/>
        </w:rPr>
      </w:pPr>
      <w:bookmarkStart w:id="211" w:name="_Toc15377225"/>
      <w:bookmarkStart w:id="212" w:name="_Toc15396613"/>
      <w:bookmarkStart w:id="213" w:name="_Toc57013153"/>
      <w:bookmarkStart w:id="214" w:name="_Toc57013211"/>
      <w:bookmarkStart w:id="215" w:name="_Toc57013269"/>
      <w:bookmarkStart w:id="216" w:name="_Toc57013317"/>
      <w:bookmarkStart w:id="217" w:name="_Toc57013423"/>
      <w:bookmarkStart w:id="218" w:name="_Toc57013481"/>
      <w:r>
        <w:rPr>
          <w:rFonts w:ascii="Times New Roman" w:eastAsia="黑体" w:hAnsi="Times New Roman" w:hint="eastAsia"/>
          <w:color w:val="auto"/>
          <w:sz w:val="44"/>
          <w:szCs w:val="44"/>
          <w:highlight w:val="auto"/>
        </w:rPr>
        <w:t>第</w:t>
      </w:r>
      <w:r>
        <w:rPr>
          <w:rFonts w:eastAsia="黑体" w:hint="eastAsia"/>
          <w:color w:val="auto"/>
          <w:sz w:val="44"/>
          <w:szCs w:val="44"/>
          <w:lang w:eastAsia="zh-CN"/>
          <w:highlight w:val="auto"/>
        </w:rPr>
        <w:t>三</w:t>
      </w:r>
      <w:r>
        <w:rPr>
          <w:rFonts w:ascii="Times New Roman" w:eastAsia="黑体" w:hAnsi="Times New Roman" w:hint="eastAsia"/>
          <w:color w:val="auto"/>
          <w:sz w:val="44"/>
          <w:szCs w:val="44"/>
          <w:highlight w:val="auto"/>
        </w:rPr>
        <w:t>部分</w:t>
      </w:r>
      <w:r>
        <w:rPr>
          <w:rFonts w:ascii="Times New Roman" w:eastAsia="黑体" w:hAnsi="Times New Roman" w:hint="eastAsia"/>
          <w:color w:val="auto"/>
          <w:sz w:val="44"/>
          <w:szCs w:val="44"/>
          <w:lang w:val="en-US" w:eastAsia="zh-CN"/>
          <w:highlight w:val="auto"/>
        </w:rPr>
        <w:t xml:space="preserve"> </w:t>
      </w:r>
      <w:r>
        <w:rPr>
          <w:rFonts w:eastAsia="黑体" w:hint="eastAsia"/>
          <w:color w:val="auto"/>
          <w:sz w:val="44"/>
          <w:szCs w:val="44"/>
          <w:lang w:val="en-US" w:eastAsia="zh-CN"/>
          <w:highlight w:val="auto"/>
        </w:rPr>
        <w:t xml:space="preserve"> </w:t>
      </w:r>
      <w:r>
        <w:rPr>
          <w:rFonts w:ascii="Times New Roman" w:eastAsia="黑体" w:hAnsi="Times New Roman" w:hint="eastAsia"/>
          <w:color w:val="auto"/>
          <w:sz w:val="44"/>
          <w:szCs w:val="44"/>
          <w:highlight w:val="auto"/>
        </w:rPr>
        <w:t>名词解释</w:t>
      </w:r>
      <w:bookmarkEnd w:id="211"/>
      <w:bookmarkEnd w:id="212"/>
      <w:bookmarkEnd w:id="213"/>
      <w:bookmarkEnd w:id="214"/>
      <w:bookmarkEnd w:id="215"/>
      <w:bookmarkEnd w:id="216"/>
      <w:bookmarkEnd w:id="217"/>
      <w:bookmarkEnd w:id="218"/>
    </w:p>
    <w:p>
      <w:pPr>
        <w:spacing w:line="600" w:lineRule="exact"/>
        <w:jc w:val="left"/>
        <w:rPr>
          <w:rFonts w:ascii="Times New Roman" w:hAnsi="Times New Roman"/>
          <w:b/>
          <w:color w:val="auto"/>
          <w:sz w:val="44"/>
          <w:szCs w:val="44"/>
          <w:highlight w:val="auto"/>
        </w:rPr>
      </w:pPr>
    </w:p>
    <w:p>
      <w:pPr>
        <w:pStyle w:val="31"/>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1.财政拨款收入：指单位从同级财政部门取得的财政预算资金。</w:t>
      </w:r>
    </w:p>
    <w:p>
      <w:pPr>
        <w:pStyle w:val="31"/>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2.年初结转和结余：指以前年度尚未完成、结转到本年按有关规定继续使用的资金。</w:t>
      </w:r>
    </w:p>
    <w:p>
      <w:pPr>
        <w:pStyle w:val="31"/>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3.结余分配：指事业单位按照事业单位会计制度的规定从非财政补助结余中分配的事业基金和职工福利基金等。</w:t>
      </w:r>
    </w:p>
    <w:p>
      <w:pPr>
        <w:pStyle w:val="31"/>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4. 年末结转和结余：指单位按有关规定结转到下年或以后年度继续使用的资金。</w:t>
      </w:r>
    </w:p>
    <w:p>
      <w:pPr>
        <w:spacing w:line="600" w:lineRule="exact"/>
        <w:ind w:firstLineChars="200" w:firstLine="640"/>
        <w:rPr>
          <w:rFonts w:eastAsia="仿宋_GB2312"/>
          <w:color w:val="000000"/>
          <w:kern w:val="0"/>
          <w:sz w:val="32"/>
          <w:szCs w:val="32"/>
          <w:lang w:val="en-US" w:eastAsia="zh-CN" w:bidi="ar-SA"/>
        </w:rPr>
      </w:pPr>
      <w:r>
        <w:rPr>
          <w:rFonts w:eastAsia="仿宋_GB2312"/>
          <w:color w:val="000000"/>
          <w:kern w:val="0"/>
          <w:sz w:val="32"/>
          <w:szCs w:val="32"/>
          <w:lang w:val="en-US" w:eastAsia="zh-CN" w:bidi="ar-SA"/>
        </w:rPr>
        <w:t>5. 科学技术（类）社会科学（款）社会科学研究机构（项）: 指事业单位的基本支出。</w:t>
      </w:r>
    </w:p>
    <w:p>
      <w:pPr>
        <w:spacing w:line="600" w:lineRule="exact"/>
        <w:ind w:firstLineChars="200" w:firstLine="640"/>
        <w:rPr>
          <w:rFonts w:eastAsia="仿宋_GB2312"/>
          <w:color w:val="000000"/>
          <w:kern w:val="0"/>
          <w:sz w:val="32"/>
          <w:szCs w:val="32"/>
          <w:lang w:val="en-US" w:eastAsia="zh-CN" w:bidi="ar-SA"/>
        </w:rPr>
      </w:pPr>
      <w:r>
        <w:rPr>
          <w:rFonts w:eastAsia="仿宋_GB2312"/>
          <w:color w:val="000000"/>
          <w:kern w:val="0"/>
          <w:sz w:val="32"/>
          <w:szCs w:val="32"/>
          <w:lang w:val="en-US" w:eastAsia="zh-CN" w:bidi="ar-SA"/>
        </w:rPr>
        <w:t xml:space="preserve">6.社会保障和就业（类）行政事业单位养老（款）机关事业单位基本养老保险缴费支出（项）: </w:t>
      </w:r>
      <w:r>
        <w:rPr>
          <w:rFonts w:eastAsia="仿宋_GB2312"/>
          <w:color w:val="000000"/>
          <w:sz w:val="32"/>
          <w:szCs w:val="32"/>
        </w:rPr>
        <w:t>指单位为职工缴纳的基本养老保险费。</w:t>
      </w:r>
    </w:p>
    <w:p>
      <w:pPr>
        <w:ind w:firstLineChars="200" w:firstLine="640"/>
        <w:rPr>
          <w:rFonts w:eastAsia="仿宋_GB2312"/>
          <w:color w:val="000000"/>
          <w:sz w:val="32"/>
          <w:szCs w:val="32"/>
        </w:rPr>
      </w:pPr>
      <w:r>
        <w:rPr>
          <w:rFonts w:eastAsia="仿宋_GB2312"/>
          <w:color w:val="000000"/>
          <w:kern w:val="0"/>
          <w:sz w:val="32"/>
          <w:szCs w:val="32"/>
          <w:lang w:val="en-US" w:eastAsia="zh-CN" w:bidi="ar-SA"/>
        </w:rPr>
        <w:t>7. 社会保障和就业（类）行政事业单位养老（款）机关事业单位职业年金缴费支出（项）:</w:t>
      </w:r>
      <w:r>
        <w:rPr>
          <w:rFonts w:eastAsia="仿宋_GB2312"/>
          <w:color w:val="000000"/>
          <w:sz w:val="32"/>
          <w:szCs w:val="32"/>
        </w:rPr>
        <w:t>指单位为职工实际缴纳的职业年金。</w:t>
      </w:r>
    </w:p>
    <w:p>
      <w:pPr>
        <w:ind w:firstLineChars="200" w:firstLine="640"/>
        <w:rPr>
          <w:rFonts w:eastAsia="仿宋_GB2312"/>
          <w:color w:val="000000"/>
          <w:kern w:val="0"/>
          <w:sz w:val="32"/>
          <w:szCs w:val="32"/>
          <w:lang w:val="en-US" w:eastAsia="zh-CN" w:bidi="ar-SA"/>
        </w:rPr>
      </w:pPr>
      <w:r>
        <w:rPr>
          <w:rFonts w:eastAsia="仿宋_GB2312"/>
          <w:color w:val="000000"/>
          <w:kern w:val="0"/>
          <w:sz w:val="32"/>
          <w:szCs w:val="32"/>
          <w:lang w:val="en-US" w:eastAsia="zh-CN" w:bidi="ar-SA"/>
        </w:rPr>
        <w:t>8.卫生健康（类）行政事业单位医疗（款）事业单位医疗（项）:</w:t>
      </w:r>
      <w:r>
        <w:rPr>
          <w:rFonts w:eastAsia="仿宋_GB2312"/>
          <w:color w:val="000000"/>
          <w:sz w:val="32"/>
          <w:szCs w:val="32"/>
        </w:rPr>
        <w:t>指反映</w:t>
      </w:r>
      <w:r>
        <w:rPr>
          <w:rFonts w:eastAsia="仿宋_GB2312"/>
          <w:color w:val="000000"/>
          <w:sz w:val="32"/>
          <w:szCs w:val="32"/>
          <w:lang w:eastAsia="zh-CN"/>
        </w:rPr>
        <w:t>单位为</w:t>
      </w:r>
      <w:r>
        <w:rPr>
          <w:rFonts w:eastAsia="仿宋_GB2312"/>
          <w:color w:val="000000"/>
          <w:sz w:val="32"/>
          <w:szCs w:val="32"/>
        </w:rPr>
        <w:t>职工缴纳的基本医疗保险费</w:t>
      </w:r>
      <w:r>
        <w:rPr>
          <w:rFonts w:eastAsia="仿宋_GB2312"/>
          <w:color w:val="000000"/>
          <w:kern w:val="0"/>
          <w:sz w:val="32"/>
          <w:szCs w:val="32"/>
          <w:lang w:val="en-US" w:eastAsia="zh-CN" w:bidi="ar-SA"/>
        </w:rPr>
        <w:t>。</w:t>
      </w:r>
    </w:p>
    <w:p>
      <w:pPr>
        <w:spacing w:line="600" w:lineRule="exact"/>
        <w:ind w:firstLineChars="200" w:firstLine="640"/>
        <w:rPr>
          <w:rFonts w:eastAsia="仿宋_GB2312"/>
          <w:color w:val="000000"/>
          <w:kern w:val="0"/>
          <w:sz w:val="32"/>
          <w:szCs w:val="32"/>
          <w:lang w:val="en-US" w:eastAsia="zh-CN" w:bidi="ar-SA"/>
        </w:rPr>
      </w:pPr>
      <w:r>
        <w:rPr>
          <w:rFonts w:eastAsia="仿宋_GB2312"/>
          <w:color w:val="000000"/>
          <w:kern w:val="0"/>
          <w:sz w:val="32"/>
          <w:szCs w:val="32"/>
          <w:lang w:val="en-US" w:eastAsia="zh-CN" w:bidi="ar-SA"/>
        </w:rPr>
        <w:t>9.卫生健康（类）行政事业单位医疗（款）其他行政事业单位医疗（项）:</w:t>
      </w:r>
      <w:r>
        <w:rPr>
          <w:rFonts w:eastAsia="仿宋_GB2312"/>
          <w:color w:val="000000"/>
          <w:sz w:val="32"/>
          <w:szCs w:val="32"/>
        </w:rPr>
        <w:t>指按规定可享受</w:t>
      </w:r>
      <w:r>
        <w:rPr>
          <w:rFonts w:eastAsia="仿宋_GB2312"/>
          <w:color w:val="000000"/>
          <w:sz w:val="32"/>
          <w:szCs w:val="32"/>
          <w:lang w:eastAsia="zh-CN"/>
        </w:rPr>
        <w:t>其他</w:t>
      </w:r>
      <w:r>
        <w:rPr>
          <w:rFonts w:eastAsia="仿宋_GB2312"/>
          <w:color w:val="000000"/>
          <w:sz w:val="32"/>
          <w:szCs w:val="32"/>
        </w:rPr>
        <w:t>医疗补助单位为职工缴纳的公务员医疗补助费。</w:t>
      </w:r>
    </w:p>
    <w:p>
      <w:pPr>
        <w:spacing w:line="600" w:lineRule="exact"/>
        <w:ind w:firstLineChars="200" w:firstLine="640"/>
        <w:rPr>
          <w:rFonts w:eastAsia="仿宋_GB2312"/>
          <w:color w:val="000000"/>
          <w:sz w:val="32"/>
          <w:szCs w:val="32"/>
        </w:rPr>
      </w:pPr>
      <w:r>
        <w:rPr>
          <w:rFonts w:eastAsia="仿宋_GB2312"/>
          <w:color w:val="000000"/>
          <w:kern w:val="0"/>
          <w:sz w:val="32"/>
          <w:szCs w:val="32"/>
          <w:lang w:val="en-US" w:eastAsia="zh-CN" w:bidi="ar-SA"/>
        </w:rPr>
        <w:t>10.住房保障（类）住房改革支出（款）住房公积金（项） ：</w:t>
      </w:r>
      <w:r>
        <w:rPr>
          <w:rFonts w:eastAsia="仿宋_GB2312"/>
          <w:color w:val="000000"/>
          <w:sz w:val="32"/>
          <w:szCs w:val="32"/>
        </w:rPr>
        <w:t>指单位按规定为职工缴纳的住房公积金。</w:t>
      </w:r>
    </w:p>
    <w:p>
      <w:pPr>
        <w:ind w:firstLineChars="200" w:firstLine="640"/>
        <w:rPr>
          <w:rFonts w:eastAsia="仿宋_GB2312"/>
          <w:color w:val="000000"/>
          <w:sz w:val="32"/>
          <w:szCs w:val="32"/>
        </w:rPr>
      </w:pPr>
      <w:r>
        <w:rPr>
          <w:rFonts w:eastAsia="仿宋_GB2312"/>
          <w:color w:val="000000"/>
          <w:kern w:val="0"/>
          <w:sz w:val="32"/>
          <w:szCs w:val="32"/>
          <w:lang w:val="en-US" w:eastAsia="zh-CN" w:bidi="ar-SA"/>
        </w:rPr>
        <w:t>11.</w:t>
      </w:r>
      <w:r>
        <w:rPr>
          <w:rFonts w:eastAsia="仿宋_GB2312"/>
          <w:color w:val="000000"/>
          <w:sz w:val="32"/>
          <w:szCs w:val="32"/>
        </w:rPr>
        <w:t>基本支出：指为保障机构正常运转、完成日常工作任务而发生的人员支出和公用支出。</w:t>
      </w:r>
    </w:p>
    <w:p>
      <w:pPr>
        <w:ind w:firstLineChars="200" w:firstLine="640"/>
        <w:rPr>
          <w:rFonts w:eastAsia="仿宋_GB2312"/>
          <w:color w:val="000000"/>
          <w:sz w:val="32"/>
          <w:szCs w:val="32"/>
        </w:rPr>
      </w:pPr>
      <w:r>
        <w:rPr>
          <w:rFonts w:eastAsia="仿宋_GB2312"/>
          <w:color w:val="000000"/>
          <w:kern w:val="0"/>
          <w:sz w:val="32"/>
          <w:szCs w:val="32"/>
          <w:lang w:val="en-US" w:eastAsia="zh-CN" w:bidi="ar-SA"/>
        </w:rPr>
        <w:t>12.</w:t>
      </w:r>
      <w:r>
        <w:rPr>
          <w:rFonts w:eastAsia="仿宋_GB2312"/>
          <w:color w:val="000000"/>
          <w:sz w:val="32"/>
          <w:szCs w:val="32"/>
        </w:rPr>
        <w:t>项目支出：指在基本支出之外为完成特定行政任务和事业发展目标所发生的支出。</w:t>
      </w:r>
    </w:p>
    <w:p>
      <w:pPr>
        <w:pStyle w:val="31"/>
        <w:spacing w:line="560" w:lineRule="exact"/>
        <w:ind w:firstLineChars="200" w:firstLine="640"/>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1</w:t>
      </w:r>
      <w:r>
        <w:rPr>
          <w:rFonts w:ascii="Times New Roman" w:eastAsia="仿宋_GB2312" w:cs="Times New Roman" w:hAnsi="Times New Roman"/>
          <w:color w:val="000000"/>
          <w:sz w:val="32"/>
          <w:szCs w:val="32"/>
          <w:lang w:val="en-US" w:eastAsia="zh-CN"/>
        </w:rPr>
        <w:t>3</w:t>
      </w:r>
      <w:r>
        <w:rPr>
          <w:rFonts w:ascii="Times New Roman" w:eastAsia="仿宋_GB2312" w:cs="Times New Roman" w:hAnsi="Times New Roman"/>
          <w:color w:val="000000"/>
          <w:sz w:val="32"/>
          <w:szCs w:val="32"/>
        </w:rPr>
        <w:t>.</w:t>
      </w:r>
      <w:r>
        <w:rPr>
          <w:rFonts w:ascii="Times New Roman" w:eastAsia="仿宋_GB2312" w:cs="Times New Roman" w:hAnsi="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Chars="200" w:firstLine="640"/>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1</w:t>
      </w:r>
      <w:r>
        <w:rPr>
          <w:rFonts w:ascii="Times New Roman" w:eastAsia="仿宋_GB2312" w:cs="Times New Roman" w:hAnsi="Times New Roman"/>
          <w:color w:val="000000"/>
          <w:sz w:val="32"/>
          <w:szCs w:val="32"/>
          <w:lang w:val="en-US" w:eastAsia="zh-CN"/>
        </w:rPr>
        <w:t>4</w:t>
      </w:r>
      <w:r>
        <w:rPr>
          <w:rFonts w:ascii="Times New Roman" w:eastAsia="仿宋_GB2312" w:cs="Times New Roman" w:hAnsi="Times New Roman"/>
          <w:color w:val="000000"/>
          <w:sz w:val="32"/>
          <w:szCs w:val="32"/>
        </w:rPr>
        <w:t>.</w:t>
      </w:r>
      <w:r>
        <w:rPr>
          <w:rFonts w:ascii="Times New Roman" w:eastAsia="仿宋_GB2312" w:cs="Times New Roman" w:hAnsi="Times New Roman"/>
          <w:sz w:val="32"/>
          <w:szCs w:val="32"/>
          <w:lang w:eastAsia="zh-CN"/>
        </w:rPr>
        <w:t>公用</w:t>
      </w:r>
      <w:r>
        <w:rPr>
          <w:rFonts w:ascii="Times New Roman" w:eastAsia="仿宋_GB2312" w:cs="Times New Roman" w:hAnsi="Times New Roman"/>
          <w:sz w:val="32"/>
          <w:szCs w:val="32"/>
        </w:rPr>
        <w:t>经费：为保障行政单位（含参照公务员法管理的事业单位）运行用于购买货物和服务的各项资金，包括办公费、邮电费、差旅费、</w:t>
      </w:r>
      <w:r>
        <w:rPr>
          <w:rFonts w:ascii="Times New Roman" w:eastAsia="仿宋_GB2312" w:cs="Times New Roman" w:hAnsi="Times New Roman"/>
          <w:sz w:val="32"/>
          <w:szCs w:val="32"/>
          <w:lang w:eastAsia="zh-CN"/>
        </w:rPr>
        <w:t>劳务</w:t>
      </w:r>
      <w:r>
        <w:rPr>
          <w:rFonts w:ascii="Times New Roman" w:eastAsia="仿宋_GB2312" w:cs="Times New Roman" w:hAnsi="Times New Roman"/>
          <w:sz w:val="32"/>
          <w:szCs w:val="32"/>
        </w:rPr>
        <w:t>费、福利费、</w:t>
      </w:r>
      <w:r>
        <w:rPr>
          <w:rFonts w:ascii="Times New Roman" w:eastAsia="仿宋_GB2312" w:cs="Times New Roman" w:hAnsi="Times New Roman"/>
          <w:sz w:val="32"/>
          <w:szCs w:val="32"/>
          <w:lang w:eastAsia="zh-CN"/>
        </w:rPr>
        <w:t>电费、水费、咨询费、</w:t>
      </w:r>
      <w:r>
        <w:rPr>
          <w:rFonts w:ascii="Times New Roman" w:eastAsia="仿宋_GB2312" w:cs="Times New Roman" w:hAnsi="Times New Roman"/>
          <w:sz w:val="32"/>
          <w:szCs w:val="32"/>
        </w:rPr>
        <w:t>其他</w:t>
      </w:r>
      <w:r>
        <w:rPr>
          <w:rFonts w:ascii="Times New Roman" w:eastAsia="仿宋_GB2312" w:cs="Times New Roman" w:hAnsi="Times New Roman"/>
          <w:sz w:val="32"/>
          <w:szCs w:val="32"/>
          <w:lang w:eastAsia="zh-CN"/>
        </w:rPr>
        <w:t>交通</w:t>
      </w:r>
      <w:r>
        <w:rPr>
          <w:rFonts w:ascii="Times New Roman" w:eastAsia="仿宋_GB2312" w:cs="Times New Roman" w:hAnsi="Times New Roman"/>
          <w:sz w:val="32"/>
          <w:szCs w:val="32"/>
        </w:rPr>
        <w:t>费用。</w:t>
      </w:r>
      <w:r>
        <w:rPr>
          <w:rFonts w:ascii="Times New Roman" w:eastAsia="仿宋_GB2312" w:cs="Times New Roman" w:hAnsi="Times New Roman"/>
          <w:color w:val="000000"/>
          <w:sz w:val="32"/>
          <w:szCs w:val="32"/>
        </w:rPr>
        <w:t xml:space="preserve"> </w:t>
      </w:r>
    </w:p>
    <w:p>
      <w:pPr>
        <w:spacing w:line="600" w:lineRule="exact"/>
        <w:jc w:val="center"/>
        <w:rPr>
          <w:rStyle w:val="1Char"/>
          <w:rFonts w:ascii="Times New Roman" w:eastAsia="黑体" w:hAnsi="Times New Roman" w:hint="eastAsia"/>
          <w:b w:val="0"/>
          <w:color w:val="auto"/>
          <w:lang w:eastAsia="zh-CN"/>
          <w:highlight w:val="auto"/>
        </w:rPr>
      </w:pPr>
      <w:bookmarkStart w:id="219" w:name="_Toc15377226"/>
      <w:r>
        <w:rPr>
          <w:rFonts w:ascii="Times New Roman" w:eastAsia="仿宋_GB2312" w:cs="仿宋_GB2312" w:hAnsi="Times New Roman" w:hint="eastAsia"/>
          <w:color w:val="auto"/>
          <w:kern w:val="2"/>
          <w:sz w:val="32"/>
          <w:szCs w:val="32"/>
          <w:lang w:val="en-US" w:eastAsia="zh-CN" w:bidi="ar-SA"/>
          <w:highlight w:val="auto"/>
        </w:rPr>
        <w:br w:type="page"/>
      </w:r>
      <w:bookmarkStart w:id="220" w:name="_Toc15396614"/>
      <w:r>
        <w:rPr>
          <w:rFonts w:ascii="Times New Roman" w:eastAsia="黑体" w:hAnsi="Times New Roman" w:hint="eastAsia"/>
          <w:color w:val="auto"/>
          <w:sz w:val="44"/>
          <w:szCs w:val="44"/>
          <w:highlight w:val="auto"/>
        </w:rPr>
        <w:t>第四部分</w:t>
      </w:r>
      <w:r>
        <w:rPr>
          <w:rFonts w:ascii="Times New Roman" w:eastAsia="黑体" w:hAnsi="Times New Roman" w:hint="eastAsia"/>
          <w:color w:val="auto"/>
          <w:sz w:val="44"/>
          <w:szCs w:val="44"/>
          <w:lang w:val="en-US" w:eastAsia="zh-CN"/>
          <w:highlight w:val="auto"/>
        </w:rPr>
        <w:t xml:space="preserve"> </w:t>
      </w:r>
      <w:r>
        <w:rPr>
          <w:rFonts w:ascii="Times New Roman" w:eastAsia="黑体" w:hAnsi="Times New Roman" w:hint="eastAsia"/>
          <w:color w:val="auto"/>
          <w:sz w:val="44"/>
          <w:szCs w:val="44"/>
          <w:highlight w:val="auto"/>
        </w:rPr>
        <w:t xml:space="preserve"> 附件</w:t>
      </w:r>
      <w:bookmarkEnd w:id="220"/>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Times New Roman" w:eastAsia="黑体" w:cs="黑体" w:hAnsi="Times New Roman" w:hint="eastAsia"/>
          <w:color w:val="FF0000"/>
          <w:sz w:val="32"/>
          <w:szCs w:val="32"/>
          <w:highlight w:val="auto"/>
        </w:rPr>
      </w:pPr>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Times New Roman" w:eastAsia="黑体" w:cs="方正小标宋简体" w:hAnsi="Times New Roman" w:hint="eastAsia"/>
          <w:color w:val="auto"/>
          <w:sz w:val="44"/>
          <w:szCs w:val="44"/>
          <w:lang w:val="en-US" w:eastAsia="zh-CN"/>
          <w:highlight w:val="auto"/>
        </w:rPr>
      </w:pPr>
      <w:bookmarkStart w:id="221" w:name="_Toc57013154"/>
      <w:bookmarkStart w:id="222" w:name="_Toc57013212"/>
      <w:bookmarkStart w:id="223" w:name="_Toc57013270"/>
      <w:bookmarkStart w:id="224" w:name="_Toc57013318"/>
      <w:bookmarkStart w:id="225" w:name="_Toc57013424"/>
      <w:bookmarkStart w:id="226" w:name="_Toc57013482"/>
      <w:r>
        <w:rPr>
          <w:rFonts w:ascii="Times New Roman" w:eastAsia="黑体" w:cs="黑体" w:hAnsi="Times New Roman" w:hint="eastAsia"/>
          <w:color w:val="auto"/>
          <w:sz w:val="32"/>
          <w:szCs w:val="32"/>
          <w:highlight w:val="auto"/>
        </w:rPr>
        <w:t>附件</w:t>
      </w:r>
      <w:r>
        <w:rPr>
          <w:rFonts w:ascii="Times New Roman" w:eastAsia="黑体" w:cs="黑体" w:hAnsi="Times New Roman" w:hint="eastAsia"/>
          <w:color w:val="auto"/>
          <w:sz w:val="32"/>
          <w:szCs w:val="32"/>
          <w:lang w:val="en-US" w:eastAsia="zh-CN"/>
          <w:highlight w:val="auto"/>
        </w:rPr>
        <w:t>1</w:t>
      </w:r>
      <w:bookmarkEnd w:id="221"/>
      <w:bookmarkEnd w:id="222"/>
      <w:bookmarkEnd w:id="223"/>
      <w:bookmarkEnd w:id="224"/>
      <w:bookmarkEnd w:id="225"/>
      <w:bookmarkEnd w:id="226"/>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eastAsia="方正小标宋简体" w:cs="Times New Roman" w:hAnsi="Times New Roman"/>
          <w:b w:val="0"/>
          <w:bCs/>
          <w:sz w:val="44"/>
          <w:szCs w:val="44"/>
          <w:shd w:val="clear" w:color="auto" w:fill="FFFFFF"/>
          <w:highlight w:val="auto"/>
        </w:rPr>
      </w:pPr>
    </w:p>
    <w:p>
      <w:pPr>
        <w:spacing w:line="576" w:lineRule="exact"/>
        <w:jc w:val="center"/>
        <w:rPr>
          <w:rFonts w:ascii="方正小标宋简体" w:eastAsia="方正小标宋简体" w:cs="方正小标宋简体" w:hint="eastAsia"/>
          <w:sz w:val="44"/>
          <w:szCs w:val="44"/>
          <w:lang w:bidi="ar-SA"/>
        </w:rPr>
      </w:pPr>
      <w:r>
        <w:rPr>
          <w:rFonts w:ascii="方正小标宋简体" w:eastAsia="方正小标宋简体" w:cs="方正小标宋简体" w:hint="eastAsia"/>
          <w:sz w:val="44"/>
          <w:szCs w:val="44"/>
          <w:lang w:bidi="ar-SA"/>
        </w:rPr>
        <w:t>金川县党史研究和地方志编纂中心</w:t>
      </w:r>
    </w:p>
    <w:p>
      <w:pPr>
        <w:spacing w:line="576" w:lineRule="exact"/>
        <w:jc w:val="center"/>
        <w:rPr>
          <w:rFonts w:ascii="黑体" w:eastAsia="黑体" w:hint="eastAsia"/>
          <w:b/>
          <w:sz w:val="44"/>
          <w:szCs w:val="44"/>
        </w:rPr>
      </w:pPr>
      <w:r>
        <w:rPr>
          <w:rFonts w:ascii="Times New Roman" w:eastAsia="方正小标宋简体" w:cs="Times New Roman" w:hAnsi="Times New Roman"/>
          <w:bCs/>
          <w:sz w:val="44"/>
          <w:szCs w:val="44"/>
          <w:shd w:val="clear" w:color="auto" w:fill="FFFFFF"/>
          <w:lang w:bidi="ar-SA"/>
        </w:rPr>
        <w:t>20</w:t>
      </w:r>
      <w:r>
        <w:rPr>
          <w:rFonts w:ascii="Times New Roman" w:eastAsia="方正小标宋简体" w:cs="Times New Roman" w:hAnsi="Times New Roman"/>
          <w:bCs/>
          <w:sz w:val="44"/>
          <w:szCs w:val="44"/>
          <w:shd w:val="clear" w:color="auto" w:fill="FFFFFF"/>
          <w:lang w:val="en-US" w:eastAsia="zh-CN" w:bidi="ar-SA"/>
        </w:rPr>
        <w:t>24</w:t>
      </w:r>
      <w:r>
        <w:rPr>
          <w:rFonts w:ascii="Times New Roman" w:eastAsia="方正小标宋简体" w:cs="Times New Roman" w:hAnsi="Times New Roman"/>
          <w:bCs/>
          <w:sz w:val="44"/>
          <w:szCs w:val="44"/>
          <w:shd w:val="clear" w:color="auto" w:fill="FFFFFF"/>
          <w:lang w:bidi="ar-SA"/>
        </w:rPr>
        <w:t>年部门整体支出</w:t>
      </w:r>
      <w:r>
        <w:rPr>
          <w:rFonts w:ascii="Times New Roman" w:eastAsia="方正小标宋简体" w:cs="Times New Roman" w:hAnsi="Times New Roman"/>
          <w:bCs/>
          <w:sz w:val="44"/>
          <w:szCs w:val="44"/>
          <w:shd w:val="clear" w:color="auto" w:fill="FFFFFF"/>
          <w:lang w:bidi="ar-SA"/>
          <w:highlight w:val="auto"/>
        </w:rPr>
        <w:t>绩效</w:t>
      </w:r>
      <w:r>
        <w:rPr>
          <w:rFonts w:ascii="Times New Roman" w:eastAsia="方正小标宋简体" w:cs="Times New Roman" w:hAnsi="Times New Roman"/>
          <w:bCs/>
          <w:sz w:val="44"/>
          <w:szCs w:val="44"/>
          <w:shd w:val="clear" w:color="auto" w:fill="FFFFFF"/>
          <w:lang w:eastAsia="zh-CN" w:bidi="ar-SA"/>
          <w:highlight w:val="auto"/>
        </w:rPr>
        <w:t>评价</w:t>
      </w:r>
      <w:r>
        <w:rPr>
          <w:rFonts w:ascii="Times New Roman" w:eastAsia="方正小标宋简体" w:cs="Times New Roman" w:hAnsi="Times New Roman"/>
          <w:bCs/>
          <w:sz w:val="44"/>
          <w:szCs w:val="44"/>
          <w:shd w:val="clear" w:color="auto" w:fill="FFFFFF"/>
          <w:lang w:bidi="ar-SA"/>
        </w:rPr>
        <w:t>报告</w:t>
      </w:r>
    </w:p>
    <w:p>
      <w:pPr>
        <w:keepNext w:val="0"/>
        <w:keepLines w:val="0"/>
        <w:pageBreakBefore w:val="0"/>
        <w:widowControl/>
        <w:kinsoku/>
        <w:wordWrap/>
        <w:overflowPunct/>
        <w:topLinePunct w:val="0"/>
        <w:autoSpaceDE/>
        <w:autoSpaceDN/>
        <w:bidi w:val="0"/>
        <w:adjustRightInd w:val="0"/>
        <w:snapToGrid w:val="0"/>
        <w:spacing w:line="520" w:lineRule="exact"/>
        <w:ind w:firstLineChars="200" w:firstLine="640"/>
        <w:contextualSpacing/>
        <w:jc w:val="left"/>
        <w:textAlignment w:val="auto"/>
        <w:rPr>
          <w:rFonts w:ascii="仿宋_GB2312" w:eastAsia="仿宋_GB2312" w:cs="Times New Roman" w:hint="eastAsia"/>
          <w:bCs/>
          <w:color w:val="000000"/>
          <w:sz w:val="32"/>
          <w:szCs w:val="32"/>
          <w:shd w:val="clear" w:color="auto" w:fill="auto"/>
          <w:lang w:bidi="ar-SA"/>
        </w:rPr>
      </w:pPr>
    </w:p>
    <w:p>
      <w:pPr>
        <w:keepNext w:val="0"/>
        <w:keepLines w:val="0"/>
        <w:pageBreakBefore w:val="0"/>
        <w:widowControl/>
        <w:kinsoku/>
        <w:wordWrap/>
        <w:overflowPunct/>
        <w:topLinePunct w:val="0"/>
        <w:autoSpaceDE/>
        <w:autoSpaceDN/>
        <w:adjustRightInd w:val="0"/>
        <w:snapToGrid w:val="0"/>
        <w:spacing w:line="520" w:lineRule="exact"/>
        <w:ind w:firstLineChars="200" w:firstLine="640"/>
        <w:contextualSpacing/>
        <w:jc w:val="left"/>
        <w:rPr>
          <w:rFonts w:ascii="仿宋_GB2312" w:eastAsia="仿宋_GB2312" w:cs="楷体_GB2312" w:hint="eastAsia"/>
          <w:bCs/>
          <w:color w:val="000000"/>
          <w:sz w:val="32"/>
          <w:szCs w:val="32"/>
          <w:shd w:val="clear" w:color="auto" w:fill="auto"/>
          <w:lang w:val="zh-CN" w:eastAsia="zh-CN" w:bidi="ar-SA"/>
        </w:rPr>
      </w:pPr>
      <w:r>
        <w:rPr>
          <w:rFonts w:ascii="仿宋_GB2312" w:eastAsia="仿宋_GB2312" w:cs="楷体_GB2312" w:hint="eastAsia"/>
          <w:bCs/>
          <w:color w:val="000000"/>
          <w:sz w:val="32"/>
          <w:szCs w:val="32"/>
          <w:shd w:val="clear" w:color="auto" w:fill="auto"/>
          <w:lang w:val="zh-CN" w:eastAsia="zh-CN" w:bidi="ar-SA"/>
        </w:rPr>
        <w:t>根据金川县财政局《关于2024年县级部门绩效自评工作的通知》(金财监绩【2025】35号)精神,我中心认真开展部门整体支出绩效自评工作，现将部门整体支出绩效评价情况报告如下:</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cs="Times New Roman" w:hAnsi="Times New Roman"/>
          <w:sz w:val="32"/>
          <w:szCs w:val="32"/>
          <w:lang w:bidi="ar-SA"/>
        </w:rPr>
      </w:pPr>
      <w:r>
        <w:rPr>
          <w:rFonts w:eastAsia="黑体" w:cs="Times New Roman" w:hint="eastAsia"/>
          <w:color w:val="000000"/>
          <w:kern w:val="0"/>
          <w:sz w:val="32"/>
          <w:szCs w:val="32"/>
          <w:shd w:val="clear" w:color="auto" w:fill="FFFFFF"/>
          <w:lang w:val="zh-CN" w:eastAsia="zh-CN" w:bidi="ar-SA"/>
          <w:highlight w:val="auto"/>
        </w:rPr>
        <w:t>一、</w:t>
      </w:r>
      <w:r>
        <w:rPr>
          <w:rFonts w:ascii="Times New Roman" w:eastAsia="黑体" w:cs="Times New Roman" w:hAnsi="Times New Roman"/>
          <w:color w:val="000000"/>
          <w:kern w:val="0"/>
          <w:sz w:val="32"/>
          <w:szCs w:val="32"/>
          <w:shd w:val="clear" w:color="auto" w:fill="FFFFFF"/>
          <w:lang w:val="zh-CN" w:eastAsia="zh-CN" w:bidi="ar-SA"/>
          <w:highlight w:val="auto"/>
        </w:rPr>
        <w:t>部门（单位）基本情况</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楷体_GB2312" w:cs="Times New Roman" w:hAnsi="Times New Roman"/>
          <w:b/>
          <w:bCs/>
          <w:color w:val="000000"/>
          <w:kern w:val="0"/>
          <w:sz w:val="32"/>
          <w:szCs w:val="32"/>
          <w:shd w:val="clear" w:color="auto" w:fill="FFFFFF"/>
          <w:lang w:val="zh-CN" w:eastAsia="zh-CN" w:bidi="ar-SA"/>
          <w:highlight w:val="auto"/>
        </w:rPr>
      </w:pPr>
      <w:r>
        <w:rPr>
          <w:rFonts w:eastAsia="楷体_GB2312" w:cs="Times New Roman" w:hint="eastAsia"/>
          <w:b/>
          <w:bCs/>
          <w:color w:val="000000"/>
          <w:kern w:val="0"/>
          <w:sz w:val="32"/>
          <w:szCs w:val="32"/>
          <w:shd w:val="clear" w:color="auto" w:fill="FFFFFF"/>
          <w:lang w:val="zh-CN" w:eastAsia="zh-CN" w:bidi="ar-SA"/>
          <w:highlight w:val="auto"/>
        </w:rPr>
        <w:t>（一）</w:t>
      </w:r>
      <w:r>
        <w:rPr>
          <w:rFonts w:ascii="Times New Roman" w:eastAsia="楷体_GB2312" w:cs="Times New Roman" w:hAnsi="Times New Roman"/>
          <w:b/>
          <w:bCs/>
          <w:color w:val="000000"/>
          <w:kern w:val="0"/>
          <w:sz w:val="32"/>
          <w:szCs w:val="32"/>
          <w:shd w:val="clear" w:color="auto" w:fill="FFFFFF"/>
          <w:lang w:val="zh-CN" w:eastAsia="zh-CN" w:bidi="ar-SA"/>
          <w:highlight w:val="auto"/>
        </w:rPr>
        <w:t>机构组成。</w:t>
      </w:r>
    </w:p>
    <w:p>
      <w:pPr>
        <w:keepNext w:val="0"/>
        <w:keepLines w:val="0"/>
        <w:pageBreakBefore w:val="0"/>
        <w:widowControl/>
        <w:kinsoku/>
        <w:wordWrap/>
        <w:overflowPunct/>
        <w:topLinePunct w:val="0"/>
        <w:autoSpaceDE/>
        <w:autoSpaceDN/>
        <w:adjustRightInd w:val="0"/>
        <w:snapToGrid w:val="0"/>
        <w:spacing w:line="520" w:lineRule="exact"/>
        <w:ind w:firstLineChars="200" w:firstLine="640"/>
        <w:contextualSpacing/>
        <w:jc w:val="left"/>
        <w:rPr>
          <w:rFonts w:ascii="Times New Roman" w:cs="Times New Roman" w:hAnsi="Times New Roman"/>
          <w:sz w:val="32"/>
          <w:szCs w:val="32"/>
          <w:lang w:bidi="ar-SA"/>
        </w:rPr>
      </w:pPr>
      <w:r>
        <w:rPr>
          <w:rFonts w:ascii="仿宋_GB2312" w:eastAsia="仿宋_GB2312" w:cs="楷体_GB2312" w:hint="eastAsia"/>
          <w:bCs/>
          <w:color w:val="000000"/>
          <w:sz w:val="32"/>
          <w:szCs w:val="32"/>
          <w:shd w:val="clear" w:color="auto" w:fill="auto"/>
          <w:lang w:val="zh-CN" w:eastAsia="zh-CN" w:bidi="ar-SA"/>
        </w:rPr>
        <w:t>金川县党史研究和地方志编纂中心(以下简称史志中心)为一级预算单位，参照公务员管理，下设秘书资料室和总编室。</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eastAsia="楷体_GB2312"/>
          <w:b/>
          <w:bCs/>
          <w:color w:val="000000"/>
          <w:kern w:val="0"/>
          <w:sz w:val="32"/>
          <w:szCs w:val="32"/>
          <w:shd w:val="clear" w:color="auto" w:fill="FFFFFF"/>
          <w:lang w:val="zh-CN" w:eastAsia="zh-CN"/>
          <w:highlight w:val="auto"/>
        </w:rPr>
      </w:pPr>
      <w:r>
        <w:rPr>
          <w:rFonts w:eastAsia="楷体_GB2312" w:hint="eastAsia"/>
          <w:b/>
          <w:bCs/>
          <w:color w:val="000000"/>
          <w:kern w:val="0"/>
          <w:sz w:val="32"/>
          <w:szCs w:val="32"/>
          <w:shd w:val="clear" w:color="auto" w:fill="FFFFFF"/>
          <w:lang w:val="zh-CN" w:eastAsia="zh-CN"/>
          <w:highlight w:val="auto"/>
        </w:rPr>
        <w:t>（二）机构职能。</w:t>
      </w:r>
    </w:p>
    <w:p>
      <w:pPr>
        <w:keepNext w:val="0"/>
        <w:keepLines w:val="0"/>
        <w:pageBreakBefore w:val="0"/>
        <w:widowControl/>
        <w:kinsoku/>
        <w:wordWrap/>
        <w:overflowPunct/>
        <w:topLinePunct w:val="0"/>
        <w:autoSpaceDE/>
        <w:autoSpaceDN/>
        <w:adjustRightInd w:val="0"/>
        <w:snapToGrid w:val="0"/>
        <w:spacing w:line="520" w:lineRule="exact"/>
        <w:ind w:firstLineChars="200" w:firstLine="640"/>
        <w:contextualSpacing/>
        <w:jc w:val="left"/>
        <w:rPr>
          <w:rFonts w:ascii="仿宋_GB2312" w:eastAsia="仿宋_GB2312" w:cs="楷体_GB2312" w:hint="eastAsia"/>
          <w:bCs/>
          <w:color w:val="000000"/>
          <w:sz w:val="32"/>
          <w:szCs w:val="32"/>
          <w:shd w:val="clear" w:color="auto" w:fill="auto"/>
          <w:lang w:val="zh-CN" w:eastAsia="zh-CN" w:bidi="ar-SA"/>
        </w:rPr>
      </w:pPr>
      <w:r>
        <w:rPr>
          <w:rFonts w:ascii="仿宋_GB2312" w:eastAsia="仿宋_GB2312" w:cs="楷体_GB2312" w:hint="eastAsia"/>
          <w:bCs/>
          <w:color w:val="000000"/>
          <w:sz w:val="32"/>
          <w:szCs w:val="32"/>
          <w:shd w:val="clear" w:color="auto" w:fill="auto"/>
          <w:lang w:val="zh-CN" w:eastAsia="zh-CN" w:bidi="ar-SA"/>
        </w:rPr>
        <w:t>根据金委办〔1997〕50号文件规定：</w:t>
      </w:r>
    </w:p>
    <w:p>
      <w:pPr>
        <w:keepNext w:val="0"/>
        <w:keepLines w:val="0"/>
        <w:pageBreakBefore w:val="0"/>
        <w:widowControl/>
        <w:kinsoku/>
        <w:wordWrap/>
        <w:overflowPunct/>
        <w:topLinePunct w:val="0"/>
        <w:autoSpaceDE/>
        <w:autoSpaceDN/>
        <w:adjustRightInd w:val="0"/>
        <w:snapToGrid w:val="0"/>
        <w:spacing w:line="520" w:lineRule="exact"/>
        <w:ind w:firstLineChars="200" w:firstLine="640"/>
        <w:contextualSpacing/>
        <w:jc w:val="left"/>
        <w:rPr>
          <w:rFonts w:ascii="仿宋_GB2312" w:eastAsia="仿宋_GB2312" w:cs="楷体_GB2312" w:hint="eastAsia"/>
          <w:bCs/>
          <w:color w:val="000000"/>
          <w:sz w:val="32"/>
          <w:szCs w:val="32"/>
          <w:shd w:val="clear" w:color="auto" w:fill="auto"/>
          <w:lang w:val="zh-CN" w:eastAsia="zh-CN" w:bidi="ar-SA"/>
        </w:rPr>
      </w:pPr>
      <w:r>
        <w:rPr>
          <w:rFonts w:ascii="仿宋_GB2312" w:eastAsia="仿宋_GB2312" w:cs="楷体_GB2312" w:hint="eastAsia"/>
          <w:bCs/>
          <w:color w:val="000000"/>
          <w:sz w:val="32"/>
          <w:szCs w:val="32"/>
          <w:shd w:val="clear" w:color="auto" w:fill="auto"/>
          <w:lang w:val="zh-CN" w:eastAsia="zh-CN" w:bidi="ar-SA"/>
        </w:rPr>
        <w:t>（一）党史：按州委党史办和县委的部署，组织县内党史资料的收集整理，并开展研究工作。</w:t>
      </w:r>
    </w:p>
    <w:p>
      <w:pPr>
        <w:keepNext w:val="0"/>
        <w:keepLines w:val="0"/>
        <w:pageBreakBefore w:val="0"/>
        <w:widowControl/>
        <w:kinsoku/>
        <w:wordWrap/>
        <w:overflowPunct/>
        <w:topLinePunct w:val="0"/>
        <w:autoSpaceDE/>
        <w:autoSpaceDN/>
        <w:adjustRightInd w:val="0"/>
        <w:snapToGrid w:val="0"/>
        <w:spacing w:line="520" w:lineRule="exact"/>
        <w:ind w:firstLineChars="200" w:firstLine="640"/>
        <w:contextualSpacing/>
        <w:jc w:val="left"/>
        <w:rPr>
          <w:rFonts w:ascii="仿宋_GB2312" w:eastAsia="仿宋_GB2312" w:cs="楷体_GB2312" w:hint="eastAsia"/>
          <w:bCs/>
          <w:color w:val="000000"/>
          <w:sz w:val="32"/>
          <w:szCs w:val="32"/>
          <w:shd w:val="clear" w:color="auto" w:fill="auto"/>
          <w:lang w:val="zh-CN" w:eastAsia="zh-CN" w:bidi="ar-SA"/>
          <w:highlight w:val="auto"/>
        </w:rPr>
      </w:pPr>
      <w:r>
        <w:rPr>
          <w:rFonts w:ascii="仿宋_GB2312" w:eastAsia="仿宋_GB2312" w:cs="楷体_GB2312" w:hint="eastAsia"/>
          <w:bCs/>
          <w:color w:val="000000"/>
          <w:sz w:val="32"/>
          <w:szCs w:val="32"/>
          <w:shd w:val="clear" w:color="auto" w:fill="auto"/>
          <w:lang w:val="zh-CN" w:eastAsia="zh-CN" w:bidi="ar-SA"/>
          <w:highlight w:val="auto"/>
        </w:rPr>
        <w:t>（二）地方志：按“党委领导，政府主修，部门供稿，志办总纂成书”的工作格局编修县志、县综合年鉴，具体履行以下职责：</w:t>
      </w:r>
    </w:p>
    <w:p>
      <w:pPr>
        <w:keepNext w:val="0"/>
        <w:keepLines w:val="0"/>
        <w:pageBreakBefore w:val="0"/>
        <w:widowControl/>
        <w:kinsoku/>
        <w:wordWrap/>
        <w:overflowPunct/>
        <w:topLinePunct w:val="0"/>
        <w:autoSpaceDE/>
        <w:autoSpaceDN/>
        <w:adjustRightInd w:val="0"/>
        <w:snapToGrid w:val="0"/>
        <w:spacing w:line="520" w:lineRule="exact"/>
        <w:ind w:firstLineChars="200" w:firstLine="640"/>
        <w:contextualSpacing/>
        <w:jc w:val="left"/>
        <w:rPr>
          <w:rFonts w:ascii="仿宋_GB2312" w:eastAsia="仿宋_GB2312" w:cs="楷体_GB2312" w:hint="eastAsia"/>
          <w:bCs/>
          <w:color w:val="000000"/>
          <w:sz w:val="32"/>
          <w:szCs w:val="32"/>
          <w:shd w:val="clear" w:color="auto" w:fill="auto"/>
          <w:lang w:val="zh-CN" w:eastAsia="zh-CN" w:bidi="ar-SA"/>
          <w:highlight w:val="auto"/>
        </w:rPr>
      </w:pPr>
      <w:r>
        <w:rPr>
          <w:rFonts w:ascii="仿宋_GB2312" w:eastAsia="仿宋_GB2312" w:cs="楷体_GB2312" w:hint="eastAsia"/>
          <w:bCs/>
          <w:color w:val="000000"/>
          <w:sz w:val="32"/>
          <w:szCs w:val="32"/>
          <w:shd w:val="clear" w:color="auto" w:fill="auto"/>
          <w:lang w:val="zh-CN" w:eastAsia="zh-CN" w:bidi="ar-SA"/>
          <w:highlight w:val="auto"/>
        </w:rPr>
        <w:t>1、制定县内地方志规划，组织县内各级志书编纂和审定验收。</w:t>
      </w:r>
    </w:p>
    <w:p>
      <w:pPr>
        <w:keepNext w:val="0"/>
        <w:keepLines w:val="0"/>
        <w:pageBreakBefore w:val="0"/>
        <w:widowControl/>
        <w:kinsoku/>
        <w:wordWrap/>
        <w:overflowPunct/>
        <w:topLinePunct w:val="0"/>
        <w:autoSpaceDE/>
        <w:autoSpaceDN/>
        <w:adjustRightInd w:val="0"/>
        <w:snapToGrid w:val="0"/>
        <w:spacing w:line="520" w:lineRule="exact"/>
        <w:ind w:firstLineChars="200" w:firstLine="640"/>
        <w:contextualSpacing/>
        <w:jc w:val="left"/>
        <w:rPr>
          <w:rFonts w:ascii="仿宋_GB2312" w:eastAsia="仿宋_GB2312" w:cs="楷体_GB2312" w:hint="eastAsia"/>
          <w:bCs/>
          <w:color w:val="000000"/>
          <w:sz w:val="32"/>
          <w:szCs w:val="32"/>
          <w:shd w:val="clear" w:color="auto" w:fill="auto"/>
          <w:lang w:val="zh-CN" w:eastAsia="zh-CN" w:bidi="ar-SA"/>
          <w:highlight w:val="auto"/>
        </w:rPr>
      </w:pPr>
      <w:r>
        <w:rPr>
          <w:rFonts w:ascii="仿宋_GB2312" w:eastAsia="仿宋_GB2312" w:cs="楷体_GB2312" w:hint="eastAsia"/>
          <w:bCs/>
          <w:color w:val="000000"/>
          <w:sz w:val="32"/>
          <w:szCs w:val="32"/>
          <w:shd w:val="clear" w:color="auto" w:fill="auto"/>
          <w:lang w:val="zh-CN" w:eastAsia="zh-CN" w:bidi="ar-SA"/>
          <w:highlight w:val="auto"/>
        </w:rPr>
        <w:t>2、培训各部门修志干部，交流修志经验，开展地方志理论研究。</w:t>
      </w:r>
    </w:p>
    <w:p>
      <w:pPr>
        <w:keepNext w:val="0"/>
        <w:keepLines w:val="0"/>
        <w:pageBreakBefore w:val="0"/>
        <w:widowControl/>
        <w:kinsoku/>
        <w:wordWrap/>
        <w:overflowPunct/>
        <w:topLinePunct w:val="0"/>
        <w:autoSpaceDE/>
        <w:autoSpaceDN/>
        <w:adjustRightInd w:val="0"/>
        <w:snapToGrid w:val="0"/>
        <w:spacing w:line="520" w:lineRule="exact"/>
        <w:ind w:firstLineChars="200" w:firstLine="640"/>
        <w:contextualSpacing/>
        <w:jc w:val="left"/>
        <w:rPr>
          <w:rFonts w:ascii="仿宋_GB2312" w:eastAsia="仿宋_GB2312" w:cs="楷体_GB2312" w:hint="eastAsia"/>
          <w:bCs/>
          <w:color w:val="000000"/>
          <w:sz w:val="32"/>
          <w:szCs w:val="32"/>
          <w:shd w:val="clear" w:color="auto" w:fill="auto"/>
          <w:lang w:val="zh-CN" w:eastAsia="zh-CN" w:bidi="ar-SA"/>
          <w:highlight w:val="auto"/>
        </w:rPr>
      </w:pPr>
      <w:r>
        <w:rPr>
          <w:rFonts w:ascii="仿宋_GB2312" w:eastAsia="仿宋_GB2312" w:cs="楷体_GB2312" w:hint="eastAsia"/>
          <w:bCs/>
          <w:color w:val="000000"/>
          <w:sz w:val="32"/>
          <w:szCs w:val="32"/>
          <w:shd w:val="clear" w:color="auto" w:fill="auto"/>
          <w:lang w:val="zh-CN" w:eastAsia="zh-CN" w:bidi="ar-SA"/>
          <w:highlight w:val="auto"/>
        </w:rPr>
        <w:t>3、负责全县地情资料收集、整理、储存、开发利用，编写地情教育资料，为各级政府提供咨询服务。</w:t>
      </w:r>
    </w:p>
    <w:p>
      <w:pPr>
        <w:keepNext w:val="0"/>
        <w:keepLines w:val="0"/>
        <w:pageBreakBefore w:val="0"/>
        <w:widowControl/>
        <w:kinsoku/>
        <w:wordWrap/>
        <w:overflowPunct/>
        <w:topLinePunct w:val="0"/>
        <w:autoSpaceDE/>
        <w:autoSpaceDN/>
        <w:adjustRightInd w:val="0"/>
        <w:snapToGrid w:val="0"/>
        <w:spacing w:line="520" w:lineRule="exact"/>
        <w:ind w:firstLineChars="200" w:firstLine="640"/>
        <w:contextualSpacing/>
        <w:jc w:val="left"/>
        <w:rPr>
          <w:rFonts w:ascii="仿宋_GB2312" w:eastAsia="仿宋_GB2312" w:cs="楷体_GB2312" w:hint="eastAsia"/>
          <w:bCs/>
          <w:color w:val="000000"/>
          <w:sz w:val="32"/>
          <w:szCs w:val="32"/>
          <w:shd w:val="clear" w:color="auto" w:fill="auto"/>
          <w:lang w:val="zh-CN" w:eastAsia="zh-CN" w:bidi="ar-SA"/>
          <w:highlight w:val="auto"/>
        </w:rPr>
      </w:pPr>
      <w:r>
        <w:rPr>
          <w:rFonts w:ascii="仿宋_GB2312" w:eastAsia="仿宋_GB2312" w:cs="楷体_GB2312" w:hint="eastAsia"/>
          <w:bCs/>
          <w:color w:val="000000"/>
          <w:sz w:val="32"/>
          <w:szCs w:val="32"/>
          <w:shd w:val="clear" w:color="auto" w:fill="auto"/>
          <w:lang w:val="zh-CN" w:eastAsia="zh-CN" w:bidi="ar-SA"/>
          <w:highlight w:val="auto"/>
        </w:rPr>
        <w:t>4、</w:t>
      </w:r>
      <w:r>
        <w:rPr>
          <w:rFonts w:ascii="仿宋_GB2312" w:eastAsia="仿宋_GB2312" w:cs="楷体_GB2312" w:hint="eastAsia"/>
          <w:bCs/>
          <w:color w:val="000000"/>
          <w:sz w:val="32"/>
          <w:szCs w:val="32"/>
          <w:shd w:val="clear" w:color="auto" w:fill="auto"/>
          <w:lang w:val="zh-CN" w:eastAsia="zh-CN" w:bidi="ar-SA"/>
        </w:rPr>
        <w:t>积极与县教育局携手面向全县各类学校启动“六个一”品牌活动。</w:t>
      </w:r>
    </w:p>
    <w:p>
      <w:pPr>
        <w:keepNext w:val="0"/>
        <w:keepLines w:val="0"/>
        <w:pageBreakBefore w:val="0"/>
        <w:widowControl/>
        <w:kinsoku/>
        <w:wordWrap/>
        <w:overflowPunct/>
        <w:topLinePunct w:val="0"/>
        <w:autoSpaceDE/>
        <w:autoSpaceDN/>
        <w:adjustRightInd w:val="0"/>
        <w:snapToGrid w:val="0"/>
        <w:spacing w:line="520" w:lineRule="exact"/>
        <w:ind w:firstLineChars="200" w:firstLine="640"/>
        <w:contextualSpacing/>
        <w:jc w:val="left"/>
        <w:rPr>
          <w:rFonts w:ascii="仿宋_GB2312" w:eastAsia="仿宋_GB2312" w:cs="楷体_GB2312" w:hint="eastAsia"/>
          <w:bCs/>
          <w:color w:val="000000"/>
          <w:sz w:val="32"/>
          <w:szCs w:val="32"/>
          <w:shd w:val="clear" w:color="auto" w:fill="auto"/>
          <w:lang w:val="zh-CN" w:eastAsia="zh-CN" w:bidi="ar-SA"/>
          <w:highlight w:val="auto"/>
        </w:rPr>
      </w:pPr>
      <w:r>
        <w:rPr>
          <w:rFonts w:ascii="仿宋_GB2312" w:eastAsia="仿宋_GB2312" w:cs="楷体_GB2312" w:hint="eastAsia"/>
          <w:bCs/>
          <w:color w:val="000000"/>
          <w:sz w:val="32"/>
          <w:szCs w:val="32"/>
          <w:shd w:val="clear" w:color="auto" w:fill="auto"/>
          <w:lang w:val="zh-CN" w:eastAsia="zh-CN" w:bidi="ar-SA"/>
          <w:highlight w:val="auto"/>
        </w:rPr>
        <w:t>5、完成县委、县政府交办的其它工作。</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eastAsia="楷体_GB2312"/>
          <w:b/>
          <w:bCs/>
          <w:color w:val="000000"/>
          <w:kern w:val="0"/>
          <w:sz w:val="32"/>
          <w:szCs w:val="32"/>
          <w:shd w:val="clear" w:color="auto" w:fill="FFFFFF"/>
          <w:lang w:val="zh-CN" w:eastAsia="zh-CN"/>
          <w:highlight w:val="auto"/>
        </w:rPr>
      </w:pPr>
      <w:r>
        <w:rPr>
          <w:rFonts w:eastAsia="楷体_GB2312" w:hint="eastAsia"/>
          <w:b/>
          <w:bCs/>
          <w:color w:val="000000"/>
          <w:kern w:val="0"/>
          <w:sz w:val="32"/>
          <w:szCs w:val="32"/>
          <w:shd w:val="clear" w:color="auto" w:fill="FFFFFF"/>
          <w:lang w:val="zh-CN" w:eastAsia="zh-CN"/>
          <w:highlight w:val="auto"/>
        </w:rPr>
        <w:t>（三）人员概况。</w:t>
      </w:r>
    </w:p>
    <w:p>
      <w:pPr>
        <w:keepNext w:val="0"/>
        <w:keepLines w:val="0"/>
        <w:pageBreakBefore w:val="0"/>
        <w:widowControl/>
        <w:kinsoku/>
        <w:wordWrap/>
        <w:overflowPunct/>
        <w:topLinePunct w:val="0"/>
        <w:autoSpaceDE/>
        <w:autoSpaceDN/>
        <w:adjustRightInd w:val="0"/>
        <w:snapToGrid w:val="0"/>
        <w:spacing w:line="520" w:lineRule="exact"/>
        <w:ind w:firstLineChars="200" w:firstLine="640"/>
        <w:contextualSpacing/>
        <w:jc w:val="left"/>
        <w:rPr>
          <w:rFonts w:ascii="仿宋_GB2312" w:eastAsia="仿宋_GB2312" w:cs="楷体_GB2312" w:hint="eastAsia"/>
          <w:bCs/>
          <w:color w:val="000000"/>
          <w:sz w:val="32"/>
          <w:szCs w:val="32"/>
          <w:shd w:val="clear" w:color="auto" w:fill="auto"/>
          <w:lang w:val="zh-CN" w:eastAsia="zh-CN" w:bidi="ar-SA"/>
        </w:rPr>
      </w:pPr>
      <w:r>
        <w:rPr>
          <w:rFonts w:ascii="仿宋_GB2312" w:eastAsia="仿宋_GB2312" w:cs="楷体_GB2312" w:hint="eastAsia"/>
          <w:bCs/>
          <w:color w:val="000000"/>
          <w:sz w:val="32"/>
          <w:szCs w:val="32"/>
          <w:shd w:val="clear" w:color="auto" w:fill="auto"/>
          <w:lang w:val="zh-CN" w:eastAsia="zh-CN" w:bidi="ar-SA"/>
        </w:rPr>
        <w:t>金川县史志中心总编制6名,其中:参照公务员法管理的事业编制5名，工勤编制1名；截至2024年末，在职人员总数5名，其中：参照公务员法管理的事业人员4名，工勤编制1名；退休人员4人，遗属1人。</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Times New Roman" w:eastAsia="黑体" w:cs="Times New Roman" w:hAnsi="Times New Roman"/>
          <w:color w:val="000000"/>
          <w:kern w:val="0"/>
          <w:sz w:val="32"/>
          <w:szCs w:val="32"/>
          <w:shd w:val="clear" w:color="auto" w:fill="FFFFFF"/>
          <w:lang w:bidi="ar-SA"/>
          <w:highlight w:val="auto"/>
        </w:rPr>
      </w:pPr>
      <w:r>
        <w:rPr>
          <w:rFonts w:ascii="Times New Roman" w:eastAsia="黑体" w:cs="Times New Roman" w:hAnsi="Times New Roman"/>
          <w:color w:val="000000"/>
          <w:kern w:val="0"/>
          <w:sz w:val="32"/>
          <w:szCs w:val="32"/>
          <w:shd w:val="clear" w:color="auto" w:fill="FFFFFF"/>
          <w:lang w:bidi="ar-SA"/>
          <w:highlight w:val="auto"/>
        </w:rPr>
        <w:t>二、</w:t>
      </w:r>
      <w:r>
        <w:rPr>
          <w:rFonts w:ascii="Times New Roman" w:eastAsia="黑体" w:cs="Times New Roman" w:hAnsi="Times New Roman"/>
          <w:color w:val="000000"/>
          <w:kern w:val="0"/>
          <w:sz w:val="32"/>
          <w:szCs w:val="32"/>
          <w:shd w:val="clear" w:color="auto" w:fill="FFFFFF"/>
          <w:lang w:eastAsia="zh-CN" w:bidi="ar-SA"/>
          <w:highlight w:val="auto"/>
        </w:rPr>
        <w:t>部门</w:t>
      </w:r>
      <w:r>
        <w:rPr>
          <w:rFonts w:ascii="Times New Roman" w:eastAsia="黑体" w:cs="Times New Roman" w:hAnsi="Times New Roman"/>
          <w:color w:val="000000"/>
          <w:kern w:val="0"/>
          <w:sz w:val="32"/>
          <w:szCs w:val="32"/>
          <w:shd w:val="clear" w:color="auto" w:fill="FFFFFF"/>
          <w:lang w:bidi="ar-SA"/>
          <w:highlight w:val="auto"/>
        </w:rPr>
        <w:t>资金收支情况</w:t>
      </w:r>
    </w:p>
    <w:p>
      <w:pPr>
        <w:keepNext w:val="0"/>
        <w:keepLines w:val="0"/>
        <w:pageBreakBefore w:val="0"/>
        <w:widowControl w:val="0"/>
        <w:kinsoku/>
        <w:wordWrap/>
        <w:overflowPunct/>
        <w:topLinePunct w:val="0"/>
        <w:autoSpaceDE/>
        <w:autoSpaceDN/>
        <w:adjustRightInd/>
        <w:snapToGrid/>
        <w:spacing w:line="600" w:lineRule="exact"/>
        <w:ind w:firstLineChars="200" w:firstLine="640"/>
        <w:rPr>
          <w:rFonts w:eastAsia="楷体_GB2312" w:hint="eastAsia"/>
          <w:b/>
          <w:bCs/>
          <w:color w:val="000000"/>
          <w:kern w:val="0"/>
          <w:sz w:val="32"/>
          <w:szCs w:val="32"/>
          <w:shd w:val="clear" w:color="auto" w:fill="FFFFFF"/>
          <w:lang w:val="zh-CN" w:eastAsia="zh-CN"/>
        </w:rPr>
      </w:pPr>
      <w:r>
        <w:rPr>
          <w:rFonts w:eastAsia="楷体_GB2312" w:hint="eastAsia"/>
          <w:b/>
          <w:bCs/>
          <w:color w:val="000000"/>
          <w:kern w:val="0"/>
          <w:sz w:val="32"/>
          <w:szCs w:val="32"/>
          <w:shd w:val="clear" w:color="auto" w:fill="FFFFFF"/>
          <w:lang w:val="zh-CN" w:eastAsia="zh-CN"/>
        </w:rPr>
        <w:t>（一）部门财政资金收入情况</w:t>
      </w:r>
    </w:p>
    <w:p>
      <w:pPr>
        <w:keepNext w:val="0"/>
        <w:keepLines w:val="0"/>
        <w:pageBreakBefore w:val="0"/>
        <w:widowControl/>
        <w:kinsoku/>
        <w:wordWrap/>
        <w:overflowPunct/>
        <w:topLinePunct w:val="0"/>
        <w:autoSpaceDE/>
        <w:autoSpaceDN/>
        <w:adjustRightInd w:val="0"/>
        <w:snapToGrid w:val="0"/>
        <w:spacing w:line="520" w:lineRule="exact"/>
        <w:ind w:firstLineChars="200" w:firstLine="640"/>
        <w:contextualSpacing/>
        <w:jc w:val="left"/>
        <w:rPr>
          <w:rFonts w:ascii="仿宋_GB2312" w:eastAsia="仿宋_GB2312" w:cs="楷体_GB2312" w:hint="eastAsia"/>
          <w:bCs/>
          <w:color w:val="000000"/>
          <w:sz w:val="32"/>
          <w:szCs w:val="32"/>
          <w:shd w:val="clear" w:color="auto" w:fill="auto"/>
          <w:lang w:val="zh-CN" w:eastAsia="zh-CN" w:bidi="ar-SA"/>
        </w:rPr>
      </w:pPr>
      <w:r>
        <w:rPr>
          <w:rFonts w:ascii="仿宋_GB2312" w:eastAsia="仿宋_GB2312" w:cs="楷体_GB2312" w:hint="eastAsia"/>
          <w:bCs/>
          <w:color w:val="000000"/>
          <w:sz w:val="32"/>
          <w:szCs w:val="32"/>
          <w:shd w:val="clear" w:color="auto" w:fill="auto"/>
          <w:lang w:val="zh-CN" w:eastAsia="zh-CN" w:bidi="ar-SA"/>
        </w:rPr>
        <w:t>金川县史志中心2024年年初预算收入192.23万元，其中：上年结转0万元，占0%；一般公共预算拨款收入192.23万元，占100%。2024年决算总收入192.23万元，其中：一般公共预算财政拨款收入192.23万元，占100%；政府性基金预算财政拨款收入0万元，占0%；国有资本经营预算财政拨款收入0万元，占0%；事业收入0万元，占0%；经营收入0万元，占0%；附属单位上缴收入0万元，占0%；其他收入0万元，占0%。</w:t>
      </w:r>
    </w:p>
    <w:p>
      <w:pPr>
        <w:keepNext w:val="0"/>
        <w:keepLines w:val="0"/>
        <w:pageBreakBefore w:val="0"/>
        <w:widowControl w:val="0"/>
        <w:kinsoku/>
        <w:wordWrap/>
        <w:overflowPunct/>
        <w:topLinePunct w:val="0"/>
        <w:autoSpaceDE/>
        <w:autoSpaceDN/>
        <w:adjustRightInd/>
        <w:snapToGrid/>
        <w:spacing w:line="600" w:lineRule="exact"/>
        <w:ind w:firstLineChars="200" w:firstLine="640"/>
        <w:rPr>
          <w:rFonts w:eastAsia="楷体_GB2312" w:hint="eastAsia"/>
          <w:b/>
          <w:bCs/>
          <w:color w:val="000000"/>
          <w:kern w:val="0"/>
          <w:sz w:val="32"/>
          <w:szCs w:val="32"/>
          <w:shd w:val="clear" w:color="auto" w:fill="FFFFFF"/>
          <w:lang w:val="zh-CN" w:eastAsia="zh-CN"/>
        </w:rPr>
      </w:pPr>
      <w:r>
        <w:rPr>
          <w:rFonts w:eastAsia="楷体_GB2312" w:hint="eastAsia"/>
          <w:b/>
          <w:bCs/>
          <w:color w:val="000000"/>
          <w:kern w:val="0"/>
          <w:sz w:val="32"/>
          <w:szCs w:val="32"/>
          <w:shd w:val="clear" w:color="auto" w:fill="FFFFFF"/>
          <w:lang w:val="zh-CN" w:eastAsia="zh-CN"/>
        </w:rPr>
        <w:t>（二）部门财政资金支出情况</w:t>
      </w:r>
    </w:p>
    <w:p>
      <w:pPr>
        <w:keepNext w:val="0"/>
        <w:keepLines w:val="0"/>
        <w:pageBreakBefore w:val="0"/>
        <w:widowControl/>
        <w:kinsoku/>
        <w:wordWrap/>
        <w:overflowPunct/>
        <w:topLinePunct w:val="0"/>
        <w:autoSpaceDE/>
        <w:autoSpaceDN/>
        <w:adjustRightInd w:val="0"/>
        <w:snapToGrid w:val="0"/>
        <w:spacing w:line="520" w:lineRule="exact"/>
        <w:ind w:firstLineChars="200" w:firstLine="640"/>
        <w:contextualSpacing/>
        <w:jc w:val="left"/>
        <w:rPr>
          <w:rFonts w:ascii="仿宋_GB2312" w:eastAsia="仿宋_GB2312" w:cs="楷体_GB2312" w:hint="eastAsia"/>
          <w:bCs/>
          <w:color w:val="000000"/>
          <w:sz w:val="32"/>
          <w:szCs w:val="32"/>
          <w:shd w:val="clear" w:color="auto" w:fill="auto"/>
          <w:lang w:val="zh-CN" w:eastAsia="zh-CN" w:bidi="ar-SA"/>
        </w:rPr>
      </w:pPr>
      <w:r>
        <w:rPr>
          <w:rFonts w:ascii="仿宋_GB2312" w:eastAsia="仿宋_GB2312" w:cs="楷体_GB2312" w:hint="eastAsia"/>
          <w:bCs/>
          <w:color w:val="000000"/>
          <w:sz w:val="32"/>
          <w:szCs w:val="32"/>
          <w:shd w:val="clear" w:color="auto" w:fill="auto"/>
          <w:lang w:val="zh-CN" w:eastAsia="zh-CN" w:bidi="ar-SA"/>
        </w:rPr>
        <w:t>金川县史志中心2024年年初预算支出192.23万元，其中：基本支出136.41万元，占70.96%，项目支出55.82万元，占29.04%。2024年本年决算总支出192.23万元，其中：基本支出136.41万元，占70.96%；项目支出55.82万元，占29.04%；上缴上级支出0万元，占0%；经营支出0万元，占0%；对附属单位补助支出0万元，占0%。</w:t>
      </w:r>
    </w:p>
    <w:p>
      <w:pPr>
        <w:keepNext w:val="0"/>
        <w:keepLines w:val="0"/>
        <w:pageBreakBefore w:val="0"/>
        <w:widowControl w:val="0"/>
        <w:kinsoku/>
        <w:wordWrap/>
        <w:overflowPunct/>
        <w:topLinePunct w:val="0"/>
        <w:autoSpaceDE/>
        <w:autoSpaceDN/>
        <w:adjustRightInd/>
        <w:snapToGrid/>
        <w:spacing w:line="600" w:lineRule="exact"/>
        <w:ind w:firstLineChars="200" w:firstLine="640"/>
        <w:rPr>
          <w:rFonts w:eastAsia="楷体_GB2312" w:hint="eastAsia"/>
          <w:b/>
          <w:bCs/>
          <w:color w:val="000000"/>
          <w:kern w:val="0"/>
          <w:sz w:val="32"/>
          <w:szCs w:val="32"/>
          <w:shd w:val="clear" w:color="auto" w:fill="FFFFFF"/>
          <w:lang w:val="zh-CN" w:eastAsia="zh-CN"/>
        </w:rPr>
      </w:pPr>
      <w:r>
        <w:rPr>
          <w:rFonts w:eastAsia="楷体_GB2312"/>
          <w:b/>
          <w:bCs/>
          <w:color w:val="000000"/>
          <w:kern w:val="0"/>
          <w:sz w:val="32"/>
          <w:szCs w:val="32"/>
          <w:shd w:val="clear" w:color="auto" w:fill="FFFFFF"/>
          <w:lang w:val="zh-CN" w:eastAsia="zh-CN"/>
        </w:rPr>
        <w:t>（三）</w:t>
      </w:r>
      <w:r>
        <w:rPr>
          <w:rFonts w:eastAsia="楷体_GB2312" w:hint="eastAsia"/>
          <w:b/>
          <w:bCs/>
          <w:color w:val="000000"/>
          <w:kern w:val="0"/>
          <w:sz w:val="32"/>
          <w:szCs w:val="32"/>
          <w:shd w:val="clear" w:color="auto" w:fill="FFFFFF"/>
          <w:lang w:val="zh-CN" w:eastAsia="zh-CN"/>
        </w:rPr>
        <w:t>结余分配和结转结余情况。</w:t>
      </w:r>
    </w:p>
    <w:p>
      <w:pPr>
        <w:keepNext w:val="0"/>
        <w:keepLines w:val="0"/>
        <w:pageBreakBefore w:val="0"/>
        <w:widowControl/>
        <w:kinsoku/>
        <w:wordWrap/>
        <w:overflowPunct/>
        <w:topLinePunct w:val="0"/>
        <w:autoSpaceDE/>
        <w:autoSpaceDN/>
        <w:adjustRightInd w:val="0"/>
        <w:snapToGrid w:val="0"/>
        <w:spacing w:line="520" w:lineRule="exact"/>
        <w:ind w:firstLineChars="200" w:firstLine="640"/>
        <w:contextualSpacing/>
        <w:jc w:val="left"/>
        <w:rPr>
          <w:rFonts w:ascii="仿宋_GB2312" w:eastAsia="仿宋_GB2312" w:cs="楷体_GB2312" w:hint="eastAsia"/>
          <w:bCs/>
          <w:color w:val="000000"/>
          <w:sz w:val="32"/>
          <w:szCs w:val="32"/>
          <w:shd w:val="clear" w:color="auto" w:fill="auto"/>
          <w:lang w:val="zh-CN" w:eastAsia="zh-CN" w:bidi="ar-SA"/>
        </w:rPr>
      </w:pPr>
      <w:r>
        <w:rPr>
          <w:rFonts w:ascii="仿宋_GB2312" w:eastAsia="仿宋_GB2312" w:cs="楷体_GB2312" w:hint="eastAsia"/>
          <w:bCs/>
          <w:color w:val="000000"/>
          <w:sz w:val="32"/>
          <w:szCs w:val="32"/>
          <w:shd w:val="clear" w:color="auto" w:fill="auto"/>
          <w:lang w:val="zh-CN" w:eastAsia="zh-CN" w:bidi="ar-SA"/>
        </w:rPr>
        <w:t>无</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Times New Roman" w:eastAsia="黑体" w:cs="Times New Roman" w:hAnsi="Times New Roman"/>
          <w:color w:val="000000"/>
          <w:kern w:val="0"/>
          <w:sz w:val="32"/>
          <w:szCs w:val="32"/>
          <w:shd w:val="clear" w:color="auto" w:fill="FFFFFF"/>
          <w:lang w:bidi="ar-SA"/>
          <w:highlight w:val="auto"/>
        </w:rPr>
      </w:pPr>
      <w:r>
        <w:rPr>
          <w:rFonts w:ascii="Times New Roman" w:eastAsia="黑体" w:cs="Times New Roman" w:hAnsi="Times New Roman"/>
          <w:color w:val="000000"/>
          <w:kern w:val="0"/>
          <w:sz w:val="32"/>
          <w:szCs w:val="32"/>
          <w:shd w:val="clear" w:color="auto" w:fill="FFFFFF"/>
          <w:lang w:bidi="ar-SA"/>
          <w:highlight w:val="auto"/>
        </w:rPr>
        <w:t>三、</w:t>
      </w:r>
      <w:r>
        <w:rPr>
          <w:rFonts w:ascii="Times New Roman" w:eastAsia="黑体" w:cs="Times New Roman" w:hAnsi="Times New Roman"/>
          <w:color w:val="000000"/>
          <w:kern w:val="0"/>
          <w:sz w:val="32"/>
          <w:szCs w:val="32"/>
          <w:u w:val="none"/>
          <w:shd w:val="clear" w:color="auto" w:fill="FFFFFF"/>
          <w:lang w:bidi="ar-SA"/>
          <w:highlight w:val="auto"/>
        </w:rPr>
        <w:t>部门</w:t>
      </w:r>
      <w:r>
        <w:rPr>
          <w:rFonts w:ascii="Times New Roman" w:eastAsia="黑体" w:cs="Times New Roman" w:hAnsi="Times New Roman"/>
          <w:color w:val="000000"/>
          <w:kern w:val="0"/>
          <w:sz w:val="32"/>
          <w:szCs w:val="32"/>
          <w:u w:val="none"/>
          <w:shd w:val="clear" w:color="auto" w:fill="FFFFFF"/>
          <w:lang w:eastAsia="zh-CN" w:bidi="ar-SA"/>
          <w:highlight w:val="auto"/>
        </w:rPr>
        <w:t>预算</w:t>
      </w:r>
      <w:r>
        <w:rPr>
          <w:rFonts w:ascii="Times New Roman" w:eastAsia="黑体" w:cs="Times New Roman" w:hAnsi="Times New Roman"/>
          <w:color w:val="000000"/>
          <w:kern w:val="0"/>
          <w:sz w:val="32"/>
          <w:szCs w:val="32"/>
          <w:u w:val="none"/>
          <w:shd w:val="clear" w:color="auto" w:fill="FFFFFF"/>
          <w:lang w:bidi="ar-SA"/>
          <w:highlight w:val="auto"/>
        </w:rPr>
        <w:t>绩效</w:t>
      </w:r>
      <w:r>
        <w:rPr>
          <w:rFonts w:ascii="Times New Roman" w:eastAsia="黑体" w:cs="Times New Roman" w:hAnsi="Times New Roman"/>
          <w:color w:val="000000"/>
          <w:kern w:val="0"/>
          <w:sz w:val="32"/>
          <w:szCs w:val="32"/>
          <w:u w:val="none"/>
          <w:shd w:val="clear" w:color="auto" w:fill="FFFFFF"/>
          <w:lang w:eastAsia="zh-CN" w:bidi="ar-SA"/>
          <w:highlight w:val="auto"/>
        </w:rPr>
        <w:t>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楷体_GB2312" w:cs="Times New Roman" w:hAnsi="Times New Roman"/>
          <w:b/>
          <w:bCs/>
          <w:color w:val="000000"/>
          <w:kern w:val="0"/>
          <w:sz w:val="32"/>
          <w:szCs w:val="32"/>
          <w:shd w:val="clear" w:color="auto" w:fill="FFFFFF"/>
          <w:lang w:val="zh-CN" w:eastAsia="zh-CN" w:bidi="ar-SA"/>
          <w:highlight w:val="auto"/>
        </w:rPr>
      </w:pPr>
      <w:r>
        <w:rPr>
          <w:rFonts w:ascii="Times New Roman" w:eastAsia="楷体_GB2312" w:cs="Times New Roman" w:hAnsi="Times New Roman"/>
          <w:b/>
          <w:bCs/>
          <w:color w:val="000000"/>
          <w:kern w:val="0"/>
          <w:sz w:val="32"/>
          <w:szCs w:val="32"/>
          <w:shd w:val="clear" w:color="auto" w:fill="FFFFFF"/>
          <w:lang w:val="zh-CN" w:eastAsia="zh-CN" w:bidi="ar-SA"/>
          <w:highlight w:val="auto"/>
        </w:rPr>
        <w:t>（一）</w:t>
      </w:r>
      <w:r>
        <w:rPr>
          <w:rFonts w:eastAsia="楷体_GB2312" w:cs="Times New Roman" w:hint="eastAsia"/>
          <w:b/>
          <w:bCs/>
          <w:color w:val="000000"/>
          <w:kern w:val="0"/>
          <w:sz w:val="32"/>
          <w:szCs w:val="32"/>
          <w:shd w:val="clear" w:color="auto" w:fill="FFFFFF"/>
          <w:lang w:val="zh-CN" w:eastAsia="zh-CN" w:bidi="ar-SA"/>
          <w:highlight w:val="auto"/>
        </w:rPr>
        <w:t>部门预算</w:t>
      </w:r>
      <w:r>
        <w:rPr>
          <w:rFonts w:ascii="Times New Roman" w:eastAsia="楷体_GB2312" w:cs="Times New Roman" w:hAnsi="Times New Roman"/>
          <w:b/>
          <w:bCs/>
          <w:color w:val="000000"/>
          <w:kern w:val="0"/>
          <w:sz w:val="32"/>
          <w:szCs w:val="32"/>
          <w:shd w:val="clear" w:color="auto" w:fill="FFFFFF"/>
          <w:lang w:val="zh-CN" w:eastAsia="zh-CN" w:bidi="ar-SA"/>
          <w:highlight w:val="auto"/>
        </w:rPr>
        <w:t>总体绩效分析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cs="Times New Roman" w:hAnsi="Times New Roman"/>
          <w:color w:val="000000"/>
          <w:kern w:val="0"/>
          <w:szCs w:val="32"/>
          <w:shd w:val="clear" w:color="auto" w:fill="FFFFFF"/>
          <w:lang w:val="zh-CN" w:eastAsia="zh-CN" w:bidi="ar-SA"/>
          <w:highlight w:val="auto"/>
        </w:rPr>
      </w:pPr>
      <w:r>
        <w:rPr>
          <w:rFonts w:ascii="仿宋_GB2312" w:eastAsia="仿宋_GB2312" w:cs="楷体_GB2312" w:hint="eastAsia"/>
          <w:b/>
          <w:bCs/>
          <w:color w:val="000000"/>
          <w:kern w:val="0"/>
          <w:sz w:val="32"/>
          <w:szCs w:val="32"/>
          <w:shd w:val="clear" w:color="auto" w:fill="FFFFFF"/>
          <w:lang w:val="en-US" w:eastAsia="zh-CN" w:bidi="ar-SA"/>
          <w:highlight w:val="auto"/>
        </w:rPr>
        <w:t>1.</w:t>
      </w:r>
      <w:r>
        <w:rPr>
          <w:rFonts w:ascii="仿宋_GB2312" w:eastAsia="仿宋_GB2312" w:cs="楷体_GB2312" w:hint="eastAsia"/>
          <w:b/>
          <w:bCs/>
          <w:color w:val="000000"/>
          <w:kern w:val="0"/>
          <w:sz w:val="32"/>
          <w:szCs w:val="32"/>
          <w:shd w:val="clear" w:color="auto" w:fill="FFFFFF"/>
          <w:lang w:val="zh-CN" w:eastAsia="zh-CN" w:bidi="ar-SA"/>
          <w:highlight w:val="auto"/>
        </w:rPr>
        <w:t>履职效能。</w:t>
      </w:r>
    </w:p>
    <w:p>
      <w:pPr>
        <w:keepNext w:val="0"/>
        <w:keepLines w:val="0"/>
        <w:pageBreakBefore w:val="0"/>
        <w:widowControl w:val="0"/>
        <w:kinsoku/>
        <w:wordWrap/>
        <w:overflowPunct/>
        <w:topLinePunct w:val="0"/>
        <w:autoSpaceDE/>
        <w:autoSpaceDN/>
        <w:adjustRightInd w:val="0"/>
        <w:snapToGrid w:val="0"/>
        <w:spacing w:line="578" w:lineRule="exact"/>
        <w:ind w:firstLineChars="200" w:firstLine="640"/>
        <w:contextualSpacing/>
        <w:jc w:val="left"/>
        <w:rPr>
          <w:rFonts w:ascii="仿宋_GB2312" w:eastAsia="仿宋_GB2312" w:cs="楷体_GB2312" w:hint="eastAsia"/>
          <w:bCs/>
          <w:color w:val="000000"/>
          <w:sz w:val="32"/>
          <w:szCs w:val="32"/>
          <w:shd w:val="clear" w:color="auto" w:fill="auto"/>
          <w:lang w:val="zh-CN" w:eastAsia="zh-CN" w:bidi="ar-SA"/>
        </w:rPr>
      </w:pPr>
      <w:r>
        <w:rPr>
          <w:rFonts w:ascii="Times New Roman" w:eastAsia="仿宋_GB2312" w:hAnsi="Times New Roman"/>
          <w:b/>
          <w:bCs/>
          <w:color w:val="000000"/>
          <w:sz w:val="32"/>
          <w:szCs w:val="32"/>
          <w:shd w:val="clear" w:color="auto" w:fill="auto"/>
          <w:lang w:val="zh-CN" w:eastAsia="zh-CN"/>
          <w:highlight w:val="auto"/>
        </w:rPr>
        <w:t>（1）党史工作：</w:t>
      </w:r>
      <w:r>
        <w:rPr>
          <w:rFonts w:ascii="仿宋_GB2312" w:eastAsia="仿宋_GB2312" w:hint="eastAsia"/>
          <w:bCs/>
          <w:sz w:val="32"/>
          <w:szCs w:val="32"/>
          <w:lang w:val="zh-CN" w:eastAsia="zh-CN"/>
          <w:highlight w:val="auto"/>
        </w:rPr>
        <w:t>完成</w:t>
      </w:r>
      <w:r>
        <w:rPr>
          <w:rFonts w:ascii="仿宋_GB2312" w:eastAsia="仿宋_GB2312" w:hint="eastAsia"/>
          <w:sz w:val="32"/>
          <w:szCs w:val="32"/>
        </w:rPr>
        <w:t>《中国共产党金川县执政实录》（2023卷）编纂出版</w:t>
      </w:r>
      <w:r>
        <w:rPr>
          <w:rFonts w:ascii="仿宋_GB2312" w:eastAsia="仿宋_GB2312" w:cs="楷体_GB2312" w:hint="eastAsia"/>
          <w:bCs/>
          <w:color w:val="000000"/>
          <w:sz w:val="32"/>
          <w:szCs w:val="32"/>
          <w:shd w:val="clear" w:color="auto" w:fill="auto"/>
          <w:lang w:val="zh-CN" w:eastAsia="zh-CN" w:bidi="ar-SA"/>
        </w:rPr>
        <w:t>；</w:t>
      </w:r>
      <w:r>
        <w:rPr>
          <w:rFonts w:ascii="仿宋_GB2312" w:eastAsia="仿宋_GB2312" w:hint="eastAsia"/>
          <w:sz w:val="32"/>
          <w:szCs w:val="32"/>
        </w:rPr>
        <w:t>拍摄完成了党史短视频《梨乡回望 缅怀英烈》。完成《中国共产党金川县历史（1935年—1978年）》初稿编纂、县级专家评审工作，并上报州党史研究室审核。</w:t>
      </w:r>
    </w:p>
    <w:p>
      <w:pPr>
        <w:keepNext w:val="0"/>
        <w:keepLines w:val="0"/>
        <w:pageBreakBefore w:val="0"/>
        <w:widowControl w:val="0"/>
        <w:kinsoku/>
        <w:wordWrap/>
        <w:overflowPunct/>
        <w:topLinePunct w:val="0"/>
        <w:autoSpaceDE/>
        <w:autoSpaceDN/>
        <w:adjustRightInd w:val="0"/>
        <w:snapToGrid w:val="0"/>
        <w:spacing w:line="578" w:lineRule="exact"/>
        <w:ind w:firstLineChars="200" w:firstLine="640"/>
        <w:contextualSpacing/>
        <w:jc w:val="left"/>
        <w:rPr>
          <w:rFonts w:ascii="Times New Roman" w:eastAsia="仿宋_GB2312" w:hAnsi="Times New Roman"/>
          <w:b/>
          <w:bCs/>
          <w:color w:val="000000"/>
          <w:sz w:val="32"/>
          <w:szCs w:val="32"/>
          <w:shd w:val="clear" w:color="auto" w:fill="auto"/>
          <w:lang w:val="zh-CN" w:eastAsia="zh-CN" w:bidi="ar-SA"/>
          <w:highlight w:val="auto"/>
        </w:rPr>
      </w:pPr>
      <w:r>
        <w:rPr>
          <w:rFonts w:ascii="Times New Roman" w:eastAsia="仿宋_GB2312" w:hAnsi="Times New Roman"/>
          <w:b/>
          <w:bCs/>
          <w:color w:val="000000"/>
          <w:sz w:val="32"/>
          <w:szCs w:val="32"/>
          <w:shd w:val="clear" w:color="auto" w:fill="auto"/>
          <w:lang w:val="zh-CN" w:eastAsia="zh-CN" w:bidi="ar-SA"/>
          <w:highlight w:val="auto"/>
        </w:rPr>
        <w:t>（2）地方志工作：</w:t>
      </w:r>
    </w:p>
    <w:p>
      <w:pPr>
        <w:keepNext w:val="0"/>
        <w:keepLines w:val="0"/>
        <w:pageBreakBefore w:val="0"/>
        <w:widowControl w:val="0"/>
        <w:kinsoku/>
        <w:wordWrap/>
        <w:overflowPunct/>
        <w:topLinePunct w:val="0"/>
        <w:autoSpaceDE/>
        <w:autoSpaceDN/>
        <w:adjustRightInd w:val="0"/>
        <w:snapToGrid w:val="0"/>
        <w:spacing w:line="578" w:lineRule="exact"/>
        <w:ind w:firstLineChars="200" w:firstLine="640"/>
        <w:contextualSpacing/>
        <w:jc w:val="left"/>
        <w:rPr>
          <w:rFonts w:ascii="仿宋_GB2312" w:eastAsia="仿宋_GB2312" w:cs="楷体_GB2312" w:hint="eastAsia"/>
          <w:bCs/>
          <w:color w:val="000000"/>
          <w:sz w:val="32"/>
          <w:szCs w:val="32"/>
          <w:shd w:val="clear" w:color="auto" w:fill="auto"/>
          <w:lang w:val="zh-CN" w:eastAsia="zh-CN" w:bidi="ar-SA"/>
        </w:rPr>
      </w:pPr>
      <w:r>
        <w:rPr>
          <w:rFonts w:ascii="Times New Roman" w:eastAsia="仿宋_GB2312" w:hAnsi="Times New Roman"/>
          <w:b/>
          <w:bCs/>
          <w:color w:val="000000"/>
          <w:sz w:val="32"/>
          <w:szCs w:val="32"/>
          <w:shd w:val="clear" w:color="auto" w:fill="auto"/>
          <w:lang w:val="zh-CN" w:eastAsia="zh-CN"/>
          <w:highlight w:val="auto"/>
        </w:rPr>
        <w:fldChar w:fldCharType="begin"/>
      </w:r>
      <w:r>
        <w:rPr>
          <w:rFonts w:ascii="Times New Roman" w:eastAsia="仿宋_GB2312" w:hAnsi="Times New Roman"/>
          <w:b/>
          <w:bCs/>
          <w:color w:val="000000"/>
          <w:sz w:val="32"/>
          <w:szCs w:val="32"/>
          <w:shd w:val="clear" w:color="auto" w:fill="auto"/>
          <w:lang w:val="zh-CN" w:eastAsia="zh-CN"/>
          <w:highlight w:val="auto"/>
        </w:rPr>
        <w:instrText>= 1 \* GB3</w:instrText>
      </w:r>
      <w:r>
        <w:rPr>
          <w:rFonts w:ascii="Times New Roman" w:eastAsia="仿宋_GB2312" w:hAnsi="Times New Roman"/>
          <w:b/>
          <w:bCs/>
          <w:color w:val="000000"/>
          <w:sz w:val="32"/>
          <w:szCs w:val="32"/>
          <w:shd w:val="clear" w:color="auto" w:fill="auto"/>
          <w:lang w:val="zh-CN" w:eastAsia="zh-CN"/>
          <w:highlight w:val="auto"/>
        </w:rPr>
        <w:fldChar w:fldCharType="separate"/>
      </w:r>
      <w:r>
        <w:rPr>
          <w:rFonts w:ascii="Times New Roman" w:eastAsia="仿宋_GB2312" w:hAnsi="Times New Roman"/>
          <w:b/>
          <w:bCs/>
          <w:color w:val="000000"/>
          <w:sz w:val="32"/>
          <w:szCs w:val="32"/>
          <w:shd w:val="clear" w:color="auto" w:fill="auto"/>
          <w:lang w:val="zh-CN" w:eastAsia="zh-CN"/>
          <w:highlight w:val="auto"/>
        </w:rPr>
        <w:t>①</w:t>
      </w:r>
      <w:r>
        <w:rPr>
          <w:rFonts w:ascii="Times New Roman" w:eastAsia="仿宋_GB2312" w:hAnsi="Times New Roman"/>
          <w:b/>
          <w:bCs/>
          <w:color w:val="000000"/>
          <w:sz w:val="32"/>
          <w:szCs w:val="32"/>
          <w:shd w:val="clear" w:color="auto" w:fill="auto"/>
          <w:lang w:val="zh-CN" w:eastAsia="zh-CN"/>
          <w:highlight w:val="auto"/>
        </w:rPr>
        <w:fldChar w:fldCharType="end"/>
      </w:r>
      <w:r>
        <w:rPr>
          <w:rFonts w:ascii="Times New Roman" w:eastAsia="仿宋_GB2312" w:hAnsi="Times New Roman"/>
          <w:b/>
          <w:bCs/>
          <w:color w:val="000000"/>
          <w:sz w:val="32"/>
          <w:szCs w:val="32"/>
          <w:shd w:val="clear" w:color="auto" w:fill="auto"/>
          <w:lang w:val="zh-CN" w:eastAsia="zh-CN"/>
          <w:highlight w:val="auto"/>
        </w:rPr>
        <w:t>制定县内地方志规划，组织县内各级志书编纂和审定验收。</w:t>
      </w:r>
      <w:r>
        <w:rPr>
          <w:rFonts w:ascii="仿宋_GB2312" w:eastAsia="仿宋_GB2312" w:hint="eastAsia"/>
          <w:sz w:val="32"/>
          <w:szCs w:val="32"/>
        </w:rPr>
        <w:t>完成《金川年鉴》（2024卷）;启动了《金川县扶贫志》编纂出版工作，落实编纂出版资金55万元，印发《金川县扶贫志编纂工作方案》，完成招投标工作，正有序地开展资料收集整理工作；完成《阿坝藏族羌族自治州扶贫志》（金川）部分资料收集整理；完成《阿坝自然灾异志》（金川）部分资料收集整理；开展史志“七进”活动，新建勒乌镇城南社区、河东乡政府、河东乡八字口村史志阅览室3个，在县图书馆设立首个“地方史志文献”专柜，播放口述历史纪录片《一花一叶.梨世界》4场次，发放《金川县革命老区发展史》《金川年鉴（2022）》等史志类书籍500余册;</w:t>
      </w:r>
    </w:p>
    <w:p>
      <w:pPr>
        <w:keepNext w:val="0"/>
        <w:keepLines w:val="0"/>
        <w:pageBreakBefore w:val="0"/>
        <w:widowControl/>
        <w:kinsoku/>
        <w:wordWrap/>
        <w:overflowPunct/>
        <w:topLinePunct w:val="0"/>
        <w:autoSpaceDE/>
        <w:autoSpaceDN/>
        <w:adjustRightInd w:val="0"/>
        <w:snapToGrid w:val="0"/>
        <w:spacing w:line="578" w:lineRule="exact"/>
        <w:ind w:firstLine="640"/>
        <w:contextualSpacing/>
        <w:jc w:val="left"/>
        <w:rPr>
          <w:rFonts w:ascii="仿宋_GB2312" w:eastAsia="仿宋_GB2312" w:cs="楷体_GB2312" w:hint="eastAsia"/>
          <w:bCs/>
          <w:color w:val="000000"/>
          <w:sz w:val="32"/>
          <w:szCs w:val="32"/>
          <w:shd w:val="clear" w:color="auto" w:fill="auto"/>
          <w:lang w:val="zh-CN" w:eastAsia="zh-CN" w:bidi="ar-SA"/>
        </w:rPr>
      </w:pPr>
      <w:r>
        <w:rPr>
          <w:rFonts w:ascii="Times New Roman" w:eastAsia="仿宋_GB2312" w:hAnsi="Times New Roman"/>
          <w:b/>
          <w:bCs/>
          <w:color w:val="000000"/>
          <w:sz w:val="32"/>
          <w:szCs w:val="32"/>
          <w:shd w:val="clear" w:color="auto" w:fill="auto"/>
          <w:lang w:val="zh-CN" w:eastAsia="zh-CN"/>
          <w:highlight w:val="auto"/>
        </w:rPr>
        <w:fldChar w:fldCharType="begin"/>
      </w:r>
      <w:r>
        <w:rPr>
          <w:rFonts w:ascii="Times New Roman" w:eastAsia="仿宋_GB2312" w:hAnsi="Times New Roman"/>
          <w:b/>
          <w:bCs/>
          <w:color w:val="000000"/>
          <w:sz w:val="32"/>
          <w:szCs w:val="32"/>
          <w:shd w:val="clear" w:color="auto" w:fill="auto"/>
          <w:lang w:val="zh-CN" w:eastAsia="zh-CN"/>
          <w:highlight w:val="auto"/>
        </w:rPr>
        <w:instrText>= 2 \* GB3</w:instrText>
      </w:r>
      <w:r>
        <w:rPr>
          <w:rFonts w:ascii="Times New Roman" w:eastAsia="仿宋_GB2312" w:hAnsi="Times New Roman"/>
          <w:b/>
          <w:bCs/>
          <w:color w:val="000000"/>
          <w:sz w:val="32"/>
          <w:szCs w:val="32"/>
          <w:shd w:val="clear" w:color="auto" w:fill="auto"/>
          <w:lang w:val="zh-CN" w:eastAsia="zh-CN"/>
          <w:highlight w:val="auto"/>
        </w:rPr>
        <w:fldChar w:fldCharType="separate"/>
      </w:r>
      <w:r>
        <w:rPr>
          <w:rFonts w:ascii="Times New Roman" w:eastAsia="仿宋_GB2312" w:hAnsi="Times New Roman"/>
          <w:b/>
          <w:bCs/>
          <w:color w:val="000000"/>
          <w:sz w:val="32"/>
          <w:szCs w:val="32"/>
          <w:shd w:val="clear" w:color="auto" w:fill="auto"/>
          <w:lang w:val="zh-CN" w:eastAsia="zh-CN"/>
          <w:highlight w:val="auto"/>
        </w:rPr>
        <w:t>②</w:t>
      </w:r>
      <w:r>
        <w:rPr>
          <w:rFonts w:ascii="Times New Roman" w:eastAsia="仿宋_GB2312" w:hAnsi="Times New Roman"/>
          <w:b/>
          <w:bCs/>
          <w:color w:val="000000"/>
          <w:sz w:val="32"/>
          <w:szCs w:val="32"/>
          <w:shd w:val="clear" w:color="auto" w:fill="auto"/>
          <w:lang w:val="zh-CN" w:eastAsia="zh-CN"/>
          <w:highlight w:val="auto"/>
        </w:rPr>
        <w:fldChar w:fldCharType="end"/>
      </w:r>
      <w:r>
        <w:rPr>
          <w:rFonts w:ascii="Times New Roman" w:eastAsia="仿宋_GB2312" w:hAnsi="Times New Roman"/>
          <w:b/>
          <w:bCs/>
          <w:color w:val="000000"/>
          <w:sz w:val="32"/>
          <w:szCs w:val="32"/>
          <w:shd w:val="clear" w:color="auto" w:fill="auto"/>
          <w:lang w:val="zh-CN" w:eastAsia="zh-CN"/>
        </w:rPr>
        <w:t>强力推进乡（镇）志、村志编纂出版工作。</w:t>
      </w:r>
      <w:r>
        <w:rPr>
          <w:rFonts w:ascii="仿宋_GB2312" w:eastAsia="仿宋_GB2312" w:hint="eastAsia"/>
          <w:sz w:val="32"/>
          <w:szCs w:val="32"/>
        </w:rPr>
        <w:t>完成了《阿科里乡志》、《卡拉脚乡志》、《撒瓦脚乡志》、《二甲村志》编纂，进入专家评审阶段；完成了《二普鲁村志》、《甲布脚村志》初稿编纂，正在开展初稿校对工作。及时启动了第二批10个乡（镇）志、村志的编纂出版，解决资金141.8万元。</w:t>
      </w:r>
    </w:p>
    <w:p>
      <w:pPr>
        <w:keepNext w:val="0"/>
        <w:keepLines w:val="0"/>
        <w:pageBreakBefore w:val="0"/>
        <w:widowControl/>
        <w:kinsoku/>
        <w:wordWrap/>
        <w:overflowPunct/>
        <w:topLinePunct w:val="0"/>
        <w:autoSpaceDE/>
        <w:autoSpaceDN/>
        <w:adjustRightInd w:val="0"/>
        <w:snapToGrid w:val="0"/>
        <w:spacing w:line="578" w:lineRule="exact"/>
        <w:ind w:firstLine="640"/>
        <w:contextualSpacing/>
        <w:jc w:val="left"/>
        <w:rPr>
          <w:rFonts w:ascii="仿宋_GB2312" w:eastAsia="仿宋_GB2312" w:cs="楷体_GB2312" w:hint="eastAsia"/>
          <w:bCs/>
          <w:color w:val="000000"/>
          <w:sz w:val="32"/>
          <w:szCs w:val="32"/>
          <w:shd w:val="clear" w:color="auto" w:fill="auto"/>
          <w:lang w:val="zh-CN" w:eastAsia="zh-CN" w:bidi="ar-SA"/>
          <w:highlight w:val="auto"/>
        </w:rPr>
      </w:pPr>
      <w:r>
        <w:rPr>
          <w:rFonts w:ascii="Times New Roman" w:eastAsia="仿宋_GB2312" w:hAnsi="Times New Roman"/>
          <w:b/>
          <w:bCs/>
          <w:color w:val="000000"/>
          <w:sz w:val="32"/>
          <w:szCs w:val="32"/>
          <w:shd w:val="clear" w:color="auto" w:fill="auto"/>
          <w:lang w:val="zh-CN" w:eastAsia="zh-CN"/>
          <w:highlight w:val="auto"/>
        </w:rPr>
        <w:fldChar w:fldCharType="begin"/>
      </w:r>
      <w:r>
        <w:rPr>
          <w:rFonts w:ascii="Times New Roman" w:eastAsia="仿宋_GB2312" w:hAnsi="Times New Roman"/>
          <w:b/>
          <w:bCs/>
          <w:color w:val="000000"/>
          <w:sz w:val="32"/>
          <w:szCs w:val="32"/>
          <w:shd w:val="clear" w:color="auto" w:fill="auto"/>
          <w:lang w:val="zh-CN" w:eastAsia="zh-CN"/>
          <w:highlight w:val="auto"/>
        </w:rPr>
        <w:instrText>= 3 \* GB3</w:instrText>
      </w:r>
      <w:r>
        <w:rPr>
          <w:rFonts w:ascii="Times New Roman" w:eastAsia="仿宋_GB2312" w:hAnsi="Times New Roman"/>
          <w:b/>
          <w:bCs/>
          <w:color w:val="000000"/>
          <w:sz w:val="32"/>
          <w:szCs w:val="32"/>
          <w:shd w:val="clear" w:color="auto" w:fill="auto"/>
          <w:lang w:val="zh-CN" w:eastAsia="zh-CN"/>
          <w:highlight w:val="auto"/>
        </w:rPr>
        <w:fldChar w:fldCharType="separate"/>
      </w:r>
      <w:r>
        <w:rPr>
          <w:rFonts w:ascii="Times New Roman" w:eastAsia="仿宋_GB2312" w:hAnsi="Times New Roman"/>
          <w:b/>
          <w:bCs/>
          <w:color w:val="000000"/>
          <w:sz w:val="32"/>
          <w:szCs w:val="32"/>
          <w:shd w:val="clear" w:color="auto" w:fill="auto"/>
          <w:lang w:val="zh-CN" w:eastAsia="zh-CN"/>
          <w:highlight w:val="auto"/>
        </w:rPr>
        <w:t>③</w:t>
      </w:r>
      <w:r>
        <w:rPr>
          <w:rFonts w:ascii="Times New Roman" w:eastAsia="仿宋_GB2312" w:hAnsi="Times New Roman"/>
          <w:b/>
          <w:bCs/>
          <w:color w:val="000000"/>
          <w:sz w:val="32"/>
          <w:szCs w:val="32"/>
          <w:shd w:val="clear" w:color="auto" w:fill="auto"/>
          <w:lang w:val="zh-CN" w:eastAsia="zh-CN"/>
          <w:highlight w:val="auto"/>
        </w:rPr>
        <w:fldChar w:fldCharType="end"/>
      </w:r>
      <w:r>
        <w:rPr>
          <w:rFonts w:ascii="Times New Roman" w:eastAsia="仿宋_GB2312" w:hAnsi="Times New Roman"/>
          <w:b/>
          <w:bCs/>
          <w:color w:val="000000"/>
          <w:sz w:val="32"/>
          <w:szCs w:val="32"/>
          <w:shd w:val="clear" w:color="auto" w:fill="auto"/>
          <w:lang w:val="zh-CN" w:eastAsia="zh-CN"/>
          <w:highlight w:val="auto"/>
        </w:rPr>
        <w:t>负责全县地情资料收集、整理、储存、开发利用，编写地情教育资料，为各级政府提供咨询服务。</w:t>
      </w:r>
      <w:r>
        <w:rPr>
          <w:rFonts w:ascii="仿宋_GB2312" w:eastAsia="仿宋_GB2312" w:cs="楷体_GB2312" w:hint="eastAsia"/>
          <w:bCs/>
          <w:color w:val="000000"/>
          <w:sz w:val="32"/>
          <w:szCs w:val="32"/>
          <w:shd w:val="clear" w:color="auto" w:fill="auto"/>
          <w:lang w:val="zh-CN" w:eastAsia="zh-CN" w:bidi="ar-SA"/>
        </w:rPr>
        <w:t>按时</w:t>
      </w:r>
      <w:r>
        <w:rPr>
          <w:rFonts w:ascii="仿宋_GB2312" w:eastAsia="仿宋_GB2312" w:hint="eastAsia"/>
          <w:sz w:val="32"/>
          <w:szCs w:val="32"/>
        </w:rPr>
        <w:t>向州志办主办“志中阿坝”微信公众号报送文章13篇；向州志办主办《雪原文史》刊物完成组稿文章3篇、图片10余张;补充完善了《四川地理标志产品图志》中阿坝州地理标志保护产品基础资料（金川）部分。</w:t>
      </w:r>
    </w:p>
    <w:p>
      <w:pPr>
        <w:keepNext w:val="0"/>
        <w:keepLines w:val="0"/>
        <w:pageBreakBefore w:val="0"/>
        <w:widowControl/>
        <w:kinsoku/>
        <w:wordWrap/>
        <w:overflowPunct/>
        <w:topLinePunct w:val="0"/>
        <w:autoSpaceDE/>
        <w:autoSpaceDN/>
        <w:adjustRightInd w:val="0"/>
        <w:snapToGrid w:val="0"/>
        <w:spacing w:line="578" w:lineRule="exact"/>
        <w:ind w:firstLine="640"/>
        <w:contextualSpacing/>
        <w:jc w:val="left"/>
        <w:rPr>
          <w:rFonts w:ascii="仿宋_GB2312" w:eastAsia="仿宋_GB2312" w:cs="楷体_GB2312" w:hint="eastAsia"/>
          <w:bCs/>
          <w:color w:val="000000"/>
          <w:sz w:val="32"/>
          <w:szCs w:val="32"/>
          <w:shd w:val="clear" w:color="auto" w:fill="auto"/>
          <w:lang w:val="zh-CN" w:eastAsia="zh-CN" w:bidi="ar-SA"/>
        </w:rPr>
      </w:pPr>
      <w:r>
        <w:rPr>
          <w:rFonts w:ascii="Times New Roman" w:eastAsia="仿宋_GB2312" w:hAnsi="Times New Roman"/>
          <w:b/>
          <w:bCs/>
          <w:color w:val="000000"/>
          <w:sz w:val="32"/>
          <w:szCs w:val="32"/>
          <w:shd w:val="clear" w:color="auto" w:fill="auto"/>
          <w:lang w:val="zh-CN" w:eastAsia="zh-CN"/>
          <w:highlight w:val="auto"/>
        </w:rPr>
        <w:fldChar w:fldCharType="begin"/>
      </w:r>
      <w:r>
        <w:rPr>
          <w:rFonts w:ascii="Times New Roman" w:eastAsia="仿宋_GB2312" w:hAnsi="Times New Roman"/>
          <w:b/>
          <w:bCs/>
          <w:color w:val="000000"/>
          <w:sz w:val="32"/>
          <w:szCs w:val="32"/>
          <w:shd w:val="clear" w:color="auto" w:fill="auto"/>
          <w:lang w:val="zh-CN" w:eastAsia="zh-CN"/>
          <w:highlight w:val="auto"/>
        </w:rPr>
        <w:instrText>= 4 \* GB3</w:instrText>
      </w:r>
      <w:r>
        <w:rPr>
          <w:rFonts w:ascii="Times New Roman" w:eastAsia="仿宋_GB2312" w:hAnsi="Times New Roman"/>
          <w:b/>
          <w:bCs/>
          <w:color w:val="000000"/>
          <w:sz w:val="32"/>
          <w:szCs w:val="32"/>
          <w:shd w:val="clear" w:color="auto" w:fill="auto"/>
          <w:lang w:val="zh-CN" w:eastAsia="zh-CN"/>
          <w:highlight w:val="auto"/>
        </w:rPr>
        <w:fldChar w:fldCharType="separate"/>
      </w:r>
      <w:r>
        <w:rPr>
          <w:rFonts w:ascii="Times New Roman" w:eastAsia="仿宋_GB2312" w:hAnsi="Times New Roman"/>
          <w:b/>
          <w:bCs/>
          <w:color w:val="000000"/>
          <w:sz w:val="32"/>
          <w:szCs w:val="32"/>
          <w:shd w:val="clear" w:color="auto" w:fill="auto"/>
          <w:lang w:val="zh-CN" w:eastAsia="zh-CN"/>
          <w:highlight w:val="auto"/>
        </w:rPr>
        <w:t>④</w:t>
      </w:r>
      <w:r>
        <w:rPr>
          <w:rFonts w:ascii="Times New Roman" w:eastAsia="仿宋_GB2312" w:hAnsi="Times New Roman"/>
          <w:b/>
          <w:bCs/>
          <w:color w:val="000000"/>
          <w:sz w:val="32"/>
          <w:szCs w:val="32"/>
          <w:shd w:val="clear" w:color="auto" w:fill="auto"/>
          <w:lang w:val="zh-CN" w:eastAsia="zh-CN"/>
          <w:highlight w:val="auto"/>
        </w:rPr>
        <w:fldChar w:fldCharType="end"/>
      </w:r>
      <w:r>
        <w:rPr>
          <w:rFonts w:ascii="Times New Roman" w:eastAsia="仿宋_GB2312" w:hAnsi="Times New Roman"/>
          <w:b/>
          <w:bCs/>
          <w:color w:val="000000"/>
          <w:sz w:val="32"/>
          <w:szCs w:val="32"/>
          <w:shd w:val="clear" w:color="auto" w:fill="auto"/>
          <w:lang w:val="zh-CN" w:eastAsia="zh-CN"/>
        </w:rPr>
        <w:t>积极与县教育局携手面向全县各类学校启动“六个一”品牌活动。</w:t>
      </w:r>
      <w:r>
        <w:rPr>
          <w:rFonts w:ascii="仿宋_GB2312" w:eastAsia="仿宋_GB2312" w:hint="eastAsia"/>
          <w:sz w:val="32"/>
          <w:szCs w:val="32"/>
        </w:rPr>
        <w:t>通过向东方红小学图书室捐赠史志类书籍方式，在该图书室开辟史志图书角。目前，东方红小学图书室史志图书角史志类藏书100册左右。明确2025年底前完成金川中学、金川县东方红小学2所学校校志编纂工作。广泛动员学校师生积极关注、浏览观看“志中阿坝”微信公众号文章和视频。县教育局荣获州地方志、州教育局2024年度“童心悟志 青春励志”活动优秀组织奖。</w:t>
      </w:r>
    </w:p>
    <w:p>
      <w:pPr>
        <w:ind w:left="0" w:firstLineChars="200" w:firstLine="640"/>
        <w:rPr>
          <w:rFonts w:ascii="仿宋_GB2312" w:eastAsia="仿宋_GB2312" w:cs="楷体_GB2312" w:hint="eastAsia"/>
          <w:bCs/>
          <w:color w:val="000000"/>
          <w:sz w:val="32"/>
          <w:szCs w:val="32"/>
          <w:shd w:val="clear" w:color="auto" w:fill="auto"/>
          <w:lang w:val="zh-CN" w:eastAsia="zh-CN" w:bidi="ar-SA"/>
        </w:rPr>
      </w:pPr>
      <w:r>
        <w:rPr>
          <w:rFonts w:ascii="Times New Roman" w:eastAsia="仿宋_GB2312" w:hAnsi="Times New Roman"/>
          <w:b/>
          <w:bCs/>
          <w:color w:val="000000"/>
          <w:sz w:val="32"/>
          <w:szCs w:val="32"/>
          <w:shd w:val="clear" w:color="auto" w:fill="auto"/>
          <w:lang w:val="zh-CN" w:eastAsia="zh-CN"/>
          <w:highlight w:val="auto"/>
        </w:rPr>
        <w:fldChar w:fldCharType="begin"/>
      </w:r>
      <w:r>
        <w:rPr>
          <w:rFonts w:ascii="Times New Roman" w:eastAsia="仿宋_GB2312" w:hAnsi="Times New Roman"/>
          <w:b/>
          <w:bCs/>
          <w:color w:val="000000"/>
          <w:sz w:val="32"/>
          <w:szCs w:val="32"/>
          <w:shd w:val="clear" w:color="auto" w:fill="auto"/>
          <w:lang w:val="zh-CN" w:eastAsia="zh-CN"/>
          <w:highlight w:val="auto"/>
        </w:rPr>
        <w:instrText>= 5 \* GB3</w:instrText>
      </w:r>
      <w:r>
        <w:rPr>
          <w:rFonts w:ascii="Times New Roman" w:eastAsia="仿宋_GB2312" w:hAnsi="Times New Roman"/>
          <w:b/>
          <w:bCs/>
          <w:color w:val="000000"/>
          <w:sz w:val="32"/>
          <w:szCs w:val="32"/>
          <w:shd w:val="clear" w:color="auto" w:fill="auto"/>
          <w:lang w:val="zh-CN" w:eastAsia="zh-CN"/>
          <w:highlight w:val="auto"/>
        </w:rPr>
        <w:fldChar w:fldCharType="separate"/>
      </w:r>
      <w:r>
        <w:rPr>
          <w:rFonts w:ascii="Times New Roman" w:eastAsia="仿宋_GB2312" w:hAnsi="Times New Roman"/>
          <w:b/>
          <w:bCs/>
          <w:color w:val="000000"/>
          <w:sz w:val="32"/>
          <w:szCs w:val="32"/>
          <w:shd w:val="clear" w:color="auto" w:fill="auto"/>
          <w:lang w:val="zh-CN" w:eastAsia="zh-CN"/>
          <w:highlight w:val="auto"/>
        </w:rPr>
        <w:t>⑤</w:t>
      </w:r>
      <w:r>
        <w:rPr>
          <w:rFonts w:ascii="Times New Roman" w:eastAsia="仿宋_GB2312" w:hAnsi="Times New Roman"/>
          <w:b/>
          <w:bCs/>
          <w:color w:val="000000"/>
          <w:sz w:val="32"/>
          <w:szCs w:val="32"/>
          <w:shd w:val="clear" w:color="auto" w:fill="auto"/>
          <w:lang w:val="zh-CN" w:eastAsia="zh-CN"/>
          <w:highlight w:val="auto"/>
        </w:rPr>
        <w:fldChar w:fldCharType="end"/>
      </w:r>
      <w:r>
        <w:rPr>
          <w:rFonts w:ascii="Times New Roman" w:eastAsia="仿宋_GB2312" w:hAnsi="Times New Roman"/>
          <w:b/>
          <w:bCs/>
          <w:color w:val="000000"/>
          <w:sz w:val="32"/>
          <w:szCs w:val="32"/>
          <w:shd w:val="clear" w:color="auto" w:fill="auto"/>
          <w:lang w:val="zh-CN" w:eastAsia="zh-CN"/>
          <w:highlight w:val="auto"/>
        </w:rPr>
        <w:t>完成县委、县政府交办的其它工作。</w:t>
      </w:r>
      <w:r>
        <w:rPr>
          <w:rFonts w:ascii="仿宋_GB2312" w:eastAsia="仿宋_GB2312" w:hint="eastAsia"/>
          <w:sz w:val="32"/>
          <w:szCs w:val="32"/>
        </w:rPr>
        <w:t>向县委宣传部报送四川党史学界纪念邓小平同志诞辰120周年学术研讨活动征文1篇；</w:t>
      </w:r>
      <w:r>
        <w:rPr>
          <w:rFonts w:ascii="仿宋_GB2312" w:eastAsia="仿宋_GB2312" w:hint="eastAsia"/>
          <w:bCs/>
          <w:sz w:val="32"/>
          <w:szCs w:val="32"/>
          <w:lang w:val="zh-CN" w:eastAsia="zh-CN"/>
          <w:highlight w:val="auto"/>
        </w:rPr>
        <w:t>积极</w:t>
      </w:r>
      <w:r>
        <w:rPr>
          <w:rFonts w:ascii="仿宋_GB2312" w:eastAsia="仿宋_GB2312" w:hint="eastAsia"/>
          <w:sz w:val="32"/>
          <w:szCs w:val="32"/>
        </w:rPr>
        <w:t>组织中心干部职工学习</w:t>
      </w:r>
      <w:r>
        <w:rPr>
          <w:rFonts w:ascii="仿宋_GB2312" w:eastAsia="仿宋_GB2312" w:cs="楷体_GB2312" w:hint="eastAsia"/>
          <w:bCs/>
          <w:color w:val="000000"/>
          <w:sz w:val="32"/>
          <w:szCs w:val="32"/>
          <w:shd w:val="clear" w:color="auto" w:fill="auto"/>
          <w:lang w:val="zh-CN" w:eastAsia="zh-CN" w:bidi="ar-SA"/>
        </w:rPr>
        <w:t>党的二十大精神和</w:t>
      </w:r>
      <w:r>
        <w:rPr>
          <w:rFonts w:ascii="仿宋_GB2312" w:eastAsia="仿宋_GB2312" w:hint="eastAsia"/>
          <w:sz w:val="32"/>
          <w:szCs w:val="32"/>
        </w:rPr>
        <w:t>《党史学习教育工作条例》；</w:t>
      </w:r>
      <w:r>
        <w:rPr>
          <w:rFonts w:ascii="仿宋_GB2312" w:eastAsia="仿宋_GB2312" w:cs="楷体_GB2312" w:hint="eastAsia"/>
          <w:bCs/>
          <w:color w:val="000000"/>
          <w:sz w:val="32"/>
          <w:szCs w:val="32"/>
          <w:shd w:val="clear" w:color="auto" w:fill="auto"/>
          <w:lang w:val="zh-CN" w:eastAsia="zh-CN" w:bidi="ar-SA"/>
        </w:rPr>
        <w:t>积极组织中心全体职工学习森林草原防灭火、安全生产、生态环境保护、防汛、防震减灾等相关常识，侧重学习主题教育活动规定篇目以及业务知识，全面提升职工思想认知及防范能力。及时完成上级部门、县委、县政府交办的其他工作。</w:t>
      </w:r>
    </w:p>
    <w:p>
      <w:pPr>
        <w:keepNext w:val="0"/>
        <w:keepLines w:val="0"/>
        <w:pageBreakBefore w:val="0"/>
        <w:widowControl/>
        <w:kinsoku/>
        <w:wordWrap/>
        <w:overflowPunct/>
        <w:topLinePunct w:val="0"/>
        <w:autoSpaceDE/>
        <w:autoSpaceDN/>
        <w:bidi w:val="0"/>
        <w:adjustRightInd w:val="0"/>
        <w:snapToGrid w:val="0"/>
        <w:spacing w:line="520" w:lineRule="exact"/>
        <w:ind w:left="0" w:firstLineChars="200" w:firstLine="640"/>
        <w:jc w:val="left"/>
        <w:textAlignment w:val="auto"/>
        <w:rPr>
          <w:rFonts w:ascii="仿宋_GB2312" w:eastAsia="仿宋_GB2312" w:cs="楷体_GB2312" w:hint="eastAsia"/>
          <w:b/>
          <w:bCs/>
          <w:color w:val="000000"/>
          <w:kern w:val="0"/>
          <w:sz w:val="32"/>
          <w:szCs w:val="32"/>
          <w:shd w:val="clear" w:color="auto" w:fill="FFFFFF"/>
          <w:lang w:bidi="ar-SA"/>
          <w:highlight w:val="auto"/>
        </w:rPr>
      </w:pPr>
      <w:r>
        <w:rPr>
          <w:rFonts w:ascii="仿宋_GB2312" w:eastAsia="仿宋_GB2312" w:cs="楷体_GB2312" w:hint="eastAsia"/>
          <w:b/>
          <w:bCs/>
          <w:color w:val="000000"/>
          <w:kern w:val="0"/>
          <w:sz w:val="32"/>
          <w:szCs w:val="32"/>
          <w:shd w:val="clear" w:color="auto" w:fill="FFFFFF"/>
          <w:lang w:bidi="ar-SA"/>
          <w:highlight w:val="auto"/>
        </w:rPr>
        <w:t>2.预算管理。</w:t>
      </w:r>
    </w:p>
    <w:p>
      <w:pPr>
        <w:keepNext w:val="0"/>
        <w:keepLines w:val="0"/>
        <w:pageBreakBefore w:val="0"/>
        <w:widowControl/>
        <w:kinsoku/>
        <w:wordWrap/>
        <w:overflowPunct/>
        <w:topLinePunct w:val="0"/>
        <w:autoSpaceDE/>
        <w:autoSpaceDN/>
        <w:bidi w:val="0"/>
        <w:adjustRightInd w:val="0"/>
        <w:snapToGrid w:val="0"/>
        <w:spacing w:line="520" w:lineRule="exact"/>
        <w:ind w:left="0" w:firstLineChars="200" w:firstLine="640"/>
        <w:jc w:val="left"/>
        <w:textAlignment w:val="auto"/>
        <w:rPr>
          <w:rFonts w:ascii="仿宋_GB2312" w:eastAsia="仿宋_GB2312" w:cs="楷体_GB2312" w:hint="eastAsia"/>
          <w:bCs/>
          <w:color w:val="000000"/>
          <w:sz w:val="32"/>
          <w:szCs w:val="32"/>
          <w:shd w:val="clear" w:color="auto" w:fill="auto"/>
          <w:lang w:val="zh-CN" w:eastAsia="zh-CN" w:bidi="ar-SA"/>
        </w:rPr>
      </w:pPr>
      <w:r>
        <w:rPr>
          <w:rFonts w:ascii="仿宋_GB2312" w:eastAsia="仿宋_GB2312" w:cs="楷体_GB2312" w:hint="eastAsia"/>
          <w:b/>
          <w:bCs/>
          <w:color w:val="000000"/>
          <w:kern w:val="0"/>
          <w:sz w:val="32"/>
          <w:szCs w:val="32"/>
          <w:shd w:val="clear" w:color="auto" w:fill="FFFFFF"/>
          <w:lang w:bidi="ar-SA"/>
        </w:rPr>
        <w:t>（1）预算编制情况，</w:t>
      </w:r>
      <w:r>
        <w:rPr>
          <w:rFonts w:ascii="仿宋_GB2312" w:eastAsia="仿宋_GB2312" w:cs="楷体_GB2312" w:hint="eastAsia"/>
          <w:bCs/>
          <w:color w:val="000000"/>
          <w:sz w:val="32"/>
          <w:szCs w:val="32"/>
          <w:shd w:val="clear" w:color="auto" w:fill="auto"/>
          <w:lang w:val="zh-CN" w:eastAsia="zh-CN" w:bidi="ar-SA"/>
        </w:rPr>
        <w:t>本单位严格按照综合预算编制原则，保证预算编制质量，绩效目标编制要素完整，部门绩效目标实际实现程度与预期目标不存在偏离，将所有收入和支出均纳入财政预算管理，公用经费按人员数进行编制，其它经费严格按照有关预算法执行；绩效目标填报情况，绩效目标是预算编制的前提和基础，2024年我单位所有项目和部门整体支出都编制了绩效目标，从项目完成、项目效益、满意度等方面设置了绩效指标，综合反映了项目预期完成的数量、成本、时效、质量、预期达到的社会效益、经济效益、生态效益、可持续影响以及服务对象满意度等情况。我单位不存在转移支付提前下达及专项转移支付分地区分项目编制情况。</w:t>
      </w:r>
    </w:p>
    <w:p>
      <w:pPr>
        <w:keepNext w:val="0"/>
        <w:keepLines w:val="0"/>
        <w:pageBreakBefore w:val="0"/>
        <w:widowControl/>
        <w:kinsoku/>
        <w:wordWrap/>
        <w:overflowPunct/>
        <w:topLinePunct w:val="0"/>
        <w:autoSpaceDE/>
        <w:autoSpaceDN/>
        <w:bidi w:val="0"/>
        <w:adjustRightInd w:val="0"/>
        <w:snapToGrid w:val="0"/>
        <w:spacing w:line="520" w:lineRule="exact"/>
        <w:ind w:left="0" w:firstLineChars="200" w:firstLine="640"/>
        <w:jc w:val="left"/>
        <w:textAlignment w:val="auto"/>
        <w:rPr>
          <w:rFonts w:ascii="仿宋_GB2312" w:eastAsia="仿宋_GB2312" w:cs="楷体_GB2312" w:hint="eastAsia"/>
          <w:bCs/>
          <w:color w:val="000000"/>
          <w:sz w:val="32"/>
          <w:szCs w:val="32"/>
          <w:shd w:val="clear" w:color="auto" w:fill="auto"/>
          <w:lang w:val="zh-CN" w:eastAsia="zh-CN" w:bidi="ar-SA"/>
        </w:rPr>
      </w:pPr>
      <w:r>
        <w:rPr>
          <w:rFonts w:ascii="Times New Roman" w:eastAsia="仿宋_GB2312" w:hAnsi="Times New Roman"/>
          <w:b/>
          <w:bCs/>
          <w:color w:val="000000"/>
          <w:sz w:val="32"/>
          <w:szCs w:val="32"/>
          <w:shd w:val="clear" w:color="auto" w:fill="auto"/>
        </w:rPr>
        <w:t>（2）预算执行情况，</w:t>
      </w:r>
      <w:r>
        <w:rPr>
          <w:rFonts w:ascii="仿宋_GB2312" w:eastAsia="仿宋_GB2312" w:cs="楷体_GB2312" w:hint="eastAsia"/>
          <w:bCs/>
          <w:color w:val="000000"/>
          <w:sz w:val="32"/>
          <w:szCs w:val="32"/>
          <w:shd w:val="clear" w:color="auto" w:fill="auto"/>
          <w:lang w:val="zh-CN" w:eastAsia="zh-CN" w:bidi="ar-SA"/>
        </w:rPr>
        <w:t>本单位部门预算执行进度情况按预算执行管理要求严格做到专款专用，部门日常公用经费、项目支出中“办公费、水费、电费”等科目年初预算数与决算数不存在偏差程度，部门绩效监控调整取消额与结余注销额均为零。</w:t>
      </w:r>
    </w:p>
    <w:p>
      <w:pPr>
        <w:keepNext w:val="0"/>
        <w:keepLines w:val="0"/>
        <w:pageBreakBefore w:val="0"/>
        <w:widowControl/>
        <w:kinsoku/>
        <w:wordWrap/>
        <w:overflowPunct/>
        <w:topLinePunct w:val="0"/>
        <w:autoSpaceDE/>
        <w:autoSpaceDN/>
        <w:bidi w:val="0"/>
        <w:adjustRightInd w:val="0"/>
        <w:snapToGrid w:val="0"/>
        <w:spacing w:line="520" w:lineRule="exact"/>
        <w:ind w:left="0" w:firstLineChars="200" w:firstLine="640"/>
        <w:jc w:val="left"/>
        <w:textAlignment w:val="auto"/>
        <w:rPr>
          <w:rFonts w:ascii="仿宋_GB2312" w:eastAsia="仿宋_GB2312" w:cs="楷体_GB2312" w:hint="eastAsia"/>
          <w:bCs/>
          <w:color w:val="000000"/>
          <w:sz w:val="32"/>
          <w:szCs w:val="32"/>
          <w:shd w:val="clear" w:color="auto" w:fill="auto"/>
          <w:lang w:val="zh-CN" w:eastAsia="zh-CN" w:bidi="ar-SA"/>
        </w:rPr>
      </w:pPr>
      <w:r>
        <w:rPr>
          <w:rFonts w:ascii="Times New Roman" w:eastAsia="仿宋_GB2312" w:hAnsi="Times New Roman"/>
          <w:b/>
          <w:bCs/>
          <w:color w:val="000000"/>
          <w:sz w:val="32"/>
          <w:szCs w:val="32"/>
          <w:shd w:val="clear" w:color="auto" w:fill="auto"/>
        </w:rPr>
        <w:t>（3）预算完成结果情况，</w:t>
      </w:r>
      <w:r>
        <w:rPr>
          <w:rFonts w:ascii="仿宋_GB2312" w:eastAsia="仿宋_GB2312" w:cs="楷体_GB2312" w:hint="eastAsia"/>
          <w:bCs/>
          <w:color w:val="000000"/>
          <w:sz w:val="32"/>
          <w:szCs w:val="32"/>
          <w:shd w:val="clear" w:color="auto" w:fill="auto"/>
          <w:lang w:val="zh-CN" w:eastAsia="zh-CN" w:bidi="ar-SA"/>
        </w:rPr>
        <w:t>本单位部门预算项目年终预算执行情况，预算项目按预算要求，截止2024年12月底预算执行进度达到100%，根据审计监督、财政检查结果反映部门上一年度部门预算管理合法、合规，不存在部门预算管理方面违纪违规问题。</w:t>
      </w:r>
    </w:p>
    <w:p>
      <w:pPr>
        <w:pStyle w:val="36"/>
        <w:keepNext w:val="0"/>
        <w:keepLines w:val="0"/>
        <w:pageBreakBefore w:val="0"/>
        <w:widowControl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spacing w:line="520" w:lineRule="exact"/>
        <w:ind w:firstLineChars="200" w:firstLine="640"/>
        <w:rPr>
          <w:rFonts w:ascii="仿宋_GB2312" w:cs="楷体_GB2312" w:hint="eastAsia"/>
          <w:bCs/>
          <w:color w:val="000000"/>
          <w:kern w:val="2"/>
          <w:sz w:val="32"/>
          <w:shd w:val="clear" w:color="auto" w:fill="auto"/>
          <w:lang w:val="zh-CN" w:eastAsia="zh-CN" w:bidi="ar-SA"/>
        </w:rPr>
      </w:pPr>
      <w:r>
        <w:rPr>
          <w:rFonts w:ascii="Times New Roman" w:cs="Times New Roman" w:hAnsi="Times New Roman"/>
          <w:b/>
          <w:bCs/>
          <w:color w:val="000000"/>
          <w:kern w:val="2"/>
          <w:sz w:val="32"/>
          <w:shd w:val="clear" w:color="auto" w:fill="auto"/>
          <w:lang w:bidi="ar-SA"/>
        </w:rPr>
        <w:t>（4）预决算公开情况，</w:t>
      </w:r>
      <w:r>
        <w:rPr>
          <w:rFonts w:ascii="仿宋_GB2312" w:cs="楷体_GB2312" w:hint="eastAsia"/>
          <w:bCs/>
          <w:color w:val="000000"/>
          <w:kern w:val="2"/>
          <w:sz w:val="32"/>
          <w:shd w:val="clear" w:color="auto" w:fill="auto"/>
          <w:lang w:val="zh-CN" w:eastAsia="zh-CN" w:bidi="ar-SA"/>
        </w:rPr>
        <w:t>中心已按照政府信息公开有关规定，在县政府官网上对部门预决算、“三公”经费、绩效管理等进行了公开；截至2024年底，单位在职人数5人，编制人数6人，人员控制率为83%，单位对2024年整体支出情况开展了绩效自评工作。</w:t>
      </w:r>
    </w:p>
    <w:p>
      <w:pPr>
        <w:pStyle w:val="21"/>
        <w:keepNext w:val="0"/>
        <w:keepLines w:val="0"/>
        <w:pageBreakBefore w:val="0"/>
        <w:widowControl w:val="0"/>
        <w:tabs>
          <w:tab w:val="center" w:pos="4153"/>
          <w:tab w:val="right" w:pos="8306"/>
        </w:tabs>
        <w:kinsoku/>
        <w:wordWrap/>
        <w:overflowPunct/>
        <w:topLinePunct w:val="0"/>
        <w:autoSpaceDE/>
        <w:autoSpaceDN/>
        <w:bidi w:val="0"/>
        <w:spacing w:line="520" w:lineRule="exact"/>
        <w:ind w:left="0" w:firstLineChars="200" w:firstLine="640"/>
        <w:textAlignment w:val="auto"/>
        <w:rPr>
          <w:rFonts w:ascii="仿宋_GB2312" w:eastAsia="仿宋_GB2312" w:cs="楷体_GB2312" w:hint="eastAsia"/>
          <w:b/>
          <w:bCs/>
          <w:color w:val="000000"/>
          <w:kern w:val="0"/>
          <w:sz w:val="32"/>
          <w:szCs w:val="32"/>
          <w:shd w:val="clear" w:color="auto" w:fill="FFFFFF"/>
          <w:lang w:val="zh-CN" w:eastAsia="zh-CN" w:bidi="ar-SA"/>
          <w:highlight w:val="auto"/>
        </w:rPr>
      </w:pPr>
      <w:r>
        <w:rPr>
          <w:rFonts w:ascii="仿宋_GB2312" w:eastAsia="仿宋_GB2312" w:cs="楷体_GB2312" w:hint="eastAsia"/>
          <w:b/>
          <w:bCs/>
          <w:color w:val="000000"/>
          <w:kern w:val="0"/>
          <w:sz w:val="32"/>
          <w:szCs w:val="32"/>
          <w:shd w:val="clear" w:color="auto" w:fill="FFFFFF"/>
          <w:lang w:val="en-US" w:eastAsia="zh-CN" w:bidi="ar-SA"/>
          <w:highlight w:val="auto"/>
        </w:rPr>
        <w:t>3.</w:t>
      </w:r>
      <w:r>
        <w:rPr>
          <w:rFonts w:ascii="仿宋_GB2312" w:eastAsia="仿宋_GB2312" w:cs="楷体_GB2312" w:hint="eastAsia"/>
          <w:b/>
          <w:bCs/>
          <w:color w:val="000000"/>
          <w:kern w:val="0"/>
          <w:sz w:val="32"/>
          <w:szCs w:val="32"/>
          <w:shd w:val="clear" w:color="auto" w:fill="FFFFFF"/>
          <w:lang w:val="zh-CN" w:eastAsia="zh-CN" w:bidi="ar-SA"/>
          <w:highlight w:val="auto"/>
        </w:rPr>
        <w:t>财务管理。</w:t>
      </w:r>
    </w:p>
    <w:p>
      <w:pPr>
        <w:pStyle w:val="21"/>
        <w:keepNext w:val="0"/>
        <w:keepLines w:val="0"/>
        <w:pageBreakBefore w:val="0"/>
        <w:widowControl w:val="0"/>
        <w:tabs>
          <w:tab w:val="center" w:pos="4153"/>
          <w:tab w:val="right" w:pos="8306"/>
        </w:tabs>
        <w:kinsoku/>
        <w:wordWrap/>
        <w:overflowPunct/>
        <w:topLinePunct w:val="0"/>
        <w:autoSpaceDE/>
        <w:autoSpaceDN/>
        <w:bidi w:val="0"/>
        <w:spacing w:line="520" w:lineRule="exact"/>
        <w:ind w:left="0" w:firstLineChars="200" w:firstLine="640"/>
        <w:textAlignment w:val="auto"/>
        <w:rPr>
          <w:rFonts w:ascii="Times New Roman" w:cs="Times New Roman" w:hAnsi="Times New Roman"/>
          <w:bCs/>
          <w:color w:val="000000"/>
          <w:szCs w:val="32"/>
          <w:shd w:val="clear" w:color="auto" w:fill="auto"/>
          <w:lang w:bidi="ar-SA"/>
        </w:rPr>
      </w:pPr>
      <w:r>
        <w:rPr>
          <w:rFonts w:ascii="Times New Roman" w:eastAsia="仿宋_GB2312" w:cs="Times New Roman" w:hAnsi="Times New Roman"/>
          <w:b/>
          <w:bCs/>
          <w:color w:val="000000"/>
          <w:sz w:val="32"/>
          <w:szCs w:val="32"/>
          <w:shd w:val="clear" w:color="auto" w:fill="auto"/>
          <w:lang w:bidi="ar-SA"/>
        </w:rPr>
        <w:t>（1）</w:t>
      </w:r>
      <w:r>
        <w:rPr>
          <w:rFonts w:ascii="Times New Roman" w:eastAsia="仿宋_GB2312" w:cs="Times New Roman" w:hAnsi="Times New Roman"/>
          <w:b/>
          <w:bCs/>
          <w:color w:val="000000"/>
          <w:sz w:val="32"/>
          <w:szCs w:val="32"/>
          <w:shd w:val="clear" w:color="auto" w:fill="auto"/>
          <w:lang w:bidi="ar-SA"/>
          <w:highlight w:val="auto"/>
        </w:rPr>
        <w:t>财务管理制度，</w:t>
      </w:r>
      <w:r>
        <w:rPr>
          <w:rFonts w:ascii="仿宋_GB2312" w:eastAsia="仿宋_GB2312" w:cs="楷体_GB2312" w:hint="eastAsia"/>
          <w:bCs/>
          <w:color w:val="000000"/>
          <w:sz w:val="32"/>
          <w:szCs w:val="32"/>
          <w:shd w:val="clear" w:color="auto" w:fill="auto"/>
          <w:lang w:val="zh-CN" w:eastAsia="zh-CN" w:bidi="ar-SA"/>
        </w:rPr>
        <w:t>内部控制制度，是单位管理的重要组成部分，是规范单位经济活动和社会经济秩序的重要手段。我单位的财务管理符合国家有关法律、法规和财务规章制度。建立健全了单位各项财务管理制度，完善内部监控制度，防止财产、资金流失、浪费或被贪污、挪用。</w:t>
      </w:r>
    </w:p>
    <w:p>
      <w:pPr>
        <w:keepNext w:val="0"/>
        <w:keepLines w:val="0"/>
        <w:pageBreakBefore w:val="0"/>
        <w:widowControl w:val="0"/>
        <w:kinsoku/>
        <w:wordWrap/>
        <w:overflowPunct/>
        <w:topLinePunct w:val="0"/>
        <w:autoSpaceDE/>
        <w:autoSpaceDN/>
        <w:bidi w:val="0"/>
        <w:spacing w:line="520" w:lineRule="exact"/>
        <w:ind w:firstLineChars="200" w:firstLine="640"/>
        <w:textAlignment w:val="auto"/>
        <w:rPr>
          <w:rFonts w:ascii="仿宋_GB2312" w:eastAsia="仿宋_GB2312" w:cs="楷体_GB2312" w:hint="eastAsia"/>
          <w:bCs/>
          <w:color w:val="000000"/>
          <w:sz w:val="32"/>
          <w:szCs w:val="32"/>
          <w:shd w:val="clear" w:color="auto" w:fill="auto"/>
          <w:lang w:val="zh-CN" w:eastAsia="zh-CN" w:bidi="ar-SA"/>
        </w:rPr>
      </w:pPr>
      <w:r>
        <w:rPr>
          <w:rFonts w:ascii="Times New Roman" w:eastAsia="仿宋_GB2312" w:hAnsi="Times New Roman"/>
          <w:b/>
          <w:bCs/>
          <w:color w:val="000000"/>
          <w:sz w:val="32"/>
          <w:szCs w:val="32"/>
          <w:shd w:val="clear" w:color="auto" w:fill="auto"/>
        </w:rPr>
        <w:t>（2）</w:t>
      </w:r>
      <w:r>
        <w:rPr>
          <w:rFonts w:ascii="Times New Roman" w:eastAsia="仿宋_GB2312" w:hAnsi="Times New Roman"/>
          <w:b/>
          <w:bCs/>
          <w:color w:val="000000"/>
          <w:sz w:val="32"/>
          <w:szCs w:val="32"/>
          <w:shd w:val="clear" w:color="auto" w:fill="auto"/>
          <w:highlight w:val="auto"/>
        </w:rPr>
        <w:t>财务岗位设置，</w:t>
      </w:r>
      <w:r>
        <w:rPr>
          <w:rFonts w:ascii="仿宋_GB2312" w:eastAsia="仿宋_GB2312" w:cs="楷体_GB2312" w:hint="eastAsia"/>
          <w:bCs/>
          <w:color w:val="000000"/>
          <w:sz w:val="32"/>
          <w:szCs w:val="32"/>
          <w:shd w:val="clear" w:color="auto" w:fill="auto"/>
          <w:lang w:val="zh-CN" w:eastAsia="zh-CN" w:bidi="ar-SA"/>
          <w:highlight w:val="auto"/>
        </w:rPr>
        <w:t>本</w:t>
      </w:r>
      <w:r>
        <w:rPr>
          <w:rFonts w:ascii="仿宋_GB2312" w:eastAsia="仿宋_GB2312" w:cs="楷体_GB2312" w:hint="eastAsia"/>
          <w:bCs/>
          <w:color w:val="000000"/>
          <w:sz w:val="32"/>
          <w:szCs w:val="32"/>
          <w:shd w:val="clear" w:color="auto" w:fill="auto"/>
          <w:lang w:val="zh-CN" w:eastAsia="zh-CN" w:bidi="ar-SA"/>
        </w:rPr>
        <w:t>单位按照规定配备会计人员，负责对本单位的经济活动进行统一管理和核算。单位内部的其他非独立工作部门或机构不得脱离单位统一监督另设会计、出纳，不得另立账户从事会计核算。从事会计工作的人员，单位会计机构中的会计、出纳人员，必须分设，银行印鉴必须分管。不得以任何理由发生会计、出纳一人兼，银行印鉴一人管的现象。</w:t>
      </w:r>
    </w:p>
    <w:p>
      <w:pPr>
        <w:pStyle w:val="18"/>
        <w:keepNext w:val="0"/>
        <w:keepLines w:val="0"/>
        <w:pageBreakBefore w:val="0"/>
        <w:widowControl w:val="0"/>
        <w:kinsoku/>
        <w:wordWrap/>
        <w:overflowPunct/>
        <w:topLinePunct w:val="0"/>
        <w:autoSpaceDE/>
        <w:autoSpaceDN/>
        <w:bidi w:val="0"/>
        <w:spacing w:line="520" w:lineRule="exact"/>
        <w:ind w:left="0" w:firstLineChars="200" w:firstLine="640"/>
        <w:textAlignment w:val="auto"/>
        <w:rPr>
          <w:rFonts w:cs="楷体_GB2312" w:hint="eastAsia"/>
          <w:bCs/>
          <w:color w:val="000000"/>
          <w:kern w:val="2"/>
          <w:sz w:val="32"/>
          <w:szCs w:val="32"/>
          <w:shd w:val="clear" w:color="auto" w:fill="auto"/>
          <w:lang w:val="zh-CN" w:eastAsia="zh-CN" w:bidi="ar-SA"/>
        </w:rPr>
      </w:pPr>
      <w:r>
        <w:rPr>
          <w:rFonts w:ascii="Times New Roman" w:cs="Times New Roman" w:hAnsi="Times New Roman"/>
          <w:b/>
          <w:bCs/>
          <w:color w:val="000000"/>
          <w:kern w:val="2"/>
          <w:sz w:val="32"/>
          <w:szCs w:val="32"/>
          <w:shd w:val="clear" w:color="auto" w:fill="auto"/>
          <w:lang w:bidi="ar-SA"/>
        </w:rPr>
        <w:t>（3）</w:t>
      </w:r>
      <w:r>
        <w:rPr>
          <w:rFonts w:ascii="Times New Roman" w:cs="Times New Roman" w:hAnsi="Times New Roman"/>
          <w:b/>
          <w:bCs/>
          <w:color w:val="000000"/>
          <w:kern w:val="2"/>
          <w:sz w:val="32"/>
          <w:szCs w:val="32"/>
          <w:shd w:val="clear" w:color="auto" w:fill="auto"/>
          <w:lang w:bidi="ar-SA"/>
          <w:highlight w:val="auto"/>
        </w:rPr>
        <w:t>资金使用规范情况，</w:t>
      </w:r>
      <w:r>
        <w:rPr>
          <w:rFonts w:cs="楷体_GB2312" w:hint="eastAsia"/>
          <w:bCs/>
          <w:color w:val="000000"/>
          <w:kern w:val="2"/>
          <w:sz w:val="32"/>
          <w:szCs w:val="32"/>
          <w:shd w:val="clear" w:color="auto" w:fill="auto"/>
          <w:lang w:val="zh-CN" w:eastAsia="zh-CN" w:bidi="ar-SA"/>
        </w:rPr>
        <w:t>一是经费支出严格按预算执行，所有经费支出均坚持“事前报告、一事一结、及时报账”的原则，严格按预算执行。二是规范报销审批程序，坚持分管财务负责人和主要负责“两支笔”审批和审批额度管理，超过1</w:t>
      </w:r>
      <w:r>
        <w:rPr>
          <w:rFonts w:cs="楷体_GB2312"/>
          <w:bCs/>
          <w:color w:val="000000"/>
          <w:kern w:val="2"/>
          <w:sz w:val="32"/>
          <w:szCs w:val="32"/>
          <w:shd w:val="clear" w:color="auto" w:fill="auto"/>
          <w:lang w:val="zh-CN" w:eastAsia="zh-CN" w:bidi="ar-SA"/>
        </w:rPr>
        <w:t>万元</w:t>
      </w:r>
      <w:r>
        <w:rPr>
          <w:rFonts w:cs="楷体_GB2312" w:hint="eastAsia"/>
          <w:bCs/>
          <w:color w:val="000000"/>
          <w:kern w:val="2"/>
          <w:sz w:val="32"/>
          <w:szCs w:val="32"/>
          <w:shd w:val="clear" w:color="auto" w:fill="auto"/>
          <w:lang w:val="zh-CN" w:eastAsia="zh-CN" w:bidi="ar-SA"/>
        </w:rPr>
        <w:t>的非常规性支出、“三公”经费支出、重要（或金额重大）支出，由经办人提请班子会议，由领导班子集体研究决定，经研究同意后，履行审核、审批流程后，再执行支付流程。三是加强会计核算工作。进一步强化基础性会计工作，认真做好日常报账工作，规范会计档案管理，确保会计工作严格、规范、有序。按照新制度要求，进一步完善支出凭证附件，差旅费报销要求附按审批权限签字同意出差的意见，招待费报销要求严格公务接待的标准和要求附公务接待清单等。</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_GB2312" w:eastAsia="仿宋_GB2312" w:cs="楷体_GB2312" w:hint="eastAsia"/>
          <w:bCs/>
          <w:color w:val="000000"/>
          <w:sz w:val="32"/>
          <w:szCs w:val="32"/>
          <w:shd w:val="clear" w:color="auto" w:fill="auto"/>
          <w:lang w:val="zh-CN" w:eastAsia="zh-CN" w:bidi="ar-SA"/>
        </w:rPr>
      </w:pPr>
      <w:r>
        <w:rPr>
          <w:rFonts w:ascii="仿宋_GB2312" w:eastAsia="仿宋_GB2312" w:cs="楷体_GB2312" w:hint="eastAsia"/>
          <w:b/>
          <w:bCs/>
          <w:color w:val="000000"/>
          <w:kern w:val="0"/>
          <w:sz w:val="32"/>
          <w:szCs w:val="32"/>
          <w:shd w:val="clear" w:color="auto" w:fill="FFFFFF"/>
          <w:lang w:bidi="ar-SA"/>
          <w:highlight w:val="auto"/>
        </w:rPr>
        <w:t>（4）资产管理。</w:t>
      </w:r>
      <w:r>
        <w:rPr>
          <w:rFonts w:ascii="仿宋_GB2312" w:eastAsia="仿宋_GB2312" w:cs="楷体_GB2312" w:hint="eastAsia"/>
          <w:bCs/>
          <w:color w:val="000000"/>
          <w:sz w:val="32"/>
          <w:szCs w:val="32"/>
          <w:shd w:val="clear" w:color="auto" w:fill="auto"/>
          <w:lang w:val="zh-CN" w:eastAsia="zh-CN" w:bidi="ar-SA"/>
        </w:rPr>
        <w:t>截至2024年12月31日，单位账面反映持有且在用的固定资产原值为5.92万元，固定资产累计折旧为3.09万元，固定资产净值为2.83万元，主要为电子设备及办公家具家电。单位资产已录入固定资产系统。</w:t>
      </w:r>
    </w:p>
    <w:p>
      <w:pPr>
        <w:pStyle w:val="21"/>
        <w:keepNext w:val="0"/>
        <w:keepLines w:val="0"/>
        <w:pageBreakBefore w:val="0"/>
        <w:widowControl w:val="0"/>
        <w:tabs>
          <w:tab w:val="center" w:pos="4153"/>
          <w:tab w:val="right" w:pos="8306"/>
        </w:tabs>
        <w:kinsoku/>
        <w:wordWrap/>
        <w:overflowPunct/>
        <w:topLinePunct w:val="0"/>
        <w:autoSpaceDE/>
        <w:autoSpaceDN/>
        <w:spacing w:line="520" w:lineRule="exact"/>
        <w:ind w:firstLineChars="200" w:firstLine="640"/>
        <w:rPr>
          <w:rFonts w:ascii="仿宋_GB2312" w:eastAsia="仿宋_GB2312" w:cs="楷体_GB2312" w:hint="eastAsia"/>
          <w:bCs/>
          <w:color w:val="000000"/>
          <w:sz w:val="32"/>
          <w:szCs w:val="32"/>
          <w:shd w:val="clear" w:color="auto" w:fill="auto"/>
          <w:lang w:val="zh-CN" w:eastAsia="zh-CN" w:bidi="ar-SA"/>
        </w:rPr>
      </w:pPr>
      <w:r>
        <w:rPr>
          <w:rFonts w:ascii="仿宋_GB2312" w:eastAsia="仿宋_GB2312" w:cs="楷体_GB2312" w:hint="eastAsia"/>
          <w:b/>
          <w:bCs/>
          <w:color w:val="000000"/>
          <w:kern w:val="0"/>
          <w:sz w:val="32"/>
          <w:szCs w:val="32"/>
          <w:shd w:val="clear" w:color="auto" w:fill="FFFFFF"/>
          <w:lang w:val="en-US" w:eastAsia="zh-CN" w:bidi="ar-SA"/>
          <w:highlight w:val="auto"/>
        </w:rPr>
        <w:t>（5）</w:t>
      </w:r>
      <w:r>
        <w:rPr>
          <w:rFonts w:ascii="仿宋_GB2312" w:eastAsia="仿宋_GB2312" w:cs="楷体_GB2312" w:hint="eastAsia"/>
          <w:b/>
          <w:bCs/>
          <w:color w:val="000000"/>
          <w:kern w:val="0"/>
          <w:sz w:val="32"/>
          <w:szCs w:val="32"/>
          <w:shd w:val="clear" w:color="auto" w:fill="FFFFFF"/>
          <w:lang w:val="zh-CN" w:eastAsia="zh-CN" w:bidi="ar-SA"/>
          <w:highlight w:val="auto"/>
        </w:rPr>
        <w:t>采购管理。</w:t>
      </w:r>
      <w:r>
        <w:rPr>
          <w:rFonts w:ascii="仿宋_GB2312" w:eastAsia="仿宋_GB2312" w:cs="楷体_GB2312" w:hint="eastAsia"/>
          <w:bCs/>
          <w:color w:val="000000"/>
          <w:sz w:val="32"/>
          <w:szCs w:val="32"/>
          <w:shd w:val="clear" w:color="auto" w:fill="auto"/>
          <w:lang w:val="zh-CN" w:eastAsia="zh-CN" w:bidi="ar-SA"/>
        </w:rPr>
        <w:t>政府采购制度是公共财政的重要组成部分，是加强财政支出管理的一项有效措施。我单位在政府采购中不断加大中小微企业采购比例，帮助中小企业参与竞争，促进生产发展，助力采购政策加力提效。</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楷体_GB2312" w:hAnsi="Times New Roman"/>
          <w:b/>
          <w:bCs/>
          <w:color w:val="000000"/>
          <w:kern w:val="0"/>
          <w:sz w:val="32"/>
          <w:szCs w:val="32"/>
          <w:shd w:val="clear" w:color="auto" w:fill="FFFFFF"/>
          <w:lang w:val="zh-CN" w:eastAsia="zh-CN"/>
          <w:highlight w:val="auto"/>
        </w:rPr>
      </w:pPr>
      <w:r>
        <w:rPr>
          <w:rFonts w:ascii="Times New Roman" w:eastAsia="楷体_GB2312" w:hAnsi="Times New Roman"/>
          <w:b/>
          <w:bCs/>
          <w:color w:val="000000"/>
          <w:kern w:val="0"/>
          <w:sz w:val="32"/>
          <w:szCs w:val="32"/>
          <w:shd w:val="clear" w:color="auto" w:fill="FFFFFF"/>
          <w:lang w:val="zh-CN" w:eastAsia="zh-CN"/>
          <w:highlight w:val="auto"/>
        </w:rPr>
        <w:t>（二）部门预算项目绩效分析</w:t>
      </w:r>
    </w:p>
    <w:p>
      <w:pPr>
        <w:keepNext w:val="0"/>
        <w:keepLines w:val="0"/>
        <w:pageBreakBefore w:val="0"/>
        <w:widowControl/>
        <w:kinsoku/>
        <w:wordWrap/>
        <w:overflowPunct/>
        <w:topLinePunct w:val="0"/>
        <w:autoSpaceDE/>
        <w:autoSpaceDN/>
        <w:adjustRightInd w:val="0"/>
        <w:snapToGrid w:val="0"/>
        <w:spacing w:line="520" w:lineRule="exact"/>
        <w:ind w:firstLine="720"/>
        <w:jc w:val="left"/>
        <w:rPr>
          <w:rFonts w:ascii="仿宋_GB2312" w:eastAsia="仿宋_GB2312" w:cs="楷体_GB2312" w:hint="eastAsia"/>
          <w:bCs/>
          <w:color w:val="000000"/>
          <w:sz w:val="32"/>
          <w:szCs w:val="32"/>
          <w:shd w:val="clear" w:color="auto" w:fill="auto"/>
          <w:lang w:val="zh-CN" w:eastAsia="zh-CN" w:bidi="ar-SA"/>
          <w:highlight w:val="auto"/>
        </w:rPr>
      </w:pPr>
      <w:r>
        <w:rPr>
          <w:rFonts w:ascii="仿宋_GB2312" w:eastAsia="仿宋_GB2312" w:cs="楷体_GB2312" w:hint="eastAsia"/>
          <w:bCs/>
          <w:color w:val="000000"/>
          <w:sz w:val="32"/>
          <w:szCs w:val="32"/>
          <w:shd w:val="clear" w:color="auto" w:fill="auto"/>
          <w:lang w:val="zh-CN" w:eastAsia="zh-CN" w:bidi="ar-SA"/>
          <w:highlight w:val="auto"/>
        </w:rPr>
        <w:t>常年项目绩效分析。该类项目总数26个，涉及预算总金额   122.78万元，1—12月预算执行总体进度为100 %，其中：预算结余率大于10%的项目共计0个。</w:t>
      </w:r>
    </w:p>
    <w:p>
      <w:pPr>
        <w:keepNext w:val="0"/>
        <w:keepLines w:val="0"/>
        <w:pageBreakBefore w:val="0"/>
        <w:widowControl/>
        <w:kinsoku/>
        <w:wordWrap/>
        <w:overflowPunct/>
        <w:topLinePunct w:val="0"/>
        <w:autoSpaceDE/>
        <w:autoSpaceDN/>
        <w:adjustRightInd w:val="0"/>
        <w:snapToGrid w:val="0"/>
        <w:spacing w:line="520" w:lineRule="exact"/>
        <w:ind w:firstLine="720"/>
        <w:jc w:val="left"/>
        <w:rPr>
          <w:rFonts w:ascii="仿宋_GB2312" w:eastAsia="仿宋_GB2312" w:cs="楷体_GB2312" w:hint="eastAsia"/>
          <w:bCs/>
          <w:color w:val="000000"/>
          <w:sz w:val="32"/>
          <w:szCs w:val="32"/>
          <w:shd w:val="clear" w:color="auto" w:fill="auto"/>
          <w:lang w:val="zh-CN" w:eastAsia="zh-CN" w:bidi="ar-SA"/>
          <w:highlight w:val="auto"/>
        </w:rPr>
      </w:pPr>
      <w:r>
        <w:rPr>
          <w:rFonts w:ascii="仿宋_GB2312" w:eastAsia="仿宋_GB2312" w:cs="楷体_GB2312" w:hint="eastAsia"/>
          <w:bCs/>
          <w:color w:val="000000"/>
          <w:sz w:val="32"/>
          <w:szCs w:val="32"/>
          <w:shd w:val="clear" w:color="auto" w:fill="auto"/>
          <w:lang w:val="zh-CN" w:eastAsia="zh-CN" w:bidi="ar-SA"/>
          <w:highlight w:val="auto"/>
        </w:rPr>
        <w:t>阶段（一次性）项目绩效分析。该类项目总数3个，涉及预算总金额69.45万元，1—12月预算执行总体进度为90%，其中：预算结余率大于10%的项目共计0个。</w:t>
      </w:r>
    </w:p>
    <w:p>
      <w:pPr>
        <w:keepNext w:val="0"/>
        <w:keepLines w:val="0"/>
        <w:pageBreakBefore w:val="0"/>
        <w:widowControl w:val="0"/>
        <w:kinsoku/>
        <w:wordWrap/>
        <w:overflowPunct/>
        <w:topLinePunct w:val="0"/>
        <w:autoSpaceDE/>
        <w:autoSpaceDN/>
        <w:adjustRightInd w:val="0"/>
        <w:snapToGrid w:val="0"/>
        <w:spacing w:line="520" w:lineRule="exact"/>
        <w:ind w:left="0" w:firstLineChars="200" w:firstLine="640"/>
        <w:contextualSpacing/>
        <w:jc w:val="left"/>
        <w:rPr>
          <w:rFonts w:ascii="仿宋_GB2312" w:eastAsia="仿宋_GB2312" w:cs="楷体_GB2312" w:hint="eastAsia"/>
          <w:b/>
          <w:bCs/>
          <w:color w:val="000000"/>
          <w:kern w:val="0"/>
          <w:sz w:val="32"/>
          <w:szCs w:val="32"/>
          <w:shd w:val="clear" w:color="auto" w:fill="FFFFFF"/>
          <w:lang w:val="zh-CN" w:eastAsia="zh-CN" w:bidi="ar-SA"/>
          <w:highlight w:val="auto"/>
        </w:rPr>
      </w:pPr>
      <w:r>
        <w:rPr>
          <w:rFonts w:ascii="仿宋_GB2312" w:eastAsia="仿宋_GB2312" w:cs="楷体_GB2312" w:hint="eastAsia"/>
          <w:b/>
          <w:bCs/>
          <w:color w:val="000000"/>
          <w:kern w:val="0"/>
          <w:sz w:val="32"/>
          <w:szCs w:val="32"/>
          <w:shd w:val="clear" w:color="auto" w:fill="FFFFFF"/>
          <w:lang w:val="en-US" w:eastAsia="zh-CN" w:bidi="ar-SA"/>
          <w:highlight w:val="auto"/>
        </w:rPr>
        <w:t>1.</w:t>
      </w:r>
      <w:r>
        <w:rPr>
          <w:rFonts w:ascii="仿宋_GB2312" w:eastAsia="仿宋_GB2312" w:cs="楷体_GB2312" w:hint="eastAsia"/>
          <w:b/>
          <w:bCs/>
          <w:color w:val="000000"/>
          <w:kern w:val="0"/>
          <w:sz w:val="32"/>
          <w:szCs w:val="32"/>
          <w:shd w:val="clear" w:color="auto" w:fill="FFFFFF"/>
          <w:lang w:val="zh-CN" w:eastAsia="zh-CN" w:bidi="ar-SA"/>
          <w:highlight w:val="auto"/>
        </w:rPr>
        <w:t>项目决策。</w:t>
      </w:r>
    </w:p>
    <w:p>
      <w:pPr>
        <w:keepNext w:val="0"/>
        <w:keepLines w:val="0"/>
        <w:pageBreakBefore w:val="0"/>
        <w:widowControl/>
        <w:kinsoku/>
        <w:wordWrap/>
        <w:overflowPunct/>
        <w:topLinePunct w:val="0"/>
        <w:autoSpaceDE/>
        <w:autoSpaceDN/>
        <w:adjustRightInd w:val="0"/>
        <w:snapToGrid w:val="0"/>
        <w:spacing w:line="520" w:lineRule="exact"/>
        <w:ind w:firstLine="720"/>
        <w:jc w:val="left"/>
        <w:rPr>
          <w:rFonts w:ascii="仿宋_GB2312" w:eastAsia="仿宋_GB2312" w:cs="楷体_GB2312" w:hint="eastAsia"/>
          <w:bCs/>
          <w:color w:val="000000"/>
          <w:sz w:val="32"/>
          <w:szCs w:val="32"/>
          <w:shd w:val="clear" w:color="auto" w:fill="auto"/>
          <w:lang w:val="zh-CN" w:eastAsia="zh-CN" w:bidi="ar-SA"/>
        </w:rPr>
      </w:pPr>
      <w:r>
        <w:rPr>
          <w:rFonts w:ascii="仿宋_GB2312" w:eastAsia="仿宋_GB2312" w:cs="楷体_GB2312" w:hint="eastAsia"/>
          <w:bCs/>
          <w:color w:val="000000"/>
          <w:sz w:val="32"/>
          <w:szCs w:val="32"/>
          <w:shd w:val="clear" w:color="auto" w:fill="auto"/>
          <w:lang w:val="zh-CN" w:eastAsia="zh-CN" w:bidi="ar-SA"/>
        </w:rPr>
        <w:t>围绕绩效目标开展，考量既定绩效目标的实现程度，并在此基础上持续完善政策、项目的绩效目标。</w:t>
      </w:r>
    </w:p>
    <w:p>
      <w:pPr>
        <w:keepNext w:val="0"/>
        <w:keepLines w:val="0"/>
        <w:pageBreakBefore w:val="0"/>
        <w:widowControl w:val="0"/>
        <w:kinsoku/>
        <w:wordWrap/>
        <w:overflowPunct/>
        <w:topLinePunct w:val="0"/>
        <w:autoSpaceDE/>
        <w:autoSpaceDN/>
        <w:adjustRightInd w:val="0"/>
        <w:snapToGrid w:val="0"/>
        <w:spacing w:line="520" w:lineRule="exact"/>
        <w:ind w:left="0" w:firstLineChars="200" w:firstLine="640"/>
        <w:contextualSpacing/>
        <w:jc w:val="left"/>
        <w:rPr>
          <w:rFonts w:ascii="仿宋_GB2312" w:eastAsia="仿宋_GB2312" w:cs="楷体_GB2312" w:hint="eastAsia"/>
          <w:b/>
          <w:bCs/>
          <w:color w:val="000000"/>
          <w:kern w:val="0"/>
          <w:sz w:val="32"/>
          <w:szCs w:val="32"/>
          <w:shd w:val="clear" w:color="auto" w:fill="FFFFFF"/>
          <w:lang w:bidi="ar-SA"/>
          <w:highlight w:val="auto"/>
        </w:rPr>
      </w:pPr>
      <w:r>
        <w:rPr>
          <w:rFonts w:ascii="仿宋_GB2312" w:eastAsia="仿宋_GB2312" w:cs="楷体_GB2312" w:hint="eastAsia"/>
          <w:b/>
          <w:bCs/>
          <w:color w:val="000000"/>
          <w:kern w:val="0"/>
          <w:sz w:val="32"/>
          <w:szCs w:val="32"/>
          <w:shd w:val="clear" w:color="auto" w:fill="FFFFFF"/>
          <w:lang w:bidi="ar-SA"/>
          <w:highlight w:val="auto"/>
        </w:rPr>
        <w:t>2.项目执行。</w:t>
      </w:r>
    </w:p>
    <w:p>
      <w:pPr>
        <w:keepNext w:val="0"/>
        <w:keepLines w:val="0"/>
        <w:pageBreakBefore w:val="0"/>
        <w:widowControl/>
        <w:kinsoku/>
        <w:wordWrap/>
        <w:overflowPunct/>
        <w:topLinePunct w:val="0"/>
        <w:autoSpaceDE/>
        <w:autoSpaceDN/>
        <w:adjustRightInd w:val="0"/>
        <w:snapToGrid w:val="0"/>
        <w:spacing w:line="520" w:lineRule="exact"/>
        <w:ind w:firstLine="720"/>
        <w:jc w:val="left"/>
        <w:rPr>
          <w:rFonts w:ascii="仿宋_GB2312" w:eastAsia="仿宋_GB2312" w:cs="楷体_GB2312" w:hint="eastAsia"/>
          <w:bCs/>
          <w:color w:val="000000"/>
          <w:sz w:val="32"/>
          <w:szCs w:val="32"/>
          <w:shd w:val="clear" w:color="auto" w:fill="auto"/>
          <w:lang w:val="zh-CN" w:eastAsia="zh-CN" w:bidi="ar-SA"/>
        </w:rPr>
      </w:pPr>
      <w:r>
        <w:rPr>
          <w:rFonts w:ascii="仿宋_GB2312" w:eastAsia="仿宋_GB2312" w:cs="楷体_GB2312" w:hint="eastAsia"/>
          <w:bCs/>
          <w:color w:val="000000"/>
          <w:sz w:val="32"/>
          <w:szCs w:val="32"/>
          <w:shd w:val="clear" w:color="auto" w:fill="auto"/>
          <w:lang w:val="zh-CN" w:eastAsia="zh-CN" w:bidi="ar-SA"/>
        </w:rPr>
        <w:t>2024年预算执行中发现人员经费在支付过程中存在动态变化，年初预算金额并不能满足支付需求，需要在执行过程中进行经济科目调剂追加。委托业务费需根据项目完成情况动态调整。</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_GB2312" w:eastAsia="仿宋_GB2312" w:cs="楷体_GB2312" w:hint="eastAsia"/>
          <w:b/>
          <w:bCs/>
          <w:color w:val="000000"/>
          <w:kern w:val="0"/>
          <w:sz w:val="32"/>
          <w:szCs w:val="32"/>
          <w:shd w:val="clear" w:color="auto" w:fill="FFFFFF"/>
          <w:lang w:val="zh-CN" w:eastAsia="zh-CN" w:bidi="ar-SA"/>
          <w:highlight w:val="auto"/>
        </w:rPr>
      </w:pPr>
      <w:r>
        <w:rPr>
          <w:rFonts w:ascii="仿宋_GB2312" w:eastAsia="仿宋_GB2312" w:cs="楷体_GB2312" w:hint="eastAsia"/>
          <w:b/>
          <w:bCs/>
          <w:color w:val="000000"/>
          <w:kern w:val="0"/>
          <w:sz w:val="32"/>
          <w:szCs w:val="32"/>
          <w:shd w:val="clear" w:color="auto" w:fill="FFFFFF"/>
          <w:lang w:val="en-US" w:eastAsia="zh-CN" w:bidi="ar-SA"/>
          <w:highlight w:val="auto"/>
        </w:rPr>
        <w:t>3.</w:t>
      </w:r>
      <w:r>
        <w:rPr>
          <w:rFonts w:ascii="仿宋_GB2312" w:eastAsia="仿宋_GB2312" w:cs="楷体_GB2312" w:hint="eastAsia"/>
          <w:b/>
          <w:bCs/>
          <w:color w:val="000000"/>
          <w:kern w:val="0"/>
          <w:sz w:val="32"/>
          <w:szCs w:val="32"/>
          <w:shd w:val="clear" w:color="auto" w:fill="FFFFFF"/>
          <w:lang w:val="zh-CN" w:eastAsia="zh-CN" w:bidi="ar-SA"/>
          <w:highlight w:val="auto"/>
        </w:rPr>
        <w:t>目标实现。</w:t>
      </w:r>
    </w:p>
    <w:p>
      <w:pPr>
        <w:keepNext w:val="0"/>
        <w:keepLines w:val="0"/>
        <w:pageBreakBefore w:val="0"/>
        <w:widowControl/>
        <w:kinsoku/>
        <w:wordWrap/>
        <w:overflowPunct/>
        <w:topLinePunct w:val="0"/>
        <w:autoSpaceDE/>
        <w:autoSpaceDN/>
        <w:adjustRightInd w:val="0"/>
        <w:snapToGrid w:val="0"/>
        <w:spacing w:line="520" w:lineRule="exact"/>
        <w:ind w:firstLine="720"/>
        <w:jc w:val="left"/>
        <w:rPr>
          <w:rFonts w:ascii="仿宋_GB2312" w:eastAsia="仿宋_GB2312" w:cs="楷体_GB2312" w:hint="eastAsia"/>
          <w:bCs/>
          <w:color w:val="000000"/>
          <w:sz w:val="32"/>
          <w:szCs w:val="32"/>
          <w:shd w:val="clear" w:color="auto" w:fill="auto"/>
          <w:lang w:val="zh-CN" w:eastAsia="zh-CN" w:bidi="ar-SA"/>
          <w:highlight w:val="auto"/>
        </w:rPr>
      </w:pPr>
      <w:r>
        <w:rPr>
          <w:rFonts w:ascii="仿宋_GB2312" w:eastAsia="仿宋_GB2312" w:cs="楷体_GB2312" w:hint="eastAsia"/>
          <w:bCs/>
          <w:color w:val="000000"/>
          <w:sz w:val="32"/>
          <w:szCs w:val="32"/>
          <w:shd w:val="clear" w:color="auto" w:fill="auto"/>
          <w:lang w:val="zh-CN" w:eastAsia="zh-CN" w:bidi="ar-SA"/>
          <w:highlight w:val="auto"/>
        </w:rPr>
        <w:t>目标完成较好，目标偏离度小，实现既定效果。</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楷体_GB2312" w:hint="eastAsia"/>
          <w:b/>
          <w:bCs/>
          <w:color w:val="000000"/>
          <w:kern w:val="0"/>
          <w:sz w:val="32"/>
          <w:szCs w:val="32"/>
          <w:shd w:val="clear" w:color="auto" w:fill="FFFFFF"/>
          <w:lang w:bidi="ar-SA"/>
          <w:highlight w:val="auto"/>
        </w:rPr>
      </w:pPr>
      <w:r>
        <w:rPr>
          <w:rFonts w:ascii="仿宋_GB2312" w:eastAsia="仿宋_GB2312" w:cs="楷体_GB2312" w:hint="eastAsia"/>
          <w:b/>
          <w:bCs/>
          <w:color w:val="000000"/>
          <w:kern w:val="0"/>
          <w:sz w:val="32"/>
          <w:szCs w:val="32"/>
          <w:shd w:val="clear" w:color="auto" w:fill="FFFFFF"/>
          <w:lang w:bidi="ar-SA"/>
          <w:highlight w:val="auto"/>
        </w:rPr>
        <w:t>（三）重点领域绩效分析。</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Times New Roman" w:hint="eastAsia"/>
          <w:color w:val="000000"/>
          <w:kern w:val="0"/>
          <w:szCs w:val="32"/>
          <w:shd w:val="clear" w:color="auto" w:fill="FFFFFF"/>
          <w:lang w:val="en-US" w:eastAsia="zh-CN" w:bidi="ar-SA"/>
          <w:highlight w:val="auto"/>
        </w:rPr>
      </w:pPr>
      <w:r>
        <w:rPr>
          <w:rFonts w:ascii="仿宋_GB2312" w:eastAsia="仿宋_GB2312" w:cs="Times New Roman" w:hint="eastAsia"/>
          <w:sz w:val="32"/>
          <w:szCs w:val="32"/>
          <w:u w:val="none"/>
          <w:lang w:eastAsia="zh-CN" w:bidi="ar-SA"/>
          <w:highlight w:val="auto"/>
        </w:rPr>
        <w:t>无</w:t>
      </w:r>
    </w:p>
    <w:p>
      <w:pPr>
        <w:keepNext w:val="0"/>
        <w:keepLines w:val="0"/>
        <w:pageBreakBefore w:val="0"/>
        <w:widowControl/>
        <w:kinsoku/>
        <w:wordWrap/>
        <w:overflowPunct/>
        <w:topLinePunct w:val="0"/>
        <w:autoSpaceDE/>
        <w:autoSpaceDN/>
        <w:bidi w:val="0"/>
        <w:adjustRightInd w:val="0"/>
        <w:snapToGrid w:val="0"/>
        <w:spacing w:line="520" w:lineRule="exact"/>
        <w:ind w:firstLine="720"/>
        <w:jc w:val="left"/>
        <w:textAlignment w:val="auto"/>
        <w:rPr>
          <w:rFonts w:ascii="仿宋_GB2312" w:eastAsia="仿宋_GB2312" w:cs="楷体_GB2312" w:hint="eastAsia"/>
          <w:b/>
          <w:bCs/>
          <w:color w:val="000000"/>
          <w:kern w:val="0"/>
          <w:sz w:val="32"/>
          <w:szCs w:val="32"/>
          <w:shd w:val="clear" w:color="auto" w:fill="FFFFFF"/>
          <w:lang w:val="zh-CN" w:eastAsia="zh-CN" w:bidi="ar-SA"/>
        </w:rPr>
      </w:pPr>
      <w:r>
        <w:rPr>
          <w:rFonts w:ascii="仿宋_GB2312" w:eastAsia="仿宋_GB2312" w:cs="楷体_GB2312" w:hint="eastAsia"/>
          <w:b/>
          <w:bCs/>
          <w:color w:val="000000"/>
          <w:kern w:val="0"/>
          <w:sz w:val="32"/>
          <w:szCs w:val="32"/>
          <w:shd w:val="clear" w:color="auto" w:fill="FFFFFF"/>
          <w:lang w:val="zh-CN" w:eastAsia="zh-CN" w:bidi="ar-SA"/>
        </w:rPr>
        <w:t>（四）绩效结果应用情况。</w:t>
      </w:r>
    </w:p>
    <w:p>
      <w:pPr>
        <w:keepNext w:val="0"/>
        <w:keepLines w:val="0"/>
        <w:pageBreakBefore w:val="0"/>
        <w:widowControl/>
        <w:kinsoku/>
        <w:wordWrap/>
        <w:overflowPunct/>
        <w:topLinePunct w:val="0"/>
        <w:autoSpaceDE/>
        <w:autoSpaceDN/>
        <w:bidi w:val="0"/>
        <w:adjustRightInd w:val="0"/>
        <w:snapToGrid w:val="0"/>
        <w:spacing w:line="520" w:lineRule="exact"/>
        <w:ind w:firstLine="720"/>
        <w:jc w:val="left"/>
        <w:textAlignment w:val="auto"/>
        <w:rPr>
          <w:rFonts w:ascii="仿宋_GB2312" w:eastAsia="仿宋_GB2312" w:cs="楷体_GB2312" w:hint="eastAsia"/>
          <w:b/>
          <w:bCs/>
          <w:color w:val="000000"/>
          <w:kern w:val="0"/>
          <w:sz w:val="32"/>
          <w:szCs w:val="32"/>
          <w:shd w:val="clear" w:color="auto" w:fill="FFFFFF"/>
          <w:lang w:val="zh-CN" w:eastAsia="zh-CN" w:bidi="ar-SA"/>
        </w:rPr>
      </w:pPr>
      <w:r>
        <w:rPr>
          <w:rFonts w:ascii="仿宋_GB2312" w:eastAsia="仿宋_GB2312" w:cs="楷体_GB2312" w:hint="eastAsia"/>
          <w:b/>
          <w:bCs/>
          <w:color w:val="000000"/>
          <w:kern w:val="0"/>
          <w:sz w:val="32"/>
          <w:szCs w:val="32"/>
          <w:shd w:val="clear" w:color="auto" w:fill="FFFFFF"/>
          <w:lang w:val="zh-CN" w:eastAsia="zh-CN" w:bidi="ar-SA"/>
        </w:rPr>
        <w:t>1、信息公开情况</w:t>
      </w:r>
    </w:p>
    <w:p>
      <w:pPr>
        <w:keepNext w:val="0"/>
        <w:keepLines w:val="0"/>
        <w:pageBreakBefore w:val="0"/>
        <w:widowControl/>
        <w:kinsoku/>
        <w:wordWrap/>
        <w:overflowPunct/>
        <w:topLinePunct w:val="0"/>
        <w:autoSpaceDE/>
        <w:autoSpaceDN/>
        <w:adjustRightInd w:val="0"/>
        <w:snapToGrid w:val="0"/>
        <w:spacing w:line="520" w:lineRule="exact"/>
        <w:ind w:firstLine="720"/>
        <w:jc w:val="left"/>
        <w:rPr>
          <w:rFonts w:ascii="仿宋_GB2312" w:eastAsia="仿宋_GB2312" w:cs="楷体_GB2312" w:hint="eastAsia"/>
          <w:bCs/>
          <w:color w:val="000000"/>
          <w:sz w:val="32"/>
          <w:szCs w:val="32"/>
          <w:shd w:val="clear" w:color="auto" w:fill="auto"/>
          <w:lang w:val="zh-CN" w:eastAsia="zh-CN" w:bidi="ar-SA"/>
        </w:rPr>
      </w:pPr>
      <w:r>
        <w:rPr>
          <w:rFonts w:ascii="仿宋_GB2312" w:eastAsia="仿宋_GB2312" w:cs="楷体_GB2312" w:hint="eastAsia"/>
          <w:bCs/>
          <w:color w:val="000000"/>
          <w:sz w:val="32"/>
          <w:szCs w:val="32"/>
          <w:shd w:val="clear" w:color="auto" w:fill="auto"/>
          <w:lang w:val="zh-CN" w:eastAsia="zh-CN" w:bidi="ar-SA"/>
        </w:rPr>
        <w:t>本单位按要求将部门整体绩效自评情况、自行组织的评价情况、预算编制情况、决算编制情况、绩效信息向社会公开。</w:t>
      </w:r>
    </w:p>
    <w:p>
      <w:pPr>
        <w:keepNext w:val="0"/>
        <w:keepLines w:val="0"/>
        <w:pageBreakBefore w:val="0"/>
        <w:widowControl/>
        <w:kinsoku/>
        <w:wordWrap/>
        <w:overflowPunct/>
        <w:topLinePunct w:val="0"/>
        <w:autoSpaceDE/>
        <w:autoSpaceDN/>
        <w:adjustRightInd w:val="0"/>
        <w:snapToGrid w:val="0"/>
        <w:spacing w:line="520" w:lineRule="exact"/>
        <w:ind w:firstLine="720"/>
        <w:jc w:val="left"/>
        <w:rPr>
          <w:rFonts w:ascii="仿宋_GB2312" w:eastAsia="仿宋_GB2312" w:cs="楷体_GB2312" w:hint="eastAsia"/>
          <w:b/>
          <w:bCs/>
          <w:color w:val="000000"/>
          <w:kern w:val="0"/>
          <w:sz w:val="32"/>
          <w:szCs w:val="32"/>
          <w:shd w:val="clear" w:color="auto" w:fill="FFFFFF"/>
          <w:lang w:val="zh-CN" w:eastAsia="zh-CN" w:bidi="ar-SA"/>
        </w:rPr>
      </w:pPr>
      <w:r>
        <w:rPr>
          <w:rFonts w:ascii="仿宋_GB2312" w:eastAsia="仿宋_GB2312" w:cs="楷体_GB2312" w:hint="eastAsia"/>
          <w:b/>
          <w:bCs/>
          <w:color w:val="000000"/>
          <w:kern w:val="0"/>
          <w:sz w:val="32"/>
          <w:szCs w:val="32"/>
          <w:shd w:val="clear" w:color="auto" w:fill="FFFFFF"/>
          <w:lang w:val="zh-CN" w:eastAsia="zh-CN" w:bidi="ar-SA"/>
        </w:rPr>
        <w:t>2、整改反馈</w:t>
      </w:r>
    </w:p>
    <w:p>
      <w:pPr>
        <w:keepNext w:val="0"/>
        <w:keepLines w:val="0"/>
        <w:pageBreakBefore w:val="0"/>
        <w:widowControl/>
        <w:kinsoku/>
        <w:wordWrap/>
        <w:overflowPunct/>
        <w:topLinePunct w:val="0"/>
        <w:autoSpaceDE/>
        <w:autoSpaceDN/>
        <w:bidi w:val="0"/>
        <w:adjustRightInd w:val="0"/>
        <w:snapToGrid w:val="0"/>
        <w:spacing w:line="520" w:lineRule="exact"/>
        <w:ind w:firstLine="720"/>
        <w:jc w:val="left"/>
        <w:textAlignment w:val="auto"/>
        <w:rPr>
          <w:rFonts w:ascii="仿宋_GB2312" w:eastAsia="仿宋_GB2312" w:cs="楷体_GB2312" w:hint="eastAsia"/>
          <w:bCs/>
          <w:color w:val="000000"/>
          <w:sz w:val="32"/>
          <w:szCs w:val="32"/>
          <w:shd w:val="clear" w:color="auto" w:fill="auto"/>
          <w:lang w:val="zh-CN" w:eastAsia="zh-CN" w:bidi="ar-SA"/>
        </w:rPr>
      </w:pPr>
      <w:r>
        <w:rPr>
          <w:rFonts w:ascii="仿宋_GB2312" w:eastAsia="仿宋_GB2312" w:cs="楷体_GB2312" w:hint="eastAsia"/>
          <w:bCs/>
          <w:color w:val="000000"/>
          <w:sz w:val="32"/>
          <w:szCs w:val="32"/>
          <w:shd w:val="clear" w:color="auto" w:fill="auto"/>
          <w:lang w:val="zh-CN" w:eastAsia="zh-CN" w:bidi="ar-SA"/>
        </w:rPr>
        <w:t>本单位针对绩效管理过程中绩效目标核查、绩效监控核查和重点绩效评价提出的问题进行整改，将绩效管理结果应用于完善政策、改进管理、预算挂钩，编制了绩效评价，按要求开展自查自纠工作,依法接受财政监督，在规定时间内向财政部门反馈应用绩效结果报告。</w:t>
      </w:r>
    </w:p>
    <w:p>
      <w:pPr>
        <w:keepNext w:val="0"/>
        <w:keepLines w:val="0"/>
        <w:pageBreakBefore w:val="0"/>
        <w:widowControl/>
        <w:kinsoku/>
        <w:wordWrap/>
        <w:overflowPunct/>
        <w:topLinePunct w:val="0"/>
        <w:autoSpaceDE/>
        <w:autoSpaceDN/>
        <w:adjustRightInd w:val="0"/>
        <w:snapToGrid w:val="0"/>
        <w:spacing w:line="520" w:lineRule="exact"/>
        <w:ind w:firstLine="720"/>
        <w:jc w:val="left"/>
        <w:rPr>
          <w:rFonts w:ascii="仿宋_GB2312" w:eastAsia="仿宋_GB2312" w:cs="楷体_GB2312" w:hint="eastAsia"/>
          <w:b/>
          <w:bCs/>
          <w:color w:val="000000"/>
          <w:kern w:val="0"/>
          <w:sz w:val="32"/>
          <w:szCs w:val="32"/>
          <w:shd w:val="clear" w:color="auto" w:fill="FFFFFF"/>
          <w:lang w:val="zh-CN" w:eastAsia="zh-CN" w:bidi="ar-SA"/>
          <w:highlight w:val="auto"/>
        </w:rPr>
      </w:pPr>
      <w:r>
        <w:rPr>
          <w:rFonts w:ascii="仿宋_GB2312" w:eastAsia="仿宋_GB2312" w:cs="楷体_GB2312" w:hint="eastAsia"/>
          <w:b/>
          <w:bCs/>
          <w:color w:val="000000"/>
          <w:kern w:val="0"/>
          <w:sz w:val="32"/>
          <w:szCs w:val="32"/>
          <w:shd w:val="clear" w:color="auto" w:fill="FFFFFF"/>
          <w:lang w:val="zh-CN" w:eastAsia="zh-CN" w:bidi="ar-SA"/>
          <w:highlight w:val="auto"/>
        </w:rPr>
        <w:t>四、评价结论及建议</w:t>
      </w:r>
    </w:p>
    <w:p>
      <w:pPr>
        <w:keepNext w:val="0"/>
        <w:keepLines w:val="0"/>
        <w:pageBreakBefore w:val="0"/>
        <w:widowControl w:val="0"/>
        <w:kinsoku/>
        <w:wordWrap/>
        <w:overflowPunct/>
        <w:topLinePunct w:val="0"/>
        <w:autoSpaceDE/>
        <w:autoSpaceDN/>
        <w:bidi w:val="0"/>
        <w:snapToGrid w:val="0"/>
        <w:spacing w:line="520" w:lineRule="exact"/>
        <w:ind w:firstLineChars="200" w:firstLine="640"/>
        <w:textAlignment w:val="auto"/>
        <w:rPr>
          <w:rFonts w:ascii="仿宋_GB2312" w:eastAsia="仿宋_GB2312" w:cs="楷体_GB2312" w:hint="eastAsia"/>
          <w:bCs/>
          <w:color w:val="000000"/>
          <w:sz w:val="32"/>
          <w:szCs w:val="32"/>
          <w:shd w:val="clear" w:color="auto" w:fill="auto"/>
          <w:lang w:val="zh-CN" w:eastAsia="zh-CN" w:bidi="ar-SA"/>
        </w:rPr>
      </w:pPr>
      <w:r>
        <w:rPr>
          <w:rFonts w:ascii="仿宋_GB2312" w:eastAsia="仿宋_GB2312" w:cs="楷体_GB2312" w:hint="eastAsia"/>
          <w:b/>
          <w:bCs/>
          <w:color w:val="000000"/>
          <w:kern w:val="0"/>
          <w:sz w:val="32"/>
          <w:szCs w:val="32"/>
          <w:shd w:val="clear" w:color="auto" w:fill="FFFFFF"/>
          <w:lang w:val="zh-CN" w:eastAsia="zh-CN" w:bidi="ar-SA"/>
          <w:highlight w:val="auto"/>
        </w:rPr>
        <w:t>（一）评价结论。</w:t>
      </w:r>
      <w:r>
        <w:rPr>
          <w:rFonts w:ascii="仿宋_GB2312" w:eastAsia="仿宋_GB2312" w:cs="楷体_GB2312" w:hint="eastAsia"/>
          <w:bCs/>
          <w:color w:val="000000"/>
          <w:sz w:val="32"/>
          <w:szCs w:val="32"/>
          <w:shd w:val="clear" w:color="auto" w:fill="auto"/>
          <w:lang w:val="zh-CN" w:eastAsia="zh-CN" w:bidi="ar-SA"/>
        </w:rPr>
        <w:t>金财监绩[2025]35号附件1：部门预算绩效评价指标体系进行单位自评，综合各项指标，我单位财务管理规范健全，没有违法违规行为发生，2024年度部门整体支出绩效自我评价94分。我们将持续加强预算管理，严格控制各项经费开支，提高经费使用效率。</w:t>
      </w:r>
    </w:p>
    <w:p>
      <w:pPr>
        <w:pStyle w:val="36"/>
        <w:keepNext w:val="0"/>
        <w:keepLines w:val="0"/>
        <w:pageBreakBefore w:val="0"/>
        <w:widowControl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after="120" w:line="520" w:lineRule="exact"/>
        <w:ind w:left="0" w:right="0" w:firstLineChars="200" w:firstLine="640"/>
        <w:textAlignment w:val="auto"/>
        <w:rPr>
          <w:rFonts w:ascii="仿宋_GB2312" w:eastAsia="仿宋_GB2312" w:cs="楷体_GB2312" w:hint="eastAsia"/>
          <w:b/>
          <w:bCs/>
          <w:color w:val="000000"/>
          <w:kern w:val="0"/>
          <w:sz w:val="32"/>
          <w:szCs w:val="32"/>
          <w:shd w:val="clear" w:color="auto" w:fill="FFFFFF"/>
          <w:lang w:val="zh-CN" w:eastAsia="zh-CN" w:bidi="ar-SA"/>
          <w:highlight w:val="auto"/>
        </w:rPr>
      </w:pPr>
      <w:r>
        <w:rPr>
          <w:rFonts w:ascii="仿宋_GB2312" w:eastAsia="仿宋_GB2312" w:cs="楷体_GB2312" w:hint="eastAsia"/>
          <w:b/>
          <w:bCs/>
          <w:color w:val="000000"/>
          <w:kern w:val="0"/>
          <w:sz w:val="32"/>
          <w:szCs w:val="32"/>
          <w:shd w:val="clear" w:color="auto" w:fill="FFFFFF"/>
          <w:lang w:val="zh-CN" w:eastAsia="zh-CN" w:bidi="ar-SA"/>
          <w:highlight w:val="auto"/>
        </w:rPr>
        <w:t>（二）存在问题。</w:t>
      </w:r>
    </w:p>
    <w:p>
      <w:pPr>
        <w:pStyle w:val="36"/>
        <w:keepNext w:val="0"/>
        <w:keepLines w:val="0"/>
        <w:pageBreakBefore w:val="0"/>
        <w:widowControl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after="120" w:line="520" w:lineRule="exact"/>
        <w:ind w:left="0" w:right="0" w:firstLineChars="200" w:firstLine="640"/>
        <w:textAlignment w:val="auto"/>
        <w:rPr>
          <w:rFonts w:ascii="仿宋_GB2312" w:cs="楷体_GB2312" w:hint="eastAsia"/>
          <w:bCs/>
          <w:color w:val="000000"/>
          <w:kern w:val="2"/>
          <w:sz w:val="32"/>
          <w:shd w:val="clear" w:color="auto" w:fill="auto"/>
          <w:lang w:val="zh-CN" w:eastAsia="zh-CN" w:bidi="ar-SA"/>
        </w:rPr>
      </w:pPr>
      <w:r>
        <w:rPr>
          <w:rFonts w:ascii="仿宋_GB2312" w:cs="楷体_GB2312" w:hint="eastAsia"/>
          <w:bCs/>
          <w:color w:val="000000"/>
          <w:kern w:val="2"/>
          <w:sz w:val="32"/>
          <w:shd w:val="clear" w:color="auto" w:fill="auto"/>
          <w:lang w:val="zh-CN" w:eastAsia="zh-CN" w:bidi="ar-SA"/>
          <w:highlight w:val="auto"/>
        </w:rPr>
        <w:t>1、</w:t>
      </w:r>
      <w:r>
        <w:rPr>
          <w:rFonts w:ascii="仿宋_GB2312" w:cs="楷体_GB2312" w:hint="eastAsia"/>
          <w:bCs/>
          <w:color w:val="000000"/>
          <w:kern w:val="2"/>
          <w:sz w:val="32"/>
          <w:shd w:val="clear" w:color="auto" w:fill="auto"/>
          <w:lang w:val="zh-CN" w:eastAsia="zh-CN" w:bidi="ar-SA"/>
        </w:rPr>
        <w:t>绩效目标设置需进一步优化。主要是对预算绩效目标的设定和各项指标的理解不到位，针对一级指标，很难形成行之有效的二级指标和三级指标，导致无法用指标具体衡量项目。</w:t>
      </w:r>
    </w:p>
    <w:p>
      <w:pPr>
        <w:pStyle w:val="36"/>
        <w:keepNext w:val="0"/>
        <w:keepLines w:val="0"/>
        <w:pageBreakBefore w:val="0"/>
        <w:widowControl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spacing w:after="120" w:line="520" w:lineRule="exact"/>
        <w:ind w:left="0" w:firstLineChars="200" w:firstLine="640"/>
        <w:rPr>
          <w:rFonts w:ascii="仿宋_GB2312" w:cs="楷体_GB2312" w:hint="eastAsia"/>
          <w:bCs/>
          <w:color w:val="000000"/>
          <w:kern w:val="2"/>
          <w:sz w:val="32"/>
          <w:shd w:val="clear" w:color="auto" w:fill="auto"/>
          <w:lang w:val="zh-CN" w:eastAsia="zh-CN" w:bidi="ar-SA"/>
        </w:rPr>
      </w:pPr>
      <w:r>
        <w:rPr>
          <w:rFonts w:ascii="仿宋_GB2312" w:cs="楷体_GB2312" w:hint="eastAsia"/>
          <w:bCs/>
          <w:color w:val="000000"/>
          <w:kern w:val="2"/>
          <w:sz w:val="32"/>
          <w:shd w:val="clear" w:color="auto" w:fill="auto"/>
          <w:lang w:val="zh-CN" w:eastAsia="zh-CN" w:bidi="ar-SA"/>
        </w:rPr>
        <w:t>2、绩效评价应用需进一步加强。绩效评价通常在项目完成后进行，绩效评价结果很难改变预算使用效果，影响客观评价。</w:t>
      </w:r>
    </w:p>
    <w:p>
      <w:pPr>
        <w:widowControl/>
        <w:adjustRightInd w:val="0"/>
        <w:snapToGrid w:val="0"/>
        <w:spacing w:line="560" w:lineRule="exact"/>
        <w:ind w:firstLineChars="200" w:firstLine="640"/>
        <w:rPr>
          <w:rFonts w:ascii="仿宋_GB2312" w:eastAsia="仿宋_GB2312" w:cs="楷体_GB2312" w:hint="eastAsia"/>
          <w:b/>
          <w:bCs/>
          <w:color w:val="000000"/>
          <w:kern w:val="0"/>
          <w:sz w:val="32"/>
          <w:szCs w:val="32"/>
          <w:shd w:val="clear" w:color="auto" w:fill="FFFFFF"/>
          <w:lang w:val="zh-CN" w:eastAsia="zh-CN" w:bidi="ar-SA"/>
          <w:highlight w:val="auto"/>
        </w:rPr>
      </w:pPr>
      <w:r>
        <w:rPr>
          <w:rFonts w:ascii="仿宋_GB2312" w:eastAsia="仿宋_GB2312" w:cs="楷体_GB2312" w:hint="eastAsia"/>
          <w:b/>
          <w:bCs/>
          <w:color w:val="000000"/>
          <w:kern w:val="0"/>
          <w:sz w:val="32"/>
          <w:szCs w:val="32"/>
          <w:shd w:val="clear" w:color="auto" w:fill="FFFFFF"/>
          <w:lang w:val="zh-CN" w:eastAsia="zh-CN" w:bidi="ar-SA"/>
          <w:highlight w:val="auto"/>
        </w:rPr>
        <w:t>（三）改进建议。</w:t>
      </w:r>
    </w:p>
    <w:p>
      <w:pPr>
        <w:widowControl/>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b/>
          <w:bCs/>
          <w:sz w:val="32"/>
          <w:szCs w:val="32"/>
        </w:rPr>
        <w:t>一是</w:t>
      </w:r>
      <w:r>
        <w:rPr>
          <w:rFonts w:ascii="仿宋_GB2312" w:eastAsia="仿宋_GB2312" w:cs="楷体_GB2312" w:hint="eastAsia"/>
          <w:bCs/>
          <w:color w:val="000000"/>
          <w:sz w:val="32"/>
          <w:szCs w:val="32"/>
          <w:shd w:val="clear" w:color="auto" w:fill="auto"/>
          <w:lang w:val="zh-CN" w:eastAsia="zh-CN" w:bidi="ar-SA"/>
        </w:rPr>
        <w:t>继续加强财务管理，严把支出审核关。严格执行国库集中支付、公务卡等相关管理制度，规范各项支出审核，严防超支，不断促进财务管理的法制化、科学化、合理化运行。</w:t>
      </w:r>
    </w:p>
    <w:p>
      <w:pPr>
        <w:widowControl/>
        <w:adjustRightInd w:val="0"/>
        <w:snapToGrid w:val="0"/>
        <w:spacing w:line="560" w:lineRule="exact"/>
        <w:ind w:firstLineChars="200" w:firstLine="640"/>
        <w:rPr>
          <w:rFonts w:ascii="仿宋_GB2312" w:eastAsia="仿宋_GB2312" w:cs="楷体_GB2312" w:hint="eastAsia"/>
          <w:bCs/>
          <w:color w:val="000000"/>
          <w:sz w:val="32"/>
          <w:szCs w:val="32"/>
          <w:shd w:val="clear" w:color="auto" w:fill="auto"/>
          <w:lang w:val="zh-CN" w:eastAsia="zh-CN" w:bidi="ar-SA"/>
        </w:rPr>
      </w:pPr>
      <w:r>
        <w:rPr>
          <w:rFonts w:ascii="仿宋_GB2312" w:eastAsia="仿宋_GB2312" w:hint="eastAsia"/>
          <w:b/>
          <w:bCs/>
          <w:sz w:val="32"/>
          <w:szCs w:val="32"/>
        </w:rPr>
        <w:t>二是</w:t>
      </w:r>
      <w:r>
        <w:rPr>
          <w:rFonts w:ascii="仿宋_GB2312" w:eastAsia="仿宋_GB2312" w:cs="楷体_GB2312" w:hint="eastAsia"/>
          <w:bCs/>
          <w:color w:val="000000"/>
          <w:sz w:val="32"/>
          <w:szCs w:val="32"/>
          <w:shd w:val="clear" w:color="auto" w:fill="auto"/>
          <w:lang w:val="zh-CN" w:eastAsia="zh-CN" w:bidi="ar-SA"/>
        </w:rPr>
        <w:t>进一步加强预算监管，强化预算执行。</w:t>
      </w:r>
    </w:p>
    <w:p>
      <w:pPr>
        <w:widowControl/>
        <w:adjustRightInd w:val="0"/>
        <w:snapToGrid w:val="0"/>
        <w:spacing w:line="560" w:lineRule="exact"/>
        <w:ind w:firstLineChars="200" w:firstLine="640"/>
        <w:rPr>
          <w:rFonts w:ascii="仿宋_GB2312" w:eastAsia="仿宋_GB2312" w:cs="楷体_GB2312" w:hint="eastAsia"/>
          <w:bCs/>
          <w:color w:val="000000"/>
          <w:sz w:val="32"/>
          <w:szCs w:val="32"/>
          <w:shd w:val="clear" w:color="auto" w:fill="auto"/>
          <w:lang w:val="zh-CN" w:eastAsia="zh-CN" w:bidi="ar-SA"/>
        </w:rPr>
      </w:pPr>
      <w:r>
        <w:rPr>
          <w:rFonts w:ascii="仿宋_GB2312" w:eastAsia="仿宋_GB2312" w:hint="eastAsia"/>
          <w:b/>
          <w:bCs/>
          <w:sz w:val="32"/>
          <w:szCs w:val="32"/>
        </w:rPr>
        <w:t>三是</w:t>
      </w:r>
      <w:r>
        <w:rPr>
          <w:rFonts w:ascii="仿宋_GB2312" w:eastAsia="仿宋_GB2312" w:cs="楷体_GB2312" w:hint="eastAsia"/>
          <w:bCs/>
          <w:color w:val="000000"/>
          <w:sz w:val="32"/>
          <w:szCs w:val="32"/>
          <w:shd w:val="clear" w:color="auto" w:fill="auto"/>
          <w:lang w:val="zh-CN" w:eastAsia="zh-CN" w:bidi="ar-SA"/>
        </w:rPr>
        <w:t>加快完成机关财务管理规章制度建设、加强会计核算和财务管理能力，及时与县财政局相关科室对接工作，提升工作效率。</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480"/>
        <w:contextualSpacing/>
        <w:jc w:val="left"/>
        <w:textAlignment w:val="auto"/>
        <w:outlineLvl w:val="9"/>
        <w:rPr>
          <w:rFonts w:ascii="Times New Roman" w:eastAsia="黑体" w:cs="Times New Roman" w:hAnsi="Times New Roman"/>
          <w:color w:val="000000"/>
          <w:kern w:val="0"/>
          <w:sz w:val="24"/>
          <w:szCs w:val="32"/>
          <w:shd w:val="clear" w:color="auto" w:fill="FFFFFF"/>
          <w:highlight w:val="auto"/>
        </w:rPr>
      </w:pPr>
    </w:p>
    <w:p>
      <w:pPr>
        <w:pStyle w:val="15"/>
        <w:keepNext w:val="0"/>
        <w:keepLines w:val="0"/>
        <w:pageBreakBefore w:val="0"/>
        <w:widowControl w:val="0"/>
        <w:bidi w:val="0"/>
        <w:adjustRightInd/>
        <w:snapToGrid w:val="0"/>
        <w:contextualSpacing w:val="0"/>
        <w:jc w:val="left"/>
      </w:pPr>
    </w:p>
    <w:p>
      <w:pPr>
        <w:pStyle w:val="17"/>
        <w:keepNext w:val="0"/>
        <w:keepLines w:val="0"/>
        <w:pageBreakBefore w:val="0"/>
        <w:widowControl w:val="0"/>
        <w:kinsoku/>
        <w:wordWrap/>
        <w:overflowPunct/>
        <w:topLinePunct w:val="0"/>
        <w:autoSpaceDE/>
        <w:autoSpaceDN/>
        <w:bidi w:val="0"/>
        <w:spacing w:line="560" w:lineRule="exact"/>
        <w:textAlignment w:val="auto"/>
        <w:rPr>
          <w:rFonts w:ascii="Times New Roman" w:cs="Times New Roman" w:hAnsi="Times New Roman" w:hint="eastAsia"/>
          <w:sz w:val="32"/>
          <w:szCs w:val="32"/>
          <w:lang w:val="zh-CN" w:eastAsia="zh-CN"/>
          <w:highlight w:val="yellow"/>
        </w:rPr>
      </w:pPr>
    </w:p>
    <w:p>
      <w:pPr>
        <w:pStyle w:val="18"/>
        <w:rPr>
          <w:rFonts w:ascii="Times New Roman" w:cs="宋体" w:hAnsi="Times New Roman" w:hint="eastAsia"/>
          <w:color w:val="FF0000"/>
          <w:kern w:val="0"/>
          <w:sz w:val="32"/>
          <w:szCs w:val="32"/>
          <w:shd w:val="clear" w:color="auto" w:fill="FFFFFF"/>
          <w:lang w:val="zh-CN"/>
          <w:highlight w:val="yellow"/>
        </w:rPr>
      </w:pPr>
    </w:p>
    <w:p>
      <w:pPr>
        <w:ind w:firstLineChars="200" w:firstLine="640"/>
        <w:jc w:val="center"/>
        <w:rPr>
          <w:rFonts w:ascii="Times New Roman" w:eastAsia="黑体" w:cs="黑体" w:hAnsi="Times New Roman"/>
          <w:color w:val="auto"/>
          <w:kern w:val="0"/>
          <w:sz w:val="32"/>
          <w:szCs w:val="32"/>
          <w:shd w:val="clear" w:color="auto" w:fill="FFFFFF"/>
          <w:lang w:val="zh-CN"/>
          <w:highlight w:val="auto"/>
        </w:rPr>
      </w:pPr>
    </w:p>
    <w:p>
      <w:pPr>
        <w:ind w:firstLineChars="200" w:firstLine="640"/>
        <w:jc w:val="center"/>
        <w:rPr>
          <w:rFonts w:ascii="Times New Roman" w:eastAsia="黑体" w:cs="黑体" w:hAnsi="Times New Roman"/>
          <w:color w:val="auto"/>
          <w:kern w:val="0"/>
          <w:sz w:val="32"/>
          <w:szCs w:val="32"/>
          <w:shd w:val="clear" w:color="auto" w:fill="FFFFFF"/>
          <w:lang w:val="zh-CN"/>
          <w:highlight w:val="auto"/>
        </w:rPr>
      </w:pPr>
    </w:p>
    <w:p>
      <w:pPr>
        <w:ind w:firstLineChars="200" w:firstLine="640"/>
        <w:rPr>
          <w:rFonts w:ascii="Times New Roman" w:eastAsia="黑体" w:cs="黑体" w:hAnsi="Times New Roman"/>
          <w:color w:val="auto"/>
          <w:kern w:val="0"/>
          <w:sz w:val="32"/>
          <w:szCs w:val="32"/>
          <w:shd w:val="clear" w:color="auto" w:fill="FFFFFF"/>
          <w:lang w:val="zh-CN"/>
          <w:highlight w:val="auto"/>
        </w:rPr>
      </w:pPr>
    </w:p>
    <w:p>
      <w:pPr>
        <w:ind w:firstLineChars="200" w:firstLine="640"/>
        <w:rPr>
          <w:rFonts w:ascii="Times New Roman" w:eastAsia="黑体" w:cs="黑体" w:hAnsi="Times New Roman"/>
          <w:color w:val="auto"/>
          <w:kern w:val="0"/>
          <w:sz w:val="32"/>
          <w:szCs w:val="32"/>
          <w:shd w:val="clear" w:color="auto" w:fill="FFFFFF"/>
          <w:lang w:val="zh-CN"/>
          <w:highlight w:val="auto"/>
        </w:rPr>
      </w:pPr>
    </w:p>
    <w:p>
      <w:pPr>
        <w:ind w:left="0"/>
        <w:rPr>
          <w:rFonts w:ascii="Times New Roman" w:eastAsia="黑体" w:cs="黑体" w:hAnsi="Times New Roman"/>
          <w:color w:val="auto"/>
          <w:kern w:val="0"/>
          <w:sz w:val="32"/>
          <w:szCs w:val="32"/>
          <w:shd w:val="clear" w:color="auto" w:fill="FFFFFF"/>
          <w:lang w:val="zh-CN"/>
          <w:highlight w:val="auto"/>
        </w:rPr>
      </w:pPr>
      <w:r>
        <w:rPr>
          <w:rFonts w:ascii="Times New Roman" w:eastAsia="黑体" w:cs="黑体" w:hAnsi="Times New Roman"/>
          <w:color w:val="auto"/>
          <w:kern w:val="0"/>
          <w:sz w:val="32"/>
          <w:szCs w:val="32"/>
          <w:shd w:val="clear" w:color="auto" w:fill="FFFFFF"/>
          <w:lang w:val="zh-CN"/>
          <w:highlight w:val="auto"/>
        </w:rPr>
        <w:t>附表一：</w:t>
      </w:r>
    </w:p>
    <w:tbl>
      <w:tblPr>
        <w:jc w:val="center"/>
        <w:tblW w:w="10560" w:type="dxa"/>
        <w:tblBorders>
          <w:top w:val="none" w:sz="0" w:space="0" w:color="auto"/>
          <w:left w:val="none" w:sz="0" w:space="0" w:color="auto"/>
          <w:bottom w:val="none" w:sz="0" w:space="0" w:color="auto"/>
          <w:right w:val="none" w:sz="0" w:space="0" w:color="auto"/>
        </w:tblBorders>
        <w:shd w:val="clear" w:color="auto" w:fill="auto"/>
        <w:tblLayout w:type="fixed"/>
        <w:tblCellMar>
          <w:top w:w="15" w:type="dxa"/>
          <w:left w:w="15" w:type="dxa"/>
          <w:bottom w:w="15" w:type="dxa"/>
          <w:right w:w="15" w:type="dxa"/>
        </w:tblCellMar>
      </w:tblPr>
      <w:tblGrid>
        <w:gridCol w:w="1309"/>
        <w:gridCol w:w="1347"/>
        <w:gridCol w:w="1273"/>
        <w:gridCol w:w="1100"/>
        <w:gridCol w:w="1145"/>
        <w:gridCol w:w="1289"/>
        <w:gridCol w:w="1058"/>
        <w:gridCol w:w="926"/>
        <w:gridCol w:w="1114"/>
      </w:tblGrid>
      <w:tr>
        <w:trPr>
          <w:trHeight w:hRule="exact" w:val="762"/>
        </w:trPr>
        <w:tc>
          <w:tcPr>
            <w:tcW w:w="10561" w:type="dxa"/>
            <w:gridSpan w:val="9"/>
            <w:tcBorders>
              <w:top w:val="nil"/>
              <w:left w:val="nil"/>
              <w:bottom w:val="nil"/>
              <w:right w:val="nil"/>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黑体" w:cs="Times New Roman" w:hAnsi="Times New Roman"/>
                <w:color w:val="000000"/>
                <w:sz w:val="28"/>
                <w:szCs w:val="28"/>
                <w:u w:val="none"/>
                <w:lang w:bidi="ar-SA"/>
              </w:rPr>
            </w:pPr>
            <w:r>
              <w:rPr>
                <w:rFonts w:ascii="Times New Roman" w:eastAsia="方正小标宋简体" w:cs="Times New Roman" w:hAnsi="Times New Roman"/>
                <w:color w:val="000000"/>
                <w:kern w:val="0"/>
                <w:sz w:val="44"/>
                <w:szCs w:val="44"/>
                <w:u w:val="none"/>
                <w:lang w:val="en-US" w:eastAsia="zh-CN" w:bidi="ar-SA"/>
              </w:rPr>
              <w:t>部门整体绩效目标完成情况自评表</w:t>
            </w:r>
          </w:p>
        </w:tc>
      </w:tr>
      <w:tr>
        <w:trPr>
          <w:trHeight w:val="23"/>
        </w:trPr>
        <w:tc>
          <w:tcPr>
            <w:tcW w:w="10561" w:type="dxa"/>
            <w:gridSpan w:val="9"/>
            <w:tcBorders>
              <w:top w:val="nil"/>
              <w:left w:val="nil"/>
              <w:bottom w:val="nil"/>
              <w:right w:val="nil"/>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color w:val="000000"/>
                <w:sz w:val="28"/>
                <w:szCs w:val="28"/>
                <w:u w:val="none"/>
                <w:lang w:bidi="ar-SA"/>
              </w:rPr>
            </w:pPr>
            <w:r>
              <w:rPr>
                <w:rFonts w:ascii="Times New Roman" w:eastAsia="宋体" w:cs="Times New Roman" w:hAnsi="Times New Roman"/>
                <w:color w:val="000000"/>
                <w:kern w:val="0"/>
                <w:sz w:val="28"/>
                <w:szCs w:val="28"/>
                <w:u w:val="none"/>
                <w:lang w:val="en-US" w:eastAsia="zh-CN" w:bidi="ar-SA"/>
              </w:rPr>
              <w:t>（202</w:t>
            </w:r>
            <w:r>
              <w:rPr>
                <w:rFonts w:eastAsia="宋体" w:cs="Times New Roman" w:hint="eastAsia"/>
                <w:color w:val="000000"/>
                <w:kern w:val="0"/>
                <w:sz w:val="28"/>
                <w:szCs w:val="28"/>
                <w:u w:val="none"/>
                <w:lang w:val="en-US" w:eastAsia="zh-CN" w:bidi="ar-SA"/>
              </w:rPr>
              <w:t>4</w:t>
            </w:r>
            <w:r>
              <w:rPr>
                <w:rFonts w:ascii="Times New Roman" w:eastAsia="宋体" w:cs="Times New Roman" w:hAnsi="Times New Roman"/>
                <w:color w:val="000000"/>
                <w:kern w:val="0"/>
                <w:sz w:val="28"/>
                <w:szCs w:val="28"/>
                <w:u w:val="none"/>
                <w:lang w:val="en-US" w:eastAsia="zh-CN" w:bidi="ar-SA"/>
              </w:rPr>
              <w:t>年度）</w:t>
            </w:r>
          </w:p>
        </w:tc>
      </w:tr>
      <w:tr>
        <w:trPr>
          <w:trHeight w:val="23"/>
        </w:trPr>
        <w:tc>
          <w:tcPr>
            <w:tcW w:w="10561" w:type="dxa"/>
            <w:gridSpan w:val="9"/>
            <w:tcBorders>
              <w:top w:val="nil"/>
              <w:left w:val="nil"/>
              <w:bottom w:val="single" w:sz="4" w:space="0" w:color="000000"/>
              <w:right w:val="nil"/>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eastAsia="宋体" w:cs="Times New Roman" w:hAnsi="Times New Roman"/>
                <w:color w:val="000000"/>
                <w:sz w:val="21"/>
                <w:szCs w:val="21"/>
                <w:u w:val="none"/>
                <w:lang w:bidi="ar-SA"/>
              </w:rPr>
            </w:pPr>
            <w:r>
              <w:rPr>
                <w:rFonts w:ascii="Times New Roman" w:eastAsia="宋体" w:cs="Times New Roman" w:hAnsi="Times New Roman"/>
                <w:color w:val="000000"/>
                <w:kern w:val="0"/>
                <w:sz w:val="21"/>
                <w:szCs w:val="21"/>
                <w:u w:val="none"/>
                <w:lang w:val="en-US" w:eastAsia="zh-CN" w:bidi="ar-SA"/>
              </w:rPr>
              <w:t>单位：万元</w:t>
            </w:r>
          </w:p>
        </w:tc>
      </w:tr>
      <w:tr>
        <w:trPr>
          <w:trHeight w:val="23"/>
        </w:trPr>
        <w:tc>
          <w:tcPr>
            <w:tcW w:w="3929" w:type="dxa"/>
            <w:gridSpan w:val="3"/>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部门名称</w:t>
            </w:r>
          </w:p>
        </w:tc>
        <w:tc>
          <w:tcPr>
            <w:tcW w:w="6632" w:type="dxa"/>
            <w:gridSpan w:val="6"/>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金川县党史研究和地方志编纂中心</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年度部门整体支出预算</w:t>
            </w:r>
          </w:p>
        </w:tc>
        <w:tc>
          <w:tcPr>
            <w:tcW w:w="2620"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资金总额</w:t>
            </w:r>
          </w:p>
        </w:tc>
        <w:tc>
          <w:tcPr>
            <w:tcW w:w="2245"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财政拨款</w:t>
            </w:r>
          </w:p>
        </w:tc>
        <w:tc>
          <w:tcPr>
            <w:tcW w:w="4387"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其他资金</w:t>
            </w:r>
          </w:p>
        </w:tc>
      </w:tr>
      <w:tr>
        <w:trPr>
          <w:trHeight w:val="23"/>
        </w:trPr>
        <w:tc>
          <w:tcPr>
            <w:tcW w:w="1309"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121.28</w:t>
            </w:r>
          </w:p>
        </w:tc>
        <w:tc>
          <w:tcPr>
            <w:tcW w:w="2245"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121.28</w:t>
            </w:r>
          </w:p>
        </w:tc>
        <w:tc>
          <w:tcPr>
            <w:tcW w:w="4387"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p>
        </w:tc>
      </w:tr>
      <w:tr>
        <w:trPr>
          <w:trHeight w:val="23"/>
        </w:trPr>
        <w:tc>
          <w:tcPr>
            <w:tcW w:w="130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kern w:val="0"/>
                <w:sz w:val="24"/>
                <w:szCs w:val="24"/>
                <w:u w:val="none"/>
                <w:lang w:val="en-US" w:eastAsia="zh-CN" w:bidi="ar-SA"/>
              </w:rPr>
            </w:pPr>
            <w:r>
              <w:rPr>
                <w:rFonts w:ascii="Times New Roman" w:eastAsia="宋体" w:cs="Times New Roman" w:hAnsi="Times New Roman" w:hint="eastAsia"/>
                <w:color w:val="000000"/>
                <w:kern w:val="0"/>
                <w:sz w:val="24"/>
                <w:szCs w:val="24"/>
                <w:u w:val="none"/>
                <w:lang w:val="en-US" w:eastAsia="zh-CN" w:bidi="ar-SA"/>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目标</w:t>
            </w:r>
          </w:p>
        </w:tc>
        <w:tc>
          <w:tcPr>
            <w:tcW w:w="9252" w:type="dxa"/>
            <w:gridSpan w:val="8"/>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一是完成《金川年鉴》（2024）、《中国共产党金川县执政实录》（2023）编纂出版；二是完成一部口述历史纪录片拍摄工作；三是加快党史正本第一、第二卷的出版和三卷的资料征集、整理、撰写工作；四是围绕主业开展党史研究，撰写研究文章1篇；五是紧扣“存史、资政、育人、服务”根本任务，积极开展资政研究，报送资政文章1篇；六是开展“史志七进”工作；七是完成6个试点乡（镇）志、村志出版工作；八是及时向州志办主办的“志中阿坝”提供稿件、口述历史纪录片1部；九是常态化推进群众工作；十是高标准完成上级部门、县委、县政府交办的其他工作。</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kern w:val="0"/>
                <w:sz w:val="24"/>
                <w:szCs w:val="24"/>
                <w:u w:val="none"/>
                <w:lang w:val="en-US" w:eastAsia="zh-CN" w:bidi="ar-SA"/>
              </w:rPr>
            </w:pPr>
            <w:r>
              <w:rPr>
                <w:rFonts w:ascii="Times New Roman" w:eastAsia="宋体" w:cs="Times New Roman" w:hAnsi="Times New Roman" w:hint="eastAsia"/>
                <w:color w:val="000000"/>
                <w:kern w:val="0"/>
                <w:sz w:val="24"/>
                <w:szCs w:val="24"/>
                <w:u w:val="none"/>
                <w:lang w:val="en-US" w:eastAsia="zh-CN" w:bidi="ar-SA"/>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任务</w:t>
            </w:r>
          </w:p>
        </w:tc>
        <w:tc>
          <w:tcPr>
            <w:tcW w:w="2620"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任务名称</w:t>
            </w:r>
          </w:p>
        </w:tc>
        <w:tc>
          <w:tcPr>
            <w:tcW w:w="6632" w:type="dxa"/>
            <w:gridSpan w:val="6"/>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主要内容</w:t>
            </w:r>
          </w:p>
        </w:tc>
      </w:tr>
      <w:tr>
        <w:trPr>
          <w:trHeight w:val="23"/>
        </w:trPr>
        <w:tc>
          <w:tcPr>
            <w:tcW w:w="1309"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 xml:space="preserve">综合事务 </w:t>
            </w:r>
          </w:p>
        </w:tc>
        <w:tc>
          <w:tcPr>
            <w:tcW w:w="6632" w:type="dxa"/>
            <w:gridSpan w:val="6"/>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完成上级下发的工作任务，承办县委、县政府交办的其他工作；负责指导党史学会和地方志学会等社团工作。</w:t>
              <w:tab/>
            </w:r>
          </w:p>
        </w:tc>
      </w:tr>
      <w:tr>
        <w:trPr>
          <w:trHeight w:val="23"/>
        </w:trPr>
        <w:tc>
          <w:tcPr>
            <w:tcW w:w="1309"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党史和地方志业务</w:t>
              <w:tab/>
              <w:tab/>
            </w:r>
          </w:p>
        </w:tc>
        <w:tc>
          <w:tcPr>
            <w:tcW w:w="6632" w:type="dxa"/>
            <w:gridSpan w:val="6"/>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根据全县革命遗址普查的成果，掌握革命遗址的基本情况及其生存状态，科学指导革命遗址的维修和保护工作，大力推进革命遗址价值传播工作，充分挖掘其社会价值，发挥革命遗址在爱国主义和革命传统教育中的重要作用。</w:t>
              <w:tab/>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kern w:val="0"/>
                <w:sz w:val="24"/>
                <w:szCs w:val="24"/>
                <w:u w:val="none"/>
                <w:lang w:val="en-US" w:eastAsia="zh-CN" w:bidi="ar-SA"/>
              </w:rPr>
            </w:pPr>
            <w:r>
              <w:rPr>
                <w:rFonts w:ascii="Times New Roman" w:eastAsia="宋体" w:cs="Times New Roman" w:hAnsi="Times New Roman" w:hint="eastAsia"/>
                <w:color w:val="000000"/>
                <w:kern w:val="0"/>
                <w:sz w:val="24"/>
                <w:szCs w:val="24"/>
                <w:u w:val="none"/>
                <w:lang w:val="en-US" w:eastAsia="zh-CN" w:bidi="ar-SA"/>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指标</w:t>
            </w:r>
          </w:p>
        </w:tc>
        <w:tc>
          <w:tcPr>
            <w:tcW w:w="1347"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一级指标</w:t>
            </w:r>
          </w:p>
        </w:tc>
        <w:tc>
          <w:tcPr>
            <w:tcW w:w="127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二级指标</w:t>
            </w:r>
          </w:p>
        </w:tc>
        <w:tc>
          <w:tcPr>
            <w:tcW w:w="11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三级指标</w:t>
            </w:r>
          </w:p>
        </w:tc>
        <w:tc>
          <w:tcPr>
            <w:tcW w:w="114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kern w:val="0"/>
                <w:sz w:val="24"/>
                <w:szCs w:val="24"/>
                <w:u w:val="none"/>
                <w:lang w:val="en-US" w:eastAsia="zh-CN" w:bidi="ar-SA"/>
              </w:rPr>
            </w:pPr>
            <w:r>
              <w:rPr>
                <w:rFonts w:ascii="Times New Roman" w:eastAsia="宋体" w:cs="Times New Roman" w:hAnsi="Times New Roman" w:hint="eastAsia"/>
                <w:color w:val="000000"/>
                <w:kern w:val="0"/>
                <w:sz w:val="24"/>
                <w:szCs w:val="24"/>
                <w:u w:val="none"/>
                <w:lang w:val="en-US" w:eastAsia="zh-CN" w:bidi="ar-SA"/>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性质</w:t>
            </w:r>
          </w:p>
        </w:tc>
        <w:tc>
          <w:tcPr>
            <w:tcW w:w="128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绩效指标值</w:t>
            </w:r>
          </w:p>
        </w:tc>
        <w:tc>
          <w:tcPr>
            <w:tcW w:w="105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绩效度量单位</w:t>
            </w:r>
          </w:p>
        </w:tc>
        <w:tc>
          <w:tcPr>
            <w:tcW w:w="926" w:type="dxa"/>
            <w:tcBorders>
              <w:top w:val="single" w:sz="4" w:space="0" w:color="000000"/>
              <w:left w:val="single" w:sz="4" w:space="0" w:color="000000"/>
              <w:bottom w:val="single" w:sz="4" w:space="0" w:color="000000"/>
              <w:right w:val="nil"/>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权重</w:t>
            </w:r>
          </w:p>
        </w:tc>
        <w:tc>
          <w:tcPr>
            <w:tcW w:w="111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kern w:val="0"/>
                <w:sz w:val="24"/>
                <w:szCs w:val="24"/>
                <w:u w:val="none"/>
                <w:lang w:val="en-US" w:eastAsia="zh-CN" w:bidi="ar-SA"/>
              </w:rPr>
            </w:pPr>
            <w:r>
              <w:rPr>
                <w:rFonts w:ascii="Times New Roman" w:eastAsia="宋体" w:cs="Times New Roman" w:hAnsi="Times New Roman" w:hint="eastAsia"/>
                <w:color w:val="000000"/>
                <w:kern w:val="0"/>
                <w:sz w:val="24"/>
                <w:szCs w:val="24"/>
                <w:u w:val="none"/>
                <w:lang w:val="en-US" w:eastAsia="zh-CN" w:bidi="ar-SA"/>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指标值</w:t>
            </w:r>
          </w:p>
        </w:tc>
      </w:tr>
      <w:tr>
        <w:trPr>
          <w:trHeight w:val="23"/>
        </w:trPr>
        <w:tc>
          <w:tcPr>
            <w:tcW w:w="1309"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347"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产出指标</w:t>
            </w:r>
          </w:p>
        </w:tc>
        <w:tc>
          <w:tcPr>
            <w:tcW w:w="1273"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数量指标</w:t>
            </w:r>
          </w:p>
        </w:tc>
        <w:tc>
          <w:tcPr>
            <w:tcW w:w="11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hint="eastAsia"/>
                <w:color w:val="000000"/>
                <w:sz w:val="24"/>
                <w:szCs w:val="24"/>
                <w:u w:val="none"/>
                <w:lang w:bidi="ar-SA"/>
              </w:rPr>
            </w:pPr>
            <w:r>
              <w:rPr>
                <w:rFonts w:eastAsia="宋体" w:hint="eastAsia"/>
                <w:color w:val="000000"/>
                <w:kern w:val="0"/>
                <w:sz w:val="24"/>
              </w:rPr>
              <w:t>人员经费足额保障率</w:t>
            </w:r>
          </w:p>
        </w:tc>
        <w:tc>
          <w:tcPr>
            <w:tcW w:w="114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adjustRightInd/>
              <w:snapToGrid/>
              <w:spacing w:line="300" w:lineRule="exact"/>
              <w:jc w:val="left"/>
              <w:rPr>
                <w:rFonts w:eastAsia="宋体" w:hint="eastAsia"/>
                <w:color w:val="000000"/>
                <w:sz w:val="24"/>
              </w:rPr>
            </w:pPr>
            <w:r>
              <w:rPr>
                <w:rFonts w:eastAsia="宋体"/>
                <w:color w:val="000000"/>
                <w:sz w:val="24"/>
              </w:rPr>
              <w:t>＝</w:t>
            </w:r>
          </w:p>
        </w:tc>
        <w:tc>
          <w:tcPr>
            <w:tcW w:w="128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100</w:t>
            </w:r>
          </w:p>
        </w:tc>
        <w:tc>
          <w:tcPr>
            <w:tcW w:w="105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w:t>
            </w:r>
          </w:p>
        </w:tc>
        <w:tc>
          <w:tcPr>
            <w:tcW w:w="92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kern w:val="0"/>
                <w:sz w:val="24"/>
                <w:szCs w:val="24"/>
                <w:u w:val="none"/>
                <w:lang w:val="en-US" w:eastAsia="zh-CN" w:bidi="ar-SA"/>
              </w:rPr>
              <w:t>15</w:t>
            </w:r>
          </w:p>
        </w:tc>
        <w:tc>
          <w:tcPr>
            <w:tcW w:w="1114" w:type="dxa"/>
            <w:tcBorders>
              <w:top w:val="nil"/>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100%</w:t>
            </w:r>
          </w:p>
        </w:tc>
      </w:tr>
      <w:tr>
        <w:trPr>
          <w:trHeight w:val="23"/>
        </w:trPr>
        <w:tc>
          <w:tcPr>
            <w:tcW w:w="1309"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273"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1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科目调整次数</w:t>
            </w:r>
          </w:p>
        </w:tc>
        <w:tc>
          <w:tcPr>
            <w:tcW w:w="114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adjustRightInd/>
              <w:snapToGrid/>
              <w:spacing w:line="300" w:lineRule="exact"/>
              <w:jc w:val="left"/>
              <w:rPr>
                <w:rFonts w:eastAsia="宋体" w:hint="eastAsia"/>
                <w:color w:val="000000"/>
                <w:sz w:val="24"/>
              </w:rPr>
            </w:pPr>
            <w:r>
              <w:rPr>
                <w:rFonts w:eastAsia="宋体" w:hint="eastAsia"/>
                <w:color w:val="000000"/>
                <w:sz w:val="24"/>
              </w:rPr>
              <w:t>≤</w:t>
            </w:r>
          </w:p>
        </w:tc>
        <w:tc>
          <w:tcPr>
            <w:tcW w:w="128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5</w:t>
            </w:r>
          </w:p>
        </w:tc>
        <w:tc>
          <w:tcPr>
            <w:tcW w:w="105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次</w:t>
            </w:r>
          </w:p>
        </w:tc>
        <w:tc>
          <w:tcPr>
            <w:tcW w:w="92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10</w:t>
            </w:r>
          </w:p>
        </w:tc>
        <w:tc>
          <w:tcPr>
            <w:tcW w:w="111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color w:val="000000"/>
                <w:sz w:val="24"/>
                <w:szCs w:val="24"/>
                <w:u w:val="none"/>
                <w:lang w:bidi="ar-SA"/>
              </w:rPr>
            </w:pPr>
            <w:r>
              <w:rPr>
                <w:rFonts w:ascii="Times New Roman" w:eastAsia="宋体" w:cs="Times New Roman" w:hAnsi="Times New Roman"/>
                <w:color w:val="000000"/>
                <w:sz w:val="24"/>
                <w:szCs w:val="24"/>
                <w:u w:val="none"/>
                <w:lang w:bidi="ar-SA"/>
              </w:rPr>
              <w:t>0次</w:t>
            </w:r>
          </w:p>
        </w:tc>
      </w:tr>
      <w:tr>
        <w:trPr>
          <w:trHeight w:val="23"/>
        </w:trPr>
        <w:tc>
          <w:tcPr>
            <w:tcW w:w="1309"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质量指标</w:t>
            </w:r>
          </w:p>
        </w:tc>
        <w:tc>
          <w:tcPr>
            <w:tcW w:w="11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预算编制准确率</w:t>
            </w:r>
          </w:p>
        </w:tc>
        <w:tc>
          <w:tcPr>
            <w:tcW w:w="114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adjustRightInd/>
              <w:snapToGrid/>
              <w:spacing w:line="300" w:lineRule="exact"/>
              <w:jc w:val="left"/>
              <w:rPr>
                <w:rFonts w:eastAsia="宋体" w:hint="eastAsia"/>
                <w:color w:val="000000"/>
                <w:sz w:val="24"/>
              </w:rPr>
            </w:pPr>
            <w:r>
              <w:rPr>
                <w:rFonts w:eastAsia="宋体" w:hint="eastAsia"/>
                <w:color w:val="000000"/>
                <w:sz w:val="24"/>
              </w:rPr>
              <w:t>≥</w:t>
            </w:r>
          </w:p>
        </w:tc>
        <w:tc>
          <w:tcPr>
            <w:tcW w:w="128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95</w:t>
            </w:r>
          </w:p>
        </w:tc>
        <w:tc>
          <w:tcPr>
            <w:tcW w:w="105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rPr>
                <w:rFonts w:hint="eastAsia"/>
              </w:rPr>
            </w:pPr>
            <w:r>
              <w:rPr>
                <w:rFonts w:ascii="Times New Roman" w:eastAsia="宋体" w:cs="Times New Roman" w:hAnsi="Times New Roman"/>
                <w:color w:val="000000"/>
                <w:sz w:val="24"/>
                <w:szCs w:val="24"/>
                <w:u w:val="none"/>
                <w:lang w:bidi="ar-SA"/>
              </w:rPr>
              <w:t>%</w:t>
            </w:r>
          </w:p>
        </w:tc>
        <w:tc>
          <w:tcPr>
            <w:tcW w:w="92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15</w:t>
            </w:r>
          </w:p>
        </w:tc>
        <w:tc>
          <w:tcPr>
            <w:tcW w:w="111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98%</w:t>
            </w:r>
          </w:p>
        </w:tc>
      </w:tr>
      <w:tr>
        <w:trPr>
          <w:trHeight w:val="23"/>
        </w:trPr>
        <w:tc>
          <w:tcPr>
            <w:tcW w:w="1309"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时效指标</w:t>
            </w:r>
          </w:p>
        </w:tc>
        <w:tc>
          <w:tcPr>
            <w:tcW w:w="11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按时发放率</w:t>
            </w:r>
          </w:p>
        </w:tc>
        <w:tc>
          <w:tcPr>
            <w:tcW w:w="114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adjustRightInd/>
              <w:snapToGrid/>
              <w:spacing w:line="300" w:lineRule="exact"/>
              <w:jc w:val="left"/>
              <w:rPr>
                <w:rFonts w:eastAsia="宋体" w:hint="eastAsia"/>
                <w:color w:val="000000"/>
                <w:sz w:val="24"/>
              </w:rPr>
            </w:pPr>
            <w:r>
              <w:rPr>
                <w:rFonts w:eastAsia="宋体"/>
                <w:color w:val="000000"/>
                <w:sz w:val="24"/>
              </w:rPr>
              <w:t>＝</w:t>
            </w:r>
          </w:p>
        </w:tc>
        <w:tc>
          <w:tcPr>
            <w:tcW w:w="128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100</w:t>
            </w:r>
          </w:p>
        </w:tc>
        <w:tc>
          <w:tcPr>
            <w:tcW w:w="105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rPr>
                <w:rFonts w:hint="eastAsia"/>
              </w:rPr>
            </w:pPr>
            <w:r>
              <w:rPr>
                <w:rFonts w:ascii="Times New Roman" w:eastAsia="宋体" w:cs="Times New Roman" w:hAnsi="Times New Roman"/>
                <w:color w:val="000000"/>
                <w:sz w:val="24"/>
                <w:szCs w:val="24"/>
                <w:u w:val="none"/>
                <w:lang w:bidi="ar-SA"/>
              </w:rPr>
              <w:t>%</w:t>
            </w:r>
          </w:p>
        </w:tc>
        <w:tc>
          <w:tcPr>
            <w:tcW w:w="92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10</w:t>
            </w:r>
          </w:p>
        </w:tc>
        <w:tc>
          <w:tcPr>
            <w:tcW w:w="111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100%</w:t>
            </w:r>
          </w:p>
        </w:tc>
      </w:tr>
      <w:tr>
        <w:trPr>
          <w:trHeight w:val="590"/>
        </w:trPr>
        <w:tc>
          <w:tcPr>
            <w:tcW w:w="1309"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347"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效益指标</w:t>
            </w:r>
          </w:p>
        </w:tc>
        <w:tc>
          <w:tcPr>
            <w:tcW w:w="1273" w:type="dxa"/>
            <w:vMerge w:val="restart"/>
            <w:tcBorders>
              <w:top w:val="single" w:sz="4" w:space="0" w:color="000000"/>
              <w:left w:val="single" w:sz="4" w:space="0" w:color="000000"/>
              <w:bottom w:val="nil"/>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kern w:val="0"/>
                <w:sz w:val="24"/>
                <w:szCs w:val="24"/>
                <w:u w:val="none"/>
                <w:lang w:val="en-US" w:eastAsia="zh-CN" w:bidi="ar-SA"/>
              </w:rPr>
            </w:pPr>
            <w:r>
              <w:rPr>
                <w:rFonts w:ascii="Times New Roman" w:eastAsia="宋体" w:cs="Times New Roman" w:hAnsi="Times New Roman"/>
                <w:color w:val="000000"/>
                <w:kern w:val="0"/>
                <w:sz w:val="24"/>
                <w:szCs w:val="24"/>
                <w:u w:val="none"/>
                <w:lang w:val="en-US" w:eastAsia="zh-CN" w:bidi="ar-SA"/>
              </w:rPr>
              <w:t>经济</w:t>
            </w:r>
            <w:r>
              <w:rPr>
                <w:rFonts w:ascii="Times New Roman" w:eastAsia="宋体" w:cs="Times New Roman" w:hAnsi="Times New Roman" w:hint="eastAsia"/>
                <w:color w:val="000000"/>
                <w:kern w:val="0"/>
                <w:sz w:val="24"/>
                <w:szCs w:val="24"/>
                <w:u w:val="none"/>
                <w:lang w:val="en-US" w:eastAsia="zh-CN" w:bidi="ar-SA"/>
              </w:rPr>
              <w:t>效益</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hint="eastAsia"/>
                <w:color w:val="000000"/>
                <w:kern w:val="0"/>
                <w:sz w:val="24"/>
                <w:szCs w:val="24"/>
                <w:u w:val="none"/>
                <w:lang w:val="en-US" w:eastAsia="zh-CN" w:bidi="ar-SA"/>
              </w:rPr>
              <w:t>指标</w:t>
            </w:r>
          </w:p>
        </w:tc>
        <w:tc>
          <w:tcPr>
            <w:tcW w:w="11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三公经费控制率</w:t>
            </w:r>
          </w:p>
        </w:tc>
        <w:tc>
          <w:tcPr>
            <w:tcW w:w="114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adjustRightInd/>
              <w:snapToGrid/>
              <w:spacing w:line="300" w:lineRule="exact"/>
              <w:jc w:val="left"/>
              <w:rPr>
                <w:rFonts w:eastAsia="宋体" w:hint="eastAsia"/>
                <w:color w:val="000000"/>
                <w:sz w:val="24"/>
              </w:rPr>
            </w:pPr>
            <w:r>
              <w:rPr>
                <w:rFonts w:eastAsia="宋体"/>
                <w:color w:val="000000"/>
                <w:sz w:val="24"/>
              </w:rPr>
              <w:t>＝</w:t>
            </w:r>
          </w:p>
        </w:tc>
        <w:tc>
          <w:tcPr>
            <w:tcW w:w="128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100</w:t>
            </w:r>
          </w:p>
        </w:tc>
        <w:tc>
          <w:tcPr>
            <w:tcW w:w="105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rPr>
                <w:rFonts w:hint="eastAsia"/>
              </w:rPr>
            </w:pPr>
            <w:r>
              <w:rPr>
                <w:rFonts w:ascii="Times New Roman" w:eastAsia="宋体" w:cs="Times New Roman" w:hAnsi="Times New Roman"/>
                <w:color w:val="000000"/>
                <w:sz w:val="24"/>
                <w:szCs w:val="24"/>
                <w:u w:val="none"/>
                <w:lang w:bidi="ar-SA"/>
              </w:rPr>
              <w:t>%</w:t>
            </w:r>
          </w:p>
        </w:tc>
        <w:tc>
          <w:tcPr>
            <w:tcW w:w="92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15</w:t>
            </w:r>
          </w:p>
        </w:tc>
        <w:tc>
          <w:tcPr>
            <w:tcW w:w="111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100%</w:t>
            </w:r>
          </w:p>
        </w:tc>
      </w:tr>
      <w:tr>
        <w:trPr>
          <w:trHeight w:val="590"/>
        </w:trPr>
        <w:tc>
          <w:tcPr>
            <w:tcW w:w="1309"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273"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1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adjustRightInd/>
              <w:snapToGrid/>
              <w:spacing w:line="300" w:lineRule="exact"/>
              <w:jc w:val="left"/>
              <w:rPr>
                <w:rFonts w:eastAsia="宋体" w:hint="eastAsia"/>
                <w:color w:val="000000"/>
                <w:sz w:val="24"/>
              </w:rPr>
            </w:pPr>
            <w:r>
              <w:rPr>
                <w:rFonts w:eastAsia="宋体" w:hint="eastAsia"/>
                <w:color w:val="000000"/>
                <w:sz w:val="24"/>
              </w:rPr>
              <w:t>预算结余率</w:t>
            </w:r>
          </w:p>
        </w:tc>
        <w:tc>
          <w:tcPr>
            <w:tcW w:w="114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adjustRightInd/>
              <w:snapToGrid/>
              <w:spacing w:line="300" w:lineRule="exact"/>
              <w:jc w:val="left"/>
              <w:rPr>
                <w:rFonts w:eastAsia="宋体" w:hint="eastAsia"/>
                <w:color w:val="000000"/>
                <w:sz w:val="24"/>
              </w:rPr>
            </w:pPr>
            <w:r>
              <w:rPr>
                <w:rFonts w:eastAsia="宋体" w:hint="eastAsia"/>
                <w:color w:val="000000"/>
                <w:sz w:val="24"/>
              </w:rPr>
              <w:t>≤</w:t>
            </w:r>
          </w:p>
        </w:tc>
        <w:tc>
          <w:tcPr>
            <w:tcW w:w="128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5</w:t>
            </w:r>
          </w:p>
        </w:tc>
        <w:tc>
          <w:tcPr>
            <w:tcW w:w="105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rPr>
                <w:rFonts w:hint="eastAsia"/>
              </w:rPr>
            </w:pPr>
            <w:r>
              <w:rPr>
                <w:rFonts w:ascii="Times New Roman" w:eastAsia="宋体" w:cs="Times New Roman" w:hAnsi="Times New Roman"/>
                <w:color w:val="000000"/>
                <w:sz w:val="24"/>
                <w:szCs w:val="24"/>
                <w:u w:val="none"/>
                <w:lang w:bidi="ar-SA"/>
              </w:rPr>
              <w:t>%</w:t>
            </w:r>
          </w:p>
        </w:tc>
        <w:tc>
          <w:tcPr>
            <w:tcW w:w="92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15</w:t>
            </w:r>
          </w:p>
        </w:tc>
        <w:tc>
          <w:tcPr>
            <w:tcW w:w="111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0%</w:t>
            </w:r>
          </w:p>
        </w:tc>
      </w:tr>
      <w:tr>
        <w:trPr>
          <w:trHeight w:val="590"/>
        </w:trPr>
        <w:tc>
          <w:tcPr>
            <w:tcW w:w="1309"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273"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10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运转保障率</w:t>
            </w:r>
          </w:p>
        </w:tc>
        <w:tc>
          <w:tcPr>
            <w:tcW w:w="114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adjustRightInd/>
              <w:snapToGrid/>
              <w:spacing w:line="300" w:lineRule="exact"/>
              <w:jc w:val="left"/>
              <w:rPr>
                <w:rFonts w:eastAsia="宋体" w:hint="eastAsia"/>
                <w:color w:val="000000"/>
                <w:sz w:val="24"/>
              </w:rPr>
            </w:pPr>
            <w:r>
              <w:rPr>
                <w:rFonts w:eastAsia="宋体"/>
                <w:color w:val="000000"/>
                <w:sz w:val="24"/>
              </w:rPr>
              <w:t>＝</w:t>
            </w:r>
          </w:p>
        </w:tc>
        <w:tc>
          <w:tcPr>
            <w:tcW w:w="1289"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100</w:t>
            </w:r>
          </w:p>
        </w:tc>
        <w:tc>
          <w:tcPr>
            <w:tcW w:w="105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rPr>
                <w:rFonts w:hint="eastAsia"/>
              </w:rPr>
            </w:pPr>
            <w:r>
              <w:rPr>
                <w:rFonts w:ascii="Times New Roman" w:eastAsia="宋体" w:cs="Times New Roman" w:hAnsi="Times New Roman"/>
                <w:color w:val="000000"/>
                <w:sz w:val="24"/>
                <w:szCs w:val="24"/>
                <w:u w:val="none"/>
                <w:lang w:bidi="ar-SA"/>
              </w:rPr>
              <w:t>%</w:t>
            </w:r>
          </w:p>
        </w:tc>
        <w:tc>
          <w:tcPr>
            <w:tcW w:w="92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10</w:t>
            </w:r>
          </w:p>
        </w:tc>
        <w:tc>
          <w:tcPr>
            <w:tcW w:w="111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color w:val="000000"/>
                <w:sz w:val="24"/>
                <w:szCs w:val="24"/>
                <w:u w:val="none"/>
                <w:lang w:bidi="ar-SA"/>
              </w:rPr>
            </w:pPr>
            <w:r>
              <w:rPr>
                <w:rFonts w:ascii="Times New Roman" w:eastAsia="宋体" w:cs="Times New Roman" w:hAnsi="Times New Roman"/>
                <w:color w:val="000000"/>
                <w:sz w:val="24"/>
                <w:szCs w:val="24"/>
                <w:u w:val="none"/>
                <w:lang w:bidi="ar-SA"/>
              </w:rPr>
              <w:t>100%</w:t>
            </w:r>
          </w:p>
        </w:tc>
      </w:tr>
    </w:tbl>
    <w:p>
      <w:pPr>
        <w:ind w:left="0"/>
        <w:rPr>
          <w:rFonts w:ascii="Times New Roman" w:eastAsia="黑体" w:cs="黑体" w:hAnsi="Times New Roman"/>
          <w:color w:val="auto"/>
          <w:kern w:val="0"/>
          <w:sz w:val="32"/>
          <w:szCs w:val="32"/>
          <w:shd w:val="clear" w:color="auto" w:fill="FFFFFF"/>
          <w:lang w:val="zh-CN"/>
          <w:highlight w:val="auto"/>
        </w:rPr>
      </w:pPr>
    </w:p>
    <w:p>
      <w:pPr>
        <w:ind w:left="0"/>
        <w:rPr>
          <w:rFonts w:ascii="Times New Roman" w:eastAsia="黑体" w:cs="黑体" w:hAnsi="Times New Roman"/>
          <w:color w:val="auto"/>
          <w:kern w:val="0"/>
          <w:sz w:val="32"/>
          <w:szCs w:val="32"/>
          <w:shd w:val="clear" w:color="auto" w:fill="FFFFFF"/>
          <w:lang w:val="zh-CN"/>
          <w:highlight w:val="auto"/>
        </w:rPr>
      </w:pPr>
      <w:r>
        <w:rPr>
          <w:rFonts w:ascii="Times New Roman" w:eastAsia="黑体" w:cs="黑体" w:hAnsi="Times New Roman"/>
          <w:color w:val="auto"/>
          <w:kern w:val="0"/>
          <w:sz w:val="32"/>
          <w:szCs w:val="32"/>
          <w:shd w:val="clear" w:color="auto" w:fill="FFFFFF"/>
          <w:lang w:val="zh-CN"/>
          <w:highlight w:val="auto"/>
        </w:rPr>
        <w:t>附表二：</w:t>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方正小标宋简体" w:cs="Times New Roman" w:hAnsi="Times New Roman" w:hint="eastAsia"/>
          <w:color w:val="000000"/>
          <w:kern w:val="0"/>
          <w:sz w:val="44"/>
          <w:szCs w:val="44"/>
          <w:u w:val="none"/>
          <w:lang w:val="en-US" w:eastAsia="zh-CN" w:bidi="ar-SA"/>
        </w:rPr>
      </w:pPr>
      <w:r>
        <w:rPr>
          <w:rFonts w:ascii="Times New Roman" w:eastAsia="方正小标宋简体" w:cs="Times New Roman" w:hAnsi="Times New Roman" w:hint="eastAsia"/>
          <w:color w:val="000000"/>
          <w:kern w:val="0"/>
          <w:sz w:val="44"/>
          <w:szCs w:val="44"/>
          <w:u w:val="none"/>
          <w:lang w:val="en-US" w:eastAsia="zh-CN" w:bidi="ar-SA"/>
        </w:rPr>
        <w:t>部门预算绩效自评打分表</w:t>
      </w:r>
    </w:p>
    <w:tbl>
      <w:tblPr>
        <w:jc w:val="center"/>
        <w:tblW w:w="10819"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1004"/>
        <w:gridCol w:w="1462"/>
        <w:gridCol w:w="1665"/>
        <w:gridCol w:w="720"/>
        <w:gridCol w:w="4734"/>
        <w:gridCol w:w="756"/>
        <w:gridCol w:w="478"/>
      </w:tblGrid>
      <w:tr>
        <w:trPr>
          <w:trHeight w:val="23"/>
        </w:trPr>
        <w:tc>
          <w:tcPr>
            <w:tcW w:w="4851"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color w:val="000000"/>
                <w:sz w:val="24"/>
                <w:szCs w:val="24"/>
                <w:u w:val="none"/>
                <w:lang w:bidi="ar-SA"/>
              </w:rPr>
            </w:pPr>
            <w:r>
              <w:rPr>
                <w:rFonts w:ascii="黑体" w:eastAsia="黑体" w:cs="黑体" w:hint="eastAsia"/>
                <w:color w:val="000000"/>
                <w:kern w:val="0"/>
                <w:sz w:val="24"/>
                <w:szCs w:val="24"/>
                <w:u w:val="none"/>
                <w:lang w:val="en-US" w:eastAsia="zh-CN" w:bidi="ar-SA"/>
              </w:rPr>
              <w:t>绩效评价指标指标分值</w:t>
            </w:r>
          </w:p>
        </w:tc>
        <w:tc>
          <w:tcPr>
            <w:tcW w:w="4734"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color w:val="000000"/>
                <w:sz w:val="24"/>
                <w:szCs w:val="24"/>
                <w:u w:val="none"/>
                <w:lang w:bidi="ar-SA"/>
              </w:rPr>
            </w:pPr>
            <w:r>
              <w:rPr>
                <w:rFonts w:ascii="黑体" w:eastAsia="黑体" w:cs="黑体" w:hint="eastAsia"/>
                <w:color w:val="000000"/>
                <w:kern w:val="0"/>
                <w:sz w:val="24"/>
                <w:szCs w:val="24"/>
                <w:u w:val="none"/>
                <w:lang w:val="en-US" w:eastAsia="zh-CN" w:bidi="ar-SA"/>
              </w:rPr>
              <w:t>指标解释</w:t>
            </w:r>
          </w:p>
        </w:tc>
        <w:tc>
          <w:tcPr>
            <w:tcW w:w="756" w:type="dxa"/>
            <w:vMerge w:val="restart"/>
            <w:tcBorders>
              <w:top w:val="single" w:sz="4" w:space="0" w:color="000000"/>
              <w:left w:val="single" w:sz="4" w:space="0" w:color="000000"/>
              <w:bottom w:val="nil"/>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color w:val="000000"/>
                <w:kern w:val="0"/>
                <w:sz w:val="24"/>
                <w:szCs w:val="24"/>
                <w:u w:val="none"/>
                <w:lang w:val="en-US" w:eastAsia="zh-CN" w:bidi="ar-SA"/>
              </w:rPr>
            </w:pPr>
            <w:r>
              <w:rPr>
                <w:rFonts w:ascii="黑体" w:eastAsia="黑体" w:cs="黑体" w:hint="eastAsia"/>
                <w:color w:val="000000"/>
                <w:kern w:val="0"/>
                <w:sz w:val="24"/>
                <w:szCs w:val="24"/>
                <w:u w:val="none"/>
                <w:lang w:val="en-US" w:eastAsia="zh-CN" w:bidi="ar-SA"/>
              </w:rPr>
              <w:t>自评得分</w:t>
            </w:r>
          </w:p>
        </w:tc>
        <w:tc>
          <w:tcPr>
            <w:tcW w:w="478" w:type="dxa"/>
            <w:vMerge w:val="restart"/>
            <w:tcBorders>
              <w:top w:val="single" w:sz="4" w:space="0" w:color="000000"/>
              <w:left w:val="single" w:sz="4" w:space="0" w:color="000000"/>
              <w:bottom w:val="nil"/>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color w:val="000000"/>
                <w:kern w:val="0"/>
                <w:sz w:val="24"/>
                <w:szCs w:val="24"/>
                <w:u w:val="none"/>
                <w:lang w:val="en-US" w:eastAsia="zh-CN" w:bidi="ar-SA"/>
              </w:rPr>
            </w:pPr>
            <w:r>
              <w:rPr>
                <w:rFonts w:ascii="黑体" w:eastAsia="黑体" w:cs="黑体" w:hint="eastAsia"/>
                <w:color w:val="000000"/>
                <w:kern w:val="0"/>
                <w:sz w:val="24"/>
                <w:szCs w:val="24"/>
                <w:u w:val="none"/>
                <w:lang w:val="en-US" w:eastAsia="zh-CN" w:bidi="ar-SA"/>
              </w:rPr>
              <w:t>备注</w:t>
            </w:r>
          </w:p>
        </w:tc>
      </w:tr>
      <w:tr>
        <w:trPr>
          <w:trHeight w:val="23"/>
        </w:trPr>
        <w:tc>
          <w:tcPr>
            <w:tcW w:w="1004" w:type="dxa"/>
            <w:tcBorders>
              <w:top w:val="single" w:sz="4" w:space="0" w:color="000000"/>
              <w:left w:val="single" w:sz="4" w:space="0" w:color="000000"/>
              <w:bottom w:val="single" w:sz="4" w:space="0" w:color="000000"/>
              <w:right w:val="nil"/>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color w:val="000000"/>
                <w:sz w:val="24"/>
                <w:szCs w:val="24"/>
                <w:u w:val="none"/>
                <w:lang w:bidi="ar-SA"/>
              </w:rPr>
            </w:pPr>
            <w:r>
              <w:rPr>
                <w:rFonts w:ascii="黑体" w:eastAsia="黑体" w:cs="黑体" w:hint="eastAsia"/>
                <w:color w:val="000000"/>
                <w:kern w:val="0"/>
                <w:sz w:val="24"/>
                <w:szCs w:val="24"/>
                <w:u w:val="none"/>
                <w:lang w:val="en-US" w:eastAsia="zh-CN" w:bidi="ar-SA"/>
              </w:rPr>
              <w:t>一级指标</w:t>
            </w:r>
          </w:p>
        </w:tc>
        <w:tc>
          <w:tcPr>
            <w:tcW w:w="1462"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color w:val="000000"/>
                <w:sz w:val="24"/>
                <w:szCs w:val="24"/>
                <w:u w:val="none"/>
                <w:lang w:bidi="ar-SA"/>
              </w:rPr>
            </w:pPr>
            <w:r>
              <w:rPr>
                <w:rFonts w:ascii="黑体" w:eastAsia="黑体" w:cs="黑体" w:hint="eastAsia"/>
                <w:color w:val="000000"/>
                <w:kern w:val="0"/>
                <w:sz w:val="24"/>
                <w:szCs w:val="24"/>
                <w:u w:val="none"/>
                <w:lang w:val="en-US" w:eastAsia="zh-CN" w:bidi="ar-SA"/>
              </w:rPr>
              <w:t>二级指标</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color w:val="000000"/>
                <w:sz w:val="24"/>
                <w:szCs w:val="24"/>
                <w:u w:val="none"/>
                <w:lang w:bidi="ar-SA"/>
              </w:rPr>
            </w:pPr>
            <w:r>
              <w:rPr>
                <w:rFonts w:ascii="黑体" w:eastAsia="黑体" w:cs="黑体" w:hint="eastAsia"/>
                <w:color w:val="000000"/>
                <w:kern w:val="0"/>
                <w:sz w:val="24"/>
                <w:szCs w:val="24"/>
                <w:u w:val="none"/>
                <w:lang w:val="en-US" w:eastAsia="zh-CN" w:bidi="ar-SA"/>
              </w:rPr>
              <w:t>三级指标</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color w:val="000000"/>
                <w:sz w:val="24"/>
                <w:szCs w:val="24"/>
                <w:u w:val="none"/>
                <w:lang w:bidi="ar-SA"/>
              </w:rPr>
            </w:pPr>
            <w:r>
              <w:rPr>
                <w:rFonts w:ascii="黑体" w:eastAsia="黑体" w:cs="黑体" w:hint="eastAsia"/>
                <w:color w:val="000000"/>
                <w:kern w:val="0"/>
                <w:sz w:val="24"/>
                <w:szCs w:val="24"/>
                <w:u w:val="none"/>
                <w:lang w:val="en-US" w:eastAsia="zh-CN" w:bidi="ar-SA"/>
              </w:rPr>
              <w:t>指标</w:t>
              <w:br/>
              <w:t>分值</w:t>
            </w:r>
          </w:p>
        </w:tc>
        <w:tc>
          <w:tcPr>
            <w:tcW w:w="473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756" w:type="dxa"/>
            <w:vMerge/>
            <w:tcBorders>
              <w:top w:val="nil"/>
              <w:left w:val="single" w:sz="4" w:space="0" w:color="000000"/>
              <w:bottom w:val="single" w:sz="4" w:space="0" w:color="000000"/>
              <w:right w:val="single" w:sz="4" w:space="0" w:color="000000"/>
              <w:tl2br w:val="nil"/>
              <w:tr2bl w:val="nil"/>
            </w:tcBorders>
            <w:shd w:val="clear" w:color="auto" w:fill="auto"/>
            <w:noWrap/>
            <w:vAlign w:val="center"/>
          </w:tcPr>
          <w:p/>
        </w:tc>
        <w:tc>
          <w:tcPr>
            <w:tcW w:w="478" w:type="dxa"/>
            <w:vMerge/>
            <w:tcBorders>
              <w:top w:val="nil"/>
              <w:left w:val="single" w:sz="4" w:space="0" w:color="000000"/>
              <w:bottom w:val="single" w:sz="4" w:space="0" w:color="000000"/>
              <w:right w:val="single" w:sz="4" w:space="0" w:color="000000"/>
              <w:tl2br w:val="nil"/>
              <w:tr2bl w:val="nil"/>
            </w:tcBorders>
            <w:shd w:val="clear" w:color="auto" w:fill="auto"/>
            <w:noWrap/>
            <w:vAlign w:val="center"/>
          </w:tc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color w:val="000000"/>
                <w:sz w:val="24"/>
                <w:szCs w:val="24"/>
                <w:u w:val="none"/>
                <w:lang w:bidi="ar-SA"/>
              </w:rPr>
            </w:pPr>
            <w:r>
              <w:rPr>
                <w:rFonts w:ascii="宋体" w:eastAsia="宋体" w:cs="宋体" w:hint="eastAsia"/>
                <w:b/>
                <w:color w:val="000000"/>
                <w:kern w:val="0"/>
                <w:sz w:val="24"/>
                <w:szCs w:val="24"/>
                <w:u w:val="none"/>
                <w:lang w:val="en-US" w:eastAsia="zh-CN" w:bidi="ar-SA"/>
              </w:rPr>
              <w:t>总体绩效</w:t>
              <w:br/>
              <w:t>（65分）</w:t>
            </w:r>
          </w:p>
        </w:tc>
        <w:tc>
          <w:tcPr>
            <w:tcW w:w="1462" w:type="dxa"/>
            <w:vMerge w:val="restart"/>
            <w:tcBorders>
              <w:top w:val="single" w:sz="4" w:space="0" w:color="000000"/>
              <w:left w:val="single" w:sz="4" w:space="0" w:color="000000"/>
              <w:bottom w:val="nil"/>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color w:val="000000"/>
                <w:sz w:val="24"/>
                <w:szCs w:val="24"/>
                <w:u w:val="none"/>
                <w:lang w:bidi="ar-SA"/>
              </w:rPr>
            </w:pPr>
            <w:r>
              <w:rPr>
                <w:rFonts w:ascii="宋体" w:eastAsia="宋体" w:cs="宋体" w:hint="eastAsia"/>
                <w:b/>
                <w:color w:val="000000"/>
                <w:kern w:val="0"/>
                <w:sz w:val="24"/>
                <w:szCs w:val="24"/>
                <w:u w:val="none"/>
                <w:lang w:val="en-US" w:eastAsia="zh-CN" w:bidi="ar-SA"/>
              </w:rPr>
              <w:t>履职效能</w:t>
              <w:br/>
              <w:t>（15分）</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XX履职效果</w:t>
            </w:r>
          </w:p>
        </w:tc>
        <w:tc>
          <w:tcPr>
            <w:tcW w:w="720" w:type="dxa"/>
            <w:tcBorders>
              <w:top w:val="nil"/>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5</w:t>
            </w:r>
          </w:p>
        </w:tc>
        <w:tc>
          <w:tcPr>
            <w:tcW w:w="4734" w:type="dxa"/>
            <w:vMerge w:val="restart"/>
            <w:tcBorders>
              <w:top w:val="single" w:sz="4" w:space="0" w:color="000000"/>
              <w:left w:val="single" w:sz="4" w:space="0" w:color="000000"/>
              <w:bottom w:val="nil"/>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部门整体绩效目标中选定3-5个核心职能目标，反映该项职能目标完成效果情况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5</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nil"/>
              <w:left w:val="single" w:sz="4" w:space="0" w:color="000000"/>
              <w:bottom w:val="nil"/>
              <w:right w:val="single" w:sz="4" w:space="0" w:color="000000"/>
              <w:tl2br w:val="nil"/>
              <w:tr2bl w:val="nil"/>
            </w:tcBorders>
            <w:shd w:val="clear" w:color="auto" w:fill="auto"/>
            <w:noWrap/>
            <w:vAlign w:val="center"/>
          </w:tcPr>
          <w:p/>
        </w:tc>
        <w:tc>
          <w:tcPr>
            <w:tcW w:w="1462" w:type="dxa"/>
            <w:vMerge/>
            <w:tcBorders>
              <w:top w:val="nil"/>
              <w:left w:val="single" w:sz="4" w:space="0" w:color="000000"/>
              <w:bottom w:val="nil"/>
              <w:right w:val="single" w:sz="4" w:space="0" w:color="000000"/>
              <w:tl2br w:val="nil"/>
              <w:tr2bl w:val="nil"/>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XX履职效果</w:t>
            </w:r>
          </w:p>
        </w:tc>
        <w:tc>
          <w:tcPr>
            <w:tcW w:w="720" w:type="dxa"/>
            <w:tcBorders>
              <w:top w:val="nil"/>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5</w:t>
            </w:r>
          </w:p>
        </w:tc>
        <w:tc>
          <w:tcPr>
            <w:tcW w:w="4734" w:type="dxa"/>
            <w:vMerge/>
            <w:tcBorders>
              <w:top w:val="nil"/>
              <w:left w:val="single" w:sz="4" w:space="0" w:color="000000"/>
              <w:bottom w:val="nil"/>
              <w:right w:val="single" w:sz="4" w:space="0" w:color="000000"/>
              <w:tl2br w:val="nil"/>
              <w:tr2bl w:val="nil"/>
            </w:tcBorders>
            <w:shd w:val="clear" w:color="auto" w:fill="auto"/>
            <w:noWrap/>
            <w:vAlign w:val="center"/>
          </w:tcP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5</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nil"/>
              <w:left w:val="single" w:sz="4" w:space="0" w:color="000000"/>
              <w:bottom w:val="nil"/>
              <w:right w:val="single" w:sz="4" w:space="0" w:color="000000"/>
              <w:tl2br w:val="nil"/>
              <w:tr2bl w:val="nil"/>
            </w:tcBorders>
            <w:shd w:val="clear" w:color="auto" w:fill="auto"/>
            <w:noWrap/>
            <w:vAlign w:val="center"/>
          </w:tcPr>
          <w:p/>
        </w:tc>
        <w:tc>
          <w:tcPr>
            <w:tcW w:w="1462" w:type="dxa"/>
            <w:vMerge/>
            <w:tcBorders>
              <w:top w:val="nil"/>
              <w:left w:val="single" w:sz="4" w:space="0" w:color="000000"/>
              <w:bottom w:val="single" w:sz="4" w:space="0" w:color="000000"/>
              <w:right w:val="single" w:sz="4" w:space="0" w:color="000000"/>
              <w:tl2br w:val="nil"/>
              <w:tr2bl w:val="nil"/>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XX履职效果</w:t>
            </w:r>
          </w:p>
        </w:tc>
        <w:tc>
          <w:tcPr>
            <w:tcW w:w="720" w:type="dxa"/>
            <w:tcBorders>
              <w:top w:val="nil"/>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5</w:t>
            </w:r>
          </w:p>
        </w:tc>
        <w:tc>
          <w:tcPr>
            <w:tcW w:w="4734" w:type="dxa"/>
            <w:vMerge/>
            <w:tcBorders>
              <w:top w:val="nil"/>
              <w:left w:val="single" w:sz="4" w:space="0" w:color="000000"/>
              <w:bottom w:val="single" w:sz="4" w:space="0" w:color="000000"/>
              <w:right w:val="single" w:sz="4" w:space="0" w:color="000000"/>
              <w:tl2br w:val="nil"/>
              <w:tr2bl w:val="nil"/>
            </w:tcBorders>
            <w:shd w:val="clear" w:color="auto" w:fill="auto"/>
            <w:noWrap/>
            <w:vAlign w:val="center"/>
          </w:tcP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5</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color w:val="000000"/>
                <w:sz w:val="24"/>
                <w:szCs w:val="24"/>
                <w:u w:val="none"/>
                <w:lang w:bidi="ar-SA"/>
              </w:rPr>
            </w:pPr>
            <w:r>
              <w:rPr>
                <w:rFonts w:ascii="宋体" w:eastAsia="宋体" w:cs="宋体" w:hint="eastAsia"/>
                <w:b/>
                <w:color w:val="000000"/>
                <w:kern w:val="0"/>
                <w:sz w:val="24"/>
                <w:szCs w:val="24"/>
                <w:u w:val="none"/>
                <w:lang w:val="en-US" w:eastAsia="zh-CN" w:bidi="ar-SA"/>
              </w:rPr>
              <w:t>预算管理</w:t>
              <w:br/>
              <w:t>（25分）</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预算编制质量</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8</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部门是否严格按要求编制年初部门预算，年初预算编制的科学性和准确性</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sz w:val="24"/>
                <w:szCs w:val="24"/>
                <w:u w:val="none"/>
                <w:lang w:bidi="ar-SA"/>
              </w:rPr>
              <w:t>7.6</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单位收入统筹</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部门统筹自有收入程度</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0</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支出执行进度</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6</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部门1至6月、1至10月预算执行情况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5</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预算年终结余</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2</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部门整体年终预算结余情况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2</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严控一般性支出</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5</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部门严控“三公”经费、会议、培训、差旅、办节办展、办公设备购置、信息网络及软件购置更新、课题经费等8项一般性支出情况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5</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color w:val="000000"/>
                <w:sz w:val="24"/>
                <w:szCs w:val="24"/>
                <w:u w:val="none"/>
                <w:lang w:bidi="ar-SA"/>
              </w:rPr>
            </w:pPr>
            <w:r>
              <w:rPr>
                <w:rFonts w:ascii="宋体" w:eastAsia="宋体" w:cs="宋体" w:hint="eastAsia"/>
                <w:b/>
                <w:color w:val="000000"/>
                <w:kern w:val="0"/>
                <w:sz w:val="24"/>
                <w:szCs w:val="24"/>
                <w:u w:val="none"/>
                <w:lang w:val="en-US" w:eastAsia="zh-CN" w:bidi="ar-SA"/>
              </w:rPr>
              <w:t>财务管理</w:t>
              <w:br/>
              <w:t>（10分）</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财务管理制度</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部门财务管理制度建立情况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财务岗位设置</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2</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部门财务岗位设置是否符合相关财务管理制度要求</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2</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资金使用规范</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部门资金使用是否符合相关财务管理制度规定</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color w:val="000000"/>
                <w:sz w:val="24"/>
                <w:szCs w:val="24"/>
                <w:u w:val="none"/>
                <w:lang w:bidi="ar-SA"/>
              </w:rPr>
            </w:pPr>
            <w:r>
              <w:rPr>
                <w:rFonts w:ascii="宋体" w:eastAsia="宋体" w:cs="宋体" w:hint="eastAsia"/>
                <w:b/>
                <w:color w:val="000000"/>
                <w:kern w:val="0"/>
                <w:sz w:val="24"/>
                <w:szCs w:val="24"/>
                <w:u w:val="none"/>
                <w:lang w:val="en-US" w:eastAsia="zh-CN" w:bidi="ar-SA"/>
              </w:rPr>
              <w:t>资产管理</w:t>
              <w:br/>
              <w:t>（9分）</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人均资产变化率</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3</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部门人均资产变化情况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3</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资产利用率</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3</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部门资产超最低使用年限情况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3</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color w:val="000000"/>
                <w:sz w:val="24"/>
                <w:szCs w:val="24"/>
                <w:u w:val="none"/>
                <w:lang w:bidi="ar-SA"/>
              </w:rPr>
            </w:pPr>
            <w:r>
              <w:rPr>
                <w:rFonts w:ascii="宋体" w:eastAsia="宋体" w:cs="宋体" w:hint="eastAsia"/>
                <w:b/>
                <w:color w:val="000000"/>
                <w:kern w:val="0"/>
                <w:sz w:val="24"/>
                <w:szCs w:val="24"/>
                <w:u w:val="none"/>
                <w:lang w:val="en-US" w:eastAsia="zh-CN" w:bidi="ar-SA"/>
              </w:rPr>
              <w:t>总体绩效</w:t>
              <w:br/>
              <w:t>（65分）</w:t>
            </w:r>
          </w:p>
        </w:tc>
        <w:tc>
          <w:tcPr>
            <w:tcW w:w="1462"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color w:val="000000"/>
                <w:sz w:val="24"/>
                <w:szCs w:val="24"/>
                <w:u w:val="none"/>
                <w:lang w:bidi="ar-SA"/>
              </w:rPr>
            </w:pPr>
            <w:r>
              <w:rPr>
                <w:rFonts w:ascii="宋体" w:eastAsia="宋体" w:cs="宋体" w:hint="eastAsia"/>
                <w:b/>
                <w:color w:val="000000"/>
                <w:kern w:val="0"/>
                <w:sz w:val="24"/>
                <w:szCs w:val="24"/>
                <w:u w:val="none"/>
                <w:lang w:val="en-US" w:eastAsia="zh-CN" w:bidi="ar-SA"/>
              </w:rPr>
              <w:t>资产管理</w:t>
              <w:br/>
              <w:t>（9分）</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资产盘活率</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3</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部门闲置一年以上的资产盘活情况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2.4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color w:val="000000"/>
                <w:sz w:val="24"/>
                <w:szCs w:val="24"/>
                <w:u w:val="none"/>
                <w:lang w:bidi="ar-SA"/>
              </w:rPr>
            </w:pPr>
            <w:r>
              <w:rPr>
                <w:rFonts w:ascii="宋体" w:eastAsia="宋体" w:cs="宋体" w:hint="eastAsia"/>
                <w:b/>
                <w:color w:val="000000"/>
                <w:kern w:val="0"/>
                <w:sz w:val="24"/>
                <w:szCs w:val="24"/>
                <w:u w:val="none"/>
                <w:lang w:val="en-US" w:eastAsia="zh-CN" w:bidi="ar-SA"/>
              </w:rPr>
              <w:t>采购管理</w:t>
              <w:br/>
              <w:t>（6分）</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支持中小企业发展</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3</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部门是否严格执行政府采购促进中小企业发展相关管理办法</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3</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采购执行率</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3</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部门政府采购项目资金支付比例情况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3</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color w:val="000000"/>
                <w:sz w:val="24"/>
                <w:szCs w:val="24"/>
                <w:u w:val="none"/>
                <w:lang w:bidi="ar-SA"/>
              </w:rPr>
            </w:pPr>
            <w:r>
              <w:rPr>
                <w:rFonts w:ascii="宋体" w:eastAsia="宋体" w:cs="宋体" w:hint="eastAsia"/>
                <w:b/>
                <w:color w:val="000000"/>
                <w:kern w:val="0"/>
                <w:sz w:val="24"/>
                <w:szCs w:val="24"/>
                <w:u w:val="none"/>
                <w:lang w:val="en-US" w:eastAsia="zh-CN" w:bidi="ar-SA"/>
              </w:rPr>
              <w:t>项目绩效</w:t>
              <w:br/>
              <w:t>（35分）</w:t>
            </w:r>
          </w:p>
        </w:tc>
        <w:tc>
          <w:tcPr>
            <w:tcW w:w="1462" w:type="dxa"/>
            <w:vMerge w:val="restart"/>
            <w:tcBorders>
              <w:top w:val="single" w:sz="4" w:space="0" w:color="000000"/>
              <w:left w:val="single" w:sz="4" w:space="0" w:color="000000"/>
              <w:bottom w:val="nil"/>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color w:val="000000"/>
                <w:sz w:val="24"/>
                <w:szCs w:val="24"/>
                <w:u w:val="none"/>
                <w:lang w:bidi="ar-SA"/>
              </w:rPr>
            </w:pPr>
            <w:r>
              <w:rPr>
                <w:rFonts w:ascii="宋体" w:eastAsia="宋体" w:cs="宋体" w:hint="eastAsia"/>
                <w:b/>
                <w:color w:val="000000"/>
                <w:kern w:val="0"/>
                <w:sz w:val="24"/>
                <w:szCs w:val="24"/>
                <w:u w:val="none"/>
                <w:lang w:val="en-US" w:eastAsia="zh-CN" w:bidi="ar-SA"/>
              </w:rPr>
              <w:t>项目决策</w:t>
              <w:br/>
              <w:t>（12分）</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决策程序</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部门预算项目设立是否按规定履行评估论证、申报程序</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tcBorders>
              <w:top w:val="single" w:sz="4" w:space="0" w:color="000000"/>
              <w:left w:val="single" w:sz="4" w:space="0" w:color="000000"/>
              <w:bottom w:val="nil"/>
              <w:right w:val="single" w:sz="4" w:space="0" w:color="000000"/>
              <w:tl2br w:val="nil"/>
              <w:tr2bl w:val="nil"/>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目标设置</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部门预算项目绩效目标与计划期内的任务量、预算安排的资金量匹配情况，绩效目标设置是否科学合理、规范完整、量化细化、预算匹配</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tcBorders>
              <w:top w:val="single" w:sz="4" w:space="0" w:color="000000"/>
              <w:left w:val="single" w:sz="4" w:space="0" w:color="000000"/>
              <w:bottom w:val="nil"/>
              <w:right w:val="single" w:sz="4" w:space="0" w:color="000000"/>
              <w:tl2br w:val="nil"/>
              <w:tr2bl w:val="nil"/>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项目入库</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部门预算项目是否在规定时间完成项目入库</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val="restart"/>
            <w:tcBorders>
              <w:top w:val="single" w:sz="4" w:space="0" w:color="000000"/>
              <w:left w:val="single" w:sz="4" w:space="0" w:color="000000"/>
              <w:bottom w:val="nil"/>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color w:val="000000"/>
                <w:sz w:val="24"/>
                <w:szCs w:val="24"/>
                <w:u w:val="none"/>
                <w:lang w:bidi="ar-SA"/>
              </w:rPr>
            </w:pPr>
            <w:r>
              <w:rPr>
                <w:rFonts w:ascii="宋体" w:eastAsia="宋体" w:cs="宋体" w:hint="eastAsia"/>
                <w:b/>
                <w:color w:val="000000"/>
                <w:kern w:val="0"/>
                <w:sz w:val="24"/>
                <w:szCs w:val="24"/>
                <w:u w:val="none"/>
                <w:lang w:val="en-US" w:eastAsia="zh-CN" w:bidi="ar-SA"/>
              </w:rPr>
              <w:t>项目执行</w:t>
              <w:br/>
              <w:t>（12分）</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执行同向</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部门预算项目实际列支内容是否与绩效目标设置方向相符</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tcBorders>
              <w:top w:val="single" w:sz="4" w:space="0" w:color="000000"/>
              <w:left w:val="single" w:sz="4" w:space="0" w:color="000000"/>
              <w:bottom w:val="nil"/>
              <w:right w:val="single" w:sz="4" w:space="0" w:color="000000"/>
              <w:tl2br w:val="nil"/>
              <w:tr2bl w:val="nil"/>
            </w:tcBorders>
            <w:shd w:val="clear" w:color="auto" w:fill="auto"/>
            <w:noWrap/>
            <w:vAlign w:val="center"/>
          </w:tcPr>
          <w:p/>
        </w:tc>
        <w:tc>
          <w:tcPr>
            <w:tcW w:w="1665" w:type="dxa"/>
            <w:tcBorders>
              <w:top w:val="single" w:sz="4" w:space="0" w:color="000000"/>
              <w:left w:val="single" w:sz="4" w:space="0" w:color="000000"/>
              <w:bottom w:val="nil"/>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项目调整</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部门预算项目是否采取对应调整措施</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tcBorders>
              <w:top w:val="single" w:sz="4" w:space="0" w:color="000000"/>
              <w:left w:val="single" w:sz="4" w:space="0" w:color="000000"/>
              <w:bottom w:val="nil"/>
              <w:right w:val="single" w:sz="4" w:space="0" w:color="000000"/>
              <w:tl2br w:val="nil"/>
              <w:tr2bl w:val="nil"/>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执行结果</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部门预算项目预算执行情况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color w:val="000000"/>
                <w:sz w:val="24"/>
                <w:szCs w:val="24"/>
                <w:u w:val="none"/>
                <w:lang w:bidi="ar-SA"/>
              </w:rPr>
            </w:pPr>
            <w:r>
              <w:rPr>
                <w:rFonts w:ascii="宋体" w:eastAsia="宋体" w:cs="宋体" w:hint="eastAsia"/>
                <w:b/>
                <w:color w:val="000000"/>
                <w:kern w:val="0"/>
                <w:sz w:val="24"/>
                <w:szCs w:val="24"/>
                <w:u w:val="none"/>
                <w:lang w:val="en-US" w:eastAsia="zh-CN" w:bidi="ar-SA"/>
              </w:rPr>
              <w:t>目标实现</w:t>
              <w:br/>
              <w:t>（11分）</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目标完成</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部门预算项目绩效目标数量指标完成情况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目标偏离</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部门预算项目绩效目标数量指标实现程度与预期目标的偏离情况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实现效果</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3</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部门预算项目绩效目标效益指标实施效果</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r>
              <w:rPr>
                <w:rFonts w:ascii="宋体" w:eastAsia="宋体" w:cs="宋体" w:hint="eastAsia"/>
                <w:color w:val="000000"/>
                <w:kern w:val="0"/>
                <w:sz w:val="24"/>
                <w:szCs w:val="24"/>
                <w:u w:val="none"/>
                <w:lang w:val="en-US" w:eastAsia="zh-CN" w:bidi="ar-SA"/>
              </w:rPr>
              <w:t>3</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r>
        <w:trPr>
          <w:trHeight w:val="23"/>
        </w:trPr>
        <w:tc>
          <w:tcPr>
            <w:tcW w:w="100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color w:val="000000"/>
                <w:sz w:val="24"/>
                <w:szCs w:val="24"/>
                <w:u w:val="none"/>
                <w:lang w:bidi="ar-SA"/>
              </w:rPr>
            </w:pPr>
            <w:r>
              <w:rPr>
                <w:rFonts w:ascii="宋体" w:eastAsia="宋体" w:cs="宋体" w:hint="eastAsia"/>
                <w:b/>
                <w:color w:val="000000"/>
                <w:kern w:val="0"/>
                <w:sz w:val="24"/>
                <w:szCs w:val="24"/>
                <w:u w:val="none"/>
                <w:lang w:val="en-US" w:eastAsia="zh-CN" w:bidi="ar-SA"/>
              </w:rPr>
              <w:t>扣分项</w:t>
              <w:br/>
              <w:t>（10分）</w:t>
            </w:r>
          </w:p>
        </w:tc>
        <w:tc>
          <w:tcPr>
            <w:tcW w:w="3127"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被评价部门配合度</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被评价对象工作配合情况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color w:val="000000"/>
                <w:kern w:val="0"/>
                <w:sz w:val="24"/>
                <w:szCs w:val="24"/>
                <w:u w:val="none"/>
                <w:lang w:val="en-US" w:eastAsia="zh-CN" w:bidi="ar-SA"/>
              </w:rPr>
            </w:pPr>
          </w:p>
        </w:tc>
      </w:tr>
    </w:tbl>
    <w:p/>
    <w:p>
      <w:pPr>
        <w:ind w:left="0"/>
        <w:rPr>
          <w:rFonts w:eastAsia="黑体" w:cs="黑体" w:hint="eastAsia"/>
          <w:kern w:val="0"/>
          <w:sz w:val="32"/>
          <w:szCs w:val="32"/>
          <w:shd w:val="clear" w:color="auto" w:fill="FFFFFF"/>
          <w:lang w:val="zh-CN"/>
        </w:rPr>
      </w:pPr>
      <w:r>
        <w:rPr>
          <w:rFonts w:ascii="Times New Roman" w:eastAsia="黑体" w:cs="黑体" w:hAnsi="Times New Roman" w:hint="eastAsia"/>
          <w:color w:val="auto"/>
          <w:kern w:val="0"/>
          <w:sz w:val="32"/>
          <w:szCs w:val="32"/>
          <w:shd w:val="clear" w:color="auto" w:fill="FFFFFF"/>
          <w:lang w:val="zh-CN"/>
          <w:highlight w:val="auto"/>
        </w:rPr>
        <w:br w:type="page"/>
      </w:r>
      <w:r>
        <w:rPr>
          <w:rFonts w:eastAsia="黑体" w:cs="黑体"/>
          <w:kern w:val="0"/>
          <w:sz w:val="32"/>
          <w:szCs w:val="32"/>
          <w:shd w:val="clear" w:color="auto" w:fill="FFFFFF"/>
          <w:lang w:val="zh-CN"/>
          <w:highlight w:val="auto"/>
        </w:rPr>
        <w:t>附表三</w:t>
      </w:r>
      <w:r>
        <w:rPr>
          <w:rFonts w:eastAsia="黑体" w:cs="黑体" w:hint="eastAsia"/>
          <w:kern w:val="0"/>
          <w:sz w:val="32"/>
          <w:szCs w:val="32"/>
          <w:shd w:val="clear" w:color="auto" w:fill="FFFFFF"/>
          <w:lang w:val="zh-CN"/>
        </w:rPr>
        <w:t>：部门预算项目支出绩效自评表（202</w:t>
      </w:r>
      <w:r>
        <w:rPr>
          <w:rFonts w:eastAsia="黑体" w:cs="黑体"/>
          <w:kern w:val="0"/>
          <w:sz w:val="32"/>
          <w:szCs w:val="32"/>
          <w:shd w:val="clear" w:color="auto" w:fill="FFFFFF"/>
          <w:lang w:val="zh-CN"/>
        </w:rPr>
        <w:t>4</w:t>
      </w:r>
      <w:r>
        <w:rPr>
          <w:rFonts w:eastAsia="黑体" w:cs="黑体" w:hint="eastAsia"/>
          <w:kern w:val="0"/>
          <w:sz w:val="32"/>
          <w:szCs w:val="32"/>
          <w:shd w:val="clear" w:color="auto" w:fill="FFFFFF"/>
          <w:lang w:val="zh-CN"/>
        </w:rPr>
        <w:t>年度）</w:t>
      </w:r>
    </w:p>
    <w:tbl>
      <w:tblPr>
        <w:tblpPr w:leftFromText="180" w:rightFromText="180" w:vertAnchor="text" w:horzAnchor="page" w:tblpX="109" w:tblpY="286"/>
        <w:tblOverlap w:val="never"/>
        <w:tblW w:w="6799" w:type="pc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048"/>
        <w:gridCol w:w="1306"/>
        <w:gridCol w:w="673"/>
        <w:gridCol w:w="1965"/>
        <w:gridCol w:w="631"/>
        <w:gridCol w:w="629"/>
        <w:gridCol w:w="702"/>
        <w:gridCol w:w="1034"/>
        <w:gridCol w:w="606"/>
        <w:gridCol w:w="490"/>
        <w:gridCol w:w="2354"/>
      </w:tblGrid>
      <w:tr>
        <w:trPr>
          <w:trHeight w:val="404"/>
        </w:trPr>
        <w:tc>
          <w:tcPr>
            <w:tcW w:w="2182" w:type="pct"/>
            <w:gridSpan w:val="4"/>
            <w:tcBorders>
              <w:top w:val="nil"/>
              <w:left w:val="nil"/>
              <w:bottom w:val="nil"/>
              <w:right w:val="nil"/>
              <w:tl2br w:val="nil"/>
              <w:tr2bl w:val="nil"/>
            </w:tcBorders>
            <w:noWrap/>
            <w:vAlign w:val="center"/>
          </w:tcPr>
          <w:p>
            <w:pPr>
              <w:jc w:val="center"/>
              <w:rPr>
                <w:rFonts w:ascii="SimSun" w:eastAsia="SimSun" w:cs="Arial"/>
                <w:color w:val="C0C0C0"/>
                <w:sz w:val="20"/>
              </w:rPr>
            </w:pPr>
            <w:bookmarkStart w:id="227" w:name="_Toc15396618"/>
            <w:r>
              <w:rPr>
                <w:rFonts w:ascii="SimSun" w:eastAsia="SimSun" w:cs="Arial"/>
                <w:color w:val="C0C0C0"/>
                <w:sz w:val="20"/>
              </w:rPr>
              <w:t>报表编号：510000_0013zp</w:t>
            </w:r>
          </w:p>
        </w:tc>
        <w:tc>
          <w:tcPr>
            <w:tcW w:w="275" w:type="pct"/>
            <w:tcBorders>
              <w:top w:val="nil"/>
              <w:left w:val="nil"/>
              <w:bottom w:val="nil"/>
              <w:right w:val="nil"/>
              <w:tl2br w:val="nil"/>
              <w:tr2bl w:val="nil"/>
            </w:tcBorders>
            <w:noWrap/>
            <w:vAlign w:val="center"/>
          </w:tcPr>
          <w:p>
            <w:pPr>
              <w:rPr>
                <w:rFonts w:ascii="Times New Roman" w:eastAsia="宋体" w:hAnsi="Times New Roman"/>
                <w:sz w:val="24"/>
              </w:rPr>
            </w:pPr>
          </w:p>
        </w:tc>
        <w:tc>
          <w:tcPr>
            <w:tcW w:w="1034" w:type="pct"/>
            <w:gridSpan w:val="3"/>
            <w:tcBorders>
              <w:top w:val="nil"/>
              <w:left w:val="nil"/>
              <w:bottom w:val="nil"/>
              <w:right w:val="nil"/>
              <w:tl2br w:val="nil"/>
              <w:tr2bl w:val="nil"/>
            </w:tcBorders>
            <w:noWrap/>
            <w:vAlign w:val="center"/>
          </w:tcPr>
          <w:p>
            <w:pPr>
              <w:rPr>
                <w:rFonts w:ascii="SimSun" w:eastAsia="SimSun" w:cs="Arial"/>
                <w:color w:val="000000"/>
                <w:sz w:val="20"/>
              </w:rPr>
            </w:pPr>
          </w:p>
        </w:tc>
        <w:tc>
          <w:tcPr>
            <w:tcW w:w="265"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14" w:type="pct"/>
            <w:tcBorders>
              <w:top w:val="nil"/>
              <w:left w:val="nil"/>
              <w:bottom w:val="nil"/>
              <w:right w:val="nil"/>
              <w:tl2br w:val="nil"/>
              <w:tr2bl w:val="nil"/>
            </w:tcBorders>
            <w:noWrap/>
            <w:vAlign w:val="center"/>
          </w:tcPr>
          <w:p>
            <w:pPr>
              <w:rPr>
                <w:rFonts w:ascii="Times New Roman" w:eastAsia="宋体" w:hAnsi="Times New Roman"/>
                <w:sz w:val="24"/>
              </w:rPr>
            </w:pPr>
          </w:p>
        </w:tc>
        <w:tc>
          <w:tcPr>
            <w:tcW w:w="1026" w:type="pct"/>
            <w:tcBorders>
              <w:top w:val="nil"/>
              <w:left w:val="nil"/>
              <w:bottom w:val="nil"/>
              <w:right w:val="nil"/>
              <w:tl2br w:val="nil"/>
              <w:tr2bl w:val="nil"/>
            </w:tcBorders>
            <w:noWrap/>
            <w:vAlign w:val="center"/>
          </w:tcPr>
          <w:p>
            <w:pPr>
              <w:rPr>
                <w:rFonts w:ascii="Times New Roman" w:eastAsia="宋体" w:hAnsi="Times New Roman"/>
                <w:sz w:val="24"/>
              </w:rPr>
            </w:pPr>
          </w:p>
        </w:tc>
      </w:tr>
      <w:tr>
        <w:trPr>
          <w:trHeight w:val="464"/>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51000021Y000000011490-日常公用经费</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提高预算编制质量，严格执行预算，保障单位日常运转。</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合理计划公用经费，加强财务管理，无挪用、挤占、截留等情况</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合理计划公用经费，加强财务管理，无挪用、挤占、截留等情况</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11.07</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8.96</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8.96</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11.07</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8.96</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8.96</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科目调整次数</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次</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67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质量指标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预算编制准确率（计算方法为：∣（执行数-预算数）/预算数∣）</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89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经济效益指标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“三公经费”控制率[计算方法为：（三公经费实际支出数/预算安排数]×100%）</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运转保障率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350"/>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35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51322622R000000307551-其他社会保障缴费（失业保险）</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本年度每月按时、足额缴纳职工失业保险</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本年度每月按时、足额缴纳职工失业保险</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0.08</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0.09</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0.09</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0.08</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0.09</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0.09</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pStyle w:val="17"/>
              <w:ind w:leftChars="0" w:left="0" w:firstLineChars="0" w:firstLine="0"/>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51322622R000000307567-其他社会保障缴费（工伤保险）</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本年度每月按时、足额缴纳职工工伤保险</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本年度每月按时、足额缴纳职工工伤保险</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0.12</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0.11</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0.11</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0.12</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0.11</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0.11</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pStyle w:val="17"/>
              <w:ind w:leftChars="0" w:left="0" w:firstLineChars="0" w:firstLine="0"/>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51322622R000000307571-其他社会保障缴费（残疾人就业保障金）</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本年度按时、足额缴纳残疾人就业保障金</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本年度按时、足额缴纳残疾人就业保障金</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1.13</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1.13</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1.13</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1.13</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1.13</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1.13</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pStyle w:val="15"/>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51322622R000000307882-住房公积金（职工）</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本年度每月按时、足额缴纳职工住房公积金</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本年度每月按时、足额缴纳职工住房公积金</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9.67</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8.85</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8.85</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9.67</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8.85</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8.85</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51322622R000000308231-基本退休费</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本年度每月按时、足额发放基本退休费</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本年度每月按时、足额发放基本退休费</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0.01</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0.01</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0.01</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0.01</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51322622R000000308399-生活补助（遗嘱人员）</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本年度按时、足额发放职工回民补贴遗嘱人员生活补助</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本年度按时、足额发放职工回民补贴遗嘱人员生活补助</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0.89</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1.07</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1.07</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0.89</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1.07</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1.07</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51322622R000000308424-春节慰问金</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本年度按时、足额发放退休人员春节慰问金</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本年度按时、足额发放退休人员春节慰问金</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0.45</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0.65</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0.65</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0.45</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0.65</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0.65</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51322622R000006494124-退休人员一次性退休补贴</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本年度按时、足额发放退休人员一次性退休补贴</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本年度按时、足额发放退休人员一次性退休补贴</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6.71</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6.71</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6.71</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6.71</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51322622T000007377886-《金川年鉴》编纂、出版服务</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全面、准确地记述金川县历年政治、经济、社会等各项事业所取得的成就，编纂成册并公开出版。</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本年度及时、足额支付《金川年鉴》编纂、出版服务项目经费</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本年度及时、足额支付《金川年鉴》编纂、出版服务项目经费</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10.99</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10.99</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olor w:val="000000"/>
                <w:sz w:val="18"/>
              </w:rPr>
            </w:pP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10.99</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10.99</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出版印刷</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册</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质量指标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出版率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44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时效指标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项目完成起止时间（12月-5月）</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月</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67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全面、准确记述金川县历年政治、经济、社会等各项事业所取得的成就</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定性</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优</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olor w:val="000000"/>
                <w:sz w:val="18"/>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可持续影响指标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资政、存史、育人</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定性</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长期</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olor w:val="000000"/>
                <w:sz w:val="18"/>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满意度指标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满意度指标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社会各界认可度</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成本指标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经济成本指标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编纂、出版费用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109900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万元</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根据金财监绩[2025]35号文件完成部门整体支出绩效自评，本年度及时、足额支付《金川年鉴》项目经费</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项目负责人：李文涛</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财务负责人：胡甜甜</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51322623R000007822512-机关事业单位基本养老保险缴费</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本年度按时、足额缴纳单位基本养老保险</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本年度按时、足额缴纳单位基本养老保险</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11.68</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11.36</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11.36</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11.68</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11.36</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11.36</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51322623R000007822795-职业年金缴费</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本年度按时、足额缴纳单位职业年金</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本年度按时、足额缴纳单位职业年金</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5.84</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5.68</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5.68</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5.84</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5.68</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5.68</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51322623R000007823104-职工基本医疗保险缴费</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本年度按时、足额缴纳单位职工基本医疗保险缴费</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本年度按时、足额缴纳单位职工基本医疗保险缴费</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5.64</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5.40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5.40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5.64</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5.40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5.40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51322623R000007823488-公务员医疗补助缴费</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本年度按时、足额缴纳单位公务员医疗补助缴费</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本年度按时、足额缴纳单位公务员医疗补助缴费</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1.73</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1.92</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1.92</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1.73</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1.92</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1.92</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51322623R000008940976-年度考核奖</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本年度按时、足额发放2023年年度考核奖</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color w:val="000000"/>
                <w:sz w:val="18"/>
              </w:rPr>
            </w:pPr>
            <w:r>
              <w:rPr>
                <w:rFonts w:ascii="宋体" w:eastAsia="宋体" w:cs="Arial"/>
                <w:color w:val="000000"/>
                <w:sz w:val="18"/>
              </w:rPr>
              <w:t>本年度按时、足额发放2023年年度考核奖</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9.74</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9.74</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9.74</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9.74</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51322623T000008543534-金川县2021年口述历史纪录片《金川牦牛》采购项目</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完成金川县2022年口述历史纪录片《星火百年——女红军王全英》采购项目，达到服务地方政治、经济、文化、社会发展的作用。</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本年度及时、足额支付金川县2021年口述历史纪录片《金川牦牛》采购项目经费</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本年度及时、足额支付金川县2021年口述历史纪录片《金川牦牛》采购项目经费</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17.95</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17.95</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17.95</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17.95</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口述历史“七进”</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张</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61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制作光碟</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张</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质量指标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画面HD：9HD</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99</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61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音频5.1声道</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99</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61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画质高清，清晰度</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99</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61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视频16：4K</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99</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时效指标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项目完成时间</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2024</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纪录历史，流传后世</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44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满意度指标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服务对象满意度指标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社会广大群众满意度</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成本指标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经济成本指标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金额</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179500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元</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根据金财监绩[2025]35号文件完成部门整体支出绩效自评，本年度及时、足额支付金川县2021年口述历史纪录片《金川牦牛》采购项目经费</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color w:val="000000"/>
                <w:sz w:val="18"/>
              </w:rPr>
            </w:pPr>
            <w:r>
              <w:rPr>
                <w:rFonts w:ascii="宋体" w:eastAsia="宋体" w:cs="Arial"/>
                <w:color w:val="000000"/>
                <w:sz w:val="18"/>
              </w:rPr>
              <w:t>项目负责人：李文涛</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财务负责人：胡甜甜</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51322624R000010562265-在职在编人员基本工资</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每月按时、足额发放在职在编人员基本工资</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每月按时、足额发放在职在编人员基本工资</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24.56</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23.30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23.30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24.56</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23.30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23.30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51322624R000010567592-年终一次性奖金（行政）</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本年度按时、足额发放2023年终一次性奖金（行政）</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本年度按时、足额发放2023年终一次性奖金（行政）</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2.05</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2.03</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2.03</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2.05</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2.03</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2.03</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51322624R000010568356-公务员规范津贴补贴</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本年度按时、足额缴纳公务员规范津贴补贴</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color w:val="000000"/>
                <w:sz w:val="18"/>
              </w:rPr>
            </w:pPr>
            <w:r>
              <w:rPr>
                <w:rFonts w:ascii="宋体" w:eastAsia="宋体" w:cs="Arial"/>
                <w:color w:val="000000"/>
                <w:sz w:val="18"/>
              </w:rPr>
              <w:t>本年度按时、足额缴纳公务员规范津贴补贴</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17.15</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16.78</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16.78</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17.15</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16.78</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16.78</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51322624R000010570295-基础绩效奖（行政）</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本年度按时、足额发放基础绩效奖（行政）</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本年度按时、足额发放基础绩效奖（行政）</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19.55</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18.98</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18.98</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19.55</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18.98</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18.98</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51322624R000010571106-艰苦边远地区津贴</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本年度按时、足额发放艰苦边远地区津贴</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本年度按时、足额发放艰苦边远地区津贴</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7.71</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7.72</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7.72</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7.71</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7.72</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7.72</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51322624R000010571424-高海拔地区折算工龄补贴</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本年度按时、足额发放高海拔地区折算工龄补贴</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本年度按时、足额发放高海拔地区折算工龄补贴</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1.62</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3.17</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3.17</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1.62</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3.17</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3.17</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51322624R000010574781-其他工资性支出</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本年度按时、足额发放其他工资性支出</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本年度按时、足额发放其他工资性支出</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0.34</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0.34</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0.34</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0.34</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0.34</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0.34</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51322624R000011908631-退休人员建房补助</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严格执行相关政策，保障工资及时、足额发放或社保及时、足额缴纳，预算编制科学合理，减少结余资金。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本年度按时、足额发放退休人员建房补助</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本年度按时、足额发放退休人员建房补助</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2.40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2.40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1.预算执行率=预算执行数/调整后预算数，预算执行率未达到90%的需说明原因（100字以内）;2.年中发生预算调整的（追加或调减）,应单独说明理由；3.其他资金包括：社会投入资金、银行贷款.</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2.40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2.40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发放（缴纳）覆盖率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足额保障率（参保率）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30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优</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项目负责人：胡甜甜</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财务负责人：肖晓莉</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51322625T000012121276-《金川县扶贫志》编纂出版项目</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全面、客观、系统总结金川县近年来经济、社会、发展方面的扶贫经验，编纂成册并公开出版。</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color w:val="000000"/>
                <w:sz w:val="18"/>
              </w:rPr>
            </w:pPr>
            <w:r>
              <w:rPr>
                <w:rFonts w:ascii="宋体" w:eastAsia="宋体" w:cs="Arial"/>
                <w:color w:val="000000"/>
                <w:sz w:val="18"/>
              </w:rPr>
              <w:t>《金川县扶贫志》正在资料收集、编纂初稿阶段</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color w:val="000000"/>
                <w:sz w:val="18"/>
              </w:rPr>
            </w:pPr>
            <w:r>
              <w:rPr>
                <w:rFonts w:ascii="宋体" w:eastAsia="宋体" w:cs="Arial"/>
                <w:color w:val="000000"/>
                <w:sz w:val="18"/>
              </w:rPr>
              <w:t>《金川县扶贫志》正在资料收集、编纂初稿阶段</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45.00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无</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45.00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53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编纂出版</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册</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19</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《金川县扶贫志》正在资料收集、编纂初稿阶段</w:t>
            </w:r>
          </w:p>
        </w:tc>
      </w:tr>
      <w:tr>
        <w:trPr>
          <w:trHeight w:val="53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质量指标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验收合格率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《金川县扶贫志》正在资料收集、编纂初稿阶段</w:t>
            </w:r>
          </w:p>
        </w:tc>
      </w:tr>
      <w:tr>
        <w:trPr>
          <w:trHeight w:val="53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时效指标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项目完成起止时间（2025年11月）</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16</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月</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19</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《金川县扶贫志》正在资料收集、编纂初稿阶段</w:t>
            </w:r>
          </w:p>
        </w:tc>
      </w:tr>
      <w:tr>
        <w:trPr>
          <w:trHeight w:val="53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经济效益指标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出版率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《金川县扶贫志》正在资料收集、编纂初稿阶段</w:t>
            </w:r>
          </w:p>
        </w:tc>
      </w:tr>
      <w:tr>
        <w:trPr>
          <w:trHeight w:val="67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推动乡村振兴工作，服务于地方政治、经济、文化、社会发展</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《金川县扶贫志》正在资料收集、编纂初稿阶段</w:t>
            </w:r>
          </w:p>
        </w:tc>
      </w:tr>
      <w:tr>
        <w:trPr>
          <w:trHeight w:val="53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满意度指标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满意度指标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社会各界认可度</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《金川县扶贫志》正在资料收集、编纂初稿阶段</w:t>
            </w:r>
          </w:p>
        </w:tc>
      </w:tr>
      <w:tr>
        <w:trPr>
          <w:trHeight w:val="89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成本指标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经济成本指标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项目总价</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45</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万元/每项目</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《金川县扶贫志》正在资料收集、编纂初稿阶段</w:t>
            </w: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SimSun" w:eastAsia="SimSun" w:cs="Arial"/>
                <w:color w:val="000000"/>
                <w:sz w:val="18"/>
              </w:rPr>
            </w:pPr>
            <w:r>
              <w:rPr>
                <w:rFonts w:ascii="SimSun" w:eastAsia="SimSun" w:cs="Arial"/>
                <w:color w:val="000000"/>
                <w:sz w:val="18"/>
              </w:rPr>
              <w:t>95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根据金财监绩[2025]35号文件完成部门整体支出绩效自评，《金川县扶贫志》正在资料收集、编纂初稿阶段</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项目负责人：李文涛</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财务负责人：胡甜甜</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51322625T000012300624-编纂出版《中国共产党金川县执政实录》（2022）项目</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全面记录和系统研究县委科学执政、治金兴金伟大实践过程的重要基础性工作，具有极其重要的现实意义和深远的历史影响。编纂成册并公开出版。</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本年度及时、足额支付《中国共产党金川县执政实录》（2022）项目经费</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本年度及时、足额支付《中国共产党金川县执政实录》（2022）项目经费</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8.00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8.00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无</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8.00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8.00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出版印刷</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册</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质量指标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出版率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44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时效指标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项目完成起止时间（10月-6月）</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月</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112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全面记录和系统研究县委科学执政、治金兴金伟大实践过程的重要基础性工作，具有极其重要的现实意义和深远的历史影响。</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定性</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优</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olor w:val="000000"/>
                <w:sz w:val="18"/>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可持续影响指标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资政、存史、育人</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定性</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长期</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olor w:val="000000"/>
                <w:sz w:val="18"/>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满意度指标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满意度指标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社会各界认可度</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成本指标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经济成本指标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编纂出版费用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104000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万元</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根据金财监绩[2025]35号文件完成部门整体支出绩效自评，本年度及时、足额支付《中国共产党金川县执政实录》（2022）项目经费</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项目负责人：李文涛</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财务负责人：胡甜甜</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51322625T000013026662-《金川年鉴》编纂出版</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全面、准确地记述金川县历年政治、经济、社会等各项事业所取得的成就，编纂成册并公开出版。</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本年度及时、足额支付《金川年鉴》编纂、出版服务项目经费</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本年度及时、足额支付《金川年鉴》编纂、出版服务项目经费</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10.60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10.60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无</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10.60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10.60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出版印刷</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册</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质量指标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出版率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时效指标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项目完成起止时间</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月</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89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全面、准确地记述金川县历年政治、经济、社会等各项事业所取得的成就，编纂成册并公开出版。</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定性</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优</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olor w:val="000000"/>
                <w:sz w:val="18"/>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可持续影响指标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资政、存史、育人</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定性</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长期</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olor w:val="000000"/>
                <w:sz w:val="18"/>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满意度指标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满意度指标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社会各界认可度</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成本指标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经济成本指标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编纂、出版费用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10.6</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万元</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根据金财监绩[2025]35号文件完成部门整体支出绩效自评，本年度及时、足额支付《金川年鉴》编纂、出版服务项目经费</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项目负责人：李文涛</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财务负责人：胡甜甜</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51322625T000013156612-《金川县革命烈士陵园》党史短视频</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深入挖掘历史文化资源，突出阿坝特色文化品牌，拍摄制作反映文化特色、民族特色、地方特色的纪录片和党史短视频。</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color w:val="000000"/>
                <w:sz w:val="18"/>
              </w:rPr>
            </w:pPr>
            <w:r>
              <w:rPr>
                <w:rFonts w:ascii="宋体" w:eastAsia="宋体" w:cs="Arial"/>
                <w:color w:val="000000"/>
                <w:sz w:val="18"/>
              </w:rPr>
              <w:t>本年度及时、足额支付《金川县革命烈士陵园》党史短视频项目经费</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本年度及时、足额支付《金川县革命烈士陵园》党史短视频项目经费</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4.28</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4.28</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无</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4.28</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4.28</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党史短视频</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个</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质量指标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语言要求</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定性</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中文</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olor w:val="000000"/>
                <w:sz w:val="18"/>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61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MOV/MP4</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99</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61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分辨率1080p/4k</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99</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61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视频输出要求4K</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99</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时效指标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片长时间要求</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分钟</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61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项目完成时间</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2024</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44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挖掘历史文化，突出地域特色</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44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满意度指标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服务对象满意度指标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社会广大群众满意度</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成本指标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经济成本指标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金额</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65000</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元</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根据金财监绩[2025]35号文件完成部门整体支出绩效自评，本年度及时、足额支付《金川县革命烈士陵园》党史短视频项目经费</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项目负责人：李文涛</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财务负责人：胡甜甜</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899"/>
        </w:trPr>
        <w:tc>
          <w:tcPr>
            <w:tcW w:w="5000" w:type="pct"/>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黑体" w:eastAsia="黑体" w:cs="Arial"/>
                <w:b/>
                <w:i w:val="0"/>
                <w:color w:val="000000"/>
                <w:sz w:val="30"/>
              </w:rPr>
            </w:pPr>
            <w:r>
              <w:rPr>
                <w:rFonts w:ascii="黑体" w:eastAsia="黑体" w:cs="Arial"/>
                <w:b/>
                <w:i w:val="0"/>
                <w:color w:val="000000"/>
                <w:sz w:val="30"/>
              </w:rPr>
              <w:t>部门预算项目支出绩效自评表（2024年度）</w:t>
            </w:r>
          </w:p>
        </w:tc>
      </w:tr>
      <w:tr>
        <w:trPr>
          <w:trHeight w:val="284"/>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项目名称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51322625T000013187561-解决党史和地方志业务工作劳务经费</w:t>
            </w:r>
          </w:p>
        </w:tc>
      </w:tr>
      <w:tr>
        <w:trPr>
          <w:trHeight w:val="509"/>
        </w:trPr>
        <w:tc>
          <w:tcPr>
            <w:tcW w:w="102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主管部门</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金川县党史研究和地方志编纂中心本级</w:t>
            </w:r>
          </w:p>
        </w:tc>
        <w:tc>
          <w:tcPr>
            <w:tcW w:w="452" w:type="pct"/>
            <w:tcBorders>
              <w:top w:val="nil"/>
              <w:left w:val="nil"/>
              <w:bottom w:val="nil"/>
              <w:right w:val="nil"/>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实施单位 （盖章）</w:t>
            </w:r>
          </w:p>
        </w:tc>
        <w:tc>
          <w:tcPr>
            <w:tcW w:w="15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金川县党史研究和地方志编纂中心</w:t>
            </w:r>
          </w:p>
        </w:tc>
      </w:tr>
      <w:tr>
        <w:trPr>
          <w:trHeight w:val="284"/>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项目基本情况</w:t>
            </w: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1.项目年度目标完成情况</w:t>
            </w: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项目年度目标</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年度目标完成情况</w:t>
            </w:r>
          </w:p>
        </w:tc>
      </w:tr>
      <w:tr>
        <w:trPr>
          <w:trHeight w:val="7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1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需要编外懂党史和地方志专业人员提供劳务服务，目前单位工作经费紧张，仅能满足日常工作运转，不能满足党史和地方志业务工作所需劳务费，现特请求解决党史和地方志业务工作劳务费4万元</w:t>
            </w:r>
          </w:p>
        </w:tc>
        <w:tc>
          <w:tcPr>
            <w:tcW w:w="195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color w:val="000000"/>
                <w:sz w:val="18"/>
              </w:rPr>
            </w:pPr>
            <w:r>
              <w:rPr>
                <w:rFonts w:ascii="宋体" w:eastAsia="宋体" w:cs="Arial"/>
                <w:color w:val="000000"/>
                <w:sz w:val="18"/>
              </w:rPr>
              <w:t>本年度及时解决党史和地方志业务工作劳务经费</w:t>
            </w:r>
          </w:p>
        </w:tc>
      </w:tr>
      <w:tr>
        <w:trPr>
          <w:trHeight w:val="68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2.项目实施内容及过程概述</w:t>
            </w:r>
          </w:p>
        </w:tc>
        <w:tc>
          <w:tcPr>
            <w:tcW w:w="397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本年度及时解决党史和地方志业务工作劳务经费</w:t>
            </w:r>
          </w:p>
        </w:tc>
      </w:tr>
      <w:tr>
        <w:trPr>
          <w:trHeight w:val="35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预算执行情况（10分）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年度预算数（万元）</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年初预算</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调整后预算数</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预算执行数</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预算执行率</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原因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总额</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4.00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4.00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b w:val="0"/>
                <w:i/>
                <w:color w:val="000000"/>
                <w:sz w:val="18"/>
              </w:rPr>
            </w:pPr>
            <w:r>
              <w:rPr>
                <w:rFonts w:ascii="simhei" w:eastAsia="simhei" w:cs="Arial" w:hAnsi="simhei"/>
                <w:b w:val="0"/>
                <w:i/>
                <w:color w:val="000000"/>
                <w:sz w:val="18"/>
              </w:rPr>
              <w:t>无</w:t>
            </w: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其中：财政资金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4.00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4.00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0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财政专户管理资金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单位资金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其他资金</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85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b w:val="0"/>
                <w:i/>
                <w:color w:val="000000"/>
                <w:sz w:val="16"/>
              </w:rPr>
            </w:pP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1047"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45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绩效指标（90分）</w:t>
            </w: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一级指标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二级指标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三级指标</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指标性质</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指标值</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度量单位</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完成值</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权重</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得分</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未完成原因分析</w:t>
            </w:r>
          </w:p>
        </w:tc>
      </w:tr>
      <w:tr>
        <w:trPr>
          <w:trHeight w:val="44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产出指标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数量指标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专业党史和地方志业务人才</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人</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20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44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质量指标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返聘党史和地方志业务人员专业度</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95</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时效指标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返聘业务人员时间</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8</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月</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44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效益指标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社会效益指标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业务人员完成党史和地方志方面业务工作效果</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定性</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优</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olor w:val="000000"/>
                <w:sz w:val="18"/>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1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可持续影响指标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资政、存史、育人</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定性</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长期</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olor w:val="000000"/>
                <w:sz w:val="18"/>
              </w:rPr>
            </w:pP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15</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15</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344"/>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满意度指标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满意度指标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返聘人员满意度</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95</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449"/>
        </w:trPr>
        <w:tc>
          <w:tcPr>
            <w:tcW w:w="2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7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成本指标</w:t>
            </w:r>
          </w:p>
        </w:tc>
        <w:tc>
          <w:tcPr>
            <w:tcW w:w="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经济成本指标</w:t>
            </w:r>
          </w:p>
        </w:tc>
        <w:tc>
          <w:tcPr>
            <w:tcW w:w="85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党史和地方志业务工作劳务费</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w:t>
            </w:r>
          </w:p>
        </w:tc>
        <w:tc>
          <w:tcPr>
            <w:tcW w:w="27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4</w:t>
            </w:r>
          </w:p>
        </w:tc>
        <w:tc>
          <w:tcPr>
            <w:tcW w:w="30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万元</w:t>
            </w:r>
          </w:p>
        </w:tc>
        <w:tc>
          <w:tcPr>
            <w:tcW w:w="45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100.00%</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3492"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合计</w:t>
            </w:r>
          </w:p>
        </w:tc>
        <w:tc>
          <w:tcPr>
            <w:tcW w:w="265"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100</w:t>
            </w:r>
          </w:p>
        </w:tc>
        <w:tc>
          <w:tcPr>
            <w:tcW w:w="2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SimSun" w:eastAsia="SimSun" w:cs="Arial"/>
                <w:color w:val="000000"/>
                <w:sz w:val="18"/>
              </w:rPr>
            </w:pPr>
            <w:r>
              <w:rPr>
                <w:rFonts w:ascii="SimSun" w:eastAsia="SimSun" w:cs="Arial"/>
                <w:color w:val="000000"/>
                <w:sz w:val="18"/>
              </w:rPr>
              <w:t>100</w:t>
            </w:r>
          </w:p>
        </w:tc>
        <w:tc>
          <w:tcPr>
            <w:tcW w:w="1026"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SimSun" w:eastAsia="SimSun"/>
                <w:color w:val="000000"/>
                <w:sz w:val="18"/>
              </w:rPr>
            </w:pPr>
          </w:p>
        </w:tc>
      </w:tr>
      <w:tr>
        <w:trPr>
          <w:trHeight w:val="59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评价结论</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根据金财监绩[2025]35号文件完成部门整体支出绩效自评，本年度及时解决党史和地方志业务工作劳务经费</w:t>
            </w:r>
          </w:p>
        </w:tc>
      </w:tr>
      <w:tr>
        <w:trPr>
          <w:trHeight w:val="56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存在问题</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629"/>
        </w:trPr>
        <w:tc>
          <w:tcPr>
            <w:tcW w:w="45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Sun" w:eastAsia="SimSun" w:cs="Arial"/>
                <w:color w:val="000000"/>
                <w:sz w:val="18"/>
              </w:rPr>
            </w:pPr>
            <w:r>
              <w:rPr>
                <w:rFonts w:ascii="SimSun" w:eastAsia="SimSun" w:cs="Arial"/>
                <w:color w:val="000000"/>
                <w:sz w:val="18"/>
              </w:rPr>
              <w:t>改进措施</w:t>
            </w:r>
          </w:p>
        </w:tc>
        <w:tc>
          <w:tcPr>
            <w:tcW w:w="4541"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微软雅黑" w:eastAsia="微软雅黑" w:cs="Arial"/>
                <w:b w:val="0"/>
                <w:i/>
                <w:color w:val="000000"/>
                <w:sz w:val="16"/>
              </w:rPr>
            </w:pPr>
            <w:r>
              <w:rPr>
                <w:rFonts w:ascii="微软雅黑" w:eastAsia="微软雅黑" w:cs="Arial"/>
                <w:b w:val="0"/>
                <w:i/>
                <w:color w:val="000000"/>
                <w:sz w:val="16"/>
              </w:rPr>
              <w:t>无</w:t>
            </w:r>
          </w:p>
        </w:tc>
      </w:tr>
      <w:tr>
        <w:trPr>
          <w:trHeight w:val="284"/>
        </w:trPr>
        <w:tc>
          <w:tcPr>
            <w:tcW w:w="2458"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项目负责人：李文涛</w:t>
            </w:r>
          </w:p>
        </w:tc>
        <w:tc>
          <w:tcPr>
            <w:tcW w:w="2541"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simhei" w:eastAsia="simhei" w:cs="Arial" w:hAnsi="simhei"/>
                <w:color w:val="000000"/>
                <w:sz w:val="18"/>
              </w:rPr>
            </w:pPr>
            <w:r>
              <w:rPr>
                <w:rFonts w:ascii="simhei" w:eastAsia="simhei" w:cs="Arial" w:hAnsi="simhei"/>
                <w:color w:val="000000"/>
                <w:sz w:val="18"/>
              </w:rPr>
              <w:t>财务负责人：胡甜甜</w:t>
            </w:r>
          </w:p>
        </w:tc>
      </w:tr>
      <w:tr>
        <w:trPr>
          <w:trHeight w:val="284"/>
        </w:trPr>
        <w:tc>
          <w:tcPr>
            <w:tcW w:w="458" w:type="pct"/>
            <w:tcBorders>
              <w:top w:val="nil"/>
              <w:left w:val="nil"/>
              <w:bottom w:val="nil"/>
              <w:right w:val="nil"/>
              <w:tl2br w:val="nil"/>
              <w:tr2bl w:val="nil"/>
            </w:tcBorders>
            <w:noWrap/>
            <w:vAlign w:val="center"/>
          </w:tcPr>
          <w:p>
            <w:pPr>
              <w:jc w:val="left"/>
              <w:rPr>
                <w:rFonts w:ascii="SimSun" w:eastAsia="SimSun"/>
                <w:color w:val="000000"/>
                <w:sz w:val="18"/>
              </w:rPr>
            </w:pPr>
          </w:p>
        </w:tc>
        <w:tc>
          <w:tcPr>
            <w:tcW w:w="570" w:type="pct"/>
            <w:tcBorders>
              <w:top w:val="nil"/>
              <w:left w:val="nil"/>
              <w:bottom w:val="nil"/>
              <w:right w:val="nil"/>
              <w:tl2br w:val="nil"/>
              <w:tr2bl w:val="nil"/>
            </w:tcBorders>
            <w:noWrap/>
            <w:vAlign w:val="center"/>
          </w:tcPr>
          <w:p>
            <w:pPr>
              <w:jc w:val="left"/>
              <w:rPr>
                <w:rFonts w:ascii="SimSun" w:eastAsia="SimSun"/>
                <w:color w:val="000000"/>
                <w:sz w:val="18"/>
              </w:rPr>
            </w:pPr>
          </w:p>
        </w:tc>
        <w:tc>
          <w:tcPr>
            <w:tcW w:w="294" w:type="pct"/>
            <w:tcBorders>
              <w:top w:val="nil"/>
              <w:left w:val="nil"/>
              <w:bottom w:val="nil"/>
              <w:right w:val="nil"/>
              <w:tl2br w:val="nil"/>
              <w:tr2bl w:val="nil"/>
            </w:tcBorders>
            <w:noWrap/>
            <w:vAlign w:val="center"/>
          </w:tcPr>
          <w:p>
            <w:pPr>
              <w:jc w:val="left"/>
              <w:rPr>
                <w:rFonts w:ascii="SimSun" w:eastAsia="SimSun"/>
                <w:color w:val="000000"/>
                <w:sz w:val="18"/>
              </w:rPr>
            </w:pPr>
          </w:p>
        </w:tc>
        <w:tc>
          <w:tcPr>
            <w:tcW w:w="859" w:type="pct"/>
            <w:tcBorders>
              <w:top w:val="nil"/>
              <w:left w:val="nil"/>
              <w:bottom w:val="nil"/>
              <w:right w:val="nil"/>
              <w:tl2br w:val="nil"/>
              <w:tr2bl w:val="nil"/>
            </w:tcBorders>
            <w:noWrap/>
            <w:vAlign w:val="center"/>
          </w:tcPr>
          <w:p>
            <w:pPr>
              <w:jc w:val="left"/>
              <w:rPr>
                <w:rFonts w:ascii="SimSun" w:eastAsia="SimSun"/>
                <w:color w:val="000000"/>
                <w:sz w:val="18"/>
              </w:rPr>
            </w:pPr>
          </w:p>
        </w:tc>
        <w:tc>
          <w:tcPr>
            <w:tcW w:w="275" w:type="pct"/>
            <w:tcBorders>
              <w:top w:val="nil"/>
              <w:left w:val="nil"/>
              <w:bottom w:val="nil"/>
              <w:right w:val="nil"/>
              <w:tl2br w:val="nil"/>
              <w:tr2bl w:val="nil"/>
            </w:tcBorders>
            <w:noWrap/>
            <w:vAlign w:val="center"/>
          </w:tcPr>
          <w:p>
            <w:pPr>
              <w:jc w:val="left"/>
              <w:rPr>
                <w:rFonts w:ascii="SimSun" w:eastAsia="SimSun"/>
                <w:color w:val="000000"/>
                <w:sz w:val="18"/>
              </w:rPr>
            </w:pPr>
          </w:p>
        </w:tc>
        <w:tc>
          <w:tcPr>
            <w:tcW w:w="275" w:type="pct"/>
            <w:tcBorders>
              <w:top w:val="nil"/>
              <w:left w:val="nil"/>
              <w:bottom w:val="nil"/>
              <w:right w:val="nil"/>
              <w:tl2br w:val="nil"/>
              <w:tr2bl w:val="nil"/>
            </w:tcBorders>
            <w:noWrap/>
            <w:vAlign w:val="center"/>
          </w:tcPr>
          <w:p>
            <w:pPr>
              <w:jc w:val="left"/>
              <w:rPr>
                <w:rFonts w:ascii="SimSun" w:eastAsia="SimSun"/>
                <w:color w:val="000000"/>
                <w:sz w:val="18"/>
              </w:rPr>
            </w:pPr>
          </w:p>
        </w:tc>
        <w:tc>
          <w:tcPr>
            <w:tcW w:w="306" w:type="pct"/>
            <w:tcBorders>
              <w:top w:val="nil"/>
              <w:left w:val="nil"/>
              <w:bottom w:val="nil"/>
              <w:right w:val="nil"/>
              <w:tl2br w:val="nil"/>
              <w:tr2bl w:val="nil"/>
            </w:tcBorders>
            <w:noWrap/>
            <w:vAlign w:val="center"/>
          </w:tcPr>
          <w:p>
            <w:pPr>
              <w:jc w:val="left"/>
              <w:rPr>
                <w:rFonts w:ascii="SimSun" w:eastAsia="SimSun"/>
                <w:color w:val="000000"/>
                <w:sz w:val="18"/>
              </w:rPr>
            </w:pPr>
          </w:p>
        </w:tc>
        <w:tc>
          <w:tcPr>
            <w:tcW w:w="452" w:type="pct"/>
            <w:tcBorders>
              <w:top w:val="nil"/>
              <w:left w:val="nil"/>
              <w:bottom w:val="nil"/>
              <w:right w:val="nil"/>
              <w:tl2br w:val="nil"/>
              <w:tr2bl w:val="nil"/>
            </w:tcBorders>
            <w:noWrap/>
            <w:vAlign w:val="center"/>
          </w:tcPr>
          <w:p>
            <w:pPr>
              <w:jc w:val="left"/>
              <w:rPr>
                <w:rFonts w:ascii="SimSun" w:eastAsia="SimSun"/>
                <w:color w:val="000000"/>
                <w:sz w:val="18"/>
              </w:rPr>
            </w:pPr>
          </w:p>
        </w:tc>
        <w:tc>
          <w:tcPr>
            <w:tcW w:w="265" w:type="pct"/>
            <w:tcBorders>
              <w:top w:val="nil"/>
              <w:left w:val="nil"/>
              <w:bottom w:val="nil"/>
              <w:right w:val="nil"/>
              <w:tl2br w:val="nil"/>
              <w:tr2bl w:val="nil"/>
            </w:tcBorders>
            <w:noWrap/>
            <w:vAlign w:val="center"/>
          </w:tcPr>
          <w:p>
            <w:pPr>
              <w:jc w:val="left"/>
              <w:rPr>
                <w:rFonts w:ascii="SimSun" w:eastAsia="SimSun"/>
                <w:color w:val="000000"/>
                <w:sz w:val="18"/>
              </w:rPr>
            </w:pPr>
          </w:p>
        </w:tc>
        <w:tc>
          <w:tcPr>
            <w:tcW w:w="214" w:type="pct"/>
            <w:tcBorders>
              <w:top w:val="nil"/>
              <w:left w:val="nil"/>
              <w:bottom w:val="nil"/>
              <w:right w:val="nil"/>
              <w:tl2br w:val="nil"/>
              <w:tr2bl w:val="nil"/>
            </w:tcBorders>
            <w:noWrap/>
            <w:vAlign w:val="center"/>
          </w:tcPr>
          <w:p>
            <w:pPr>
              <w:jc w:val="left"/>
              <w:rPr>
                <w:rFonts w:ascii="SimSun" w:eastAsia="SimSun"/>
                <w:color w:val="000000"/>
                <w:sz w:val="18"/>
              </w:rPr>
            </w:pPr>
          </w:p>
        </w:tc>
        <w:tc>
          <w:tcPr>
            <w:tcW w:w="1026" w:type="pct"/>
            <w:tcBorders>
              <w:top w:val="nil"/>
              <w:left w:val="nil"/>
              <w:bottom w:val="nil"/>
              <w:right w:val="nil"/>
              <w:tl2br w:val="nil"/>
              <w:tr2bl w:val="nil"/>
            </w:tcBorders>
            <w:noWrap/>
            <w:vAlign w:val="center"/>
          </w:tcPr>
          <w:p>
            <w:pPr>
              <w:jc w:val="left"/>
              <w:rPr>
                <w:rFonts w:ascii="SimSun" w:eastAsia="SimSun"/>
                <w:color w:val="000000"/>
                <w:sz w:val="18"/>
              </w:rPr>
            </w:pPr>
          </w:p>
        </w:tc>
      </w:tr>
      <w:tr>
        <w:trPr>
          <w:trHeight w:val="284"/>
        </w:trPr>
        <w:tc>
          <w:tcPr>
            <w:tcW w:w="5000" w:type="pct"/>
            <w:gridSpan w:val="11"/>
            <w:tcBorders>
              <w:top w:val="nil"/>
              <w:left w:val="nil"/>
              <w:bottom w:val="nil"/>
              <w:right w:val="nil"/>
              <w:tl2br w:val="nil"/>
              <w:tr2bl w:val="nil"/>
            </w:tcBorders>
            <w:noWrap/>
            <w:vAlign w:val="center"/>
          </w:tcPr>
          <w:p>
            <w:pPr>
              <w:jc w:val="left"/>
              <w:rPr>
                <w:rFonts w:ascii="SimSun" w:eastAsia="SimSun" w:cs="Arial"/>
                <w:color w:val="000000"/>
                <w:sz w:val="18"/>
              </w:rPr>
            </w:pPr>
            <w:r>
              <w:rPr>
                <w:rFonts w:ascii="SimSun" w:eastAsia="SimSun" w:cs="Arial"/>
                <w:color w:val="000000"/>
                <w:sz w:val="18"/>
              </w:rPr>
              <w:t>1、报表说明:该报表查询项目信息、绩效目标信息、预算及执行情况，用于预算单位查询导出开展项目自评。</w:t>
            </w:r>
          </w:p>
        </w:tc>
      </w:tr>
      <w:tr>
        <w:trPr>
          <w:trHeight w:val="284"/>
        </w:trPr>
        <w:tc>
          <w:tcPr>
            <w:tcW w:w="5000" w:type="pct"/>
            <w:gridSpan w:val="11"/>
            <w:tcBorders>
              <w:top w:val="nil"/>
              <w:left w:val="nil"/>
              <w:bottom w:val="nil"/>
              <w:right w:val="nil"/>
              <w:tl2br w:val="nil"/>
              <w:tr2bl w:val="nil"/>
            </w:tcBorders>
            <w:noWrap/>
            <w:vAlign w:val="center"/>
          </w:tcPr>
          <w:p>
            <w:pPr>
              <w:jc w:val="left"/>
              <w:rPr>
                <w:rFonts w:ascii="SimSun" w:eastAsia="SimSun" w:cs="Arial"/>
                <w:color w:val="000000"/>
                <w:sz w:val="18"/>
              </w:rPr>
            </w:pPr>
            <w:r>
              <w:rPr>
                <w:rFonts w:ascii="SimSun" w:eastAsia="SimSun" w:cs="Arial"/>
                <w:color w:val="000000"/>
                <w:sz w:val="18"/>
              </w:rPr>
              <w:t>2、取数口径：部门项目绩效目标表信息，包括年初预算、追加预算、结转预算和调整预算的绩效目标（以项目的最终绩效目标为准）。</w:t>
            </w:r>
          </w:p>
        </w:tc>
      </w:tr>
      <w:tr>
        <w:trPr>
          <w:trHeight w:val="284"/>
        </w:trPr>
        <w:tc>
          <w:tcPr>
            <w:tcW w:w="5000" w:type="pct"/>
            <w:gridSpan w:val="11"/>
            <w:tcBorders>
              <w:top w:val="nil"/>
              <w:left w:val="nil"/>
              <w:bottom w:val="nil"/>
              <w:right w:val="nil"/>
              <w:tl2br w:val="nil"/>
              <w:tr2bl w:val="nil"/>
            </w:tcBorders>
            <w:noWrap/>
            <w:vAlign w:val="center"/>
          </w:tcPr>
          <w:p>
            <w:pPr>
              <w:jc w:val="left"/>
              <w:rPr>
                <w:rFonts w:ascii="SimSun" w:eastAsia="SimSun" w:cs="Arial"/>
                <w:color w:val="000000"/>
                <w:sz w:val="18"/>
              </w:rPr>
            </w:pPr>
            <w:r>
              <w:rPr>
                <w:rFonts w:ascii="SimSun" w:eastAsia="SimSun" w:cs="Arial"/>
                <w:color w:val="000000"/>
                <w:sz w:val="18"/>
              </w:rPr>
              <w:t>适用地区：全省范围</w:t>
            </w:r>
          </w:p>
        </w:tc>
      </w:tr>
      <w:tr>
        <w:trPr>
          <w:trHeight w:val="284"/>
        </w:trPr>
        <w:tc>
          <w:tcPr>
            <w:tcW w:w="5000" w:type="pct"/>
            <w:gridSpan w:val="11"/>
            <w:tcBorders>
              <w:top w:val="nil"/>
              <w:left w:val="nil"/>
              <w:bottom w:val="nil"/>
              <w:right w:val="nil"/>
              <w:tl2br w:val="nil"/>
              <w:tr2bl w:val="nil"/>
            </w:tcBorders>
            <w:noWrap/>
            <w:vAlign w:val="center"/>
          </w:tcPr>
          <w:p>
            <w:pPr>
              <w:jc w:val="left"/>
              <w:rPr>
                <w:rFonts w:ascii="SimSun" w:eastAsia="SimSun" w:cs="Arial"/>
                <w:color w:val="000000"/>
                <w:sz w:val="18"/>
              </w:rPr>
            </w:pPr>
            <w:r>
              <w:rPr>
                <w:rFonts w:ascii="SimSun" w:eastAsia="SimSun" w:cs="Arial"/>
                <w:color w:val="000000"/>
                <w:sz w:val="18"/>
              </w:rPr>
              <w:t>适用用户：部门用户、单位用户</w:t>
            </w: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265"/>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r>
        <w:trPr>
          <w:trHeight w:val="284"/>
        </w:trPr>
        <w:tc>
          <w:tcPr>
            <w:tcW w:w="458" w:type="pct"/>
            <w:tcBorders>
              <w:top w:val="nil"/>
              <w:left w:val="nil"/>
              <w:bottom w:val="nil"/>
              <w:right w:val="nil"/>
              <w:tl2br w:val="nil"/>
              <w:tr2bl w:val="nil"/>
            </w:tcBorders>
            <w:noWrap/>
            <w:vAlign w:val="center"/>
          </w:tcPr>
          <w:p>
            <w:pPr>
              <w:rPr>
                <w:rFonts w:ascii="SimSun" w:eastAsia="SimSun"/>
                <w:color w:val="000000"/>
                <w:sz w:val="18"/>
              </w:rPr>
            </w:pPr>
          </w:p>
        </w:tc>
        <w:tc>
          <w:tcPr>
            <w:tcW w:w="570" w:type="pct"/>
            <w:tcBorders>
              <w:top w:val="nil"/>
              <w:left w:val="nil"/>
              <w:bottom w:val="nil"/>
              <w:right w:val="nil"/>
              <w:tl2br w:val="nil"/>
              <w:tr2bl w:val="nil"/>
            </w:tcBorders>
            <w:noWrap/>
            <w:vAlign w:val="center"/>
          </w:tcPr>
          <w:p>
            <w:pPr>
              <w:rPr>
                <w:rFonts w:ascii="SimSun" w:eastAsia="SimSun"/>
                <w:color w:val="000000"/>
                <w:sz w:val="18"/>
              </w:rPr>
            </w:pPr>
          </w:p>
        </w:tc>
        <w:tc>
          <w:tcPr>
            <w:tcW w:w="294" w:type="pct"/>
            <w:tcBorders>
              <w:top w:val="nil"/>
              <w:left w:val="nil"/>
              <w:bottom w:val="nil"/>
              <w:right w:val="nil"/>
              <w:tl2br w:val="nil"/>
              <w:tr2bl w:val="nil"/>
            </w:tcBorders>
            <w:noWrap/>
            <w:vAlign w:val="center"/>
          </w:tcPr>
          <w:p>
            <w:pPr>
              <w:rPr>
                <w:rFonts w:ascii="SimSun" w:eastAsia="SimSun"/>
                <w:color w:val="000000"/>
                <w:sz w:val="18"/>
              </w:rPr>
            </w:pPr>
          </w:p>
        </w:tc>
        <w:tc>
          <w:tcPr>
            <w:tcW w:w="859"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275" w:type="pct"/>
            <w:tcBorders>
              <w:top w:val="nil"/>
              <w:left w:val="nil"/>
              <w:bottom w:val="nil"/>
              <w:right w:val="nil"/>
              <w:tl2br w:val="nil"/>
              <w:tr2bl w:val="nil"/>
            </w:tcBorders>
            <w:noWrap/>
            <w:vAlign w:val="center"/>
          </w:tcPr>
          <w:p>
            <w:pPr>
              <w:rPr>
                <w:rFonts w:ascii="SimSun" w:eastAsia="SimSun"/>
                <w:color w:val="000000"/>
                <w:sz w:val="18"/>
              </w:rPr>
            </w:pPr>
          </w:p>
        </w:tc>
        <w:tc>
          <w:tcPr>
            <w:tcW w:w="306" w:type="pct"/>
            <w:tcBorders>
              <w:top w:val="nil"/>
              <w:left w:val="nil"/>
              <w:bottom w:val="nil"/>
              <w:right w:val="nil"/>
              <w:tl2br w:val="nil"/>
              <w:tr2bl w:val="nil"/>
            </w:tcBorders>
            <w:noWrap/>
            <w:vAlign w:val="center"/>
          </w:tcPr>
          <w:p>
            <w:pPr>
              <w:rPr>
                <w:rFonts w:ascii="SimSun" w:eastAsia="SimSun"/>
                <w:color w:val="000000"/>
                <w:sz w:val="18"/>
              </w:rPr>
            </w:pPr>
          </w:p>
        </w:tc>
        <w:tc>
          <w:tcPr>
            <w:tcW w:w="452" w:type="pct"/>
            <w:tcBorders>
              <w:top w:val="nil"/>
              <w:left w:val="nil"/>
              <w:bottom w:val="nil"/>
              <w:right w:val="nil"/>
              <w:tl2br w:val="nil"/>
              <w:tr2bl w:val="nil"/>
            </w:tcBorders>
            <w:noWrap/>
            <w:vAlign w:val="center"/>
          </w:tcPr>
          <w:p>
            <w:pPr>
              <w:rPr>
                <w:rFonts w:ascii="SimSun" w:eastAsia="SimSun"/>
                <w:color w:val="000000"/>
                <w:sz w:val="18"/>
              </w:rPr>
            </w:pPr>
          </w:p>
        </w:tc>
        <w:tc>
          <w:tcPr>
            <w:tcW w:w="265" w:type="pct"/>
            <w:tcBorders>
              <w:top w:val="nil"/>
              <w:left w:val="nil"/>
              <w:bottom w:val="nil"/>
              <w:right w:val="nil"/>
              <w:tl2br w:val="nil"/>
              <w:tr2bl w:val="nil"/>
            </w:tcBorders>
            <w:noWrap/>
            <w:vAlign w:val="center"/>
          </w:tcPr>
          <w:p>
            <w:pPr>
              <w:rPr>
                <w:rFonts w:ascii="SimSun" w:eastAsia="SimSun"/>
                <w:color w:val="000000"/>
                <w:sz w:val="18"/>
              </w:rPr>
            </w:pPr>
          </w:p>
        </w:tc>
        <w:tc>
          <w:tcPr>
            <w:tcW w:w="214" w:type="pct"/>
            <w:tcBorders>
              <w:top w:val="nil"/>
              <w:left w:val="nil"/>
              <w:bottom w:val="nil"/>
              <w:right w:val="nil"/>
              <w:tl2br w:val="nil"/>
              <w:tr2bl w:val="nil"/>
            </w:tcBorders>
            <w:noWrap/>
            <w:vAlign w:val="center"/>
          </w:tcPr>
          <w:p>
            <w:pPr>
              <w:rPr>
                <w:rFonts w:ascii="SimSun" w:eastAsia="SimSun"/>
                <w:color w:val="000000"/>
                <w:sz w:val="18"/>
              </w:rPr>
            </w:pPr>
          </w:p>
        </w:tc>
        <w:tc>
          <w:tcPr>
            <w:tcW w:w="1026" w:type="pct"/>
            <w:tcBorders>
              <w:top w:val="nil"/>
              <w:left w:val="nil"/>
              <w:bottom w:val="nil"/>
              <w:right w:val="nil"/>
              <w:tl2br w:val="nil"/>
              <w:tr2bl w:val="nil"/>
            </w:tcBorders>
            <w:noWrap/>
            <w:vAlign w:val="center"/>
          </w:tcPr>
          <w:p>
            <w:pPr>
              <w:rPr>
                <w:rFonts w:ascii="SimSun" w:eastAsia="SimSun"/>
                <w:color w:val="000000"/>
                <w:sz w:val="18"/>
              </w:rPr>
            </w:pPr>
          </w:p>
        </w:tc>
      </w:tr>
    </w:tbl>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仿宋_GB2312" w:hAnsi="Times New Roman" w:hint="eastAsia"/>
          <w:b w:val="0"/>
          <w:bCs w:val="0"/>
          <w:kern w:val="0"/>
          <w:position w:val="0"/>
          <w:sz w:val="32"/>
          <w:szCs w:val="32"/>
          <w:lang w:val="en-US" w:eastAsia="zh-CN" w:bidi="ar-SA"/>
          <w:highlight w:val="auto"/>
        </w:rPr>
      </w:pPr>
      <w:r>
        <w:rPr>
          <w:rFonts w:ascii="Times New Roman" w:eastAsia="仿宋_GB2312" w:cs="仿宋_GB2312" w:hAnsi="Times New Roman" w:hint="eastAsia"/>
          <w:b w:val="0"/>
          <w:bCs w:val="0"/>
          <w:kern w:val="0"/>
          <w:position w:val="0"/>
          <w:sz w:val="32"/>
          <w:szCs w:val="32"/>
          <w:lang w:val="en-US" w:eastAsia="zh-CN" w:bidi="ar-SA"/>
          <w:highlight w:val="auto"/>
        </w:rPr>
        <w:br w:type="page"/>
      </w:r>
    </w:p>
    <w:p>
      <w:pPr>
        <w:widowControl/>
        <w:jc w:val="center"/>
        <w:rPr>
          <w:rFonts w:ascii="Times New Roman" w:eastAsia="仿宋" w:hAnsi="Times New Roman" w:hint="eastAsia"/>
          <w:b w:val="0"/>
          <w:color w:val="auto"/>
          <w:highlight w:val="auto"/>
        </w:rPr>
      </w:pPr>
      <w:r>
        <w:rPr>
          <w:rFonts w:ascii="Times New Roman" w:eastAsia="黑体" w:hAnsi="Times New Roman" w:hint="eastAsia"/>
          <w:color w:val="auto"/>
          <w:sz w:val="44"/>
          <w:szCs w:val="44"/>
          <w:highlight w:val="auto"/>
        </w:rPr>
        <w:t>第</w:t>
      </w:r>
      <w:r>
        <w:rPr>
          <w:rStyle w:val="1Char"/>
          <w:rFonts w:ascii="Times New Roman" w:eastAsia="黑体" w:hAnsi="Times New Roman" w:hint="eastAsia"/>
          <w:b w:val="0"/>
          <w:color w:val="auto"/>
          <w:highlight w:val="auto"/>
        </w:rPr>
        <w:t>五部分 附表</w:t>
      </w:r>
      <w:bookmarkStart w:id="228" w:name="_Toc15396619"/>
      <w:bookmarkEnd w:id="219"/>
      <w:bookmarkEnd w:id="227"/>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一、收入支出决算总表</w:t>
      </w:r>
      <w:bookmarkEnd w:id="228"/>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229" w:name="_Toc15396620"/>
      <w:r>
        <w:rPr>
          <w:rFonts w:ascii="Times New Roman" w:eastAsia="仿宋_GB2312" w:cs="仿宋_GB2312" w:hAnsi="Times New Roman" w:hint="eastAsia"/>
          <w:color w:val="auto"/>
          <w:sz w:val="32"/>
          <w:szCs w:val="32"/>
          <w:highlight w:val="auto"/>
        </w:rPr>
        <w:t>二、收入决算表</w:t>
      </w:r>
      <w:bookmarkEnd w:id="229"/>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230" w:name="_Toc15396621"/>
      <w:r>
        <w:rPr>
          <w:rFonts w:ascii="Times New Roman" w:eastAsia="仿宋_GB2312" w:cs="仿宋_GB2312" w:hAnsi="Times New Roman" w:hint="eastAsia"/>
          <w:color w:val="auto"/>
          <w:sz w:val="32"/>
          <w:szCs w:val="32"/>
          <w:highlight w:val="auto"/>
        </w:rPr>
        <w:t>三、支出决算表</w:t>
      </w:r>
      <w:bookmarkEnd w:id="230"/>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231" w:name="_Toc15396622"/>
      <w:r>
        <w:rPr>
          <w:rFonts w:ascii="Times New Roman" w:eastAsia="仿宋_GB2312" w:cs="仿宋_GB2312" w:hAnsi="Times New Roman" w:hint="eastAsia"/>
          <w:color w:val="auto"/>
          <w:sz w:val="32"/>
          <w:szCs w:val="32"/>
          <w:highlight w:val="auto"/>
        </w:rPr>
        <w:t>四、财政拨款收入支出决算总表</w:t>
      </w:r>
      <w:bookmarkEnd w:id="231"/>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232" w:name="_Toc15396623"/>
      <w:r>
        <w:rPr>
          <w:rFonts w:ascii="Times New Roman" w:eastAsia="仿宋_GB2312" w:cs="仿宋_GB2312" w:hAnsi="Times New Roman" w:hint="eastAsia"/>
          <w:color w:val="auto"/>
          <w:sz w:val="32"/>
          <w:szCs w:val="32"/>
          <w:highlight w:val="auto"/>
        </w:rPr>
        <w:t>五、财政拨款支出决算明细表</w:t>
      </w:r>
      <w:bookmarkStart w:id="233" w:name="_Toc15396624"/>
      <w:bookmarkEnd w:id="232"/>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六、一般公共预算财政拨款支出决算表</w:t>
      </w:r>
      <w:bookmarkEnd w:id="233"/>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234" w:name="_Toc15396625"/>
      <w:r>
        <w:rPr>
          <w:rFonts w:ascii="Times New Roman" w:eastAsia="仿宋_GB2312" w:cs="仿宋_GB2312" w:hAnsi="Times New Roman" w:hint="eastAsia"/>
          <w:color w:val="auto"/>
          <w:sz w:val="32"/>
          <w:szCs w:val="32"/>
          <w:highlight w:val="auto"/>
        </w:rPr>
        <w:t>七、一般公共预算财政拨款支出决算明细表</w:t>
      </w:r>
      <w:bookmarkEnd w:id="234"/>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235" w:name="_Toc15396626"/>
      <w:r>
        <w:rPr>
          <w:rFonts w:ascii="Times New Roman" w:eastAsia="仿宋_GB2312" w:cs="仿宋_GB2312" w:hAnsi="Times New Roman" w:hint="eastAsia"/>
          <w:color w:val="auto"/>
          <w:sz w:val="32"/>
          <w:szCs w:val="32"/>
          <w:highlight w:val="auto"/>
        </w:rPr>
        <w:t>八、一般公共预算财政拨款基本支出决算表</w:t>
      </w:r>
      <w:bookmarkEnd w:id="235"/>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236" w:name="_Toc15396627"/>
      <w:r>
        <w:rPr>
          <w:rFonts w:ascii="Times New Roman" w:eastAsia="仿宋_GB2312" w:cs="仿宋_GB2312" w:hAnsi="Times New Roman" w:hint="eastAsia"/>
          <w:color w:val="auto"/>
          <w:sz w:val="32"/>
          <w:szCs w:val="32"/>
          <w:highlight w:val="auto"/>
        </w:rPr>
        <w:t>九、一般公共预算财政拨款项目支出决算表</w:t>
      </w:r>
      <w:bookmarkEnd w:id="236"/>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237" w:name="_Toc15396628"/>
      <w:r>
        <w:rPr>
          <w:rFonts w:ascii="Times New Roman" w:eastAsia="仿宋_GB2312" w:cs="仿宋_GB2312" w:hAnsi="Times New Roman" w:hint="eastAsia"/>
          <w:color w:val="auto"/>
          <w:sz w:val="32"/>
          <w:szCs w:val="32"/>
          <w:highlight w:val="auto"/>
        </w:rPr>
        <w:t>十、</w:t>
      </w:r>
      <w:bookmarkEnd w:id="237"/>
      <w:r>
        <w:rPr>
          <w:rFonts w:ascii="Times New Roman" w:eastAsia="仿宋_GB2312" w:cs="仿宋_GB2312" w:hAnsi="Times New Roman" w:hint="eastAsia"/>
          <w:color w:val="auto"/>
          <w:sz w:val="32"/>
          <w:szCs w:val="32"/>
          <w:highlight w:val="auto"/>
        </w:rPr>
        <w:t>政府性基金预算财政拨款收入支出决算表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238" w:name="_Toc15396629"/>
      <w:r>
        <w:rPr>
          <w:rFonts w:ascii="Times New Roman" w:eastAsia="仿宋_GB2312" w:cs="仿宋_GB2312" w:hAnsi="Times New Roman" w:hint="eastAsia"/>
          <w:color w:val="auto"/>
          <w:sz w:val="32"/>
          <w:szCs w:val="32"/>
          <w:highlight w:val="auto"/>
        </w:rPr>
        <w:t>十一、</w:t>
      </w:r>
      <w:bookmarkEnd w:id="238"/>
      <w:r>
        <w:rPr>
          <w:rFonts w:ascii="Times New Roman" w:eastAsia="仿宋_GB2312" w:cs="仿宋_GB2312" w:hAnsi="Times New Roman" w:hint="eastAsia"/>
          <w:color w:val="auto"/>
          <w:sz w:val="32"/>
          <w:szCs w:val="32"/>
          <w:highlight w:val="auto"/>
        </w:rPr>
        <w:t>国有资本经营预算</w:t>
      </w:r>
      <w:r>
        <w:rPr>
          <w:rFonts w:ascii="Times New Roman" w:eastAsia="仿宋_GB2312" w:cs="仿宋_GB2312" w:hAnsi="Times New Roman" w:hint="eastAsia"/>
          <w:color w:val="auto"/>
          <w:sz w:val="32"/>
          <w:szCs w:val="32"/>
          <w:lang w:eastAsia="zh-CN"/>
          <w:highlight w:val="auto"/>
        </w:rPr>
        <w:t>财政拨款收入</w:t>
      </w:r>
      <w:r>
        <w:rPr>
          <w:rFonts w:ascii="Times New Roman" w:eastAsia="仿宋_GB2312" w:cs="仿宋_GB2312" w:hAnsi="Times New Roman" w:hint="eastAsia"/>
          <w:color w:val="auto"/>
          <w:sz w:val="32"/>
          <w:szCs w:val="32"/>
          <w:highlight w:val="auto"/>
        </w:rPr>
        <w:t>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239" w:name="_Toc15396630"/>
      <w:r>
        <w:rPr>
          <w:rFonts w:ascii="Times New Roman" w:eastAsia="仿宋_GB2312" w:cs="仿宋_GB2312" w:hAnsi="Times New Roman" w:hint="eastAsia"/>
          <w:color w:val="auto"/>
          <w:sz w:val="32"/>
          <w:szCs w:val="32"/>
          <w:highlight w:val="auto"/>
        </w:rPr>
        <w:t>十二、</w:t>
      </w:r>
      <w:bookmarkEnd w:id="239"/>
      <w:r>
        <w:rPr>
          <w:rFonts w:ascii="Times New Roman" w:eastAsia="仿宋_GB2312" w:cs="仿宋_GB2312" w:hAnsi="Times New Roman" w:hint="eastAsia"/>
          <w:color w:val="auto"/>
          <w:sz w:val="32"/>
          <w:szCs w:val="32"/>
          <w:lang w:eastAsia="zh-CN"/>
          <w:highlight w:val="auto"/>
        </w:rPr>
        <w:t>国有资本经营预算财政拨款支出决算表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lang w:eastAsia="zh-CN"/>
          <w:highlight w:val="auto"/>
        </w:rPr>
      </w:pPr>
      <w:bookmarkStart w:id="240" w:name="_Toc15396631"/>
      <w:r>
        <w:rPr>
          <w:rFonts w:ascii="Times New Roman" w:eastAsia="仿宋_GB2312" w:cs="仿宋_GB2312" w:hAnsi="Times New Roman" w:hint="eastAsia"/>
          <w:color w:val="auto"/>
          <w:sz w:val="32"/>
          <w:szCs w:val="32"/>
          <w:highlight w:val="auto"/>
        </w:rPr>
        <w:t>十三、</w:t>
      </w:r>
      <w:bookmarkEnd w:id="240"/>
      <w:r>
        <w:rPr>
          <w:rFonts w:ascii="Times New Roman" w:eastAsia="仿宋_GB2312" w:cs="仿宋_GB2312" w:hAnsi="Times New Roman" w:hint="eastAsia"/>
          <w:color w:val="auto"/>
          <w:sz w:val="32"/>
          <w:szCs w:val="32"/>
          <w:lang w:eastAsia="zh-CN"/>
          <w:highlight w:val="auto"/>
        </w:rPr>
        <w:t>财政拨款“三公”经费支出决算表</w:t>
      </w:r>
    </w:p>
    <w:p>
      <w:pPr>
        <w:rPr>
          <w:rFonts w:ascii="Times New Roman" w:hAnsi="Times New Roman" w:hint="eastAsia"/>
          <w:lang w:eastAsia="zh-CN"/>
        </w:rPr>
      </w:pPr>
    </w:p>
    <w:sectPr>
      <w:footerReference w:type="default" r:id="rId4"/>
      <w:footerReference w:type="first" r:id="rId5"/>
      <w:pgSz w:w="11906" w:h="16838"/>
      <w:pgMar w:top="1440" w:right="1800" w:bottom="1440" w:left="1800"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1"/>
    <w:family w:val="auto"/>
    <w:pitch w:val="variable"/>
    <w:sig w:usb0="E0002EFF" w:usb1="C000785B" w:usb2="00000009" w:usb3="00000000" w:csb0="400001FF" w:csb1="FFFF0000"/>
  </w:font>
  <w:font w:name="方正小标宋简体">
    <w:panose1 w:val="03000509000000000000"/>
    <w:charset w:val="86"/>
    <w:family w:val="script"/>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panose1 w:val="02010600030101010101"/>
    <w:charset w:val="86"/>
    <w:family w:val="auto"/>
    <w:pitch w:val="variable"/>
    <w:sig w:usb0="800002BF" w:usb1="38CF7CFA" w:usb2="00000016" w:usb3="00000000" w:csb0="00040001" w:csb1="00000000"/>
  </w:font>
  <w:font w:name="Arial">
    <w:panose1 w:val="020B0604020202020204"/>
    <w:charset w:val="01"/>
    <w:family w:val="swiss"/>
    <w:pitch w:val="variable"/>
    <w:sig w:usb0="E0002EFF" w:usb1="C000785B" w:usb2="00000009" w:usb3="00000000" w:csb0="400001FF" w:csb1="FFFF0000"/>
  </w:font>
  <w:font w:name="楷体_GB2312">
    <w:altName w:val="楷体"/>
    <w:panose1 w:val="02010609030101010101"/>
    <w:charset w:val="86"/>
    <w:family w:val="auto"/>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Calibri">
    <w:panose1 w:val="020F0502020204030204"/>
    <w:charset w:val="00"/>
    <w:family w:val="swiss"/>
    <w:pitch w:val="variable"/>
    <w:sig w:usb0="E4002EFF" w:usb1="C000247B" w:usb2="00000009" w:usb3="00000000" w:csb0="200001FF" w:csb1="00000000"/>
  </w:font>
  <w:font w:name="楷体">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SimSun">
    <w:panose1 w:val="00000000000000000000"/>
    <w:charset w:val="00"/>
    <w:family w:val="auto"/>
    <w:pitch w:val="variable"/>
    <w:sig w:usb0="00000000" w:usb1="00000000" w:usb2="00000000" w:usb3="00000000" w:csb0="00000000" w:csb1="00000000"/>
  </w:font>
  <w:font w:name="simhei">
    <w:altName w:val="Times New Roman"/>
    <w:panose1 w:val="00000000000000000000"/>
    <w:charset w:val="00"/>
    <w:family w:val="auto"/>
    <w:pitch w:val="variable"/>
    <w:sig w:usb0="00000000" w:usb1="00000000" w:usb2="00000000" w:usb3="00000000" w:csb0="00000000" w:csb1="00000000"/>
  </w:font>
  <w:font w:name="微软雅黑">
    <w:panose1 w:val="020B0503020204020204"/>
    <w:charset w:val="86"/>
    <w:family w:val="auto"/>
    <w:pitch w:val="variable"/>
    <w:sig w:usb0="80000287" w:usb1="280F3C52" w:usb2="00000016" w:usb3="00000000" w:csb0="0004001F" w:csb1="00000000"/>
  </w:font>
  <w:font w:name="Cambria">
    <w:panose1 w:val="02040503050406030204"/>
    <w:charset w:val="00"/>
    <w:family w:val="roman"/>
    <w:pitch w:val="variable"/>
    <w:sig w:usb0="E00006FF" w:usb1="420024FF" w:usb2="02000000" w:usb3="00000000" w:csb0="2000019F" w:csb1="00000000"/>
  </w:font>
  <w:font w:name="??">
    <w:altName w:val="Segoe Print"/>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p>
  <w:p>
    <w:pPr>
      <w:pStyle w:val="21"/>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r>
      <w:fldChar w:fldCharType="begin"/>
    </w:r>
    <w:r>
      <w:instrText>Page</w:instrText>
    </w:r>
    <w:r>
      <w:fldChar w:fldCharType="separate"/>
    </w:r>
    <w:r>
      <w:t>- 2 -</w:t>
    </w:r>
    <w:r>
      <w:fldChar w:fldCharType="end"/>
    </w:r>
  </w:p>
  <w:p>
    <w:pPr>
      <w:pStyle w:val="21"/>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D523DEB"/>
    <w:multiLevelType w:val="hybridMultilevel"/>
    <w:tmpl w:val="00000000"/>
    <w:lvl w:ilvl="0">
      <w:start w:val="1"/>
      <w:numFmt w:val="chineseCountingThousand"/>
      <w:lvlRestart w:val="0"/>
      <w:lvlText w:val="%1、"/>
      <w:lvlJc w:val="left"/>
      <w:pPr>
        <w:ind w:left="640" w:hanging="640"/>
      </w:pPr>
      <w:rPr>
        <w:rFonts w:eastAsia="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8C0E9B3"/>
    <w:multiLevelType w:val="singleLevel"/>
    <w:tmpl w:val="38C0E9B3"/>
    <w:lvl w:ilvl="0">
      <w:start w:val="2"/>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footnote text"/>
    <w:basedOn w:val="0"/>
    <w:next w:val="17"/>
    <w:pPr>
      <w:snapToGrid w:val="0"/>
      <w:jc w:val="left"/>
    </w:pPr>
    <w:rPr>
      <w:sz w:val="18"/>
      <w:szCs w:val="18"/>
    </w:rPr>
  </w:style>
  <w:style w:type="paragraph" w:styleId="16">
    <w:name w:val="Body Text Indent"/>
    <w:basedOn w:val="0"/>
    <w:next w:val="17"/>
    <w:pPr>
      <w:spacing w:after="120"/>
      <w:ind w:leftChars="200" w:left="200"/>
    </w:pPr>
    <w:rPr>
      <w:rFonts w:ascii="仿宋_GB2312" w:hAnsi="仿宋_GB2312"/>
      <w:szCs w:val="32"/>
    </w:rPr>
  </w:style>
  <w:style w:type="paragraph" w:styleId="17">
    <w:name w:val="Body Text First Indent 2"/>
    <w:basedOn w:val="16"/>
    <w:pPr>
      <w:ind w:firstLineChars="200" w:firstLine="200"/>
    </w:pPr>
  </w:style>
  <w:style w:type="paragraph" w:styleId="18">
    <w:name w:val="Body Text"/>
    <w:basedOn w:val="0"/>
    <w:pPr>
      <w:spacing w:beforeLines="30" w:before="30"/>
    </w:pPr>
    <w:rPr>
      <w:rFonts w:ascii="仿宋_GB2312" w:eastAsia="仿宋_GB2312"/>
      <w:kern w:val="0"/>
      <w:sz w:val="30"/>
    </w:rPr>
  </w:style>
  <w:style w:type="paragraph" w:styleId="19">
    <w:name w:val="toc 3"/>
    <w:pPr>
      <w:ind w:left="420"/>
      <w:jc w:val="left"/>
    </w:pPr>
    <w:rPr>
      <w:b w:val="0"/>
      <w:i/>
      <w:sz w:val="20"/>
    </w:r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pPr>
      <w:spacing w:before="120" w:after="120"/>
      <w:ind w:left="0"/>
      <w:jc w:val="left"/>
    </w:pPr>
    <w:rPr>
      <w:b/>
      <w:i w:val="0"/>
      <w:caps/>
      <w:smallCaps w:val="0"/>
      <w:sz w:val="20"/>
    </w:rPr>
  </w:style>
  <w:style w:type="paragraph" w:styleId="24">
    <w:name w:val="toc 2"/>
    <w:pPr>
      <w:ind w:left="210"/>
      <w:jc w:val="left"/>
    </w:pPr>
    <w:rPr>
      <w:caps w:val="0"/>
      <w:smallCaps/>
      <w:sz w:val="20"/>
    </w:rPr>
  </w:style>
  <w:style w:type="character" w:styleId="25">
    <w:name w:val="Strong"/>
    <w:basedOn w:val="0"/>
    <w:rPr>
      <w:b/>
    </w:rPr>
  </w:style>
  <w:style w:type="character" w:styleId="26">
    <w:name w:val="Hyperlink"/>
    <w:basedOn w:val="10"/>
    <w:rPr>
      <w:color w:val="0000FF"/>
      <w:u w:val="single"/>
    </w:rPr>
  </w:style>
  <w:style w:type="paragraph" w:customStyle="1" w:styleId="27">
    <w:name w:val="标题 5（有编号）（绿盟科技）"/>
    <w:next w:val="0"/>
    <w:pPr>
      <w:keepNext/>
      <w:keepLines/>
      <w:widowControl w:val="0"/>
      <w:spacing w:before="280" w:after="156" w:line="377" w:lineRule="auto"/>
      <w:jc w:val="left"/>
      <w:outlineLvl w:val="4"/>
    </w:pPr>
    <w:rPr>
      <w:rFonts w:ascii="Arial" w:eastAsia="黑体" w:cs="Times New Roman" w:hAnsi="Arial"/>
      <w:b/>
      <w:kern w:val="2"/>
      <w:sz w:val="24"/>
      <w:szCs w:val="28"/>
      <w:lang w:val="en-US" w:eastAsia="zh-CN" w:bidi="ar-SA"/>
    </w:r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next w:val="27"/>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4">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5">
    <w:name w:val="四号正文"/>
    <w:basedOn w:val="0"/>
    <w:pPr>
      <w:spacing w:line="360" w:lineRule="auto"/>
    </w:pPr>
    <w:rPr>
      <w:rFonts w:ascii="??" w:eastAsia="宋体" w:hAnsi="??"/>
      <w:color w:val="000000"/>
      <w:kern w:val="0"/>
      <w:sz w:val="28"/>
      <w:szCs w:val="21"/>
      <w:lang w:val="zh-CN" w:eastAsia="zh-CN"/>
    </w:rPr>
  </w:style>
  <w:style w:type="paragraph" w:styleId="36">
    <w:name w:val="Normal (Web)"/>
    <w:next w:val="18"/>
    <w:pPr>
      <w:widowControl w:val="0"/>
      <w:jc w:val="left"/>
    </w:pPr>
    <w:rPr>
      <w:rFonts w:ascii="Times New Roman" w:eastAsia="仿宋_GB2312" w:cs="Times New Roman" w:hAnsi="Times New Roman"/>
      <w:kern w:val="0"/>
      <w:sz w:val="24"/>
      <w:szCs w:val="32"/>
      <w:lang w:val="en-US" w:eastAsia="zh-CN" w:bidi="ar-SA"/>
    </w:rPr>
  </w:style>
  <w:style w:type="paragraph" w:styleId="42">
    <w:name w:val="toc 4"/>
    <w:autoRedefine/>
    <w:pPr>
      <w:ind w:left="630"/>
      <w:jc w:val="left"/>
    </w:pPr>
    <w:rPr>
      <w:sz w:val="18"/>
    </w:rPr>
  </w:style>
  <w:style w:type="paragraph" w:styleId="43">
    <w:name w:val="toc 5"/>
    <w:autoRedefine/>
    <w:pPr>
      <w:ind w:left="840"/>
      <w:jc w:val="left"/>
    </w:pPr>
    <w:rPr>
      <w:sz w:val="18"/>
    </w:rPr>
  </w:style>
  <w:style w:type="paragraph" w:styleId="44">
    <w:name w:val="toc 6"/>
    <w:autoRedefine/>
    <w:pPr>
      <w:ind w:left="1050"/>
      <w:jc w:val="left"/>
    </w:pPr>
    <w:rPr>
      <w:sz w:val="18"/>
    </w:rPr>
  </w:style>
  <w:style w:type="paragraph" w:styleId="45">
    <w:name w:val="toc 7"/>
    <w:autoRedefine/>
    <w:pPr>
      <w:ind w:left="1260"/>
      <w:jc w:val="left"/>
    </w:pPr>
    <w:rPr>
      <w:sz w:val="18"/>
    </w:rPr>
  </w:style>
  <w:style w:type="paragraph" w:styleId="46">
    <w:name w:val="toc 8"/>
    <w:autoRedefine/>
    <w:pPr>
      <w:ind w:left="1470"/>
      <w:jc w:val="left"/>
    </w:pPr>
    <w:rPr>
      <w:sz w:val="18"/>
    </w:rPr>
  </w:style>
  <w:style w:type="paragraph" w:styleId="47">
    <w:name w:val="toc 9"/>
    <w:autoRedefine/>
    <w:pPr>
      <w:ind w:left="1680"/>
      <w:jc w:val="left"/>
    </w:pPr>
    <w:rPr>
      <w:sz w:val="18"/>
    </w:rPr>
  </w:style>
  <w:style w:type="character" w:styleId="55">
    <w:name w:val="footnote reference"/>
    <w:basedOn w:val="10"/>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image" Target="media/2.bmp"/><Relationship Id="rId7" Type="http://schemas.openxmlformats.org/officeDocument/2006/relationships/image" Target="media/5.bmp"/><Relationship Id="rId8" Type="http://schemas.openxmlformats.org/officeDocument/2006/relationships/image" Target="media/8.bmp"/><Relationship Id="rId9" Type="http://schemas.openxmlformats.org/officeDocument/2006/relationships/image" Target="media/2.bmp"/><Relationship Id="rId10" Type="http://schemas.openxmlformats.org/officeDocument/2006/relationships/image" Target="media/13.bmp"/><Relationship Id="rId11" Type="http://schemas.openxmlformats.org/officeDocument/2006/relationships/image" Target="media/16.bmp"/><Relationship Id="rId12" Type="http://schemas.openxmlformats.org/officeDocument/2006/relationships/image" Target="media/19.bmp"/><Relationship Id="rId13" Type="http://schemas.openxmlformats.org/officeDocument/2006/relationships/styles" Target="styles.xml"/><Relationship Id="rId14" Type="http://schemas.openxmlformats.org/officeDocument/2006/relationships/numbering" Target="numbering.xml"/><Relationship Id="rId15" Type="http://schemas.openxmlformats.org/officeDocument/2006/relationships/fontTable" Target="fontTable.xml"/></Relationships>
</file>

<file path=docProps/app.xml><?xml version="1.0" encoding="utf-8"?>
<Properties xmlns="http://schemas.openxmlformats.org/officeDocument/2006/extended-properties">
  <Template>Normal.eit</Template>
  <TotalTime>262</TotalTime>
  <Application>Yozo_Office27021597764231179</Application>
  <Pages>60</Pages>
  <Words>28472</Words>
  <Characters>33264</Characters>
  <Lines>5594</Lines>
  <Paragraphs>3598</Paragraphs>
  <CharactersWithSpaces>33447</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Administrator</cp:lastModifiedBy>
  <cp:revision>32</cp:revision>
  <cp:lastPrinted>2025-08-06T17:34:00Z</cp:lastPrinted>
  <dcterms:created xsi:type="dcterms:W3CDTF">2020-08-09T09:49:00Z</dcterms:created>
  <dcterms:modified xsi:type="dcterms:W3CDTF">2025-08-27T02:15:17Z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2052-11.8.2.11718</vt:lpwstr>
  </property>
  <property fmtid="{D5CDD505-2E9C-101B-9397-08002B2CF9AE}" pid="3" name="ICV">
    <vt:lpwstr>04787F2533EB45DC91BCDE4AB213247F</vt:lpwstr>
  </property>
</Properties>
</file>