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1A76CD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2025年金川县党史研究和地方志编纂中心部门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预算绩效目标情况说明</w:t>
      </w:r>
    </w:p>
    <w:p w14:paraId="5BBF73CF">
      <w:pPr>
        <w:pStyle w:val="2"/>
        <w:jc w:val="left"/>
      </w:pPr>
    </w:p>
    <w:p w14:paraId="184D6B6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116.28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万元 ，均严格按绩效管理要求实现项目绩效目标管理，其中重点项目预算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个，现将情况说明如下：</w:t>
      </w:r>
    </w:p>
    <w:p w14:paraId="42C69AD0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2B885633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个项目预算绩效目标申报，并编报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个项目预算事前绩效评估报告。</w:t>
      </w:r>
    </w:p>
    <w:p w14:paraId="3A7BCB0C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36250C7D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认真贯彻执行县委、县政府各项决议决定。二是编纂出版《中国共产党金川县执政实录》（2024）卷。三是编纂出版精品年鉴《金川年鉴》（2025）卷。四是拍摄《德胜村的好女儿—追忆金川驻村书记何小青同志》党史短视频。五是按照州地方志统一安排继续推进16个乡镇志、村志的编纂出版工作。六是编纂出版《金川县扶贫志》。七是编纂出版《党史》（1935年—1978年）。八是完成县委、县政府以及州委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党史研究室、州地方志办安排的其他工作。</w:t>
      </w:r>
    </w:p>
    <w:p w14:paraId="25D33ACF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077E83A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重点项目:日常公用经费。</w:t>
      </w:r>
    </w:p>
    <w:p w14:paraId="55DFA56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项目年度绩效目标：提高预算编制质量，严格执行预算，保障单位日常运转。</w:t>
      </w:r>
    </w:p>
    <w:p w14:paraId="5E643BD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绩效指标设置情况：细化指标2个，包括产出指标、效益指标。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64FB0A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442</Words>
  <Characters>469</Characters>
  <Lines>25</Lines>
  <Paragraphs>10</Paragraphs>
  <TotalTime>60</TotalTime>
  <ScaleCrop>false</ScaleCrop>
  <LinksUpToDate>false</LinksUpToDate>
  <CharactersWithSpaces>470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2023-02-06T14:46:00Z</dcterms:created>
  <dc:creator>Administrator</dc:creator>
  <cp:lastModifiedBy>Tom</cp:lastModifiedBy>
  <dcterms:modified xsi:type="dcterms:W3CDTF">2025-03-04T05:10:21Z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2D4682B66FAA8D4C1439B467DBB68C10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