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F1E94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工商联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33BE0F80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5EAD4CE8">
      <w:pPr>
        <w:pStyle w:val="5"/>
        <w:jc w:val="left"/>
      </w:pPr>
      <w:bookmarkStart w:id="0" w:name="_GoBack"/>
      <w:bookmarkEnd w:id="0"/>
    </w:p>
    <w:p w14:paraId="588D9A5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2026年，我单位部门预算78.42万元 ，均严格按绩效管理要求实现项目绩效目标管理，无重点项目预算，现将情况说明如下：</w:t>
      </w:r>
    </w:p>
    <w:p w14:paraId="7CFC4B06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9D2CE78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完成了2026年本级部门预算整体绩效目标申报，无重点项目预算绩效目标申报。</w:t>
      </w:r>
    </w:p>
    <w:p w14:paraId="2BC9416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4D4EC79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1、做好“城乡结对共建”活动，深入学习习近平总书记系列重要讲话精神宣讲。2、召开成都金川商会“情系家乡话发展”迎春茶花会； 3、加强对成都金川商会指导工作，协调组建商会发展公司；4、做好社会扶贫推进协调服务，积极与成都金川商会对接，让商会会员积极参与对口帮扶；5、加强非公企业调研，及时向县委县政府提出合理化建议；为会员提供培训，建立交流考察平台；6、运营好‘金川商会’公众号；7、加强非公经济理论宣传、信息工作，进一步提升工作水平，同时加强部门自身建设。8、加强非公企业党建工作。</w:t>
      </w:r>
    </w:p>
    <w:p w14:paraId="34FD4537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5EFCA5B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无重点项目预算绩效目标。</w:t>
      </w:r>
    </w:p>
    <w:p w14:paraId="77BD3E0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32468BC"/>
    <w:rsid w:val="13DC221F"/>
    <w:rsid w:val="798B1A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395</Words>
  <Characters>408</Characters>
  <Lines>22</Lines>
  <Paragraphs>9</Paragraphs>
  <TotalTime>1</TotalTime>
  <ScaleCrop>false</ScaleCrop>
  <LinksUpToDate>false</LinksUpToDate>
  <CharactersWithSpaces>410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君</cp:lastModifiedBy>
  <dcterms:modified xsi:type="dcterms:W3CDTF">2026-03-11T03:25:34Z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eyJoZGlkIjoiZmI5ZjViYTRjZGIxZDJjZjQ2MmM1ZDIwMzA0YWRhNzMiLCJ1c2VySWQiOiI3OTgwMDc1ODkifQ==</vt:lpwstr>
  </property>
  <property fmtid="{D5CDD505-2E9C-101B-9397-08002B2CF9AE}" pid="4" name="ICV">
    <vt:lpwstr>E467F5641938424CA778643DB060A83D_13</vt:lpwstr>
  </property>
</Properties>
</file>