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7DD0E">
      <w:pPr>
        <w:pStyle w:val="8"/>
        <w:spacing w:before="0" w:after="0"/>
        <w:jc w:val="center"/>
        <w:rPr>
          <w:rFonts w:ascii="宋体" w:hAnsi="宋体" w:eastAsia="宋体" w:cs="宋体"/>
          <w:sz w:val="36"/>
          <w:szCs w:val="36"/>
        </w:rPr>
      </w:pPr>
    </w:p>
    <w:p w14:paraId="1E5E61C6">
      <w:pPr>
        <w:jc w:val="center"/>
        <w:rPr>
          <w:rFonts w:hint="eastAsia" w:ascii="黑体"/>
          <w:sz w:val="72"/>
          <w:szCs w:val="72"/>
          <w:lang w:val="en-US" w:eastAsia="zh-CN"/>
        </w:rPr>
      </w:pPr>
    </w:p>
    <w:p w14:paraId="7F2F2453">
      <w:pPr>
        <w:jc w:val="center"/>
        <w:rPr>
          <w:rFonts w:hint="eastAsia" w:ascii="黑体"/>
          <w:sz w:val="72"/>
          <w:szCs w:val="72"/>
          <w:lang w:val="en-US" w:eastAsia="zh-CN"/>
        </w:rPr>
      </w:pPr>
    </w:p>
    <w:p w14:paraId="5B03F268">
      <w:pPr>
        <w:jc w:val="center"/>
        <w:rPr>
          <w:rFonts w:hint="eastAsia" w:ascii="黑体"/>
          <w:sz w:val="72"/>
          <w:szCs w:val="72"/>
          <w:lang w:val="en-US" w:eastAsia="zh-CN"/>
        </w:rPr>
      </w:pPr>
    </w:p>
    <w:p w14:paraId="0FF2FD96">
      <w:pPr>
        <w:jc w:val="center"/>
        <w:rPr>
          <w:rFonts w:ascii="黑体"/>
          <w:sz w:val="72"/>
          <w:szCs w:val="72"/>
        </w:rPr>
      </w:pPr>
      <w:r>
        <w:rPr>
          <w:rFonts w:hint="eastAsia" w:ascii="黑体"/>
          <w:sz w:val="72"/>
          <w:szCs w:val="72"/>
          <w:lang w:val="en-US" w:eastAsia="zh-CN"/>
        </w:rPr>
        <w:t>2024</w:t>
      </w:r>
      <w:r>
        <w:rPr>
          <w:rFonts w:hint="eastAsia" w:ascii="黑体"/>
          <w:sz w:val="72"/>
          <w:szCs w:val="72"/>
        </w:rPr>
        <w:t>年度</w:t>
      </w:r>
    </w:p>
    <w:p w14:paraId="25B69ADC">
      <w:pPr>
        <w:jc w:val="center"/>
        <w:rPr>
          <w:rFonts w:hint="eastAsia" w:ascii="黑体" w:eastAsia="宋体"/>
          <w:sz w:val="72"/>
          <w:szCs w:val="72"/>
          <w:lang w:val="en-US" w:eastAsia="zh-CN"/>
        </w:rPr>
      </w:pPr>
      <w:r>
        <w:rPr>
          <w:rFonts w:hint="eastAsia" w:ascii="黑体"/>
          <w:sz w:val="72"/>
          <w:szCs w:val="72"/>
        </w:rPr>
        <w:t>金川县</w:t>
      </w:r>
      <w:r>
        <w:rPr>
          <w:rFonts w:hint="eastAsia" w:ascii="黑体" w:eastAsia="宋体"/>
          <w:sz w:val="72"/>
          <w:szCs w:val="72"/>
          <w:lang w:val="en-US" w:eastAsia="zh-CN"/>
        </w:rPr>
        <w:t>工商业联合会</w:t>
      </w:r>
    </w:p>
    <w:p w14:paraId="641CD8D7">
      <w:pPr>
        <w:jc w:val="center"/>
        <w:rPr>
          <w:rFonts w:ascii="黑体"/>
          <w:sz w:val="72"/>
          <w:szCs w:val="72"/>
        </w:rPr>
      </w:pPr>
      <w:r>
        <w:rPr>
          <w:rFonts w:hint="eastAsia" w:ascii="黑体"/>
          <w:sz w:val="72"/>
          <w:szCs w:val="72"/>
        </w:rPr>
        <w:t>部门决算</w:t>
      </w:r>
    </w:p>
    <w:p w14:paraId="146AFD6A">
      <w:pPr>
        <w:jc w:val="center"/>
        <w:rPr>
          <w:rFonts w:ascii="黑体"/>
          <w:sz w:val="72"/>
          <w:szCs w:val="72"/>
        </w:rPr>
      </w:pPr>
    </w:p>
    <w:p w14:paraId="2FF31129">
      <w:pPr>
        <w:jc w:val="center"/>
        <w:rPr>
          <w:rFonts w:ascii="黑体"/>
          <w:sz w:val="36"/>
          <w:szCs w:val="36"/>
        </w:rPr>
      </w:pPr>
    </w:p>
    <w:p w14:paraId="6BBB56B5">
      <w:pPr>
        <w:jc w:val="center"/>
        <w:rPr>
          <w:rFonts w:ascii="黑体"/>
          <w:sz w:val="36"/>
          <w:szCs w:val="36"/>
        </w:rPr>
      </w:pPr>
    </w:p>
    <w:p w14:paraId="6E45BB4A">
      <w:pPr>
        <w:jc w:val="center"/>
        <w:rPr>
          <w:rFonts w:ascii="黑体"/>
          <w:sz w:val="36"/>
          <w:szCs w:val="36"/>
        </w:rPr>
      </w:pPr>
    </w:p>
    <w:p w14:paraId="77C0A798">
      <w:pPr>
        <w:jc w:val="center"/>
        <w:rPr>
          <w:rFonts w:ascii="黑体"/>
          <w:sz w:val="36"/>
          <w:szCs w:val="36"/>
        </w:rPr>
      </w:pPr>
    </w:p>
    <w:p w14:paraId="636BE232">
      <w:pPr>
        <w:jc w:val="center"/>
        <w:rPr>
          <w:rFonts w:ascii="黑体"/>
          <w:sz w:val="36"/>
          <w:szCs w:val="36"/>
        </w:rPr>
      </w:pPr>
    </w:p>
    <w:p w14:paraId="4795F366">
      <w:pPr>
        <w:jc w:val="center"/>
        <w:rPr>
          <w:rFonts w:ascii="黑体"/>
          <w:sz w:val="36"/>
          <w:szCs w:val="36"/>
        </w:rPr>
      </w:pPr>
    </w:p>
    <w:p w14:paraId="68BA8B35">
      <w:pPr>
        <w:jc w:val="center"/>
        <w:rPr>
          <w:rFonts w:ascii="黑体"/>
          <w:sz w:val="36"/>
          <w:szCs w:val="36"/>
        </w:rPr>
      </w:pPr>
    </w:p>
    <w:p w14:paraId="3767DAAC">
      <w:pPr>
        <w:rPr>
          <w:rFonts w:ascii="黑体"/>
          <w:sz w:val="36"/>
          <w:szCs w:val="36"/>
        </w:rPr>
      </w:pPr>
    </w:p>
    <w:p w14:paraId="56FD5896">
      <w:pPr>
        <w:rPr>
          <w:rFonts w:ascii="黑体"/>
          <w:sz w:val="36"/>
          <w:szCs w:val="36"/>
        </w:rPr>
      </w:pPr>
    </w:p>
    <w:p w14:paraId="367FD1BC">
      <w:pPr>
        <w:jc w:val="center"/>
        <w:rPr>
          <w:rFonts w:hint="eastAsia" w:ascii="黑体"/>
          <w:sz w:val="36"/>
          <w:szCs w:val="36"/>
        </w:rPr>
      </w:pPr>
    </w:p>
    <w:p w14:paraId="4DCB2C07">
      <w:pPr>
        <w:jc w:val="center"/>
        <w:rPr>
          <w:rFonts w:hint="eastAsia" w:ascii="黑体"/>
          <w:sz w:val="36"/>
          <w:szCs w:val="36"/>
        </w:rPr>
      </w:pPr>
    </w:p>
    <w:p w14:paraId="107E6487">
      <w:pPr>
        <w:jc w:val="center"/>
        <w:rPr>
          <w:rFonts w:hint="eastAsia" w:ascii="黑体"/>
          <w:sz w:val="36"/>
          <w:szCs w:val="36"/>
        </w:rPr>
      </w:pPr>
    </w:p>
    <w:p w14:paraId="475FBB85">
      <w:pPr>
        <w:ind w:firstLine="3960" w:firstLineChars="1100"/>
        <w:jc w:val="both"/>
        <w:rPr>
          <w:rFonts w:hint="eastAsia" w:ascii="黑体"/>
          <w:sz w:val="36"/>
          <w:szCs w:val="36"/>
        </w:rPr>
      </w:pPr>
    </w:p>
    <w:p w14:paraId="1546C494">
      <w:pPr>
        <w:ind w:firstLine="3960" w:firstLineChars="1100"/>
        <w:jc w:val="both"/>
        <w:rPr>
          <w:rFonts w:hint="eastAsia" w:ascii="黑体"/>
          <w:sz w:val="36"/>
          <w:szCs w:val="36"/>
        </w:rPr>
      </w:pPr>
    </w:p>
    <w:p w14:paraId="53E71A0D">
      <w:pPr>
        <w:ind w:firstLine="3960" w:firstLineChars="1100"/>
        <w:jc w:val="both"/>
        <w:rPr>
          <w:rFonts w:hint="eastAsia" w:ascii="黑体"/>
          <w:sz w:val="36"/>
          <w:szCs w:val="36"/>
        </w:rPr>
      </w:pPr>
    </w:p>
    <w:p w14:paraId="2BF5A674">
      <w:pPr>
        <w:ind w:firstLine="3960" w:firstLineChars="1100"/>
        <w:jc w:val="both"/>
        <w:rPr>
          <w:rFonts w:hint="eastAsia" w:ascii="黑体"/>
          <w:sz w:val="36"/>
          <w:szCs w:val="36"/>
        </w:rPr>
      </w:pPr>
    </w:p>
    <w:p w14:paraId="2BED2331">
      <w:pPr>
        <w:ind w:firstLine="3960" w:firstLineChars="1100"/>
        <w:jc w:val="both"/>
        <w:rPr>
          <w:rFonts w:hint="eastAsia" w:ascii="黑体"/>
          <w:sz w:val="36"/>
          <w:szCs w:val="36"/>
        </w:rPr>
      </w:pPr>
    </w:p>
    <w:p w14:paraId="139815FA">
      <w:pPr>
        <w:ind w:firstLine="3960" w:firstLineChars="1100"/>
        <w:jc w:val="both"/>
        <w:rPr>
          <w:rFonts w:hint="eastAsia" w:ascii="黑体"/>
          <w:sz w:val="36"/>
          <w:szCs w:val="36"/>
        </w:rPr>
      </w:pPr>
    </w:p>
    <w:p w14:paraId="0EB8403B">
      <w:pPr>
        <w:jc w:val="center"/>
        <w:rPr>
          <w:rFonts w:hint="eastAsia" w:ascii="黑体"/>
          <w:sz w:val="36"/>
          <w:szCs w:val="36"/>
        </w:rPr>
      </w:pPr>
      <w:r>
        <w:rPr>
          <w:rFonts w:hint="eastAsia" w:ascii="黑体"/>
          <w:sz w:val="36"/>
          <w:szCs w:val="36"/>
        </w:rPr>
        <w:t>公开目录</w:t>
      </w:r>
    </w:p>
    <w:p w14:paraId="3F79BF8C">
      <w:pPr>
        <w:pStyle w:val="4"/>
      </w:pPr>
      <w:r>
        <w:rPr>
          <w:rFonts w:hint="eastAsia"/>
        </w:rPr>
        <w:t>公开时间：</w:t>
      </w:r>
      <w:r>
        <w:t>202</w:t>
      </w:r>
      <w:r>
        <w:rPr>
          <w:rFonts w:hint="eastAsia"/>
          <w:lang w:val="en-US" w:eastAsia="zh-CN"/>
        </w:rPr>
        <w:t>5</w:t>
      </w:r>
      <w:r>
        <w:rPr>
          <w:rFonts w:hint="eastAsia"/>
        </w:rPr>
        <w:t>年</w:t>
      </w:r>
      <w:r>
        <w:rPr>
          <w:rFonts w:hint="eastAsia"/>
          <w:lang w:val="en-US" w:eastAsia="zh-CN"/>
        </w:rPr>
        <w:t>8</w:t>
      </w:r>
      <w:r>
        <w:rPr>
          <w:rFonts w:hint="eastAsia"/>
        </w:rPr>
        <w:t>月</w:t>
      </w:r>
      <w:r>
        <w:rPr>
          <w:rFonts w:hint="eastAsia"/>
          <w:lang w:val="en-US" w:eastAsia="zh-CN"/>
        </w:rPr>
        <w:t>22</w:t>
      </w:r>
      <w:r>
        <w:rPr>
          <w:rFonts w:hint="eastAsia"/>
        </w:rPr>
        <w:t>日</w:t>
      </w:r>
    </w:p>
    <w:p w14:paraId="4B6ED337">
      <w:pPr>
        <w:jc w:val="center"/>
        <w:rPr>
          <w:rFonts w:ascii="黑体"/>
          <w:sz w:val="36"/>
          <w:szCs w:val="36"/>
        </w:rPr>
      </w:pPr>
    </w:p>
    <w:p w14:paraId="348035DE">
      <w:pPr>
        <w:spacing w:line="500" w:lineRule="exact"/>
        <w:rPr>
          <w:rFonts w:ascii="仿宋_GB2312" w:eastAsia="仿宋_GB2312"/>
          <w:b w:val="0"/>
          <w:sz w:val="32"/>
          <w:szCs w:val="32"/>
        </w:rPr>
      </w:pPr>
      <w:r>
        <w:rPr>
          <w:rFonts w:hint="eastAsia" w:ascii="仿宋_GB2312" w:eastAsia="仿宋_GB2312"/>
          <w:b w:val="0"/>
          <w:sz w:val="32"/>
          <w:szCs w:val="32"/>
        </w:rPr>
        <w:t>第一部分 部门概况  .</w:t>
      </w:r>
      <w:r>
        <w:rPr>
          <w:rFonts w:ascii="仿宋_GB2312" w:eastAsia="仿宋_GB2312"/>
          <w:b w:val="0"/>
          <w:sz w:val="32"/>
          <w:szCs w:val="32"/>
        </w:rPr>
        <w:t>.........................</w:t>
      </w:r>
      <w:r>
        <w:rPr>
          <w:rFonts w:hint="eastAsia" w:ascii="仿宋_GB2312" w:eastAsia="仿宋_GB2312"/>
          <w:b w:val="0"/>
          <w:sz w:val="32"/>
          <w:szCs w:val="32"/>
        </w:rPr>
        <w:t xml:space="preserve">  </w:t>
      </w:r>
      <w:r>
        <w:rPr>
          <w:rFonts w:ascii="仿宋_GB2312" w:eastAsia="仿宋_GB2312"/>
          <w:b w:val="0"/>
          <w:sz w:val="32"/>
          <w:szCs w:val="32"/>
        </w:rPr>
        <w:t>4</w:t>
      </w:r>
    </w:p>
    <w:p w14:paraId="7163544C">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一、部门职责</w:t>
      </w:r>
      <w:r>
        <w:rPr>
          <w:rFonts w:ascii="仿宋_GB2312" w:eastAsia="仿宋_GB2312"/>
          <w:b w:val="0"/>
          <w:sz w:val="32"/>
          <w:szCs w:val="32"/>
        </w:rPr>
        <w:t>...................................</w:t>
      </w:r>
      <w:r>
        <w:rPr>
          <w:rFonts w:hint="eastAsia" w:ascii="仿宋_GB2312" w:eastAsia="仿宋_GB2312"/>
          <w:b w:val="0"/>
          <w:sz w:val="32"/>
          <w:szCs w:val="32"/>
        </w:rPr>
        <w:t>4</w:t>
      </w:r>
    </w:p>
    <w:p w14:paraId="554C60AE">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 xml:space="preserve">二、机构设置     </w:t>
      </w:r>
      <w:r>
        <w:rPr>
          <w:rFonts w:ascii="仿宋_GB2312" w:eastAsia="仿宋_GB2312"/>
          <w:b w:val="0"/>
          <w:sz w:val="32"/>
          <w:szCs w:val="32"/>
        </w:rPr>
        <w:t>……………</w:t>
      </w:r>
      <w:r>
        <w:rPr>
          <w:rFonts w:hint="eastAsia" w:ascii="仿宋_GB2312" w:eastAsia="仿宋_GB2312"/>
          <w:b w:val="0"/>
          <w:sz w:val="32"/>
          <w:szCs w:val="32"/>
        </w:rPr>
        <w:t>..</w:t>
      </w:r>
      <w:r>
        <w:rPr>
          <w:rFonts w:ascii="仿宋_GB2312" w:eastAsia="仿宋_GB2312"/>
          <w:b w:val="0"/>
          <w:sz w:val="32"/>
          <w:szCs w:val="32"/>
        </w:rPr>
        <w:t>...................</w:t>
      </w:r>
      <w:r>
        <w:rPr>
          <w:rFonts w:hint="eastAsia" w:ascii="仿宋_GB2312" w:eastAsia="仿宋_GB2312"/>
          <w:b w:val="0"/>
          <w:sz w:val="32"/>
          <w:szCs w:val="32"/>
        </w:rPr>
        <w:t>6</w:t>
      </w:r>
    </w:p>
    <w:p w14:paraId="51822077">
      <w:pPr>
        <w:spacing w:line="500" w:lineRule="exact"/>
        <w:ind w:firstLine="480" w:firstLineChars="150"/>
        <w:rPr>
          <w:rFonts w:ascii="仿宋_GB2312" w:eastAsia="仿宋_GB2312"/>
          <w:b w:val="0"/>
          <w:sz w:val="32"/>
          <w:szCs w:val="32"/>
        </w:rPr>
      </w:pPr>
      <w:r>
        <w:rPr>
          <w:rFonts w:hint="eastAsia" w:ascii="仿宋_GB2312" w:eastAsia="仿宋_GB2312"/>
          <w:b w:val="0"/>
          <w:sz w:val="32"/>
          <w:szCs w:val="32"/>
        </w:rPr>
        <w:t>第二部分</w:t>
      </w:r>
      <w:r>
        <w:rPr>
          <w:rFonts w:hint="eastAsia" w:ascii="仿宋_GB2312" w:eastAsia="仿宋_GB2312"/>
          <w:b w:val="0"/>
          <w:sz w:val="32"/>
          <w:szCs w:val="32"/>
          <w:lang w:eastAsia="zh-CN"/>
        </w:rPr>
        <w:t>2024</w:t>
      </w:r>
      <w:r>
        <w:rPr>
          <w:rFonts w:hint="eastAsia" w:ascii="仿宋_GB2312" w:eastAsia="仿宋_GB2312"/>
          <w:b w:val="0"/>
          <w:sz w:val="32"/>
          <w:szCs w:val="32"/>
        </w:rPr>
        <w:t>年度部门决算情况说明  .</w:t>
      </w:r>
      <w:r>
        <w:rPr>
          <w:rFonts w:ascii="仿宋_GB2312" w:eastAsia="仿宋_GB2312"/>
          <w:b w:val="0"/>
          <w:sz w:val="32"/>
          <w:szCs w:val="32"/>
        </w:rPr>
        <w:t>............7</w:t>
      </w:r>
    </w:p>
    <w:p w14:paraId="0AA80AD9">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一、收支决算总体情况说明</w:t>
      </w:r>
      <w:r>
        <w:rPr>
          <w:rFonts w:ascii="仿宋_GB2312" w:eastAsia="仿宋_GB2312"/>
          <w:b w:val="0"/>
          <w:sz w:val="32"/>
          <w:szCs w:val="32"/>
        </w:rPr>
        <w:t>........................</w:t>
      </w:r>
      <w:r>
        <w:rPr>
          <w:rFonts w:hint="eastAsia" w:ascii="仿宋_GB2312" w:eastAsia="仿宋_GB2312"/>
          <w:b w:val="0"/>
          <w:sz w:val="32"/>
          <w:szCs w:val="32"/>
        </w:rPr>
        <w:t>7</w:t>
      </w:r>
    </w:p>
    <w:p w14:paraId="117617DA">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二、收入决算情况说明</w:t>
      </w:r>
      <w:r>
        <w:rPr>
          <w:rFonts w:ascii="仿宋_GB2312" w:eastAsia="仿宋_GB2312"/>
          <w:b w:val="0"/>
          <w:sz w:val="32"/>
          <w:szCs w:val="32"/>
        </w:rPr>
        <w:t>…………………………………</w:t>
      </w:r>
      <w:r>
        <w:rPr>
          <w:rFonts w:hint="eastAsia" w:ascii="仿宋_GB2312" w:eastAsia="仿宋_GB2312"/>
          <w:b w:val="0"/>
          <w:sz w:val="32"/>
          <w:szCs w:val="32"/>
        </w:rPr>
        <w:t>..7</w:t>
      </w:r>
    </w:p>
    <w:p w14:paraId="43F3ED66">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三、支出决算情况说明</w:t>
      </w:r>
      <w:r>
        <w:rPr>
          <w:rFonts w:ascii="仿宋_GB2312" w:eastAsia="仿宋_GB2312"/>
          <w:b w:val="0"/>
          <w:sz w:val="32"/>
          <w:szCs w:val="32"/>
        </w:rPr>
        <w:t>…………………………………</w:t>
      </w:r>
      <w:r>
        <w:rPr>
          <w:rFonts w:hint="eastAsia" w:ascii="仿宋_GB2312" w:eastAsia="仿宋_GB2312"/>
          <w:b w:val="0"/>
          <w:sz w:val="32"/>
          <w:szCs w:val="32"/>
        </w:rPr>
        <w:t>..7</w:t>
      </w:r>
    </w:p>
    <w:p w14:paraId="2CA97377">
      <w:pPr>
        <w:spacing w:line="500" w:lineRule="exact"/>
        <w:rPr>
          <w:rFonts w:ascii="仿宋_GB2312" w:eastAsia="仿宋_GB2312"/>
          <w:b w:val="0"/>
          <w:sz w:val="32"/>
          <w:szCs w:val="32"/>
        </w:rPr>
      </w:pPr>
      <w:r>
        <w:rPr>
          <w:rFonts w:hint="eastAsia" w:ascii="仿宋_GB2312" w:eastAsia="仿宋_GB2312"/>
          <w:b w:val="0"/>
          <w:sz w:val="32"/>
          <w:szCs w:val="32"/>
        </w:rPr>
        <w:t>四、财政拨款收入支出决算总体情况说明</w:t>
      </w:r>
      <w:r>
        <w:rPr>
          <w:rFonts w:ascii="仿宋_GB2312" w:eastAsia="仿宋_GB2312"/>
          <w:b w:val="0"/>
          <w:sz w:val="32"/>
          <w:szCs w:val="32"/>
        </w:rPr>
        <w:t>...........8</w:t>
      </w:r>
    </w:p>
    <w:p w14:paraId="33046009">
      <w:pPr>
        <w:spacing w:line="500" w:lineRule="exact"/>
        <w:rPr>
          <w:rFonts w:ascii="仿宋_GB2312" w:eastAsia="仿宋_GB2312"/>
          <w:b w:val="0"/>
          <w:sz w:val="32"/>
          <w:szCs w:val="32"/>
        </w:rPr>
      </w:pPr>
      <w:r>
        <w:rPr>
          <w:rFonts w:hint="eastAsia" w:ascii="仿宋_GB2312" w:eastAsia="仿宋_GB2312"/>
          <w:b w:val="0"/>
          <w:sz w:val="32"/>
          <w:szCs w:val="32"/>
        </w:rPr>
        <w:t>五、一般公共预算财政拨款支出决算情况说明</w:t>
      </w:r>
      <w:r>
        <w:rPr>
          <w:rFonts w:ascii="仿宋_GB2312" w:eastAsia="仿宋_GB2312"/>
          <w:b w:val="0"/>
          <w:sz w:val="32"/>
          <w:szCs w:val="32"/>
        </w:rPr>
        <w:t>.......8</w:t>
      </w:r>
    </w:p>
    <w:p w14:paraId="74B004DC">
      <w:pPr>
        <w:spacing w:line="500" w:lineRule="exact"/>
        <w:rPr>
          <w:rFonts w:hint="eastAsia" w:ascii="仿宋_GB2312" w:eastAsia="仿宋_GB2312"/>
          <w:b w:val="0"/>
          <w:sz w:val="32"/>
          <w:szCs w:val="32"/>
        </w:rPr>
      </w:pPr>
      <w:r>
        <w:rPr>
          <w:rFonts w:hint="eastAsia" w:ascii="仿宋_GB2312" w:eastAsia="仿宋_GB2312"/>
          <w:b w:val="0"/>
          <w:sz w:val="32"/>
          <w:szCs w:val="32"/>
        </w:rPr>
        <w:t>（一）一般公共预算财政拨款支出决算总体情况</w:t>
      </w:r>
      <w:r>
        <w:rPr>
          <w:rFonts w:ascii="仿宋_GB2312" w:eastAsia="仿宋_GB2312"/>
          <w:b w:val="0"/>
          <w:sz w:val="32"/>
          <w:szCs w:val="32"/>
        </w:rPr>
        <w:t>......</w:t>
      </w:r>
      <w:r>
        <w:rPr>
          <w:rFonts w:hint="eastAsia" w:ascii="仿宋_GB2312" w:eastAsia="仿宋_GB2312"/>
          <w:b w:val="0"/>
          <w:sz w:val="32"/>
          <w:szCs w:val="32"/>
        </w:rPr>
        <w:t>8</w:t>
      </w:r>
    </w:p>
    <w:p w14:paraId="76FD28EB">
      <w:pPr>
        <w:spacing w:line="500" w:lineRule="exact"/>
        <w:rPr>
          <w:rFonts w:ascii="仿宋_GB2312" w:eastAsia="仿宋_GB2312"/>
          <w:b w:val="0"/>
          <w:sz w:val="32"/>
          <w:szCs w:val="32"/>
        </w:rPr>
      </w:pPr>
      <w:r>
        <w:rPr>
          <w:rFonts w:hint="eastAsia" w:ascii="仿宋_GB2312" w:eastAsia="仿宋_GB2312"/>
          <w:b w:val="0"/>
          <w:sz w:val="32"/>
          <w:szCs w:val="32"/>
        </w:rPr>
        <w:t>（二）一般公共预算财政拨款支出决算结构情况</w:t>
      </w:r>
      <w:r>
        <w:rPr>
          <w:rFonts w:ascii="仿宋_GB2312" w:eastAsia="仿宋_GB2312"/>
          <w:b w:val="0"/>
          <w:sz w:val="32"/>
          <w:szCs w:val="32"/>
        </w:rPr>
        <w:t>......9</w:t>
      </w:r>
    </w:p>
    <w:p w14:paraId="101B331B">
      <w:pPr>
        <w:spacing w:line="500" w:lineRule="exact"/>
        <w:rPr>
          <w:rFonts w:hint="eastAsia" w:ascii="仿宋_GB2312" w:eastAsia="仿宋_GB2312"/>
          <w:b w:val="0"/>
          <w:sz w:val="32"/>
          <w:szCs w:val="32"/>
        </w:rPr>
      </w:pPr>
      <w:r>
        <w:rPr>
          <w:rFonts w:hint="eastAsia" w:ascii="仿宋_GB2312" w:eastAsia="仿宋_GB2312"/>
          <w:b w:val="0"/>
          <w:sz w:val="32"/>
          <w:szCs w:val="32"/>
        </w:rPr>
        <w:t>（三）一般公共预算财政拨款支出决算具体情况</w:t>
      </w:r>
      <w:r>
        <w:rPr>
          <w:rFonts w:ascii="仿宋_GB2312" w:eastAsia="仿宋_GB2312"/>
          <w:b w:val="0"/>
          <w:sz w:val="32"/>
          <w:szCs w:val="32"/>
        </w:rPr>
        <w:t>......</w:t>
      </w:r>
      <w:r>
        <w:rPr>
          <w:rFonts w:hint="eastAsia" w:ascii="仿宋_GB2312" w:eastAsia="仿宋_GB2312"/>
          <w:b w:val="0"/>
          <w:sz w:val="32"/>
          <w:szCs w:val="32"/>
        </w:rPr>
        <w:t>9</w:t>
      </w:r>
    </w:p>
    <w:p w14:paraId="47FEC45E">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六、一般公共预算财政拨款基本支出决算情况说明</w:t>
      </w:r>
      <w:r>
        <w:rPr>
          <w:rFonts w:ascii="仿宋_GB2312" w:eastAsia="仿宋_GB2312"/>
          <w:b w:val="0"/>
          <w:sz w:val="32"/>
          <w:szCs w:val="32"/>
        </w:rPr>
        <w:t>...10</w:t>
      </w:r>
    </w:p>
    <w:p w14:paraId="00483A15">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七、“三公”经费财政拨款支出决算情况说明</w:t>
      </w:r>
      <w:r>
        <w:rPr>
          <w:rFonts w:ascii="仿宋_GB2312" w:eastAsia="仿宋_GB2312"/>
          <w:b w:val="0"/>
          <w:sz w:val="32"/>
          <w:szCs w:val="32"/>
        </w:rPr>
        <w:t>........10</w:t>
      </w:r>
    </w:p>
    <w:p w14:paraId="3972CB86">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（一）“三公”经费财政拨款支出决算总体情况说明</w:t>
      </w:r>
      <w:r>
        <w:rPr>
          <w:rFonts w:ascii="仿宋_GB2312" w:eastAsia="仿宋_GB2312"/>
          <w:b w:val="0"/>
          <w:sz w:val="32"/>
          <w:szCs w:val="32"/>
        </w:rPr>
        <w:t>..1</w:t>
      </w:r>
      <w:r>
        <w:rPr>
          <w:rFonts w:hint="eastAsia" w:ascii="仿宋_GB2312" w:eastAsia="仿宋_GB2312"/>
          <w:b w:val="0"/>
          <w:sz w:val="32"/>
          <w:szCs w:val="32"/>
        </w:rPr>
        <w:t>1</w:t>
      </w:r>
    </w:p>
    <w:p w14:paraId="5C7122E4">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（二）“三公”经费财政拨款支出决算具体情况说明</w:t>
      </w:r>
      <w:r>
        <w:rPr>
          <w:rFonts w:ascii="仿宋_GB2312" w:eastAsia="仿宋_GB2312"/>
          <w:b w:val="0"/>
          <w:sz w:val="32"/>
          <w:szCs w:val="32"/>
        </w:rPr>
        <w:t>...11</w:t>
      </w:r>
    </w:p>
    <w:p w14:paraId="4A334E17">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八、政府性基金预算支出决算情况说明</w:t>
      </w:r>
      <w:r>
        <w:rPr>
          <w:rFonts w:ascii="仿宋_GB2312" w:eastAsia="仿宋_GB2312"/>
          <w:b w:val="0"/>
          <w:sz w:val="32"/>
          <w:szCs w:val="32"/>
        </w:rPr>
        <w:t>.............12</w:t>
      </w:r>
    </w:p>
    <w:p w14:paraId="1D106297">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九、国有资本经营预算支出决算情况说明</w:t>
      </w:r>
      <w:r>
        <w:rPr>
          <w:rFonts w:ascii="仿宋_GB2312" w:eastAsia="仿宋_GB2312"/>
          <w:b w:val="0"/>
          <w:sz w:val="32"/>
          <w:szCs w:val="32"/>
        </w:rPr>
        <w:t>...........12</w:t>
      </w:r>
    </w:p>
    <w:p w14:paraId="16240EBC">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十、其他重要事项的情况说明</w:t>
      </w:r>
      <w:r>
        <w:rPr>
          <w:rFonts w:ascii="仿宋_GB2312" w:eastAsia="仿宋_GB2312"/>
          <w:b w:val="0"/>
          <w:sz w:val="32"/>
          <w:szCs w:val="32"/>
        </w:rPr>
        <w:t>.....................12</w:t>
      </w:r>
    </w:p>
    <w:p w14:paraId="3489D26B">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（一）机关运行经费支出情况</w:t>
      </w:r>
      <w:r>
        <w:rPr>
          <w:rFonts w:ascii="仿宋_GB2312" w:eastAsia="仿宋_GB2312"/>
          <w:b w:val="0"/>
          <w:sz w:val="32"/>
          <w:szCs w:val="32"/>
        </w:rPr>
        <w:t>.....................12</w:t>
      </w:r>
    </w:p>
    <w:p w14:paraId="54376144">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（二）政府采购支出情况</w:t>
      </w:r>
      <w:r>
        <w:rPr>
          <w:rFonts w:ascii="仿宋_GB2312" w:eastAsia="仿宋_GB2312"/>
          <w:b w:val="0"/>
          <w:sz w:val="32"/>
          <w:szCs w:val="32"/>
        </w:rPr>
        <w:t>.........................12</w:t>
      </w:r>
    </w:p>
    <w:p w14:paraId="2EFB31E4">
      <w:pPr>
        <w:spacing w:line="240" w:lineRule="auto"/>
        <w:ind w:firstLine="0" w:firstLineChars="0"/>
        <w:rPr>
          <w:rFonts w:ascii="仿宋_GB2312" w:eastAsia="仿宋_GB2312"/>
          <w:b w:val="0"/>
          <w:sz w:val="32"/>
          <w:szCs w:val="32"/>
        </w:rPr>
      </w:pPr>
      <w:r>
        <w:rPr>
          <w:rFonts w:hint="eastAsia" w:ascii="仿宋_GB2312" w:eastAsia="仿宋_GB2312"/>
          <w:b w:val="0"/>
          <w:sz w:val="32"/>
          <w:szCs w:val="32"/>
        </w:rPr>
        <w:t>（三）国有资产占有使用情况</w:t>
      </w:r>
      <w:r>
        <w:rPr>
          <w:rFonts w:ascii="仿宋_GB2312" w:eastAsia="仿宋_GB2312"/>
          <w:b w:val="0"/>
          <w:sz w:val="32"/>
          <w:szCs w:val="32"/>
        </w:rPr>
        <w:t>.....................12</w:t>
      </w:r>
    </w:p>
    <w:p w14:paraId="78BFA6BD">
      <w:pPr>
        <w:spacing w:line="240" w:lineRule="auto"/>
        <w:ind w:firstLine="0" w:firstLineChars="0"/>
        <w:rPr>
          <w:rFonts w:hint="eastAsia" w:ascii="仿宋_GB2312" w:eastAsia="仿宋_GB2312"/>
          <w:b w:val="0"/>
          <w:sz w:val="32"/>
          <w:szCs w:val="32"/>
        </w:rPr>
      </w:pPr>
      <w:r>
        <w:rPr>
          <w:rFonts w:hint="eastAsia" w:ascii="仿宋_GB2312" w:eastAsia="仿宋_GB2312"/>
          <w:b w:val="0"/>
          <w:sz w:val="32"/>
          <w:szCs w:val="32"/>
        </w:rPr>
        <w:t>（四）预算绩效情况</w:t>
      </w:r>
      <w:r>
        <w:rPr>
          <w:rFonts w:ascii="仿宋_GB2312" w:eastAsia="仿宋_GB2312"/>
          <w:b w:val="0"/>
          <w:sz w:val="32"/>
          <w:szCs w:val="32"/>
        </w:rPr>
        <w:t>.............................1</w:t>
      </w:r>
      <w:r>
        <w:rPr>
          <w:rFonts w:hint="eastAsia" w:ascii="仿宋_GB2312" w:eastAsia="仿宋_GB2312"/>
          <w:b w:val="0"/>
          <w:sz w:val="32"/>
          <w:szCs w:val="32"/>
        </w:rPr>
        <w:t>3</w:t>
      </w:r>
    </w:p>
    <w:p w14:paraId="4CEE5BAC">
      <w:pPr>
        <w:spacing w:line="500" w:lineRule="exact"/>
        <w:ind w:firstLine="668" w:firstLineChars="209"/>
        <w:rPr>
          <w:rFonts w:hint="eastAsia" w:ascii="仿宋_GB2312" w:eastAsia="仿宋_GB2312"/>
          <w:b w:val="0"/>
          <w:sz w:val="32"/>
          <w:szCs w:val="32"/>
        </w:rPr>
      </w:pPr>
      <w:r>
        <w:rPr>
          <w:rFonts w:ascii="仿宋_GB2312" w:eastAsia="仿宋_GB2312"/>
          <w:b w:val="0"/>
          <w:sz w:val="32"/>
          <w:szCs w:val="32"/>
        </w:rPr>
        <w:t>1.</w:t>
      </w:r>
      <w:r>
        <w:rPr>
          <w:rFonts w:hint="eastAsia" w:ascii="仿宋_GB2312" w:eastAsia="仿宋_GB2312"/>
          <w:b w:val="0"/>
          <w:sz w:val="32"/>
          <w:szCs w:val="32"/>
        </w:rPr>
        <w:t>绩效目标管理情况</w:t>
      </w:r>
      <w:r>
        <w:rPr>
          <w:rFonts w:ascii="仿宋_GB2312" w:eastAsia="仿宋_GB2312"/>
          <w:b w:val="0"/>
          <w:sz w:val="32"/>
          <w:szCs w:val="32"/>
        </w:rPr>
        <w:t>...........................1</w:t>
      </w:r>
      <w:r>
        <w:rPr>
          <w:rFonts w:hint="eastAsia" w:ascii="仿宋_GB2312" w:eastAsia="仿宋_GB2312"/>
          <w:b w:val="0"/>
          <w:sz w:val="32"/>
          <w:szCs w:val="32"/>
        </w:rPr>
        <w:t>3</w:t>
      </w:r>
    </w:p>
    <w:p w14:paraId="408A92B3">
      <w:pPr>
        <w:spacing w:line="500" w:lineRule="exact"/>
        <w:ind w:firstLine="668" w:firstLineChars="209"/>
        <w:rPr>
          <w:rFonts w:ascii="仿宋_GB2312" w:eastAsia="仿宋_GB2312"/>
          <w:b w:val="0"/>
          <w:sz w:val="32"/>
          <w:szCs w:val="32"/>
        </w:rPr>
      </w:pPr>
      <w:r>
        <w:rPr>
          <w:rFonts w:ascii="仿宋_GB2312" w:eastAsia="仿宋_GB2312"/>
          <w:b w:val="0"/>
          <w:sz w:val="32"/>
          <w:szCs w:val="32"/>
        </w:rPr>
        <w:t>2.</w:t>
      </w:r>
      <w:r>
        <w:rPr>
          <w:rFonts w:hint="eastAsia" w:ascii="仿宋_GB2312" w:eastAsia="仿宋_GB2312"/>
          <w:b w:val="0"/>
          <w:sz w:val="32"/>
          <w:szCs w:val="32"/>
        </w:rPr>
        <w:t>部门整体支出绩效自评开展情况</w:t>
      </w:r>
      <w:r>
        <w:rPr>
          <w:rFonts w:ascii="仿宋_GB2312" w:eastAsia="仿宋_GB2312"/>
          <w:b w:val="0"/>
          <w:sz w:val="32"/>
          <w:szCs w:val="32"/>
        </w:rPr>
        <w:t>...............13</w:t>
      </w:r>
    </w:p>
    <w:p w14:paraId="034A4AAA">
      <w:pPr>
        <w:spacing w:line="500" w:lineRule="exact"/>
        <w:ind w:firstLine="668" w:firstLineChars="209"/>
        <w:rPr>
          <w:rFonts w:hint="eastAsia" w:ascii="仿宋_GB2312" w:eastAsia="仿宋_GB2312"/>
          <w:b w:val="0"/>
          <w:sz w:val="32"/>
          <w:szCs w:val="32"/>
        </w:rPr>
      </w:pPr>
      <w:r>
        <w:rPr>
          <w:rFonts w:ascii="仿宋_GB2312" w:eastAsia="仿宋_GB2312"/>
          <w:b w:val="0"/>
          <w:sz w:val="32"/>
          <w:szCs w:val="32"/>
        </w:rPr>
        <w:t>3.</w:t>
      </w:r>
      <w:r>
        <w:rPr>
          <w:rFonts w:hint="eastAsia" w:ascii="仿宋_GB2312" w:eastAsia="仿宋_GB2312"/>
          <w:b w:val="0"/>
          <w:sz w:val="32"/>
          <w:szCs w:val="32"/>
        </w:rPr>
        <w:t>部门自行组织绩效评价开展情况</w:t>
      </w:r>
      <w:r>
        <w:rPr>
          <w:rFonts w:ascii="仿宋_GB2312" w:eastAsia="仿宋_GB2312"/>
          <w:b w:val="0"/>
          <w:sz w:val="32"/>
          <w:szCs w:val="32"/>
        </w:rPr>
        <w:t>...............1</w:t>
      </w:r>
      <w:r>
        <w:rPr>
          <w:rFonts w:hint="eastAsia" w:ascii="仿宋_GB2312" w:eastAsia="仿宋_GB2312"/>
          <w:b w:val="0"/>
          <w:sz w:val="32"/>
          <w:szCs w:val="32"/>
        </w:rPr>
        <w:t>3</w:t>
      </w:r>
    </w:p>
    <w:p w14:paraId="50A04E27">
      <w:pPr>
        <w:spacing w:line="500" w:lineRule="exact"/>
        <w:ind w:firstLine="668" w:firstLineChars="209"/>
        <w:rPr>
          <w:rFonts w:hint="eastAsia" w:ascii="仿宋_GB2312" w:eastAsia="仿宋_GB2312"/>
          <w:b w:val="0"/>
          <w:sz w:val="32"/>
          <w:szCs w:val="32"/>
        </w:rPr>
      </w:pPr>
      <w:r>
        <w:rPr>
          <w:rFonts w:hint="eastAsia" w:ascii="仿宋_GB2312" w:eastAsia="仿宋_GB2312"/>
          <w:b w:val="0"/>
          <w:sz w:val="32"/>
          <w:szCs w:val="32"/>
        </w:rPr>
        <w:t>第三部分名词解释</w:t>
      </w:r>
      <w:r>
        <w:rPr>
          <w:rFonts w:ascii="仿宋_GB2312" w:eastAsia="仿宋_GB2312"/>
          <w:b w:val="0"/>
          <w:sz w:val="32"/>
          <w:szCs w:val="32"/>
        </w:rPr>
        <w:t>............................</w:t>
      </w:r>
      <w:r>
        <w:rPr>
          <w:rFonts w:hint="eastAsia" w:ascii="仿宋_GB2312" w:eastAsia="仿宋_GB2312"/>
          <w:b w:val="0"/>
          <w:sz w:val="32"/>
          <w:szCs w:val="32"/>
        </w:rPr>
        <w:t>.15</w:t>
      </w:r>
    </w:p>
    <w:p w14:paraId="08B3784F">
      <w:pPr>
        <w:spacing w:line="600" w:lineRule="exact"/>
        <w:ind w:firstLine="640" w:firstLineChars="200"/>
        <w:rPr>
          <w:rFonts w:hint="eastAsia" w:ascii="仿宋_GB2312" w:eastAsia="仿宋_GB2312" w:cs="仿宋_GB2312"/>
          <w:b w:val="0"/>
          <w:color w:val="000000"/>
          <w:sz w:val="32"/>
          <w:szCs w:val="32"/>
        </w:rPr>
      </w:pPr>
      <w:r>
        <w:rPr>
          <w:rFonts w:hint="eastAsia" w:ascii="仿宋_GB2312" w:eastAsia="仿宋_GB2312" w:cs="仿宋_GB2312"/>
          <w:b w:val="0"/>
          <w:color w:val="000000"/>
          <w:sz w:val="32"/>
          <w:szCs w:val="32"/>
        </w:rPr>
        <w:t>第四部分附件</w:t>
      </w:r>
      <w:r>
        <w:rPr>
          <w:rFonts w:ascii="仿宋_GB2312" w:eastAsia="仿宋_GB2312" w:cs="仿宋_GB2312"/>
          <w:b w:val="0"/>
          <w:color w:val="000000"/>
          <w:sz w:val="32"/>
          <w:szCs w:val="32"/>
        </w:rPr>
        <w:t>..........................</w:t>
      </w:r>
      <w:r>
        <w:rPr>
          <w:rFonts w:hint="eastAsia" w:ascii="仿宋_GB2312" w:eastAsia="仿宋_GB2312" w:cs="仿宋_GB2312"/>
          <w:b w:val="0"/>
          <w:color w:val="000000"/>
          <w:sz w:val="32"/>
          <w:szCs w:val="32"/>
        </w:rPr>
        <w:t>.......17</w:t>
      </w:r>
    </w:p>
    <w:p w14:paraId="12AE42FC">
      <w:pPr>
        <w:spacing w:line="240" w:lineRule="auto"/>
        <w:ind w:firstLine="640" w:firstLineChars="200"/>
        <w:rPr>
          <w:rFonts w:hint="eastAsia" w:ascii="仿宋_GB2312" w:eastAsia="仿宋_GB2312" w:cs="仿宋_GB2312"/>
          <w:b w:val="0"/>
          <w:color w:val="000000"/>
          <w:sz w:val="32"/>
          <w:szCs w:val="32"/>
        </w:rPr>
      </w:pPr>
      <w:r>
        <w:rPr>
          <w:rFonts w:hint="eastAsia" w:ascii="仿宋_GB2312" w:eastAsia="仿宋_GB2312" w:cs="仿宋_GB2312"/>
          <w:b w:val="0"/>
          <w:color w:val="000000"/>
          <w:sz w:val="32"/>
          <w:szCs w:val="32"/>
        </w:rPr>
        <w:t>第五部分附表</w:t>
      </w:r>
      <w:r>
        <w:rPr>
          <w:rFonts w:ascii="仿宋_GB2312" w:eastAsia="仿宋_GB2312" w:cs="仿宋_GB2312"/>
          <w:b w:val="0"/>
          <w:color w:val="000000"/>
          <w:sz w:val="32"/>
          <w:szCs w:val="32"/>
        </w:rPr>
        <w:t>…………………………………………</w:t>
      </w:r>
      <w:r>
        <w:rPr>
          <w:rFonts w:hint="eastAsia" w:ascii="仿宋_GB2312" w:eastAsia="仿宋_GB2312" w:cs="仿宋_GB2312"/>
          <w:b w:val="0"/>
          <w:color w:val="000000"/>
          <w:sz w:val="32"/>
          <w:szCs w:val="32"/>
        </w:rPr>
        <w:t>30</w:t>
      </w:r>
    </w:p>
    <w:p w14:paraId="6256E4FA">
      <w:pPr>
        <w:ind w:firstLine="960" w:firstLineChars="300"/>
        <w:jc w:val="left"/>
        <w:rPr>
          <w:rFonts w:hint="eastAsia" w:ascii="仿宋_GB2312" w:hAnsi="仿宋" w:eastAsia="仿宋_GB2312"/>
          <w:b w:val="0"/>
          <w:sz w:val="32"/>
          <w:szCs w:val="32"/>
        </w:rPr>
      </w:pPr>
      <w:r>
        <w:rPr>
          <w:rFonts w:hint="eastAsia" w:ascii="仿宋_GB2312" w:hAnsi="仿宋" w:eastAsia="仿宋_GB2312"/>
          <w:b w:val="0"/>
          <w:sz w:val="32"/>
          <w:szCs w:val="32"/>
        </w:rPr>
        <w:t>一、收入支出决算总表</w:t>
      </w:r>
    </w:p>
    <w:p w14:paraId="210FB4A8">
      <w:pPr>
        <w:jc w:val="left"/>
        <w:rPr>
          <w:rFonts w:hint="eastAsia" w:ascii="仿宋_GB2312" w:hAnsi="仿宋" w:eastAsia="仿宋_GB2312"/>
          <w:b w:val="0"/>
          <w:sz w:val="32"/>
          <w:szCs w:val="32"/>
        </w:rPr>
      </w:pPr>
      <w:r>
        <w:rPr>
          <w:rFonts w:hint="eastAsia" w:ascii="仿宋_GB2312" w:hAnsi="仿宋" w:eastAsia="仿宋_GB2312"/>
          <w:b w:val="0"/>
          <w:sz w:val="32"/>
          <w:szCs w:val="32"/>
        </w:rPr>
        <w:t>二、收入决算表</w:t>
      </w:r>
    </w:p>
    <w:p w14:paraId="1F4EB3E7">
      <w:pPr>
        <w:jc w:val="left"/>
        <w:rPr>
          <w:rFonts w:hint="eastAsia" w:ascii="仿宋_GB2312" w:hAnsi="仿宋" w:eastAsia="仿宋_GB2312"/>
          <w:b w:val="0"/>
          <w:sz w:val="32"/>
          <w:szCs w:val="32"/>
        </w:rPr>
      </w:pPr>
      <w:r>
        <w:rPr>
          <w:rFonts w:hint="eastAsia" w:ascii="仿宋_GB2312" w:hAnsi="仿宋" w:eastAsia="仿宋_GB2312"/>
          <w:b w:val="0"/>
          <w:sz w:val="32"/>
          <w:szCs w:val="32"/>
        </w:rPr>
        <w:t>三、支出决算表</w:t>
      </w:r>
    </w:p>
    <w:p w14:paraId="70650E36">
      <w:pPr>
        <w:jc w:val="left"/>
        <w:rPr>
          <w:rFonts w:hint="eastAsia" w:ascii="仿宋_GB2312" w:hAnsi="仿宋" w:eastAsia="仿宋_GB2312"/>
          <w:b w:val="0"/>
          <w:sz w:val="32"/>
          <w:szCs w:val="32"/>
        </w:rPr>
      </w:pPr>
      <w:r>
        <w:rPr>
          <w:rFonts w:hint="eastAsia" w:ascii="仿宋_GB2312" w:hAnsi="仿宋" w:eastAsia="仿宋_GB2312"/>
          <w:b w:val="0"/>
          <w:sz w:val="32"/>
          <w:szCs w:val="32"/>
        </w:rPr>
        <w:t>四、财政拨款收入支出决算总表</w:t>
      </w:r>
    </w:p>
    <w:p w14:paraId="669CED9B">
      <w:pPr>
        <w:jc w:val="left"/>
        <w:rPr>
          <w:rFonts w:hint="eastAsia" w:ascii="仿宋_GB2312" w:hAnsi="仿宋" w:eastAsia="仿宋_GB2312"/>
          <w:b w:val="0"/>
          <w:sz w:val="32"/>
          <w:szCs w:val="32"/>
        </w:rPr>
      </w:pPr>
      <w:r>
        <w:rPr>
          <w:rFonts w:hint="eastAsia" w:ascii="仿宋_GB2312" w:hAnsi="仿宋" w:eastAsia="仿宋_GB2312"/>
          <w:b w:val="0"/>
          <w:sz w:val="32"/>
          <w:szCs w:val="32"/>
        </w:rPr>
        <w:t>五、财政拨款支出决算明细表</w:t>
      </w:r>
    </w:p>
    <w:p w14:paraId="0F9933AC">
      <w:pPr>
        <w:jc w:val="left"/>
        <w:rPr>
          <w:rFonts w:hint="eastAsia" w:ascii="仿宋_GB2312" w:hAnsi="仿宋" w:eastAsia="仿宋_GB2312"/>
          <w:b w:val="0"/>
          <w:sz w:val="32"/>
          <w:szCs w:val="32"/>
        </w:rPr>
      </w:pPr>
      <w:r>
        <w:rPr>
          <w:rFonts w:hint="eastAsia" w:ascii="仿宋_GB2312" w:hAnsi="仿宋" w:eastAsia="仿宋_GB2312"/>
          <w:b w:val="0"/>
          <w:sz w:val="32"/>
          <w:szCs w:val="32"/>
        </w:rPr>
        <w:t>六、一般公共预算财政拨款支出决算表</w:t>
      </w:r>
    </w:p>
    <w:p w14:paraId="7290093D">
      <w:pPr>
        <w:jc w:val="left"/>
        <w:rPr>
          <w:rFonts w:hint="eastAsia" w:ascii="仿宋_GB2312" w:hAnsi="仿宋" w:eastAsia="仿宋_GB2312"/>
          <w:b w:val="0"/>
          <w:sz w:val="32"/>
          <w:szCs w:val="32"/>
        </w:rPr>
      </w:pPr>
      <w:r>
        <w:rPr>
          <w:rFonts w:hint="eastAsia" w:ascii="仿宋_GB2312" w:hAnsi="仿宋" w:eastAsia="仿宋_GB2312"/>
          <w:b w:val="0"/>
          <w:sz w:val="32"/>
          <w:szCs w:val="32"/>
        </w:rPr>
        <w:t>七、一般公共预算财政拨款支出决算明细表</w:t>
      </w:r>
    </w:p>
    <w:p w14:paraId="79E2D920">
      <w:pPr>
        <w:jc w:val="left"/>
        <w:rPr>
          <w:rFonts w:hint="eastAsia" w:ascii="仿宋_GB2312" w:hAnsi="仿宋" w:eastAsia="仿宋_GB2312"/>
          <w:b w:val="0"/>
          <w:sz w:val="32"/>
          <w:szCs w:val="32"/>
        </w:rPr>
      </w:pPr>
      <w:r>
        <w:rPr>
          <w:rFonts w:hint="eastAsia" w:ascii="仿宋_GB2312" w:hAnsi="仿宋" w:eastAsia="仿宋_GB2312"/>
          <w:b w:val="0"/>
          <w:sz w:val="32"/>
          <w:szCs w:val="32"/>
        </w:rPr>
        <w:t>八、一般公共预算财政拨款基本支出决算表</w:t>
      </w:r>
    </w:p>
    <w:p w14:paraId="5A480A20">
      <w:pPr>
        <w:jc w:val="left"/>
        <w:rPr>
          <w:rFonts w:hint="eastAsia" w:ascii="仿宋_GB2312" w:hAnsi="仿宋" w:eastAsia="仿宋_GB2312"/>
          <w:b w:val="0"/>
          <w:sz w:val="32"/>
          <w:szCs w:val="32"/>
        </w:rPr>
      </w:pPr>
      <w:r>
        <w:rPr>
          <w:rFonts w:hint="eastAsia" w:ascii="仿宋_GB2312" w:hAnsi="仿宋" w:eastAsia="仿宋_GB2312"/>
          <w:b w:val="0"/>
          <w:sz w:val="32"/>
          <w:szCs w:val="32"/>
        </w:rPr>
        <w:t>九、一般公共预算财政拨款项目支出决算表</w:t>
      </w:r>
      <w:bookmarkStart w:id="0" w:name="_GoBack"/>
      <w:bookmarkEnd w:id="0"/>
    </w:p>
    <w:p w14:paraId="630FFEC1">
      <w:pPr>
        <w:jc w:val="left"/>
        <w:rPr>
          <w:rFonts w:hint="eastAsia" w:ascii="仿宋_GB2312" w:hAnsi="仿宋" w:eastAsia="仿宋_GB2312"/>
          <w:b w:val="0"/>
          <w:sz w:val="32"/>
          <w:szCs w:val="32"/>
        </w:rPr>
      </w:pPr>
      <w:r>
        <w:rPr>
          <w:rFonts w:hint="eastAsia" w:ascii="仿宋_GB2312" w:hAnsi="仿宋" w:eastAsia="仿宋_GB2312"/>
          <w:b w:val="0"/>
          <w:sz w:val="32"/>
          <w:szCs w:val="32"/>
        </w:rPr>
        <w:t>十、政府性基金预算财政拨款收入支出决算表</w:t>
      </w:r>
    </w:p>
    <w:p w14:paraId="2DC4E46F">
      <w:pPr>
        <w:jc w:val="left"/>
        <w:rPr>
          <w:rFonts w:hint="eastAsia" w:ascii="仿宋_GB2312" w:hAnsi="仿宋" w:eastAsia="仿宋_GB2312"/>
          <w:b w:val="0"/>
          <w:sz w:val="32"/>
          <w:szCs w:val="32"/>
        </w:rPr>
      </w:pPr>
      <w:r>
        <w:rPr>
          <w:rFonts w:hint="eastAsia" w:ascii="仿宋_GB2312" w:hAnsi="仿宋" w:eastAsia="仿宋_GB2312"/>
          <w:b w:val="0"/>
          <w:sz w:val="32"/>
          <w:szCs w:val="32"/>
        </w:rPr>
        <w:t>十一、国有资本经营预算财政拨款收入支出决算表</w:t>
      </w:r>
    </w:p>
    <w:p w14:paraId="655A2142">
      <w:pPr>
        <w:jc w:val="left"/>
        <w:rPr>
          <w:rFonts w:hint="eastAsia" w:ascii="仿宋_GB2312" w:hAnsi="仿宋" w:eastAsia="仿宋_GB2312"/>
          <w:b w:val="0"/>
          <w:sz w:val="32"/>
          <w:szCs w:val="32"/>
        </w:rPr>
      </w:pPr>
      <w:r>
        <w:rPr>
          <w:rFonts w:hint="eastAsia" w:ascii="仿宋_GB2312" w:hAnsi="仿宋" w:eastAsia="仿宋_GB2312"/>
          <w:b w:val="0"/>
          <w:sz w:val="32"/>
          <w:szCs w:val="32"/>
        </w:rPr>
        <w:t>十二、国有资本经营预算财政拨款支出决算表</w:t>
      </w:r>
    </w:p>
    <w:p w14:paraId="4A914E6C">
      <w:pPr>
        <w:jc w:val="left"/>
        <w:rPr>
          <w:rFonts w:hint="eastAsia" w:ascii="仿宋_GB2312" w:hAnsi="仿宋" w:eastAsia="仿宋_GB2312"/>
          <w:b w:val="0"/>
          <w:sz w:val="32"/>
          <w:szCs w:val="32"/>
        </w:rPr>
      </w:pPr>
      <w:r>
        <w:rPr>
          <w:rFonts w:hint="eastAsia" w:ascii="仿宋_GB2312" w:hAnsi="仿宋" w:eastAsia="仿宋_GB2312"/>
          <w:b w:val="0"/>
          <w:sz w:val="32"/>
          <w:szCs w:val="32"/>
        </w:rPr>
        <w:t>十三、财政拨款“三公”经费支出决算表</w:t>
      </w:r>
    </w:p>
    <w:p w14:paraId="4B1D7304">
      <w:pPr>
        <w:jc w:val="left"/>
        <w:rPr>
          <w:rFonts w:hint="eastAsia" w:ascii="仿宋_GB2312" w:hAnsi="仿宋" w:eastAsia="仿宋_GB2312"/>
          <w:b w:val="0"/>
          <w:sz w:val="32"/>
          <w:szCs w:val="32"/>
        </w:rPr>
      </w:pPr>
      <w:r>
        <w:rPr>
          <w:rFonts w:hint="eastAsia" w:ascii="仿宋_GB2312" w:hAnsi="仿宋" w:eastAsia="仿宋_GB2312"/>
          <w:b w:val="0"/>
          <w:sz w:val="32"/>
          <w:szCs w:val="32"/>
        </w:rPr>
        <w:t>十四、部门预算项目支出绩效自评表（</w:t>
      </w:r>
      <w:r>
        <w:rPr>
          <w:rFonts w:hint="eastAsia" w:ascii="仿宋_GB2312" w:hAnsi="仿宋" w:eastAsia="仿宋_GB2312"/>
          <w:b w:val="0"/>
          <w:sz w:val="32"/>
          <w:szCs w:val="32"/>
          <w:lang w:eastAsia="zh-CN"/>
        </w:rPr>
        <w:t>2024</w:t>
      </w:r>
      <w:r>
        <w:rPr>
          <w:rFonts w:hint="eastAsia" w:ascii="仿宋_GB2312" w:hAnsi="仿宋" w:eastAsia="仿宋_GB2312"/>
          <w:b w:val="0"/>
          <w:sz w:val="32"/>
          <w:szCs w:val="32"/>
        </w:rPr>
        <w:t>年度）</w:t>
      </w:r>
    </w:p>
    <w:p w14:paraId="39B000D2">
      <w:pPr>
        <w:spacing w:line="240" w:lineRule="auto"/>
        <w:jc w:val="center"/>
        <w:rPr>
          <w:rFonts w:hint="eastAsia" w:ascii="楷体_GB2312" w:hAnsi="楷体_GB2312" w:eastAsia="楷体_GB2312" w:cs="楷体_GB2312"/>
          <w:b/>
          <w:bCs/>
          <w:color w:val="000000"/>
          <w:sz w:val="44"/>
          <w:szCs w:val="44"/>
        </w:rPr>
      </w:pPr>
      <w:r>
        <w:rPr>
          <w:rFonts w:hint="eastAsia" w:ascii="楷体_GB2312" w:hAnsi="楷体_GB2312" w:eastAsia="楷体_GB2312" w:cs="楷体_GB2312"/>
          <w:b/>
          <w:bCs/>
          <w:color w:val="000000"/>
          <w:sz w:val="44"/>
          <w:szCs w:val="44"/>
        </w:rPr>
        <w:t>第一部分  部门概况</w:t>
      </w:r>
    </w:p>
    <w:p w14:paraId="08DDC58A">
      <w:pPr>
        <w:ind w:firstLine="643" w:firstLineChars="200"/>
        <w:rPr>
          <w:rFonts w:hint="eastAsia" w:ascii="楷体_GB2312" w:eastAsia="楷体_GB2312"/>
          <w:b/>
          <w:bCs/>
          <w:sz w:val="32"/>
          <w:szCs w:val="32"/>
        </w:rPr>
      </w:pPr>
      <w:r>
        <w:rPr>
          <w:rFonts w:hint="eastAsia" w:ascii="楷体_GB2312" w:hAnsi="宋体" w:eastAsia="楷体_GB2312"/>
          <w:b/>
          <w:bCs/>
          <w:sz w:val="32"/>
          <w:szCs w:val="32"/>
        </w:rPr>
        <w:t>一、部门职责</w:t>
      </w:r>
    </w:p>
    <w:p w14:paraId="6B426E9F">
      <w:pPr>
        <w:pStyle w:val="8"/>
        <w:spacing w:before="0" w:after="0" w:line="520" w:lineRule="atLeast"/>
        <w:ind w:firstLine="640"/>
        <w:rPr>
          <w:rFonts w:ascii="仿宋_GB2312" w:hAnsi="仿宋_GB2312" w:eastAsia="仿宋_GB2312" w:cs="仿宋_GB2312"/>
          <w:b w:val="0"/>
          <w:bCs w:val="0"/>
          <w:sz w:val="32"/>
          <w:szCs w:val="32"/>
        </w:rPr>
      </w:pPr>
      <w:r>
        <w:rPr>
          <w:rFonts w:ascii="仿宋_GB2312" w:hAnsi="仿宋_GB2312" w:eastAsia="仿宋_GB2312" w:cs="仿宋_GB2312"/>
          <w:sz w:val="32"/>
          <w:szCs w:val="32"/>
        </w:rPr>
        <w:t> </w:t>
      </w:r>
      <w:r>
        <w:rPr>
          <w:rFonts w:hint="eastAsia" w:ascii="仿宋_GB2312" w:hAnsi="仿宋_GB2312" w:eastAsia="仿宋_GB2312" w:cs="仿宋_GB2312"/>
          <w:b w:val="0"/>
          <w:bCs w:val="0"/>
          <w:sz w:val="32"/>
          <w:szCs w:val="32"/>
          <w:lang w:val="en-US" w:eastAsia="zh-CN"/>
        </w:rPr>
        <w:t>1.</w:t>
      </w:r>
      <w:r>
        <w:rPr>
          <w:rFonts w:ascii="仿宋_GB2312" w:hAnsi="仿宋_GB2312" w:eastAsia="仿宋_GB2312" w:cs="仿宋_GB2312"/>
          <w:b w:val="0"/>
          <w:bCs w:val="0"/>
          <w:sz w:val="32"/>
          <w:szCs w:val="32"/>
        </w:rPr>
        <w:t>根据《工商联章程》规定，主要职责是：党委、政府联系非公有制经济的桥梁和纽带。</w:t>
      </w:r>
    </w:p>
    <w:p w14:paraId="17CEBAF8">
      <w:pPr>
        <w:pStyle w:val="8"/>
        <w:spacing w:before="0" w:after="0" w:line="520" w:lineRule="atLeast"/>
        <w:ind w:firstLine="640"/>
        <w:rPr>
          <w:rFonts w:ascii="仿宋_GB2312" w:hAnsi="仿宋_GB2312" w:eastAsia="仿宋_GB2312" w:cs="仿宋_GB2312"/>
          <w:b w:val="0"/>
          <w:bCs w:val="0"/>
          <w:sz w:val="32"/>
          <w:szCs w:val="32"/>
        </w:rPr>
      </w:pPr>
      <w:r>
        <w:rPr>
          <w:rFonts w:ascii="仿宋_GB2312" w:hAnsi="仿宋_GB2312" w:eastAsia="仿宋_GB2312" w:cs="仿宋_GB2312"/>
          <w:b w:val="0"/>
          <w:bCs w:val="0"/>
          <w:sz w:val="32"/>
          <w:szCs w:val="32"/>
        </w:rPr>
        <w:t xml:space="preserve"> 2、负责受理、办理会员企业咨询、投诉；</w:t>
      </w:r>
    </w:p>
    <w:p w14:paraId="470196E6">
      <w:pPr>
        <w:pStyle w:val="8"/>
        <w:spacing w:before="0" w:after="0" w:line="520" w:lineRule="atLeast"/>
        <w:ind w:firstLine="640"/>
        <w:rPr>
          <w:rFonts w:ascii="仿宋_GB2312" w:hAnsi="仿宋_GB2312" w:eastAsia="仿宋_GB2312" w:cs="仿宋_GB2312"/>
          <w:b w:val="0"/>
          <w:bCs w:val="0"/>
          <w:sz w:val="32"/>
          <w:szCs w:val="32"/>
        </w:rPr>
      </w:pPr>
      <w:r>
        <w:rPr>
          <w:rFonts w:ascii="仿宋_GB2312" w:hAnsi="仿宋_GB2312" w:eastAsia="仿宋_GB2312" w:cs="仿宋_GB2312"/>
          <w:b w:val="0"/>
          <w:bCs w:val="0"/>
          <w:sz w:val="32"/>
          <w:szCs w:val="32"/>
        </w:rPr>
        <w:t xml:space="preserve"> 3、调解会员企业间的民商事纠纷； </w:t>
      </w:r>
    </w:p>
    <w:p w14:paraId="5BCE9805">
      <w:pPr>
        <w:pStyle w:val="8"/>
        <w:spacing w:before="0" w:after="0" w:line="520" w:lineRule="atLeast"/>
        <w:ind w:firstLine="640"/>
        <w:rPr>
          <w:rFonts w:ascii="仿宋_GB2312" w:hAnsi="仿宋_GB2312" w:eastAsia="仿宋_GB2312" w:cs="仿宋_GB2312"/>
          <w:b w:val="0"/>
          <w:bCs w:val="0"/>
          <w:sz w:val="32"/>
          <w:szCs w:val="32"/>
        </w:rPr>
      </w:pPr>
      <w:r>
        <w:rPr>
          <w:rFonts w:ascii="仿宋_GB2312" w:hAnsi="仿宋_GB2312" w:eastAsia="仿宋_GB2312" w:cs="仿宋_GB2312"/>
          <w:b w:val="0"/>
          <w:bCs w:val="0"/>
          <w:sz w:val="32"/>
          <w:szCs w:val="32"/>
        </w:rPr>
        <w:t>4、提供法律信息、知识、宣传培训。</w:t>
      </w:r>
    </w:p>
    <w:p w14:paraId="636A7AB5">
      <w:pPr>
        <w:spacing w:line="600" w:lineRule="exact"/>
        <w:ind w:firstLine="643" w:firstLineChars="200"/>
        <w:rPr>
          <w:rFonts w:hint="eastAsia" w:ascii="楷体_GB2312" w:eastAsia="楷体_GB2312"/>
          <w:b/>
          <w:bCs/>
          <w:color w:val="000000"/>
          <w:sz w:val="32"/>
          <w:szCs w:val="32"/>
        </w:rPr>
      </w:pPr>
      <w:r>
        <w:rPr>
          <w:rFonts w:hint="eastAsia" w:ascii="楷体_GB2312" w:eastAsia="楷体_GB2312"/>
          <w:b/>
          <w:bCs/>
          <w:color w:val="000000"/>
          <w:sz w:val="32"/>
          <w:szCs w:val="32"/>
        </w:rPr>
        <w:t>二、机构设置</w:t>
      </w:r>
    </w:p>
    <w:p w14:paraId="6DFAF946">
      <w:pPr>
        <w:ind w:firstLine="627" w:firstLineChars="196"/>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202</w:t>
      </w:r>
      <w:r>
        <w:rPr>
          <w:rFonts w:hint="eastAsia" w:ascii="仿宋_GB2312" w:hAnsi="仿宋_GB2312" w:eastAsia="仿宋_GB2312" w:cs="仿宋_GB2312"/>
          <w:b w:val="0"/>
          <w:sz w:val="32"/>
          <w:szCs w:val="32"/>
          <w:lang w:val="en-US" w:eastAsia="zh-CN"/>
        </w:rPr>
        <w:t>4</w:t>
      </w:r>
      <w:r>
        <w:rPr>
          <w:rFonts w:hint="eastAsia" w:ascii="仿宋_GB2312" w:hAnsi="仿宋_GB2312" w:eastAsia="仿宋_GB2312" w:cs="仿宋_GB2312"/>
          <w:b w:val="0"/>
          <w:sz w:val="32"/>
          <w:szCs w:val="32"/>
        </w:rPr>
        <w:t>年由工商联与经济和维权中心二个单位单独编制预算后再汇总，单位编制数4个，其中：公务员编制2人、行政工勤编制1人、事业编制1人；截至202</w:t>
      </w:r>
      <w:r>
        <w:rPr>
          <w:rFonts w:hint="eastAsia" w:ascii="仿宋_GB2312" w:hAnsi="仿宋_GB2312" w:eastAsia="仿宋_GB2312" w:cs="仿宋_GB2312"/>
          <w:b w:val="0"/>
          <w:sz w:val="32"/>
          <w:szCs w:val="32"/>
          <w:lang w:val="en-US" w:eastAsia="zh-CN"/>
        </w:rPr>
        <w:t>4</w:t>
      </w:r>
      <w:r>
        <w:rPr>
          <w:rFonts w:hint="eastAsia" w:ascii="仿宋_GB2312" w:hAnsi="仿宋_GB2312" w:eastAsia="仿宋_GB2312" w:cs="仿宋_GB2312"/>
          <w:b w:val="0"/>
          <w:sz w:val="32"/>
          <w:szCs w:val="32"/>
        </w:rPr>
        <w:t>年末，单位实有人数</w:t>
      </w: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rPr>
        <w:t>人，其中：</w:t>
      </w:r>
      <w:r>
        <w:rPr>
          <w:rFonts w:hint="eastAsia" w:ascii="仿宋_GB2312" w:hAnsi="仿宋_GB2312" w:eastAsia="仿宋_GB2312" w:cs="仿宋_GB2312"/>
          <w:b w:val="0"/>
          <w:bCs/>
          <w:sz w:val="32"/>
        </w:rPr>
        <w:t>行政人员2人，行政工勤</w:t>
      </w:r>
      <w:r>
        <w:rPr>
          <w:rFonts w:hint="eastAsia" w:ascii="仿宋_GB2312" w:hAnsi="仿宋_GB2312" w:eastAsia="仿宋_GB2312" w:cs="仿宋_GB2312"/>
          <w:b w:val="0"/>
          <w:bCs/>
          <w:sz w:val="32"/>
          <w:lang w:val="en-US" w:eastAsia="zh-CN"/>
        </w:rPr>
        <w:t>0</w:t>
      </w:r>
      <w:r>
        <w:rPr>
          <w:rFonts w:hint="eastAsia" w:ascii="仿宋_GB2312" w:hAnsi="仿宋_GB2312" w:eastAsia="仿宋_GB2312" w:cs="仿宋_GB2312"/>
          <w:b w:val="0"/>
          <w:bCs/>
          <w:sz w:val="32"/>
        </w:rPr>
        <w:t>人，事业1人</w:t>
      </w:r>
      <w:r>
        <w:rPr>
          <w:rFonts w:hint="eastAsia" w:ascii="仿宋_GB2312" w:hAnsi="仿宋_GB2312" w:eastAsia="仿宋_GB2312" w:cs="仿宋_GB2312"/>
          <w:b w:val="0"/>
          <w:sz w:val="32"/>
          <w:szCs w:val="32"/>
        </w:rPr>
        <w:t>；退休人员</w:t>
      </w: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rPr>
        <w:t>人工资转由社保部门发放。</w:t>
      </w:r>
    </w:p>
    <w:p w14:paraId="5AE03610">
      <w:pPr>
        <w:jc w:val="center"/>
        <w:rPr>
          <w:rFonts w:hint="eastAsia" w:ascii="楷体_GB2312" w:hAnsi="楷体_GB2312" w:eastAsia="楷体_GB2312" w:cs="楷体_GB2312"/>
          <w:b/>
          <w:bCs/>
          <w:sz w:val="36"/>
          <w:szCs w:val="36"/>
        </w:rPr>
      </w:pPr>
      <w:r>
        <w:rPr>
          <w:rFonts w:hint="eastAsia" w:ascii="楷体_GB2312" w:hAnsi="楷体_GB2312" w:eastAsia="楷体_GB2312" w:cs="楷体_GB2312"/>
          <w:b/>
          <w:bCs/>
          <w:sz w:val="36"/>
          <w:szCs w:val="36"/>
        </w:rPr>
        <w:t>第二部分</w:t>
      </w:r>
      <w:r>
        <w:rPr>
          <w:rFonts w:hint="eastAsia" w:ascii="楷体_GB2312" w:hAnsi="楷体_GB2312" w:eastAsia="楷体_GB2312" w:cs="楷体_GB2312"/>
          <w:b/>
          <w:bCs/>
          <w:sz w:val="36"/>
          <w:szCs w:val="36"/>
          <w:lang w:eastAsia="zh-CN"/>
        </w:rPr>
        <w:t>2024</w:t>
      </w:r>
      <w:r>
        <w:rPr>
          <w:rFonts w:hint="eastAsia" w:ascii="楷体_GB2312" w:hAnsi="楷体_GB2312" w:eastAsia="楷体_GB2312" w:cs="楷体_GB2312"/>
          <w:b/>
          <w:bCs/>
          <w:sz w:val="36"/>
          <w:szCs w:val="36"/>
        </w:rPr>
        <w:t>年度部门决算情况说明</w:t>
      </w:r>
    </w:p>
    <w:p w14:paraId="38F28F3E">
      <w:pPr>
        <w:spacing w:line="600" w:lineRule="exact"/>
        <w:ind w:firstLine="643" w:firstLineChars="200"/>
        <w:rPr>
          <w:rFonts w:hint="eastAsia" w:ascii="楷体_GB2312" w:eastAsia="楷体_GB2312"/>
          <w:b/>
          <w:bCs/>
          <w:color w:val="000000"/>
          <w:sz w:val="32"/>
          <w:szCs w:val="32"/>
        </w:rPr>
      </w:pPr>
      <w:r>
        <w:rPr>
          <w:rFonts w:hint="eastAsia" w:ascii="楷体_GB2312" w:eastAsia="楷体_GB2312"/>
          <w:b/>
          <w:bCs/>
          <w:color w:val="000000"/>
          <w:sz w:val="32"/>
          <w:szCs w:val="32"/>
        </w:rPr>
        <w:t>一、收支决算总体情况说明</w:t>
      </w:r>
    </w:p>
    <w:p w14:paraId="336EC0C2">
      <w:pPr>
        <w:pStyle w:val="8"/>
        <w:spacing w:before="0" w:after="0" w:line="240" w:lineRule="auto"/>
        <w:ind w:firstLine="640" w:firstLineChars="200"/>
        <w:jc w:val="both"/>
      </w:pPr>
      <w:r>
        <w:rPr>
          <w:rFonts w:ascii="仿宋_GB2312" w:hAnsi="仿宋_GB2312" w:eastAsia="仿宋_GB2312" w:cs="仿宋_GB2312"/>
          <w:sz w:val="32"/>
          <w:szCs w:val="32"/>
        </w:rPr>
        <w:t>1.本年度年初预算收入数为96.13万元，上年度年初预算收入数为119.79万元，比去年减少23.66万元，原因：；本年度年初预算支出数为96.13万元，上年度年初预算支出数为119.79万元，比去年减少23.66万元，原因：。</w:t>
      </w:r>
    </w:p>
    <w:p w14:paraId="09FDC649">
      <w:pPr>
        <w:pStyle w:val="8"/>
        <w:spacing w:before="0" w:after="0" w:line="520" w:lineRule="atLeast"/>
        <w:ind w:firstLine="720"/>
        <w:jc w:val="both"/>
      </w:pPr>
      <w:r>
        <w:rPr>
          <w:rFonts w:ascii="仿宋_GB2312" w:hAnsi="仿宋_GB2312" w:eastAsia="仿宋_GB2312" w:cs="仿宋_GB2312"/>
          <w:sz w:val="32"/>
          <w:szCs w:val="32"/>
        </w:rPr>
        <w:t>图1、年初预算收支分析图</w:t>
      </w:r>
    </w:p>
    <w:p w14:paraId="48535400">
      <w:pPr>
        <w:pStyle w:val="8"/>
        <w:spacing w:before="0" w:after="0" w:line="520" w:lineRule="atLeast"/>
        <w:ind w:firstLine="640"/>
      </w:pPr>
      <w:r>
        <w:rPr>
          <w:rFonts w:ascii="Times New Roman" w:hAnsi="Times New Roman" w:eastAsia="Times New Roman" w:cs="Times New Roman"/>
          <w:sz w:val="24"/>
          <w:szCs w:val="24"/>
        </w:rPr>
        <w:t> </w:t>
      </w:r>
      <w:r>
        <w:rPr>
          <w:rFonts w:ascii="仿宋_GB2312" w:hAnsi="仿宋_GB2312" w:eastAsia="仿宋_GB2312" w:cs="仿宋_GB2312"/>
          <w:sz w:val="32"/>
          <w:szCs w:val="32"/>
        </w:rPr>
        <w:t> </w:t>
      </w:r>
      <w:r>
        <w:drawing>
          <wp:inline distT="0" distB="0" distL="114300" distR="114300">
            <wp:extent cx="3810000" cy="2540000"/>
            <wp:effectExtent l="4445" t="4445" r="10795" b="15875"/>
            <wp:docPr id="100001" name="图表 100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79C8D876">
      <w:pPr>
        <w:snapToGrid w:val="0"/>
        <w:spacing w:line="360" w:lineRule="auto"/>
        <w:ind w:firstLine="640" w:firstLineChars="200"/>
        <w:rPr>
          <w:rFonts w:hint="eastAsia" w:ascii="楷体_GB2312" w:eastAsia="楷体_GB2312"/>
          <w:sz w:val="32"/>
          <w:szCs w:val="32"/>
        </w:rPr>
      </w:pPr>
      <w:r>
        <w:rPr>
          <w:rFonts w:hint="eastAsia" w:ascii="楷体_GB2312" w:eastAsia="楷体_GB2312"/>
          <w:sz w:val="32"/>
          <w:szCs w:val="32"/>
        </w:rPr>
        <w:t>二、收入决算情况说明</w:t>
      </w:r>
    </w:p>
    <w:p w14:paraId="7682082A">
      <w:pPr>
        <w:pStyle w:val="8"/>
        <w:spacing w:before="0" w:after="0" w:line="240" w:lineRule="auto"/>
        <w:ind w:firstLine="640" w:firstLineChars="200"/>
        <w:jc w:val="both"/>
      </w:pPr>
      <w:r>
        <w:rPr>
          <w:rFonts w:ascii="仿宋_GB2312" w:hAnsi="仿宋_GB2312" w:eastAsia="仿宋_GB2312" w:cs="仿宋_GB2312"/>
          <w:sz w:val="32"/>
          <w:szCs w:val="32"/>
        </w:rPr>
        <w:t>本年度全年预算收入数为111.18万元，上年度全年预算收入数为110.48万元，比去年增加0.7万元，原因：。本年度全年预算支出数为111.18万元，上年度全年预算支出数为110.48万元，比去年增加0.7万元，原因：。</w:t>
      </w:r>
    </w:p>
    <w:p w14:paraId="39EBB7A5">
      <w:pPr>
        <w:pStyle w:val="8"/>
        <w:spacing w:before="0" w:after="0" w:line="520" w:lineRule="atLeast"/>
        <w:ind w:left="540"/>
        <w:jc w:val="both"/>
      </w:pPr>
      <w:r>
        <w:rPr>
          <w:rFonts w:ascii="仿宋_GB2312" w:hAnsi="仿宋_GB2312" w:eastAsia="仿宋_GB2312" w:cs="仿宋_GB2312"/>
          <w:sz w:val="32"/>
          <w:szCs w:val="32"/>
        </w:rPr>
        <w:t>图2、全年预算收支分析表</w:t>
      </w:r>
    </w:p>
    <w:p w14:paraId="2632B70E">
      <w:pPr>
        <w:pStyle w:val="8"/>
        <w:spacing w:before="0" w:after="0" w:line="520" w:lineRule="atLeast"/>
        <w:ind w:firstLine="720"/>
        <w:jc w:val="both"/>
      </w:pPr>
      <w:r>
        <w:rPr>
          <w:rFonts w:ascii="仿宋_GB2312" w:hAnsi="仿宋_GB2312" w:eastAsia="仿宋_GB2312" w:cs="仿宋_GB2312"/>
          <w:sz w:val="32"/>
          <w:szCs w:val="32"/>
        </w:rPr>
        <w:t> </w:t>
      </w:r>
      <w:r>
        <w:drawing>
          <wp:inline distT="0" distB="0" distL="114300" distR="114300">
            <wp:extent cx="3810000" cy="2540000"/>
            <wp:effectExtent l="4445" t="4445" r="10795" b="15875"/>
            <wp:docPr id="100002" name="图表 1000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D8DCF45">
      <w:pPr>
        <w:spacing w:line="560" w:lineRule="exact"/>
        <w:ind w:firstLine="643" w:firstLineChars="200"/>
        <w:rPr>
          <w:rFonts w:hint="eastAsia" w:ascii="楷体_GB2312" w:eastAsia="楷体_GB2312"/>
          <w:b/>
          <w:bCs/>
          <w:sz w:val="32"/>
          <w:szCs w:val="32"/>
        </w:rPr>
      </w:pPr>
      <w:r>
        <w:rPr>
          <w:rFonts w:hint="eastAsia" w:ascii="楷体_GB2312" w:eastAsia="楷体_GB2312"/>
          <w:b/>
          <w:bCs/>
          <w:sz w:val="32"/>
          <w:szCs w:val="32"/>
        </w:rPr>
        <w:t>三、支出决算情况说明</w:t>
      </w:r>
    </w:p>
    <w:p w14:paraId="6189CA21">
      <w:pPr>
        <w:pStyle w:val="8"/>
        <w:spacing w:before="0" w:after="0" w:line="240" w:lineRule="auto"/>
        <w:ind w:firstLine="640" w:firstLineChars="200"/>
        <w:jc w:val="both"/>
      </w:pPr>
      <w:r>
        <w:rPr>
          <w:rFonts w:ascii="仿宋_GB2312" w:hAnsi="仿宋_GB2312" w:eastAsia="仿宋_GB2312" w:cs="仿宋_GB2312"/>
          <w:sz w:val="32"/>
          <w:szCs w:val="32"/>
        </w:rPr>
        <w:t>本年预算收入数为111.18万元，收入决算数为111.18万元，预算完成度100%，预算数未完成的原因是：。本年度预算支出数为111.18万元，支出决算数为111.18万元，预算完成度100%。</w:t>
      </w:r>
    </w:p>
    <w:p w14:paraId="0C75654F">
      <w:pPr>
        <w:pStyle w:val="8"/>
        <w:spacing w:before="0" w:after="0" w:line="520" w:lineRule="atLeast"/>
        <w:ind w:firstLine="720"/>
        <w:jc w:val="both"/>
      </w:pPr>
      <w:r>
        <w:rPr>
          <w:rFonts w:ascii="仿宋_GB2312" w:hAnsi="仿宋_GB2312" w:eastAsia="仿宋_GB2312" w:cs="仿宋_GB2312"/>
          <w:sz w:val="32"/>
          <w:szCs w:val="32"/>
        </w:rPr>
        <w:t>图3、预算执行分析</w:t>
      </w:r>
    </w:p>
    <w:p w14:paraId="156318FB">
      <w:pPr>
        <w:pStyle w:val="8"/>
        <w:spacing w:before="0" w:after="0" w:line="520" w:lineRule="atLeast"/>
        <w:ind w:firstLine="640"/>
        <w:jc w:val="both"/>
      </w:pPr>
      <w:r>
        <w:rPr>
          <w:rFonts w:ascii="Times New Roman" w:hAnsi="Times New Roman" w:eastAsia="Times New Roman" w:cs="Times New Roman"/>
          <w:sz w:val="24"/>
          <w:szCs w:val="24"/>
        </w:rPr>
        <w:t>     </w:t>
      </w:r>
      <w:r>
        <w:rPr>
          <w:rFonts w:ascii="仿宋_GB2312" w:hAnsi="仿宋_GB2312" w:eastAsia="仿宋_GB2312" w:cs="仿宋_GB2312"/>
          <w:sz w:val="32"/>
          <w:szCs w:val="32"/>
        </w:rPr>
        <w:t>    </w:t>
      </w:r>
      <w:r>
        <w:drawing>
          <wp:inline distT="0" distB="0" distL="114300" distR="114300">
            <wp:extent cx="3810000" cy="2540000"/>
            <wp:effectExtent l="4445" t="4445" r="10795" b="15875"/>
            <wp:docPr id="100003" name="图表 10000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AA47D77">
      <w:pPr>
        <w:spacing w:line="600" w:lineRule="exact"/>
        <w:ind w:firstLine="640" w:firstLineChars="200"/>
        <w:rPr>
          <w:rFonts w:hint="eastAsia" w:ascii="黑体"/>
          <w:b/>
          <w:bCs/>
          <w:sz w:val="32"/>
          <w:szCs w:val="32"/>
        </w:rPr>
      </w:pPr>
      <w:r>
        <w:rPr>
          <w:rFonts w:hint="eastAsia" w:ascii="黑体"/>
          <w:b/>
          <w:bCs/>
          <w:sz w:val="32"/>
          <w:szCs w:val="32"/>
        </w:rPr>
        <w:t>四、</w:t>
      </w:r>
      <w:r>
        <w:rPr>
          <w:rFonts w:hint="eastAsia"/>
          <w:b/>
          <w:bCs/>
          <w:sz w:val="32"/>
          <w:szCs w:val="32"/>
        </w:rPr>
        <w:t>财政拨款收入支出决算总体情况说明</w:t>
      </w:r>
      <w:r>
        <w:rPr>
          <w:rFonts w:hint="eastAsia" w:ascii="黑体"/>
          <w:b/>
          <w:bCs/>
          <w:sz w:val="32"/>
          <w:szCs w:val="32"/>
        </w:rPr>
        <w:t>情况</w:t>
      </w:r>
    </w:p>
    <w:p w14:paraId="6F9BD1ED">
      <w:pPr>
        <w:spacing w:line="240" w:lineRule="auto"/>
        <w:ind w:firstLine="640" w:firstLineChars="200"/>
        <w:rPr>
          <w:rFonts w:hint="eastAsia" w:ascii="黑体" w:eastAsia="仿宋_GB2312"/>
          <w:color w:val="000000"/>
          <w:sz w:val="32"/>
          <w:szCs w:val="32"/>
          <w:lang w:val="en-US" w:eastAsia="zh-CN"/>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年度财政拨款收支总决算</w:t>
      </w:r>
      <w:r>
        <w:rPr>
          <w:rFonts w:hint="eastAsia" w:ascii="仿宋_GB2312" w:eastAsia="仿宋_GB2312"/>
          <w:b w:val="0"/>
          <w:color w:val="000000"/>
          <w:sz w:val="32"/>
          <w:szCs w:val="32"/>
          <w:lang w:val="en-US" w:eastAsia="zh-CN"/>
        </w:rPr>
        <w:t>111.18</w:t>
      </w:r>
      <w:r>
        <w:rPr>
          <w:rFonts w:hint="eastAsia" w:ascii="仿宋_GB2312" w:eastAsia="仿宋_GB2312"/>
          <w:b w:val="0"/>
          <w:color w:val="000000"/>
          <w:sz w:val="32"/>
          <w:szCs w:val="32"/>
        </w:rPr>
        <w:t>万元，与202</w:t>
      </w:r>
      <w:r>
        <w:rPr>
          <w:rFonts w:hint="eastAsia" w:ascii="仿宋_GB2312" w:eastAsia="仿宋_GB2312"/>
          <w:b w:val="0"/>
          <w:color w:val="000000"/>
          <w:sz w:val="32"/>
          <w:szCs w:val="32"/>
          <w:lang w:val="en-US" w:eastAsia="zh-CN"/>
        </w:rPr>
        <w:t>3</w:t>
      </w:r>
      <w:r>
        <w:rPr>
          <w:rFonts w:hint="eastAsia" w:ascii="仿宋_GB2312" w:eastAsia="仿宋_GB2312"/>
          <w:b w:val="0"/>
          <w:color w:val="000000"/>
          <w:sz w:val="32"/>
          <w:szCs w:val="32"/>
        </w:rPr>
        <w:t>年度财政拨款收支总决算</w:t>
      </w:r>
      <w:r>
        <w:rPr>
          <w:rFonts w:hint="eastAsia" w:ascii="仿宋_GB2312" w:eastAsia="仿宋_GB2312"/>
          <w:b w:val="0"/>
          <w:bCs/>
          <w:sz w:val="32"/>
          <w:lang w:val="en-US" w:eastAsia="zh-CN"/>
        </w:rPr>
        <w:t>110.48</w:t>
      </w:r>
      <w:r>
        <w:rPr>
          <w:rFonts w:hint="eastAsia" w:ascii="仿宋_GB2312" w:eastAsia="仿宋_GB2312"/>
          <w:b w:val="0"/>
          <w:color w:val="000000"/>
          <w:sz w:val="32"/>
          <w:szCs w:val="32"/>
        </w:rPr>
        <w:t>万元相比</w:t>
      </w:r>
      <w:r>
        <w:rPr>
          <w:rFonts w:hint="eastAsia" w:ascii="仿宋_GB2312" w:eastAsia="仿宋_GB2312"/>
          <w:b w:val="0"/>
          <w:color w:val="000000"/>
          <w:sz w:val="32"/>
          <w:szCs w:val="32"/>
          <w:lang w:val="en-US" w:eastAsia="zh-CN"/>
        </w:rPr>
        <w:t>增加</w:t>
      </w:r>
      <w:r>
        <w:rPr>
          <w:rFonts w:hint="eastAsia" w:ascii="仿宋_GB2312" w:eastAsia="仿宋_GB2312"/>
          <w:b w:val="0"/>
          <w:color w:val="000000"/>
          <w:sz w:val="32"/>
          <w:szCs w:val="32"/>
        </w:rPr>
        <w:t>了</w:t>
      </w:r>
      <w:r>
        <w:rPr>
          <w:rFonts w:hint="eastAsia" w:ascii="仿宋_GB2312" w:eastAsia="仿宋_GB2312"/>
          <w:b w:val="0"/>
          <w:color w:val="000000"/>
          <w:sz w:val="32"/>
          <w:szCs w:val="32"/>
          <w:lang w:val="en-US" w:eastAsia="zh-CN"/>
        </w:rPr>
        <w:t>0.7</w:t>
      </w:r>
      <w:r>
        <w:rPr>
          <w:rFonts w:hint="eastAsia" w:ascii="仿宋_GB2312" w:eastAsia="仿宋_GB2312"/>
          <w:b w:val="0"/>
          <w:color w:val="000000"/>
          <w:sz w:val="32"/>
          <w:szCs w:val="32"/>
        </w:rPr>
        <w:t>万元，</w:t>
      </w:r>
      <w:r>
        <w:rPr>
          <w:rFonts w:hint="eastAsia" w:ascii="仿宋_GB2312" w:eastAsia="仿宋_GB2312"/>
          <w:b w:val="0"/>
          <w:color w:val="000000"/>
          <w:sz w:val="32"/>
          <w:szCs w:val="32"/>
          <w:lang w:val="en-US" w:eastAsia="zh-CN"/>
        </w:rPr>
        <w:t>增加了0.6</w:t>
      </w:r>
      <w:r>
        <w:rPr>
          <w:rFonts w:hint="eastAsia" w:ascii="仿宋_GB2312" w:eastAsia="仿宋_GB2312"/>
          <w:b w:val="0"/>
          <w:color w:val="000000"/>
          <w:sz w:val="32"/>
          <w:szCs w:val="32"/>
        </w:rPr>
        <w:t>%，</w:t>
      </w:r>
      <w:r>
        <w:rPr>
          <w:rFonts w:hint="eastAsia" w:ascii="仿宋_GB2312" w:eastAsia="仿宋_GB2312"/>
          <w:b w:val="0"/>
          <w:color w:val="000000"/>
          <w:sz w:val="32"/>
          <w:szCs w:val="32"/>
          <w:lang w:val="en-US" w:eastAsia="zh-CN"/>
        </w:rPr>
        <w:t>增加</w:t>
      </w:r>
      <w:r>
        <w:rPr>
          <w:rFonts w:hint="eastAsia" w:ascii="仿宋_GB2312" w:eastAsia="仿宋_GB2312"/>
          <w:b w:val="0"/>
          <w:color w:val="000000"/>
          <w:sz w:val="32"/>
          <w:szCs w:val="32"/>
        </w:rPr>
        <w:t>的主要原因是人员</w:t>
      </w:r>
      <w:r>
        <w:rPr>
          <w:rFonts w:hint="eastAsia" w:ascii="仿宋_GB2312" w:eastAsia="仿宋_GB2312"/>
          <w:b w:val="0"/>
          <w:color w:val="000000"/>
          <w:sz w:val="32"/>
          <w:szCs w:val="32"/>
          <w:lang w:val="en-US" w:eastAsia="zh-CN"/>
        </w:rPr>
        <w:t>经费增加。</w:t>
      </w:r>
    </w:p>
    <w:p w14:paraId="1B247D35">
      <w:pPr>
        <w:ind w:firstLine="1538" w:firstLineChars="641"/>
        <w:rPr>
          <w:rFonts w:hint="eastAsia"/>
        </w:rPr>
      </w:pPr>
      <w:r>
        <w:drawing>
          <wp:inline distT="0" distB="0" distL="114300" distR="114300">
            <wp:extent cx="2894330" cy="1849120"/>
            <wp:effectExtent l="4445" t="4445" r="15875" b="13335"/>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2B6C107">
      <w:pPr>
        <w:rPr>
          <w:rFonts w:hint="eastAsia" w:ascii="黑体"/>
          <w:color w:val="000000"/>
          <w:sz w:val="32"/>
          <w:szCs w:val="32"/>
        </w:rPr>
      </w:pPr>
    </w:p>
    <w:p w14:paraId="247684EA">
      <w:pPr>
        <w:rPr>
          <w:rFonts w:hint="eastAsia" w:ascii="黑体"/>
          <w:color w:val="000000"/>
          <w:sz w:val="32"/>
          <w:szCs w:val="32"/>
        </w:rPr>
      </w:pPr>
    </w:p>
    <w:p w14:paraId="291D4B92">
      <w:pPr>
        <w:rPr>
          <w:rFonts w:hint="eastAsia"/>
          <w:b/>
          <w:bCs/>
        </w:rPr>
      </w:pPr>
      <w:r>
        <w:rPr>
          <w:rFonts w:hint="eastAsia" w:ascii="黑体"/>
          <w:b/>
          <w:bCs/>
          <w:color w:val="000000"/>
          <w:sz w:val="32"/>
          <w:szCs w:val="32"/>
        </w:rPr>
        <w:t>五、一般公共预算财政拨款支出决算情况说明</w:t>
      </w:r>
    </w:p>
    <w:p w14:paraId="59A121B0">
      <w:pPr>
        <w:spacing w:line="240" w:lineRule="auto"/>
        <w:ind w:firstLine="640" w:firstLineChars="200"/>
        <w:rPr>
          <w:rFonts w:hint="eastAsia" w:ascii="仿宋_GB2312" w:eastAsia="仿宋_GB2312"/>
          <w:b w:val="0"/>
          <w:sz w:val="32"/>
          <w:szCs w:val="32"/>
        </w:rPr>
      </w:pPr>
      <w:r>
        <w:rPr>
          <w:rFonts w:hint="eastAsia" w:ascii="仿宋_GB2312" w:eastAsia="仿宋_GB2312"/>
          <w:b w:val="0"/>
          <w:sz w:val="32"/>
          <w:szCs w:val="32"/>
        </w:rPr>
        <w:t>（一）一般公共预算财政拨款支出决算总体情况</w:t>
      </w:r>
    </w:p>
    <w:p w14:paraId="3F0A6235">
      <w:pPr>
        <w:spacing w:line="240" w:lineRule="auto"/>
        <w:ind w:firstLine="640" w:firstLineChars="200"/>
        <w:rPr>
          <w:rFonts w:hint="eastAsia" w:ascii="黑体" w:eastAsia="仿宋_GB2312"/>
          <w:color w:val="000000"/>
          <w:sz w:val="32"/>
          <w:szCs w:val="32"/>
          <w:lang w:val="en-US" w:eastAsia="zh-CN"/>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年度财政拨款收支总决算</w:t>
      </w:r>
      <w:r>
        <w:rPr>
          <w:rFonts w:hint="eastAsia" w:ascii="仿宋_GB2312" w:eastAsia="仿宋_GB2312"/>
          <w:b w:val="0"/>
          <w:color w:val="000000"/>
          <w:sz w:val="32"/>
          <w:szCs w:val="32"/>
          <w:lang w:val="en-US" w:eastAsia="zh-CN"/>
        </w:rPr>
        <w:t>111.18</w:t>
      </w:r>
      <w:r>
        <w:rPr>
          <w:rFonts w:hint="eastAsia" w:ascii="仿宋_GB2312" w:eastAsia="仿宋_GB2312"/>
          <w:b w:val="0"/>
          <w:color w:val="000000"/>
          <w:sz w:val="32"/>
          <w:szCs w:val="32"/>
        </w:rPr>
        <w:t>万元，与202</w:t>
      </w:r>
      <w:r>
        <w:rPr>
          <w:rFonts w:hint="eastAsia" w:ascii="仿宋_GB2312" w:eastAsia="仿宋_GB2312"/>
          <w:b w:val="0"/>
          <w:color w:val="000000"/>
          <w:sz w:val="32"/>
          <w:szCs w:val="32"/>
          <w:lang w:val="en-US" w:eastAsia="zh-CN"/>
        </w:rPr>
        <w:t>3</w:t>
      </w:r>
      <w:r>
        <w:rPr>
          <w:rFonts w:hint="eastAsia" w:ascii="仿宋_GB2312" w:eastAsia="仿宋_GB2312"/>
          <w:b w:val="0"/>
          <w:color w:val="000000"/>
          <w:sz w:val="32"/>
          <w:szCs w:val="32"/>
        </w:rPr>
        <w:t>年度财政拨款收支总决算</w:t>
      </w:r>
      <w:r>
        <w:rPr>
          <w:rFonts w:hint="eastAsia" w:ascii="仿宋_GB2312" w:eastAsia="仿宋_GB2312"/>
          <w:b w:val="0"/>
          <w:bCs/>
          <w:sz w:val="32"/>
          <w:lang w:val="en-US" w:eastAsia="zh-CN"/>
        </w:rPr>
        <w:t>110.48</w:t>
      </w:r>
      <w:r>
        <w:rPr>
          <w:rFonts w:hint="eastAsia" w:ascii="仿宋_GB2312" w:eastAsia="仿宋_GB2312"/>
          <w:b w:val="0"/>
          <w:color w:val="000000"/>
          <w:sz w:val="32"/>
          <w:szCs w:val="32"/>
        </w:rPr>
        <w:t>万元相比</w:t>
      </w:r>
      <w:r>
        <w:rPr>
          <w:rFonts w:hint="eastAsia" w:ascii="仿宋_GB2312" w:eastAsia="仿宋_GB2312"/>
          <w:b w:val="0"/>
          <w:color w:val="000000"/>
          <w:sz w:val="32"/>
          <w:szCs w:val="32"/>
          <w:lang w:val="en-US" w:eastAsia="zh-CN"/>
        </w:rPr>
        <w:t>增加</w:t>
      </w:r>
      <w:r>
        <w:rPr>
          <w:rFonts w:hint="eastAsia" w:ascii="仿宋_GB2312" w:eastAsia="仿宋_GB2312"/>
          <w:b w:val="0"/>
          <w:color w:val="000000"/>
          <w:sz w:val="32"/>
          <w:szCs w:val="32"/>
        </w:rPr>
        <w:t>了</w:t>
      </w:r>
      <w:r>
        <w:rPr>
          <w:rFonts w:hint="eastAsia" w:ascii="仿宋_GB2312" w:eastAsia="仿宋_GB2312"/>
          <w:b w:val="0"/>
          <w:color w:val="000000"/>
          <w:sz w:val="32"/>
          <w:szCs w:val="32"/>
          <w:lang w:val="en-US" w:eastAsia="zh-CN"/>
        </w:rPr>
        <w:t>0.7</w:t>
      </w:r>
      <w:r>
        <w:rPr>
          <w:rFonts w:hint="eastAsia" w:ascii="仿宋_GB2312" w:eastAsia="仿宋_GB2312"/>
          <w:b w:val="0"/>
          <w:color w:val="000000"/>
          <w:sz w:val="32"/>
          <w:szCs w:val="32"/>
        </w:rPr>
        <w:t>万元，</w:t>
      </w:r>
      <w:r>
        <w:rPr>
          <w:rFonts w:hint="eastAsia" w:ascii="仿宋_GB2312" w:eastAsia="仿宋_GB2312"/>
          <w:b w:val="0"/>
          <w:color w:val="000000"/>
          <w:sz w:val="32"/>
          <w:szCs w:val="32"/>
          <w:lang w:val="en-US" w:eastAsia="zh-CN"/>
        </w:rPr>
        <w:t>增加了0.6</w:t>
      </w:r>
      <w:r>
        <w:rPr>
          <w:rFonts w:hint="eastAsia" w:ascii="仿宋_GB2312" w:eastAsia="仿宋_GB2312"/>
          <w:b w:val="0"/>
          <w:color w:val="000000"/>
          <w:sz w:val="32"/>
          <w:szCs w:val="32"/>
        </w:rPr>
        <w:t>%，</w:t>
      </w:r>
      <w:r>
        <w:rPr>
          <w:rFonts w:hint="eastAsia" w:ascii="仿宋_GB2312" w:eastAsia="仿宋_GB2312"/>
          <w:b w:val="0"/>
          <w:color w:val="000000"/>
          <w:sz w:val="32"/>
          <w:szCs w:val="32"/>
          <w:lang w:val="en-US" w:eastAsia="zh-CN"/>
        </w:rPr>
        <w:t>增加</w:t>
      </w:r>
      <w:r>
        <w:rPr>
          <w:rFonts w:hint="eastAsia" w:ascii="仿宋_GB2312" w:eastAsia="仿宋_GB2312"/>
          <w:b w:val="0"/>
          <w:color w:val="000000"/>
          <w:sz w:val="32"/>
          <w:szCs w:val="32"/>
        </w:rPr>
        <w:t>的主要原因是人员</w:t>
      </w:r>
      <w:r>
        <w:rPr>
          <w:rFonts w:hint="eastAsia" w:ascii="仿宋_GB2312" w:eastAsia="仿宋_GB2312"/>
          <w:b w:val="0"/>
          <w:color w:val="000000"/>
          <w:sz w:val="32"/>
          <w:szCs w:val="32"/>
          <w:lang w:val="en-US" w:eastAsia="zh-CN"/>
        </w:rPr>
        <w:t>经费增加。</w:t>
      </w:r>
    </w:p>
    <w:p w14:paraId="3F8AC7EB">
      <w:pPr>
        <w:ind w:firstLine="1538" w:firstLineChars="641"/>
        <w:rPr>
          <w:rFonts w:hint="eastAsia"/>
        </w:rPr>
      </w:pPr>
      <w:r>
        <w:drawing>
          <wp:inline distT="0" distB="0" distL="114300" distR="114300">
            <wp:extent cx="2894330" cy="1849120"/>
            <wp:effectExtent l="4445" t="4445" r="15875" b="13335"/>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AAB85D5">
      <w:pPr>
        <w:spacing w:line="600" w:lineRule="exact"/>
        <w:rPr>
          <w:rFonts w:hint="eastAsia"/>
        </w:rPr>
      </w:pPr>
      <w:r>
        <w:rPr>
          <w:rFonts w:hint="eastAsia" w:ascii="仿宋_GB2312" w:eastAsia="仿宋_GB2312"/>
          <w:sz w:val="32"/>
          <w:szCs w:val="32"/>
        </w:rPr>
        <w:t>（二）一般公共预算财政拨款支出决算结构情况</w:t>
      </w:r>
    </w:p>
    <w:p w14:paraId="703532D5">
      <w:pPr>
        <w:spacing w:line="240" w:lineRule="auto"/>
        <w:ind w:firstLine="640" w:firstLineChars="200"/>
        <w:rPr>
          <w:rFonts w:hint="default" w:ascii="仿宋_GB2312" w:eastAsia="仿宋_GB2312"/>
          <w:b w:val="0"/>
          <w:sz w:val="32"/>
          <w:szCs w:val="32"/>
          <w:lang w:val="en-US" w:eastAsia="zh-CN"/>
        </w:rPr>
      </w:pPr>
      <w:r>
        <w:rPr>
          <w:rFonts w:hint="eastAsia" w:ascii="仿宋_GB2312" w:eastAsia="仿宋_GB2312"/>
          <w:b w:val="0"/>
          <w:sz w:val="32"/>
          <w:szCs w:val="32"/>
          <w:lang w:eastAsia="zh-CN"/>
        </w:rPr>
        <w:t>2024</w:t>
      </w:r>
      <w:r>
        <w:rPr>
          <w:rFonts w:hint="eastAsia" w:ascii="仿宋_GB2312" w:eastAsia="仿宋_GB2312"/>
          <w:b w:val="0"/>
          <w:sz w:val="32"/>
          <w:szCs w:val="32"/>
        </w:rPr>
        <w:t>年一般公共预算财政拨款支出11</w:t>
      </w:r>
      <w:r>
        <w:rPr>
          <w:rFonts w:hint="eastAsia" w:ascii="仿宋_GB2312" w:eastAsia="仿宋_GB2312"/>
          <w:b w:val="0"/>
          <w:sz w:val="32"/>
          <w:szCs w:val="32"/>
          <w:lang w:val="en-US" w:eastAsia="zh-CN"/>
        </w:rPr>
        <w:t>1</w:t>
      </w:r>
      <w:r>
        <w:rPr>
          <w:rFonts w:hint="eastAsia" w:ascii="仿宋_GB2312" w:eastAsia="仿宋_GB2312"/>
          <w:b w:val="0"/>
          <w:sz w:val="32"/>
          <w:szCs w:val="32"/>
        </w:rPr>
        <w:t>.</w:t>
      </w:r>
      <w:r>
        <w:rPr>
          <w:rFonts w:hint="eastAsia" w:ascii="仿宋_GB2312" w:eastAsia="仿宋_GB2312"/>
          <w:b w:val="0"/>
          <w:sz w:val="32"/>
          <w:szCs w:val="32"/>
          <w:lang w:val="en-US" w:eastAsia="zh-CN"/>
        </w:rPr>
        <w:t>1</w:t>
      </w:r>
      <w:r>
        <w:rPr>
          <w:rFonts w:hint="eastAsia" w:ascii="仿宋_GB2312" w:eastAsia="仿宋_GB2312"/>
          <w:b w:val="0"/>
          <w:sz w:val="32"/>
          <w:szCs w:val="32"/>
        </w:rPr>
        <w:t>8万元，主要用于以下方面:</w:t>
      </w:r>
      <w:r>
        <w:rPr>
          <w:rFonts w:hint="eastAsia" w:ascii="仿宋_GB2312" w:hAnsi="仿宋_GB2312" w:eastAsia="仿宋_GB2312" w:cs="仿宋_GB2312"/>
          <w:b w:val="0"/>
          <w:sz w:val="28"/>
          <w:szCs w:val="28"/>
        </w:rPr>
        <w:t xml:space="preserve"> ：</w:t>
      </w:r>
      <w:r>
        <w:rPr>
          <w:rFonts w:hint="eastAsia" w:ascii="仿宋_GB2312" w:hAnsi="宋体" w:eastAsia="仿宋_GB2312" w:cs="宋体"/>
          <w:b w:val="0"/>
          <w:sz w:val="28"/>
          <w:szCs w:val="28"/>
        </w:rPr>
        <w:t>一般公共服务支出</w:t>
      </w:r>
      <w:r>
        <w:rPr>
          <w:rFonts w:hint="eastAsia" w:ascii="仿宋_GB2312" w:hAnsi="宋体" w:eastAsia="仿宋_GB2312" w:cs="宋体"/>
          <w:b w:val="0"/>
          <w:sz w:val="28"/>
          <w:szCs w:val="28"/>
          <w:lang w:val="en-US" w:eastAsia="zh-CN"/>
        </w:rPr>
        <w:t>66.21</w:t>
      </w:r>
      <w:r>
        <w:rPr>
          <w:rFonts w:hint="eastAsia" w:ascii="仿宋_GB2312" w:hAnsi="宋体" w:eastAsia="仿宋_GB2312" w:cs="宋体"/>
          <w:b w:val="0"/>
          <w:sz w:val="28"/>
          <w:szCs w:val="28"/>
        </w:rPr>
        <w:t>万元，占</w:t>
      </w:r>
      <w:r>
        <w:rPr>
          <w:rFonts w:hint="eastAsia" w:ascii="仿宋_GB2312" w:hAnsi="宋体" w:eastAsia="仿宋_GB2312" w:cs="宋体"/>
          <w:b w:val="0"/>
          <w:sz w:val="28"/>
          <w:szCs w:val="28"/>
          <w:lang w:val="en-US" w:eastAsia="zh-CN"/>
        </w:rPr>
        <w:t>60</w:t>
      </w:r>
      <w:r>
        <w:rPr>
          <w:rFonts w:hint="eastAsia" w:ascii="仿宋_GB2312" w:hAnsi="宋体" w:eastAsia="仿宋_GB2312" w:cs="宋体"/>
          <w:b w:val="0"/>
          <w:sz w:val="28"/>
          <w:szCs w:val="28"/>
        </w:rPr>
        <w:t>%；卫生健康支出</w:t>
      </w:r>
      <w:r>
        <w:rPr>
          <w:rFonts w:hint="eastAsia" w:ascii="仿宋_GB2312" w:hAnsi="宋体" w:eastAsia="仿宋_GB2312" w:cs="宋体"/>
          <w:b w:val="0"/>
          <w:sz w:val="28"/>
          <w:szCs w:val="28"/>
          <w:lang w:val="en-US" w:eastAsia="zh-CN"/>
        </w:rPr>
        <w:t>4.32</w:t>
      </w:r>
      <w:r>
        <w:rPr>
          <w:rFonts w:hint="eastAsia" w:ascii="仿宋_GB2312" w:hAnsi="宋体" w:eastAsia="仿宋_GB2312" w:cs="宋体"/>
          <w:b w:val="0"/>
          <w:sz w:val="28"/>
          <w:szCs w:val="28"/>
        </w:rPr>
        <w:t>万元，占</w:t>
      </w:r>
      <w:r>
        <w:rPr>
          <w:rFonts w:hint="eastAsia" w:ascii="仿宋_GB2312" w:hAnsi="宋体" w:eastAsia="仿宋_GB2312" w:cs="宋体"/>
          <w:b w:val="0"/>
          <w:sz w:val="28"/>
          <w:szCs w:val="28"/>
          <w:lang w:val="en-US" w:eastAsia="zh-CN"/>
        </w:rPr>
        <w:t>4</w:t>
      </w:r>
      <w:r>
        <w:rPr>
          <w:rFonts w:hint="eastAsia" w:ascii="仿宋_GB2312" w:hAnsi="宋体" w:eastAsia="仿宋_GB2312" w:cs="宋体"/>
          <w:b w:val="0"/>
          <w:sz w:val="28"/>
          <w:szCs w:val="28"/>
        </w:rPr>
        <w:t>%；住房保障支出</w:t>
      </w:r>
      <w:r>
        <w:rPr>
          <w:rFonts w:hint="eastAsia" w:ascii="仿宋_GB2312" w:hAnsi="宋体" w:eastAsia="仿宋_GB2312" w:cs="宋体"/>
          <w:b w:val="0"/>
          <w:sz w:val="28"/>
          <w:szCs w:val="28"/>
          <w:lang w:val="en-US" w:eastAsia="zh-CN"/>
        </w:rPr>
        <w:t>6.47</w:t>
      </w:r>
      <w:r>
        <w:rPr>
          <w:rFonts w:hint="eastAsia" w:ascii="仿宋_GB2312" w:hAnsi="宋体" w:eastAsia="仿宋_GB2312" w:cs="宋体"/>
          <w:b w:val="0"/>
          <w:sz w:val="28"/>
          <w:szCs w:val="28"/>
        </w:rPr>
        <w:t>万元，占6%；社会保障和就业支出</w:t>
      </w:r>
      <w:r>
        <w:rPr>
          <w:rFonts w:hint="eastAsia" w:ascii="仿宋_GB2312" w:hAnsi="宋体" w:eastAsia="仿宋_GB2312" w:cs="宋体"/>
          <w:b w:val="0"/>
          <w:sz w:val="28"/>
          <w:szCs w:val="28"/>
          <w:lang w:val="en-US" w:eastAsia="zh-CN"/>
        </w:rPr>
        <w:t>10.28</w:t>
      </w:r>
      <w:r>
        <w:rPr>
          <w:rFonts w:hint="eastAsia" w:ascii="仿宋_GB2312" w:hAnsi="宋体" w:eastAsia="仿宋_GB2312" w:cs="宋体"/>
          <w:b w:val="0"/>
          <w:sz w:val="28"/>
          <w:szCs w:val="28"/>
        </w:rPr>
        <w:t>万元，占</w:t>
      </w:r>
      <w:r>
        <w:rPr>
          <w:rFonts w:hint="eastAsia" w:ascii="仿宋_GB2312" w:hAnsi="宋体" w:eastAsia="仿宋_GB2312" w:cs="宋体"/>
          <w:b w:val="0"/>
          <w:sz w:val="28"/>
          <w:szCs w:val="28"/>
          <w:lang w:val="en-US" w:eastAsia="zh-CN"/>
        </w:rPr>
        <w:t>9</w:t>
      </w:r>
      <w:r>
        <w:rPr>
          <w:rFonts w:hint="eastAsia" w:ascii="仿宋_GB2312" w:hAnsi="宋体" w:eastAsia="仿宋_GB2312" w:cs="宋体"/>
          <w:b w:val="0"/>
          <w:sz w:val="28"/>
          <w:szCs w:val="28"/>
        </w:rPr>
        <w:t>%。</w:t>
      </w:r>
      <w:r>
        <w:rPr>
          <w:rFonts w:hint="eastAsia" w:ascii="仿宋_GB2312" w:hAnsi="宋体" w:eastAsia="仿宋_GB2312" w:cs="宋体"/>
          <w:b w:val="0"/>
          <w:sz w:val="28"/>
          <w:szCs w:val="28"/>
          <w:lang w:eastAsia="zh-CN"/>
        </w:rPr>
        <w:t>，</w:t>
      </w:r>
      <w:r>
        <w:rPr>
          <w:rFonts w:hint="eastAsia" w:ascii="仿宋_GB2312" w:hAnsi="宋体" w:eastAsia="仿宋_GB2312" w:cs="宋体"/>
          <w:b w:val="0"/>
          <w:sz w:val="28"/>
          <w:szCs w:val="28"/>
          <w:lang w:val="en-US" w:eastAsia="zh-CN"/>
        </w:rPr>
        <w:t>教育支出23.90万元，占21%。</w:t>
      </w:r>
    </w:p>
    <w:p w14:paraId="2A0F3F61">
      <w:pPr>
        <w:snapToGrid w:val="0"/>
        <w:spacing w:line="360" w:lineRule="auto"/>
        <w:jc w:val="center"/>
      </w:pPr>
      <w:r>
        <w:drawing>
          <wp:inline distT="0" distB="0" distL="114300" distR="114300">
            <wp:extent cx="3588385" cy="1790700"/>
            <wp:effectExtent l="4445" t="4445" r="7620" b="14605"/>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FF84E8">
      <w:pPr>
        <w:ind w:firstLine="640" w:firstLineChars="200"/>
        <w:rPr>
          <w:rFonts w:hint="eastAsia" w:ascii="仿宋_GB2312" w:hAnsi="仿宋_GB2312" w:eastAsia="仿宋_GB2312" w:cs="仿宋_GB2312"/>
        </w:rPr>
      </w:pPr>
      <w:r>
        <w:rPr>
          <w:rFonts w:hint="eastAsia" w:ascii="仿宋_GB2312" w:hAnsi="仿宋_GB2312" w:eastAsia="仿宋_GB2312" w:cs="仿宋_GB2312"/>
          <w:sz w:val="32"/>
          <w:szCs w:val="32"/>
        </w:rPr>
        <w:t>（三）一般公共预算财政拨款支出决算具体情况</w:t>
      </w:r>
    </w:p>
    <w:p w14:paraId="7C9C5801">
      <w:pPr>
        <w:ind w:firstLine="800" w:firstLineChars="25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sz w:val="32"/>
          <w:szCs w:val="32"/>
        </w:rPr>
        <w:t>1.一般公共服务支出</w:t>
      </w:r>
      <w:r>
        <w:rPr>
          <w:rFonts w:hint="eastAsia" w:ascii="仿宋_GB2312" w:hAnsi="仿宋_GB2312" w:eastAsia="仿宋_GB2312" w:cs="仿宋_GB2312"/>
          <w:b w:val="0"/>
          <w:bCs w:val="0"/>
          <w:sz w:val="32"/>
          <w:szCs w:val="32"/>
          <w:lang w:eastAsia="zh-CN"/>
        </w:rPr>
        <w:t>2024</w:t>
      </w:r>
      <w:r>
        <w:rPr>
          <w:rFonts w:hint="eastAsia" w:ascii="仿宋_GB2312" w:hAnsi="仿宋_GB2312" w:eastAsia="仿宋_GB2312" w:cs="仿宋_GB2312"/>
          <w:b w:val="0"/>
          <w:bCs w:val="0"/>
          <w:sz w:val="32"/>
          <w:szCs w:val="32"/>
        </w:rPr>
        <w:t>年决算数为</w:t>
      </w:r>
      <w:r>
        <w:rPr>
          <w:rFonts w:hint="eastAsia" w:ascii="仿宋_GB2312" w:hAnsi="仿宋_GB2312" w:eastAsia="仿宋_GB2312" w:cs="仿宋_GB2312"/>
          <w:b w:val="0"/>
          <w:bCs w:val="0"/>
          <w:sz w:val="32"/>
          <w:szCs w:val="32"/>
          <w:lang w:val="en-US" w:eastAsia="zh-CN"/>
        </w:rPr>
        <w:t>66.20</w:t>
      </w:r>
      <w:r>
        <w:rPr>
          <w:rFonts w:hint="eastAsia" w:ascii="仿宋_GB2312" w:hAnsi="仿宋_GB2312" w:eastAsia="仿宋_GB2312" w:cs="仿宋_GB2312"/>
          <w:b w:val="0"/>
          <w:bCs w:val="0"/>
          <w:sz w:val="32"/>
          <w:szCs w:val="32"/>
        </w:rPr>
        <w:t>万元，其中：2012801行政运行</w:t>
      </w:r>
      <w:r>
        <w:rPr>
          <w:rFonts w:hint="eastAsia" w:ascii="仿宋_GB2312" w:hAnsi="仿宋_GB2312" w:eastAsia="仿宋_GB2312" w:cs="仿宋_GB2312"/>
          <w:b w:val="0"/>
          <w:bCs w:val="0"/>
          <w:sz w:val="32"/>
          <w:szCs w:val="32"/>
          <w:lang w:val="en-US" w:eastAsia="zh-CN"/>
        </w:rPr>
        <w:t>49.21</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color w:val="000000"/>
          <w:sz w:val="32"/>
          <w:szCs w:val="32"/>
        </w:rPr>
        <w:t>2012850事业运行</w:t>
      </w:r>
      <w:r>
        <w:rPr>
          <w:rFonts w:hint="eastAsia" w:ascii="仿宋_GB2312" w:hAnsi="仿宋_GB2312" w:eastAsia="仿宋_GB2312" w:cs="仿宋_GB2312"/>
          <w:b w:val="0"/>
          <w:bCs w:val="0"/>
          <w:color w:val="000000"/>
          <w:sz w:val="32"/>
          <w:szCs w:val="32"/>
          <w:lang w:val="en-US" w:eastAsia="zh-CN"/>
        </w:rPr>
        <w:t>15.72</w:t>
      </w:r>
      <w:r>
        <w:rPr>
          <w:rFonts w:hint="eastAsia" w:ascii="仿宋_GB2312" w:hAnsi="仿宋_GB2312" w:eastAsia="仿宋_GB2312" w:cs="仿宋_GB2312"/>
          <w:b w:val="0"/>
          <w:bCs w:val="0"/>
          <w:color w:val="000000"/>
          <w:sz w:val="32"/>
          <w:szCs w:val="32"/>
        </w:rPr>
        <w:t>万元，2012899其他民主党派及工商联事务1.</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7万元，完成预算100%。</w:t>
      </w:r>
    </w:p>
    <w:p w14:paraId="737F13D0">
      <w:pPr>
        <w:ind w:firstLine="800" w:firstLineChars="250"/>
        <w:rPr>
          <w:rFonts w:hint="eastAsia" w:ascii="仿宋_GB2312" w:hAnsi="仿宋_GB2312" w:eastAsia="仿宋_GB2312" w:cs="仿宋_GB2312"/>
          <w:b w:val="0"/>
          <w:bCs w:val="0"/>
          <w:color w:val="000000"/>
          <w:sz w:val="32"/>
          <w:szCs w:val="32"/>
        </w:rPr>
      </w:pPr>
      <w:r>
        <w:rPr>
          <w:rStyle w:val="11"/>
          <w:rFonts w:hint="eastAsia" w:ascii="仿宋_GB2312" w:hAnsi="仿宋_GB2312" w:eastAsia="仿宋_GB2312" w:cs="仿宋_GB2312"/>
          <w:b w:val="0"/>
          <w:bCs w:val="0"/>
          <w:color w:val="000000"/>
          <w:sz w:val="32"/>
          <w:szCs w:val="32"/>
        </w:rPr>
        <w:t>2.社会保障和就业支出：</w:t>
      </w:r>
      <w:r>
        <w:rPr>
          <w:rStyle w:val="11"/>
          <w:rFonts w:hint="eastAsia" w:ascii="仿宋_GB2312" w:hAnsi="仿宋_GB2312" w:eastAsia="仿宋_GB2312" w:cs="仿宋_GB2312"/>
          <w:b w:val="0"/>
          <w:bCs w:val="0"/>
          <w:color w:val="000000"/>
          <w:sz w:val="32"/>
          <w:szCs w:val="32"/>
          <w:lang w:eastAsia="zh-CN"/>
        </w:rPr>
        <w:t>2024</w:t>
      </w:r>
      <w:r>
        <w:rPr>
          <w:rStyle w:val="11"/>
          <w:rFonts w:hint="eastAsia" w:ascii="仿宋_GB2312" w:hAnsi="仿宋_GB2312" w:eastAsia="仿宋_GB2312" w:cs="仿宋_GB2312"/>
          <w:b w:val="0"/>
          <w:bCs w:val="0"/>
          <w:color w:val="000000"/>
          <w:sz w:val="32"/>
          <w:szCs w:val="32"/>
        </w:rPr>
        <w:t>年决算数</w:t>
      </w:r>
      <w:r>
        <w:rPr>
          <w:rStyle w:val="11"/>
          <w:rFonts w:hint="eastAsia" w:ascii="仿宋_GB2312" w:hAnsi="仿宋_GB2312" w:eastAsia="仿宋_GB2312" w:cs="仿宋_GB2312"/>
          <w:b w:val="0"/>
          <w:bCs w:val="0"/>
          <w:color w:val="000000"/>
          <w:sz w:val="32"/>
          <w:szCs w:val="32"/>
          <w:lang w:val="en-US" w:eastAsia="zh-CN"/>
        </w:rPr>
        <w:t>10.28</w:t>
      </w:r>
      <w:r>
        <w:rPr>
          <w:rStyle w:val="11"/>
          <w:rFonts w:hint="eastAsia" w:ascii="仿宋_GB2312" w:hAnsi="仿宋_GB2312" w:eastAsia="仿宋_GB2312" w:cs="仿宋_GB2312"/>
          <w:b w:val="0"/>
          <w:bCs w:val="0"/>
          <w:color w:val="000000"/>
          <w:sz w:val="32"/>
          <w:szCs w:val="32"/>
        </w:rPr>
        <w:t>万元，其中2080505机关事业单位养老保险缴费支出</w:t>
      </w:r>
      <w:r>
        <w:rPr>
          <w:rStyle w:val="11"/>
          <w:rFonts w:hint="eastAsia" w:ascii="仿宋_GB2312" w:hAnsi="仿宋_GB2312" w:eastAsia="仿宋_GB2312" w:cs="仿宋_GB2312"/>
          <w:b w:val="0"/>
          <w:bCs w:val="0"/>
          <w:color w:val="000000"/>
          <w:sz w:val="32"/>
          <w:szCs w:val="32"/>
          <w:lang w:val="en-US" w:eastAsia="zh-CN"/>
        </w:rPr>
        <w:t>6.85</w:t>
      </w:r>
      <w:r>
        <w:rPr>
          <w:rStyle w:val="11"/>
          <w:rFonts w:hint="eastAsia" w:ascii="仿宋_GB2312" w:hAnsi="仿宋_GB2312" w:eastAsia="仿宋_GB2312" w:cs="仿宋_GB2312"/>
          <w:b w:val="0"/>
          <w:bCs w:val="0"/>
          <w:color w:val="000000"/>
          <w:sz w:val="32"/>
          <w:szCs w:val="32"/>
        </w:rPr>
        <w:t>万元；2080506机关事业单位职业年金缴费支出</w:t>
      </w:r>
      <w:r>
        <w:rPr>
          <w:rStyle w:val="11"/>
          <w:rFonts w:hint="eastAsia" w:ascii="仿宋_GB2312" w:hAnsi="仿宋_GB2312" w:eastAsia="仿宋_GB2312" w:cs="仿宋_GB2312"/>
          <w:b w:val="0"/>
          <w:bCs w:val="0"/>
          <w:color w:val="000000"/>
          <w:sz w:val="32"/>
          <w:szCs w:val="32"/>
          <w:lang w:val="en-US" w:eastAsia="zh-CN"/>
        </w:rPr>
        <w:t>3.43</w:t>
      </w:r>
      <w:r>
        <w:rPr>
          <w:rStyle w:val="11"/>
          <w:rFonts w:hint="eastAsia" w:ascii="仿宋_GB2312" w:hAnsi="仿宋_GB2312" w:eastAsia="仿宋_GB2312" w:cs="仿宋_GB2312"/>
          <w:b w:val="0"/>
          <w:bCs w:val="0"/>
          <w:color w:val="000000"/>
          <w:sz w:val="32"/>
          <w:szCs w:val="32"/>
        </w:rPr>
        <w:t>万元，</w:t>
      </w:r>
      <w:r>
        <w:rPr>
          <w:rFonts w:hint="eastAsia" w:ascii="仿宋_GB2312" w:hAnsi="仿宋_GB2312" w:eastAsia="仿宋_GB2312" w:cs="仿宋_GB2312"/>
          <w:b w:val="0"/>
          <w:bCs w:val="0"/>
          <w:color w:val="000000"/>
          <w:sz w:val="32"/>
          <w:szCs w:val="32"/>
        </w:rPr>
        <w:t>完成预算100%。</w:t>
      </w:r>
    </w:p>
    <w:p w14:paraId="263F5C26">
      <w:pPr>
        <w:ind w:firstLine="640" w:firstLineChars="200"/>
        <w:rPr>
          <w:rFonts w:hint="eastAsia" w:ascii="仿宋_GB2312" w:hAnsi="仿宋_GB2312" w:eastAsia="仿宋_GB2312" w:cs="仿宋_GB2312"/>
          <w:b w:val="0"/>
          <w:bCs w:val="0"/>
          <w:sz w:val="32"/>
          <w:szCs w:val="32"/>
        </w:rPr>
      </w:pPr>
      <w:r>
        <w:rPr>
          <w:rStyle w:val="11"/>
          <w:rFonts w:hint="eastAsia" w:ascii="仿宋_GB2312" w:hAnsi="仿宋_GB2312" w:eastAsia="仿宋_GB2312" w:cs="仿宋_GB2312"/>
          <w:b w:val="0"/>
          <w:bCs w:val="0"/>
          <w:color w:val="000000"/>
          <w:sz w:val="32"/>
          <w:szCs w:val="32"/>
        </w:rPr>
        <w:t>3.住房保障支出2210201</w:t>
      </w:r>
      <w:r>
        <w:rPr>
          <w:rFonts w:hint="eastAsia" w:ascii="仿宋_GB2312" w:hAnsi="仿宋_GB2312" w:eastAsia="仿宋_GB2312" w:cs="仿宋_GB2312"/>
          <w:b w:val="0"/>
          <w:bCs w:val="0"/>
          <w:color w:val="000000"/>
          <w:sz w:val="32"/>
          <w:szCs w:val="32"/>
        </w:rPr>
        <w:t>住房公积金</w:t>
      </w:r>
      <w:r>
        <w:rPr>
          <w:rStyle w:val="11"/>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2024</w:t>
      </w:r>
      <w:r>
        <w:rPr>
          <w:rFonts w:hint="eastAsia" w:ascii="仿宋_GB2312" w:hAnsi="仿宋_GB2312" w:eastAsia="仿宋_GB2312" w:cs="仿宋_GB2312"/>
          <w:b w:val="0"/>
          <w:bCs w:val="0"/>
          <w:color w:val="000000"/>
          <w:sz w:val="32"/>
          <w:szCs w:val="32"/>
        </w:rPr>
        <w:t>年决算数为</w:t>
      </w:r>
      <w:r>
        <w:rPr>
          <w:rFonts w:hint="eastAsia" w:ascii="仿宋_GB2312" w:hAnsi="仿宋_GB2312" w:eastAsia="仿宋_GB2312" w:cs="仿宋_GB2312"/>
          <w:b w:val="0"/>
          <w:bCs w:val="0"/>
          <w:color w:val="000000"/>
          <w:sz w:val="32"/>
          <w:szCs w:val="32"/>
          <w:lang w:val="en-US" w:eastAsia="zh-CN"/>
        </w:rPr>
        <w:t>5.47</w:t>
      </w:r>
      <w:r>
        <w:rPr>
          <w:rFonts w:hint="eastAsia" w:ascii="仿宋_GB2312" w:hAnsi="仿宋_GB2312" w:eastAsia="仿宋_GB2312" w:cs="仿宋_GB2312"/>
          <w:b w:val="0"/>
          <w:bCs w:val="0"/>
          <w:color w:val="000000"/>
          <w:sz w:val="32"/>
          <w:szCs w:val="32"/>
        </w:rPr>
        <w:t>万元，</w:t>
      </w:r>
      <w:r>
        <w:rPr>
          <w:rFonts w:hint="eastAsia" w:ascii="仿宋_GB2312" w:hAnsi="仿宋_GB2312" w:eastAsia="仿宋_GB2312" w:cs="仿宋_GB2312"/>
          <w:b w:val="0"/>
          <w:bCs w:val="0"/>
          <w:color w:val="000000"/>
          <w:sz w:val="32"/>
          <w:szCs w:val="32"/>
          <w:lang w:val="en-US" w:eastAsia="zh-CN"/>
        </w:rPr>
        <w:t>购房补贴1万元，</w:t>
      </w:r>
      <w:r>
        <w:rPr>
          <w:rFonts w:hint="eastAsia" w:ascii="仿宋_GB2312" w:hAnsi="仿宋_GB2312" w:eastAsia="仿宋_GB2312" w:cs="仿宋_GB2312"/>
          <w:b w:val="0"/>
          <w:bCs w:val="0"/>
          <w:color w:val="000000"/>
          <w:sz w:val="32"/>
          <w:szCs w:val="32"/>
        </w:rPr>
        <w:t>完成预算100%。</w:t>
      </w:r>
    </w:p>
    <w:p w14:paraId="3A77C3F8">
      <w:pPr>
        <w:ind w:firstLine="640" w:firstLineChars="200"/>
        <w:rPr>
          <w:rFonts w:hint="eastAsia" w:ascii="仿宋_GB2312" w:hAnsi="仿宋_GB2312" w:eastAsia="仿宋_GB2312" w:cs="仿宋_GB2312"/>
          <w:b w:val="0"/>
          <w:bCs w:val="0"/>
          <w:color w:val="000000"/>
          <w:sz w:val="32"/>
          <w:szCs w:val="32"/>
        </w:rPr>
      </w:pPr>
      <w:r>
        <w:rPr>
          <w:rStyle w:val="11"/>
          <w:rFonts w:hint="eastAsia" w:ascii="仿宋_GB2312" w:hAnsi="仿宋_GB2312" w:eastAsia="仿宋_GB2312" w:cs="仿宋_GB2312"/>
          <w:b w:val="0"/>
          <w:bCs w:val="0"/>
          <w:color w:val="000000"/>
          <w:sz w:val="32"/>
          <w:szCs w:val="32"/>
        </w:rPr>
        <w:t>4.卫生健康支出：</w:t>
      </w:r>
      <w:r>
        <w:rPr>
          <w:rFonts w:hint="eastAsia" w:ascii="仿宋_GB2312" w:hAnsi="仿宋_GB2312" w:eastAsia="仿宋_GB2312" w:cs="仿宋_GB2312"/>
          <w:b w:val="0"/>
          <w:bCs w:val="0"/>
          <w:color w:val="000000"/>
          <w:sz w:val="32"/>
          <w:szCs w:val="32"/>
          <w:lang w:eastAsia="zh-CN"/>
        </w:rPr>
        <w:t>2024</w:t>
      </w:r>
      <w:r>
        <w:rPr>
          <w:rFonts w:hint="eastAsia" w:ascii="仿宋_GB2312" w:hAnsi="仿宋_GB2312" w:eastAsia="仿宋_GB2312" w:cs="仿宋_GB2312"/>
          <w:b w:val="0"/>
          <w:bCs w:val="0"/>
          <w:color w:val="000000"/>
          <w:sz w:val="32"/>
          <w:szCs w:val="32"/>
        </w:rPr>
        <w:t>年决算数为</w:t>
      </w:r>
      <w:r>
        <w:rPr>
          <w:rFonts w:hint="eastAsia" w:ascii="仿宋_GB2312" w:hAnsi="仿宋_GB2312" w:eastAsia="仿宋_GB2312" w:cs="仿宋_GB2312"/>
          <w:b w:val="0"/>
          <w:bCs w:val="0"/>
          <w:color w:val="000000"/>
          <w:sz w:val="32"/>
          <w:szCs w:val="32"/>
          <w:lang w:val="en-US" w:eastAsia="zh-CN"/>
        </w:rPr>
        <w:t>4.32</w:t>
      </w:r>
      <w:r>
        <w:rPr>
          <w:rFonts w:hint="eastAsia" w:ascii="仿宋_GB2312" w:hAnsi="仿宋_GB2312" w:eastAsia="仿宋_GB2312" w:cs="仿宋_GB2312"/>
          <w:b w:val="0"/>
          <w:bCs w:val="0"/>
          <w:color w:val="000000"/>
          <w:sz w:val="32"/>
          <w:szCs w:val="32"/>
        </w:rPr>
        <w:t>万元，其中</w:t>
      </w:r>
      <w:r>
        <w:rPr>
          <w:rStyle w:val="11"/>
          <w:rFonts w:hint="eastAsia" w:ascii="仿宋_GB2312" w:hAnsi="仿宋_GB2312" w:eastAsia="仿宋_GB2312" w:cs="仿宋_GB2312"/>
          <w:b w:val="0"/>
          <w:bCs w:val="0"/>
          <w:color w:val="000000"/>
          <w:sz w:val="32"/>
          <w:szCs w:val="32"/>
        </w:rPr>
        <w:t>2101101行政单位医疗</w:t>
      </w:r>
      <w:r>
        <w:rPr>
          <w:rStyle w:val="11"/>
          <w:rFonts w:hint="eastAsia" w:ascii="仿宋_GB2312" w:hAnsi="仿宋_GB2312" w:eastAsia="仿宋_GB2312" w:cs="仿宋_GB2312"/>
          <w:b w:val="0"/>
          <w:bCs w:val="0"/>
          <w:color w:val="000000"/>
          <w:sz w:val="32"/>
          <w:szCs w:val="32"/>
          <w:lang w:val="en-US" w:eastAsia="zh-CN"/>
        </w:rPr>
        <w:t>2.07</w:t>
      </w:r>
      <w:r>
        <w:rPr>
          <w:rStyle w:val="11"/>
          <w:rFonts w:hint="eastAsia" w:ascii="仿宋_GB2312" w:hAnsi="仿宋_GB2312" w:eastAsia="仿宋_GB2312" w:cs="仿宋_GB2312"/>
          <w:b w:val="0"/>
          <w:bCs w:val="0"/>
          <w:color w:val="000000"/>
          <w:sz w:val="32"/>
          <w:szCs w:val="32"/>
        </w:rPr>
        <w:t>万元；2101102事业单位医疗</w:t>
      </w:r>
      <w:r>
        <w:rPr>
          <w:rStyle w:val="11"/>
          <w:rFonts w:hint="eastAsia" w:ascii="仿宋_GB2312" w:hAnsi="仿宋_GB2312" w:eastAsia="仿宋_GB2312" w:cs="仿宋_GB2312"/>
          <w:b w:val="0"/>
          <w:bCs w:val="0"/>
          <w:color w:val="000000"/>
          <w:sz w:val="32"/>
          <w:szCs w:val="32"/>
          <w:lang w:val="en-US" w:eastAsia="zh-CN"/>
        </w:rPr>
        <w:t>0.92</w:t>
      </w:r>
      <w:r>
        <w:rPr>
          <w:rStyle w:val="11"/>
          <w:rFonts w:hint="eastAsia" w:ascii="仿宋_GB2312" w:hAnsi="仿宋_GB2312" w:eastAsia="仿宋_GB2312" w:cs="仿宋_GB2312"/>
          <w:b w:val="0"/>
          <w:bCs w:val="0"/>
          <w:color w:val="000000"/>
          <w:sz w:val="32"/>
          <w:szCs w:val="32"/>
        </w:rPr>
        <w:t>万元；2101103公务员医疗补助</w:t>
      </w:r>
      <w:r>
        <w:rPr>
          <w:rStyle w:val="11"/>
          <w:rFonts w:hint="eastAsia" w:ascii="仿宋_GB2312" w:hAnsi="仿宋_GB2312" w:eastAsia="仿宋_GB2312" w:cs="仿宋_GB2312"/>
          <w:b w:val="0"/>
          <w:bCs w:val="0"/>
          <w:color w:val="000000"/>
          <w:sz w:val="32"/>
          <w:szCs w:val="32"/>
          <w:lang w:val="en-US" w:eastAsia="zh-CN"/>
        </w:rPr>
        <w:t>1.11</w:t>
      </w:r>
      <w:r>
        <w:rPr>
          <w:rStyle w:val="11"/>
          <w:rFonts w:hint="eastAsia" w:ascii="仿宋_GB2312" w:hAnsi="仿宋_GB2312" w:eastAsia="仿宋_GB2312" w:cs="仿宋_GB2312"/>
          <w:b w:val="0"/>
          <w:bCs w:val="0"/>
          <w:color w:val="000000"/>
          <w:sz w:val="32"/>
          <w:szCs w:val="32"/>
        </w:rPr>
        <w:t>万元</w:t>
      </w:r>
      <w:r>
        <w:rPr>
          <w:rFonts w:hint="eastAsia" w:ascii="仿宋_GB2312" w:hAnsi="仿宋_GB2312" w:eastAsia="仿宋_GB2312" w:cs="仿宋_GB2312"/>
          <w:b w:val="0"/>
          <w:bCs w:val="0"/>
          <w:color w:val="000000"/>
          <w:sz w:val="32"/>
          <w:szCs w:val="32"/>
        </w:rPr>
        <w:t>，</w:t>
      </w:r>
      <w:r>
        <w:rPr>
          <w:rStyle w:val="11"/>
          <w:rFonts w:hint="eastAsia" w:ascii="仿宋_GB2312" w:hAnsi="仿宋_GB2312" w:eastAsia="仿宋_GB2312" w:cs="仿宋_GB2312"/>
          <w:b w:val="0"/>
          <w:bCs w:val="0"/>
          <w:color w:val="000000"/>
          <w:sz w:val="32"/>
          <w:szCs w:val="32"/>
        </w:rPr>
        <w:t>2101199其他行政事业单位医疗支出0.22万元，</w:t>
      </w:r>
      <w:r>
        <w:rPr>
          <w:rFonts w:hint="eastAsia" w:ascii="仿宋_GB2312" w:hAnsi="仿宋_GB2312" w:eastAsia="仿宋_GB2312" w:cs="仿宋_GB2312"/>
          <w:b w:val="0"/>
          <w:bCs w:val="0"/>
          <w:color w:val="000000"/>
          <w:sz w:val="32"/>
          <w:szCs w:val="32"/>
        </w:rPr>
        <w:t>完成预算100%。</w:t>
      </w:r>
    </w:p>
    <w:p w14:paraId="76CF2611">
      <w:pPr>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lang w:val="en-US" w:eastAsia="zh-CN"/>
        </w:rPr>
        <w:t>5.教育支出：</w:t>
      </w:r>
      <w:r>
        <w:rPr>
          <w:rStyle w:val="11"/>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2024</w:t>
      </w:r>
      <w:r>
        <w:rPr>
          <w:rFonts w:hint="eastAsia" w:ascii="仿宋_GB2312" w:hAnsi="仿宋_GB2312" w:eastAsia="仿宋_GB2312" w:cs="仿宋_GB2312"/>
          <w:b w:val="0"/>
          <w:bCs w:val="0"/>
          <w:color w:val="000000"/>
          <w:sz w:val="32"/>
          <w:szCs w:val="32"/>
        </w:rPr>
        <w:t>年决算数为</w:t>
      </w:r>
      <w:r>
        <w:rPr>
          <w:rFonts w:hint="eastAsia" w:ascii="仿宋_GB2312" w:hAnsi="仿宋_GB2312" w:eastAsia="仿宋_GB2312" w:cs="仿宋_GB2312"/>
          <w:b w:val="0"/>
          <w:bCs w:val="0"/>
          <w:color w:val="000000"/>
          <w:sz w:val="32"/>
          <w:szCs w:val="32"/>
          <w:lang w:val="en-US" w:eastAsia="zh-CN"/>
        </w:rPr>
        <w:t>23.90</w:t>
      </w:r>
      <w:r>
        <w:rPr>
          <w:rFonts w:hint="eastAsia" w:ascii="仿宋_GB2312" w:hAnsi="仿宋_GB2312" w:eastAsia="仿宋_GB2312" w:cs="仿宋_GB2312"/>
          <w:b w:val="0"/>
          <w:bCs w:val="0"/>
          <w:color w:val="000000"/>
          <w:sz w:val="32"/>
          <w:szCs w:val="32"/>
        </w:rPr>
        <w:t>万元，完成预算100%。</w:t>
      </w:r>
    </w:p>
    <w:p w14:paraId="3E07DEC4">
      <w:pPr>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六、一般公共预算财政拨款基本支出决算情况说明</w:t>
      </w:r>
    </w:p>
    <w:p w14:paraId="76AFA05B">
      <w:pPr>
        <w:spacing w:line="240" w:lineRule="auto"/>
        <w:ind w:firstLine="640" w:firstLineChars="200"/>
        <w:rPr>
          <w:rFonts w:hint="eastAsia" w:ascii="仿宋_GB2312" w:eastAsia="仿宋_GB2312"/>
          <w:b w:val="0"/>
          <w:sz w:val="32"/>
          <w:szCs w:val="32"/>
        </w:rPr>
      </w:pPr>
      <w:r>
        <w:rPr>
          <w:rFonts w:hint="eastAsia" w:ascii="仿宋_GB2312" w:eastAsia="仿宋_GB2312"/>
          <w:b w:val="0"/>
          <w:sz w:val="32"/>
          <w:szCs w:val="32"/>
          <w:lang w:eastAsia="zh-CN"/>
        </w:rPr>
        <w:t>2024</w:t>
      </w:r>
      <w:r>
        <w:rPr>
          <w:rFonts w:hint="eastAsia" w:ascii="仿宋_GB2312" w:eastAsia="仿宋_GB2312"/>
          <w:b w:val="0"/>
          <w:sz w:val="32"/>
          <w:szCs w:val="32"/>
        </w:rPr>
        <w:t>年一般公共预算财政拨款基本支出</w:t>
      </w:r>
      <w:r>
        <w:rPr>
          <w:rFonts w:hint="eastAsia" w:ascii="仿宋_GB2312" w:hAnsi="仿宋_GB2312" w:eastAsia="仿宋_GB2312" w:cs="仿宋_GB2312"/>
          <w:b w:val="0"/>
          <w:sz w:val="28"/>
          <w:szCs w:val="28"/>
          <w:lang w:val="en-US" w:eastAsia="zh-CN"/>
        </w:rPr>
        <w:t>86.00</w:t>
      </w:r>
      <w:r>
        <w:rPr>
          <w:rFonts w:hint="eastAsia" w:ascii="仿宋_GB2312" w:hAnsi="仿宋_GB2312" w:eastAsia="仿宋_GB2312"/>
          <w:b w:val="0"/>
          <w:sz w:val="32"/>
          <w:szCs w:val="32"/>
        </w:rPr>
        <w:t>万元，其中：</w:t>
      </w:r>
    </w:p>
    <w:p w14:paraId="45254D7D">
      <w:pPr>
        <w:pStyle w:val="8"/>
        <w:spacing w:before="0" w:after="0" w:line="240" w:lineRule="auto"/>
        <w:ind w:firstLine="640" w:firstLineChars="200"/>
        <w:jc w:val="both"/>
        <w:rPr>
          <w:rFonts w:hint="eastAsia" w:ascii="仿宋" w:hAnsi="仿宋" w:eastAsia="仿宋" w:cs="仿宋"/>
        </w:rPr>
      </w:pPr>
      <w:r>
        <w:rPr>
          <w:rFonts w:hint="eastAsia" w:ascii="仿宋" w:hAnsi="仿宋" w:eastAsia="仿宋" w:cs="仿宋"/>
          <w:sz w:val="32"/>
          <w:szCs w:val="32"/>
        </w:rPr>
        <w:t>基本支出为86.00万元，与上年相比增减-23.41万元；</w:t>
      </w:r>
    </w:p>
    <w:p w14:paraId="21566CA0">
      <w:pPr>
        <w:pStyle w:val="8"/>
        <w:shd w:val="clear" w:color="auto" w:fill="auto"/>
        <w:spacing w:before="0" w:after="0" w:line="240" w:lineRule="auto"/>
        <w:ind w:firstLine="0"/>
        <w:jc w:val="both"/>
        <w:rPr>
          <w:rFonts w:hint="eastAsia" w:ascii="仿宋" w:hAnsi="仿宋" w:eastAsia="仿宋" w:cs="仿宋"/>
        </w:rPr>
      </w:pPr>
      <w:r>
        <w:rPr>
          <w:rFonts w:hint="eastAsia" w:ascii="仿宋" w:hAnsi="仿宋" w:eastAsia="仿宋" w:cs="仿宋"/>
          <w:sz w:val="32"/>
          <w:szCs w:val="32"/>
        </w:rPr>
        <w:tab/>
      </w:r>
      <w:r>
        <w:rPr>
          <w:rFonts w:hint="eastAsia" w:ascii="仿宋" w:hAnsi="仿宋" w:eastAsia="仿宋" w:cs="仿宋"/>
          <w:sz w:val="32"/>
          <w:szCs w:val="32"/>
        </w:rPr>
        <w:t>人员经费为78.67万元，与上年相比增减-24.57万元；</w:t>
      </w:r>
    </w:p>
    <w:p w14:paraId="10C4E9FD">
      <w:pPr>
        <w:pStyle w:val="8"/>
        <w:shd w:val="clear" w:color="auto" w:fill="auto"/>
        <w:spacing w:before="0" w:after="0" w:line="240" w:lineRule="auto"/>
        <w:ind w:firstLine="0"/>
        <w:jc w:val="both"/>
        <w:rPr>
          <w:rFonts w:hint="eastAsia" w:ascii="仿宋" w:hAnsi="仿宋" w:eastAsia="仿宋" w:cs="仿宋"/>
        </w:rPr>
      </w:pPr>
      <w:r>
        <w:rPr>
          <w:rFonts w:hint="eastAsia" w:ascii="仿宋" w:hAnsi="仿宋" w:eastAsia="仿宋" w:cs="仿宋"/>
          <w:sz w:val="32"/>
          <w:szCs w:val="32"/>
        </w:rPr>
        <w:tab/>
      </w:r>
      <w:r>
        <w:rPr>
          <w:rFonts w:hint="eastAsia" w:ascii="仿宋" w:hAnsi="仿宋" w:eastAsia="仿宋" w:cs="仿宋"/>
          <w:sz w:val="32"/>
          <w:szCs w:val="32"/>
        </w:rPr>
        <w:t>日常公用经费为7.33万元，与上年相比增减1.15万元；</w:t>
      </w:r>
    </w:p>
    <w:p w14:paraId="7E5B1F3A">
      <w:pPr>
        <w:spacing w:line="600" w:lineRule="exact"/>
        <w:ind w:firstLine="640" w:firstLineChars="200"/>
        <w:rPr>
          <w:rFonts w:ascii="黑体"/>
          <w:b/>
          <w:bCs/>
          <w:color w:val="000000"/>
          <w:sz w:val="32"/>
          <w:szCs w:val="32"/>
        </w:rPr>
      </w:pPr>
      <w:r>
        <w:rPr>
          <w:rFonts w:hint="eastAsia" w:ascii="黑体" w:hAnsi="黑体"/>
          <w:b/>
          <w:bCs/>
          <w:color w:val="000000"/>
          <w:sz w:val="32"/>
          <w:szCs w:val="32"/>
        </w:rPr>
        <w:t>七、</w:t>
      </w:r>
      <w:r>
        <w:rPr>
          <w:rFonts w:hint="eastAsia" w:ascii="黑体"/>
          <w:b/>
          <w:bCs/>
          <w:color w:val="000000"/>
          <w:sz w:val="32"/>
          <w:szCs w:val="32"/>
        </w:rPr>
        <w:t>“三公”经费财政拨款支出决算情况说明</w:t>
      </w:r>
    </w:p>
    <w:p w14:paraId="5D3D4972">
      <w:pPr>
        <w:spacing w:line="240" w:lineRule="auto"/>
        <w:ind w:firstLine="640" w:firstLineChars="200"/>
        <w:rPr>
          <w:rFonts w:hint="eastAsia" w:ascii="仿宋_GB2312" w:eastAsia="仿宋_GB2312"/>
          <w:bCs/>
          <w:color w:val="000000"/>
          <w:sz w:val="32"/>
          <w:szCs w:val="32"/>
        </w:rPr>
      </w:pPr>
      <w:r>
        <w:rPr>
          <w:rFonts w:ascii="仿宋_GB2312" w:hAnsi="仿宋_GB2312"/>
          <w:bCs/>
          <w:color w:val="000000"/>
          <w:sz w:val="32"/>
          <w:szCs w:val="32"/>
        </w:rPr>
        <w:t>（</w:t>
      </w:r>
      <w:r>
        <w:rPr>
          <w:rFonts w:hint="eastAsia" w:ascii="仿宋_GB2312" w:hAnsi="仿宋_GB2312" w:eastAsia="仿宋_GB2312"/>
          <w:bCs/>
          <w:color w:val="000000"/>
          <w:sz w:val="32"/>
          <w:szCs w:val="32"/>
        </w:rPr>
        <w:t>一）</w:t>
      </w:r>
      <w:r>
        <w:rPr>
          <w:rFonts w:hint="eastAsia" w:ascii="仿宋_GB2312" w:eastAsia="仿宋_GB2312"/>
          <w:bCs/>
          <w:color w:val="000000"/>
          <w:sz w:val="32"/>
          <w:szCs w:val="32"/>
        </w:rPr>
        <w:t>“三公”经费财政拨款支出决算总体情况说明</w:t>
      </w:r>
    </w:p>
    <w:p w14:paraId="3C88A07B">
      <w:pPr>
        <w:spacing w:line="240" w:lineRule="auto"/>
        <w:ind w:firstLine="0" w:firstLineChars="0"/>
        <w:rPr>
          <w:rFonts w:hint="eastAsia" w:ascii="仿宋_GB2312" w:eastAsia="仿宋_GB2312"/>
          <w:b w:val="0"/>
          <w:color w:val="333333"/>
          <w:sz w:val="32"/>
          <w:szCs w:val="32"/>
        </w:rPr>
      </w:pPr>
      <w:r>
        <w:rPr>
          <w:rFonts w:hint="eastAsia" w:ascii="仿宋_GB2312" w:eastAsia="仿宋_GB2312"/>
          <w:b w:val="0"/>
          <w:color w:val="333333"/>
          <w:sz w:val="32"/>
          <w:szCs w:val="32"/>
          <w:lang w:eastAsia="zh-CN"/>
        </w:rPr>
        <w:t>2024</w:t>
      </w:r>
      <w:r>
        <w:rPr>
          <w:rFonts w:hint="eastAsia" w:ascii="仿宋_GB2312" w:eastAsia="仿宋_GB2312"/>
          <w:b w:val="0"/>
          <w:color w:val="333333"/>
          <w:sz w:val="32"/>
          <w:szCs w:val="32"/>
        </w:rPr>
        <w:t>年度“三公”经费财政拨款支出决算为</w:t>
      </w:r>
      <w:r>
        <w:rPr>
          <w:rFonts w:hint="eastAsia" w:ascii="仿宋_GB2312" w:eastAsia="仿宋_GB2312"/>
          <w:b w:val="0"/>
          <w:sz w:val="32"/>
          <w:szCs w:val="32"/>
        </w:rPr>
        <w:t>1.</w:t>
      </w:r>
      <w:r>
        <w:rPr>
          <w:rFonts w:hint="eastAsia" w:ascii="仿宋_GB2312" w:eastAsia="仿宋_GB2312"/>
          <w:b w:val="0"/>
          <w:sz w:val="32"/>
          <w:szCs w:val="32"/>
          <w:lang w:val="en-US" w:eastAsia="zh-CN"/>
        </w:rPr>
        <w:t>5</w:t>
      </w:r>
      <w:r>
        <w:rPr>
          <w:rFonts w:hint="eastAsia" w:ascii="仿宋_GB2312" w:hAnsi="仿宋_GB2312" w:eastAsia="仿宋_GB2312"/>
          <w:b w:val="0"/>
          <w:color w:val="333333"/>
          <w:sz w:val="32"/>
          <w:szCs w:val="32"/>
        </w:rPr>
        <w:t>万元，完成预算</w:t>
      </w:r>
      <w:r>
        <w:rPr>
          <w:rFonts w:hint="eastAsia" w:ascii="仿宋_GB2312" w:eastAsia="仿宋_GB2312"/>
          <w:b w:val="0"/>
          <w:color w:val="333333"/>
          <w:sz w:val="32"/>
          <w:szCs w:val="32"/>
        </w:rPr>
        <w:t>100%，其中：因公出国（境）费支出决算为0万元；公务用车运行维护费支出决算为</w:t>
      </w:r>
      <w:r>
        <w:rPr>
          <w:rFonts w:hint="eastAsia" w:ascii="仿宋_GB2312" w:eastAsia="仿宋_GB2312"/>
          <w:b w:val="0"/>
          <w:sz w:val="32"/>
          <w:szCs w:val="32"/>
        </w:rPr>
        <w:t>1</w:t>
      </w:r>
      <w:r>
        <w:rPr>
          <w:rFonts w:hint="eastAsia" w:ascii="仿宋_GB2312" w:eastAsia="仿宋_GB2312"/>
          <w:b w:val="0"/>
          <w:sz w:val="32"/>
          <w:szCs w:val="32"/>
          <w:lang w:val="en-US" w:eastAsia="zh-CN"/>
        </w:rPr>
        <w:t>.5</w:t>
      </w:r>
      <w:r>
        <w:rPr>
          <w:rFonts w:hint="eastAsia" w:ascii="仿宋_GB2312" w:hAnsi="仿宋_GB2312" w:eastAsia="仿宋_GB2312"/>
          <w:b w:val="0"/>
          <w:color w:val="333333"/>
          <w:sz w:val="32"/>
          <w:szCs w:val="32"/>
        </w:rPr>
        <w:t>万元；公务接待费支出决算为</w:t>
      </w:r>
      <w:r>
        <w:rPr>
          <w:rFonts w:hint="eastAsia" w:ascii="仿宋_GB2312" w:eastAsia="仿宋_GB2312"/>
          <w:b w:val="0"/>
          <w:color w:val="333333"/>
          <w:sz w:val="32"/>
          <w:szCs w:val="32"/>
        </w:rPr>
        <w:t>0.0</w:t>
      </w:r>
      <w:r>
        <w:rPr>
          <w:rFonts w:hint="eastAsia" w:ascii="仿宋_GB2312" w:eastAsia="仿宋_GB2312"/>
          <w:b w:val="0"/>
          <w:color w:val="333333"/>
          <w:sz w:val="32"/>
          <w:szCs w:val="32"/>
          <w:lang w:val="en-US" w:eastAsia="zh-CN"/>
        </w:rPr>
        <w:t>0</w:t>
      </w:r>
      <w:r>
        <w:rPr>
          <w:rFonts w:hint="eastAsia" w:ascii="仿宋_GB2312" w:hAnsi="仿宋_GB2312" w:eastAsia="仿宋_GB2312"/>
          <w:b w:val="0"/>
          <w:color w:val="333333"/>
          <w:sz w:val="32"/>
          <w:szCs w:val="32"/>
        </w:rPr>
        <w:t>万元</w:t>
      </w:r>
      <w:r>
        <w:rPr>
          <w:rFonts w:hint="eastAsia" w:ascii="仿宋_GB2312" w:eastAsia="仿宋_GB2312"/>
          <w:b w:val="0"/>
          <w:color w:val="333333"/>
          <w:sz w:val="32"/>
          <w:szCs w:val="32"/>
        </w:rPr>
        <w:t>。</w:t>
      </w:r>
    </w:p>
    <w:p w14:paraId="648AED66">
      <w:pPr>
        <w:spacing w:line="240" w:lineRule="auto"/>
        <w:ind w:firstLine="640" w:firstLineChars="200"/>
        <w:rPr>
          <w:rFonts w:hint="eastAsia" w:ascii="仿宋_GB2312" w:hAnsi="仿宋_GB2312" w:eastAsia="仿宋_GB2312" w:cs="仿宋_GB2312"/>
          <w:b w:val="0"/>
          <w:bCs/>
          <w:sz w:val="32"/>
          <w:szCs w:val="32"/>
        </w:rPr>
      </w:pPr>
      <w:r>
        <w:rPr>
          <w:rFonts w:hint="eastAsia" w:ascii="仿宋_GB2312" w:eastAsia="仿宋_GB2312"/>
          <w:b w:val="0"/>
          <w:color w:val="333333"/>
          <w:sz w:val="32"/>
          <w:szCs w:val="32"/>
          <w:lang w:eastAsia="zh-CN"/>
        </w:rPr>
        <w:t>2024</w:t>
      </w:r>
      <w:r>
        <w:rPr>
          <w:rFonts w:hint="eastAsia" w:ascii="仿宋_GB2312" w:eastAsia="仿宋_GB2312"/>
          <w:b w:val="0"/>
          <w:color w:val="333333"/>
          <w:sz w:val="32"/>
          <w:szCs w:val="32"/>
        </w:rPr>
        <w:t>年度“三公”经费财政拨款支出决算数1.</w:t>
      </w:r>
      <w:r>
        <w:rPr>
          <w:rFonts w:hint="eastAsia" w:ascii="仿宋_GB2312" w:eastAsia="仿宋_GB2312"/>
          <w:b w:val="0"/>
          <w:color w:val="333333"/>
          <w:sz w:val="32"/>
          <w:szCs w:val="32"/>
          <w:lang w:val="en-US" w:eastAsia="zh-CN"/>
        </w:rPr>
        <w:t>5</w:t>
      </w:r>
      <w:r>
        <w:rPr>
          <w:rFonts w:hint="eastAsia" w:ascii="仿宋_GB2312" w:eastAsia="仿宋_GB2312"/>
          <w:b w:val="0"/>
          <w:color w:val="333333"/>
          <w:sz w:val="32"/>
          <w:szCs w:val="32"/>
        </w:rPr>
        <w:t>万元比202</w:t>
      </w:r>
      <w:r>
        <w:rPr>
          <w:rFonts w:hint="eastAsia" w:ascii="仿宋_GB2312" w:eastAsia="仿宋_GB2312"/>
          <w:b w:val="0"/>
          <w:color w:val="333333"/>
          <w:sz w:val="32"/>
          <w:szCs w:val="32"/>
          <w:lang w:val="en-US" w:eastAsia="zh-CN"/>
        </w:rPr>
        <w:t>3</w:t>
      </w:r>
      <w:r>
        <w:rPr>
          <w:rFonts w:hint="eastAsia" w:ascii="仿宋_GB2312" w:eastAsia="仿宋_GB2312"/>
          <w:b w:val="0"/>
          <w:color w:val="333333"/>
          <w:sz w:val="32"/>
          <w:szCs w:val="32"/>
        </w:rPr>
        <w:t>年决算数1.</w:t>
      </w:r>
      <w:r>
        <w:rPr>
          <w:rFonts w:hint="eastAsia" w:ascii="仿宋_GB2312" w:eastAsia="仿宋_GB2312"/>
          <w:b w:val="0"/>
          <w:color w:val="333333"/>
          <w:sz w:val="32"/>
          <w:szCs w:val="32"/>
          <w:lang w:val="en-US" w:eastAsia="zh-CN"/>
        </w:rPr>
        <w:t>84</w:t>
      </w:r>
      <w:r>
        <w:rPr>
          <w:rFonts w:hint="eastAsia" w:ascii="仿宋_GB2312" w:eastAsia="仿宋_GB2312"/>
          <w:b w:val="0"/>
          <w:color w:val="333333"/>
          <w:sz w:val="32"/>
          <w:szCs w:val="32"/>
        </w:rPr>
        <w:t>万元</w:t>
      </w:r>
      <w:r>
        <w:rPr>
          <w:rFonts w:hint="eastAsia" w:ascii="仿宋_GB2312" w:eastAsia="仿宋_GB2312"/>
          <w:b w:val="0"/>
          <w:color w:val="000000"/>
          <w:sz w:val="32"/>
          <w:szCs w:val="32"/>
          <w:lang w:val="en-US" w:eastAsia="zh-CN"/>
        </w:rPr>
        <w:t>减少了0.34</w:t>
      </w:r>
      <w:r>
        <w:rPr>
          <w:rFonts w:hint="eastAsia" w:ascii="仿宋_GB2312" w:eastAsia="仿宋_GB2312"/>
          <w:b w:val="0"/>
          <w:color w:val="333333"/>
          <w:sz w:val="32"/>
          <w:szCs w:val="32"/>
        </w:rPr>
        <w:t>万元，</w:t>
      </w:r>
      <w:r>
        <w:rPr>
          <w:rFonts w:hint="eastAsia" w:ascii="仿宋_GB2312" w:eastAsia="仿宋_GB2312"/>
          <w:b w:val="0"/>
          <w:color w:val="000000"/>
          <w:sz w:val="32"/>
          <w:szCs w:val="32"/>
          <w:lang w:val="en-US" w:eastAsia="zh-CN"/>
        </w:rPr>
        <w:t>减少</w:t>
      </w:r>
      <w:r>
        <w:rPr>
          <w:rFonts w:hint="eastAsia" w:ascii="仿宋_GB2312" w:eastAsia="仿宋_GB2312"/>
          <w:b w:val="0"/>
          <w:color w:val="000000"/>
          <w:sz w:val="32"/>
          <w:szCs w:val="32"/>
        </w:rPr>
        <w:t>原因：</w:t>
      </w:r>
      <w:r>
        <w:rPr>
          <w:rFonts w:hint="eastAsia" w:ascii="仿宋_GB2312" w:eastAsia="仿宋_GB2312"/>
          <w:b w:val="0"/>
          <w:color w:val="000000"/>
          <w:sz w:val="32"/>
          <w:szCs w:val="32"/>
          <w:lang w:val="en-US" w:eastAsia="zh-CN"/>
        </w:rPr>
        <w:t>厉行节约</w:t>
      </w:r>
      <w:r>
        <w:rPr>
          <w:rFonts w:hint="eastAsia" w:ascii="仿宋_GB2312" w:hAnsi="仿宋_GB2312" w:eastAsia="仿宋_GB2312" w:cs="仿宋_GB2312"/>
          <w:b w:val="0"/>
          <w:bCs/>
          <w:sz w:val="32"/>
          <w:szCs w:val="32"/>
        </w:rPr>
        <w:t>。</w:t>
      </w:r>
      <w:r>
        <w:rPr>
          <w:rFonts w:hint="eastAsia" w:ascii="仿宋_GB2312" w:eastAsia="仿宋_GB2312"/>
          <w:b w:val="0"/>
          <w:color w:val="000000"/>
          <w:sz w:val="32"/>
          <w:szCs w:val="32"/>
        </w:rPr>
        <w:t>其中：</w:t>
      </w:r>
      <w:r>
        <w:rPr>
          <w:rFonts w:hint="eastAsia" w:ascii="仿宋_GB2312" w:eastAsia="仿宋_GB2312"/>
          <w:b w:val="0"/>
          <w:color w:val="333333"/>
          <w:sz w:val="32"/>
          <w:szCs w:val="32"/>
        </w:rPr>
        <w:t>因公出国（境）费支出0万元；公务用车运行维护费支出决算数</w:t>
      </w:r>
      <w:r>
        <w:rPr>
          <w:rFonts w:hint="eastAsia" w:ascii="仿宋_GB2312" w:eastAsia="仿宋_GB2312"/>
          <w:b w:val="0"/>
          <w:color w:val="000000"/>
          <w:sz w:val="32"/>
          <w:szCs w:val="32"/>
        </w:rPr>
        <w:t>1.</w:t>
      </w:r>
      <w:r>
        <w:rPr>
          <w:rFonts w:hint="eastAsia" w:ascii="仿宋_GB2312" w:eastAsia="仿宋_GB2312"/>
          <w:b w:val="0"/>
          <w:color w:val="000000"/>
          <w:sz w:val="32"/>
          <w:szCs w:val="32"/>
          <w:lang w:val="en-US" w:eastAsia="zh-CN"/>
        </w:rPr>
        <w:t>5</w:t>
      </w:r>
      <w:r>
        <w:rPr>
          <w:rFonts w:hint="eastAsia" w:ascii="仿宋_GB2312" w:eastAsia="仿宋_GB2312"/>
          <w:b w:val="0"/>
          <w:color w:val="333333"/>
          <w:sz w:val="32"/>
          <w:szCs w:val="32"/>
        </w:rPr>
        <w:t>万元，公务用车运行维护费主要用于耗油量，单位车辆维修及保险费用等；公务接待费支出决算</w:t>
      </w:r>
      <w:r>
        <w:rPr>
          <w:rFonts w:hint="eastAsia" w:ascii="仿宋_GB2312" w:eastAsia="仿宋_GB2312"/>
          <w:b w:val="0"/>
          <w:color w:val="000000"/>
          <w:sz w:val="32"/>
          <w:szCs w:val="32"/>
        </w:rPr>
        <w:t>0</w:t>
      </w:r>
      <w:r>
        <w:rPr>
          <w:rFonts w:hint="eastAsia" w:ascii="仿宋_GB2312" w:eastAsia="仿宋_GB2312"/>
          <w:b w:val="0"/>
          <w:color w:val="333333"/>
          <w:sz w:val="32"/>
          <w:szCs w:val="32"/>
        </w:rPr>
        <w:t>万元。</w:t>
      </w:r>
    </w:p>
    <w:p w14:paraId="6A30E3A9">
      <w:pPr>
        <w:spacing w:line="240" w:lineRule="auto"/>
        <w:ind w:firstLine="640" w:firstLineChars="200"/>
        <w:rPr>
          <w:rFonts w:hint="eastAsia" w:ascii="仿宋_GB2312" w:eastAsia="仿宋_GB2312"/>
          <w:sz w:val="32"/>
          <w:szCs w:val="32"/>
        </w:rPr>
      </w:pPr>
      <w:r>
        <w:rPr>
          <w:rFonts w:hint="eastAsia" w:ascii="仿宋_GB2312" w:eastAsia="仿宋_GB2312"/>
          <w:sz w:val="32"/>
          <w:szCs w:val="32"/>
        </w:rPr>
        <w:t>（二）“三公”经费财政拨款支出决算具体情况说明</w:t>
      </w:r>
    </w:p>
    <w:p w14:paraId="1538C1D8">
      <w:pPr>
        <w:pStyle w:val="8"/>
        <w:spacing w:before="0" w:after="0" w:line="240" w:lineRule="auto"/>
        <w:ind w:firstLine="640" w:firstLineChars="200"/>
        <w:jc w:val="both"/>
      </w:pPr>
      <w:r>
        <w:rPr>
          <w:rFonts w:ascii="仿宋" w:hAnsi="仿宋" w:eastAsia="仿宋" w:cs="仿宋"/>
          <w:sz w:val="32"/>
          <w:szCs w:val="32"/>
        </w:rPr>
        <w:t>“</w:t>
      </w:r>
      <w:r>
        <w:rPr>
          <w:rFonts w:ascii="仿宋_GB2312" w:hAnsi="仿宋_GB2312" w:eastAsia="仿宋_GB2312" w:cs="仿宋_GB2312"/>
          <w:sz w:val="32"/>
          <w:szCs w:val="32"/>
        </w:rPr>
        <w:t>三公</w:t>
      </w:r>
      <w:r>
        <w:rPr>
          <w:rFonts w:ascii="仿宋" w:hAnsi="仿宋" w:eastAsia="仿宋" w:cs="仿宋"/>
          <w:sz w:val="32"/>
          <w:szCs w:val="32"/>
        </w:rPr>
        <w:t>”</w:t>
      </w:r>
      <w:r>
        <w:rPr>
          <w:rFonts w:ascii="仿宋_GB2312" w:hAnsi="仿宋_GB2312" w:eastAsia="仿宋_GB2312" w:cs="仿宋_GB2312"/>
          <w:sz w:val="32"/>
          <w:szCs w:val="32"/>
        </w:rPr>
        <w:t>经费支出情况：单位本年度</w:t>
      </w:r>
      <w:r>
        <w:rPr>
          <w:rFonts w:ascii="仿宋" w:hAnsi="仿宋" w:eastAsia="仿宋" w:cs="仿宋"/>
          <w:sz w:val="32"/>
          <w:szCs w:val="32"/>
        </w:rPr>
        <w:t>“</w:t>
      </w:r>
      <w:r>
        <w:rPr>
          <w:rFonts w:ascii="仿宋_GB2312" w:hAnsi="仿宋_GB2312" w:eastAsia="仿宋_GB2312" w:cs="仿宋_GB2312"/>
          <w:sz w:val="32"/>
          <w:szCs w:val="32"/>
        </w:rPr>
        <w:t>三公</w:t>
      </w:r>
      <w:r>
        <w:rPr>
          <w:rFonts w:ascii="仿宋" w:hAnsi="仿宋" w:eastAsia="仿宋" w:cs="仿宋"/>
          <w:sz w:val="32"/>
          <w:szCs w:val="32"/>
        </w:rPr>
        <w:t>”</w:t>
      </w:r>
      <w:r>
        <w:rPr>
          <w:rFonts w:ascii="仿宋_GB2312" w:hAnsi="仿宋_GB2312" w:eastAsia="仿宋_GB2312" w:cs="仿宋_GB2312"/>
          <w:sz w:val="32"/>
          <w:szCs w:val="32"/>
        </w:rPr>
        <w:t>经费支出决算数为1.50万元；</w:t>
      </w:r>
    </w:p>
    <w:p w14:paraId="77D4E261">
      <w:pPr>
        <w:pStyle w:val="8"/>
        <w:spacing w:before="0" w:after="0" w:line="240" w:lineRule="auto"/>
        <w:ind w:firstLine="960" w:firstLineChars="300"/>
        <w:jc w:val="both"/>
      </w:pPr>
      <w:r>
        <w:rPr>
          <w:rFonts w:ascii="仿宋_GB2312" w:hAnsi="仿宋_GB2312" w:eastAsia="仿宋_GB2312" w:cs="仿宋_GB2312"/>
          <w:sz w:val="32"/>
          <w:szCs w:val="32"/>
        </w:rPr>
        <w:t>因公出国（境）费决算数为0.00万元;公务用车购置及运行维护费决算数为1.50万元;公务用车购置费决算数为0.00万元;公务用车运行维护费决算数为1.50万元;公务接待费决算数为0.00万元。</w:t>
      </w:r>
    </w:p>
    <w:p w14:paraId="0C444B09">
      <w:pPr>
        <w:spacing w:line="600" w:lineRule="exact"/>
        <w:ind w:firstLine="470" w:firstLineChars="196"/>
        <w:rPr>
          <w:rFonts w:hint="eastAsia" w:ascii="仿宋_GB2312" w:eastAsia="仿宋_GB2312"/>
          <w:color w:val="000000"/>
          <w:sz w:val="32"/>
          <w:szCs w:val="32"/>
        </w:rPr>
      </w:pPr>
      <w:r>
        <w:drawing>
          <wp:anchor distT="0" distB="0" distL="114300" distR="114300" simplePos="0" relativeHeight="251659264" behindDoc="1" locked="0" layoutInCell="1" allowOverlap="1">
            <wp:simplePos x="0" y="0"/>
            <wp:positionH relativeFrom="column">
              <wp:posOffset>912495</wp:posOffset>
            </wp:positionH>
            <wp:positionV relativeFrom="paragraph">
              <wp:posOffset>166370</wp:posOffset>
            </wp:positionV>
            <wp:extent cx="3029585" cy="1682115"/>
            <wp:effectExtent l="4445" t="4445" r="13970" b="889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2E8059E">
      <w:pPr>
        <w:spacing w:line="600" w:lineRule="exact"/>
        <w:ind w:firstLine="470" w:firstLineChars="196"/>
      </w:pPr>
    </w:p>
    <w:p w14:paraId="22C753CF">
      <w:pPr>
        <w:spacing w:line="600" w:lineRule="exact"/>
        <w:ind w:firstLine="470" w:firstLineChars="196"/>
        <w:rPr>
          <w:rFonts w:hint="eastAsia"/>
        </w:rPr>
      </w:pPr>
    </w:p>
    <w:p w14:paraId="3EFCFE38">
      <w:pPr>
        <w:spacing w:line="600" w:lineRule="exact"/>
        <w:ind w:firstLine="627" w:firstLineChars="196"/>
        <w:rPr>
          <w:rFonts w:hint="eastAsia" w:ascii="仿宋_GB2312" w:eastAsia="仿宋_GB2312"/>
          <w:color w:val="000000"/>
          <w:sz w:val="32"/>
          <w:szCs w:val="32"/>
        </w:rPr>
      </w:pPr>
    </w:p>
    <w:p w14:paraId="580A833D">
      <w:pPr>
        <w:spacing w:line="240" w:lineRule="auto"/>
        <w:ind w:firstLine="640" w:firstLineChars="200"/>
        <w:rPr>
          <w:rFonts w:hint="eastAsia" w:ascii="仿宋_GB2312" w:eastAsia="仿宋_GB2312"/>
          <w:color w:val="000000"/>
          <w:sz w:val="32"/>
          <w:szCs w:val="32"/>
        </w:rPr>
      </w:pPr>
    </w:p>
    <w:p w14:paraId="0BC6EC2C">
      <w:pPr>
        <w:spacing w:line="240" w:lineRule="auto"/>
        <w:ind w:firstLine="640" w:firstLineChars="200"/>
        <w:rPr>
          <w:rFonts w:hint="eastAsia" w:ascii="仿宋_GB2312" w:eastAsia="仿宋_GB2312"/>
          <w:color w:val="000000"/>
          <w:sz w:val="32"/>
          <w:szCs w:val="32"/>
        </w:rPr>
      </w:pPr>
    </w:p>
    <w:p w14:paraId="0CA214F1">
      <w:pPr>
        <w:spacing w:line="240" w:lineRule="auto"/>
        <w:ind w:firstLine="640" w:firstLineChars="200"/>
        <w:rPr>
          <w:rFonts w:hint="eastAsia" w:ascii="仿宋_GB2312" w:eastAsia="仿宋_GB2312"/>
          <w:b w:val="0"/>
          <w:color w:val="000000"/>
          <w:sz w:val="32"/>
          <w:szCs w:val="32"/>
        </w:rPr>
      </w:pPr>
      <w:r>
        <w:rPr>
          <w:rFonts w:hint="eastAsia" w:ascii="仿宋_GB2312" w:eastAsia="仿宋_GB2312"/>
          <w:color w:val="000000"/>
          <w:sz w:val="32"/>
          <w:szCs w:val="32"/>
        </w:rPr>
        <w:t>1.因公出国（境）经费：</w:t>
      </w: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年因公出国（境）费0万元。</w:t>
      </w:r>
    </w:p>
    <w:p w14:paraId="5E4B3396">
      <w:pPr>
        <w:spacing w:line="24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2.公务用车购置及运行维护费</w:t>
      </w:r>
    </w:p>
    <w:p w14:paraId="223D7778">
      <w:pPr>
        <w:spacing w:line="240" w:lineRule="auto"/>
        <w:ind w:firstLine="640" w:firstLineChars="200"/>
        <w:rPr>
          <w:rFonts w:hint="eastAsia" w:ascii="仿宋_GB2312" w:eastAsia="仿宋_GB2312"/>
          <w:b w:val="0"/>
          <w:color w:val="000000"/>
          <w:sz w:val="32"/>
          <w:szCs w:val="32"/>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年公务用车运行维护费支出1.</w:t>
      </w:r>
      <w:r>
        <w:rPr>
          <w:rFonts w:hint="eastAsia" w:ascii="仿宋_GB2312" w:eastAsia="仿宋_GB2312"/>
          <w:b w:val="0"/>
          <w:color w:val="000000"/>
          <w:sz w:val="32"/>
          <w:szCs w:val="32"/>
          <w:lang w:val="en-US" w:eastAsia="zh-CN"/>
        </w:rPr>
        <w:t>5</w:t>
      </w:r>
      <w:r>
        <w:rPr>
          <w:rFonts w:hint="eastAsia" w:ascii="仿宋_GB2312" w:eastAsia="仿宋_GB2312"/>
          <w:b w:val="0"/>
          <w:color w:val="000000"/>
          <w:sz w:val="32"/>
          <w:szCs w:val="32"/>
        </w:rPr>
        <w:t>万元，主要用于开展各项财政工作所需的公务用车燃料费、维修费、过路费、保险费等支出。</w:t>
      </w:r>
    </w:p>
    <w:p w14:paraId="5D03D053">
      <w:pPr>
        <w:spacing w:line="240" w:lineRule="auto"/>
        <w:ind w:firstLine="640" w:firstLineChars="200"/>
        <w:rPr>
          <w:rFonts w:ascii="仿宋_GB2312" w:eastAsia="仿宋_GB2312"/>
          <w:b w:val="0"/>
          <w:color w:val="000000"/>
          <w:sz w:val="32"/>
          <w:szCs w:val="32"/>
        </w:rPr>
      </w:pPr>
      <w:r>
        <w:rPr>
          <w:rFonts w:hint="eastAsia" w:ascii="仿宋_GB2312" w:eastAsia="仿宋_GB2312"/>
          <w:b w:val="0"/>
          <w:color w:val="000000"/>
          <w:sz w:val="32"/>
          <w:szCs w:val="32"/>
        </w:rPr>
        <w:t>单位车辆保有量1辆。</w:t>
      </w:r>
    </w:p>
    <w:p w14:paraId="7F75A2F1">
      <w:pPr>
        <w:spacing w:line="240" w:lineRule="auto"/>
        <w:ind w:firstLine="640" w:firstLineChars="200"/>
        <w:rPr>
          <w:rFonts w:ascii="楷体_GB2312" w:eastAsia="楷体_GB2312"/>
          <w:color w:val="000000"/>
          <w:sz w:val="32"/>
          <w:szCs w:val="32"/>
        </w:rPr>
      </w:pPr>
      <w:r>
        <w:rPr>
          <w:rFonts w:hint="eastAsia" w:ascii="仿宋_GB2312" w:eastAsia="仿宋_GB2312"/>
          <w:color w:val="000000"/>
          <w:sz w:val="32"/>
          <w:szCs w:val="32"/>
        </w:rPr>
        <w:t>3.公务接待费</w:t>
      </w:r>
    </w:p>
    <w:p w14:paraId="5985D85F">
      <w:pPr>
        <w:spacing w:line="240" w:lineRule="auto"/>
        <w:ind w:firstLine="640" w:firstLineChars="200"/>
        <w:rPr>
          <w:rFonts w:hint="eastAsia" w:ascii="仿宋_GB2312" w:eastAsia="仿宋_GB2312"/>
          <w:b w:val="0"/>
          <w:color w:val="000000"/>
          <w:sz w:val="32"/>
          <w:szCs w:val="32"/>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年公务接待费0万元。</w:t>
      </w:r>
    </w:p>
    <w:p w14:paraId="3C54DA2D">
      <w:pPr>
        <w:spacing w:line="240" w:lineRule="auto"/>
        <w:ind w:firstLine="640" w:firstLineChars="200"/>
        <w:rPr>
          <w:rFonts w:hint="eastAsia" w:ascii="黑体"/>
          <w:b/>
          <w:bCs/>
          <w:sz w:val="32"/>
          <w:szCs w:val="32"/>
        </w:rPr>
      </w:pPr>
      <w:r>
        <w:rPr>
          <w:rFonts w:hint="eastAsia" w:ascii="黑体"/>
          <w:b/>
          <w:bCs/>
          <w:sz w:val="32"/>
          <w:szCs w:val="32"/>
        </w:rPr>
        <w:t>八、政府性基金预算财政拨款支出决算情况说明</w:t>
      </w:r>
    </w:p>
    <w:p w14:paraId="19784792">
      <w:pPr>
        <w:spacing w:line="240" w:lineRule="auto"/>
        <w:ind w:firstLine="640" w:firstLineChars="200"/>
        <w:rPr>
          <w:rFonts w:hint="eastAsia" w:ascii="仿宋_GB2312" w:eastAsia="仿宋_GB2312"/>
          <w:b w:val="0"/>
          <w:sz w:val="32"/>
          <w:szCs w:val="32"/>
        </w:rPr>
      </w:pPr>
      <w:r>
        <w:rPr>
          <w:rFonts w:hint="eastAsia" w:ascii="仿宋_GB2312" w:eastAsia="仿宋_GB2312"/>
          <w:b w:val="0"/>
          <w:sz w:val="32"/>
          <w:szCs w:val="32"/>
          <w:lang w:eastAsia="zh-CN"/>
        </w:rPr>
        <w:t>2024</w:t>
      </w:r>
      <w:r>
        <w:rPr>
          <w:rFonts w:hint="eastAsia" w:ascii="仿宋_GB2312" w:eastAsia="仿宋_GB2312"/>
          <w:b w:val="0"/>
          <w:sz w:val="32"/>
          <w:szCs w:val="32"/>
        </w:rPr>
        <w:t>年政府性基金预算财政拨款支出数0万元。</w:t>
      </w:r>
    </w:p>
    <w:p w14:paraId="593560D4">
      <w:pPr>
        <w:numPr>
          <w:numId w:val="0"/>
        </w:numPr>
        <w:spacing w:line="240" w:lineRule="auto"/>
        <w:ind w:firstLine="643" w:firstLineChars="200"/>
        <w:rPr>
          <w:rFonts w:hint="eastAsia" w:ascii="仿宋_GB2312" w:eastAsia="仿宋_GB2312"/>
          <w:b/>
          <w:bCs w:val="0"/>
          <w:color w:val="000000"/>
          <w:sz w:val="32"/>
          <w:szCs w:val="32"/>
        </w:rPr>
      </w:pPr>
      <w:r>
        <w:rPr>
          <w:rFonts w:hint="eastAsia" w:ascii="仿宋_GB2312" w:eastAsia="仿宋_GB2312"/>
          <w:b/>
          <w:bCs w:val="0"/>
          <w:color w:val="000000"/>
          <w:sz w:val="32"/>
          <w:szCs w:val="32"/>
          <w:lang w:val="en-US" w:eastAsia="zh-CN"/>
        </w:rPr>
        <w:t>九、</w:t>
      </w:r>
      <w:r>
        <w:rPr>
          <w:rFonts w:hint="eastAsia" w:ascii="仿宋_GB2312" w:eastAsia="仿宋_GB2312"/>
          <w:b/>
          <w:bCs w:val="0"/>
          <w:color w:val="000000"/>
          <w:sz w:val="32"/>
          <w:szCs w:val="32"/>
        </w:rPr>
        <w:t>国有资本经营预算支出决算情况说明</w:t>
      </w:r>
    </w:p>
    <w:p w14:paraId="74FFF904">
      <w:pPr>
        <w:spacing w:line="600" w:lineRule="exact"/>
        <w:ind w:firstLine="640"/>
        <w:rPr>
          <w:rFonts w:hint="eastAsia" w:ascii="仿宋_GB2312" w:eastAsia="仿宋_GB2312"/>
          <w:b w:val="0"/>
          <w:color w:val="000000"/>
          <w:sz w:val="32"/>
          <w:szCs w:val="32"/>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年国有资本经营预算支出0元</w:t>
      </w:r>
    </w:p>
    <w:p w14:paraId="0467E4FA">
      <w:pPr>
        <w:spacing w:line="600" w:lineRule="exact"/>
        <w:ind w:firstLine="640" w:firstLineChars="200"/>
        <w:rPr>
          <w:rFonts w:ascii="黑体"/>
          <w:b/>
          <w:bCs/>
          <w:color w:val="000000"/>
          <w:sz w:val="32"/>
          <w:szCs w:val="32"/>
        </w:rPr>
      </w:pPr>
      <w:r>
        <w:rPr>
          <w:rFonts w:hint="eastAsia" w:ascii="黑体"/>
          <w:b/>
          <w:bCs/>
          <w:color w:val="000000"/>
          <w:sz w:val="32"/>
          <w:szCs w:val="32"/>
        </w:rPr>
        <w:t>十、其他重要事项的情况说明</w:t>
      </w:r>
    </w:p>
    <w:p w14:paraId="37EA8236">
      <w:pPr>
        <w:spacing w:line="24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（一）机关运行经费支出情况</w:t>
      </w:r>
    </w:p>
    <w:p w14:paraId="68CFD440">
      <w:pPr>
        <w:spacing w:line="240" w:lineRule="auto"/>
        <w:ind w:firstLine="640" w:firstLineChars="200"/>
        <w:rPr>
          <w:rFonts w:hint="default" w:ascii="仿宋_GB2312" w:eastAsia="仿宋_GB2312"/>
          <w:color w:val="000000"/>
          <w:sz w:val="32"/>
          <w:szCs w:val="32"/>
          <w:lang w:val="en-US" w:eastAsia="zh-CN"/>
        </w:rPr>
      </w:pP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年度，机关运行经费支</w:t>
      </w:r>
      <w:r>
        <w:rPr>
          <w:rFonts w:hint="eastAsia" w:ascii="仿宋_GB2312" w:eastAsia="仿宋_GB2312"/>
          <w:b w:val="0"/>
          <w:sz w:val="32"/>
          <w:szCs w:val="32"/>
        </w:rPr>
        <w:t>出 7.</w:t>
      </w:r>
      <w:r>
        <w:rPr>
          <w:rFonts w:hint="eastAsia" w:ascii="仿宋_GB2312" w:eastAsia="仿宋_GB2312"/>
          <w:b w:val="0"/>
          <w:sz w:val="32"/>
          <w:szCs w:val="32"/>
          <w:lang w:val="en-US" w:eastAsia="zh-CN"/>
        </w:rPr>
        <w:t>33</w:t>
      </w:r>
      <w:r>
        <w:rPr>
          <w:rFonts w:hint="eastAsia" w:ascii="仿宋_GB2312" w:eastAsia="仿宋_GB2312"/>
          <w:b w:val="0"/>
          <w:sz w:val="32"/>
          <w:szCs w:val="32"/>
        </w:rPr>
        <w:t>万元，比202</w:t>
      </w:r>
      <w:r>
        <w:rPr>
          <w:rFonts w:hint="eastAsia" w:ascii="仿宋_GB2312" w:eastAsia="仿宋_GB2312"/>
          <w:b w:val="0"/>
          <w:sz w:val="32"/>
          <w:szCs w:val="32"/>
          <w:lang w:val="en-US" w:eastAsia="zh-CN"/>
        </w:rPr>
        <w:t>3</w:t>
      </w:r>
      <w:r>
        <w:rPr>
          <w:rFonts w:hint="eastAsia" w:ascii="仿宋_GB2312" w:eastAsia="仿宋_GB2312"/>
          <w:b w:val="0"/>
          <w:color w:val="000000"/>
          <w:sz w:val="32"/>
          <w:szCs w:val="32"/>
        </w:rPr>
        <w:t>年机关运行经费</w:t>
      </w:r>
      <w:r>
        <w:rPr>
          <w:rFonts w:hint="eastAsia" w:ascii="仿宋" w:hAnsi="仿宋" w:eastAsia="仿宋" w:cs="仿宋"/>
          <w:b w:val="0"/>
          <w:bCs/>
          <w:sz w:val="32"/>
          <w:szCs w:val="32"/>
          <w:lang w:val="en-US" w:eastAsia="zh-CN"/>
        </w:rPr>
        <w:t>7.24</w:t>
      </w:r>
      <w:r>
        <w:rPr>
          <w:rFonts w:hint="eastAsia" w:ascii="仿宋_GB2312" w:eastAsia="仿宋_GB2312"/>
          <w:b w:val="0"/>
          <w:color w:val="000000"/>
          <w:sz w:val="32"/>
          <w:szCs w:val="32"/>
        </w:rPr>
        <w:t>万元增加了</w:t>
      </w:r>
      <w:r>
        <w:rPr>
          <w:rFonts w:hint="eastAsia" w:ascii="仿宋_GB2312" w:eastAsia="仿宋_GB2312"/>
          <w:b w:val="0"/>
          <w:color w:val="000000"/>
          <w:sz w:val="32"/>
          <w:szCs w:val="32"/>
          <w:lang w:val="en-US" w:eastAsia="zh-CN"/>
        </w:rPr>
        <w:t>0.09</w:t>
      </w:r>
      <w:r>
        <w:rPr>
          <w:rFonts w:hint="eastAsia" w:ascii="仿宋_GB2312" w:eastAsia="仿宋_GB2312"/>
          <w:b w:val="0"/>
          <w:color w:val="000000"/>
          <w:sz w:val="32"/>
          <w:szCs w:val="32"/>
        </w:rPr>
        <w:t>万元，增加了</w:t>
      </w:r>
      <w:r>
        <w:rPr>
          <w:rFonts w:hint="eastAsia" w:ascii="仿宋_GB2312" w:eastAsia="仿宋_GB2312"/>
          <w:b w:val="0"/>
          <w:color w:val="000000"/>
          <w:sz w:val="32"/>
          <w:szCs w:val="32"/>
          <w:lang w:val="en-US" w:eastAsia="zh-CN"/>
        </w:rPr>
        <w:t>1.2</w:t>
      </w:r>
      <w:r>
        <w:rPr>
          <w:rFonts w:hint="eastAsia" w:ascii="仿宋_GB2312" w:eastAsia="仿宋_GB2312"/>
          <w:b w:val="0"/>
          <w:color w:val="000000"/>
          <w:sz w:val="32"/>
          <w:szCs w:val="32"/>
        </w:rPr>
        <w:t>%。增加的主要原因是</w:t>
      </w:r>
      <w:r>
        <w:rPr>
          <w:rFonts w:hint="eastAsia" w:ascii="仿宋_GB2312" w:eastAsia="仿宋_GB2312"/>
          <w:b w:val="0"/>
          <w:color w:val="000000"/>
          <w:sz w:val="32"/>
          <w:szCs w:val="32"/>
          <w:lang w:val="en-US" w:eastAsia="zh-CN"/>
        </w:rPr>
        <w:t>公用经费支出。</w:t>
      </w:r>
    </w:p>
    <w:p w14:paraId="10A45C45">
      <w:pPr>
        <w:autoSpaceDE w:val="0"/>
        <w:autoSpaceDN w:val="0"/>
        <w:adjustRightInd w:val="0"/>
        <w:spacing w:line="240" w:lineRule="auto"/>
        <w:ind w:firstLine="640" w:firstLineChars="200"/>
        <w:jc w:val="left"/>
        <w:rPr>
          <w:rFonts w:ascii="仿宋_GB2312" w:eastAsia="仿宋_GB2312"/>
          <w:sz w:val="32"/>
          <w:szCs w:val="32"/>
        </w:rPr>
      </w:pPr>
      <w:r>
        <w:rPr>
          <w:rFonts w:hint="eastAsia" w:ascii="仿宋_GB2312" w:eastAsia="仿宋_GB2312"/>
          <w:sz w:val="32"/>
          <w:szCs w:val="32"/>
        </w:rPr>
        <w:t>（二）政府采购支出情况</w:t>
      </w:r>
    </w:p>
    <w:p w14:paraId="53AF4F62">
      <w:pPr>
        <w:spacing w:line="240" w:lineRule="auto"/>
        <w:ind w:firstLine="960" w:firstLineChars="300"/>
        <w:rPr>
          <w:rFonts w:hint="eastAsia" w:ascii="仿宋_GB2312" w:eastAsia="仿宋_GB2312"/>
          <w:b w:val="0"/>
          <w:sz w:val="32"/>
          <w:szCs w:val="32"/>
        </w:rPr>
      </w:pPr>
      <w:r>
        <w:rPr>
          <w:rFonts w:hint="eastAsia" w:ascii="仿宋_GB2312" w:eastAsia="仿宋_GB2312"/>
          <w:b w:val="0"/>
          <w:sz w:val="32"/>
          <w:szCs w:val="32"/>
          <w:lang w:eastAsia="zh-CN"/>
        </w:rPr>
        <w:t>2024</w:t>
      </w:r>
      <w:r>
        <w:rPr>
          <w:rFonts w:hint="eastAsia" w:ascii="仿宋_GB2312" w:eastAsia="仿宋_GB2312"/>
          <w:b w:val="0"/>
          <w:sz w:val="32"/>
          <w:szCs w:val="32"/>
        </w:rPr>
        <w:t>年度政府采购支出0万元。</w:t>
      </w:r>
    </w:p>
    <w:p w14:paraId="13BAA43B">
      <w:pPr>
        <w:autoSpaceDE w:val="0"/>
        <w:autoSpaceDN w:val="0"/>
        <w:adjustRightInd w:val="0"/>
        <w:spacing w:line="240" w:lineRule="auto"/>
        <w:ind w:firstLine="640" w:firstLineChars="200"/>
        <w:jc w:val="left"/>
        <w:rPr>
          <w:rFonts w:ascii="仿宋_GB2312" w:eastAsia="仿宋_GB2312"/>
          <w:sz w:val="32"/>
          <w:szCs w:val="32"/>
        </w:rPr>
      </w:pPr>
      <w:r>
        <w:rPr>
          <w:rFonts w:hint="eastAsia" w:ascii="仿宋_GB2312" w:eastAsia="仿宋_GB2312"/>
          <w:sz w:val="32"/>
          <w:szCs w:val="32"/>
        </w:rPr>
        <w:t>（三）国有资产占有使用情况</w:t>
      </w:r>
    </w:p>
    <w:p w14:paraId="7AC796B2">
      <w:pPr>
        <w:autoSpaceDE w:val="0"/>
        <w:autoSpaceDN w:val="0"/>
        <w:adjustRightInd w:val="0"/>
        <w:spacing w:line="240" w:lineRule="auto"/>
        <w:ind w:firstLine="640" w:firstLineChars="200"/>
        <w:jc w:val="left"/>
        <w:rPr>
          <w:rFonts w:hint="eastAsia" w:ascii="仿宋_GB2312" w:eastAsia="仿宋_GB2312"/>
          <w:b w:val="0"/>
          <w:color w:val="000000"/>
          <w:sz w:val="32"/>
          <w:szCs w:val="32"/>
        </w:rPr>
      </w:pPr>
      <w:r>
        <w:rPr>
          <w:rFonts w:hint="eastAsia" w:ascii="仿宋_GB2312" w:eastAsia="仿宋_GB2312"/>
          <w:b w:val="0"/>
          <w:color w:val="000000"/>
          <w:sz w:val="32"/>
          <w:szCs w:val="32"/>
        </w:rPr>
        <w:t>截至</w:t>
      </w:r>
      <w:r>
        <w:rPr>
          <w:rFonts w:hint="eastAsia" w:ascii="仿宋_GB2312" w:eastAsia="仿宋_GB2312"/>
          <w:b w:val="0"/>
          <w:color w:val="000000"/>
          <w:sz w:val="32"/>
          <w:szCs w:val="32"/>
          <w:lang w:eastAsia="zh-CN"/>
        </w:rPr>
        <w:t>2024</w:t>
      </w:r>
      <w:r>
        <w:rPr>
          <w:rFonts w:hint="eastAsia" w:ascii="仿宋_GB2312" w:eastAsia="仿宋_GB2312"/>
          <w:b w:val="0"/>
          <w:color w:val="000000"/>
          <w:sz w:val="32"/>
          <w:szCs w:val="32"/>
        </w:rPr>
        <w:t>年12月31日，我单位有公有车辆1辆，均为一般公务用车；无单价50万元以上通用设备，无单价100万元以上专用设备。</w:t>
      </w:r>
    </w:p>
    <w:p w14:paraId="486A2BFE">
      <w:pPr>
        <w:autoSpaceDE w:val="0"/>
        <w:autoSpaceDN w:val="0"/>
        <w:adjustRightInd w:val="0"/>
        <w:spacing w:line="240" w:lineRule="auto"/>
        <w:ind w:firstLine="640" w:firstLineChars="200"/>
        <w:jc w:val="left"/>
        <w:rPr>
          <w:rFonts w:hint="eastAsia" w:ascii="仿宋_GB2312" w:eastAsia="仿宋_GB2312"/>
          <w:sz w:val="32"/>
          <w:szCs w:val="32"/>
        </w:rPr>
      </w:pPr>
      <w:r>
        <w:rPr>
          <w:rFonts w:hint="eastAsia" w:ascii="仿宋_GB2312" w:eastAsia="仿宋_GB2312"/>
          <w:sz w:val="32"/>
          <w:szCs w:val="32"/>
        </w:rPr>
        <w:t>（四）预算绩效情况</w:t>
      </w:r>
    </w:p>
    <w:p w14:paraId="460FD00E">
      <w:pPr>
        <w:ind w:firstLine="944" w:firstLineChars="29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1、绩效目标管理情况。</w:t>
      </w:r>
    </w:p>
    <w:p w14:paraId="20EBFB9D">
      <w:pPr>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b w:val="0"/>
          <w:color w:val="000000"/>
          <w:sz w:val="32"/>
          <w:szCs w:val="32"/>
        </w:rPr>
        <w:t xml:space="preserve">     按照预算绩效管理要求，本部门对</w:t>
      </w:r>
      <w:r>
        <w:rPr>
          <w:rFonts w:hint="eastAsia" w:ascii="仿宋_GB2312" w:hAnsi="仿宋_GB2312" w:eastAsia="仿宋_GB2312" w:cs="仿宋_GB2312"/>
          <w:b w:val="0"/>
          <w:color w:val="000000"/>
          <w:sz w:val="32"/>
          <w:szCs w:val="32"/>
          <w:lang w:eastAsia="zh-CN"/>
        </w:rPr>
        <w:t>2024</w:t>
      </w:r>
      <w:r>
        <w:rPr>
          <w:rFonts w:hint="eastAsia" w:ascii="仿宋_GB2312" w:hAnsi="仿宋_GB2312" w:eastAsia="仿宋_GB2312" w:cs="仿宋_GB2312"/>
          <w:b w:val="0"/>
          <w:color w:val="000000"/>
          <w:sz w:val="32"/>
          <w:szCs w:val="32"/>
        </w:rPr>
        <w:t>年一般公共预算项目支出开展了绩效目标管理，编制绩效目标。本部门对</w:t>
      </w:r>
      <w:r>
        <w:rPr>
          <w:rFonts w:hint="eastAsia" w:ascii="仿宋_GB2312" w:hAnsi="仿宋_GB2312" w:eastAsia="仿宋_GB2312" w:cs="仿宋_GB2312"/>
          <w:b w:val="0"/>
          <w:color w:val="000000"/>
          <w:sz w:val="32"/>
          <w:szCs w:val="32"/>
          <w:lang w:eastAsia="zh-CN"/>
        </w:rPr>
        <w:t>2024</w:t>
      </w:r>
      <w:r>
        <w:rPr>
          <w:rFonts w:hint="eastAsia" w:ascii="仿宋_GB2312" w:hAnsi="仿宋_GB2312" w:eastAsia="仿宋_GB2312" w:cs="仿宋_GB2312"/>
          <w:b w:val="0"/>
          <w:color w:val="000000"/>
          <w:sz w:val="32"/>
          <w:szCs w:val="32"/>
        </w:rPr>
        <w:t>年整体支出开展绩效自评，自评得分93分。</w:t>
      </w:r>
    </w:p>
    <w:p w14:paraId="10E321A6">
      <w:pPr>
        <w:spacing w:line="240" w:lineRule="auto"/>
        <w:ind w:firstLine="640" w:firstLineChars="200"/>
        <w:rPr>
          <w:rFonts w:hint="eastAsia" w:ascii="仿宋_GB2312" w:eastAsia="仿宋_GB2312"/>
          <w:b w:val="0"/>
          <w:sz w:val="32"/>
          <w:szCs w:val="32"/>
        </w:rPr>
      </w:pPr>
      <w:r>
        <w:rPr>
          <w:rFonts w:hint="eastAsia" w:ascii="仿宋_GB2312" w:eastAsia="仿宋_GB2312"/>
          <w:sz w:val="32"/>
          <w:szCs w:val="32"/>
        </w:rPr>
        <w:t xml:space="preserve">2.部门整体支出绩效自评开展情况 </w:t>
      </w:r>
      <w:r>
        <w:rPr>
          <w:rFonts w:hint="eastAsia" w:ascii="仿宋_GB2312" w:eastAsia="仿宋_GB2312"/>
          <w:b w:val="0"/>
          <w:sz w:val="32"/>
          <w:szCs w:val="32"/>
        </w:rPr>
        <w:t>部门预算执行情况良好，无不良记录及违规违纪行为，预算支出和决算支出情况相符。</w:t>
      </w:r>
    </w:p>
    <w:p w14:paraId="26573CA4">
      <w:pPr>
        <w:spacing w:line="240" w:lineRule="auto"/>
        <w:ind w:firstLine="640" w:firstLineChars="200"/>
        <w:rPr>
          <w:rFonts w:hint="eastAsia" w:ascii="仿宋_GB2312" w:eastAsia="仿宋_GB2312"/>
          <w:b w:val="0"/>
          <w:sz w:val="32"/>
          <w:szCs w:val="32"/>
        </w:rPr>
      </w:pPr>
      <w:r>
        <w:rPr>
          <w:rFonts w:hint="eastAsia" w:ascii="仿宋_GB2312" w:eastAsia="仿宋_GB2312"/>
          <w:sz w:val="32"/>
          <w:szCs w:val="32"/>
        </w:rPr>
        <w:t xml:space="preserve">3、部门自行组织绩效评价开展情况 </w:t>
      </w:r>
      <w:r>
        <w:rPr>
          <w:rFonts w:hint="eastAsia" w:ascii="仿宋_GB2312" w:eastAsia="仿宋_GB2312"/>
          <w:b w:val="0"/>
          <w:sz w:val="32"/>
          <w:szCs w:val="32"/>
        </w:rPr>
        <w:t>一是业务知识有待提高；二是部门决算上报处理效率还需继续提升。加快完成机关财务管理规章制度建设、加强会计核算和财务管理能力，及时与财政局相关股室对接工作，提升工作效率。</w:t>
      </w:r>
    </w:p>
    <w:p w14:paraId="315F92FA">
      <w:pPr>
        <w:jc w:val="center"/>
        <w:rPr>
          <w:rFonts w:hint="eastAsia" w:ascii="黑体" w:hAnsi="黑体"/>
          <w:color w:val="000000"/>
          <w:sz w:val="32"/>
          <w:szCs w:val="32"/>
        </w:rPr>
      </w:pPr>
      <w:r>
        <w:rPr>
          <w:rFonts w:hint="eastAsia" w:ascii="黑体" w:hAnsi="黑体" w:eastAsia="宋体"/>
          <w:color w:val="000000"/>
          <w:sz w:val="32"/>
          <w:szCs w:val="32"/>
          <w:lang w:eastAsia="zh-CN"/>
        </w:rPr>
        <w:t>2024</w:t>
      </w:r>
      <w:r>
        <w:rPr>
          <w:rFonts w:hint="eastAsia" w:ascii="黑体" w:hAnsi="黑体"/>
          <w:color w:val="000000"/>
          <w:sz w:val="32"/>
          <w:szCs w:val="32"/>
        </w:rPr>
        <w:t>年部门整体支出绩效评价得分表</w:t>
      </w:r>
    </w:p>
    <w:tbl>
      <w:tblPr>
        <w:tblStyle w:val="5"/>
        <w:tblW w:w="0" w:type="auto"/>
        <w:tblInd w:w="-176" w:type="dxa"/>
        <w:tblLayout w:type="fixed"/>
        <w:tblCellMar>
          <w:top w:w="0" w:type="dxa"/>
          <w:left w:w="108" w:type="dxa"/>
          <w:bottom w:w="0" w:type="dxa"/>
          <w:right w:w="108" w:type="dxa"/>
        </w:tblCellMar>
      </w:tblPr>
      <w:tblGrid>
        <w:gridCol w:w="1702"/>
        <w:gridCol w:w="2268"/>
        <w:gridCol w:w="3402"/>
        <w:gridCol w:w="2126"/>
      </w:tblGrid>
      <w:tr w14:paraId="70D9B45E">
        <w:tblPrEx>
          <w:tblCellMar>
            <w:top w:w="0" w:type="dxa"/>
            <w:left w:w="108" w:type="dxa"/>
            <w:bottom w:w="0" w:type="dxa"/>
            <w:right w:w="108" w:type="dxa"/>
          </w:tblCellMar>
        </w:tblPrEx>
        <w:trPr>
          <w:trHeight w:val="278" w:hRule="atLeast"/>
        </w:trPr>
        <w:tc>
          <w:tcPr>
            <w:tcW w:w="1702" w:type="dxa"/>
            <w:tcBorders>
              <w:top w:val="single" w:color="auto" w:sz="4" w:space="0"/>
              <w:left w:val="single" w:color="auto" w:sz="4" w:space="0"/>
              <w:bottom w:val="single" w:color="auto" w:sz="4" w:space="0"/>
              <w:right w:val="single" w:color="auto" w:sz="4" w:space="0"/>
            </w:tcBorders>
            <w:noWrap w:val="0"/>
            <w:vAlign w:val="center"/>
          </w:tcPr>
          <w:p w14:paraId="490520FD">
            <w:pPr>
              <w:widowControl/>
              <w:jc w:val="center"/>
              <w:rPr>
                <w:rFonts w:ascii="宋体" w:hAnsi="宋体" w:cs="宋体"/>
                <w:bCs/>
                <w:color w:val="000000"/>
                <w:kern w:val="0"/>
                <w:sz w:val="20"/>
              </w:rPr>
            </w:pPr>
            <w:r>
              <w:rPr>
                <w:rFonts w:hint="eastAsia" w:ascii="宋体" w:hAnsi="宋体" w:cs="宋体"/>
                <w:bCs/>
                <w:color w:val="000000"/>
                <w:kern w:val="0"/>
                <w:sz w:val="20"/>
              </w:rPr>
              <w:t>一级指标</w:t>
            </w:r>
          </w:p>
        </w:tc>
        <w:tc>
          <w:tcPr>
            <w:tcW w:w="2268" w:type="dxa"/>
            <w:tcBorders>
              <w:top w:val="single" w:color="auto" w:sz="4" w:space="0"/>
              <w:left w:val="nil"/>
              <w:bottom w:val="single" w:color="auto" w:sz="4" w:space="0"/>
              <w:right w:val="single" w:color="auto" w:sz="4" w:space="0"/>
            </w:tcBorders>
            <w:noWrap w:val="0"/>
            <w:vAlign w:val="center"/>
          </w:tcPr>
          <w:p w14:paraId="7B93ACFD">
            <w:pPr>
              <w:widowControl/>
              <w:jc w:val="center"/>
              <w:rPr>
                <w:rFonts w:ascii="宋体" w:hAnsi="宋体" w:cs="宋体"/>
                <w:bCs/>
                <w:color w:val="000000"/>
                <w:kern w:val="0"/>
                <w:sz w:val="20"/>
              </w:rPr>
            </w:pPr>
            <w:r>
              <w:rPr>
                <w:rFonts w:hint="eastAsia" w:ascii="宋体" w:hAnsi="宋体" w:cs="宋体"/>
                <w:bCs/>
                <w:color w:val="000000"/>
                <w:kern w:val="0"/>
                <w:sz w:val="20"/>
              </w:rPr>
              <w:t>二级指标</w:t>
            </w:r>
          </w:p>
        </w:tc>
        <w:tc>
          <w:tcPr>
            <w:tcW w:w="3402" w:type="dxa"/>
            <w:tcBorders>
              <w:top w:val="single" w:color="auto" w:sz="4" w:space="0"/>
              <w:left w:val="nil"/>
              <w:bottom w:val="single" w:color="auto" w:sz="4" w:space="0"/>
              <w:right w:val="single" w:color="auto" w:sz="4" w:space="0"/>
            </w:tcBorders>
            <w:noWrap w:val="0"/>
            <w:vAlign w:val="center"/>
          </w:tcPr>
          <w:p w14:paraId="781379D5">
            <w:pPr>
              <w:widowControl/>
              <w:jc w:val="center"/>
              <w:rPr>
                <w:rFonts w:ascii="宋体" w:hAnsi="宋体" w:cs="宋体"/>
                <w:bCs/>
                <w:color w:val="000000"/>
                <w:kern w:val="0"/>
                <w:sz w:val="20"/>
              </w:rPr>
            </w:pPr>
            <w:r>
              <w:rPr>
                <w:rFonts w:hint="eastAsia" w:ascii="宋体" w:hAnsi="宋体" w:cs="宋体"/>
                <w:bCs/>
                <w:color w:val="000000"/>
                <w:kern w:val="0"/>
                <w:sz w:val="20"/>
              </w:rPr>
              <w:t>三级指标</w:t>
            </w:r>
          </w:p>
        </w:tc>
        <w:tc>
          <w:tcPr>
            <w:tcW w:w="2126" w:type="dxa"/>
            <w:tcBorders>
              <w:top w:val="single" w:color="auto" w:sz="4" w:space="0"/>
              <w:left w:val="nil"/>
              <w:bottom w:val="single" w:color="auto" w:sz="4" w:space="0"/>
              <w:right w:val="single" w:color="auto" w:sz="4" w:space="0"/>
            </w:tcBorders>
            <w:noWrap w:val="0"/>
            <w:vAlign w:val="top"/>
          </w:tcPr>
          <w:p w14:paraId="312C8080">
            <w:pPr>
              <w:widowControl/>
              <w:jc w:val="center"/>
              <w:rPr>
                <w:rFonts w:hint="eastAsia" w:ascii="宋体" w:hAnsi="宋体" w:cs="宋体"/>
                <w:bCs/>
                <w:color w:val="000000"/>
                <w:kern w:val="0"/>
                <w:sz w:val="20"/>
              </w:rPr>
            </w:pPr>
            <w:r>
              <w:rPr>
                <w:rFonts w:hint="eastAsia" w:ascii="宋体" w:hAnsi="宋体" w:cs="宋体"/>
                <w:bCs/>
                <w:color w:val="000000"/>
                <w:kern w:val="0"/>
                <w:sz w:val="20"/>
              </w:rPr>
              <w:t>得分</w:t>
            </w:r>
          </w:p>
        </w:tc>
      </w:tr>
      <w:tr w14:paraId="51C20291">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noWrap w:val="0"/>
            <w:vAlign w:val="center"/>
          </w:tcPr>
          <w:p w14:paraId="550CD450">
            <w:pPr>
              <w:widowControl/>
              <w:jc w:val="center"/>
              <w:rPr>
                <w:rFonts w:ascii="宋体" w:hAnsi="宋体" w:cs="宋体"/>
                <w:color w:val="000000"/>
                <w:kern w:val="0"/>
                <w:sz w:val="20"/>
              </w:rPr>
            </w:pPr>
            <w:r>
              <w:rPr>
                <w:rFonts w:hint="eastAsia" w:ascii="宋体" w:hAnsi="宋体" w:cs="宋体"/>
                <w:color w:val="000000"/>
                <w:kern w:val="0"/>
                <w:sz w:val="20"/>
              </w:rPr>
              <w:t>部门决策（25分）</w:t>
            </w:r>
          </w:p>
        </w:tc>
        <w:tc>
          <w:tcPr>
            <w:tcW w:w="2268" w:type="dxa"/>
            <w:vMerge w:val="restart"/>
            <w:tcBorders>
              <w:top w:val="nil"/>
              <w:left w:val="single" w:color="auto" w:sz="4" w:space="0"/>
              <w:bottom w:val="single" w:color="auto" w:sz="4" w:space="0"/>
              <w:right w:val="single" w:color="auto" w:sz="4" w:space="0"/>
            </w:tcBorders>
            <w:noWrap w:val="0"/>
            <w:vAlign w:val="center"/>
          </w:tcPr>
          <w:p w14:paraId="255DB0E8">
            <w:pPr>
              <w:widowControl/>
              <w:jc w:val="center"/>
              <w:rPr>
                <w:rFonts w:ascii="宋体" w:hAnsi="宋体" w:cs="宋体"/>
                <w:color w:val="000000"/>
                <w:kern w:val="0"/>
                <w:sz w:val="20"/>
              </w:rPr>
            </w:pPr>
            <w:r>
              <w:rPr>
                <w:rFonts w:hint="eastAsia" w:ascii="宋体" w:hAnsi="宋体" w:cs="宋体"/>
                <w:color w:val="000000"/>
                <w:kern w:val="0"/>
                <w:sz w:val="20"/>
              </w:rPr>
              <w:t>目标任务（15分）</w:t>
            </w:r>
          </w:p>
        </w:tc>
        <w:tc>
          <w:tcPr>
            <w:tcW w:w="3402" w:type="dxa"/>
            <w:tcBorders>
              <w:top w:val="nil"/>
              <w:left w:val="nil"/>
              <w:bottom w:val="single" w:color="auto" w:sz="4" w:space="0"/>
              <w:right w:val="single" w:color="auto" w:sz="4" w:space="0"/>
            </w:tcBorders>
            <w:noWrap w:val="0"/>
            <w:vAlign w:val="center"/>
          </w:tcPr>
          <w:p w14:paraId="47BBD57D">
            <w:pPr>
              <w:widowControl/>
              <w:jc w:val="left"/>
              <w:rPr>
                <w:rFonts w:ascii="宋体" w:hAnsi="宋体" w:cs="宋体"/>
                <w:color w:val="000000"/>
                <w:kern w:val="0"/>
                <w:sz w:val="20"/>
              </w:rPr>
            </w:pPr>
            <w:r>
              <w:rPr>
                <w:rFonts w:hint="eastAsia" w:ascii="宋体" w:hAnsi="宋体" w:cs="宋体"/>
                <w:color w:val="000000"/>
                <w:kern w:val="0"/>
                <w:sz w:val="20"/>
              </w:rPr>
              <w:t>相关性（5分）</w:t>
            </w:r>
          </w:p>
        </w:tc>
        <w:tc>
          <w:tcPr>
            <w:tcW w:w="2126" w:type="dxa"/>
            <w:tcBorders>
              <w:top w:val="nil"/>
              <w:left w:val="nil"/>
              <w:bottom w:val="single" w:color="auto" w:sz="4" w:space="0"/>
              <w:right w:val="single" w:color="auto" w:sz="4" w:space="0"/>
            </w:tcBorders>
            <w:noWrap w:val="0"/>
            <w:vAlign w:val="top"/>
          </w:tcPr>
          <w:p w14:paraId="59C3FAFA">
            <w:pPr>
              <w:widowControl/>
              <w:jc w:val="left"/>
              <w:rPr>
                <w:rFonts w:hint="eastAsia" w:ascii="宋体" w:hAnsi="宋体" w:eastAsia="宋体" w:cs="宋体"/>
                <w:color w:val="000000"/>
                <w:kern w:val="0"/>
                <w:sz w:val="20"/>
              </w:rPr>
            </w:pPr>
            <w:r>
              <w:rPr>
                <w:rFonts w:hint="eastAsia" w:ascii="宋体" w:hAnsi="宋体" w:cs="宋体"/>
                <w:color w:val="000000"/>
                <w:kern w:val="0"/>
                <w:sz w:val="20"/>
              </w:rPr>
              <w:t>5</w:t>
            </w:r>
          </w:p>
        </w:tc>
      </w:tr>
      <w:tr w14:paraId="0E9251AE">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0"/>
            <w:vAlign w:val="center"/>
          </w:tcPr>
          <w:p w14:paraId="430AFFB7">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31956E1F">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3EA1C611">
            <w:pPr>
              <w:widowControl/>
              <w:jc w:val="left"/>
              <w:rPr>
                <w:rFonts w:ascii="宋体" w:hAnsi="宋体" w:cs="宋体"/>
                <w:color w:val="000000"/>
                <w:kern w:val="0"/>
                <w:sz w:val="20"/>
              </w:rPr>
            </w:pPr>
            <w:r>
              <w:rPr>
                <w:rFonts w:hint="eastAsia" w:ascii="宋体" w:hAnsi="宋体" w:cs="宋体"/>
                <w:color w:val="000000"/>
                <w:kern w:val="0"/>
                <w:sz w:val="20"/>
              </w:rPr>
              <w:t>明确性（5分）</w:t>
            </w:r>
          </w:p>
        </w:tc>
        <w:tc>
          <w:tcPr>
            <w:tcW w:w="2126" w:type="dxa"/>
            <w:tcBorders>
              <w:top w:val="nil"/>
              <w:left w:val="nil"/>
              <w:bottom w:val="single" w:color="auto" w:sz="4" w:space="0"/>
              <w:right w:val="single" w:color="auto" w:sz="4" w:space="0"/>
            </w:tcBorders>
            <w:noWrap w:val="0"/>
            <w:vAlign w:val="top"/>
          </w:tcPr>
          <w:p w14:paraId="79ACAE17">
            <w:pPr>
              <w:widowControl/>
              <w:jc w:val="left"/>
              <w:rPr>
                <w:rFonts w:hint="eastAsia" w:ascii="宋体" w:hAnsi="宋体" w:eastAsia="宋体" w:cs="宋体"/>
                <w:color w:val="000000"/>
                <w:kern w:val="0"/>
                <w:sz w:val="20"/>
              </w:rPr>
            </w:pPr>
            <w:r>
              <w:rPr>
                <w:rFonts w:hint="eastAsia" w:ascii="宋体" w:hAnsi="宋体" w:cs="宋体"/>
                <w:color w:val="000000"/>
                <w:kern w:val="0"/>
                <w:sz w:val="20"/>
              </w:rPr>
              <w:t>5</w:t>
            </w:r>
          </w:p>
        </w:tc>
      </w:tr>
      <w:tr w14:paraId="6CEB4F1B">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noWrap w:val="0"/>
            <w:vAlign w:val="center"/>
          </w:tcPr>
          <w:p w14:paraId="73BA4476">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2F9CF59B">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10BF1168">
            <w:pPr>
              <w:widowControl/>
              <w:jc w:val="left"/>
              <w:rPr>
                <w:rFonts w:ascii="宋体" w:hAnsi="宋体" w:cs="宋体"/>
                <w:color w:val="000000"/>
                <w:kern w:val="0"/>
                <w:sz w:val="20"/>
              </w:rPr>
            </w:pPr>
            <w:r>
              <w:rPr>
                <w:rFonts w:hint="eastAsia" w:ascii="宋体" w:hAnsi="宋体" w:cs="宋体"/>
                <w:color w:val="000000"/>
                <w:kern w:val="0"/>
                <w:sz w:val="20"/>
              </w:rPr>
              <w:t>合理性（5分）</w:t>
            </w:r>
          </w:p>
        </w:tc>
        <w:tc>
          <w:tcPr>
            <w:tcW w:w="2126" w:type="dxa"/>
            <w:tcBorders>
              <w:top w:val="nil"/>
              <w:left w:val="nil"/>
              <w:bottom w:val="single" w:color="auto" w:sz="4" w:space="0"/>
              <w:right w:val="single" w:color="auto" w:sz="4" w:space="0"/>
            </w:tcBorders>
            <w:noWrap w:val="0"/>
            <w:vAlign w:val="top"/>
          </w:tcPr>
          <w:p w14:paraId="2DBBCDB6">
            <w:pPr>
              <w:widowControl/>
              <w:jc w:val="left"/>
              <w:rPr>
                <w:rFonts w:hint="eastAsia" w:ascii="宋体" w:hAnsi="宋体" w:eastAsia="宋体" w:cs="宋体"/>
                <w:color w:val="000000"/>
                <w:kern w:val="0"/>
                <w:sz w:val="20"/>
              </w:rPr>
            </w:pPr>
            <w:r>
              <w:rPr>
                <w:rFonts w:hint="eastAsia" w:ascii="宋体" w:hAnsi="宋体" w:cs="宋体"/>
                <w:color w:val="000000"/>
                <w:kern w:val="0"/>
                <w:sz w:val="20"/>
              </w:rPr>
              <w:t>5</w:t>
            </w:r>
          </w:p>
        </w:tc>
      </w:tr>
      <w:tr w14:paraId="3C5515C8">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noWrap w:val="0"/>
            <w:vAlign w:val="center"/>
          </w:tcPr>
          <w:p w14:paraId="0843A2AE">
            <w:pPr>
              <w:widowControl/>
              <w:jc w:val="center"/>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271D5628">
            <w:pPr>
              <w:widowControl/>
              <w:jc w:val="left"/>
              <w:rPr>
                <w:rFonts w:ascii="宋体" w:hAnsi="宋体" w:cs="宋体"/>
                <w:color w:val="000000"/>
                <w:kern w:val="0"/>
                <w:sz w:val="20"/>
              </w:rPr>
            </w:pPr>
            <w:r>
              <w:rPr>
                <w:rFonts w:hint="eastAsia" w:ascii="宋体" w:hAnsi="宋体" w:cs="宋体"/>
                <w:color w:val="000000"/>
                <w:kern w:val="0"/>
                <w:sz w:val="20"/>
              </w:rPr>
              <w:t>预算编制（10分）</w:t>
            </w:r>
          </w:p>
        </w:tc>
        <w:tc>
          <w:tcPr>
            <w:tcW w:w="3402" w:type="dxa"/>
            <w:tcBorders>
              <w:top w:val="nil"/>
              <w:left w:val="nil"/>
              <w:bottom w:val="single" w:color="auto" w:sz="4" w:space="0"/>
              <w:right w:val="single" w:color="auto" w:sz="4" w:space="0"/>
            </w:tcBorders>
            <w:noWrap w:val="0"/>
            <w:vAlign w:val="center"/>
          </w:tcPr>
          <w:p w14:paraId="6DB95302">
            <w:pPr>
              <w:widowControl/>
              <w:jc w:val="left"/>
              <w:rPr>
                <w:rFonts w:ascii="宋体" w:hAnsi="宋体" w:cs="宋体"/>
                <w:color w:val="000000"/>
                <w:kern w:val="0"/>
                <w:sz w:val="20"/>
              </w:rPr>
            </w:pPr>
            <w:r>
              <w:rPr>
                <w:rFonts w:hint="eastAsia" w:ascii="宋体" w:hAnsi="宋体" w:cs="宋体"/>
                <w:color w:val="000000"/>
                <w:kern w:val="0"/>
                <w:sz w:val="20"/>
              </w:rPr>
              <w:t>测算依据（5分）</w:t>
            </w:r>
          </w:p>
        </w:tc>
        <w:tc>
          <w:tcPr>
            <w:tcW w:w="2126" w:type="dxa"/>
            <w:tcBorders>
              <w:top w:val="nil"/>
              <w:left w:val="nil"/>
              <w:bottom w:val="single" w:color="auto" w:sz="4" w:space="0"/>
              <w:right w:val="single" w:color="auto" w:sz="4" w:space="0"/>
            </w:tcBorders>
            <w:noWrap w:val="0"/>
            <w:vAlign w:val="top"/>
          </w:tcPr>
          <w:p w14:paraId="5DDD7B7D">
            <w:pPr>
              <w:widowControl/>
              <w:jc w:val="left"/>
              <w:rPr>
                <w:rFonts w:hint="eastAsia" w:ascii="宋体" w:hAnsi="宋体" w:eastAsia="宋体" w:cs="宋体"/>
                <w:color w:val="000000"/>
                <w:kern w:val="0"/>
                <w:sz w:val="20"/>
              </w:rPr>
            </w:pPr>
            <w:r>
              <w:rPr>
                <w:rFonts w:hint="eastAsia" w:ascii="宋体" w:hAnsi="宋体" w:cs="宋体"/>
                <w:color w:val="000000"/>
                <w:kern w:val="0"/>
                <w:sz w:val="20"/>
              </w:rPr>
              <w:t>５</w:t>
            </w:r>
          </w:p>
        </w:tc>
      </w:tr>
      <w:tr w14:paraId="4E5ED507">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noWrap w:val="0"/>
            <w:vAlign w:val="center"/>
          </w:tcPr>
          <w:p w14:paraId="078169C6">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76AE3B2B">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377212FD">
            <w:pPr>
              <w:widowControl/>
              <w:jc w:val="left"/>
              <w:rPr>
                <w:rFonts w:ascii="宋体" w:hAnsi="宋体" w:cs="宋体"/>
                <w:color w:val="000000"/>
                <w:kern w:val="0"/>
                <w:sz w:val="20"/>
              </w:rPr>
            </w:pPr>
            <w:r>
              <w:rPr>
                <w:rFonts w:hint="eastAsia" w:ascii="宋体" w:hAnsi="宋体" w:cs="宋体"/>
                <w:color w:val="000000"/>
                <w:kern w:val="0"/>
                <w:sz w:val="20"/>
              </w:rPr>
              <w:t>目标管理（5分）</w:t>
            </w:r>
          </w:p>
        </w:tc>
        <w:tc>
          <w:tcPr>
            <w:tcW w:w="2126" w:type="dxa"/>
            <w:tcBorders>
              <w:top w:val="nil"/>
              <w:left w:val="nil"/>
              <w:bottom w:val="single" w:color="auto" w:sz="4" w:space="0"/>
              <w:right w:val="single" w:color="auto" w:sz="4" w:space="0"/>
            </w:tcBorders>
            <w:noWrap w:val="0"/>
            <w:vAlign w:val="top"/>
          </w:tcPr>
          <w:p w14:paraId="33EA4D95">
            <w:pPr>
              <w:widowControl/>
              <w:jc w:val="left"/>
              <w:rPr>
                <w:rFonts w:hint="eastAsia" w:ascii="宋体" w:hAnsi="宋体" w:eastAsia="宋体" w:cs="宋体"/>
                <w:color w:val="000000"/>
                <w:kern w:val="0"/>
                <w:sz w:val="20"/>
              </w:rPr>
            </w:pPr>
            <w:r>
              <w:rPr>
                <w:rFonts w:hint="eastAsia" w:ascii="宋体" w:hAnsi="宋体" w:cs="宋体"/>
                <w:color w:val="000000"/>
                <w:kern w:val="0"/>
                <w:sz w:val="20"/>
              </w:rPr>
              <w:t>５</w:t>
            </w:r>
          </w:p>
        </w:tc>
      </w:tr>
      <w:tr w14:paraId="75F673FA">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noWrap w:val="0"/>
            <w:vAlign w:val="center"/>
          </w:tcPr>
          <w:p w14:paraId="1B7EEFA4">
            <w:pPr>
              <w:widowControl/>
              <w:jc w:val="center"/>
              <w:rPr>
                <w:rFonts w:ascii="宋体" w:hAnsi="宋体" w:cs="宋体"/>
                <w:color w:val="000000"/>
                <w:kern w:val="0"/>
                <w:sz w:val="20"/>
              </w:rPr>
            </w:pPr>
            <w:r>
              <w:rPr>
                <w:rFonts w:hint="eastAsia" w:ascii="宋体" w:hAnsi="宋体" w:cs="宋体"/>
                <w:color w:val="000000"/>
                <w:kern w:val="0"/>
                <w:sz w:val="20"/>
              </w:rPr>
              <w:t>综合管理（30分）</w:t>
            </w:r>
          </w:p>
        </w:tc>
        <w:tc>
          <w:tcPr>
            <w:tcW w:w="2268" w:type="dxa"/>
            <w:vMerge w:val="restart"/>
            <w:tcBorders>
              <w:top w:val="nil"/>
              <w:left w:val="single" w:color="auto" w:sz="4" w:space="0"/>
              <w:bottom w:val="single" w:color="auto" w:sz="4" w:space="0"/>
              <w:right w:val="single" w:color="auto" w:sz="4" w:space="0"/>
            </w:tcBorders>
            <w:noWrap w:val="0"/>
            <w:vAlign w:val="center"/>
          </w:tcPr>
          <w:p w14:paraId="7870DD1E">
            <w:pPr>
              <w:widowControl/>
              <w:jc w:val="left"/>
              <w:rPr>
                <w:rFonts w:ascii="宋体" w:hAnsi="宋体" w:cs="宋体"/>
                <w:color w:val="000000"/>
                <w:kern w:val="0"/>
                <w:sz w:val="20"/>
              </w:rPr>
            </w:pPr>
            <w:r>
              <w:rPr>
                <w:rFonts w:hint="eastAsia" w:ascii="宋体" w:hAnsi="宋体" w:cs="宋体"/>
                <w:color w:val="000000"/>
                <w:kern w:val="0"/>
                <w:sz w:val="20"/>
              </w:rPr>
              <w:t>专项资金分配时限（2分）</w:t>
            </w:r>
          </w:p>
        </w:tc>
        <w:tc>
          <w:tcPr>
            <w:tcW w:w="3402" w:type="dxa"/>
            <w:tcBorders>
              <w:top w:val="nil"/>
              <w:left w:val="nil"/>
              <w:bottom w:val="single" w:color="auto" w:sz="4" w:space="0"/>
              <w:right w:val="single" w:color="auto" w:sz="4" w:space="0"/>
            </w:tcBorders>
            <w:noWrap w:val="0"/>
            <w:vAlign w:val="center"/>
          </w:tcPr>
          <w:p w14:paraId="7F6BFCF7">
            <w:pPr>
              <w:widowControl/>
              <w:jc w:val="left"/>
              <w:rPr>
                <w:rFonts w:ascii="宋体" w:hAnsi="宋体" w:cs="宋体"/>
                <w:color w:val="000000"/>
                <w:kern w:val="0"/>
                <w:sz w:val="20"/>
              </w:rPr>
            </w:pPr>
            <w:r>
              <w:rPr>
                <w:rFonts w:hint="eastAsia" w:ascii="宋体" w:hAnsi="宋体" w:cs="宋体"/>
                <w:color w:val="000000"/>
                <w:kern w:val="0"/>
                <w:sz w:val="20"/>
              </w:rPr>
              <w:t>省级财力专项预算分配时限（1分）</w:t>
            </w:r>
          </w:p>
        </w:tc>
        <w:tc>
          <w:tcPr>
            <w:tcW w:w="2126" w:type="dxa"/>
            <w:tcBorders>
              <w:top w:val="nil"/>
              <w:left w:val="nil"/>
              <w:bottom w:val="single" w:color="auto" w:sz="4" w:space="0"/>
              <w:right w:val="single" w:color="auto" w:sz="4" w:space="0"/>
            </w:tcBorders>
            <w:noWrap w:val="0"/>
            <w:vAlign w:val="top"/>
          </w:tcPr>
          <w:p w14:paraId="5865A459">
            <w:pPr>
              <w:widowControl/>
              <w:jc w:val="left"/>
              <w:rPr>
                <w:rFonts w:hint="eastAsia" w:ascii="宋体" w:hAnsi="宋体" w:eastAsia="宋体" w:cs="宋体"/>
                <w:color w:val="000000"/>
                <w:kern w:val="0"/>
                <w:sz w:val="20"/>
              </w:rPr>
            </w:pPr>
            <w:r>
              <w:rPr>
                <w:rFonts w:hint="eastAsia" w:ascii="宋体" w:hAnsi="宋体" w:cs="宋体"/>
                <w:color w:val="000000"/>
                <w:kern w:val="0"/>
                <w:sz w:val="20"/>
              </w:rPr>
              <w:t>1</w:t>
            </w:r>
          </w:p>
        </w:tc>
      </w:tr>
      <w:tr w14:paraId="04C025D2">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0"/>
            <w:vAlign w:val="center"/>
          </w:tcPr>
          <w:p w14:paraId="3A6C09EA">
            <w:pPr>
              <w:jc w:val="center"/>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535D269F">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419F78DE">
            <w:pPr>
              <w:widowControl/>
              <w:jc w:val="left"/>
              <w:rPr>
                <w:rFonts w:ascii="宋体" w:hAnsi="宋体" w:cs="宋体"/>
                <w:color w:val="000000"/>
                <w:kern w:val="0"/>
                <w:sz w:val="20"/>
              </w:rPr>
            </w:pPr>
            <w:r>
              <w:rPr>
                <w:rFonts w:hint="eastAsia" w:ascii="宋体" w:hAnsi="宋体" w:cs="宋体"/>
                <w:color w:val="000000"/>
                <w:kern w:val="0"/>
                <w:sz w:val="20"/>
              </w:rPr>
              <w:t>中央专款分配合规率（1分）</w:t>
            </w:r>
          </w:p>
        </w:tc>
        <w:tc>
          <w:tcPr>
            <w:tcW w:w="2126" w:type="dxa"/>
            <w:tcBorders>
              <w:top w:val="nil"/>
              <w:left w:val="nil"/>
              <w:bottom w:val="single" w:color="auto" w:sz="4" w:space="0"/>
              <w:right w:val="single" w:color="auto" w:sz="4" w:space="0"/>
            </w:tcBorders>
            <w:noWrap w:val="0"/>
            <w:vAlign w:val="top"/>
          </w:tcPr>
          <w:p w14:paraId="794EB2F2">
            <w:pPr>
              <w:widowControl/>
              <w:jc w:val="left"/>
              <w:rPr>
                <w:rFonts w:hint="eastAsia" w:ascii="宋体" w:hAnsi="宋体" w:eastAsia="宋体" w:cs="宋体"/>
                <w:color w:val="000000"/>
                <w:kern w:val="0"/>
                <w:sz w:val="20"/>
              </w:rPr>
            </w:pPr>
            <w:r>
              <w:rPr>
                <w:rFonts w:hint="eastAsia" w:ascii="宋体" w:hAnsi="宋体" w:cs="宋体"/>
                <w:color w:val="000000"/>
                <w:kern w:val="0"/>
                <w:sz w:val="20"/>
              </w:rPr>
              <w:t>1</w:t>
            </w:r>
          </w:p>
        </w:tc>
      </w:tr>
      <w:tr w14:paraId="67BB21DA">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noWrap w:val="0"/>
            <w:vAlign w:val="center"/>
          </w:tcPr>
          <w:p w14:paraId="3867F1C7">
            <w:pPr>
              <w:jc w:val="center"/>
              <w:rPr>
                <w:rFonts w:ascii="宋体" w:hAnsi="宋体" w:cs="宋体"/>
                <w:color w:val="000000"/>
                <w:kern w:val="0"/>
                <w:sz w:val="20"/>
              </w:rPr>
            </w:pPr>
          </w:p>
        </w:tc>
        <w:tc>
          <w:tcPr>
            <w:tcW w:w="2268" w:type="dxa"/>
            <w:tcBorders>
              <w:top w:val="nil"/>
              <w:left w:val="nil"/>
              <w:bottom w:val="single" w:color="auto" w:sz="4" w:space="0"/>
              <w:right w:val="single" w:color="auto" w:sz="4" w:space="0"/>
            </w:tcBorders>
            <w:noWrap w:val="0"/>
            <w:vAlign w:val="center"/>
          </w:tcPr>
          <w:p w14:paraId="650A9F04">
            <w:pPr>
              <w:widowControl/>
              <w:jc w:val="left"/>
              <w:rPr>
                <w:rFonts w:ascii="宋体" w:hAnsi="宋体" w:cs="宋体"/>
                <w:color w:val="000000"/>
                <w:kern w:val="0"/>
                <w:sz w:val="20"/>
              </w:rPr>
            </w:pPr>
            <w:r>
              <w:rPr>
                <w:rFonts w:hint="eastAsia" w:ascii="宋体" w:hAnsi="宋体" w:cs="宋体"/>
                <w:color w:val="000000"/>
                <w:kern w:val="0"/>
                <w:sz w:val="20"/>
              </w:rPr>
              <w:t>中期评估（2分）</w:t>
            </w:r>
          </w:p>
        </w:tc>
        <w:tc>
          <w:tcPr>
            <w:tcW w:w="3402" w:type="dxa"/>
            <w:tcBorders>
              <w:top w:val="nil"/>
              <w:left w:val="nil"/>
              <w:bottom w:val="single" w:color="auto" w:sz="4" w:space="0"/>
              <w:right w:val="single" w:color="auto" w:sz="4" w:space="0"/>
            </w:tcBorders>
            <w:noWrap w:val="0"/>
            <w:vAlign w:val="center"/>
          </w:tcPr>
          <w:p w14:paraId="1352FD64">
            <w:pPr>
              <w:widowControl/>
              <w:jc w:val="left"/>
              <w:rPr>
                <w:rFonts w:ascii="宋体" w:hAnsi="宋体" w:cs="宋体"/>
                <w:color w:val="000000"/>
                <w:kern w:val="0"/>
                <w:sz w:val="20"/>
              </w:rPr>
            </w:pPr>
            <w:r>
              <w:rPr>
                <w:rFonts w:hint="eastAsia" w:ascii="宋体" w:hAnsi="宋体" w:cs="宋体"/>
                <w:color w:val="000000"/>
                <w:kern w:val="0"/>
                <w:sz w:val="20"/>
              </w:rPr>
              <w:t>执行中期评估（2分）</w:t>
            </w:r>
          </w:p>
        </w:tc>
        <w:tc>
          <w:tcPr>
            <w:tcW w:w="2126" w:type="dxa"/>
            <w:tcBorders>
              <w:top w:val="nil"/>
              <w:left w:val="nil"/>
              <w:bottom w:val="single" w:color="auto" w:sz="4" w:space="0"/>
              <w:right w:val="single" w:color="auto" w:sz="4" w:space="0"/>
            </w:tcBorders>
            <w:noWrap w:val="0"/>
            <w:vAlign w:val="top"/>
          </w:tcPr>
          <w:p w14:paraId="25C63B44">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42A02B4A">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noWrap w:val="0"/>
            <w:vAlign w:val="center"/>
          </w:tcPr>
          <w:p w14:paraId="669D42C8">
            <w:pPr>
              <w:jc w:val="center"/>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6D061CE8">
            <w:pPr>
              <w:widowControl/>
              <w:jc w:val="left"/>
              <w:rPr>
                <w:rFonts w:ascii="宋体" w:hAnsi="宋体" w:cs="宋体"/>
                <w:color w:val="000000"/>
                <w:kern w:val="0"/>
                <w:sz w:val="20"/>
              </w:rPr>
            </w:pPr>
            <w:r>
              <w:rPr>
                <w:rFonts w:hint="eastAsia" w:ascii="宋体" w:hAnsi="宋体" w:cs="宋体"/>
                <w:color w:val="000000"/>
                <w:kern w:val="0"/>
                <w:sz w:val="20"/>
              </w:rPr>
              <w:t>绩效监控（5分）</w:t>
            </w:r>
          </w:p>
        </w:tc>
        <w:tc>
          <w:tcPr>
            <w:tcW w:w="3402" w:type="dxa"/>
            <w:tcBorders>
              <w:top w:val="nil"/>
              <w:left w:val="nil"/>
              <w:bottom w:val="single" w:color="auto" w:sz="4" w:space="0"/>
              <w:right w:val="single" w:color="auto" w:sz="4" w:space="0"/>
            </w:tcBorders>
            <w:noWrap w:val="0"/>
            <w:vAlign w:val="center"/>
          </w:tcPr>
          <w:p w14:paraId="62A9A6AC">
            <w:pPr>
              <w:widowControl/>
              <w:jc w:val="left"/>
              <w:rPr>
                <w:rFonts w:ascii="宋体" w:hAnsi="宋体" w:cs="宋体"/>
                <w:color w:val="000000"/>
                <w:kern w:val="0"/>
                <w:sz w:val="20"/>
              </w:rPr>
            </w:pPr>
            <w:r>
              <w:rPr>
                <w:rFonts w:hint="eastAsia" w:ascii="宋体" w:hAnsi="宋体" w:cs="宋体"/>
                <w:color w:val="000000"/>
                <w:kern w:val="0"/>
                <w:sz w:val="20"/>
              </w:rPr>
              <w:t>预算执行进度监控（2分）</w:t>
            </w:r>
          </w:p>
        </w:tc>
        <w:tc>
          <w:tcPr>
            <w:tcW w:w="2126" w:type="dxa"/>
            <w:tcBorders>
              <w:top w:val="nil"/>
              <w:left w:val="nil"/>
              <w:bottom w:val="single" w:color="auto" w:sz="4" w:space="0"/>
              <w:right w:val="single" w:color="auto" w:sz="4" w:space="0"/>
            </w:tcBorders>
            <w:noWrap w:val="0"/>
            <w:vAlign w:val="top"/>
          </w:tcPr>
          <w:p w14:paraId="3A585507">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14F37CA9">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noWrap w:val="0"/>
            <w:vAlign w:val="center"/>
          </w:tcPr>
          <w:p w14:paraId="5FCD10F0">
            <w:pPr>
              <w:jc w:val="center"/>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6B6687B9">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6FB3C2FC">
            <w:pPr>
              <w:widowControl/>
              <w:jc w:val="left"/>
              <w:rPr>
                <w:rFonts w:ascii="宋体" w:hAnsi="宋体" w:cs="宋体"/>
                <w:color w:val="000000"/>
                <w:kern w:val="0"/>
                <w:sz w:val="20"/>
              </w:rPr>
            </w:pPr>
            <w:r>
              <w:rPr>
                <w:rFonts w:hint="eastAsia" w:ascii="宋体" w:hAnsi="宋体" w:cs="宋体"/>
                <w:color w:val="000000"/>
                <w:kern w:val="0"/>
                <w:sz w:val="20"/>
              </w:rPr>
              <w:t>绩效目标动态监控（3分）</w:t>
            </w:r>
          </w:p>
        </w:tc>
        <w:tc>
          <w:tcPr>
            <w:tcW w:w="2126" w:type="dxa"/>
            <w:tcBorders>
              <w:top w:val="nil"/>
              <w:left w:val="nil"/>
              <w:bottom w:val="single" w:color="auto" w:sz="4" w:space="0"/>
              <w:right w:val="single" w:color="auto" w:sz="4" w:space="0"/>
            </w:tcBorders>
            <w:noWrap w:val="0"/>
            <w:vAlign w:val="top"/>
          </w:tcPr>
          <w:p w14:paraId="7ED1280A">
            <w:pPr>
              <w:widowControl/>
              <w:jc w:val="left"/>
              <w:rPr>
                <w:rFonts w:hint="eastAsia" w:ascii="宋体" w:hAnsi="宋体" w:eastAsia="宋体" w:cs="宋体"/>
                <w:color w:val="000000"/>
                <w:kern w:val="0"/>
                <w:sz w:val="20"/>
              </w:rPr>
            </w:pPr>
            <w:r>
              <w:rPr>
                <w:rFonts w:hint="eastAsia" w:ascii="宋体" w:hAnsi="宋体" w:cs="宋体"/>
                <w:color w:val="000000"/>
                <w:kern w:val="0"/>
                <w:sz w:val="20"/>
              </w:rPr>
              <w:t>3</w:t>
            </w:r>
          </w:p>
        </w:tc>
      </w:tr>
      <w:tr w14:paraId="2F5882F3">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0"/>
            <w:vAlign w:val="center"/>
          </w:tcPr>
          <w:p w14:paraId="60E24BFB">
            <w:pPr>
              <w:jc w:val="center"/>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22CABA92">
            <w:pPr>
              <w:widowControl/>
              <w:jc w:val="left"/>
              <w:rPr>
                <w:rFonts w:ascii="宋体" w:hAnsi="宋体" w:cs="宋体"/>
                <w:color w:val="000000"/>
                <w:kern w:val="0"/>
                <w:sz w:val="20"/>
              </w:rPr>
            </w:pPr>
            <w:r>
              <w:rPr>
                <w:rFonts w:hint="eastAsia" w:ascii="宋体" w:hAnsi="宋体" w:cs="宋体"/>
                <w:color w:val="000000"/>
                <w:kern w:val="0"/>
                <w:sz w:val="20"/>
              </w:rPr>
              <w:t>非税收入执收情况（2分）</w:t>
            </w:r>
          </w:p>
        </w:tc>
        <w:tc>
          <w:tcPr>
            <w:tcW w:w="3402" w:type="dxa"/>
            <w:tcBorders>
              <w:top w:val="nil"/>
              <w:left w:val="nil"/>
              <w:bottom w:val="single" w:color="auto" w:sz="4" w:space="0"/>
              <w:right w:val="single" w:color="auto" w:sz="4" w:space="0"/>
            </w:tcBorders>
            <w:noWrap w:val="0"/>
            <w:vAlign w:val="center"/>
          </w:tcPr>
          <w:p w14:paraId="69BCC052">
            <w:pPr>
              <w:widowControl/>
              <w:jc w:val="left"/>
              <w:rPr>
                <w:rFonts w:ascii="宋体" w:hAnsi="宋体" w:cs="宋体"/>
                <w:color w:val="000000"/>
                <w:kern w:val="0"/>
                <w:sz w:val="20"/>
              </w:rPr>
            </w:pPr>
            <w:r>
              <w:rPr>
                <w:rFonts w:hint="eastAsia" w:ascii="宋体" w:hAnsi="宋体" w:cs="宋体"/>
                <w:color w:val="000000"/>
                <w:kern w:val="0"/>
                <w:sz w:val="20"/>
              </w:rPr>
              <w:t>非税收入征收情况（1分）</w:t>
            </w:r>
          </w:p>
        </w:tc>
        <w:tc>
          <w:tcPr>
            <w:tcW w:w="2126" w:type="dxa"/>
            <w:tcBorders>
              <w:top w:val="nil"/>
              <w:left w:val="nil"/>
              <w:bottom w:val="single" w:color="auto" w:sz="4" w:space="0"/>
              <w:right w:val="single" w:color="auto" w:sz="4" w:space="0"/>
            </w:tcBorders>
            <w:noWrap w:val="0"/>
            <w:vAlign w:val="top"/>
          </w:tcPr>
          <w:p w14:paraId="65D2D4C0">
            <w:pPr>
              <w:widowControl/>
              <w:jc w:val="left"/>
              <w:rPr>
                <w:rFonts w:hint="eastAsia" w:ascii="宋体" w:hAnsi="宋体" w:eastAsia="宋体" w:cs="宋体"/>
                <w:color w:val="000000"/>
                <w:kern w:val="0"/>
                <w:sz w:val="20"/>
              </w:rPr>
            </w:pPr>
            <w:r>
              <w:rPr>
                <w:rFonts w:hint="eastAsia" w:ascii="宋体" w:hAnsi="宋体" w:cs="宋体"/>
                <w:color w:val="000000"/>
                <w:kern w:val="0"/>
                <w:sz w:val="20"/>
              </w:rPr>
              <w:t>1</w:t>
            </w:r>
          </w:p>
        </w:tc>
      </w:tr>
      <w:tr w14:paraId="3CD62A3B">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noWrap w:val="0"/>
            <w:vAlign w:val="center"/>
          </w:tcPr>
          <w:p w14:paraId="02CA304D">
            <w:pPr>
              <w:jc w:val="center"/>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75B65E0F">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412295D5">
            <w:pPr>
              <w:widowControl/>
              <w:jc w:val="left"/>
              <w:rPr>
                <w:rFonts w:ascii="宋体" w:hAnsi="宋体" w:cs="宋体"/>
                <w:color w:val="000000"/>
                <w:kern w:val="0"/>
                <w:sz w:val="20"/>
              </w:rPr>
            </w:pPr>
            <w:r>
              <w:rPr>
                <w:rFonts w:hint="eastAsia" w:ascii="宋体" w:hAnsi="宋体" w:cs="宋体"/>
                <w:color w:val="000000"/>
                <w:kern w:val="0"/>
                <w:sz w:val="20"/>
              </w:rPr>
              <w:t>非税收入上缴情况（1分）</w:t>
            </w:r>
          </w:p>
        </w:tc>
        <w:tc>
          <w:tcPr>
            <w:tcW w:w="2126" w:type="dxa"/>
            <w:tcBorders>
              <w:top w:val="nil"/>
              <w:left w:val="nil"/>
              <w:bottom w:val="single" w:color="auto" w:sz="4" w:space="0"/>
              <w:right w:val="single" w:color="auto" w:sz="4" w:space="0"/>
            </w:tcBorders>
            <w:noWrap w:val="0"/>
            <w:vAlign w:val="top"/>
          </w:tcPr>
          <w:p w14:paraId="28B26EFA">
            <w:pPr>
              <w:widowControl/>
              <w:jc w:val="left"/>
              <w:rPr>
                <w:rFonts w:hint="eastAsia" w:ascii="宋体" w:hAnsi="宋体" w:eastAsia="宋体" w:cs="宋体"/>
                <w:color w:val="000000"/>
                <w:kern w:val="0"/>
                <w:sz w:val="20"/>
              </w:rPr>
            </w:pPr>
            <w:r>
              <w:rPr>
                <w:rFonts w:hint="eastAsia" w:ascii="宋体" w:hAnsi="宋体" w:cs="宋体"/>
                <w:color w:val="000000"/>
                <w:kern w:val="0"/>
                <w:sz w:val="20"/>
              </w:rPr>
              <w:t>1</w:t>
            </w:r>
          </w:p>
        </w:tc>
      </w:tr>
      <w:tr w14:paraId="3D086AC2">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0"/>
            <w:vAlign w:val="center"/>
          </w:tcPr>
          <w:p w14:paraId="11058393">
            <w:pPr>
              <w:jc w:val="center"/>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306DE1D9">
            <w:pPr>
              <w:widowControl/>
              <w:jc w:val="left"/>
              <w:rPr>
                <w:rFonts w:ascii="宋体" w:hAnsi="宋体" w:cs="宋体"/>
                <w:color w:val="000000"/>
                <w:kern w:val="0"/>
                <w:sz w:val="20"/>
              </w:rPr>
            </w:pPr>
            <w:r>
              <w:rPr>
                <w:rFonts w:hint="eastAsia" w:ascii="宋体" w:hAnsi="宋体" w:cs="宋体"/>
                <w:color w:val="000000"/>
                <w:kern w:val="0"/>
                <w:sz w:val="20"/>
              </w:rPr>
              <w:t>资产管理（6分）</w:t>
            </w:r>
          </w:p>
        </w:tc>
        <w:tc>
          <w:tcPr>
            <w:tcW w:w="3402" w:type="dxa"/>
            <w:tcBorders>
              <w:top w:val="nil"/>
              <w:left w:val="nil"/>
              <w:bottom w:val="single" w:color="auto" w:sz="4" w:space="0"/>
              <w:right w:val="single" w:color="auto" w:sz="4" w:space="0"/>
            </w:tcBorders>
            <w:noWrap w:val="0"/>
            <w:vAlign w:val="center"/>
          </w:tcPr>
          <w:p w14:paraId="493C0168">
            <w:pPr>
              <w:widowControl/>
              <w:jc w:val="left"/>
              <w:rPr>
                <w:rFonts w:ascii="宋体" w:hAnsi="宋体" w:cs="宋体"/>
                <w:color w:val="000000"/>
                <w:kern w:val="0"/>
                <w:sz w:val="20"/>
              </w:rPr>
            </w:pPr>
            <w:r>
              <w:rPr>
                <w:rFonts w:hint="eastAsia" w:ascii="宋体" w:hAnsi="宋体" w:cs="宋体"/>
                <w:color w:val="000000"/>
                <w:kern w:val="0"/>
                <w:sz w:val="20"/>
              </w:rPr>
              <w:t>资产管理信息化情况（2分）</w:t>
            </w:r>
          </w:p>
        </w:tc>
        <w:tc>
          <w:tcPr>
            <w:tcW w:w="2126" w:type="dxa"/>
            <w:tcBorders>
              <w:top w:val="nil"/>
              <w:left w:val="nil"/>
              <w:bottom w:val="single" w:color="auto" w:sz="4" w:space="0"/>
              <w:right w:val="single" w:color="auto" w:sz="4" w:space="0"/>
            </w:tcBorders>
            <w:noWrap w:val="0"/>
            <w:vAlign w:val="top"/>
          </w:tcPr>
          <w:p w14:paraId="4D944591">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49A18184">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0"/>
            <w:vAlign w:val="center"/>
          </w:tcPr>
          <w:p w14:paraId="18EFA399">
            <w:pPr>
              <w:jc w:val="center"/>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39D2668D">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62DF6E52">
            <w:pPr>
              <w:widowControl/>
              <w:jc w:val="left"/>
              <w:rPr>
                <w:rFonts w:ascii="宋体" w:hAnsi="宋体" w:cs="宋体"/>
                <w:color w:val="000000"/>
                <w:kern w:val="0"/>
                <w:sz w:val="20"/>
              </w:rPr>
            </w:pPr>
            <w:r>
              <w:rPr>
                <w:rFonts w:hint="eastAsia" w:ascii="宋体" w:hAnsi="宋体" w:cs="宋体"/>
                <w:color w:val="000000"/>
                <w:kern w:val="0"/>
                <w:sz w:val="20"/>
              </w:rPr>
              <w:t>行政事业单位资产报告情况（2分）</w:t>
            </w:r>
          </w:p>
        </w:tc>
        <w:tc>
          <w:tcPr>
            <w:tcW w:w="2126" w:type="dxa"/>
            <w:tcBorders>
              <w:top w:val="nil"/>
              <w:left w:val="nil"/>
              <w:bottom w:val="single" w:color="auto" w:sz="4" w:space="0"/>
              <w:right w:val="single" w:color="auto" w:sz="4" w:space="0"/>
            </w:tcBorders>
            <w:noWrap w:val="0"/>
            <w:vAlign w:val="top"/>
          </w:tcPr>
          <w:p w14:paraId="19C2E531">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332D0A40">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noWrap w:val="0"/>
            <w:vAlign w:val="center"/>
          </w:tcPr>
          <w:p w14:paraId="4BE9A062">
            <w:pPr>
              <w:jc w:val="center"/>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5CA2789D">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47656176">
            <w:pPr>
              <w:widowControl/>
              <w:jc w:val="left"/>
              <w:rPr>
                <w:rFonts w:ascii="宋体" w:hAnsi="宋体" w:cs="宋体"/>
                <w:color w:val="000000"/>
                <w:kern w:val="0"/>
                <w:sz w:val="20"/>
              </w:rPr>
            </w:pPr>
            <w:r>
              <w:rPr>
                <w:rFonts w:hint="eastAsia" w:ascii="宋体" w:hAnsi="宋体" w:cs="宋体"/>
                <w:color w:val="000000"/>
                <w:kern w:val="0"/>
                <w:sz w:val="20"/>
              </w:rPr>
              <w:t>资产管理与预算管理相结合（2分）</w:t>
            </w:r>
          </w:p>
        </w:tc>
        <w:tc>
          <w:tcPr>
            <w:tcW w:w="2126" w:type="dxa"/>
            <w:tcBorders>
              <w:top w:val="nil"/>
              <w:left w:val="nil"/>
              <w:bottom w:val="single" w:color="auto" w:sz="4" w:space="0"/>
              <w:right w:val="single" w:color="auto" w:sz="4" w:space="0"/>
            </w:tcBorders>
            <w:noWrap w:val="0"/>
            <w:vAlign w:val="top"/>
          </w:tcPr>
          <w:p w14:paraId="5491C581">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0FC2176F">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noWrap w:val="0"/>
            <w:vAlign w:val="center"/>
          </w:tcPr>
          <w:p w14:paraId="32DD4A38">
            <w:pPr>
              <w:widowControl/>
              <w:jc w:val="center"/>
              <w:rPr>
                <w:rFonts w:ascii="宋体" w:hAnsi="宋体" w:cs="宋体"/>
                <w:color w:val="000000"/>
                <w:kern w:val="0"/>
                <w:sz w:val="20"/>
              </w:rPr>
            </w:pPr>
          </w:p>
        </w:tc>
        <w:tc>
          <w:tcPr>
            <w:tcW w:w="2268" w:type="dxa"/>
            <w:tcBorders>
              <w:top w:val="nil"/>
              <w:left w:val="nil"/>
              <w:bottom w:val="single" w:color="auto" w:sz="4" w:space="0"/>
              <w:right w:val="single" w:color="auto" w:sz="4" w:space="0"/>
            </w:tcBorders>
            <w:noWrap w:val="0"/>
            <w:vAlign w:val="center"/>
          </w:tcPr>
          <w:p w14:paraId="28635F11">
            <w:pPr>
              <w:widowControl/>
              <w:jc w:val="left"/>
              <w:rPr>
                <w:rFonts w:ascii="宋体" w:hAnsi="宋体" w:cs="宋体"/>
                <w:color w:val="000000"/>
                <w:kern w:val="0"/>
                <w:sz w:val="20"/>
              </w:rPr>
            </w:pPr>
            <w:r>
              <w:rPr>
                <w:rFonts w:hint="eastAsia" w:ascii="宋体" w:hAnsi="宋体" w:cs="宋体"/>
                <w:color w:val="000000"/>
                <w:kern w:val="0"/>
                <w:sz w:val="20"/>
              </w:rPr>
              <w:t>内控制度管理（2分）</w:t>
            </w:r>
          </w:p>
        </w:tc>
        <w:tc>
          <w:tcPr>
            <w:tcW w:w="3402" w:type="dxa"/>
            <w:tcBorders>
              <w:top w:val="nil"/>
              <w:left w:val="nil"/>
              <w:bottom w:val="single" w:color="auto" w:sz="4" w:space="0"/>
              <w:right w:val="single" w:color="auto" w:sz="4" w:space="0"/>
            </w:tcBorders>
            <w:noWrap w:val="0"/>
            <w:vAlign w:val="center"/>
          </w:tcPr>
          <w:p w14:paraId="25F204B0">
            <w:pPr>
              <w:widowControl/>
              <w:jc w:val="left"/>
              <w:rPr>
                <w:rFonts w:ascii="宋体" w:hAnsi="宋体" w:cs="宋体"/>
                <w:color w:val="000000"/>
                <w:kern w:val="0"/>
                <w:sz w:val="20"/>
              </w:rPr>
            </w:pPr>
            <w:r>
              <w:rPr>
                <w:rFonts w:hint="eastAsia" w:ascii="宋体" w:hAnsi="宋体" w:cs="宋体"/>
                <w:color w:val="000000"/>
                <w:kern w:val="0"/>
                <w:sz w:val="20"/>
              </w:rPr>
              <w:t>内部控制度健全完整（2分）</w:t>
            </w:r>
          </w:p>
        </w:tc>
        <w:tc>
          <w:tcPr>
            <w:tcW w:w="2126" w:type="dxa"/>
            <w:tcBorders>
              <w:top w:val="nil"/>
              <w:left w:val="nil"/>
              <w:bottom w:val="single" w:color="auto" w:sz="4" w:space="0"/>
              <w:right w:val="single" w:color="auto" w:sz="4" w:space="0"/>
            </w:tcBorders>
            <w:noWrap w:val="0"/>
            <w:vAlign w:val="top"/>
          </w:tcPr>
          <w:p w14:paraId="7EC7B1AA">
            <w:pPr>
              <w:widowControl/>
              <w:jc w:val="left"/>
              <w:rPr>
                <w:rFonts w:hint="eastAsia" w:ascii="宋体" w:hAnsi="宋体" w:eastAsia="宋体" w:cs="宋体"/>
                <w:color w:val="000000"/>
                <w:kern w:val="0"/>
                <w:sz w:val="20"/>
              </w:rPr>
            </w:pPr>
            <w:r>
              <w:rPr>
                <w:rFonts w:hint="eastAsia" w:ascii="宋体" w:hAnsi="宋体" w:cs="宋体"/>
                <w:color w:val="000000"/>
                <w:kern w:val="0"/>
                <w:sz w:val="20"/>
              </w:rPr>
              <w:t>1</w:t>
            </w:r>
          </w:p>
        </w:tc>
      </w:tr>
      <w:tr w14:paraId="0B7053F2">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0"/>
            <w:vAlign w:val="center"/>
          </w:tcPr>
          <w:p w14:paraId="50B2887B">
            <w:pPr>
              <w:widowControl/>
              <w:jc w:val="left"/>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6E4D787E">
            <w:pPr>
              <w:widowControl/>
              <w:jc w:val="left"/>
              <w:rPr>
                <w:rFonts w:ascii="宋体" w:hAnsi="宋体" w:cs="宋体"/>
                <w:color w:val="000000"/>
                <w:kern w:val="0"/>
                <w:sz w:val="20"/>
              </w:rPr>
            </w:pPr>
            <w:r>
              <w:rPr>
                <w:rFonts w:hint="eastAsia" w:ascii="宋体" w:hAnsi="宋体" w:cs="宋体"/>
                <w:color w:val="000000"/>
                <w:kern w:val="0"/>
                <w:sz w:val="20"/>
              </w:rPr>
              <w:t>信息公开（6分）</w:t>
            </w:r>
          </w:p>
        </w:tc>
        <w:tc>
          <w:tcPr>
            <w:tcW w:w="3402" w:type="dxa"/>
            <w:tcBorders>
              <w:top w:val="nil"/>
              <w:left w:val="nil"/>
              <w:bottom w:val="single" w:color="auto" w:sz="4" w:space="0"/>
              <w:right w:val="single" w:color="auto" w:sz="4" w:space="0"/>
            </w:tcBorders>
            <w:noWrap w:val="0"/>
            <w:vAlign w:val="center"/>
          </w:tcPr>
          <w:p w14:paraId="6912EC15">
            <w:pPr>
              <w:widowControl/>
              <w:jc w:val="left"/>
              <w:rPr>
                <w:rFonts w:ascii="宋体" w:hAnsi="宋体" w:cs="宋体"/>
                <w:color w:val="000000"/>
                <w:kern w:val="0"/>
                <w:sz w:val="20"/>
              </w:rPr>
            </w:pPr>
            <w:r>
              <w:rPr>
                <w:rFonts w:hint="eastAsia" w:ascii="宋体" w:hAnsi="宋体" w:cs="宋体"/>
                <w:color w:val="000000"/>
                <w:kern w:val="0"/>
                <w:sz w:val="20"/>
              </w:rPr>
              <w:t>预算公开（2分）</w:t>
            </w:r>
          </w:p>
        </w:tc>
        <w:tc>
          <w:tcPr>
            <w:tcW w:w="2126" w:type="dxa"/>
            <w:tcBorders>
              <w:top w:val="nil"/>
              <w:left w:val="nil"/>
              <w:bottom w:val="single" w:color="auto" w:sz="4" w:space="0"/>
              <w:right w:val="single" w:color="auto" w:sz="4" w:space="0"/>
            </w:tcBorders>
            <w:noWrap w:val="0"/>
            <w:vAlign w:val="top"/>
          </w:tcPr>
          <w:p w14:paraId="3C13D9ED">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207090F4">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noWrap w:val="0"/>
            <w:vAlign w:val="center"/>
          </w:tcPr>
          <w:p w14:paraId="04EA38B1">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16DA6223">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7D067E3D">
            <w:pPr>
              <w:widowControl/>
              <w:jc w:val="left"/>
              <w:rPr>
                <w:rFonts w:ascii="宋体" w:hAnsi="宋体" w:cs="宋体"/>
                <w:color w:val="000000"/>
                <w:kern w:val="0"/>
                <w:sz w:val="20"/>
              </w:rPr>
            </w:pPr>
            <w:r>
              <w:rPr>
                <w:rFonts w:hint="eastAsia" w:ascii="宋体" w:hAnsi="宋体" w:cs="宋体"/>
                <w:color w:val="000000"/>
                <w:kern w:val="0"/>
                <w:sz w:val="20"/>
              </w:rPr>
              <w:t>决算公开（2分）</w:t>
            </w:r>
          </w:p>
        </w:tc>
        <w:tc>
          <w:tcPr>
            <w:tcW w:w="2126" w:type="dxa"/>
            <w:tcBorders>
              <w:top w:val="nil"/>
              <w:left w:val="nil"/>
              <w:bottom w:val="single" w:color="auto" w:sz="4" w:space="0"/>
              <w:right w:val="single" w:color="auto" w:sz="4" w:space="0"/>
            </w:tcBorders>
            <w:noWrap w:val="0"/>
            <w:vAlign w:val="top"/>
          </w:tcPr>
          <w:p w14:paraId="038DACB1">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433218A9">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0"/>
            <w:vAlign w:val="center"/>
          </w:tcPr>
          <w:p w14:paraId="0EE69000">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700A8F3C">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099D098D">
            <w:pPr>
              <w:widowControl/>
              <w:jc w:val="left"/>
              <w:rPr>
                <w:rFonts w:ascii="宋体" w:hAnsi="宋体" w:cs="宋体"/>
                <w:color w:val="000000"/>
                <w:kern w:val="0"/>
                <w:sz w:val="20"/>
              </w:rPr>
            </w:pPr>
            <w:r>
              <w:rPr>
                <w:rFonts w:hint="eastAsia" w:ascii="宋体" w:hAnsi="宋体" w:cs="宋体"/>
                <w:color w:val="000000"/>
                <w:kern w:val="0"/>
                <w:sz w:val="20"/>
              </w:rPr>
              <w:t>绩效信息公开（2分）</w:t>
            </w:r>
          </w:p>
        </w:tc>
        <w:tc>
          <w:tcPr>
            <w:tcW w:w="2126" w:type="dxa"/>
            <w:tcBorders>
              <w:top w:val="nil"/>
              <w:left w:val="nil"/>
              <w:bottom w:val="single" w:color="auto" w:sz="4" w:space="0"/>
              <w:right w:val="single" w:color="auto" w:sz="4" w:space="0"/>
            </w:tcBorders>
            <w:noWrap w:val="0"/>
            <w:vAlign w:val="top"/>
          </w:tcPr>
          <w:p w14:paraId="7075D78A">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75D3C002">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noWrap w:val="0"/>
            <w:vAlign w:val="center"/>
          </w:tcPr>
          <w:p w14:paraId="5CEF05DE">
            <w:pPr>
              <w:widowControl/>
              <w:jc w:val="left"/>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1E2934B2">
            <w:pPr>
              <w:widowControl/>
              <w:jc w:val="left"/>
              <w:rPr>
                <w:rFonts w:ascii="宋体" w:hAnsi="宋体" w:cs="宋体"/>
                <w:color w:val="000000"/>
                <w:kern w:val="0"/>
                <w:sz w:val="20"/>
              </w:rPr>
            </w:pPr>
            <w:r>
              <w:rPr>
                <w:rFonts w:hint="eastAsia" w:ascii="宋体" w:hAnsi="宋体" w:cs="宋体"/>
                <w:color w:val="000000"/>
                <w:kern w:val="0"/>
                <w:sz w:val="20"/>
              </w:rPr>
              <w:t>绩效评价（5分）</w:t>
            </w:r>
          </w:p>
        </w:tc>
        <w:tc>
          <w:tcPr>
            <w:tcW w:w="3402" w:type="dxa"/>
            <w:tcBorders>
              <w:top w:val="nil"/>
              <w:left w:val="nil"/>
              <w:bottom w:val="single" w:color="auto" w:sz="4" w:space="0"/>
              <w:right w:val="single" w:color="auto" w:sz="4" w:space="0"/>
            </w:tcBorders>
            <w:noWrap w:val="0"/>
            <w:vAlign w:val="center"/>
          </w:tcPr>
          <w:p w14:paraId="5A5CDBA4">
            <w:pPr>
              <w:widowControl/>
              <w:jc w:val="left"/>
              <w:rPr>
                <w:rFonts w:ascii="宋体" w:hAnsi="宋体" w:cs="宋体"/>
                <w:color w:val="000000"/>
                <w:kern w:val="0"/>
                <w:sz w:val="20"/>
              </w:rPr>
            </w:pPr>
            <w:r>
              <w:rPr>
                <w:rFonts w:hint="eastAsia" w:ascii="宋体" w:hAnsi="宋体" w:cs="宋体"/>
                <w:color w:val="000000"/>
                <w:kern w:val="0"/>
                <w:sz w:val="20"/>
              </w:rPr>
              <w:t>绩效评价开展（2分）</w:t>
            </w:r>
          </w:p>
        </w:tc>
        <w:tc>
          <w:tcPr>
            <w:tcW w:w="2126" w:type="dxa"/>
            <w:tcBorders>
              <w:top w:val="nil"/>
              <w:left w:val="nil"/>
              <w:bottom w:val="single" w:color="auto" w:sz="4" w:space="0"/>
              <w:right w:val="single" w:color="auto" w:sz="4" w:space="0"/>
            </w:tcBorders>
            <w:noWrap w:val="0"/>
            <w:vAlign w:val="top"/>
          </w:tcPr>
          <w:p w14:paraId="472CDAD2">
            <w:pPr>
              <w:widowControl/>
              <w:jc w:val="left"/>
              <w:rPr>
                <w:rFonts w:hint="eastAsia" w:ascii="宋体" w:hAnsi="宋体" w:eastAsia="宋体" w:cs="宋体"/>
                <w:color w:val="000000"/>
                <w:kern w:val="0"/>
                <w:sz w:val="20"/>
              </w:rPr>
            </w:pPr>
            <w:r>
              <w:rPr>
                <w:rFonts w:hint="eastAsia" w:ascii="宋体" w:hAnsi="宋体" w:cs="宋体"/>
                <w:color w:val="000000"/>
                <w:kern w:val="0"/>
                <w:sz w:val="20"/>
              </w:rPr>
              <w:t>2</w:t>
            </w:r>
          </w:p>
        </w:tc>
      </w:tr>
      <w:tr w14:paraId="7E46BA1D">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noWrap w:val="0"/>
            <w:vAlign w:val="center"/>
          </w:tcPr>
          <w:p w14:paraId="010D7198">
            <w:pPr>
              <w:widowControl/>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29AFFF5A">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3D061D6A">
            <w:pPr>
              <w:widowControl/>
              <w:jc w:val="left"/>
              <w:rPr>
                <w:rFonts w:ascii="宋体" w:hAnsi="宋体" w:cs="宋体"/>
                <w:color w:val="000000"/>
                <w:kern w:val="0"/>
                <w:sz w:val="20"/>
              </w:rPr>
            </w:pPr>
            <w:r>
              <w:rPr>
                <w:rFonts w:hint="eastAsia" w:ascii="宋体" w:hAnsi="宋体" w:cs="宋体"/>
                <w:color w:val="000000"/>
                <w:kern w:val="0"/>
                <w:sz w:val="20"/>
              </w:rPr>
              <w:t>评价结果应用（3分）</w:t>
            </w:r>
          </w:p>
        </w:tc>
        <w:tc>
          <w:tcPr>
            <w:tcW w:w="2126" w:type="dxa"/>
            <w:tcBorders>
              <w:top w:val="nil"/>
              <w:left w:val="nil"/>
              <w:bottom w:val="single" w:color="auto" w:sz="4" w:space="0"/>
              <w:right w:val="single" w:color="auto" w:sz="4" w:space="0"/>
            </w:tcBorders>
            <w:noWrap w:val="0"/>
            <w:vAlign w:val="top"/>
          </w:tcPr>
          <w:p w14:paraId="17FC4A7A">
            <w:pPr>
              <w:widowControl/>
              <w:jc w:val="left"/>
              <w:rPr>
                <w:rFonts w:hint="eastAsia" w:ascii="宋体" w:hAnsi="宋体" w:eastAsia="宋体" w:cs="宋体"/>
                <w:color w:val="000000"/>
                <w:kern w:val="0"/>
                <w:sz w:val="20"/>
              </w:rPr>
            </w:pPr>
            <w:r>
              <w:rPr>
                <w:rFonts w:hint="eastAsia" w:ascii="宋体" w:hAnsi="宋体" w:eastAsia="宋体" w:cs="宋体"/>
                <w:color w:val="000000"/>
                <w:kern w:val="0"/>
                <w:sz w:val="20"/>
              </w:rPr>
              <w:t>2</w:t>
            </w:r>
          </w:p>
        </w:tc>
      </w:tr>
      <w:tr w14:paraId="0E8E9E56">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noWrap w:val="0"/>
            <w:vAlign w:val="center"/>
          </w:tcPr>
          <w:p w14:paraId="332E13A3">
            <w:pPr>
              <w:widowControl/>
              <w:jc w:val="center"/>
              <w:rPr>
                <w:rFonts w:ascii="宋体" w:hAnsi="宋体" w:cs="宋体"/>
                <w:color w:val="000000"/>
                <w:kern w:val="0"/>
                <w:sz w:val="20"/>
              </w:rPr>
            </w:pPr>
            <w:r>
              <w:rPr>
                <w:rFonts w:hint="eastAsia" w:ascii="宋体" w:hAnsi="宋体" w:cs="宋体"/>
                <w:color w:val="000000"/>
                <w:kern w:val="0"/>
                <w:sz w:val="20"/>
              </w:rPr>
              <w:t>部门绩效情况（45分）</w:t>
            </w:r>
          </w:p>
        </w:tc>
        <w:tc>
          <w:tcPr>
            <w:tcW w:w="2268" w:type="dxa"/>
            <w:vMerge w:val="restart"/>
            <w:tcBorders>
              <w:top w:val="nil"/>
              <w:left w:val="single" w:color="auto" w:sz="4" w:space="0"/>
              <w:bottom w:val="single" w:color="auto" w:sz="4" w:space="0"/>
              <w:right w:val="single" w:color="auto" w:sz="4" w:space="0"/>
            </w:tcBorders>
            <w:noWrap w:val="0"/>
            <w:vAlign w:val="center"/>
          </w:tcPr>
          <w:p w14:paraId="49970F79">
            <w:pPr>
              <w:widowControl/>
              <w:jc w:val="left"/>
              <w:rPr>
                <w:rFonts w:ascii="宋体" w:hAnsi="宋体" w:cs="宋体"/>
                <w:color w:val="000000"/>
                <w:kern w:val="0"/>
                <w:sz w:val="20"/>
              </w:rPr>
            </w:pPr>
            <w:r>
              <w:rPr>
                <w:rFonts w:hint="eastAsia" w:ascii="宋体" w:hAnsi="宋体" w:cs="宋体"/>
                <w:color w:val="000000"/>
                <w:kern w:val="0"/>
                <w:sz w:val="20"/>
              </w:rPr>
              <w:t>履职成效（20分）</w:t>
            </w:r>
          </w:p>
        </w:tc>
        <w:tc>
          <w:tcPr>
            <w:tcW w:w="3402" w:type="dxa"/>
            <w:tcBorders>
              <w:top w:val="nil"/>
              <w:left w:val="nil"/>
              <w:bottom w:val="single" w:color="auto" w:sz="4" w:space="0"/>
              <w:right w:val="single" w:color="auto" w:sz="4" w:space="0"/>
            </w:tcBorders>
            <w:noWrap w:val="0"/>
            <w:vAlign w:val="center"/>
          </w:tcPr>
          <w:p w14:paraId="366AFBBD">
            <w:pPr>
              <w:widowControl/>
              <w:jc w:val="center"/>
              <w:rPr>
                <w:rFonts w:ascii="宋体" w:hAnsi="宋体" w:cs="宋体"/>
                <w:color w:val="000000"/>
                <w:kern w:val="0"/>
                <w:sz w:val="20"/>
              </w:rPr>
            </w:pPr>
            <w:r>
              <w:rPr>
                <w:rFonts w:hint="eastAsia" w:ascii="宋体" w:hAnsi="宋体" w:cs="宋体"/>
                <w:color w:val="000000"/>
                <w:kern w:val="0"/>
                <w:sz w:val="20"/>
              </w:rPr>
              <w:t>部门特性指标</w:t>
            </w:r>
          </w:p>
        </w:tc>
        <w:tc>
          <w:tcPr>
            <w:tcW w:w="2126" w:type="dxa"/>
            <w:tcBorders>
              <w:top w:val="nil"/>
              <w:left w:val="nil"/>
              <w:bottom w:val="single" w:color="auto" w:sz="4" w:space="0"/>
              <w:right w:val="single" w:color="auto" w:sz="4" w:space="0"/>
            </w:tcBorders>
            <w:noWrap w:val="0"/>
            <w:vAlign w:val="top"/>
          </w:tcPr>
          <w:p w14:paraId="2C27787E">
            <w:pPr>
              <w:widowControl/>
              <w:jc w:val="center"/>
              <w:rPr>
                <w:rFonts w:hint="eastAsia" w:ascii="宋体" w:hAnsi="宋体" w:eastAsia="宋体" w:cs="宋体"/>
                <w:color w:val="000000"/>
                <w:kern w:val="0"/>
                <w:sz w:val="20"/>
              </w:rPr>
            </w:pPr>
            <w:r>
              <w:rPr>
                <w:rFonts w:hint="eastAsia" w:ascii="宋体" w:hAnsi="宋体" w:cs="宋体"/>
                <w:color w:val="000000"/>
                <w:kern w:val="0"/>
                <w:sz w:val="20"/>
              </w:rPr>
              <w:t>17</w:t>
            </w:r>
          </w:p>
        </w:tc>
      </w:tr>
      <w:tr w14:paraId="3ED6D175">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0"/>
            <w:vAlign w:val="center"/>
          </w:tcPr>
          <w:p w14:paraId="3DEE9550">
            <w:pPr>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16348077">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286A303B">
            <w:pPr>
              <w:widowControl/>
              <w:jc w:val="center"/>
              <w:rPr>
                <w:rFonts w:ascii="宋体" w:hAnsi="宋体" w:cs="宋体"/>
                <w:color w:val="000000"/>
                <w:kern w:val="0"/>
                <w:sz w:val="20"/>
              </w:rPr>
            </w:pPr>
          </w:p>
        </w:tc>
        <w:tc>
          <w:tcPr>
            <w:tcW w:w="2126" w:type="dxa"/>
            <w:tcBorders>
              <w:top w:val="nil"/>
              <w:left w:val="nil"/>
              <w:bottom w:val="single" w:color="auto" w:sz="4" w:space="0"/>
              <w:right w:val="single" w:color="auto" w:sz="4" w:space="0"/>
            </w:tcBorders>
            <w:noWrap w:val="0"/>
            <w:vAlign w:val="top"/>
          </w:tcPr>
          <w:p w14:paraId="44E8A3FF">
            <w:pPr>
              <w:widowControl/>
              <w:jc w:val="center"/>
              <w:rPr>
                <w:rFonts w:ascii="宋体" w:hAnsi="宋体" w:cs="宋体"/>
                <w:color w:val="000000"/>
                <w:kern w:val="0"/>
                <w:sz w:val="20"/>
              </w:rPr>
            </w:pPr>
          </w:p>
        </w:tc>
      </w:tr>
      <w:tr w14:paraId="6E3F3FAC">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0"/>
            <w:vAlign w:val="center"/>
          </w:tcPr>
          <w:p w14:paraId="42D6E6FC">
            <w:pPr>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619FDDCB">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58776F9D">
            <w:pPr>
              <w:widowControl/>
              <w:jc w:val="center"/>
              <w:rPr>
                <w:rFonts w:ascii="宋体" w:hAnsi="宋体" w:cs="宋体"/>
                <w:color w:val="000000"/>
                <w:kern w:val="0"/>
                <w:sz w:val="20"/>
              </w:rPr>
            </w:pPr>
          </w:p>
        </w:tc>
        <w:tc>
          <w:tcPr>
            <w:tcW w:w="2126" w:type="dxa"/>
            <w:tcBorders>
              <w:top w:val="nil"/>
              <w:left w:val="nil"/>
              <w:bottom w:val="single" w:color="auto" w:sz="4" w:space="0"/>
              <w:right w:val="single" w:color="auto" w:sz="4" w:space="0"/>
            </w:tcBorders>
            <w:noWrap w:val="0"/>
            <w:vAlign w:val="top"/>
          </w:tcPr>
          <w:p w14:paraId="035CFEC1">
            <w:pPr>
              <w:widowControl/>
              <w:jc w:val="center"/>
              <w:rPr>
                <w:rFonts w:ascii="宋体" w:hAnsi="宋体" w:cs="宋体"/>
                <w:color w:val="000000"/>
                <w:kern w:val="0"/>
                <w:sz w:val="20"/>
              </w:rPr>
            </w:pPr>
          </w:p>
        </w:tc>
      </w:tr>
      <w:tr w14:paraId="75CB9EDB">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0"/>
            <w:vAlign w:val="center"/>
          </w:tcPr>
          <w:p w14:paraId="3AD8682F">
            <w:pPr>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795A7715">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002FF369">
            <w:pPr>
              <w:widowControl/>
              <w:jc w:val="center"/>
              <w:rPr>
                <w:rFonts w:ascii="宋体" w:hAnsi="宋体" w:cs="宋体"/>
                <w:color w:val="000000"/>
                <w:kern w:val="0"/>
                <w:sz w:val="20"/>
              </w:rPr>
            </w:pPr>
          </w:p>
        </w:tc>
        <w:tc>
          <w:tcPr>
            <w:tcW w:w="2126" w:type="dxa"/>
            <w:tcBorders>
              <w:top w:val="nil"/>
              <w:left w:val="nil"/>
              <w:bottom w:val="single" w:color="auto" w:sz="4" w:space="0"/>
              <w:right w:val="single" w:color="auto" w:sz="4" w:space="0"/>
            </w:tcBorders>
            <w:noWrap w:val="0"/>
            <w:vAlign w:val="top"/>
          </w:tcPr>
          <w:p w14:paraId="682F2798">
            <w:pPr>
              <w:widowControl/>
              <w:jc w:val="center"/>
              <w:rPr>
                <w:rFonts w:ascii="宋体" w:hAnsi="宋体" w:cs="宋体"/>
                <w:color w:val="000000"/>
                <w:kern w:val="0"/>
                <w:sz w:val="20"/>
              </w:rPr>
            </w:pPr>
          </w:p>
        </w:tc>
      </w:tr>
      <w:tr w14:paraId="5191C30A">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noWrap w:val="0"/>
            <w:vAlign w:val="center"/>
          </w:tcPr>
          <w:p w14:paraId="404BC296">
            <w:pPr>
              <w:jc w:val="left"/>
              <w:rPr>
                <w:rFonts w:ascii="宋体" w:hAnsi="宋体" w:cs="宋体"/>
                <w:color w:val="000000"/>
                <w:kern w:val="0"/>
                <w:sz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14:paraId="400F95A1">
            <w:pPr>
              <w:widowControl/>
              <w:jc w:val="left"/>
              <w:rPr>
                <w:rFonts w:ascii="宋体" w:hAnsi="宋体" w:cs="宋体"/>
                <w:color w:val="000000"/>
                <w:kern w:val="0"/>
                <w:sz w:val="20"/>
              </w:rPr>
            </w:pPr>
            <w:r>
              <w:rPr>
                <w:rFonts w:hint="eastAsia" w:ascii="宋体" w:hAnsi="宋体" w:cs="宋体"/>
                <w:color w:val="000000"/>
                <w:kern w:val="0"/>
                <w:sz w:val="20"/>
              </w:rPr>
              <w:t>可持续发展能力（15分）</w:t>
            </w:r>
          </w:p>
        </w:tc>
        <w:tc>
          <w:tcPr>
            <w:tcW w:w="3402" w:type="dxa"/>
            <w:tcBorders>
              <w:top w:val="nil"/>
              <w:left w:val="nil"/>
              <w:bottom w:val="single" w:color="auto" w:sz="4" w:space="0"/>
              <w:right w:val="single" w:color="auto" w:sz="4" w:space="0"/>
            </w:tcBorders>
            <w:noWrap w:val="0"/>
            <w:vAlign w:val="center"/>
          </w:tcPr>
          <w:p w14:paraId="79C5578E">
            <w:pPr>
              <w:widowControl/>
              <w:jc w:val="center"/>
              <w:rPr>
                <w:rFonts w:ascii="宋体" w:hAnsi="宋体" w:cs="宋体"/>
                <w:color w:val="000000"/>
                <w:kern w:val="0"/>
                <w:sz w:val="20"/>
              </w:rPr>
            </w:pPr>
            <w:r>
              <w:rPr>
                <w:rFonts w:hint="eastAsia" w:ascii="宋体" w:hAnsi="宋体" w:cs="宋体"/>
                <w:color w:val="000000"/>
                <w:kern w:val="0"/>
                <w:sz w:val="20"/>
              </w:rPr>
              <w:t>重点改革（重点工作）完成情况（5分）</w:t>
            </w:r>
          </w:p>
        </w:tc>
        <w:tc>
          <w:tcPr>
            <w:tcW w:w="2126" w:type="dxa"/>
            <w:tcBorders>
              <w:top w:val="nil"/>
              <w:left w:val="nil"/>
              <w:bottom w:val="single" w:color="auto" w:sz="4" w:space="0"/>
              <w:right w:val="single" w:color="auto" w:sz="4" w:space="0"/>
            </w:tcBorders>
            <w:noWrap w:val="0"/>
            <w:vAlign w:val="top"/>
          </w:tcPr>
          <w:p w14:paraId="7BF108AD">
            <w:pPr>
              <w:widowControl/>
              <w:jc w:val="center"/>
              <w:rPr>
                <w:rFonts w:hint="eastAsia" w:ascii="宋体" w:hAnsi="宋体" w:eastAsia="宋体" w:cs="宋体"/>
                <w:color w:val="000000"/>
                <w:kern w:val="0"/>
                <w:sz w:val="20"/>
              </w:rPr>
            </w:pPr>
            <w:r>
              <w:rPr>
                <w:rFonts w:hint="eastAsia" w:ascii="宋体" w:hAnsi="宋体" w:eastAsia="宋体" w:cs="宋体"/>
                <w:color w:val="000000"/>
                <w:kern w:val="0"/>
                <w:sz w:val="20"/>
              </w:rPr>
              <w:t>4</w:t>
            </w:r>
          </w:p>
        </w:tc>
      </w:tr>
      <w:tr w14:paraId="1F36C7DE">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noWrap w:val="0"/>
            <w:vAlign w:val="center"/>
          </w:tcPr>
          <w:p w14:paraId="7DCBA129">
            <w:pPr>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38A49FCE">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17941D03">
            <w:pPr>
              <w:widowControl/>
              <w:jc w:val="center"/>
              <w:rPr>
                <w:rFonts w:ascii="宋体" w:hAnsi="宋体" w:cs="宋体"/>
                <w:color w:val="000000"/>
                <w:kern w:val="0"/>
                <w:sz w:val="20"/>
              </w:rPr>
            </w:pPr>
            <w:r>
              <w:rPr>
                <w:rFonts w:hint="eastAsia" w:ascii="宋体" w:hAnsi="宋体" w:cs="宋体"/>
                <w:color w:val="000000"/>
                <w:kern w:val="0"/>
                <w:sz w:val="20"/>
              </w:rPr>
              <w:t>科技（制度、方法、机制等）创新（5分）</w:t>
            </w:r>
          </w:p>
        </w:tc>
        <w:tc>
          <w:tcPr>
            <w:tcW w:w="2126" w:type="dxa"/>
            <w:tcBorders>
              <w:top w:val="nil"/>
              <w:left w:val="nil"/>
              <w:bottom w:val="single" w:color="auto" w:sz="4" w:space="0"/>
              <w:right w:val="single" w:color="auto" w:sz="4" w:space="0"/>
            </w:tcBorders>
            <w:noWrap w:val="0"/>
            <w:vAlign w:val="top"/>
          </w:tcPr>
          <w:p w14:paraId="64E91574">
            <w:pPr>
              <w:widowControl/>
              <w:jc w:val="center"/>
              <w:rPr>
                <w:rFonts w:hint="eastAsia" w:ascii="宋体" w:hAnsi="宋体" w:eastAsia="宋体" w:cs="宋体"/>
                <w:color w:val="000000"/>
                <w:kern w:val="0"/>
                <w:sz w:val="20"/>
              </w:rPr>
            </w:pPr>
            <w:r>
              <w:rPr>
                <w:rFonts w:hint="eastAsia" w:ascii="宋体" w:hAnsi="宋体" w:cs="宋体"/>
                <w:color w:val="000000"/>
                <w:kern w:val="0"/>
                <w:sz w:val="20"/>
              </w:rPr>
              <w:t>４</w:t>
            </w:r>
          </w:p>
        </w:tc>
      </w:tr>
      <w:tr w14:paraId="3DAE67A3">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noWrap w:val="0"/>
            <w:vAlign w:val="center"/>
          </w:tcPr>
          <w:p w14:paraId="0A17F7D3">
            <w:pPr>
              <w:jc w:val="left"/>
              <w:rPr>
                <w:rFonts w:ascii="宋体" w:hAnsi="宋体" w:cs="宋体"/>
                <w:color w:val="000000"/>
                <w:kern w:val="0"/>
                <w:sz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14:paraId="4A5D58AD">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6BB7FFC8">
            <w:pPr>
              <w:widowControl/>
              <w:jc w:val="center"/>
              <w:rPr>
                <w:rFonts w:ascii="宋体" w:hAnsi="宋体" w:cs="宋体"/>
                <w:color w:val="000000"/>
                <w:kern w:val="0"/>
                <w:sz w:val="20"/>
              </w:rPr>
            </w:pPr>
            <w:r>
              <w:rPr>
                <w:rFonts w:hint="eastAsia" w:ascii="宋体" w:hAnsi="宋体" w:cs="宋体"/>
                <w:color w:val="000000"/>
                <w:kern w:val="0"/>
                <w:sz w:val="20"/>
              </w:rPr>
              <w:t>人才培养（5分）</w:t>
            </w:r>
          </w:p>
        </w:tc>
        <w:tc>
          <w:tcPr>
            <w:tcW w:w="2126" w:type="dxa"/>
            <w:tcBorders>
              <w:top w:val="nil"/>
              <w:left w:val="nil"/>
              <w:bottom w:val="single" w:color="auto" w:sz="4" w:space="0"/>
              <w:right w:val="single" w:color="auto" w:sz="4" w:space="0"/>
            </w:tcBorders>
            <w:noWrap w:val="0"/>
            <w:vAlign w:val="top"/>
          </w:tcPr>
          <w:p w14:paraId="5F71EEF9">
            <w:pPr>
              <w:widowControl/>
              <w:jc w:val="center"/>
              <w:rPr>
                <w:rFonts w:hint="eastAsia" w:ascii="宋体" w:hAnsi="宋体" w:eastAsia="宋体" w:cs="宋体"/>
                <w:color w:val="000000"/>
                <w:kern w:val="0"/>
                <w:sz w:val="20"/>
              </w:rPr>
            </w:pPr>
            <w:r>
              <w:rPr>
                <w:rFonts w:hint="eastAsia" w:ascii="宋体" w:hAnsi="宋体" w:cs="宋体"/>
                <w:color w:val="000000"/>
                <w:kern w:val="0"/>
                <w:sz w:val="20"/>
              </w:rPr>
              <w:t>5</w:t>
            </w:r>
          </w:p>
        </w:tc>
      </w:tr>
      <w:tr w14:paraId="49D2E0CC">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noWrap w:val="0"/>
            <w:vAlign w:val="center"/>
          </w:tcPr>
          <w:p w14:paraId="2FAC3125">
            <w:pPr>
              <w:jc w:val="left"/>
              <w:rPr>
                <w:rFonts w:ascii="宋体" w:hAnsi="宋体" w:cs="宋体"/>
                <w:color w:val="000000"/>
                <w:kern w:val="0"/>
                <w:sz w:val="20"/>
              </w:rPr>
            </w:pPr>
          </w:p>
        </w:tc>
        <w:tc>
          <w:tcPr>
            <w:tcW w:w="2268" w:type="dxa"/>
            <w:vMerge w:val="restart"/>
            <w:tcBorders>
              <w:top w:val="nil"/>
              <w:left w:val="single" w:color="auto" w:sz="4" w:space="0"/>
              <w:right w:val="single" w:color="auto" w:sz="4" w:space="0"/>
            </w:tcBorders>
            <w:noWrap w:val="0"/>
            <w:vAlign w:val="center"/>
          </w:tcPr>
          <w:p w14:paraId="734340D8">
            <w:pPr>
              <w:widowControl/>
              <w:jc w:val="center"/>
              <w:rPr>
                <w:rFonts w:ascii="宋体" w:hAnsi="宋体" w:cs="宋体"/>
                <w:color w:val="000000"/>
                <w:kern w:val="0"/>
                <w:sz w:val="20"/>
              </w:rPr>
            </w:pPr>
            <w:r>
              <w:rPr>
                <w:rFonts w:hint="eastAsia" w:ascii="宋体" w:hAnsi="宋体" w:cs="宋体"/>
                <w:color w:val="000000"/>
                <w:kern w:val="0"/>
                <w:sz w:val="20"/>
              </w:rPr>
              <w:t>满意度（10分）</w:t>
            </w:r>
          </w:p>
        </w:tc>
        <w:tc>
          <w:tcPr>
            <w:tcW w:w="3402" w:type="dxa"/>
            <w:tcBorders>
              <w:top w:val="nil"/>
              <w:left w:val="nil"/>
              <w:bottom w:val="single" w:color="auto" w:sz="4" w:space="0"/>
              <w:right w:val="single" w:color="auto" w:sz="4" w:space="0"/>
            </w:tcBorders>
            <w:noWrap w:val="0"/>
            <w:vAlign w:val="center"/>
          </w:tcPr>
          <w:p w14:paraId="1A707E07">
            <w:pPr>
              <w:widowControl/>
              <w:jc w:val="center"/>
              <w:rPr>
                <w:rFonts w:ascii="宋体" w:hAnsi="宋体" w:cs="宋体"/>
                <w:color w:val="000000"/>
                <w:kern w:val="0"/>
                <w:sz w:val="20"/>
              </w:rPr>
            </w:pPr>
            <w:r>
              <w:rPr>
                <w:rFonts w:hint="eastAsia" w:ascii="宋体" w:hAnsi="宋体" w:cs="宋体"/>
                <w:color w:val="000000"/>
                <w:kern w:val="0"/>
                <w:sz w:val="20"/>
              </w:rPr>
              <w:t>协作部门满意度（3分）</w:t>
            </w:r>
          </w:p>
        </w:tc>
        <w:tc>
          <w:tcPr>
            <w:tcW w:w="2126" w:type="dxa"/>
            <w:tcBorders>
              <w:top w:val="nil"/>
              <w:left w:val="nil"/>
              <w:bottom w:val="single" w:color="auto" w:sz="4" w:space="0"/>
              <w:right w:val="single" w:color="auto" w:sz="4" w:space="0"/>
            </w:tcBorders>
            <w:noWrap w:val="0"/>
            <w:vAlign w:val="top"/>
          </w:tcPr>
          <w:p w14:paraId="0D596BE2">
            <w:pPr>
              <w:widowControl/>
              <w:jc w:val="center"/>
              <w:rPr>
                <w:rFonts w:hint="eastAsia" w:ascii="宋体" w:hAnsi="宋体" w:eastAsia="宋体" w:cs="宋体"/>
                <w:color w:val="000000"/>
                <w:kern w:val="0"/>
                <w:sz w:val="20"/>
              </w:rPr>
            </w:pPr>
            <w:r>
              <w:rPr>
                <w:rFonts w:hint="eastAsia" w:ascii="宋体" w:hAnsi="宋体" w:cs="宋体"/>
                <w:color w:val="000000"/>
                <w:kern w:val="0"/>
                <w:sz w:val="20"/>
              </w:rPr>
              <w:t>3</w:t>
            </w:r>
          </w:p>
        </w:tc>
      </w:tr>
      <w:tr w14:paraId="047243DA">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noWrap w:val="0"/>
            <w:vAlign w:val="center"/>
          </w:tcPr>
          <w:p w14:paraId="2A3748B1">
            <w:pPr>
              <w:jc w:val="left"/>
              <w:rPr>
                <w:rFonts w:ascii="宋体" w:hAnsi="宋体" w:cs="宋体"/>
                <w:color w:val="000000"/>
                <w:kern w:val="0"/>
                <w:sz w:val="20"/>
              </w:rPr>
            </w:pPr>
          </w:p>
        </w:tc>
        <w:tc>
          <w:tcPr>
            <w:tcW w:w="2268" w:type="dxa"/>
            <w:vMerge w:val="continue"/>
            <w:tcBorders>
              <w:left w:val="single" w:color="auto" w:sz="4" w:space="0"/>
              <w:right w:val="single" w:color="auto" w:sz="4" w:space="0"/>
            </w:tcBorders>
            <w:noWrap w:val="0"/>
            <w:vAlign w:val="center"/>
          </w:tcPr>
          <w:p w14:paraId="28C264DE">
            <w:pPr>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46C9F1DA">
            <w:pPr>
              <w:widowControl/>
              <w:jc w:val="center"/>
              <w:rPr>
                <w:rFonts w:ascii="宋体" w:hAnsi="宋体" w:cs="宋体"/>
                <w:color w:val="000000"/>
                <w:kern w:val="0"/>
                <w:sz w:val="20"/>
              </w:rPr>
            </w:pPr>
            <w:r>
              <w:rPr>
                <w:rFonts w:hint="eastAsia" w:ascii="宋体" w:hAnsi="宋体" w:cs="宋体"/>
                <w:color w:val="000000"/>
                <w:kern w:val="0"/>
                <w:sz w:val="20"/>
              </w:rPr>
              <w:t>管理对象满意度（3分）</w:t>
            </w:r>
          </w:p>
        </w:tc>
        <w:tc>
          <w:tcPr>
            <w:tcW w:w="2126" w:type="dxa"/>
            <w:tcBorders>
              <w:top w:val="nil"/>
              <w:left w:val="nil"/>
              <w:bottom w:val="single" w:color="auto" w:sz="4" w:space="0"/>
              <w:right w:val="single" w:color="auto" w:sz="4" w:space="0"/>
            </w:tcBorders>
            <w:noWrap w:val="0"/>
            <w:vAlign w:val="top"/>
          </w:tcPr>
          <w:p w14:paraId="22FC1F21">
            <w:pPr>
              <w:widowControl/>
              <w:jc w:val="center"/>
              <w:rPr>
                <w:rFonts w:hint="eastAsia" w:ascii="宋体" w:hAnsi="宋体" w:eastAsia="宋体" w:cs="宋体"/>
                <w:color w:val="000000"/>
                <w:kern w:val="0"/>
                <w:sz w:val="20"/>
              </w:rPr>
            </w:pPr>
            <w:r>
              <w:rPr>
                <w:rFonts w:hint="eastAsia" w:ascii="宋体" w:hAnsi="宋体" w:cs="宋体"/>
                <w:color w:val="000000"/>
                <w:kern w:val="0"/>
                <w:sz w:val="20"/>
              </w:rPr>
              <w:t>3</w:t>
            </w:r>
          </w:p>
        </w:tc>
      </w:tr>
      <w:tr w14:paraId="044B1D64">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noWrap w:val="0"/>
            <w:vAlign w:val="center"/>
          </w:tcPr>
          <w:p w14:paraId="6ABDED64">
            <w:pPr>
              <w:widowControl/>
              <w:jc w:val="left"/>
              <w:rPr>
                <w:rFonts w:ascii="宋体" w:hAnsi="宋体" w:cs="宋体"/>
                <w:color w:val="000000"/>
                <w:kern w:val="0"/>
                <w:sz w:val="20"/>
              </w:rPr>
            </w:pPr>
          </w:p>
        </w:tc>
        <w:tc>
          <w:tcPr>
            <w:tcW w:w="2268" w:type="dxa"/>
            <w:vMerge w:val="continue"/>
            <w:tcBorders>
              <w:left w:val="single" w:color="auto" w:sz="4" w:space="0"/>
              <w:bottom w:val="single" w:color="auto" w:sz="4" w:space="0"/>
              <w:right w:val="single" w:color="auto" w:sz="4" w:space="0"/>
            </w:tcBorders>
            <w:noWrap w:val="0"/>
            <w:vAlign w:val="center"/>
          </w:tcPr>
          <w:p w14:paraId="3A12DE4D">
            <w:pPr>
              <w:widowControl/>
              <w:jc w:val="left"/>
              <w:rPr>
                <w:rFonts w:ascii="宋体" w:hAnsi="宋体" w:cs="宋体"/>
                <w:color w:val="000000"/>
                <w:kern w:val="0"/>
                <w:sz w:val="20"/>
              </w:rPr>
            </w:pPr>
          </w:p>
        </w:tc>
        <w:tc>
          <w:tcPr>
            <w:tcW w:w="3402" w:type="dxa"/>
            <w:tcBorders>
              <w:top w:val="nil"/>
              <w:left w:val="nil"/>
              <w:bottom w:val="single" w:color="auto" w:sz="4" w:space="0"/>
              <w:right w:val="single" w:color="auto" w:sz="4" w:space="0"/>
            </w:tcBorders>
            <w:noWrap w:val="0"/>
            <w:vAlign w:val="center"/>
          </w:tcPr>
          <w:p w14:paraId="30DBA1F5">
            <w:pPr>
              <w:widowControl/>
              <w:jc w:val="center"/>
              <w:rPr>
                <w:rFonts w:ascii="宋体" w:hAnsi="宋体" w:cs="宋体"/>
                <w:color w:val="000000"/>
                <w:kern w:val="0"/>
                <w:sz w:val="20"/>
              </w:rPr>
            </w:pPr>
            <w:r>
              <w:rPr>
                <w:rFonts w:hint="eastAsia" w:ascii="宋体" w:hAnsi="宋体" w:cs="宋体"/>
                <w:color w:val="000000"/>
                <w:kern w:val="0"/>
                <w:sz w:val="20"/>
              </w:rPr>
              <w:t>社会公众满意度（4分）</w:t>
            </w:r>
          </w:p>
        </w:tc>
        <w:tc>
          <w:tcPr>
            <w:tcW w:w="2126" w:type="dxa"/>
            <w:tcBorders>
              <w:top w:val="nil"/>
              <w:left w:val="nil"/>
              <w:bottom w:val="single" w:color="auto" w:sz="4" w:space="0"/>
              <w:right w:val="single" w:color="auto" w:sz="4" w:space="0"/>
            </w:tcBorders>
            <w:noWrap w:val="0"/>
            <w:vAlign w:val="top"/>
          </w:tcPr>
          <w:p w14:paraId="285FFF53">
            <w:pPr>
              <w:widowControl/>
              <w:jc w:val="center"/>
              <w:rPr>
                <w:rFonts w:hint="eastAsia" w:ascii="宋体" w:hAnsi="宋体" w:eastAsia="宋体" w:cs="宋体"/>
                <w:color w:val="000000"/>
                <w:kern w:val="0"/>
                <w:sz w:val="20"/>
              </w:rPr>
            </w:pPr>
            <w:r>
              <w:rPr>
                <w:rFonts w:hint="eastAsia" w:ascii="宋体" w:hAnsi="宋体" w:cs="宋体"/>
                <w:color w:val="000000"/>
                <w:kern w:val="0"/>
                <w:sz w:val="20"/>
              </w:rPr>
              <w:t>4</w:t>
            </w:r>
          </w:p>
        </w:tc>
      </w:tr>
    </w:tbl>
    <w:p w14:paraId="154DF985">
      <w:pPr>
        <w:pStyle w:val="8"/>
        <w:spacing w:before="0" w:after="0" w:line="520" w:lineRule="atLeast"/>
        <w:ind w:firstLine="640"/>
        <w:jc w:val="both"/>
        <w:rPr>
          <w:rFonts w:hint="eastAsia" w:ascii="楷体_GB2312" w:hAnsi="楷体_GB2312" w:eastAsia="楷体_GB2312" w:cs="楷体_GB2312"/>
          <w:b/>
          <w:bCs/>
          <w:color w:val="000000"/>
          <w:sz w:val="32"/>
          <w:szCs w:val="32"/>
        </w:rPr>
      </w:pPr>
      <w:r>
        <w:rPr>
          <w:rFonts w:ascii="Times New Roman" w:hAnsi="Times New Roman" w:eastAsia="Times New Roman" w:cs="Times New Roman"/>
          <w:sz w:val="24"/>
          <w:szCs w:val="24"/>
        </w:rPr>
        <w:t>  </w:t>
      </w:r>
      <w:r>
        <w:rPr>
          <w:rFonts w:ascii="仿宋_GB2312" w:hAnsi="仿宋_GB2312" w:eastAsia="仿宋_GB2312" w:cs="仿宋_GB2312"/>
          <w:sz w:val="32"/>
          <w:szCs w:val="32"/>
        </w:rPr>
        <w:t>  </w:t>
      </w:r>
      <w:r>
        <w:rPr>
          <w:rFonts w:hint="eastAsia" w:ascii="楷体_GB2312" w:hAnsi="楷体_GB2312" w:eastAsia="楷体_GB2312" w:cs="楷体_GB2312"/>
          <w:b/>
          <w:bCs/>
          <w:color w:val="000000"/>
          <w:sz w:val="32"/>
          <w:szCs w:val="32"/>
        </w:rPr>
        <w:t>十一、名词解释</w:t>
      </w:r>
    </w:p>
    <w:p w14:paraId="5E846CBC">
      <w:pPr>
        <w:pStyle w:val="10"/>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1.财政拨款收入：指县级财政当年拨付的资金。 </w:t>
      </w:r>
    </w:p>
    <w:p w14:paraId="0E763536">
      <w:pPr>
        <w:pStyle w:val="10"/>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2.年初结转和结余：指以前年度尚未完成、结转到本年按有关规定继续使用的资金。 </w:t>
      </w:r>
    </w:p>
    <w:p w14:paraId="7A21FA94">
      <w:pPr>
        <w:ind w:firstLine="640" w:firstLineChars="200"/>
        <w:rPr>
          <w:rFonts w:hint="eastAsia" w:ascii="仿宋_GB2312" w:eastAsia="仿宋_GB2312"/>
          <w:b w:val="0"/>
          <w:color w:val="000000"/>
          <w:sz w:val="32"/>
          <w:szCs w:val="32"/>
        </w:rPr>
      </w:pPr>
      <w:r>
        <w:rPr>
          <w:rFonts w:hint="eastAsia" w:ascii="仿宋_GB2312" w:eastAsia="仿宋_GB2312"/>
          <w:b w:val="0"/>
          <w:color w:val="000000"/>
          <w:sz w:val="32"/>
          <w:szCs w:val="32"/>
        </w:rPr>
        <w:t>3.年末结转和结余：指本年度或以前年度预算安排、因客观条件发生变化无法按原计划实施，需延迟到以后年度按有关规定继续使用的资金。</w:t>
      </w:r>
    </w:p>
    <w:p w14:paraId="501CF27E">
      <w:pPr>
        <w:ind w:firstLine="640" w:firstLineChars="200"/>
        <w:rPr>
          <w:rFonts w:hint="eastAsia" w:ascii="仿宋_GB2312" w:eastAsia="仿宋_GB2312"/>
          <w:b w:val="0"/>
          <w:color w:val="000000"/>
          <w:sz w:val="32"/>
          <w:szCs w:val="32"/>
        </w:rPr>
      </w:pPr>
      <w:r>
        <w:rPr>
          <w:rFonts w:hint="eastAsia" w:ascii="仿宋_GB2312" w:eastAsia="仿宋_GB2312"/>
          <w:b w:val="0"/>
          <w:color w:val="000000"/>
          <w:sz w:val="32"/>
          <w:szCs w:val="32"/>
        </w:rPr>
        <w:t>4.基本支出：指为保障机构正常运转、完成日常工作任务而发生的人员支出和公用支出。</w:t>
      </w:r>
    </w:p>
    <w:p w14:paraId="3A791CC3">
      <w:pPr>
        <w:ind w:firstLine="640" w:firstLineChars="200"/>
        <w:rPr>
          <w:rFonts w:hint="eastAsia" w:ascii="仿宋_GB2312" w:eastAsia="仿宋_GB2312"/>
          <w:b w:val="0"/>
          <w:color w:val="000000"/>
          <w:sz w:val="32"/>
          <w:szCs w:val="32"/>
        </w:rPr>
      </w:pPr>
      <w:r>
        <w:rPr>
          <w:rFonts w:hint="eastAsia" w:ascii="仿宋_GB2312" w:eastAsia="仿宋_GB2312"/>
          <w:b w:val="0"/>
          <w:color w:val="000000"/>
          <w:sz w:val="32"/>
          <w:szCs w:val="32"/>
        </w:rPr>
        <w:t xml:space="preserve">5.项目支出：指在基本支出之外为完成特定行政任务和事业发展目标所发生的支出。 </w:t>
      </w:r>
    </w:p>
    <w:p w14:paraId="43E96B9D">
      <w:pPr>
        <w:pStyle w:val="10"/>
        <w:spacing w:line="240" w:lineRule="auto"/>
        <w:ind w:firstLine="0" w:firstLineChars="0"/>
        <w:rPr>
          <w:rFonts w:hint="eastAsia" w:ascii="仿宋_GB2312" w:hAnsi="仿宋_GB2312" w:eastAsia="仿宋_GB2312"/>
          <w:sz w:val="32"/>
          <w:szCs w:val="32"/>
        </w:rPr>
      </w:pPr>
      <w:r>
        <w:rPr>
          <w:rFonts w:hint="eastAsia" w:ascii="仿宋_GB2312" w:hAnsi="仿宋_GB2312" w:eastAsia="仿宋_GB2312"/>
          <w:sz w:val="32"/>
          <w:szCs w:val="32"/>
        </w:rPr>
        <w:t>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538BB6C">
      <w:pPr>
        <w:spacing w:line="240" w:lineRule="auto"/>
        <w:ind w:firstLine="640" w:firstLineChars="200"/>
        <w:rPr>
          <w:rFonts w:hint="eastAsia" w:ascii="仿宋_GB2312" w:hAnsi="仿宋_GB2312" w:eastAsia="仿宋_GB2312" w:cs="仿宋"/>
          <w:b w:val="0"/>
          <w:sz w:val="32"/>
          <w:szCs w:val="32"/>
        </w:rPr>
      </w:pPr>
      <w:r>
        <w:rPr>
          <w:rFonts w:hint="eastAsia" w:ascii="仿宋_GB2312" w:hAnsi="仿宋_GB2312" w:eastAsia="仿宋_GB2312"/>
          <w:sz w:val="32"/>
          <w:szCs w:val="32"/>
        </w:rPr>
        <w:t>7</w:t>
      </w:r>
      <w:r>
        <w:rPr>
          <w:rFonts w:hint="eastAsia" w:ascii="仿宋_GB2312" w:hAnsi="仿宋_GB2312" w:eastAsia="仿宋_GB2312" w:cs="仿宋"/>
          <w:b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A28882B">
      <w:pPr>
        <w:spacing w:line="240" w:lineRule="auto"/>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bCs/>
          <w:sz w:val="32"/>
          <w:szCs w:val="32"/>
        </w:rPr>
        <w:t>8.</w:t>
      </w:r>
      <w:r>
        <w:rPr>
          <w:rFonts w:hint="eastAsia" w:ascii="仿宋_GB2312" w:hAnsi="仿宋_GB2312" w:eastAsia="仿宋_GB2312" w:cs="仿宋_GB2312"/>
          <w:b w:val="0"/>
          <w:sz w:val="32"/>
          <w:szCs w:val="32"/>
        </w:rPr>
        <w:t>社会保障和就业机关事业单位基本养老保（2080505）机关事业单位职业年金（2080506）：指反映机关事业单位实施养老保险制度由单位缴纳的基本养老保险费支出和职业年金支出。</w:t>
      </w:r>
    </w:p>
    <w:p w14:paraId="27C59315">
      <w:pPr>
        <w:spacing w:line="240" w:lineRule="auto"/>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bCs/>
          <w:sz w:val="32"/>
          <w:szCs w:val="32"/>
        </w:rPr>
        <w:t>9.</w:t>
      </w:r>
      <w:r>
        <w:rPr>
          <w:rFonts w:hint="eastAsia" w:ascii="仿宋_GB2312" w:hAnsi="仿宋_GB2312" w:eastAsia="仿宋_GB2312" w:cs="仿宋_GB2312"/>
          <w:b w:val="0"/>
          <w:sz w:val="32"/>
          <w:szCs w:val="32"/>
        </w:rPr>
        <w:t>医疗卫生与计划生育行政单位医疗（2101101）和公务员医疗补助（2101103）:指反映财政部门集中安排的行政单位基本医疗保险缴费经费和公务员医疗补助经费，未参加医疗保险的行政单位的公费医疗经费，按国家规定享受离休人员、红军老战士待遇人员的医疗经费。</w:t>
      </w:r>
    </w:p>
    <w:p w14:paraId="2E2D2C6E">
      <w:pPr>
        <w:spacing w:line="240" w:lineRule="auto"/>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bCs/>
          <w:sz w:val="32"/>
          <w:szCs w:val="32"/>
        </w:rPr>
        <w:t>10.</w:t>
      </w:r>
      <w:r>
        <w:rPr>
          <w:rFonts w:hint="eastAsia" w:ascii="仿宋_GB2312" w:hAnsi="仿宋_GB2312" w:eastAsia="仿宋_GB2312" w:cs="仿宋_GB2312"/>
          <w:b w:val="0"/>
          <w:sz w:val="32"/>
          <w:szCs w:val="32"/>
        </w:rPr>
        <w:t>住房保障支出住房公积金（2210201）：指反映行政事业单位按人力资源和社会保障部、财政部规定的基本工资和津贴补贴以及规定比例为职工缴纳的住房公积金。</w:t>
      </w:r>
    </w:p>
    <w:p w14:paraId="44D6E6C7">
      <w:pPr>
        <w:tabs>
          <w:tab w:val="left" w:pos="0"/>
        </w:tabs>
        <w:autoSpaceDE w:val="0"/>
        <w:autoSpaceDN w:val="0"/>
        <w:adjustRightInd w:val="0"/>
        <w:spacing w:line="600" w:lineRule="exact"/>
        <w:jc w:val="center"/>
        <w:rPr>
          <w:rFonts w:hint="eastAsia" w:ascii="楷体_GB2312" w:eastAsia="楷体_GB2312"/>
          <w:b/>
          <w:bCs/>
          <w:color w:val="000000"/>
          <w:sz w:val="44"/>
          <w:szCs w:val="44"/>
        </w:rPr>
      </w:pPr>
      <w:r>
        <w:rPr>
          <w:rFonts w:hint="eastAsia" w:ascii="楷体_GB2312" w:eastAsia="楷体_GB2312"/>
          <w:b/>
          <w:bCs/>
          <w:sz w:val="44"/>
          <w:szCs w:val="44"/>
        </w:rPr>
        <w:t xml:space="preserve">第四部分   </w:t>
      </w:r>
      <w:r>
        <w:rPr>
          <w:rFonts w:hint="eastAsia" w:ascii="楷体_GB2312" w:eastAsia="楷体_GB2312"/>
          <w:b/>
          <w:bCs/>
          <w:color w:val="000000"/>
          <w:sz w:val="44"/>
          <w:szCs w:val="44"/>
        </w:rPr>
        <w:t>附件</w:t>
      </w:r>
    </w:p>
    <w:p w14:paraId="59437B87">
      <w:pPr>
        <w:pStyle w:val="8"/>
        <w:keepNext w:val="0"/>
        <w:keepLines w:val="0"/>
        <w:pageBreakBefore w:val="0"/>
        <w:widowControl/>
        <w:kinsoku/>
        <w:wordWrap/>
        <w:overflowPunct/>
        <w:topLinePunct w:val="0"/>
        <w:autoSpaceDE/>
        <w:autoSpaceDN/>
        <w:bidi w:val="0"/>
        <w:adjustRightInd w:val="0"/>
        <w:snapToGrid/>
        <w:spacing w:before="0" w:after="0" w:line="520" w:lineRule="atLeast"/>
        <w:ind w:firstLine="640" w:firstLineChars="200"/>
        <w:textAlignment w:val="auto"/>
        <w:rPr>
          <w:rFonts w:ascii="仿宋_GB2312" w:hAnsi="仿宋_GB2312" w:eastAsia="仿宋_GB2312" w:cs="仿宋_GB2312"/>
          <w:sz w:val="32"/>
          <w:szCs w:val="32"/>
        </w:rPr>
      </w:pPr>
    </w:p>
    <w:p w14:paraId="444A1F9C">
      <w:pPr>
        <w:widowControl/>
        <w:spacing w:line="560" w:lineRule="exact"/>
        <w:jc w:val="center"/>
        <w:rPr>
          <w:rFonts w:hint="eastAsia" w:ascii="方正小标宋简体" w:eastAsia="方正小标宋简体"/>
          <w:color w:val="000000"/>
          <w:kern w:val="0"/>
          <w:sz w:val="32"/>
          <w:szCs w:val="32"/>
          <w:shd w:val="clear" w:color="auto" w:fill="FFFFFF"/>
        </w:rPr>
      </w:pPr>
      <w:r>
        <w:rPr>
          <w:rFonts w:hint="eastAsia" w:ascii="方正小标宋简体" w:eastAsia="方正小标宋简体"/>
          <w:b w:val="0"/>
          <w:bCs/>
          <w:sz w:val="32"/>
          <w:szCs w:val="32"/>
        </w:rPr>
        <w:t>关于</w:t>
      </w:r>
      <w:r>
        <w:rPr>
          <w:rFonts w:hint="eastAsia" w:ascii="方正小标宋简体" w:eastAsia="方正小标宋简体"/>
          <w:b w:val="0"/>
          <w:bCs/>
          <w:sz w:val="32"/>
          <w:szCs w:val="32"/>
          <w:lang w:eastAsia="zh-CN"/>
        </w:rPr>
        <w:t>2024</w:t>
      </w:r>
      <w:r>
        <w:rPr>
          <w:rFonts w:hint="eastAsia" w:ascii="方正小标宋简体" w:eastAsia="方正小标宋简体"/>
          <w:b w:val="0"/>
          <w:bCs/>
          <w:sz w:val="32"/>
          <w:szCs w:val="32"/>
        </w:rPr>
        <w:t>年部门预算绩效自评报告</w:t>
      </w:r>
    </w:p>
    <w:p w14:paraId="4D66CBC8">
      <w:pPr>
        <w:spacing w:line="280" w:lineRule="auto"/>
        <w:jc w:val="both"/>
        <w:rPr>
          <w:rFonts w:hint="eastAsia" w:ascii="仿宋_GB2312" w:hAnsi="仿宋_GB2312" w:eastAsia="仿宋_GB2312" w:cs="仿宋_GB2312"/>
          <w:sz w:val="32"/>
          <w:szCs w:val="32"/>
        </w:rPr>
      </w:pPr>
    </w:p>
    <w:p w14:paraId="67174A4B">
      <w:pPr>
        <w:pStyle w:val="3"/>
        <w:spacing w:line="240" w:lineRule="auto"/>
        <w:ind w:right="0" w:firstLine="65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根据《金川县财政局关于2024年县级部门绩效自评工作的通</w:t>
      </w:r>
      <w:r>
        <w:rPr>
          <w:rFonts w:hint="eastAsia" w:ascii="仿宋_GB2312" w:hAnsi="仿宋_GB2312" w:eastAsia="仿宋_GB2312" w:cs="仿宋_GB2312"/>
          <w:spacing w:val="12"/>
          <w:sz w:val="32"/>
          <w:szCs w:val="32"/>
        </w:rPr>
        <w:t xml:space="preserve"> </w:t>
      </w:r>
      <w:r>
        <w:rPr>
          <w:rFonts w:hint="eastAsia" w:ascii="仿宋_GB2312" w:hAnsi="仿宋_GB2312" w:eastAsia="仿宋_GB2312" w:cs="仿宋_GB2312"/>
          <w:spacing w:val="6"/>
          <w:sz w:val="32"/>
          <w:szCs w:val="32"/>
        </w:rPr>
        <w:t>知》(金财监绩〔2025〕35号)文件要求，结合本</w:t>
      </w:r>
      <w:r>
        <w:rPr>
          <w:rFonts w:hint="eastAsia" w:ascii="仿宋_GB2312" w:hAnsi="仿宋_GB2312" w:eastAsia="仿宋_GB2312" w:cs="仿宋_GB2312"/>
          <w:spacing w:val="5"/>
          <w:sz w:val="32"/>
          <w:szCs w:val="32"/>
        </w:rPr>
        <w:t>单位的实际，认</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5"/>
          <w:sz w:val="32"/>
          <w:szCs w:val="32"/>
        </w:rPr>
        <w:t>真开展部门预算整体绩效自评工作，现将2024年部门预算支出绩</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7"/>
          <w:sz w:val="32"/>
          <w:szCs w:val="32"/>
        </w:rPr>
        <w:t>效自评工作报告如下：</w:t>
      </w:r>
    </w:p>
    <w:p w14:paraId="16CF0A33">
      <w:pPr>
        <w:spacing w:before="42" w:line="223" w:lineRule="auto"/>
        <w:ind w:firstLine="615"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7"/>
          <w:sz w:val="32"/>
          <w:szCs w:val="32"/>
        </w:rPr>
        <w:t>一、部门基本情况</w:t>
      </w:r>
    </w:p>
    <w:p w14:paraId="5E6A3B80">
      <w:pPr>
        <w:pStyle w:val="3"/>
        <w:spacing w:before="163" w:line="221" w:lineRule="auto"/>
        <w:ind w:firstLine="648" w:firstLineChars="200"/>
        <w:jc w:val="both"/>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56"/>
          <w:sz w:val="32"/>
          <w:szCs w:val="32"/>
        </w:rPr>
        <w:t xml:space="preserve"> </w:t>
      </w:r>
      <w:r>
        <w:rPr>
          <w:rFonts w:hint="eastAsia" w:ascii="仿宋_GB2312" w:hAnsi="仿宋_GB2312" w:eastAsia="仿宋_GB2312" w:cs="仿宋_GB2312"/>
          <w:spacing w:val="2"/>
          <w:sz w:val="32"/>
          <w:szCs w:val="32"/>
        </w:rPr>
        <w:t>一)机构组成。本部门预算单位2个，其中内设机构1个。</w:t>
      </w:r>
    </w:p>
    <w:p w14:paraId="262A7A22">
      <w:pPr>
        <w:pStyle w:val="3"/>
        <w:spacing w:before="163" w:line="221" w:lineRule="auto"/>
        <w:ind w:firstLine="648" w:firstLineChars="200"/>
        <w:jc w:val="both"/>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二）</w:t>
      </w:r>
      <w:r>
        <w:rPr>
          <w:rFonts w:hint="eastAsia" w:ascii="仿宋_GB2312" w:hAnsi="仿宋_GB2312" w:eastAsia="仿宋_GB2312" w:cs="仿宋_GB2312"/>
          <w:spacing w:val="-8"/>
          <w:sz w:val="32"/>
          <w:szCs w:val="32"/>
        </w:rPr>
        <w:t>机构职能。根据《工商联章程》规定，主要职责是：党委、</w:t>
      </w:r>
      <w:r>
        <w:rPr>
          <w:rFonts w:hint="eastAsia" w:ascii="仿宋_GB2312" w:hAnsi="仿宋_GB2312" w:eastAsia="仿宋_GB2312" w:cs="仿宋_GB2312"/>
          <w:spacing w:val="3"/>
          <w:sz w:val="32"/>
          <w:szCs w:val="32"/>
        </w:rPr>
        <w:t xml:space="preserve"> </w:t>
      </w:r>
      <w:r>
        <w:rPr>
          <w:rFonts w:hint="eastAsia" w:ascii="仿宋_GB2312" w:hAnsi="仿宋_GB2312" w:eastAsia="仿宋_GB2312" w:cs="仿宋_GB2312"/>
          <w:spacing w:val="-11"/>
          <w:sz w:val="32"/>
          <w:szCs w:val="32"/>
        </w:rPr>
        <w:t>政府联系非公有制经济的桥梁和纽带。2024年主要工作任务：1、做好</w:t>
      </w:r>
      <w:r>
        <w:rPr>
          <w:rFonts w:hint="eastAsia" w:ascii="仿宋_GB2312" w:hAnsi="仿宋_GB2312" w:eastAsia="仿宋_GB2312" w:cs="仿宋_GB2312"/>
          <w:spacing w:val="14"/>
          <w:sz w:val="32"/>
          <w:szCs w:val="32"/>
        </w:rPr>
        <w:t xml:space="preserve"> </w:t>
      </w:r>
      <w:r>
        <w:rPr>
          <w:rFonts w:hint="eastAsia" w:ascii="仿宋_GB2312" w:hAnsi="仿宋_GB2312" w:eastAsia="仿宋_GB2312" w:cs="仿宋_GB2312"/>
          <w:spacing w:val="7"/>
          <w:sz w:val="32"/>
          <w:szCs w:val="32"/>
        </w:rPr>
        <w:t>“城乡结对共建”活动，深入开展习总书记系列重要讲话精神宣</w:t>
      </w:r>
      <w:r>
        <w:rPr>
          <w:rFonts w:hint="eastAsia" w:ascii="仿宋_GB2312" w:hAnsi="仿宋_GB2312" w:eastAsia="仿宋_GB2312" w:cs="仿宋_GB2312"/>
          <w:spacing w:val="15"/>
          <w:sz w:val="32"/>
          <w:szCs w:val="32"/>
        </w:rPr>
        <w:t xml:space="preserve"> </w:t>
      </w:r>
      <w:r>
        <w:rPr>
          <w:rFonts w:hint="eastAsia" w:ascii="仿宋_GB2312" w:hAnsi="仿宋_GB2312" w:eastAsia="仿宋_GB2312" w:cs="仿宋_GB2312"/>
          <w:spacing w:val="6"/>
          <w:sz w:val="32"/>
          <w:szCs w:val="32"/>
        </w:rPr>
        <w:t>讲。2、召开成都金川商会“情系家乡话发展”迎春</w:t>
      </w:r>
      <w:r>
        <w:rPr>
          <w:rFonts w:hint="eastAsia" w:ascii="仿宋_GB2312" w:hAnsi="仿宋_GB2312" w:eastAsia="仿宋_GB2312" w:cs="仿宋_GB2312"/>
          <w:spacing w:val="5"/>
          <w:sz w:val="32"/>
          <w:szCs w:val="32"/>
        </w:rPr>
        <w:t>茶话会；3、</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3"/>
          <w:sz w:val="32"/>
          <w:szCs w:val="32"/>
        </w:rPr>
        <w:t>加强对成都金川商会指导工作，协调组建商会发展公司；4、做好</w:t>
      </w:r>
      <w:r>
        <w:rPr>
          <w:rFonts w:hint="eastAsia" w:ascii="仿宋_GB2312" w:hAnsi="仿宋_GB2312" w:eastAsia="仿宋_GB2312" w:cs="仿宋_GB2312"/>
          <w:spacing w:val="5"/>
          <w:sz w:val="32"/>
          <w:szCs w:val="32"/>
        </w:rPr>
        <w:t xml:space="preserve"> </w:t>
      </w:r>
      <w:r>
        <w:rPr>
          <w:rFonts w:hint="eastAsia" w:ascii="仿宋_GB2312" w:hAnsi="仿宋_GB2312" w:eastAsia="仿宋_GB2312" w:cs="仿宋_GB2312"/>
          <w:spacing w:val="-1"/>
          <w:sz w:val="32"/>
          <w:szCs w:val="32"/>
        </w:rPr>
        <w:t>社会扶贫推进协调服务，积极与成都金川商会对接，继续协调商会</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3"/>
          <w:sz w:val="32"/>
          <w:szCs w:val="32"/>
        </w:rPr>
        <w:t>会员对口帮扶贫困村；5、加强非公企业调研，及时向县委政府提</w:t>
      </w:r>
      <w:r>
        <w:rPr>
          <w:rFonts w:hint="eastAsia" w:ascii="仿宋_GB2312" w:hAnsi="仿宋_GB2312" w:eastAsia="仿宋_GB2312" w:cs="仿宋_GB2312"/>
          <w:spacing w:val="4"/>
          <w:sz w:val="32"/>
          <w:szCs w:val="32"/>
        </w:rPr>
        <w:t>出合理化建议，不定期对会员教育培训；建立交流考察平</w:t>
      </w:r>
      <w:r>
        <w:rPr>
          <w:rFonts w:hint="eastAsia" w:ascii="仿宋_GB2312" w:hAnsi="仿宋_GB2312" w:eastAsia="仿宋_GB2312" w:cs="仿宋_GB2312"/>
          <w:spacing w:val="3"/>
          <w:sz w:val="32"/>
          <w:szCs w:val="32"/>
        </w:rPr>
        <w:t>台；6、加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强非公经济理论宣传、信息工作，进一步提升工作水平，同时加强部门</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0"/>
          <w:sz w:val="32"/>
          <w:szCs w:val="32"/>
        </w:rPr>
        <w:t>自身建设。8、加强非公企业党建工作</w:t>
      </w:r>
      <w:r>
        <w:rPr>
          <w:rFonts w:hint="eastAsia" w:ascii="仿宋_GB2312" w:hAnsi="仿宋_GB2312" w:eastAsia="仿宋_GB2312" w:cs="仿宋_GB2312"/>
          <w:spacing w:val="-10"/>
          <w:sz w:val="32"/>
          <w:szCs w:val="32"/>
          <w:lang w:eastAsia="zh-CN"/>
        </w:rPr>
        <w:t>。</w:t>
      </w:r>
    </w:p>
    <w:p w14:paraId="118520D3">
      <w:pPr>
        <w:pStyle w:val="3"/>
        <w:numPr>
          <w:ilvl w:val="0"/>
          <w:numId w:val="0"/>
        </w:numPr>
        <w:spacing w:line="240" w:lineRule="auto"/>
        <w:ind w:leftChars="0" w:right="0" w:rightChars="0" w:firstLine="0" w:firstLineChars="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10"/>
          <w:sz w:val="32"/>
          <w:szCs w:val="32"/>
          <w:lang w:eastAsia="zh-CN"/>
        </w:rPr>
        <w:t>（</w:t>
      </w:r>
      <w:r>
        <w:rPr>
          <w:rFonts w:hint="eastAsia" w:ascii="仿宋_GB2312" w:hAnsi="仿宋_GB2312" w:eastAsia="仿宋_GB2312" w:cs="仿宋_GB2312"/>
          <w:b/>
          <w:bCs/>
          <w:spacing w:val="10"/>
          <w:sz w:val="32"/>
          <w:szCs w:val="32"/>
          <w:lang w:val="en-US" w:eastAsia="zh-CN"/>
        </w:rPr>
        <w:t>三）</w:t>
      </w:r>
      <w:r>
        <w:rPr>
          <w:rFonts w:hint="eastAsia" w:ascii="仿宋_GB2312" w:hAnsi="仿宋_GB2312" w:eastAsia="仿宋_GB2312" w:cs="仿宋_GB2312"/>
          <w:b/>
          <w:bCs/>
          <w:spacing w:val="10"/>
          <w:sz w:val="32"/>
          <w:szCs w:val="32"/>
        </w:rPr>
        <w:t>人员概况。</w:t>
      </w:r>
      <w:r>
        <w:rPr>
          <w:rFonts w:hint="eastAsia" w:ascii="仿宋_GB2312" w:hAnsi="仿宋_GB2312" w:eastAsia="仿宋_GB2312" w:cs="仿宋_GB2312"/>
          <w:spacing w:val="10"/>
          <w:sz w:val="32"/>
          <w:szCs w:val="32"/>
        </w:rPr>
        <w:t>总编制3名。其中：行政编制2名，事业编制1</w:t>
      </w:r>
      <w:r>
        <w:rPr>
          <w:rFonts w:hint="eastAsia" w:ascii="仿宋_GB2312" w:hAnsi="仿宋_GB2312" w:eastAsia="仿宋_GB2312" w:cs="仿宋_GB2312"/>
          <w:spacing w:val="5"/>
          <w:sz w:val="32"/>
          <w:szCs w:val="32"/>
        </w:rPr>
        <w:t>名在职实有人员</w:t>
      </w:r>
      <w:r>
        <w:rPr>
          <w:rFonts w:hint="eastAsia" w:ascii="仿宋_GB2312" w:hAnsi="仿宋_GB2312" w:eastAsia="仿宋_GB2312" w:cs="仿宋_GB2312"/>
          <w:spacing w:val="5"/>
          <w:sz w:val="32"/>
          <w:szCs w:val="32"/>
          <w:lang w:val="en-US" w:eastAsia="zh-CN"/>
        </w:rPr>
        <w:t>3</w:t>
      </w:r>
      <w:r>
        <w:rPr>
          <w:rFonts w:hint="eastAsia" w:ascii="仿宋_GB2312" w:hAnsi="仿宋_GB2312" w:eastAsia="仿宋_GB2312" w:cs="仿宋_GB2312"/>
          <w:spacing w:val="5"/>
          <w:sz w:val="32"/>
          <w:szCs w:val="32"/>
        </w:rPr>
        <w:t>名。其中：行政人员2名，事业人员1名；退休</w:t>
      </w:r>
      <w:r>
        <w:rPr>
          <w:rFonts w:hint="eastAsia" w:ascii="仿宋_GB2312" w:hAnsi="仿宋_GB2312" w:eastAsia="仿宋_GB2312" w:cs="仿宋_GB2312"/>
          <w:spacing w:val="6"/>
          <w:sz w:val="32"/>
          <w:szCs w:val="32"/>
        </w:rPr>
        <w:t>人员3人。</w:t>
      </w:r>
    </w:p>
    <w:p w14:paraId="758073C8">
      <w:pPr>
        <w:spacing w:line="221" w:lineRule="auto"/>
        <w:ind w:firstLine="663"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5"/>
          <w:sz w:val="32"/>
          <w:szCs w:val="32"/>
        </w:rPr>
        <w:t>二、部门资金收支情况</w:t>
      </w:r>
    </w:p>
    <w:p w14:paraId="6AC70E13">
      <w:pPr>
        <w:spacing w:before="147" w:line="227" w:lineRule="auto"/>
        <w:ind w:firstLine="691"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12"/>
          <w:sz w:val="32"/>
          <w:szCs w:val="32"/>
        </w:rPr>
        <w:t>(一)收入情况。</w:t>
      </w:r>
    </w:p>
    <w:p w14:paraId="7A868EED">
      <w:pPr>
        <w:pStyle w:val="3"/>
        <w:spacing w:before="153" w:line="222" w:lineRule="auto"/>
        <w:ind w:firstLine="640" w:firstLineChars="200"/>
        <w:jc w:val="both"/>
        <w:rPr>
          <w:rFonts w:hint="eastAsia" w:ascii="仿宋_GB2312" w:hAnsi="仿宋_GB2312" w:eastAsia="仿宋_GB2312" w:cs="仿宋_GB2312"/>
          <w:spacing w:val="6"/>
          <w:sz w:val="32"/>
          <w:szCs w:val="32"/>
          <w:lang w:eastAsia="zh-CN"/>
        </w:rPr>
        <w:sectPr>
          <w:pgSz w:w="11910" w:h="16840"/>
          <w:pgMar w:top="1431" w:right="1786" w:bottom="0" w:left="1786" w:header="0" w:footer="0" w:gutter="0"/>
          <w:cols w:space="720" w:num="1"/>
        </w:sectPr>
      </w:pPr>
      <w:r>
        <w:rPr>
          <w:rFonts w:hint="eastAsia" w:ascii="仿宋_GB2312" w:hAnsi="仿宋_GB2312" w:eastAsia="仿宋_GB2312" w:cs="仿宋_GB2312"/>
          <w:sz w:val="32"/>
          <w:szCs w:val="32"/>
        </w:rPr>
        <w:t>2024年部门预算收入96.13万元，</w:t>
      </w:r>
      <w:r>
        <w:rPr>
          <w:rFonts w:hint="eastAsia" w:ascii="仿宋_GB2312" w:hAnsi="仿宋_GB2312" w:eastAsia="仿宋_GB2312" w:cs="仿宋_GB2312"/>
          <w:spacing w:val="-1"/>
          <w:sz w:val="32"/>
          <w:szCs w:val="32"/>
        </w:rPr>
        <w:t>其中：一般公共预算收入</w:t>
      </w:r>
      <w:r>
        <w:rPr>
          <w:rFonts w:hint="eastAsia" w:ascii="仿宋_GB2312" w:hAnsi="仿宋_GB2312" w:eastAsia="仿宋_GB2312" w:cs="仿宋_GB2312"/>
          <w:spacing w:val="4"/>
          <w:sz w:val="32"/>
          <w:szCs w:val="32"/>
        </w:rPr>
        <w:t>96.13万元；2024年部门决算收入96.13万元，其中</w:t>
      </w:r>
      <w:r>
        <w:rPr>
          <w:rFonts w:hint="eastAsia" w:ascii="仿宋_GB2312" w:hAnsi="仿宋_GB2312" w:eastAsia="仿宋_GB2312" w:cs="仿宋_GB2312"/>
          <w:spacing w:val="3"/>
          <w:sz w:val="32"/>
          <w:szCs w:val="32"/>
        </w:rPr>
        <w:t>：一般公共预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算收入96.13万元</w:t>
      </w:r>
      <w:r>
        <w:rPr>
          <w:rFonts w:hint="eastAsia" w:ascii="仿宋_GB2312" w:hAnsi="仿宋_GB2312" w:eastAsia="仿宋_GB2312" w:cs="仿宋_GB2312"/>
          <w:spacing w:val="85"/>
          <w:sz w:val="32"/>
          <w:szCs w:val="32"/>
        </w:rPr>
        <w:t xml:space="preserve"> </w:t>
      </w:r>
    </w:p>
    <w:p w14:paraId="62F6FE87">
      <w:pPr>
        <w:spacing w:before="7" w:line="227" w:lineRule="auto"/>
        <w:ind w:firstLine="63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w:t>
      </w:r>
      <w:r>
        <w:rPr>
          <w:rFonts w:hint="eastAsia" w:ascii="仿宋_GB2312" w:hAnsi="仿宋_GB2312" w:eastAsia="仿宋_GB2312" w:cs="仿宋_GB2312"/>
          <w:b/>
          <w:bCs/>
          <w:spacing w:val="-2"/>
          <w:sz w:val="32"/>
          <w:szCs w:val="32"/>
        </w:rPr>
        <w:t>二</w:t>
      </w:r>
      <w:r>
        <w:rPr>
          <w:rFonts w:hint="eastAsia" w:ascii="仿宋_GB2312" w:hAnsi="仿宋_GB2312" w:eastAsia="仿宋_GB2312" w:cs="仿宋_GB2312"/>
          <w:spacing w:val="-24"/>
          <w:sz w:val="32"/>
          <w:szCs w:val="32"/>
        </w:rPr>
        <w:t xml:space="preserve"> </w:t>
      </w:r>
      <w:r>
        <w:rPr>
          <w:rFonts w:hint="eastAsia" w:ascii="仿宋_GB2312" w:hAnsi="仿宋_GB2312" w:eastAsia="仿宋_GB2312" w:cs="仿宋_GB2312"/>
          <w:b/>
          <w:bCs/>
          <w:spacing w:val="-2"/>
          <w:sz w:val="32"/>
          <w:szCs w:val="32"/>
        </w:rPr>
        <w:t>)支出情况。</w:t>
      </w:r>
    </w:p>
    <w:p w14:paraId="326CED72">
      <w:pPr>
        <w:pStyle w:val="3"/>
        <w:spacing w:line="240" w:lineRule="auto"/>
        <w:ind w:right="0" w:firstLine="64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 xml:space="preserve">1.2024年年初预算支出96.14万元，其中：一般公共服务支出  </w:t>
      </w:r>
      <w:r>
        <w:rPr>
          <w:rFonts w:hint="eastAsia" w:ascii="仿宋_GB2312" w:hAnsi="仿宋_GB2312" w:eastAsia="仿宋_GB2312" w:cs="仿宋_GB2312"/>
          <w:spacing w:val="-10"/>
          <w:sz w:val="32"/>
          <w:szCs w:val="32"/>
        </w:rPr>
        <w:t>68.51万元，卫生健康支出5.83万元，住房保障支出7.77万元，社会</w:t>
      </w:r>
      <w:r>
        <w:rPr>
          <w:rFonts w:hint="eastAsia" w:ascii="仿宋_GB2312" w:hAnsi="仿宋_GB2312" w:eastAsia="仿宋_GB2312" w:cs="仿宋_GB2312"/>
          <w:spacing w:val="-11"/>
          <w:sz w:val="32"/>
          <w:szCs w:val="32"/>
        </w:rPr>
        <w:t>保障</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9"/>
          <w:sz w:val="32"/>
          <w:szCs w:val="32"/>
        </w:rPr>
        <w:t>和就业支出14.03万元。</w:t>
      </w:r>
    </w:p>
    <w:p w14:paraId="40839126">
      <w:pPr>
        <w:pStyle w:val="3"/>
        <w:spacing w:before="4" w:line="222" w:lineRule="auto"/>
        <w:ind w:firstLine="65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2.2024年决算报表支出87.27万元，其中：一般公共服务支出</w:t>
      </w:r>
      <w:r>
        <w:rPr>
          <w:rFonts w:hint="eastAsia" w:ascii="仿宋_GB2312" w:hAnsi="仿宋_GB2312" w:eastAsia="仿宋_GB2312" w:cs="仿宋_GB2312"/>
          <w:spacing w:val="-10"/>
          <w:sz w:val="32"/>
          <w:szCs w:val="32"/>
        </w:rPr>
        <w:t>66.2万元，卫生健康支出4.32万元，住房保障支出6.</w:t>
      </w:r>
      <w:r>
        <w:rPr>
          <w:rFonts w:hint="eastAsia" w:ascii="仿宋_GB2312" w:hAnsi="仿宋_GB2312" w:eastAsia="仿宋_GB2312" w:cs="仿宋_GB2312"/>
          <w:spacing w:val="-11"/>
          <w:sz w:val="32"/>
          <w:szCs w:val="32"/>
        </w:rPr>
        <w:t>47万元，社会保障和</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9"/>
          <w:sz w:val="32"/>
          <w:szCs w:val="32"/>
        </w:rPr>
        <w:t>就业支出10.28万元。</w:t>
      </w:r>
    </w:p>
    <w:p w14:paraId="4709B333">
      <w:pPr>
        <w:pStyle w:val="3"/>
        <w:spacing w:line="240" w:lineRule="auto"/>
        <w:ind w:right="0" w:firstLine="708"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7"/>
          <w:sz w:val="32"/>
          <w:szCs w:val="32"/>
        </w:rPr>
        <w:t>(1)2024年一般公共预算财政拨款基本支出96</w:t>
      </w:r>
      <w:r>
        <w:rPr>
          <w:rFonts w:hint="eastAsia" w:ascii="仿宋_GB2312" w:hAnsi="仿宋_GB2312" w:eastAsia="仿宋_GB2312" w:cs="仿宋_GB2312"/>
          <w:spacing w:val="16"/>
          <w:sz w:val="32"/>
          <w:szCs w:val="32"/>
        </w:rPr>
        <w:t>.13万元</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pacing w:val="16"/>
          <w:sz w:val="32"/>
          <w:szCs w:val="32"/>
        </w:rPr>
        <w:t>其</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22"/>
          <w:sz w:val="32"/>
          <w:szCs w:val="32"/>
        </w:rPr>
        <w:t>中：</w:t>
      </w:r>
      <w:r>
        <w:rPr>
          <w:rFonts w:hint="eastAsia" w:ascii="仿宋_GB2312" w:hAnsi="仿宋_GB2312" w:eastAsia="仿宋_GB2312" w:cs="仿宋_GB2312"/>
          <w:spacing w:val="17"/>
          <w:sz w:val="32"/>
          <w:szCs w:val="32"/>
        </w:rPr>
        <w:t>人员经费78.67万元，主要包括：基本工资14.1万元、津贴</w:t>
      </w:r>
      <w:r>
        <w:rPr>
          <w:rFonts w:hint="eastAsia" w:ascii="仿宋_GB2312" w:hAnsi="仿宋_GB2312" w:eastAsia="仿宋_GB2312" w:cs="仿宋_GB2312"/>
          <w:spacing w:val="12"/>
          <w:sz w:val="32"/>
          <w:szCs w:val="32"/>
        </w:rPr>
        <w:t xml:space="preserve"> </w:t>
      </w:r>
      <w:r>
        <w:rPr>
          <w:rFonts w:hint="eastAsia" w:ascii="仿宋_GB2312" w:hAnsi="仿宋_GB2312" w:eastAsia="仿宋_GB2312" w:cs="仿宋_GB2312"/>
          <w:spacing w:val="16"/>
          <w:sz w:val="32"/>
          <w:szCs w:val="32"/>
        </w:rPr>
        <w:t>补贴14.99元、奖金18.31万元、绩效工资3.1万元、机关事业单</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13"/>
          <w:sz w:val="32"/>
          <w:szCs w:val="32"/>
        </w:rPr>
        <w:t>位基本养老保险缴费6.85万元、职业年金缴费3.43万元、其他社</w:t>
      </w:r>
      <w:r>
        <w:rPr>
          <w:rFonts w:hint="eastAsia" w:ascii="仿宋_GB2312" w:hAnsi="仿宋_GB2312" w:eastAsia="仿宋_GB2312" w:cs="仿宋_GB2312"/>
          <w:spacing w:val="8"/>
          <w:sz w:val="32"/>
          <w:szCs w:val="32"/>
        </w:rPr>
        <w:t xml:space="preserve"> </w:t>
      </w:r>
      <w:r>
        <w:rPr>
          <w:rFonts w:hint="eastAsia" w:ascii="仿宋_GB2312" w:hAnsi="仿宋_GB2312" w:eastAsia="仿宋_GB2312" w:cs="仿宋_GB2312"/>
          <w:spacing w:val="20"/>
          <w:sz w:val="32"/>
          <w:szCs w:val="32"/>
        </w:rPr>
        <w:t>会保障缴费(工伤失业保险)0.86万元、生活补助7</w:t>
      </w:r>
      <w:r>
        <w:rPr>
          <w:rFonts w:hint="eastAsia" w:ascii="仿宋_GB2312" w:hAnsi="仿宋_GB2312" w:eastAsia="仿宋_GB2312" w:cs="仿宋_GB2312"/>
          <w:spacing w:val="19"/>
          <w:sz w:val="32"/>
          <w:szCs w:val="32"/>
        </w:rPr>
        <w:t>.23万元、住</w:t>
      </w:r>
      <w:r>
        <w:rPr>
          <w:rFonts w:hint="eastAsia" w:ascii="仿宋_GB2312" w:hAnsi="仿宋_GB2312" w:eastAsia="仿宋_GB2312" w:cs="仿宋_GB2312"/>
          <w:spacing w:val="13"/>
          <w:sz w:val="32"/>
          <w:szCs w:val="32"/>
        </w:rPr>
        <w:t>房公积金5.47万元、行政单位医疗缴费2.08万元、事业单位</w:t>
      </w:r>
      <w:r>
        <w:rPr>
          <w:rFonts w:hint="eastAsia" w:ascii="仿宋_GB2312" w:hAnsi="仿宋_GB2312" w:eastAsia="仿宋_GB2312" w:cs="仿宋_GB2312"/>
          <w:spacing w:val="12"/>
          <w:sz w:val="32"/>
          <w:szCs w:val="32"/>
        </w:rPr>
        <w:t>医疗</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3"/>
          <w:sz w:val="32"/>
          <w:szCs w:val="32"/>
        </w:rPr>
        <w:t>缴费0.92万元、公务员医疗补助1.11万元，其他行政事业单位医</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10"/>
          <w:sz w:val="32"/>
          <w:szCs w:val="32"/>
        </w:rPr>
        <w:t>疗支出0.22万元。</w:t>
      </w:r>
    </w:p>
    <w:p w14:paraId="24160D69">
      <w:pPr>
        <w:pStyle w:val="3"/>
        <w:spacing w:line="240" w:lineRule="auto"/>
        <w:ind w:right="0" w:firstLine="68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日常公用经费7.33万元，主要包括：办公费1.73万元、电</w:t>
      </w:r>
      <w:r>
        <w:rPr>
          <w:rFonts w:hint="eastAsia" w:ascii="仿宋_GB2312" w:hAnsi="仿宋_GB2312" w:eastAsia="仿宋_GB2312" w:cs="仿宋_GB2312"/>
          <w:spacing w:val="15"/>
          <w:sz w:val="32"/>
          <w:szCs w:val="32"/>
        </w:rPr>
        <w:t xml:space="preserve"> </w:t>
      </w:r>
      <w:r>
        <w:rPr>
          <w:rFonts w:hint="eastAsia" w:ascii="仿宋_GB2312" w:hAnsi="仿宋_GB2312" w:eastAsia="仿宋_GB2312" w:cs="仿宋_GB2312"/>
          <w:spacing w:val="16"/>
          <w:sz w:val="32"/>
          <w:szCs w:val="32"/>
        </w:rPr>
        <w:t>费0.10万元、邮电费0.18万元、水费0.06万元、差</w:t>
      </w:r>
      <w:r>
        <w:rPr>
          <w:rFonts w:hint="eastAsia" w:ascii="仿宋_GB2312" w:hAnsi="仿宋_GB2312" w:eastAsia="仿宋_GB2312" w:cs="仿宋_GB2312"/>
          <w:spacing w:val="15"/>
          <w:sz w:val="32"/>
          <w:szCs w:val="32"/>
        </w:rPr>
        <w:t>旅费1.38万</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4"/>
          <w:sz w:val="32"/>
          <w:szCs w:val="32"/>
        </w:rPr>
        <w:t>元、劳务费1.8万元、委托业务费0.4</w:t>
      </w:r>
      <w:r>
        <w:rPr>
          <w:rFonts w:hint="eastAsia" w:ascii="仿宋_GB2312" w:hAnsi="仿宋_GB2312" w:eastAsia="仿宋_GB2312" w:cs="仿宋_GB2312"/>
          <w:spacing w:val="13"/>
          <w:sz w:val="32"/>
          <w:szCs w:val="32"/>
        </w:rPr>
        <w:t>2万元、印刷费0.16万元、</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0"/>
          <w:sz w:val="32"/>
          <w:szCs w:val="32"/>
        </w:rPr>
        <w:t>公务用车运行维护费1.5万元。</w:t>
      </w:r>
    </w:p>
    <w:p w14:paraId="248A384D">
      <w:pPr>
        <w:pStyle w:val="3"/>
        <w:spacing w:line="240" w:lineRule="auto"/>
        <w:ind w:right="0" w:firstLine="72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21"/>
          <w:sz w:val="32"/>
          <w:szCs w:val="32"/>
        </w:rPr>
        <w:t>(2)2024年一般公共预算财政拨款项目支出(会议费)</w:t>
      </w:r>
      <w:r>
        <w:rPr>
          <w:rFonts w:hint="eastAsia" w:ascii="仿宋_GB2312" w:hAnsi="仿宋_GB2312" w:eastAsia="仿宋_GB2312" w:cs="仿宋_GB2312"/>
          <w:spacing w:val="20"/>
          <w:sz w:val="32"/>
          <w:szCs w:val="32"/>
        </w:rPr>
        <w:t>1.27</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9"/>
          <w:sz w:val="32"/>
          <w:szCs w:val="32"/>
        </w:rPr>
        <w:t>万</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9"/>
          <w:sz w:val="32"/>
          <w:szCs w:val="32"/>
        </w:rPr>
        <w:t>元</w:t>
      </w:r>
      <w:r>
        <w:rPr>
          <w:rFonts w:hint="eastAsia" w:ascii="仿宋_GB2312" w:hAnsi="仿宋_GB2312" w:eastAsia="仿宋_GB2312" w:cs="仿宋_GB2312"/>
          <w:spacing w:val="-23"/>
          <w:sz w:val="32"/>
          <w:szCs w:val="32"/>
        </w:rPr>
        <w:t xml:space="preserve"> </w:t>
      </w:r>
      <w:r>
        <w:rPr>
          <w:rFonts w:hint="eastAsia" w:ascii="仿宋_GB2312" w:hAnsi="仿宋_GB2312" w:eastAsia="仿宋_GB2312" w:cs="仿宋_GB2312"/>
          <w:spacing w:val="-9"/>
          <w:sz w:val="32"/>
          <w:szCs w:val="32"/>
        </w:rPr>
        <w:t>。</w:t>
      </w:r>
    </w:p>
    <w:p w14:paraId="5FD06053">
      <w:pPr>
        <w:spacing w:before="1" w:line="223" w:lineRule="auto"/>
        <w:ind w:firstLine="675"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(三)结余分配和结转结余情况。</w:t>
      </w:r>
    </w:p>
    <w:p w14:paraId="6799E435">
      <w:pPr>
        <w:pStyle w:val="3"/>
        <w:spacing w:before="126" w:line="219" w:lineRule="auto"/>
        <w:ind w:firstLine="66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2024年决算报表无结转结余资金。</w:t>
      </w:r>
    </w:p>
    <w:p w14:paraId="376BC151">
      <w:pPr>
        <w:spacing w:before="142" w:line="221" w:lineRule="auto"/>
        <w:ind w:firstLine="651"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三、部门预算绩效分析</w:t>
      </w:r>
    </w:p>
    <w:p w14:paraId="61EB9AA5">
      <w:pPr>
        <w:pStyle w:val="3"/>
        <w:spacing w:line="240" w:lineRule="auto"/>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pacing w:val="-26"/>
          <w:sz w:val="32"/>
          <w:szCs w:val="32"/>
        </w:rPr>
        <w:t xml:space="preserve"> </w:t>
      </w:r>
      <w:r>
        <w:rPr>
          <w:rFonts w:hint="eastAsia" w:ascii="仿宋_GB2312" w:hAnsi="仿宋_GB2312" w:eastAsia="仿宋_GB2312" w:cs="仿宋_GB2312"/>
          <w:sz w:val="32"/>
          <w:szCs w:val="32"/>
        </w:rPr>
        <w:t>一)部门预算总体绩效分析。</w:t>
      </w:r>
      <w:r>
        <w:rPr>
          <w:rFonts w:hint="eastAsia" w:ascii="仿宋_GB2312" w:hAnsi="仿宋_GB2312" w:eastAsia="仿宋_GB2312" w:cs="仿宋_GB2312"/>
          <w:spacing w:val="45"/>
          <w:sz w:val="32"/>
          <w:szCs w:val="32"/>
        </w:rPr>
        <w:t xml:space="preserve"> </w:t>
      </w:r>
      <w:r>
        <w:rPr>
          <w:rFonts w:hint="eastAsia" w:ascii="仿宋_GB2312" w:hAnsi="仿宋_GB2312" w:eastAsia="仿宋_GB2312" w:cs="仿宋_GB2312"/>
          <w:sz w:val="32"/>
          <w:szCs w:val="32"/>
        </w:rPr>
        <w:t xml:space="preserve">严格按照县级部门预算编制通知 </w:t>
      </w:r>
      <w:r>
        <w:rPr>
          <w:rFonts w:hint="eastAsia" w:ascii="仿宋_GB2312" w:hAnsi="仿宋_GB2312" w:eastAsia="仿宋_GB2312" w:cs="仿宋_GB2312"/>
          <w:spacing w:val="-1"/>
          <w:sz w:val="32"/>
          <w:szCs w:val="32"/>
        </w:rPr>
        <w:t>和有关要求，按时完成基础库、项目库报送工作，按时完成2024年预</w:t>
      </w:r>
      <w:r>
        <w:rPr>
          <w:rFonts w:hint="eastAsia" w:ascii="仿宋_GB2312" w:hAnsi="仿宋_GB2312" w:eastAsia="仿宋_GB2312" w:cs="仿宋_GB2312"/>
          <w:spacing w:val="17"/>
          <w:sz w:val="32"/>
          <w:szCs w:val="32"/>
        </w:rPr>
        <w:t xml:space="preserve"> </w:t>
      </w:r>
      <w:r>
        <w:rPr>
          <w:rFonts w:hint="eastAsia" w:ascii="仿宋_GB2312" w:hAnsi="仿宋_GB2312" w:eastAsia="仿宋_GB2312" w:cs="仿宋_GB2312"/>
          <w:spacing w:val="-1"/>
          <w:sz w:val="32"/>
          <w:szCs w:val="32"/>
        </w:rPr>
        <w:t>算编制工作，并按时提交部门预算草案。预算编制全面、科学。2024</w:t>
      </w:r>
      <w:r>
        <w:rPr>
          <w:rFonts w:hint="eastAsia" w:ascii="仿宋_GB2312" w:hAnsi="仿宋_GB2312" w:eastAsia="仿宋_GB2312" w:cs="仿宋_GB2312"/>
          <w:spacing w:val="17"/>
          <w:sz w:val="32"/>
          <w:szCs w:val="32"/>
        </w:rPr>
        <w:t xml:space="preserve"> </w:t>
      </w:r>
      <w:r>
        <w:rPr>
          <w:rFonts w:hint="eastAsia" w:ascii="仿宋_GB2312" w:hAnsi="仿宋_GB2312" w:eastAsia="仿宋_GB2312" w:cs="仿宋_GB2312"/>
          <w:spacing w:val="-7"/>
          <w:sz w:val="32"/>
          <w:szCs w:val="32"/>
        </w:rPr>
        <w:t>年部门决算、绩效目标填报及年末结余结转都是严格按照县财政局的要</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6"/>
          <w:sz w:val="32"/>
          <w:szCs w:val="32"/>
        </w:rPr>
        <w:t>求认真完成2024年预算编制工作。本部门对2024年整体支出开展绩</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21"/>
          <w:sz w:val="32"/>
          <w:szCs w:val="32"/>
        </w:rPr>
        <w:t>效自评(见附件)自评得分95分。</w:t>
      </w:r>
    </w:p>
    <w:p w14:paraId="5C0363D1">
      <w:pPr>
        <w:spacing w:before="90" w:line="188" w:lineRule="auto"/>
        <w:ind w:left="4253"/>
        <w:jc w:val="both"/>
        <w:rPr>
          <w:rFonts w:hint="eastAsia" w:ascii="仿宋_GB2312" w:hAnsi="仿宋_GB2312" w:eastAsia="仿宋_GB2312" w:cs="仿宋_GB2312"/>
          <w:sz w:val="32"/>
          <w:szCs w:val="32"/>
        </w:rPr>
        <w:sectPr>
          <w:pgSz w:w="11910" w:h="16840"/>
          <w:pgMar w:top="1431" w:right="1786" w:bottom="0" w:left="1786" w:header="0" w:footer="0" w:gutter="0"/>
          <w:cols w:space="720" w:num="1"/>
        </w:sectPr>
      </w:pPr>
    </w:p>
    <w:tbl>
      <w:tblPr>
        <w:tblStyle w:val="13"/>
        <w:tblW w:w="8160" w:type="dxa"/>
        <w:tblInd w:w="5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9"/>
        <w:gridCol w:w="1537"/>
        <w:gridCol w:w="2306"/>
        <w:gridCol w:w="2163"/>
      </w:tblGrid>
      <w:tr w14:paraId="6C0EC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84" w:hRule="atLeast"/>
        </w:trPr>
        <w:tc>
          <w:tcPr>
            <w:tcW w:w="3406" w:type="dxa"/>
            <w:gridSpan w:val="2"/>
            <w:vAlign w:val="top"/>
          </w:tcPr>
          <w:p w14:paraId="5BA1E6BE">
            <w:pPr>
              <w:pStyle w:val="12"/>
              <w:spacing w:before="2" w:line="167"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pacing w:val="25"/>
                <w:sz w:val="32"/>
                <w:szCs w:val="32"/>
              </w:rPr>
              <w:t>2024年部门</w:t>
            </w:r>
          </w:p>
        </w:tc>
        <w:tc>
          <w:tcPr>
            <w:tcW w:w="4469" w:type="dxa"/>
            <w:gridSpan w:val="2"/>
            <w:vAlign w:val="top"/>
          </w:tcPr>
          <w:p w14:paraId="2A07A2BD">
            <w:pPr>
              <w:pStyle w:val="12"/>
              <w:spacing w:before="1" w:line="168" w:lineRule="auto"/>
              <w:ind w:left="35"/>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整体支出绩效评价得分表</w:t>
            </w:r>
          </w:p>
        </w:tc>
      </w:tr>
      <w:tr w14:paraId="4ED9A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79" w:hRule="atLeast"/>
        </w:trPr>
        <w:tc>
          <w:tcPr>
            <w:tcW w:w="1869" w:type="dxa"/>
            <w:vAlign w:val="top"/>
          </w:tcPr>
          <w:p w14:paraId="5ABDB444">
            <w:pPr>
              <w:pStyle w:val="12"/>
              <w:spacing w:before="17" w:line="200" w:lineRule="auto"/>
              <w:ind w:left="285"/>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一级指标</w:t>
            </w:r>
          </w:p>
        </w:tc>
        <w:tc>
          <w:tcPr>
            <w:tcW w:w="1537" w:type="dxa"/>
            <w:vAlign w:val="top"/>
          </w:tcPr>
          <w:p w14:paraId="2E610A3A">
            <w:pPr>
              <w:pStyle w:val="12"/>
              <w:spacing w:before="17" w:line="200" w:lineRule="auto"/>
              <w:ind w:left="482"/>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二级指标</w:t>
            </w:r>
          </w:p>
        </w:tc>
        <w:tc>
          <w:tcPr>
            <w:tcW w:w="2306" w:type="dxa"/>
            <w:vAlign w:val="top"/>
          </w:tcPr>
          <w:p w14:paraId="1E387B37">
            <w:pPr>
              <w:pStyle w:val="12"/>
              <w:spacing w:before="17" w:line="200" w:lineRule="auto"/>
              <w:ind w:left="8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三级指标</w:t>
            </w:r>
          </w:p>
        </w:tc>
        <w:tc>
          <w:tcPr>
            <w:tcW w:w="2163" w:type="dxa"/>
            <w:vAlign w:val="top"/>
          </w:tcPr>
          <w:p w14:paraId="394BAADE">
            <w:pPr>
              <w:pStyle w:val="12"/>
              <w:spacing w:before="16" w:line="201" w:lineRule="auto"/>
              <w:ind w:left="578"/>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得分</w:t>
            </w:r>
          </w:p>
        </w:tc>
      </w:tr>
      <w:tr w14:paraId="07A40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348" w:hRule="atLeast"/>
        </w:trPr>
        <w:tc>
          <w:tcPr>
            <w:tcW w:w="1869" w:type="dxa"/>
            <w:vMerge w:val="restart"/>
            <w:tcBorders>
              <w:bottom w:val="nil"/>
            </w:tcBorders>
            <w:vAlign w:val="top"/>
          </w:tcPr>
          <w:p w14:paraId="7934AC13">
            <w:pPr>
              <w:spacing w:line="449" w:lineRule="auto"/>
              <w:jc w:val="both"/>
              <w:rPr>
                <w:rFonts w:hint="eastAsia" w:ascii="仿宋_GB2312" w:hAnsi="仿宋_GB2312" w:eastAsia="仿宋_GB2312" w:cs="仿宋_GB2312"/>
                <w:sz w:val="32"/>
                <w:szCs w:val="32"/>
              </w:rPr>
            </w:pPr>
          </w:p>
          <w:p w14:paraId="66A6CABB">
            <w:pPr>
              <w:pStyle w:val="12"/>
              <w:spacing w:before="46" w:line="219" w:lineRule="auto"/>
              <w:ind w:left="1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部门决策(25</w:t>
            </w:r>
          </w:p>
          <w:p w14:paraId="3D7900D1">
            <w:pPr>
              <w:pStyle w:val="12"/>
              <w:spacing w:before="14" w:line="220" w:lineRule="auto"/>
              <w:ind w:left="454"/>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分</w:t>
            </w:r>
            <w:r>
              <w:rPr>
                <w:rFonts w:hint="eastAsia" w:ascii="仿宋_GB2312" w:hAnsi="仿宋_GB2312" w:eastAsia="仿宋_GB2312" w:cs="仿宋_GB2312"/>
                <w:spacing w:val="-27"/>
                <w:sz w:val="32"/>
                <w:szCs w:val="32"/>
              </w:rPr>
              <w:t xml:space="preserve"> </w:t>
            </w:r>
            <w:r>
              <w:rPr>
                <w:rFonts w:hint="eastAsia" w:ascii="仿宋_GB2312" w:hAnsi="仿宋_GB2312" w:eastAsia="仿宋_GB2312" w:cs="仿宋_GB2312"/>
                <w:spacing w:val="-4"/>
                <w:sz w:val="32"/>
                <w:szCs w:val="32"/>
              </w:rPr>
              <w:t>)</w:t>
            </w:r>
          </w:p>
        </w:tc>
        <w:tc>
          <w:tcPr>
            <w:tcW w:w="1537" w:type="dxa"/>
            <w:vMerge w:val="restart"/>
            <w:tcBorders>
              <w:bottom w:val="nil"/>
            </w:tcBorders>
            <w:vAlign w:val="top"/>
          </w:tcPr>
          <w:p w14:paraId="2DA1303E">
            <w:pPr>
              <w:spacing w:line="350" w:lineRule="auto"/>
              <w:jc w:val="both"/>
              <w:rPr>
                <w:rFonts w:hint="eastAsia" w:ascii="仿宋_GB2312" w:hAnsi="仿宋_GB2312" w:eastAsia="仿宋_GB2312" w:cs="仿宋_GB2312"/>
                <w:sz w:val="32"/>
                <w:szCs w:val="32"/>
              </w:rPr>
            </w:pPr>
          </w:p>
          <w:p w14:paraId="7D3560E7">
            <w:pPr>
              <w:pStyle w:val="12"/>
              <w:spacing w:before="45" w:line="219" w:lineRule="auto"/>
              <w:ind w:left="222"/>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目标任务(15分)</w:t>
            </w:r>
          </w:p>
        </w:tc>
        <w:tc>
          <w:tcPr>
            <w:tcW w:w="2306" w:type="dxa"/>
            <w:vAlign w:val="top"/>
          </w:tcPr>
          <w:p w14:paraId="7E0C1EA9">
            <w:pPr>
              <w:pStyle w:val="12"/>
              <w:spacing w:before="108" w:line="220"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相关性(5分)</w:t>
            </w:r>
          </w:p>
        </w:tc>
        <w:tc>
          <w:tcPr>
            <w:tcW w:w="2163" w:type="dxa"/>
            <w:vAlign w:val="top"/>
          </w:tcPr>
          <w:p w14:paraId="3D9FB332">
            <w:pPr>
              <w:pStyle w:val="12"/>
              <w:spacing w:before="41"/>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14:paraId="17B64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483" w:hRule="atLeast"/>
        </w:trPr>
        <w:tc>
          <w:tcPr>
            <w:tcW w:w="1869" w:type="dxa"/>
            <w:vMerge w:val="continue"/>
            <w:tcBorders>
              <w:top w:val="nil"/>
              <w:bottom w:val="nil"/>
            </w:tcBorders>
            <w:vAlign w:val="top"/>
          </w:tcPr>
          <w:p w14:paraId="33019141">
            <w:pPr>
              <w:jc w:val="both"/>
              <w:rPr>
                <w:rFonts w:hint="eastAsia" w:ascii="仿宋_GB2312" w:hAnsi="仿宋_GB2312" w:eastAsia="仿宋_GB2312" w:cs="仿宋_GB2312"/>
                <w:sz w:val="32"/>
                <w:szCs w:val="32"/>
              </w:rPr>
            </w:pPr>
          </w:p>
        </w:tc>
        <w:tc>
          <w:tcPr>
            <w:tcW w:w="1537" w:type="dxa"/>
            <w:vMerge w:val="continue"/>
            <w:tcBorders>
              <w:top w:val="nil"/>
              <w:bottom w:val="nil"/>
            </w:tcBorders>
            <w:vAlign w:val="top"/>
          </w:tcPr>
          <w:p w14:paraId="67B68471">
            <w:pPr>
              <w:jc w:val="both"/>
              <w:rPr>
                <w:rFonts w:hint="eastAsia" w:ascii="仿宋_GB2312" w:hAnsi="仿宋_GB2312" w:eastAsia="仿宋_GB2312" w:cs="仿宋_GB2312"/>
                <w:sz w:val="32"/>
                <w:szCs w:val="32"/>
              </w:rPr>
            </w:pPr>
          </w:p>
        </w:tc>
        <w:tc>
          <w:tcPr>
            <w:tcW w:w="2306" w:type="dxa"/>
            <w:vAlign w:val="top"/>
          </w:tcPr>
          <w:p w14:paraId="21BFEA79">
            <w:pPr>
              <w:pStyle w:val="12"/>
              <w:spacing w:before="69" w:line="219"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明确性(5分)</w:t>
            </w:r>
          </w:p>
        </w:tc>
        <w:tc>
          <w:tcPr>
            <w:tcW w:w="2163" w:type="dxa"/>
            <w:vAlign w:val="top"/>
          </w:tcPr>
          <w:p w14:paraId="72B90237">
            <w:pPr>
              <w:pStyle w:val="12"/>
              <w:spacing w:before="43"/>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14:paraId="00050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279" w:hRule="atLeast"/>
        </w:trPr>
        <w:tc>
          <w:tcPr>
            <w:tcW w:w="1869" w:type="dxa"/>
            <w:vMerge w:val="continue"/>
            <w:tcBorders>
              <w:top w:val="nil"/>
              <w:bottom w:val="nil"/>
            </w:tcBorders>
            <w:vAlign w:val="top"/>
          </w:tcPr>
          <w:p w14:paraId="6B7C1BB5">
            <w:pPr>
              <w:jc w:val="both"/>
              <w:rPr>
                <w:rFonts w:hint="eastAsia" w:ascii="仿宋_GB2312" w:hAnsi="仿宋_GB2312" w:eastAsia="仿宋_GB2312" w:cs="仿宋_GB2312"/>
                <w:sz w:val="32"/>
                <w:szCs w:val="32"/>
              </w:rPr>
            </w:pPr>
          </w:p>
        </w:tc>
        <w:tc>
          <w:tcPr>
            <w:tcW w:w="1537" w:type="dxa"/>
            <w:vMerge w:val="continue"/>
            <w:tcBorders>
              <w:top w:val="nil"/>
            </w:tcBorders>
            <w:vAlign w:val="top"/>
          </w:tcPr>
          <w:p w14:paraId="54ADD0A2">
            <w:pPr>
              <w:jc w:val="both"/>
              <w:rPr>
                <w:rFonts w:hint="eastAsia" w:ascii="仿宋_GB2312" w:hAnsi="仿宋_GB2312" w:eastAsia="仿宋_GB2312" w:cs="仿宋_GB2312"/>
                <w:sz w:val="32"/>
                <w:szCs w:val="32"/>
              </w:rPr>
            </w:pPr>
          </w:p>
        </w:tc>
        <w:tc>
          <w:tcPr>
            <w:tcW w:w="2306" w:type="dxa"/>
            <w:vAlign w:val="top"/>
          </w:tcPr>
          <w:p w14:paraId="3293FFA4">
            <w:pPr>
              <w:pStyle w:val="12"/>
              <w:spacing w:before="71" w:line="220"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合理性(5分)</w:t>
            </w:r>
          </w:p>
        </w:tc>
        <w:tc>
          <w:tcPr>
            <w:tcW w:w="2163" w:type="dxa"/>
            <w:vAlign w:val="top"/>
          </w:tcPr>
          <w:p w14:paraId="35C2F0A1">
            <w:pPr>
              <w:pStyle w:val="12"/>
              <w:spacing w:before="44"/>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14:paraId="51A67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79" w:hRule="atLeast"/>
        </w:trPr>
        <w:tc>
          <w:tcPr>
            <w:tcW w:w="1869" w:type="dxa"/>
            <w:vMerge w:val="continue"/>
            <w:tcBorders>
              <w:top w:val="nil"/>
              <w:bottom w:val="nil"/>
            </w:tcBorders>
            <w:vAlign w:val="top"/>
          </w:tcPr>
          <w:p w14:paraId="2C070934">
            <w:pPr>
              <w:jc w:val="both"/>
              <w:rPr>
                <w:rFonts w:hint="eastAsia" w:ascii="仿宋_GB2312" w:hAnsi="仿宋_GB2312" w:eastAsia="仿宋_GB2312" w:cs="仿宋_GB2312"/>
                <w:sz w:val="32"/>
                <w:szCs w:val="32"/>
              </w:rPr>
            </w:pPr>
          </w:p>
        </w:tc>
        <w:tc>
          <w:tcPr>
            <w:tcW w:w="1537" w:type="dxa"/>
            <w:vMerge w:val="restart"/>
            <w:tcBorders>
              <w:bottom w:val="nil"/>
            </w:tcBorders>
            <w:vAlign w:val="top"/>
          </w:tcPr>
          <w:p w14:paraId="3064B508">
            <w:pPr>
              <w:pStyle w:val="12"/>
              <w:spacing w:before="121" w:line="219" w:lineRule="auto"/>
              <w:ind w:left="61"/>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预算编制(10分)</w:t>
            </w:r>
          </w:p>
        </w:tc>
        <w:tc>
          <w:tcPr>
            <w:tcW w:w="2306" w:type="dxa"/>
            <w:vAlign w:val="top"/>
          </w:tcPr>
          <w:p w14:paraId="15A0FA03">
            <w:pPr>
              <w:pStyle w:val="12"/>
              <w:spacing w:before="21" w:line="195"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测算依据(5分)</w:t>
            </w:r>
          </w:p>
        </w:tc>
        <w:tc>
          <w:tcPr>
            <w:tcW w:w="2163" w:type="dxa"/>
            <w:vAlign w:val="top"/>
          </w:tcPr>
          <w:p w14:paraId="37D68E0F">
            <w:pPr>
              <w:pStyle w:val="12"/>
              <w:spacing w:before="35" w:line="176" w:lineRule="auto"/>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14:paraId="6B81A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79" w:hRule="atLeast"/>
        </w:trPr>
        <w:tc>
          <w:tcPr>
            <w:tcW w:w="1869" w:type="dxa"/>
            <w:vMerge w:val="continue"/>
            <w:tcBorders>
              <w:top w:val="nil"/>
            </w:tcBorders>
            <w:vAlign w:val="top"/>
          </w:tcPr>
          <w:p w14:paraId="72AD0D27">
            <w:pPr>
              <w:jc w:val="both"/>
              <w:rPr>
                <w:rFonts w:hint="eastAsia" w:ascii="仿宋_GB2312" w:hAnsi="仿宋_GB2312" w:eastAsia="仿宋_GB2312" w:cs="仿宋_GB2312"/>
                <w:sz w:val="32"/>
                <w:szCs w:val="32"/>
              </w:rPr>
            </w:pPr>
          </w:p>
        </w:tc>
        <w:tc>
          <w:tcPr>
            <w:tcW w:w="1537" w:type="dxa"/>
            <w:vMerge w:val="continue"/>
            <w:tcBorders>
              <w:top w:val="nil"/>
            </w:tcBorders>
            <w:vAlign w:val="top"/>
          </w:tcPr>
          <w:p w14:paraId="3C010E41">
            <w:pPr>
              <w:jc w:val="both"/>
              <w:rPr>
                <w:rFonts w:hint="eastAsia" w:ascii="仿宋_GB2312" w:hAnsi="仿宋_GB2312" w:eastAsia="仿宋_GB2312" w:cs="仿宋_GB2312"/>
                <w:sz w:val="32"/>
                <w:szCs w:val="32"/>
              </w:rPr>
            </w:pPr>
          </w:p>
        </w:tc>
        <w:tc>
          <w:tcPr>
            <w:tcW w:w="2306" w:type="dxa"/>
            <w:vAlign w:val="top"/>
          </w:tcPr>
          <w:p w14:paraId="661694C3">
            <w:pPr>
              <w:pStyle w:val="12"/>
              <w:spacing w:before="22" w:line="193"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目标管理(5分)</w:t>
            </w:r>
          </w:p>
        </w:tc>
        <w:tc>
          <w:tcPr>
            <w:tcW w:w="2163" w:type="dxa"/>
            <w:vAlign w:val="top"/>
          </w:tcPr>
          <w:p w14:paraId="74442E69">
            <w:pPr>
              <w:pStyle w:val="12"/>
              <w:spacing w:before="37" w:line="174" w:lineRule="auto"/>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14:paraId="728C7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309" w:hRule="atLeast"/>
        </w:trPr>
        <w:tc>
          <w:tcPr>
            <w:tcW w:w="1869" w:type="dxa"/>
            <w:vMerge w:val="restart"/>
            <w:tcBorders>
              <w:bottom w:val="nil"/>
            </w:tcBorders>
            <w:vAlign w:val="top"/>
          </w:tcPr>
          <w:p w14:paraId="17586D45">
            <w:pPr>
              <w:pStyle w:val="12"/>
              <w:spacing w:before="243" w:line="219" w:lineRule="auto"/>
              <w:ind w:left="1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综合管理(30</w:t>
            </w:r>
          </w:p>
          <w:p w14:paraId="314300DC">
            <w:pPr>
              <w:pStyle w:val="12"/>
              <w:spacing w:before="14" w:line="220" w:lineRule="auto"/>
              <w:ind w:left="454"/>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分</w:t>
            </w:r>
            <w:r>
              <w:rPr>
                <w:rFonts w:hint="eastAsia" w:ascii="仿宋_GB2312" w:hAnsi="仿宋_GB2312" w:eastAsia="仿宋_GB2312" w:cs="仿宋_GB2312"/>
                <w:spacing w:val="-27"/>
                <w:sz w:val="32"/>
                <w:szCs w:val="32"/>
              </w:rPr>
              <w:t xml:space="preserve"> </w:t>
            </w:r>
            <w:r>
              <w:rPr>
                <w:rFonts w:hint="eastAsia" w:ascii="仿宋_GB2312" w:hAnsi="仿宋_GB2312" w:eastAsia="仿宋_GB2312" w:cs="仿宋_GB2312"/>
                <w:spacing w:val="-4"/>
                <w:sz w:val="32"/>
                <w:szCs w:val="32"/>
              </w:rPr>
              <w:t>)</w:t>
            </w:r>
          </w:p>
        </w:tc>
        <w:tc>
          <w:tcPr>
            <w:tcW w:w="1537" w:type="dxa"/>
            <w:vMerge w:val="restart"/>
            <w:tcBorders>
              <w:bottom w:val="nil"/>
            </w:tcBorders>
            <w:vAlign w:val="top"/>
          </w:tcPr>
          <w:p w14:paraId="262B27BC">
            <w:pPr>
              <w:pStyle w:val="12"/>
              <w:spacing w:before="153"/>
              <w:ind w:left="61" w:right="211"/>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专项资金分配时限(2</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pacing w:val="-4"/>
                <w:sz w:val="32"/>
                <w:szCs w:val="32"/>
              </w:rPr>
              <w:t>分</w:t>
            </w:r>
            <w:r>
              <w:rPr>
                <w:rFonts w:hint="eastAsia" w:ascii="仿宋_GB2312" w:hAnsi="仿宋_GB2312" w:eastAsia="仿宋_GB2312" w:cs="仿宋_GB2312"/>
                <w:spacing w:val="-27"/>
                <w:sz w:val="32"/>
                <w:szCs w:val="32"/>
              </w:rPr>
              <w:t xml:space="preserve"> </w:t>
            </w:r>
            <w:r>
              <w:rPr>
                <w:rFonts w:hint="eastAsia" w:ascii="仿宋_GB2312" w:hAnsi="仿宋_GB2312" w:eastAsia="仿宋_GB2312" w:cs="仿宋_GB2312"/>
                <w:spacing w:val="-4"/>
                <w:sz w:val="32"/>
                <w:szCs w:val="32"/>
              </w:rPr>
              <w:t>)</w:t>
            </w:r>
          </w:p>
        </w:tc>
        <w:tc>
          <w:tcPr>
            <w:tcW w:w="2306" w:type="dxa"/>
            <w:vAlign w:val="top"/>
          </w:tcPr>
          <w:p w14:paraId="5006131D">
            <w:pPr>
              <w:pStyle w:val="12"/>
              <w:spacing w:before="93" w:line="219"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省级财力专项预算分配时限(1分)</w:t>
            </w:r>
          </w:p>
        </w:tc>
        <w:tc>
          <w:tcPr>
            <w:tcW w:w="2163" w:type="dxa"/>
            <w:vAlign w:val="top"/>
          </w:tcPr>
          <w:p w14:paraId="1461AADE">
            <w:pPr>
              <w:pStyle w:val="12"/>
              <w:spacing w:before="37" w:line="241" w:lineRule="auto"/>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r>
      <w:tr w14:paraId="7BF9E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279" w:hRule="atLeast"/>
        </w:trPr>
        <w:tc>
          <w:tcPr>
            <w:tcW w:w="1869" w:type="dxa"/>
            <w:vMerge w:val="continue"/>
            <w:tcBorders>
              <w:top w:val="nil"/>
              <w:bottom w:val="nil"/>
            </w:tcBorders>
            <w:vAlign w:val="top"/>
          </w:tcPr>
          <w:p w14:paraId="534FAE2A">
            <w:pPr>
              <w:jc w:val="both"/>
              <w:rPr>
                <w:rFonts w:hint="eastAsia" w:ascii="仿宋_GB2312" w:hAnsi="仿宋_GB2312" w:eastAsia="仿宋_GB2312" w:cs="仿宋_GB2312"/>
                <w:sz w:val="32"/>
                <w:szCs w:val="32"/>
              </w:rPr>
            </w:pPr>
          </w:p>
        </w:tc>
        <w:tc>
          <w:tcPr>
            <w:tcW w:w="1537" w:type="dxa"/>
            <w:vMerge w:val="continue"/>
            <w:tcBorders>
              <w:top w:val="nil"/>
            </w:tcBorders>
            <w:vAlign w:val="top"/>
          </w:tcPr>
          <w:p w14:paraId="68308A96">
            <w:pPr>
              <w:jc w:val="both"/>
              <w:rPr>
                <w:rFonts w:hint="eastAsia" w:ascii="仿宋_GB2312" w:hAnsi="仿宋_GB2312" w:eastAsia="仿宋_GB2312" w:cs="仿宋_GB2312"/>
                <w:sz w:val="32"/>
                <w:szCs w:val="32"/>
              </w:rPr>
            </w:pPr>
          </w:p>
        </w:tc>
        <w:tc>
          <w:tcPr>
            <w:tcW w:w="2306" w:type="dxa"/>
            <w:vAlign w:val="top"/>
          </w:tcPr>
          <w:p w14:paraId="460FE8EC">
            <w:pPr>
              <w:pStyle w:val="12"/>
              <w:spacing w:before="74" w:line="219"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中央专款分配合规率(1分)</w:t>
            </w:r>
          </w:p>
        </w:tc>
        <w:tc>
          <w:tcPr>
            <w:tcW w:w="2163" w:type="dxa"/>
            <w:vAlign w:val="top"/>
          </w:tcPr>
          <w:p w14:paraId="795F1A84">
            <w:pPr>
              <w:pStyle w:val="12"/>
              <w:spacing w:before="88" w:line="238" w:lineRule="auto"/>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r>
      <w:tr w14:paraId="129B3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84" w:hRule="atLeast"/>
        </w:trPr>
        <w:tc>
          <w:tcPr>
            <w:tcW w:w="1869" w:type="dxa"/>
            <w:vMerge w:val="continue"/>
            <w:tcBorders>
              <w:top w:val="nil"/>
            </w:tcBorders>
            <w:vAlign w:val="top"/>
          </w:tcPr>
          <w:p w14:paraId="7E1612D1">
            <w:pPr>
              <w:jc w:val="both"/>
              <w:rPr>
                <w:rFonts w:hint="eastAsia" w:ascii="仿宋_GB2312" w:hAnsi="仿宋_GB2312" w:eastAsia="仿宋_GB2312" w:cs="仿宋_GB2312"/>
                <w:sz w:val="32"/>
                <w:szCs w:val="32"/>
              </w:rPr>
            </w:pPr>
          </w:p>
        </w:tc>
        <w:tc>
          <w:tcPr>
            <w:tcW w:w="1537" w:type="dxa"/>
            <w:vAlign w:val="top"/>
          </w:tcPr>
          <w:p w14:paraId="249FC867">
            <w:pPr>
              <w:pStyle w:val="12"/>
              <w:spacing w:before="24" w:line="197" w:lineRule="auto"/>
              <w:ind w:left="61"/>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中期评估(2分)</w:t>
            </w:r>
          </w:p>
        </w:tc>
        <w:tc>
          <w:tcPr>
            <w:tcW w:w="2306" w:type="dxa"/>
            <w:vAlign w:val="top"/>
          </w:tcPr>
          <w:p w14:paraId="562B8BC6">
            <w:pPr>
              <w:pStyle w:val="12"/>
              <w:spacing w:before="24" w:line="197" w:lineRule="auto"/>
              <w:ind w:left="74"/>
              <w:jc w:val="both"/>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执行中期评估(2分)</w:t>
            </w:r>
          </w:p>
        </w:tc>
        <w:tc>
          <w:tcPr>
            <w:tcW w:w="2163" w:type="dxa"/>
            <w:vAlign w:val="top"/>
          </w:tcPr>
          <w:p w14:paraId="46C89873">
            <w:pPr>
              <w:pStyle w:val="12"/>
              <w:spacing w:before="39" w:line="177" w:lineRule="auto"/>
              <w:ind w:left="98"/>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r>
      <w:tr w14:paraId="03D4E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264" w:hRule="atLeast"/>
        </w:trPr>
        <w:tc>
          <w:tcPr>
            <w:tcW w:w="1869" w:type="dxa"/>
            <w:vMerge w:val="restart"/>
            <w:tcBorders>
              <w:bottom w:val="nil"/>
            </w:tcBorders>
            <w:vAlign w:val="top"/>
          </w:tcPr>
          <w:p w14:paraId="0CB6F949">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52F7CB4A">
            <w:pPr>
              <w:pStyle w:val="12"/>
              <w:spacing w:before="161" w:line="220"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绩效监控(5分)</w:t>
            </w:r>
          </w:p>
        </w:tc>
        <w:tc>
          <w:tcPr>
            <w:tcW w:w="2306" w:type="dxa"/>
            <w:vAlign w:val="top"/>
          </w:tcPr>
          <w:p w14:paraId="187A2837">
            <w:pPr>
              <w:pStyle w:val="12"/>
              <w:spacing w:before="60" w:line="219"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预算执行进度监控(2分)</w:t>
            </w:r>
          </w:p>
        </w:tc>
        <w:tc>
          <w:tcPr>
            <w:tcW w:w="2163" w:type="dxa"/>
            <w:vAlign w:val="top"/>
          </w:tcPr>
          <w:p w14:paraId="2F83B441">
            <w:pPr>
              <w:pStyle w:val="12"/>
              <w:spacing w:before="74" w:line="237"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51DAF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80" w:hRule="atLeast"/>
        </w:trPr>
        <w:tc>
          <w:tcPr>
            <w:tcW w:w="1869" w:type="dxa"/>
            <w:vMerge w:val="continue"/>
            <w:tcBorders>
              <w:top w:val="nil"/>
              <w:bottom w:val="nil"/>
            </w:tcBorders>
            <w:vAlign w:val="top"/>
          </w:tcPr>
          <w:p w14:paraId="243833CE">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07BE3AB4">
            <w:pPr>
              <w:jc w:val="both"/>
              <w:rPr>
                <w:rFonts w:hint="eastAsia" w:ascii="仿宋_GB2312" w:hAnsi="仿宋_GB2312" w:eastAsia="仿宋_GB2312" w:cs="仿宋_GB2312"/>
                <w:sz w:val="28"/>
                <w:szCs w:val="28"/>
              </w:rPr>
            </w:pPr>
          </w:p>
        </w:tc>
        <w:tc>
          <w:tcPr>
            <w:tcW w:w="2306" w:type="dxa"/>
            <w:vAlign w:val="top"/>
          </w:tcPr>
          <w:p w14:paraId="74DBDE06">
            <w:pPr>
              <w:pStyle w:val="12"/>
              <w:spacing w:before="16" w:line="202"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绩效目标动态监控(3分)</w:t>
            </w:r>
          </w:p>
        </w:tc>
        <w:tc>
          <w:tcPr>
            <w:tcW w:w="2163" w:type="dxa"/>
            <w:vAlign w:val="top"/>
          </w:tcPr>
          <w:p w14:paraId="22A7BCD1">
            <w:pPr>
              <w:pStyle w:val="12"/>
              <w:spacing w:before="30" w:line="184"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26C19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70" w:hRule="atLeast"/>
        </w:trPr>
        <w:tc>
          <w:tcPr>
            <w:tcW w:w="1869" w:type="dxa"/>
            <w:vMerge w:val="continue"/>
            <w:tcBorders>
              <w:top w:val="nil"/>
              <w:bottom w:val="nil"/>
            </w:tcBorders>
            <w:vAlign w:val="top"/>
          </w:tcPr>
          <w:p w14:paraId="6ED24250">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45447501">
            <w:pPr>
              <w:pStyle w:val="12"/>
              <w:spacing w:before="36" w:line="233" w:lineRule="auto"/>
              <w:ind w:left="71" w:right="192" w:firstLine="10"/>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非税收入执收情况(2</w:t>
            </w:r>
            <w:r>
              <w:rPr>
                <w:rFonts w:hint="eastAsia" w:ascii="仿宋_GB2312" w:hAnsi="仿宋_GB2312" w:eastAsia="仿宋_GB2312" w:cs="仿宋_GB2312"/>
                <w:spacing w:val="1"/>
                <w:sz w:val="28"/>
                <w:szCs w:val="28"/>
              </w:rPr>
              <w:t xml:space="preserve"> </w:t>
            </w:r>
            <w:r>
              <w:rPr>
                <w:rFonts w:hint="eastAsia" w:ascii="仿宋_GB2312" w:hAnsi="仿宋_GB2312" w:eastAsia="仿宋_GB2312" w:cs="仿宋_GB2312"/>
                <w:spacing w:val="-4"/>
                <w:sz w:val="28"/>
                <w:szCs w:val="28"/>
              </w:rPr>
              <w:t>分</w:t>
            </w:r>
            <w:r>
              <w:rPr>
                <w:rFonts w:hint="eastAsia" w:ascii="仿宋_GB2312" w:hAnsi="仿宋_GB2312" w:eastAsia="仿宋_GB2312" w:cs="仿宋_GB2312"/>
                <w:spacing w:val="-27"/>
                <w:sz w:val="28"/>
                <w:szCs w:val="28"/>
              </w:rPr>
              <w:t xml:space="preserve"> </w:t>
            </w:r>
            <w:r>
              <w:rPr>
                <w:rFonts w:hint="eastAsia" w:ascii="仿宋_GB2312" w:hAnsi="仿宋_GB2312" w:eastAsia="仿宋_GB2312" w:cs="仿宋_GB2312"/>
                <w:spacing w:val="-4"/>
                <w:sz w:val="28"/>
                <w:szCs w:val="28"/>
              </w:rPr>
              <w:t>)</w:t>
            </w:r>
          </w:p>
        </w:tc>
        <w:tc>
          <w:tcPr>
            <w:tcW w:w="2306" w:type="dxa"/>
            <w:vAlign w:val="top"/>
          </w:tcPr>
          <w:p w14:paraId="3F874B82">
            <w:pPr>
              <w:pStyle w:val="12"/>
              <w:spacing w:before="16" w:line="189"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非税收入征收情况(1分)</w:t>
            </w:r>
          </w:p>
        </w:tc>
        <w:tc>
          <w:tcPr>
            <w:tcW w:w="2163" w:type="dxa"/>
            <w:vAlign w:val="top"/>
          </w:tcPr>
          <w:p w14:paraId="4E368C4A">
            <w:pPr>
              <w:pStyle w:val="12"/>
              <w:spacing w:before="31" w:line="170"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r>
      <w:tr w14:paraId="27590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220" w:hRule="atLeast"/>
        </w:trPr>
        <w:tc>
          <w:tcPr>
            <w:tcW w:w="1869" w:type="dxa"/>
            <w:vMerge w:val="continue"/>
            <w:tcBorders>
              <w:top w:val="nil"/>
              <w:bottom w:val="nil"/>
            </w:tcBorders>
            <w:vAlign w:val="top"/>
          </w:tcPr>
          <w:p w14:paraId="07AA481A">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526081DB">
            <w:pPr>
              <w:jc w:val="both"/>
              <w:rPr>
                <w:rFonts w:hint="eastAsia" w:ascii="仿宋_GB2312" w:hAnsi="仿宋_GB2312" w:eastAsia="仿宋_GB2312" w:cs="仿宋_GB2312"/>
                <w:sz w:val="28"/>
                <w:szCs w:val="28"/>
              </w:rPr>
            </w:pPr>
          </w:p>
        </w:tc>
        <w:tc>
          <w:tcPr>
            <w:tcW w:w="2306" w:type="dxa"/>
            <w:vAlign w:val="top"/>
          </w:tcPr>
          <w:p w14:paraId="383A197F">
            <w:pPr>
              <w:pStyle w:val="12"/>
              <w:spacing w:before="36" w:line="219"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非税收入上缴情况(1分)</w:t>
            </w:r>
          </w:p>
        </w:tc>
        <w:tc>
          <w:tcPr>
            <w:tcW w:w="2163" w:type="dxa"/>
            <w:vAlign w:val="top"/>
          </w:tcPr>
          <w:p w14:paraId="7E572859">
            <w:pPr>
              <w:pStyle w:val="12"/>
              <w:spacing w:before="50" w:line="210"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r>
      <w:tr w14:paraId="42ECA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90" w:hRule="atLeast"/>
        </w:trPr>
        <w:tc>
          <w:tcPr>
            <w:tcW w:w="1869" w:type="dxa"/>
            <w:vMerge w:val="continue"/>
            <w:tcBorders>
              <w:top w:val="nil"/>
              <w:bottom w:val="nil"/>
            </w:tcBorders>
            <w:vAlign w:val="top"/>
          </w:tcPr>
          <w:p w14:paraId="003EB340">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39E7FB7E">
            <w:pPr>
              <w:pStyle w:val="12"/>
              <w:spacing w:before="236" w:line="219"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资产管理(6分)</w:t>
            </w:r>
          </w:p>
        </w:tc>
        <w:tc>
          <w:tcPr>
            <w:tcW w:w="2306" w:type="dxa"/>
            <w:vAlign w:val="top"/>
          </w:tcPr>
          <w:p w14:paraId="15437735">
            <w:pPr>
              <w:pStyle w:val="12"/>
              <w:spacing w:before="26" w:line="202"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资产管理信息化情况(2分)</w:t>
            </w:r>
          </w:p>
        </w:tc>
        <w:tc>
          <w:tcPr>
            <w:tcW w:w="2163" w:type="dxa"/>
            <w:vAlign w:val="top"/>
          </w:tcPr>
          <w:p w14:paraId="788C11F7">
            <w:pPr>
              <w:pStyle w:val="12"/>
              <w:spacing w:before="40" w:line="184"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3554D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80" w:hRule="atLeast"/>
        </w:trPr>
        <w:tc>
          <w:tcPr>
            <w:tcW w:w="1869" w:type="dxa"/>
            <w:vMerge w:val="continue"/>
            <w:tcBorders>
              <w:top w:val="nil"/>
              <w:bottom w:val="nil"/>
            </w:tcBorders>
            <w:vAlign w:val="top"/>
          </w:tcPr>
          <w:p w14:paraId="0F016043">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3CC1E5DB">
            <w:pPr>
              <w:jc w:val="both"/>
              <w:rPr>
                <w:rFonts w:hint="eastAsia" w:ascii="仿宋_GB2312" w:hAnsi="仿宋_GB2312" w:eastAsia="仿宋_GB2312" w:cs="仿宋_GB2312"/>
                <w:sz w:val="28"/>
                <w:szCs w:val="28"/>
              </w:rPr>
            </w:pPr>
          </w:p>
        </w:tc>
        <w:tc>
          <w:tcPr>
            <w:tcW w:w="2306" w:type="dxa"/>
            <w:vAlign w:val="top"/>
          </w:tcPr>
          <w:p w14:paraId="09D33D51">
            <w:pPr>
              <w:pStyle w:val="12"/>
              <w:spacing w:before="15" w:line="204"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行政事业单位资产报告情况(2分)</w:t>
            </w:r>
          </w:p>
        </w:tc>
        <w:tc>
          <w:tcPr>
            <w:tcW w:w="2163" w:type="dxa"/>
            <w:vAlign w:val="top"/>
          </w:tcPr>
          <w:p w14:paraId="37C83121">
            <w:pPr>
              <w:pStyle w:val="12"/>
              <w:spacing w:before="30" w:line="184"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22A62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229" w:hRule="atLeast"/>
        </w:trPr>
        <w:tc>
          <w:tcPr>
            <w:tcW w:w="1869" w:type="dxa"/>
            <w:vMerge w:val="continue"/>
            <w:tcBorders>
              <w:top w:val="nil"/>
              <w:bottom w:val="nil"/>
            </w:tcBorders>
            <w:vAlign w:val="top"/>
          </w:tcPr>
          <w:p w14:paraId="5513ADDD">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3D09AB19">
            <w:pPr>
              <w:jc w:val="both"/>
              <w:rPr>
                <w:rFonts w:hint="eastAsia" w:ascii="仿宋_GB2312" w:hAnsi="仿宋_GB2312" w:eastAsia="仿宋_GB2312" w:cs="仿宋_GB2312"/>
                <w:sz w:val="28"/>
                <w:szCs w:val="28"/>
              </w:rPr>
            </w:pPr>
          </w:p>
        </w:tc>
        <w:tc>
          <w:tcPr>
            <w:tcW w:w="2306" w:type="dxa"/>
            <w:vAlign w:val="top"/>
          </w:tcPr>
          <w:p w14:paraId="6C0EE388">
            <w:pPr>
              <w:pStyle w:val="12"/>
              <w:spacing w:before="46" w:line="219"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资产管理与预算管理相结合(2分)</w:t>
            </w:r>
          </w:p>
        </w:tc>
        <w:tc>
          <w:tcPr>
            <w:tcW w:w="2163" w:type="dxa"/>
            <w:vAlign w:val="top"/>
          </w:tcPr>
          <w:p w14:paraId="26472861">
            <w:pPr>
              <w:pStyle w:val="12"/>
              <w:spacing w:before="60" w:line="209"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47A9C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90" w:hRule="atLeast"/>
        </w:trPr>
        <w:tc>
          <w:tcPr>
            <w:tcW w:w="1869" w:type="dxa"/>
            <w:vMerge w:val="continue"/>
            <w:tcBorders>
              <w:top w:val="nil"/>
              <w:bottom w:val="nil"/>
            </w:tcBorders>
            <w:vAlign w:val="top"/>
          </w:tcPr>
          <w:p w14:paraId="6B4FDAAF">
            <w:pPr>
              <w:jc w:val="both"/>
              <w:rPr>
                <w:rFonts w:hint="eastAsia" w:ascii="仿宋_GB2312" w:hAnsi="仿宋_GB2312" w:eastAsia="仿宋_GB2312" w:cs="仿宋_GB2312"/>
                <w:sz w:val="28"/>
                <w:szCs w:val="28"/>
              </w:rPr>
            </w:pPr>
          </w:p>
        </w:tc>
        <w:tc>
          <w:tcPr>
            <w:tcW w:w="1537" w:type="dxa"/>
            <w:vAlign w:val="top"/>
          </w:tcPr>
          <w:p w14:paraId="4397FB0C">
            <w:pPr>
              <w:pStyle w:val="12"/>
              <w:spacing w:before="27" w:line="201"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内控制度管理(2分)</w:t>
            </w:r>
          </w:p>
        </w:tc>
        <w:tc>
          <w:tcPr>
            <w:tcW w:w="2306" w:type="dxa"/>
            <w:vAlign w:val="top"/>
          </w:tcPr>
          <w:p w14:paraId="6238533E">
            <w:pPr>
              <w:pStyle w:val="12"/>
              <w:spacing w:before="27" w:line="201"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内部控制度健全完整(2分)</w:t>
            </w:r>
          </w:p>
        </w:tc>
        <w:tc>
          <w:tcPr>
            <w:tcW w:w="2163" w:type="dxa"/>
            <w:vAlign w:val="top"/>
          </w:tcPr>
          <w:p w14:paraId="77F9BFCA">
            <w:pPr>
              <w:pStyle w:val="12"/>
              <w:spacing w:before="41" w:line="182"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r>
      <w:tr w14:paraId="69941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70" w:hRule="atLeast"/>
        </w:trPr>
        <w:tc>
          <w:tcPr>
            <w:tcW w:w="1869" w:type="dxa"/>
            <w:vMerge w:val="continue"/>
            <w:tcBorders>
              <w:top w:val="nil"/>
              <w:bottom w:val="nil"/>
            </w:tcBorders>
            <w:vAlign w:val="top"/>
          </w:tcPr>
          <w:p w14:paraId="1EEB320B">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22C35A6A">
            <w:pPr>
              <w:pStyle w:val="12"/>
              <w:spacing w:before="207" w:line="219"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信息公开(6分)</w:t>
            </w:r>
          </w:p>
        </w:tc>
        <w:tc>
          <w:tcPr>
            <w:tcW w:w="2306" w:type="dxa"/>
            <w:vAlign w:val="top"/>
          </w:tcPr>
          <w:p w14:paraId="76F6B7DB">
            <w:pPr>
              <w:pStyle w:val="12"/>
              <w:spacing w:before="17" w:line="188"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预算公开(2分)</w:t>
            </w:r>
          </w:p>
        </w:tc>
        <w:tc>
          <w:tcPr>
            <w:tcW w:w="2163" w:type="dxa"/>
            <w:vAlign w:val="top"/>
          </w:tcPr>
          <w:p w14:paraId="53D12225">
            <w:pPr>
              <w:pStyle w:val="12"/>
              <w:spacing w:before="31" w:line="169"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3159E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70" w:hRule="atLeast"/>
        </w:trPr>
        <w:tc>
          <w:tcPr>
            <w:tcW w:w="1869" w:type="dxa"/>
            <w:vMerge w:val="continue"/>
            <w:tcBorders>
              <w:top w:val="nil"/>
              <w:bottom w:val="nil"/>
            </w:tcBorders>
            <w:vAlign w:val="top"/>
          </w:tcPr>
          <w:p w14:paraId="663C8E57">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5CE063DA">
            <w:pPr>
              <w:jc w:val="both"/>
              <w:rPr>
                <w:rFonts w:hint="eastAsia" w:ascii="仿宋_GB2312" w:hAnsi="仿宋_GB2312" w:eastAsia="仿宋_GB2312" w:cs="仿宋_GB2312"/>
                <w:sz w:val="28"/>
                <w:szCs w:val="28"/>
              </w:rPr>
            </w:pPr>
          </w:p>
        </w:tc>
        <w:tc>
          <w:tcPr>
            <w:tcW w:w="2306" w:type="dxa"/>
            <w:vAlign w:val="top"/>
          </w:tcPr>
          <w:p w14:paraId="07575280">
            <w:pPr>
              <w:pStyle w:val="12"/>
              <w:spacing w:before="17" w:line="188"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决算公开(2分)</w:t>
            </w:r>
          </w:p>
        </w:tc>
        <w:tc>
          <w:tcPr>
            <w:tcW w:w="2163" w:type="dxa"/>
            <w:vAlign w:val="top"/>
          </w:tcPr>
          <w:p w14:paraId="4D49687C">
            <w:pPr>
              <w:pStyle w:val="12"/>
              <w:spacing w:before="31" w:line="169"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15C01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89" w:hRule="atLeast"/>
        </w:trPr>
        <w:tc>
          <w:tcPr>
            <w:tcW w:w="1869" w:type="dxa"/>
            <w:vMerge w:val="continue"/>
            <w:tcBorders>
              <w:top w:val="nil"/>
              <w:bottom w:val="nil"/>
            </w:tcBorders>
            <w:vAlign w:val="top"/>
          </w:tcPr>
          <w:p w14:paraId="7B35ED5E">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7837C048">
            <w:pPr>
              <w:jc w:val="both"/>
              <w:rPr>
                <w:rFonts w:hint="eastAsia" w:ascii="仿宋_GB2312" w:hAnsi="仿宋_GB2312" w:eastAsia="仿宋_GB2312" w:cs="仿宋_GB2312"/>
                <w:sz w:val="28"/>
                <w:szCs w:val="28"/>
              </w:rPr>
            </w:pPr>
          </w:p>
        </w:tc>
        <w:tc>
          <w:tcPr>
            <w:tcW w:w="2306" w:type="dxa"/>
            <w:vAlign w:val="top"/>
          </w:tcPr>
          <w:p w14:paraId="7DEFC883">
            <w:pPr>
              <w:pStyle w:val="12"/>
              <w:spacing w:before="27" w:line="200"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绩效信息公开(2分)</w:t>
            </w:r>
          </w:p>
        </w:tc>
        <w:tc>
          <w:tcPr>
            <w:tcW w:w="2163" w:type="dxa"/>
            <w:vAlign w:val="top"/>
          </w:tcPr>
          <w:p w14:paraId="3C897C30">
            <w:pPr>
              <w:pStyle w:val="12"/>
              <w:spacing w:before="41" w:line="181"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4D2B7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279" w:hRule="atLeast"/>
        </w:trPr>
        <w:tc>
          <w:tcPr>
            <w:tcW w:w="1869" w:type="dxa"/>
            <w:vMerge w:val="continue"/>
            <w:tcBorders>
              <w:top w:val="nil"/>
              <w:bottom w:val="nil"/>
            </w:tcBorders>
            <w:vAlign w:val="top"/>
          </w:tcPr>
          <w:p w14:paraId="535F5149">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5E8F5D62">
            <w:pPr>
              <w:pStyle w:val="12"/>
              <w:spacing w:before="157" w:line="218"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绩效评价(5分)</w:t>
            </w:r>
          </w:p>
        </w:tc>
        <w:tc>
          <w:tcPr>
            <w:tcW w:w="2306" w:type="dxa"/>
            <w:vAlign w:val="top"/>
          </w:tcPr>
          <w:p w14:paraId="75A59A92">
            <w:pPr>
              <w:pStyle w:val="12"/>
              <w:spacing w:before="67" w:line="218"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绩效评价开展(2分)</w:t>
            </w:r>
          </w:p>
        </w:tc>
        <w:tc>
          <w:tcPr>
            <w:tcW w:w="2163" w:type="dxa"/>
            <w:vAlign w:val="top"/>
          </w:tcPr>
          <w:p w14:paraId="0944AEF5">
            <w:pPr>
              <w:pStyle w:val="12"/>
              <w:spacing w:before="82" w:line="241"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44DC0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57" w:type="dxa"/>
          <w:wAfter w:w="228" w:type="dxa"/>
          <w:trHeight w:val="170" w:hRule="atLeast"/>
        </w:trPr>
        <w:tc>
          <w:tcPr>
            <w:tcW w:w="1869" w:type="dxa"/>
            <w:vMerge w:val="continue"/>
            <w:tcBorders>
              <w:top w:val="nil"/>
            </w:tcBorders>
            <w:vAlign w:val="top"/>
          </w:tcPr>
          <w:p w14:paraId="4BFFB363">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19C6146F">
            <w:pPr>
              <w:jc w:val="both"/>
              <w:rPr>
                <w:rFonts w:hint="eastAsia" w:ascii="仿宋_GB2312" w:hAnsi="仿宋_GB2312" w:eastAsia="仿宋_GB2312" w:cs="仿宋_GB2312"/>
                <w:sz w:val="28"/>
                <w:szCs w:val="28"/>
              </w:rPr>
            </w:pPr>
          </w:p>
        </w:tc>
        <w:tc>
          <w:tcPr>
            <w:tcW w:w="2306" w:type="dxa"/>
            <w:vAlign w:val="top"/>
          </w:tcPr>
          <w:p w14:paraId="7A26D592">
            <w:pPr>
              <w:pStyle w:val="12"/>
              <w:spacing w:before="18" w:line="187"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评价结果应用(3分)</w:t>
            </w:r>
          </w:p>
        </w:tc>
        <w:tc>
          <w:tcPr>
            <w:tcW w:w="2163" w:type="dxa"/>
            <w:vAlign w:val="top"/>
          </w:tcPr>
          <w:p w14:paraId="58A2BF3C">
            <w:pPr>
              <w:pStyle w:val="12"/>
              <w:spacing w:before="33" w:line="167" w:lineRule="auto"/>
              <w:ind w:left="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bl>
    <w:p w14:paraId="77BFA68B">
      <w:pPr>
        <w:spacing w:before="62"/>
        <w:ind w:left="4613"/>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p w14:paraId="7F387ABB">
      <w:pPr>
        <w:jc w:val="both"/>
        <w:rPr>
          <w:rFonts w:hint="eastAsia" w:ascii="仿宋_GB2312" w:hAnsi="仿宋_GB2312" w:eastAsia="仿宋_GB2312" w:cs="仿宋_GB2312"/>
          <w:sz w:val="32"/>
          <w:szCs w:val="32"/>
        </w:rPr>
        <w:sectPr>
          <w:pgSz w:w="11910" w:h="16840"/>
          <w:pgMar w:top="1431" w:right="1786" w:bottom="0" w:left="1786" w:header="0" w:footer="0" w:gutter="0"/>
          <w:cols w:space="720" w:num="1"/>
        </w:sectPr>
      </w:pPr>
    </w:p>
    <w:p w14:paraId="422BA561">
      <w:pPr>
        <w:spacing w:before="36"/>
        <w:jc w:val="both"/>
        <w:rPr>
          <w:rFonts w:hint="eastAsia" w:ascii="仿宋_GB2312" w:hAnsi="仿宋_GB2312" w:eastAsia="仿宋_GB2312" w:cs="仿宋_GB2312"/>
          <w:sz w:val="32"/>
          <w:szCs w:val="32"/>
        </w:rPr>
      </w:pPr>
    </w:p>
    <w:tbl>
      <w:tblPr>
        <w:tblStyle w:val="13"/>
        <w:tblW w:w="8160" w:type="dxa"/>
        <w:tblInd w:w="5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6"/>
        <w:gridCol w:w="1537"/>
        <w:gridCol w:w="2306"/>
        <w:gridCol w:w="2401"/>
      </w:tblGrid>
      <w:tr w14:paraId="2ACA2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16" w:type="dxa"/>
            <w:vMerge w:val="restart"/>
            <w:tcBorders>
              <w:bottom w:val="nil"/>
            </w:tcBorders>
            <w:vAlign w:val="top"/>
          </w:tcPr>
          <w:p w14:paraId="69F623C1">
            <w:pPr>
              <w:spacing w:line="266" w:lineRule="auto"/>
              <w:jc w:val="both"/>
              <w:rPr>
                <w:rFonts w:hint="eastAsia" w:ascii="仿宋_GB2312" w:hAnsi="仿宋_GB2312" w:eastAsia="仿宋_GB2312" w:cs="仿宋_GB2312"/>
                <w:sz w:val="28"/>
                <w:szCs w:val="28"/>
              </w:rPr>
            </w:pPr>
          </w:p>
          <w:p w14:paraId="72BEC673">
            <w:pPr>
              <w:spacing w:line="267" w:lineRule="auto"/>
              <w:jc w:val="both"/>
              <w:rPr>
                <w:rFonts w:hint="eastAsia" w:ascii="仿宋_GB2312" w:hAnsi="仿宋_GB2312" w:eastAsia="仿宋_GB2312" w:cs="仿宋_GB2312"/>
                <w:sz w:val="28"/>
                <w:szCs w:val="28"/>
              </w:rPr>
            </w:pPr>
          </w:p>
          <w:p w14:paraId="67E24DA2">
            <w:pPr>
              <w:spacing w:line="267" w:lineRule="auto"/>
              <w:jc w:val="both"/>
              <w:rPr>
                <w:rFonts w:hint="eastAsia" w:ascii="仿宋_GB2312" w:hAnsi="仿宋_GB2312" w:eastAsia="仿宋_GB2312" w:cs="仿宋_GB2312"/>
                <w:sz w:val="28"/>
                <w:szCs w:val="28"/>
              </w:rPr>
            </w:pPr>
          </w:p>
          <w:p w14:paraId="77AEC846">
            <w:pPr>
              <w:spacing w:line="267" w:lineRule="auto"/>
              <w:jc w:val="both"/>
              <w:rPr>
                <w:rFonts w:hint="eastAsia" w:ascii="仿宋_GB2312" w:hAnsi="仿宋_GB2312" w:eastAsia="仿宋_GB2312" w:cs="仿宋_GB2312"/>
                <w:sz w:val="28"/>
                <w:szCs w:val="28"/>
              </w:rPr>
            </w:pPr>
          </w:p>
          <w:p w14:paraId="07DC2418">
            <w:pPr>
              <w:pStyle w:val="12"/>
              <w:spacing w:before="46" w:line="219" w:lineRule="auto"/>
              <w:ind w:left="14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部门绩效情况</w:t>
            </w:r>
          </w:p>
          <w:p w14:paraId="362CF4E2">
            <w:pPr>
              <w:pStyle w:val="12"/>
              <w:spacing w:before="44" w:line="220" w:lineRule="auto"/>
              <w:ind w:left="354"/>
              <w:jc w:val="both"/>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(45分)</w:t>
            </w:r>
          </w:p>
        </w:tc>
        <w:tc>
          <w:tcPr>
            <w:tcW w:w="1537" w:type="dxa"/>
            <w:vMerge w:val="restart"/>
            <w:tcBorders>
              <w:bottom w:val="nil"/>
            </w:tcBorders>
            <w:vAlign w:val="top"/>
          </w:tcPr>
          <w:p w14:paraId="41C8FD64">
            <w:pPr>
              <w:spacing w:line="243" w:lineRule="auto"/>
              <w:jc w:val="both"/>
              <w:rPr>
                <w:rFonts w:hint="eastAsia" w:ascii="仿宋_GB2312" w:hAnsi="仿宋_GB2312" w:eastAsia="仿宋_GB2312" w:cs="仿宋_GB2312"/>
                <w:sz w:val="28"/>
                <w:szCs w:val="28"/>
              </w:rPr>
            </w:pPr>
          </w:p>
          <w:p w14:paraId="1FF7CABE">
            <w:pPr>
              <w:pStyle w:val="12"/>
              <w:spacing w:before="45" w:line="220" w:lineRule="auto"/>
              <w:ind w:left="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履职成效(20分)</w:t>
            </w:r>
          </w:p>
        </w:tc>
        <w:tc>
          <w:tcPr>
            <w:tcW w:w="2306" w:type="dxa"/>
            <w:vAlign w:val="top"/>
          </w:tcPr>
          <w:p w14:paraId="474CB519">
            <w:pPr>
              <w:pStyle w:val="12"/>
              <w:spacing w:before="19" w:line="185" w:lineRule="auto"/>
              <w:ind w:left="74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部门特性指标</w:t>
            </w:r>
          </w:p>
        </w:tc>
        <w:tc>
          <w:tcPr>
            <w:tcW w:w="2401" w:type="dxa"/>
            <w:vAlign w:val="top"/>
          </w:tcPr>
          <w:p w14:paraId="59AA99A8">
            <w:pPr>
              <w:pStyle w:val="12"/>
              <w:spacing w:before="33" w:line="167" w:lineRule="auto"/>
              <w:ind w:left="658"/>
              <w:jc w:val="both"/>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17</w:t>
            </w:r>
          </w:p>
        </w:tc>
      </w:tr>
      <w:tr w14:paraId="28000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16" w:type="dxa"/>
            <w:vMerge w:val="continue"/>
            <w:tcBorders>
              <w:top w:val="nil"/>
              <w:bottom w:val="nil"/>
            </w:tcBorders>
            <w:vAlign w:val="top"/>
          </w:tcPr>
          <w:p w14:paraId="3C79643E">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73ABC279">
            <w:pPr>
              <w:jc w:val="both"/>
              <w:rPr>
                <w:rFonts w:hint="eastAsia" w:ascii="仿宋_GB2312" w:hAnsi="仿宋_GB2312" w:eastAsia="仿宋_GB2312" w:cs="仿宋_GB2312"/>
                <w:sz w:val="28"/>
                <w:szCs w:val="28"/>
              </w:rPr>
            </w:pPr>
          </w:p>
        </w:tc>
        <w:tc>
          <w:tcPr>
            <w:tcW w:w="2306" w:type="dxa"/>
            <w:vAlign w:val="top"/>
          </w:tcPr>
          <w:p w14:paraId="62919832">
            <w:pPr>
              <w:spacing w:line="160" w:lineRule="exact"/>
              <w:jc w:val="both"/>
              <w:rPr>
                <w:rFonts w:hint="eastAsia" w:ascii="仿宋_GB2312" w:hAnsi="仿宋_GB2312" w:eastAsia="仿宋_GB2312" w:cs="仿宋_GB2312"/>
                <w:sz w:val="28"/>
                <w:szCs w:val="28"/>
              </w:rPr>
            </w:pPr>
          </w:p>
        </w:tc>
        <w:tc>
          <w:tcPr>
            <w:tcW w:w="2401" w:type="dxa"/>
            <w:vAlign w:val="top"/>
          </w:tcPr>
          <w:p w14:paraId="63E7541B">
            <w:pPr>
              <w:spacing w:line="160" w:lineRule="exact"/>
              <w:jc w:val="both"/>
              <w:rPr>
                <w:rFonts w:hint="eastAsia" w:ascii="仿宋_GB2312" w:hAnsi="仿宋_GB2312" w:eastAsia="仿宋_GB2312" w:cs="仿宋_GB2312"/>
                <w:sz w:val="28"/>
                <w:szCs w:val="28"/>
              </w:rPr>
            </w:pPr>
          </w:p>
        </w:tc>
      </w:tr>
      <w:tr w14:paraId="6E266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916" w:type="dxa"/>
            <w:vMerge w:val="continue"/>
            <w:tcBorders>
              <w:top w:val="nil"/>
              <w:bottom w:val="nil"/>
            </w:tcBorders>
            <w:vAlign w:val="top"/>
          </w:tcPr>
          <w:p w14:paraId="2E4C9BFA">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38E75DA4">
            <w:pPr>
              <w:jc w:val="both"/>
              <w:rPr>
                <w:rFonts w:hint="eastAsia" w:ascii="仿宋_GB2312" w:hAnsi="仿宋_GB2312" w:eastAsia="仿宋_GB2312" w:cs="仿宋_GB2312"/>
                <w:sz w:val="28"/>
                <w:szCs w:val="28"/>
              </w:rPr>
            </w:pPr>
          </w:p>
        </w:tc>
        <w:tc>
          <w:tcPr>
            <w:tcW w:w="2306" w:type="dxa"/>
            <w:vAlign w:val="top"/>
          </w:tcPr>
          <w:p w14:paraId="3E784DCE">
            <w:pPr>
              <w:spacing w:line="169" w:lineRule="exact"/>
              <w:jc w:val="both"/>
              <w:rPr>
                <w:rFonts w:hint="eastAsia" w:ascii="仿宋_GB2312" w:hAnsi="仿宋_GB2312" w:eastAsia="仿宋_GB2312" w:cs="仿宋_GB2312"/>
                <w:sz w:val="28"/>
                <w:szCs w:val="28"/>
              </w:rPr>
            </w:pPr>
          </w:p>
        </w:tc>
        <w:tc>
          <w:tcPr>
            <w:tcW w:w="2401" w:type="dxa"/>
            <w:vAlign w:val="top"/>
          </w:tcPr>
          <w:p w14:paraId="6A5EA66C">
            <w:pPr>
              <w:spacing w:line="169" w:lineRule="exact"/>
              <w:jc w:val="both"/>
              <w:rPr>
                <w:rFonts w:hint="eastAsia" w:ascii="仿宋_GB2312" w:hAnsi="仿宋_GB2312" w:eastAsia="仿宋_GB2312" w:cs="仿宋_GB2312"/>
                <w:sz w:val="28"/>
                <w:szCs w:val="28"/>
              </w:rPr>
            </w:pPr>
          </w:p>
        </w:tc>
      </w:tr>
      <w:tr w14:paraId="0DBE7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16" w:type="dxa"/>
            <w:vMerge w:val="continue"/>
            <w:tcBorders>
              <w:top w:val="nil"/>
              <w:bottom w:val="nil"/>
            </w:tcBorders>
            <w:vAlign w:val="top"/>
          </w:tcPr>
          <w:p w14:paraId="1F063E93">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6DDDF08C">
            <w:pPr>
              <w:jc w:val="both"/>
              <w:rPr>
                <w:rFonts w:hint="eastAsia" w:ascii="仿宋_GB2312" w:hAnsi="仿宋_GB2312" w:eastAsia="仿宋_GB2312" w:cs="仿宋_GB2312"/>
                <w:sz w:val="28"/>
                <w:szCs w:val="28"/>
              </w:rPr>
            </w:pPr>
          </w:p>
        </w:tc>
        <w:tc>
          <w:tcPr>
            <w:tcW w:w="2306" w:type="dxa"/>
            <w:vAlign w:val="top"/>
          </w:tcPr>
          <w:p w14:paraId="45AAEAA1">
            <w:pPr>
              <w:spacing w:line="160" w:lineRule="exact"/>
              <w:jc w:val="both"/>
              <w:rPr>
                <w:rFonts w:hint="eastAsia" w:ascii="仿宋_GB2312" w:hAnsi="仿宋_GB2312" w:eastAsia="仿宋_GB2312" w:cs="仿宋_GB2312"/>
                <w:sz w:val="28"/>
                <w:szCs w:val="28"/>
              </w:rPr>
            </w:pPr>
          </w:p>
        </w:tc>
        <w:tc>
          <w:tcPr>
            <w:tcW w:w="2401" w:type="dxa"/>
            <w:vAlign w:val="top"/>
          </w:tcPr>
          <w:p w14:paraId="0A34FC12">
            <w:pPr>
              <w:spacing w:line="160" w:lineRule="exact"/>
              <w:jc w:val="both"/>
              <w:rPr>
                <w:rFonts w:hint="eastAsia" w:ascii="仿宋_GB2312" w:hAnsi="仿宋_GB2312" w:eastAsia="仿宋_GB2312" w:cs="仿宋_GB2312"/>
                <w:sz w:val="28"/>
                <w:szCs w:val="28"/>
              </w:rPr>
            </w:pPr>
          </w:p>
        </w:tc>
      </w:tr>
      <w:tr w14:paraId="0D8C8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916" w:type="dxa"/>
            <w:vMerge w:val="continue"/>
            <w:tcBorders>
              <w:top w:val="nil"/>
              <w:bottom w:val="nil"/>
            </w:tcBorders>
            <w:vAlign w:val="top"/>
          </w:tcPr>
          <w:p w14:paraId="272F7491">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47EF2087">
            <w:pPr>
              <w:spacing w:line="282" w:lineRule="auto"/>
              <w:jc w:val="both"/>
              <w:rPr>
                <w:rFonts w:hint="eastAsia" w:ascii="仿宋_GB2312" w:hAnsi="仿宋_GB2312" w:eastAsia="仿宋_GB2312" w:cs="仿宋_GB2312"/>
                <w:sz w:val="28"/>
                <w:szCs w:val="28"/>
              </w:rPr>
            </w:pPr>
          </w:p>
          <w:p w14:paraId="212B78A5">
            <w:pPr>
              <w:pStyle w:val="12"/>
              <w:spacing w:before="46" w:line="241" w:lineRule="auto"/>
              <w:ind w:left="71" w:right="271"/>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可持续发展能力(15</w:t>
            </w:r>
            <w:r>
              <w:rPr>
                <w:rFonts w:hint="eastAsia" w:ascii="仿宋_GB2312" w:hAnsi="仿宋_GB2312" w:eastAsia="仿宋_GB2312" w:cs="仿宋_GB2312"/>
                <w:spacing w:val="2"/>
                <w:sz w:val="28"/>
                <w:szCs w:val="28"/>
              </w:rPr>
              <w:t xml:space="preserve"> </w:t>
            </w:r>
            <w:r>
              <w:rPr>
                <w:rFonts w:hint="eastAsia" w:ascii="仿宋_GB2312" w:hAnsi="仿宋_GB2312" w:eastAsia="仿宋_GB2312" w:cs="仿宋_GB2312"/>
                <w:spacing w:val="-4"/>
                <w:sz w:val="28"/>
                <w:szCs w:val="28"/>
              </w:rPr>
              <w:t>分</w:t>
            </w:r>
            <w:r>
              <w:rPr>
                <w:rFonts w:hint="eastAsia" w:ascii="仿宋_GB2312" w:hAnsi="仿宋_GB2312" w:eastAsia="仿宋_GB2312" w:cs="仿宋_GB2312"/>
                <w:spacing w:val="-27"/>
                <w:sz w:val="28"/>
                <w:szCs w:val="28"/>
              </w:rPr>
              <w:t xml:space="preserve"> </w:t>
            </w:r>
            <w:r>
              <w:rPr>
                <w:rFonts w:hint="eastAsia" w:ascii="仿宋_GB2312" w:hAnsi="仿宋_GB2312" w:eastAsia="仿宋_GB2312" w:cs="仿宋_GB2312"/>
                <w:spacing w:val="-4"/>
                <w:sz w:val="28"/>
                <w:szCs w:val="28"/>
              </w:rPr>
              <w:t>)</w:t>
            </w:r>
          </w:p>
        </w:tc>
        <w:tc>
          <w:tcPr>
            <w:tcW w:w="2306" w:type="dxa"/>
            <w:vAlign w:val="top"/>
          </w:tcPr>
          <w:p w14:paraId="6980C98D">
            <w:pPr>
              <w:pStyle w:val="12"/>
              <w:spacing w:before="20" w:line="219" w:lineRule="auto"/>
              <w:ind w:left="8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重点改革(重点工作)完成情况(5</w:t>
            </w:r>
          </w:p>
          <w:p w14:paraId="0F86FF7F">
            <w:pPr>
              <w:pStyle w:val="12"/>
              <w:spacing w:before="4" w:line="195" w:lineRule="auto"/>
              <w:ind w:left="994"/>
              <w:jc w:val="both"/>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分</w:t>
            </w:r>
            <w:r>
              <w:rPr>
                <w:rFonts w:hint="eastAsia" w:ascii="仿宋_GB2312" w:hAnsi="仿宋_GB2312" w:eastAsia="仿宋_GB2312" w:cs="仿宋_GB2312"/>
                <w:spacing w:val="-27"/>
                <w:sz w:val="28"/>
                <w:szCs w:val="28"/>
              </w:rPr>
              <w:t xml:space="preserve"> </w:t>
            </w:r>
            <w:r>
              <w:rPr>
                <w:rFonts w:hint="eastAsia" w:ascii="仿宋_GB2312" w:hAnsi="仿宋_GB2312" w:eastAsia="仿宋_GB2312" w:cs="仿宋_GB2312"/>
                <w:spacing w:val="-4"/>
                <w:sz w:val="28"/>
                <w:szCs w:val="28"/>
              </w:rPr>
              <w:t>)</w:t>
            </w:r>
          </w:p>
        </w:tc>
        <w:tc>
          <w:tcPr>
            <w:tcW w:w="2401" w:type="dxa"/>
            <w:vAlign w:val="top"/>
          </w:tcPr>
          <w:p w14:paraId="7ACEC2EC">
            <w:pPr>
              <w:pStyle w:val="12"/>
              <w:spacing w:before="54" w:line="241" w:lineRule="auto"/>
              <w:ind w:left="68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2EECA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916" w:type="dxa"/>
            <w:vMerge w:val="continue"/>
            <w:tcBorders>
              <w:top w:val="nil"/>
              <w:bottom w:val="nil"/>
            </w:tcBorders>
            <w:vAlign w:val="top"/>
          </w:tcPr>
          <w:p w14:paraId="17674E93">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144A4D4F">
            <w:pPr>
              <w:jc w:val="both"/>
              <w:rPr>
                <w:rFonts w:hint="eastAsia" w:ascii="仿宋_GB2312" w:hAnsi="仿宋_GB2312" w:eastAsia="仿宋_GB2312" w:cs="仿宋_GB2312"/>
                <w:sz w:val="28"/>
                <w:szCs w:val="28"/>
              </w:rPr>
            </w:pPr>
          </w:p>
        </w:tc>
        <w:tc>
          <w:tcPr>
            <w:tcW w:w="2306" w:type="dxa"/>
            <w:vAlign w:val="top"/>
          </w:tcPr>
          <w:p w14:paraId="6B56CCA0">
            <w:pPr>
              <w:pStyle w:val="12"/>
              <w:spacing w:before="20" w:line="219" w:lineRule="auto"/>
              <w:ind w:left="114"/>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科技(制度、方法、机制等)创新</w:t>
            </w:r>
          </w:p>
          <w:p w14:paraId="0D736AA6">
            <w:pPr>
              <w:pStyle w:val="12"/>
              <w:spacing w:before="4" w:line="194" w:lineRule="auto"/>
              <w:ind w:left="934"/>
              <w:jc w:val="both"/>
              <w:rPr>
                <w:rFonts w:hint="eastAsia" w:ascii="仿宋_GB2312" w:hAnsi="仿宋_GB2312" w:eastAsia="仿宋_GB2312" w:cs="仿宋_GB2312"/>
                <w:sz w:val="28"/>
                <w:szCs w:val="28"/>
              </w:rPr>
            </w:pPr>
            <w:r>
              <w:rPr>
                <w:rFonts w:hint="eastAsia" w:ascii="仿宋_GB2312" w:hAnsi="仿宋_GB2312" w:eastAsia="仿宋_GB2312" w:cs="仿宋_GB2312"/>
                <w:spacing w:val="7"/>
                <w:sz w:val="28"/>
                <w:szCs w:val="28"/>
              </w:rPr>
              <w:t>(5分)</w:t>
            </w:r>
          </w:p>
        </w:tc>
        <w:tc>
          <w:tcPr>
            <w:tcW w:w="2401" w:type="dxa"/>
            <w:vAlign w:val="top"/>
          </w:tcPr>
          <w:p w14:paraId="45CA4597">
            <w:pPr>
              <w:pStyle w:val="12"/>
              <w:spacing w:before="65" w:line="241" w:lineRule="auto"/>
              <w:ind w:left="66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37FD5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916" w:type="dxa"/>
            <w:vMerge w:val="continue"/>
            <w:tcBorders>
              <w:top w:val="nil"/>
              <w:bottom w:val="nil"/>
            </w:tcBorders>
            <w:vAlign w:val="top"/>
          </w:tcPr>
          <w:p w14:paraId="440969EB">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65768107">
            <w:pPr>
              <w:jc w:val="both"/>
              <w:rPr>
                <w:rFonts w:hint="eastAsia" w:ascii="仿宋_GB2312" w:hAnsi="仿宋_GB2312" w:eastAsia="仿宋_GB2312" w:cs="仿宋_GB2312"/>
                <w:sz w:val="28"/>
                <w:szCs w:val="28"/>
              </w:rPr>
            </w:pPr>
          </w:p>
        </w:tc>
        <w:tc>
          <w:tcPr>
            <w:tcW w:w="2306" w:type="dxa"/>
            <w:vAlign w:val="top"/>
          </w:tcPr>
          <w:p w14:paraId="43A9854E">
            <w:pPr>
              <w:pStyle w:val="12"/>
              <w:spacing w:before="61" w:line="219" w:lineRule="auto"/>
              <w:ind w:left="614"/>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人才培养(5分)</w:t>
            </w:r>
          </w:p>
        </w:tc>
        <w:tc>
          <w:tcPr>
            <w:tcW w:w="2401" w:type="dxa"/>
            <w:vAlign w:val="top"/>
          </w:tcPr>
          <w:p w14:paraId="7AC1EC4A">
            <w:pPr>
              <w:pStyle w:val="12"/>
              <w:spacing w:before="46"/>
              <w:ind w:left="68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r>
      <w:tr w14:paraId="5D416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916" w:type="dxa"/>
            <w:vMerge w:val="continue"/>
            <w:tcBorders>
              <w:top w:val="nil"/>
              <w:bottom w:val="nil"/>
            </w:tcBorders>
            <w:vAlign w:val="top"/>
          </w:tcPr>
          <w:p w14:paraId="736A6367">
            <w:pPr>
              <w:jc w:val="both"/>
              <w:rPr>
                <w:rFonts w:hint="eastAsia" w:ascii="仿宋_GB2312" w:hAnsi="仿宋_GB2312" w:eastAsia="仿宋_GB2312" w:cs="仿宋_GB2312"/>
                <w:sz w:val="28"/>
                <w:szCs w:val="28"/>
              </w:rPr>
            </w:pPr>
          </w:p>
        </w:tc>
        <w:tc>
          <w:tcPr>
            <w:tcW w:w="1537" w:type="dxa"/>
            <w:vMerge w:val="restart"/>
            <w:tcBorders>
              <w:bottom w:val="nil"/>
            </w:tcBorders>
            <w:vAlign w:val="top"/>
          </w:tcPr>
          <w:p w14:paraId="7BC69FCB">
            <w:pPr>
              <w:spacing w:line="316" w:lineRule="auto"/>
              <w:jc w:val="both"/>
              <w:rPr>
                <w:rFonts w:hint="eastAsia" w:ascii="仿宋_GB2312" w:hAnsi="仿宋_GB2312" w:eastAsia="仿宋_GB2312" w:cs="仿宋_GB2312"/>
                <w:sz w:val="28"/>
                <w:szCs w:val="28"/>
              </w:rPr>
            </w:pPr>
          </w:p>
          <w:p w14:paraId="715DCE2D">
            <w:pPr>
              <w:pStyle w:val="12"/>
              <w:spacing w:before="45" w:line="219" w:lineRule="auto"/>
              <w:ind w:left="261"/>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满意度(10分)</w:t>
            </w:r>
          </w:p>
        </w:tc>
        <w:tc>
          <w:tcPr>
            <w:tcW w:w="2306" w:type="dxa"/>
            <w:vAlign w:val="top"/>
          </w:tcPr>
          <w:p w14:paraId="287562DC">
            <w:pPr>
              <w:pStyle w:val="12"/>
              <w:spacing w:before="83" w:line="219" w:lineRule="auto"/>
              <w:ind w:left="41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协作部门满意度(3分)</w:t>
            </w:r>
          </w:p>
        </w:tc>
        <w:tc>
          <w:tcPr>
            <w:tcW w:w="2401" w:type="dxa"/>
            <w:vAlign w:val="top"/>
          </w:tcPr>
          <w:p w14:paraId="22FB32FC">
            <w:pPr>
              <w:pStyle w:val="12"/>
              <w:spacing w:before="57"/>
              <w:ind w:left="68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391D6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916" w:type="dxa"/>
            <w:vMerge w:val="continue"/>
            <w:tcBorders>
              <w:top w:val="nil"/>
              <w:bottom w:val="nil"/>
            </w:tcBorders>
            <w:vAlign w:val="top"/>
          </w:tcPr>
          <w:p w14:paraId="2281625A">
            <w:pPr>
              <w:jc w:val="both"/>
              <w:rPr>
                <w:rFonts w:hint="eastAsia" w:ascii="仿宋_GB2312" w:hAnsi="仿宋_GB2312" w:eastAsia="仿宋_GB2312" w:cs="仿宋_GB2312"/>
                <w:sz w:val="28"/>
                <w:szCs w:val="28"/>
              </w:rPr>
            </w:pPr>
          </w:p>
        </w:tc>
        <w:tc>
          <w:tcPr>
            <w:tcW w:w="1537" w:type="dxa"/>
            <w:vMerge w:val="continue"/>
            <w:tcBorders>
              <w:top w:val="nil"/>
              <w:bottom w:val="nil"/>
            </w:tcBorders>
            <w:vAlign w:val="top"/>
          </w:tcPr>
          <w:p w14:paraId="7E6E7D2E">
            <w:pPr>
              <w:jc w:val="both"/>
              <w:rPr>
                <w:rFonts w:hint="eastAsia" w:ascii="仿宋_GB2312" w:hAnsi="仿宋_GB2312" w:eastAsia="仿宋_GB2312" w:cs="仿宋_GB2312"/>
                <w:sz w:val="28"/>
                <w:szCs w:val="28"/>
              </w:rPr>
            </w:pPr>
          </w:p>
        </w:tc>
        <w:tc>
          <w:tcPr>
            <w:tcW w:w="2306" w:type="dxa"/>
            <w:vAlign w:val="top"/>
          </w:tcPr>
          <w:p w14:paraId="4030E5AB">
            <w:pPr>
              <w:pStyle w:val="12"/>
              <w:spacing w:before="74" w:line="219" w:lineRule="auto"/>
              <w:ind w:left="40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管理对象满意度(3分)</w:t>
            </w:r>
          </w:p>
        </w:tc>
        <w:tc>
          <w:tcPr>
            <w:tcW w:w="2401" w:type="dxa"/>
            <w:vAlign w:val="top"/>
          </w:tcPr>
          <w:p w14:paraId="67AC3287">
            <w:pPr>
              <w:pStyle w:val="12"/>
              <w:spacing w:before="38"/>
              <w:ind w:left="65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1CE17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1916" w:type="dxa"/>
            <w:vMerge w:val="continue"/>
            <w:tcBorders>
              <w:top w:val="nil"/>
            </w:tcBorders>
            <w:vAlign w:val="top"/>
          </w:tcPr>
          <w:p w14:paraId="2C1FF1FE">
            <w:pPr>
              <w:jc w:val="both"/>
              <w:rPr>
                <w:rFonts w:hint="eastAsia" w:ascii="仿宋_GB2312" w:hAnsi="仿宋_GB2312" w:eastAsia="仿宋_GB2312" w:cs="仿宋_GB2312"/>
                <w:sz w:val="28"/>
                <w:szCs w:val="28"/>
              </w:rPr>
            </w:pPr>
          </w:p>
        </w:tc>
        <w:tc>
          <w:tcPr>
            <w:tcW w:w="1537" w:type="dxa"/>
            <w:vMerge w:val="continue"/>
            <w:tcBorders>
              <w:top w:val="nil"/>
            </w:tcBorders>
            <w:vAlign w:val="top"/>
          </w:tcPr>
          <w:p w14:paraId="6D86E0AE">
            <w:pPr>
              <w:jc w:val="both"/>
              <w:rPr>
                <w:rFonts w:hint="eastAsia" w:ascii="仿宋_GB2312" w:hAnsi="仿宋_GB2312" w:eastAsia="仿宋_GB2312" w:cs="仿宋_GB2312"/>
                <w:sz w:val="28"/>
                <w:szCs w:val="28"/>
              </w:rPr>
            </w:pPr>
          </w:p>
        </w:tc>
        <w:tc>
          <w:tcPr>
            <w:tcW w:w="2306" w:type="dxa"/>
            <w:vAlign w:val="top"/>
          </w:tcPr>
          <w:p w14:paraId="11B8B56D">
            <w:pPr>
              <w:pStyle w:val="12"/>
              <w:spacing w:before="74" w:line="219" w:lineRule="auto"/>
              <w:ind w:left="414"/>
              <w:jc w:val="both"/>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社会公众满意度(4分)</w:t>
            </w:r>
          </w:p>
        </w:tc>
        <w:tc>
          <w:tcPr>
            <w:tcW w:w="2401" w:type="dxa"/>
            <w:vAlign w:val="top"/>
          </w:tcPr>
          <w:p w14:paraId="1A73B492">
            <w:pPr>
              <w:pStyle w:val="12"/>
              <w:spacing w:before="89" w:line="241" w:lineRule="auto"/>
              <w:ind w:left="678"/>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bl>
    <w:p w14:paraId="0FB086ED">
      <w:pPr>
        <w:pStyle w:val="3"/>
        <w:numPr>
          <w:numId w:val="0"/>
        </w:numPr>
        <w:spacing w:before="99" w:line="219" w:lineRule="auto"/>
        <w:ind w:firstLine="647" w:firstLineChars="200"/>
        <w:jc w:val="both"/>
        <w:rPr>
          <w:rFonts w:hint="eastAsia" w:ascii="仿宋_GB2312" w:hAnsi="仿宋_GB2312" w:eastAsia="仿宋_GB2312" w:cs="仿宋_GB2312"/>
          <w:spacing w:val="1"/>
          <w:sz w:val="32"/>
          <w:szCs w:val="32"/>
        </w:rPr>
      </w:pPr>
      <w:r>
        <w:rPr>
          <w:rFonts w:hint="eastAsia" w:ascii="仿宋_GB2312" w:hAnsi="仿宋_GB2312" w:eastAsia="仿宋_GB2312" w:cs="仿宋_GB2312"/>
          <w:b/>
          <w:bCs/>
          <w:spacing w:val="1"/>
          <w:sz w:val="32"/>
          <w:szCs w:val="32"/>
          <w:lang w:val="en-US" w:eastAsia="zh-CN"/>
        </w:rPr>
        <w:t>1.</w:t>
      </w:r>
      <w:r>
        <w:rPr>
          <w:rFonts w:hint="eastAsia" w:ascii="仿宋_GB2312" w:hAnsi="仿宋_GB2312" w:eastAsia="仿宋_GB2312" w:cs="仿宋_GB2312"/>
          <w:b/>
          <w:bCs/>
          <w:spacing w:val="1"/>
          <w:sz w:val="32"/>
          <w:szCs w:val="32"/>
        </w:rPr>
        <w:t>履职效能</w:t>
      </w:r>
      <w:r>
        <w:rPr>
          <w:rFonts w:hint="eastAsia" w:ascii="仿宋_GB2312" w:hAnsi="仿宋_GB2312" w:eastAsia="仿宋_GB2312" w:cs="仿宋_GB2312"/>
          <w:b/>
          <w:bCs/>
          <w:spacing w:val="-45"/>
          <w:sz w:val="32"/>
          <w:szCs w:val="32"/>
        </w:rPr>
        <w:t xml:space="preserve"> </w:t>
      </w:r>
      <w:r>
        <w:rPr>
          <w:rFonts w:hint="eastAsia" w:ascii="仿宋_GB2312" w:hAnsi="仿宋_GB2312" w:eastAsia="仿宋_GB2312" w:cs="仿宋_GB2312"/>
          <w:spacing w:val="1"/>
          <w:sz w:val="32"/>
          <w:szCs w:val="32"/>
        </w:rPr>
        <w:t>。我单位在工作质量、工作效率、服务对象满意</w:t>
      </w:r>
      <w:r>
        <w:rPr>
          <w:rFonts w:hint="eastAsia" w:ascii="仿宋_GB2312" w:hAnsi="仿宋_GB2312" w:eastAsia="仿宋_GB2312" w:cs="仿宋_GB2312"/>
          <w:spacing w:val="6"/>
          <w:sz w:val="32"/>
          <w:szCs w:val="32"/>
        </w:rPr>
        <w:t>度、业务能力、创新能力等五个履职效能方面进行</w:t>
      </w:r>
      <w:r>
        <w:rPr>
          <w:rFonts w:hint="eastAsia" w:ascii="仿宋_GB2312" w:hAnsi="仿宋_GB2312" w:eastAsia="仿宋_GB2312" w:cs="仿宋_GB2312"/>
          <w:spacing w:val="5"/>
          <w:sz w:val="32"/>
          <w:szCs w:val="32"/>
        </w:rPr>
        <w:t>分析，不断地学</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
          <w:sz w:val="32"/>
          <w:szCs w:val="32"/>
        </w:rPr>
        <w:t>习业务知识，来提高工作效率。</w:t>
      </w:r>
    </w:p>
    <w:p w14:paraId="5504D3BF">
      <w:pPr>
        <w:pStyle w:val="3"/>
        <w:numPr>
          <w:ilvl w:val="0"/>
          <w:numId w:val="0"/>
        </w:numPr>
        <w:spacing w:before="99" w:line="219" w:lineRule="auto"/>
        <w:ind w:firstLine="664" w:firstLineChars="200"/>
        <w:jc w:val="both"/>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6"/>
          <w:sz w:val="32"/>
          <w:szCs w:val="32"/>
          <w:lang w:val="en-US" w:eastAsia="zh-CN"/>
        </w:rPr>
        <w:t>2</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b/>
          <w:bCs/>
          <w:spacing w:val="6"/>
          <w:sz w:val="32"/>
          <w:szCs w:val="32"/>
        </w:rPr>
        <w:t>预算管理</w:t>
      </w:r>
      <w:r>
        <w:rPr>
          <w:rFonts w:hint="eastAsia" w:ascii="仿宋_GB2312" w:hAnsi="仿宋_GB2312" w:eastAsia="仿宋_GB2312" w:cs="仿宋_GB2312"/>
          <w:spacing w:val="6"/>
          <w:sz w:val="32"/>
          <w:szCs w:val="32"/>
        </w:rPr>
        <w:t>。按照综合预算的编制原则，保证预算编制质量，</w:t>
      </w:r>
      <w:r>
        <w:rPr>
          <w:rFonts w:hint="eastAsia" w:ascii="仿宋_GB2312" w:hAnsi="仿宋_GB2312" w:eastAsia="仿宋_GB2312" w:cs="仿宋_GB2312"/>
          <w:spacing w:val="16"/>
          <w:sz w:val="32"/>
          <w:szCs w:val="32"/>
        </w:rPr>
        <w:t xml:space="preserve"> </w:t>
      </w:r>
      <w:r>
        <w:rPr>
          <w:rFonts w:hint="eastAsia" w:ascii="仿宋_GB2312" w:hAnsi="仿宋_GB2312" w:eastAsia="仿宋_GB2312" w:cs="仿宋_GB2312"/>
          <w:spacing w:val="7"/>
          <w:sz w:val="32"/>
          <w:szCs w:val="32"/>
        </w:rPr>
        <w:t>我单位所有收入和支出均纳入财政预算管理，公用经费按人员数进</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7"/>
          <w:sz w:val="32"/>
          <w:szCs w:val="32"/>
        </w:rPr>
        <w:t>行编制，其它经费严格按照有关预算法执行，遵照财务制度专款专</w:t>
      </w:r>
      <w:r>
        <w:rPr>
          <w:rFonts w:hint="eastAsia" w:ascii="仿宋_GB2312" w:hAnsi="仿宋_GB2312" w:eastAsia="仿宋_GB2312" w:cs="仿宋_GB2312"/>
          <w:spacing w:val="12"/>
          <w:sz w:val="32"/>
          <w:szCs w:val="32"/>
        </w:rPr>
        <w:t xml:space="preserve"> </w:t>
      </w:r>
      <w:r>
        <w:rPr>
          <w:rFonts w:hint="eastAsia" w:ascii="仿宋_GB2312" w:hAnsi="仿宋_GB2312" w:eastAsia="仿宋_GB2312" w:cs="仿宋_GB2312"/>
          <w:spacing w:val="7"/>
          <w:sz w:val="32"/>
          <w:szCs w:val="32"/>
        </w:rPr>
        <w:t>用的相关规定，规范各项经费支出，严格执行预算执行程序，根据</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11"/>
          <w:sz w:val="32"/>
          <w:szCs w:val="32"/>
        </w:rPr>
        <w:t>(预算法》的管理制度和财务制度编制决算，做到帐</w:t>
      </w:r>
      <w:r>
        <w:rPr>
          <w:rFonts w:hint="eastAsia" w:ascii="仿宋_GB2312" w:hAnsi="仿宋_GB2312" w:eastAsia="仿宋_GB2312" w:cs="仿宋_GB2312"/>
          <w:spacing w:val="10"/>
          <w:sz w:val="32"/>
          <w:szCs w:val="32"/>
        </w:rPr>
        <w:t>证相符，帐账</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5"/>
          <w:sz w:val="32"/>
          <w:szCs w:val="32"/>
        </w:rPr>
        <w:t>相符，帐表相符和表表相符，确保决算数据的真实性、准确性和</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6"/>
          <w:sz w:val="32"/>
          <w:szCs w:val="32"/>
        </w:rPr>
        <w:t>完整性；按照财务信息公开的有关规定，对部门预算及时，全面，</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完整的在金川县人民政府网站公开，主动接受各方面的监督。</w:t>
      </w:r>
    </w:p>
    <w:p w14:paraId="6941A236">
      <w:pPr>
        <w:pStyle w:val="3"/>
        <w:spacing w:line="240" w:lineRule="auto"/>
        <w:ind w:right="0" w:firstLine="676"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3</w:t>
      </w:r>
      <w:r>
        <w:rPr>
          <w:rFonts w:hint="eastAsia" w:ascii="仿宋_GB2312" w:hAnsi="仿宋_GB2312" w:eastAsia="仿宋_GB2312" w:cs="仿宋_GB2312"/>
          <w:b/>
          <w:bCs/>
          <w:spacing w:val="9"/>
          <w:sz w:val="32"/>
          <w:szCs w:val="32"/>
        </w:rPr>
        <w:t>.财务管理。</w:t>
      </w:r>
      <w:r>
        <w:rPr>
          <w:rFonts w:hint="eastAsia" w:ascii="仿宋_GB2312" w:hAnsi="仿宋_GB2312" w:eastAsia="仿宋_GB2312" w:cs="仿宋_GB2312"/>
          <w:spacing w:val="9"/>
          <w:sz w:val="32"/>
          <w:szCs w:val="32"/>
        </w:rPr>
        <w:t>我单位所有财政资金均按预算用途使用，支出真</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8"/>
          <w:sz w:val="32"/>
          <w:szCs w:val="32"/>
        </w:rPr>
        <w:t>实合规。无违规以虚假发票报销获取费用、</w:t>
      </w:r>
      <w:r>
        <w:rPr>
          <w:rFonts w:hint="eastAsia" w:ascii="仿宋_GB2312" w:hAnsi="仿宋_GB2312" w:eastAsia="仿宋_GB2312" w:cs="仿宋_GB2312"/>
          <w:spacing w:val="7"/>
          <w:sz w:val="32"/>
          <w:szCs w:val="32"/>
        </w:rPr>
        <w:t>严格专项资金管理，做</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8"/>
          <w:sz w:val="32"/>
          <w:szCs w:val="32"/>
        </w:rPr>
        <w:t>到专款专用，无截留、挤占和挪用的行为；</w:t>
      </w:r>
      <w:r>
        <w:rPr>
          <w:rFonts w:hint="eastAsia" w:ascii="仿宋_GB2312" w:hAnsi="仿宋_GB2312" w:eastAsia="仿宋_GB2312" w:cs="仿宋_GB2312"/>
          <w:spacing w:val="7"/>
          <w:sz w:val="32"/>
          <w:szCs w:val="32"/>
        </w:rPr>
        <w:t>固定资产账实相符，核</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7"/>
          <w:sz w:val="32"/>
          <w:szCs w:val="32"/>
        </w:rPr>
        <w:t>算规范，无违规处置固定资产、截置处置收入的行为；我局资金全</w:t>
      </w:r>
      <w:r>
        <w:rPr>
          <w:rFonts w:hint="eastAsia" w:ascii="仿宋_GB2312" w:hAnsi="仿宋_GB2312" w:eastAsia="仿宋_GB2312" w:cs="仿宋_GB2312"/>
          <w:spacing w:val="18"/>
          <w:sz w:val="32"/>
          <w:szCs w:val="32"/>
        </w:rPr>
        <w:t xml:space="preserve"> </w:t>
      </w:r>
      <w:r>
        <w:rPr>
          <w:rFonts w:hint="eastAsia" w:ascii="仿宋_GB2312" w:hAnsi="仿宋_GB2312" w:eastAsia="仿宋_GB2312" w:cs="仿宋_GB2312"/>
          <w:spacing w:val="-8"/>
          <w:sz w:val="32"/>
          <w:szCs w:val="32"/>
        </w:rPr>
        <w:t>部统一管理和核算，无“小金库”。</w:t>
      </w:r>
      <w:r>
        <w:rPr>
          <w:rFonts w:hint="eastAsia" w:ascii="仿宋_GB2312" w:hAnsi="仿宋_GB2312" w:eastAsia="仿宋_GB2312" w:cs="仿宋_GB2312"/>
          <w:spacing w:val="1"/>
          <w:sz w:val="32"/>
          <w:szCs w:val="32"/>
        </w:rPr>
        <w:t>严格执行“收支两条线”的财务管理规定，严格执行“双签”制</w:t>
      </w:r>
      <w:r>
        <w:rPr>
          <w:rFonts w:hint="eastAsia" w:ascii="仿宋_GB2312" w:hAnsi="仿宋_GB2312" w:eastAsia="仿宋_GB2312" w:cs="仿宋_GB2312"/>
          <w:spacing w:val="7"/>
          <w:sz w:val="32"/>
          <w:szCs w:val="32"/>
        </w:rPr>
        <w:t xml:space="preserve"> </w:t>
      </w:r>
      <w:r>
        <w:rPr>
          <w:rFonts w:hint="eastAsia" w:ascii="仿宋_GB2312" w:hAnsi="仿宋_GB2312" w:eastAsia="仿宋_GB2312" w:cs="仿宋_GB2312"/>
          <w:spacing w:val="8"/>
          <w:sz w:val="32"/>
          <w:szCs w:val="32"/>
        </w:rPr>
        <w:t>度，即分管领导和部门负责人双签，严把财务程序，要求财务人员</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8"/>
          <w:sz w:val="32"/>
          <w:szCs w:val="32"/>
        </w:rPr>
        <w:t>对于不合理、不规范的票据坚决不予入账，会计资料真实完整，会</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z w:val="32"/>
          <w:szCs w:val="32"/>
        </w:rPr>
        <w:t>计核算合格。</w:t>
      </w:r>
    </w:p>
    <w:p w14:paraId="49B3F340">
      <w:pPr>
        <w:pStyle w:val="3"/>
        <w:spacing w:line="240" w:lineRule="auto"/>
        <w:ind w:right="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drawing>
          <wp:anchor distT="0" distB="0" distL="0" distR="0" simplePos="0" relativeHeight="251660288" behindDoc="0" locked="0" layoutInCell="1" allowOverlap="1">
            <wp:simplePos x="0" y="0"/>
            <wp:positionH relativeFrom="column">
              <wp:posOffset>2264410</wp:posOffset>
            </wp:positionH>
            <wp:positionV relativeFrom="paragraph">
              <wp:posOffset>154305</wp:posOffset>
            </wp:positionV>
            <wp:extent cx="908050" cy="812800"/>
            <wp:effectExtent l="0" t="0" r="6350" b="635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
                    <a:stretch>
                      <a:fillRect/>
                    </a:stretch>
                  </pic:blipFill>
                  <pic:spPr>
                    <a:xfrm>
                      <a:off x="0" y="0"/>
                      <a:ext cx="908053" cy="812830"/>
                    </a:xfrm>
                    <a:prstGeom prst="rect">
                      <a:avLst/>
                    </a:prstGeom>
                  </pic:spPr>
                </pic:pic>
              </a:graphicData>
            </a:graphic>
          </wp:anchor>
        </w:drawing>
      </w:r>
      <w:r>
        <w:rPr>
          <w:rFonts w:hint="eastAsia" w:ascii="仿宋_GB2312" w:hAnsi="仿宋_GB2312" w:eastAsia="仿宋_GB2312" w:cs="仿宋_GB2312"/>
          <w:spacing w:val="13"/>
          <w:sz w:val="32"/>
          <w:szCs w:val="32"/>
        </w:rPr>
        <w:t>我局分别设会计、出纳人员各1名，实际工作中，</w:t>
      </w:r>
      <w:r>
        <w:rPr>
          <w:rFonts w:hint="eastAsia" w:ascii="仿宋_GB2312" w:hAnsi="仿宋_GB2312" w:eastAsia="仿宋_GB2312" w:cs="仿宋_GB2312"/>
          <w:spacing w:val="12"/>
          <w:sz w:val="32"/>
          <w:szCs w:val="32"/>
        </w:rPr>
        <w:t>会计、出纳</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7"/>
          <w:sz w:val="32"/>
          <w:szCs w:val="32"/>
        </w:rPr>
        <w:t>各负其责，各司其职、相互制约。在经费管理中，建立规章制度，</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6"/>
          <w:sz w:val="32"/>
          <w:szCs w:val="32"/>
        </w:rPr>
        <w:t>严格按照“逐级”审批原则，从严控制，紧缩支出。</w:t>
      </w:r>
    </w:p>
    <w:p w14:paraId="71B5255C">
      <w:pPr>
        <w:pStyle w:val="3"/>
        <w:spacing w:line="240" w:lineRule="auto"/>
        <w:ind w:right="0" w:firstLine="656"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4</w:t>
      </w:r>
      <w:r>
        <w:rPr>
          <w:rFonts w:hint="eastAsia" w:ascii="仿宋_GB2312" w:hAnsi="仿宋_GB2312" w:eastAsia="仿宋_GB2312" w:cs="仿宋_GB2312"/>
          <w:b/>
          <w:bCs/>
          <w:spacing w:val="4"/>
          <w:sz w:val="32"/>
          <w:szCs w:val="32"/>
        </w:rPr>
        <w:t>.资产管理。</w:t>
      </w:r>
      <w:r>
        <w:rPr>
          <w:rFonts w:hint="eastAsia" w:ascii="仿宋_GB2312" w:hAnsi="仿宋_GB2312" w:eastAsia="仿宋_GB2312" w:cs="仿宋_GB2312"/>
          <w:spacing w:val="4"/>
          <w:sz w:val="32"/>
          <w:szCs w:val="32"/>
        </w:rPr>
        <w:t>我局严格按照资产管理规定，对资产进行登记。</w:t>
      </w:r>
      <w:r>
        <w:rPr>
          <w:rFonts w:hint="eastAsia" w:ascii="仿宋_GB2312" w:hAnsi="仿宋_GB2312" w:eastAsia="仿宋_GB2312" w:cs="仿宋_GB2312"/>
          <w:spacing w:val="12"/>
          <w:sz w:val="32"/>
          <w:szCs w:val="32"/>
        </w:rPr>
        <w:t xml:space="preserve"> </w:t>
      </w:r>
      <w:r>
        <w:rPr>
          <w:rFonts w:hint="eastAsia" w:ascii="仿宋_GB2312" w:hAnsi="仿宋_GB2312" w:eastAsia="仿宋_GB2312" w:cs="仿宋_GB2312"/>
          <w:spacing w:val="5"/>
          <w:sz w:val="32"/>
          <w:szCs w:val="32"/>
        </w:rPr>
        <w:t>处置、报废等严格按照资产处置程序执行，无违规进行购置、处置</w:t>
      </w:r>
      <w:r>
        <w:rPr>
          <w:rFonts w:hint="eastAsia" w:ascii="仿宋_GB2312" w:hAnsi="仿宋_GB2312" w:eastAsia="仿宋_GB2312" w:cs="仿宋_GB2312"/>
          <w:spacing w:val="8"/>
          <w:sz w:val="32"/>
          <w:szCs w:val="32"/>
        </w:rPr>
        <w:t xml:space="preserve"> </w:t>
      </w:r>
      <w:r>
        <w:rPr>
          <w:rFonts w:hint="eastAsia" w:ascii="仿宋_GB2312" w:hAnsi="仿宋_GB2312" w:eastAsia="仿宋_GB2312" w:cs="仿宋_GB2312"/>
          <w:spacing w:val="6"/>
          <w:sz w:val="32"/>
          <w:szCs w:val="32"/>
        </w:rPr>
        <w:t>的情况。固定资产按科学合理、优化资产结构、勤俭节约的原则和</w:t>
      </w:r>
      <w:r>
        <w:rPr>
          <w:rFonts w:hint="eastAsia" w:ascii="仿宋_GB2312" w:hAnsi="仿宋_GB2312" w:eastAsia="仿宋_GB2312" w:cs="仿宋_GB2312"/>
          <w:spacing w:val="17"/>
          <w:sz w:val="32"/>
          <w:szCs w:val="32"/>
        </w:rPr>
        <w:t xml:space="preserve"> </w:t>
      </w:r>
      <w:r>
        <w:rPr>
          <w:rFonts w:hint="eastAsia" w:ascii="仿宋_GB2312" w:hAnsi="仿宋_GB2312" w:eastAsia="仿宋_GB2312" w:cs="仿宋_GB2312"/>
          <w:spacing w:val="15"/>
          <w:sz w:val="32"/>
          <w:szCs w:val="32"/>
        </w:rPr>
        <w:t>专门的资产管理系统进行管理，截止2024年1</w:t>
      </w:r>
      <w:r>
        <w:rPr>
          <w:rFonts w:hint="eastAsia" w:ascii="仿宋_GB2312" w:hAnsi="仿宋_GB2312" w:eastAsia="仿宋_GB2312" w:cs="仿宋_GB2312"/>
          <w:spacing w:val="14"/>
          <w:sz w:val="32"/>
          <w:szCs w:val="32"/>
        </w:rPr>
        <w:t>2月31日，年末总</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7"/>
          <w:sz w:val="32"/>
          <w:szCs w:val="32"/>
        </w:rPr>
        <w:t>资产账面金额417264.68元，固定资产账面数据和固定资产管理系</w:t>
      </w:r>
      <w:r>
        <w:rPr>
          <w:rFonts w:hint="eastAsia" w:ascii="仿宋_GB2312" w:hAnsi="仿宋_GB2312" w:eastAsia="仿宋_GB2312" w:cs="仿宋_GB2312"/>
          <w:spacing w:val="6"/>
          <w:sz w:val="32"/>
          <w:szCs w:val="32"/>
        </w:rPr>
        <w:t xml:space="preserve"> </w:t>
      </w:r>
      <w:r>
        <w:rPr>
          <w:rFonts w:hint="eastAsia" w:ascii="仿宋_GB2312" w:hAnsi="仿宋_GB2312" w:eastAsia="仿宋_GB2312" w:cs="仿宋_GB2312"/>
          <w:spacing w:val="1"/>
          <w:sz w:val="32"/>
          <w:szCs w:val="32"/>
        </w:rPr>
        <w:t>统数据一致。</w:t>
      </w:r>
    </w:p>
    <w:p w14:paraId="79BEEE94">
      <w:pPr>
        <w:pStyle w:val="3"/>
        <w:spacing w:before="161" w:line="298" w:lineRule="auto"/>
        <w:ind w:right="750" w:firstLine="671"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7"/>
          <w:sz w:val="32"/>
          <w:szCs w:val="32"/>
        </w:rPr>
        <w:t>5.采购管理</w:t>
      </w:r>
      <w:r>
        <w:rPr>
          <w:rFonts w:hint="eastAsia" w:ascii="仿宋_GB2312" w:hAnsi="仿宋_GB2312" w:eastAsia="仿宋_GB2312" w:cs="仿宋_GB2312"/>
          <w:spacing w:val="7"/>
          <w:sz w:val="32"/>
          <w:szCs w:val="32"/>
        </w:rPr>
        <w:t>。进行政府采购的资产严格按采购程序采购并登记</w:t>
      </w:r>
      <w:r>
        <w:rPr>
          <w:rFonts w:hint="eastAsia" w:ascii="仿宋_GB2312" w:hAnsi="仿宋_GB2312" w:eastAsia="仿宋_GB2312" w:cs="仿宋_GB2312"/>
          <w:spacing w:val="15"/>
          <w:sz w:val="32"/>
          <w:szCs w:val="32"/>
        </w:rPr>
        <w:t xml:space="preserve"> </w:t>
      </w:r>
      <w:r>
        <w:rPr>
          <w:rFonts w:hint="eastAsia" w:ascii="仿宋_GB2312" w:hAnsi="仿宋_GB2312" w:eastAsia="仿宋_GB2312" w:cs="仿宋_GB2312"/>
          <w:spacing w:val="7"/>
          <w:sz w:val="32"/>
          <w:szCs w:val="32"/>
        </w:rPr>
        <w:t xml:space="preserve">入账，零星采购严格按固定资产管理办法进行登记入账。2024年政 </w:t>
      </w:r>
      <w:r>
        <w:rPr>
          <w:rFonts w:hint="eastAsia" w:ascii="仿宋_GB2312" w:hAnsi="仿宋_GB2312" w:eastAsia="仿宋_GB2312" w:cs="仿宋_GB2312"/>
          <w:spacing w:val="17"/>
          <w:sz w:val="32"/>
          <w:szCs w:val="32"/>
        </w:rPr>
        <w:t>府采购项目0个.</w:t>
      </w:r>
    </w:p>
    <w:p w14:paraId="16C99B50">
      <w:pPr>
        <w:spacing w:before="123" w:line="224" w:lineRule="auto"/>
        <w:ind w:firstLine="683"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10"/>
          <w:sz w:val="32"/>
          <w:szCs w:val="32"/>
        </w:rPr>
        <w:t>(二)部门预算项目绩效分析。</w:t>
      </w:r>
    </w:p>
    <w:p w14:paraId="732A1F46">
      <w:pPr>
        <w:pStyle w:val="3"/>
        <w:spacing w:line="240" w:lineRule="auto"/>
        <w:ind w:right="0" w:firstLine="71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8"/>
          <w:sz w:val="32"/>
          <w:szCs w:val="32"/>
        </w:rPr>
        <w:t>阶段(一次性)项目绩效分析。该类项目总数1</w:t>
      </w:r>
      <w:r>
        <w:rPr>
          <w:rFonts w:hint="eastAsia" w:ascii="仿宋_GB2312" w:hAnsi="仿宋_GB2312" w:eastAsia="仿宋_GB2312" w:cs="仿宋_GB2312"/>
          <w:spacing w:val="17"/>
          <w:sz w:val="32"/>
          <w:szCs w:val="32"/>
        </w:rPr>
        <w:t>个，涉及预算</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3"/>
          <w:sz w:val="32"/>
          <w:szCs w:val="32"/>
        </w:rPr>
        <w:t>总金额1.27万元，1—12月预算执行总体进度为100%.</w:t>
      </w:r>
    </w:p>
    <w:p w14:paraId="7CBD7614">
      <w:pPr>
        <w:pStyle w:val="3"/>
        <w:spacing w:line="240" w:lineRule="auto"/>
        <w:ind w:right="0" w:firstLine="65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4"/>
          <w:sz w:val="32"/>
          <w:szCs w:val="32"/>
        </w:rPr>
        <w:t>1.项目决策。</w:t>
      </w:r>
      <w:r>
        <w:rPr>
          <w:rFonts w:hint="eastAsia" w:ascii="仿宋_GB2312" w:hAnsi="仿宋_GB2312" w:eastAsia="仿宋_GB2312" w:cs="仿宋_GB2312"/>
          <w:spacing w:val="4"/>
          <w:sz w:val="32"/>
          <w:szCs w:val="32"/>
        </w:rPr>
        <w:t>项目设立、调整延续等方面符合</w:t>
      </w:r>
      <w:r>
        <w:rPr>
          <w:rFonts w:hint="eastAsia" w:ascii="仿宋_GB2312" w:hAnsi="仿宋_GB2312" w:eastAsia="仿宋_GB2312" w:cs="仿宋_GB2312"/>
          <w:spacing w:val="3"/>
          <w:sz w:val="32"/>
          <w:szCs w:val="32"/>
        </w:rPr>
        <w:t>资金管理基本规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范和决策程序要求，项目规划符合中央、省委省政府有关决策部署</w:t>
      </w:r>
      <w:r>
        <w:rPr>
          <w:rFonts w:hint="eastAsia" w:ascii="仿宋_GB2312" w:hAnsi="仿宋_GB2312" w:eastAsia="仿宋_GB2312" w:cs="仿宋_GB2312"/>
          <w:spacing w:val="5"/>
          <w:sz w:val="32"/>
          <w:szCs w:val="32"/>
        </w:rPr>
        <w:t>安排，充分评估论证项目立项必要性、前瞻性、合理性和可行性，</w:t>
      </w:r>
      <w:r>
        <w:rPr>
          <w:rFonts w:hint="eastAsia" w:ascii="仿宋_GB2312" w:hAnsi="仿宋_GB2312" w:eastAsia="仿宋_GB2312" w:cs="仿宋_GB2312"/>
          <w:spacing w:val="9"/>
          <w:sz w:val="32"/>
          <w:szCs w:val="32"/>
        </w:rPr>
        <w:t xml:space="preserve"> </w:t>
      </w:r>
      <w:r>
        <w:rPr>
          <w:rFonts w:hint="eastAsia" w:ascii="仿宋_GB2312" w:hAnsi="仿宋_GB2312" w:eastAsia="仿宋_GB2312" w:cs="仿宋_GB2312"/>
          <w:spacing w:val="6"/>
          <w:sz w:val="32"/>
          <w:szCs w:val="32"/>
        </w:rPr>
        <w:t>绩效目标科学合理、规范完整、量化细化、预算匹配，项目资金与</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7"/>
          <w:sz w:val="32"/>
          <w:szCs w:val="32"/>
        </w:rPr>
        <w:t>项目总体规划、相关行业事业发展相匹配，是聚焦重大任务、重点</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z w:val="32"/>
          <w:szCs w:val="32"/>
        </w:rPr>
        <w:t>领域、重点环节和重点项目，属于政府支持范围，且符合财政事权</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6"/>
          <w:sz w:val="32"/>
          <w:szCs w:val="32"/>
        </w:rPr>
        <w:t>支出责任划分规定，资金投向与项目总体规划、相关行业事业发展</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相匹配；聚焦重大任务、重点领域、重点环节和重点</w:t>
      </w:r>
      <w:r>
        <w:rPr>
          <w:rFonts w:hint="eastAsia" w:ascii="仿宋_GB2312" w:hAnsi="仿宋_GB2312" w:eastAsia="仿宋_GB2312" w:cs="仿宋_GB2312"/>
          <w:spacing w:val="5"/>
          <w:sz w:val="32"/>
          <w:szCs w:val="32"/>
        </w:rPr>
        <w:t>项目，体现</w:t>
      </w:r>
      <w:r>
        <w:rPr>
          <w:rFonts w:hint="eastAsia" w:ascii="仿宋_GB2312" w:hAnsi="仿宋_GB2312" w:eastAsia="仿宋_GB2312" w:cs="仿宋_GB2312"/>
          <w:spacing w:val="-2"/>
          <w:sz w:val="32"/>
          <w:szCs w:val="32"/>
        </w:rPr>
        <w:t>“集中财力办大事”原则，避免“撒胡椒面”;未与其他同类项目或部</w:t>
      </w:r>
      <w:r>
        <w:rPr>
          <w:rFonts w:hint="eastAsia" w:ascii="仿宋_GB2312" w:hAnsi="仿宋_GB2312" w:eastAsia="仿宋_GB2312" w:cs="仿宋_GB2312"/>
          <w:spacing w:val="15"/>
          <w:sz w:val="32"/>
          <w:szCs w:val="32"/>
        </w:rPr>
        <w:t xml:space="preserve"> </w:t>
      </w:r>
      <w:r>
        <w:rPr>
          <w:rFonts w:hint="eastAsia" w:ascii="仿宋_GB2312" w:hAnsi="仿宋_GB2312" w:eastAsia="仿宋_GB2312" w:cs="仿宋_GB2312"/>
          <w:spacing w:val="6"/>
          <w:sz w:val="32"/>
          <w:szCs w:val="32"/>
        </w:rPr>
        <w:t>门内部相关项目交叉重复。项目制度办法体系健全、要素完备，按</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4"/>
          <w:sz w:val="32"/>
          <w:szCs w:val="32"/>
        </w:rPr>
        <w:t>照单位需求程序进行项目登记，项目入库。</w:t>
      </w:r>
    </w:p>
    <w:p w14:paraId="414C7D10">
      <w:pPr>
        <w:pStyle w:val="3"/>
        <w:spacing w:line="240" w:lineRule="auto"/>
        <w:ind w:right="0" w:firstLine="66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5"/>
          <w:sz w:val="32"/>
          <w:szCs w:val="32"/>
        </w:rPr>
        <w:t>2.项目执行</w:t>
      </w:r>
      <w:r>
        <w:rPr>
          <w:rFonts w:hint="eastAsia" w:ascii="仿宋_GB2312" w:hAnsi="仿宋_GB2312" w:eastAsia="仿宋_GB2312" w:cs="仿宋_GB2312"/>
          <w:spacing w:val="5"/>
          <w:sz w:val="32"/>
          <w:szCs w:val="32"/>
        </w:rPr>
        <w:t>。单位项目资金属于财政拨付、单位执行，资金使用</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6"/>
          <w:sz w:val="32"/>
          <w:szCs w:val="32"/>
        </w:rPr>
        <w:t>拨付、项目实施符合规定，项目资金使用、拨付是符合国家财</w:t>
      </w:r>
      <w:r>
        <w:rPr>
          <w:rFonts w:hint="eastAsia" w:ascii="仿宋_GB2312" w:hAnsi="仿宋_GB2312" w:eastAsia="仿宋_GB2312" w:cs="仿宋_GB2312"/>
          <w:spacing w:val="5"/>
          <w:sz w:val="32"/>
          <w:szCs w:val="32"/>
        </w:rPr>
        <w:t>经法</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规、财务管理制度及有关专项资金管理制度办法规定和审批程序，</w:t>
      </w:r>
      <w:r>
        <w:rPr>
          <w:rFonts w:hint="eastAsia" w:ascii="仿宋_GB2312" w:hAnsi="仿宋_GB2312" w:eastAsia="仿宋_GB2312" w:cs="仿宋_GB2312"/>
          <w:spacing w:val="17"/>
          <w:sz w:val="32"/>
          <w:szCs w:val="32"/>
        </w:rPr>
        <w:t xml:space="preserve"> </w:t>
      </w:r>
      <w:r>
        <w:rPr>
          <w:rFonts w:hint="eastAsia" w:ascii="仿宋_GB2312" w:hAnsi="仿宋_GB2312" w:eastAsia="仿宋_GB2312" w:cs="仿宋_GB2312"/>
          <w:spacing w:val="6"/>
          <w:sz w:val="32"/>
          <w:szCs w:val="32"/>
        </w:rPr>
        <w:t>不存在超范围、超标准、超进度使用专项资金，不存在资金损失浪</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费、长期沉淀、截留、挤占、挪用、虚列支出等情况，项目完成预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期目标，实施结果与绩效目标相匹配。第一年未完成的项目，按项</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3"/>
          <w:sz w:val="32"/>
          <w:szCs w:val="32"/>
        </w:rPr>
        <w:t>目进展情况进行项目调整、预算追加等。</w:t>
      </w:r>
    </w:p>
    <w:p w14:paraId="076D3B06">
      <w:pPr>
        <w:pStyle w:val="3"/>
        <w:spacing w:line="240" w:lineRule="auto"/>
        <w:ind w:right="0" w:firstLine="651"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3.</w:t>
      </w:r>
      <w:r>
        <w:rPr>
          <w:rFonts w:hint="eastAsia" w:ascii="仿宋_GB2312" w:hAnsi="仿宋_GB2312" w:eastAsia="仿宋_GB2312" w:cs="仿宋_GB2312"/>
          <w:b/>
          <w:bCs/>
          <w:spacing w:val="-45"/>
          <w:sz w:val="32"/>
          <w:szCs w:val="32"/>
        </w:rPr>
        <w:t xml:space="preserve"> </w:t>
      </w:r>
      <w:r>
        <w:rPr>
          <w:rFonts w:hint="eastAsia" w:ascii="仿宋_GB2312" w:hAnsi="仿宋_GB2312" w:eastAsia="仿宋_GB2312" w:cs="仿宋_GB2312"/>
          <w:b/>
          <w:bCs/>
          <w:spacing w:val="2"/>
          <w:sz w:val="32"/>
          <w:szCs w:val="32"/>
        </w:rPr>
        <w:t>目标实现。</w:t>
      </w:r>
      <w:r>
        <w:rPr>
          <w:rFonts w:hint="eastAsia" w:ascii="仿宋_GB2312" w:hAnsi="仿宋_GB2312" w:eastAsia="仿宋_GB2312" w:cs="仿宋_GB2312"/>
          <w:spacing w:val="2"/>
          <w:sz w:val="32"/>
          <w:szCs w:val="32"/>
        </w:rPr>
        <w:t>项目在合同约定时间内完成预期目标，实施结果</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2"/>
          <w:sz w:val="32"/>
          <w:szCs w:val="32"/>
        </w:rPr>
        <w:t>与绩效目标相匹配。</w:t>
      </w:r>
    </w:p>
    <w:p w14:paraId="7BE9D9BF">
      <w:pPr>
        <w:pStyle w:val="3"/>
        <w:spacing w:line="240" w:lineRule="auto"/>
        <w:ind w:right="0" w:firstLine="72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21"/>
          <w:sz w:val="32"/>
          <w:szCs w:val="32"/>
        </w:rPr>
        <w:t>(三)绩效结果应用情况。遵照财务制度专款专用的相</w:t>
      </w:r>
      <w:r>
        <w:rPr>
          <w:rFonts w:hint="eastAsia" w:ascii="仿宋_GB2312" w:hAnsi="仿宋_GB2312" w:eastAsia="仿宋_GB2312" w:cs="仿宋_GB2312"/>
          <w:spacing w:val="20"/>
          <w:sz w:val="32"/>
          <w:szCs w:val="32"/>
        </w:rPr>
        <w:t>关规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0"/>
          <w:sz w:val="32"/>
          <w:szCs w:val="32"/>
        </w:rPr>
        <w:t>定，规范各项经费支出，严格执行预算执行程序，根据(预算法》</w:t>
      </w:r>
      <w:r>
        <w:rPr>
          <w:rFonts w:hint="eastAsia" w:ascii="仿宋_GB2312" w:hAnsi="仿宋_GB2312" w:eastAsia="仿宋_GB2312" w:cs="仿宋_GB2312"/>
          <w:spacing w:val="18"/>
          <w:sz w:val="32"/>
          <w:szCs w:val="32"/>
        </w:rPr>
        <w:t xml:space="preserve"> </w:t>
      </w:r>
      <w:r>
        <w:rPr>
          <w:rFonts w:hint="eastAsia" w:ascii="仿宋_GB2312" w:hAnsi="仿宋_GB2312" w:eastAsia="仿宋_GB2312" w:cs="仿宋_GB2312"/>
          <w:spacing w:val="8"/>
          <w:sz w:val="32"/>
          <w:szCs w:val="32"/>
        </w:rPr>
        <w:t>的管理制度和财务制度编制决算，做到帐证相符，帐</w:t>
      </w:r>
      <w:r>
        <w:rPr>
          <w:rFonts w:hint="eastAsia" w:ascii="仿宋_GB2312" w:hAnsi="仿宋_GB2312" w:eastAsia="仿宋_GB2312" w:cs="仿宋_GB2312"/>
          <w:spacing w:val="7"/>
          <w:sz w:val="32"/>
          <w:szCs w:val="32"/>
        </w:rPr>
        <w:t>账相符，帐表</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8"/>
          <w:sz w:val="32"/>
          <w:szCs w:val="32"/>
        </w:rPr>
        <w:t>相符和表表相符，确保决算数据的真实性、准确性和完整性</w:t>
      </w:r>
      <w:r>
        <w:rPr>
          <w:rFonts w:hint="eastAsia" w:ascii="仿宋_GB2312" w:hAnsi="仿宋_GB2312" w:eastAsia="仿宋_GB2312" w:cs="仿宋_GB2312"/>
          <w:spacing w:val="7"/>
          <w:sz w:val="32"/>
          <w:szCs w:val="32"/>
        </w:rPr>
        <w:t>；按照</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8"/>
          <w:sz w:val="32"/>
          <w:szCs w:val="32"/>
        </w:rPr>
        <w:t>财务信息公开的有关规定，对部门预算及时，全面，完整的在金川</w:t>
      </w:r>
      <w:r>
        <w:rPr>
          <w:rFonts w:hint="eastAsia" w:ascii="仿宋_GB2312" w:hAnsi="仿宋_GB2312" w:eastAsia="仿宋_GB2312" w:cs="仿宋_GB2312"/>
          <w:spacing w:val="14"/>
          <w:sz w:val="32"/>
          <w:szCs w:val="32"/>
        </w:rPr>
        <w:t xml:space="preserve"> </w:t>
      </w:r>
      <w:r>
        <w:rPr>
          <w:rFonts w:hint="eastAsia" w:ascii="仿宋_GB2312" w:hAnsi="仿宋_GB2312" w:eastAsia="仿宋_GB2312" w:cs="仿宋_GB2312"/>
          <w:spacing w:val="8"/>
          <w:sz w:val="32"/>
          <w:szCs w:val="32"/>
        </w:rPr>
        <w:t>县人民政府网站公开，主动接受各方面的监督。在财务方面</w:t>
      </w:r>
      <w:r>
        <w:rPr>
          <w:rFonts w:hint="eastAsia" w:ascii="仿宋_GB2312" w:hAnsi="仿宋_GB2312" w:eastAsia="仿宋_GB2312" w:cs="仿宋_GB2312"/>
          <w:spacing w:val="7"/>
          <w:sz w:val="32"/>
          <w:szCs w:val="32"/>
        </w:rPr>
        <w:t>存在的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2"/>
          <w:sz w:val="32"/>
          <w:szCs w:val="32"/>
        </w:rPr>
        <w:t>问题，及时整改、纠正。</w:t>
      </w:r>
    </w:p>
    <w:p w14:paraId="6DCCFDC5">
      <w:pPr>
        <w:spacing w:before="65" w:line="223" w:lineRule="auto"/>
        <w:ind w:firstLine="687"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11"/>
          <w:sz w:val="32"/>
          <w:szCs w:val="32"/>
        </w:rPr>
        <w:t>四、评价结论及建议</w:t>
      </w:r>
    </w:p>
    <w:p w14:paraId="40E5839F">
      <w:pPr>
        <w:pStyle w:val="3"/>
        <w:spacing w:before="152" w:line="222" w:lineRule="auto"/>
        <w:ind w:firstLine="651" w:firstLineChars="200"/>
        <w:jc w:val="both"/>
        <w:outlineLvl w:val="4"/>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rPr>
        <w:t>(一)评价结论。</w:t>
      </w:r>
    </w:p>
    <w:p w14:paraId="78905CEB">
      <w:pPr>
        <w:pStyle w:val="3"/>
        <w:spacing w:line="240" w:lineRule="auto"/>
        <w:ind w:right="0" w:firstLine="1038" w:firstLineChars="300"/>
        <w:jc w:val="both"/>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3"/>
          <w:sz w:val="32"/>
          <w:szCs w:val="32"/>
        </w:rPr>
        <w:t>根据金财监绩〔2025〕35号文件的附件1部门支出绩效评价指标</w:t>
      </w:r>
      <w:r>
        <w:rPr>
          <w:rFonts w:hint="eastAsia" w:ascii="仿宋_GB2312" w:hAnsi="仿宋_GB2312" w:eastAsia="仿宋_GB2312" w:cs="仿宋_GB2312"/>
          <w:spacing w:val="18"/>
          <w:sz w:val="32"/>
          <w:szCs w:val="32"/>
        </w:rPr>
        <w:t xml:space="preserve"> </w:t>
      </w:r>
      <w:r>
        <w:rPr>
          <w:rFonts w:hint="eastAsia" w:ascii="仿宋_GB2312" w:hAnsi="仿宋_GB2312" w:eastAsia="仿宋_GB2312" w:cs="仿宋_GB2312"/>
          <w:spacing w:val="4"/>
          <w:sz w:val="32"/>
          <w:szCs w:val="32"/>
        </w:rPr>
        <w:t>体系进行单位自评，圆满完成绩效自评工作，圆满完成中央、省、州委</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z w:val="32"/>
          <w:szCs w:val="32"/>
        </w:rPr>
        <w:t>和县的重要工作、目标任务。</w:t>
      </w:r>
      <w:r>
        <w:rPr>
          <w:rFonts w:hint="eastAsia" w:ascii="仿宋_GB2312" w:hAnsi="仿宋_GB2312" w:eastAsia="仿宋_GB2312" w:cs="仿宋_GB2312"/>
          <w:spacing w:val="12"/>
          <w:sz w:val="32"/>
          <w:szCs w:val="32"/>
        </w:rPr>
        <w:t>本单位总体评价内容内实际得分87分(见附件1)。</w:t>
      </w:r>
    </w:p>
    <w:p w14:paraId="4E9BC527">
      <w:pPr>
        <w:pStyle w:val="3"/>
        <w:spacing w:line="240" w:lineRule="auto"/>
        <w:ind w:right="0" w:firstLine="63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1"/>
          <w:sz w:val="32"/>
          <w:szCs w:val="32"/>
        </w:rPr>
        <w:t>(二)存在问题及建议。</w:t>
      </w:r>
    </w:p>
    <w:p w14:paraId="5C2F7EE0">
      <w:pPr>
        <w:pStyle w:val="3"/>
        <w:spacing w:line="240" w:lineRule="auto"/>
        <w:ind w:right="0" w:firstLine="656"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一是预算经费支出进度较缓；二是部门决算上报处理效率还需继续</w:t>
      </w:r>
      <w:r>
        <w:rPr>
          <w:rFonts w:hint="eastAsia" w:ascii="仿宋_GB2312" w:hAnsi="仿宋_GB2312" w:eastAsia="仿宋_GB2312" w:cs="仿宋_GB2312"/>
          <w:spacing w:val="7"/>
          <w:sz w:val="32"/>
          <w:szCs w:val="32"/>
        </w:rPr>
        <w:t xml:space="preserve"> </w:t>
      </w:r>
      <w:r>
        <w:rPr>
          <w:rFonts w:hint="eastAsia" w:ascii="仿宋_GB2312" w:hAnsi="仿宋_GB2312" w:eastAsia="仿宋_GB2312" w:cs="仿宋_GB2312"/>
          <w:spacing w:val="4"/>
          <w:sz w:val="32"/>
          <w:szCs w:val="32"/>
        </w:rPr>
        <w:t>提升；三是加快完成机关财务管理规章制度建设、加强会计核算</w:t>
      </w:r>
      <w:r>
        <w:rPr>
          <w:rFonts w:hint="eastAsia" w:ascii="仿宋_GB2312" w:hAnsi="仿宋_GB2312" w:eastAsia="仿宋_GB2312" w:cs="仿宋_GB2312"/>
          <w:spacing w:val="3"/>
          <w:sz w:val="32"/>
          <w:szCs w:val="32"/>
        </w:rPr>
        <w:t>和财务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管理能力，及时与县财政局相关科室对接工作，提升工作效率；四是我</w:t>
      </w:r>
      <w:r>
        <w:rPr>
          <w:rFonts w:hint="eastAsia" w:ascii="仿宋_GB2312" w:hAnsi="仿宋_GB2312" w:eastAsia="仿宋_GB2312" w:cs="仿宋_GB2312"/>
          <w:spacing w:val="3"/>
          <w:sz w:val="32"/>
          <w:szCs w:val="32"/>
        </w:rPr>
        <w:t xml:space="preserve"> </w:t>
      </w:r>
      <w:r>
        <w:rPr>
          <w:rFonts w:hint="eastAsia" w:ascii="仿宋_GB2312" w:hAnsi="仿宋_GB2312" w:eastAsia="仿宋_GB2312" w:cs="仿宋_GB2312"/>
          <w:spacing w:val="4"/>
          <w:sz w:val="32"/>
          <w:szCs w:val="32"/>
        </w:rPr>
        <w:t>单位公用经费按编制数核定少于实有人数；五是我单位的工商联干部以</w:t>
      </w:r>
      <w:r>
        <w:rPr>
          <w:rFonts w:hint="eastAsia" w:ascii="仿宋_GB2312" w:hAnsi="仿宋_GB2312" w:eastAsia="仿宋_GB2312" w:cs="仿宋_GB2312"/>
          <w:spacing w:val="8"/>
          <w:sz w:val="32"/>
          <w:szCs w:val="32"/>
        </w:rPr>
        <w:t xml:space="preserve"> </w:t>
      </w:r>
      <w:r>
        <w:rPr>
          <w:rFonts w:hint="eastAsia" w:ascii="仿宋_GB2312" w:hAnsi="仿宋_GB2312" w:eastAsia="仿宋_GB2312" w:cs="仿宋_GB2312"/>
          <w:spacing w:val="4"/>
          <w:sz w:val="32"/>
          <w:szCs w:val="32"/>
        </w:rPr>
        <w:t>及会员考察经费、工商联按每年《章程》召开执委会的经费都未纳入财</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10"/>
          <w:sz w:val="32"/>
          <w:szCs w:val="32"/>
        </w:rPr>
        <w:t>政部门预算；六是我单位的公务用车是2010年州财政局把其他单位的</w:t>
      </w:r>
      <w:r>
        <w:rPr>
          <w:rFonts w:hint="eastAsia" w:ascii="仿宋_GB2312" w:hAnsi="仿宋_GB2312" w:eastAsia="仿宋_GB2312" w:cs="仿宋_GB2312"/>
          <w:spacing w:val="8"/>
          <w:sz w:val="32"/>
          <w:szCs w:val="32"/>
        </w:rPr>
        <w:t xml:space="preserve"> </w:t>
      </w:r>
      <w:r>
        <w:rPr>
          <w:rFonts w:hint="eastAsia" w:ascii="仿宋_GB2312" w:hAnsi="仿宋_GB2312" w:eastAsia="仿宋_GB2312" w:cs="仿宋_GB2312"/>
          <w:spacing w:val="10"/>
          <w:sz w:val="32"/>
          <w:szCs w:val="32"/>
        </w:rPr>
        <w:t>公务车划拨给我们的，车龄已15年有余，且本单位无驾驶员，每次公</w:t>
      </w:r>
      <w:r>
        <w:rPr>
          <w:rFonts w:hint="eastAsia" w:ascii="仿宋_GB2312" w:hAnsi="仿宋_GB2312" w:eastAsia="仿宋_GB2312" w:cs="仿宋_GB2312"/>
          <w:spacing w:val="13"/>
          <w:sz w:val="32"/>
          <w:szCs w:val="32"/>
        </w:rPr>
        <w:t xml:space="preserve"> </w:t>
      </w:r>
      <w:r>
        <w:rPr>
          <w:rFonts w:hint="eastAsia" w:ascii="仿宋_GB2312" w:hAnsi="仿宋_GB2312" w:eastAsia="仿宋_GB2312" w:cs="仿宋_GB2312"/>
          <w:spacing w:val="4"/>
          <w:sz w:val="32"/>
          <w:szCs w:val="32"/>
        </w:rPr>
        <w:t>务用车需聘请临时劳务人员或请其他单位驾驶员，由此产生较大劳务费</w:t>
      </w:r>
      <w:r>
        <w:rPr>
          <w:rFonts w:hint="eastAsia" w:ascii="仿宋_GB2312" w:hAnsi="仿宋_GB2312" w:eastAsia="仿宋_GB2312" w:cs="仿宋_GB2312"/>
          <w:spacing w:val="9"/>
          <w:sz w:val="32"/>
          <w:szCs w:val="32"/>
        </w:rPr>
        <w:t xml:space="preserve"> </w:t>
      </w:r>
      <w:r>
        <w:rPr>
          <w:rFonts w:hint="eastAsia" w:ascii="仿宋_GB2312" w:hAnsi="仿宋_GB2312" w:eastAsia="仿宋_GB2312" w:cs="仿宋_GB2312"/>
          <w:spacing w:val="2"/>
          <w:sz w:val="32"/>
          <w:szCs w:val="32"/>
        </w:rPr>
        <w:t>用也未计入，故我单位的公务用车维护、保养经费严重不足。</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7"/>
        <w:gridCol w:w="258"/>
        <w:gridCol w:w="393"/>
        <w:gridCol w:w="393"/>
        <w:gridCol w:w="393"/>
        <w:gridCol w:w="258"/>
        <w:gridCol w:w="1296"/>
        <w:gridCol w:w="1293"/>
        <w:gridCol w:w="1302"/>
        <w:gridCol w:w="1296"/>
        <w:gridCol w:w="1323"/>
        <w:gridCol w:w="218"/>
      </w:tblGrid>
      <w:tr w14:paraId="37B7D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8" w:hRule="atLeast"/>
        </w:trPr>
        <w:tc>
          <w:tcPr>
            <w:tcW w:w="2626" w:type="pct"/>
            <w:gridSpan w:val="11"/>
            <w:tcBorders>
              <w:top w:val="nil"/>
              <w:left w:val="single" w:color="000000" w:sz="4" w:space="0"/>
              <w:bottom w:val="nil"/>
              <w:right w:val="single" w:color="000000" w:sz="4" w:space="0"/>
            </w:tcBorders>
            <w:shd w:val="clear" w:color="auto" w:fill="auto"/>
            <w:noWrap/>
            <w:vAlign w:val="center"/>
          </w:tcPr>
          <w:p w14:paraId="558E4A49">
            <w:pPr>
              <w:spacing w:line="560" w:lineRule="exact"/>
              <w:rPr>
                <w:rFonts w:eastAsia="仿宋_GB2312"/>
                <w:b w:val="0"/>
                <w:sz w:val="32"/>
                <w:szCs w:val="24"/>
              </w:rPr>
            </w:pPr>
            <w:r>
              <w:rPr>
                <w:b w:val="0"/>
                <w:sz w:val="32"/>
                <w:szCs w:val="24"/>
              </w:rPr>
              <w:t>附表</w:t>
            </w:r>
          </w:p>
          <w:tbl>
            <w:tblPr>
              <w:tblStyle w:val="5"/>
              <w:tblW w:w="9031" w:type="dxa"/>
              <w:jc w:val="center"/>
              <w:tblLayout w:type="autofit"/>
              <w:tblCellMar>
                <w:top w:w="15" w:type="dxa"/>
                <w:left w:w="15" w:type="dxa"/>
                <w:bottom w:w="15" w:type="dxa"/>
                <w:right w:w="15" w:type="dxa"/>
              </w:tblCellMar>
            </w:tblPr>
            <w:tblGrid>
              <w:gridCol w:w="9031"/>
            </w:tblGrid>
            <w:tr w14:paraId="52BC9C5F">
              <w:tblPrEx>
                <w:tblCellMar>
                  <w:top w:w="15" w:type="dxa"/>
                  <w:left w:w="15" w:type="dxa"/>
                  <w:bottom w:w="15" w:type="dxa"/>
                  <w:right w:w="15" w:type="dxa"/>
                </w:tblCellMar>
              </w:tblPrEx>
              <w:trPr>
                <w:trHeight w:val="762" w:hRule="exact"/>
                <w:jc w:val="center"/>
              </w:trPr>
              <w:tc>
                <w:tcPr>
                  <w:tcW w:w="9029" w:type="dxa"/>
                  <w:noWrap w:val="0"/>
                  <w:vAlign w:val="center"/>
                </w:tcPr>
                <w:p w14:paraId="4EA23225">
                  <w:pPr>
                    <w:widowControl/>
                    <w:spacing w:line="560" w:lineRule="exact"/>
                    <w:jc w:val="center"/>
                    <w:textAlignment w:val="center"/>
                    <w:rPr>
                      <w:rFonts w:eastAsia="方正小标宋简体"/>
                      <w:b w:val="0"/>
                      <w:color w:val="000000"/>
                      <w:kern w:val="0"/>
                      <w:sz w:val="32"/>
                      <w:szCs w:val="32"/>
                      <w:lang w:bidi="ar"/>
                    </w:rPr>
                  </w:pPr>
                  <w:r>
                    <w:rPr>
                      <w:rFonts w:eastAsia="方正小标宋简体"/>
                      <w:b w:val="0"/>
                      <w:color w:val="000000"/>
                      <w:kern w:val="0"/>
                      <w:sz w:val="32"/>
                      <w:szCs w:val="32"/>
                      <w:lang w:bidi="ar"/>
                    </w:rPr>
                    <w:t>部门整体支出绩效目标完成情况自评表</w:t>
                  </w:r>
                </w:p>
              </w:tc>
            </w:tr>
          </w:tbl>
          <w:p w14:paraId="210F84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3E4E92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2AB41C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97A3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预算年度:2024</w:t>
            </w:r>
          </w:p>
        </w:tc>
        <w:tc>
          <w:tcPr>
            <w:tcW w:w="2373" w:type="pct"/>
            <w:tcBorders>
              <w:top w:val="nil"/>
              <w:left w:val="single" w:color="000000" w:sz="4" w:space="0"/>
              <w:bottom w:val="nil"/>
              <w:right w:val="single" w:color="000000" w:sz="4" w:space="0"/>
            </w:tcBorders>
            <w:shd w:val="clear" w:color="auto" w:fill="auto"/>
            <w:noWrap/>
            <w:vAlign w:val="center"/>
          </w:tcPr>
          <w:p w14:paraId="7DD145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7AD5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2" w:hRule="atLeast"/>
        </w:trPr>
        <w:tc>
          <w:tcPr>
            <w:tcW w:w="255" w:type="pct"/>
            <w:gridSpan w:val="2"/>
            <w:tcBorders>
              <w:top w:val="nil"/>
              <w:left w:val="single" w:color="000000" w:sz="4" w:space="0"/>
              <w:bottom w:val="single" w:color="000000" w:sz="4" w:space="0"/>
              <w:right w:val="nil"/>
            </w:tcBorders>
            <w:shd w:val="clear" w:color="auto" w:fill="FFFFFF"/>
            <w:vAlign w:val="center"/>
          </w:tcPr>
          <w:p w14:paraId="6C5BB5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预算（单位）名称：</w:t>
            </w:r>
          </w:p>
        </w:tc>
        <w:tc>
          <w:tcPr>
            <w:tcW w:w="1625" w:type="pct"/>
            <w:gridSpan w:val="7"/>
            <w:tcBorders>
              <w:top w:val="nil"/>
              <w:left w:val="nil"/>
              <w:bottom w:val="single" w:color="000000" w:sz="4" w:space="0"/>
              <w:right w:val="nil"/>
            </w:tcBorders>
            <w:shd w:val="clear" w:color="auto" w:fill="FFFFFF"/>
            <w:vAlign w:val="center"/>
          </w:tcPr>
          <w:p w14:paraId="607BD4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115-金川县工商业联合会本级</w:t>
            </w:r>
          </w:p>
        </w:tc>
        <w:tc>
          <w:tcPr>
            <w:tcW w:w="745" w:type="pct"/>
            <w:gridSpan w:val="2"/>
            <w:tcBorders>
              <w:top w:val="nil"/>
              <w:left w:val="nil"/>
              <w:bottom w:val="single" w:color="000000" w:sz="4" w:space="0"/>
              <w:right w:val="single" w:color="000000" w:sz="4" w:space="0"/>
            </w:tcBorders>
            <w:shd w:val="clear" w:color="auto" w:fill="FFFFFF"/>
            <w:vAlign w:val="center"/>
          </w:tcPr>
          <w:p w14:paraId="6BEA043A">
            <w:pPr>
              <w:keepNext w:val="0"/>
              <w:keepLines w:val="0"/>
              <w:widowControl/>
              <w:suppressLineNumbers w:val="0"/>
              <w:jc w:val="right"/>
              <w:textAlignment w:val="center"/>
              <w:rPr>
                <w:rFonts w:hint="eastAsia" w:ascii="宋体" w:hAnsi="宋体" w:eastAsia="宋体" w:cs="宋体"/>
                <w:b/>
                <w:bCs/>
                <w:i w:val="0"/>
                <w:iCs w:val="0"/>
                <w:color w:val="FF0000"/>
                <w:sz w:val="22"/>
                <w:szCs w:val="22"/>
                <w:u w:val="none"/>
              </w:rPr>
            </w:pPr>
          </w:p>
        </w:tc>
        <w:tc>
          <w:tcPr>
            <w:tcW w:w="2373" w:type="pct"/>
            <w:tcBorders>
              <w:top w:val="nil"/>
              <w:left w:val="nil"/>
              <w:bottom w:val="single" w:color="000000" w:sz="4" w:space="0"/>
              <w:right w:val="single" w:color="000000" w:sz="4" w:space="0"/>
            </w:tcBorders>
            <w:shd w:val="clear" w:color="auto" w:fill="FFFFFF"/>
            <w:vAlign w:val="center"/>
          </w:tcPr>
          <w:p w14:paraId="7D9F03BD">
            <w:pPr>
              <w:keepNext w:val="0"/>
              <w:keepLines w:val="0"/>
              <w:widowControl/>
              <w:suppressLineNumbers w:val="0"/>
              <w:jc w:val="right"/>
              <w:textAlignment w:val="center"/>
              <w:rPr>
                <w:rFonts w:hint="eastAsia" w:ascii="宋体" w:hAnsi="宋体" w:eastAsia="宋体" w:cs="宋体"/>
                <w:b/>
                <w:bCs/>
                <w:i w:val="0"/>
                <w:iCs w:val="0"/>
                <w:color w:val="FF0000"/>
                <w:sz w:val="22"/>
                <w:szCs w:val="22"/>
                <w:u w:val="none"/>
              </w:rPr>
            </w:pPr>
          </w:p>
        </w:tc>
      </w:tr>
      <w:tr w14:paraId="59DB9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255"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26DB2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总体资金情况（元）</w:t>
            </w:r>
          </w:p>
        </w:tc>
        <w:tc>
          <w:tcPr>
            <w:tcW w:w="127" w:type="pct"/>
            <w:vMerge w:val="restart"/>
            <w:tcBorders>
              <w:top w:val="nil"/>
              <w:left w:val="single" w:color="000000" w:sz="4" w:space="0"/>
              <w:bottom w:val="single" w:color="000000" w:sz="4" w:space="0"/>
              <w:right w:val="single" w:color="000000" w:sz="4" w:space="0"/>
            </w:tcBorders>
            <w:shd w:val="clear" w:color="auto" w:fill="FFFFFF"/>
            <w:vAlign w:val="center"/>
          </w:tcPr>
          <w:p w14:paraId="302CB2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预算支出总额</w:t>
            </w:r>
          </w:p>
        </w:tc>
        <w:tc>
          <w:tcPr>
            <w:tcW w:w="755" w:type="pct"/>
            <w:gridSpan w:val="4"/>
            <w:tcBorders>
              <w:top w:val="nil"/>
              <w:left w:val="single" w:color="000000" w:sz="4" w:space="0"/>
              <w:bottom w:val="single" w:color="000000" w:sz="4" w:space="0"/>
              <w:right w:val="single" w:color="000000" w:sz="4" w:space="0"/>
            </w:tcBorders>
            <w:shd w:val="clear" w:color="auto" w:fill="FFFFFF"/>
            <w:vAlign w:val="center"/>
          </w:tcPr>
          <w:p w14:paraId="4187F2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87" w:type="pct"/>
            <w:gridSpan w:val="4"/>
            <w:tcBorders>
              <w:top w:val="nil"/>
              <w:left w:val="single" w:color="000000" w:sz="4" w:space="0"/>
              <w:bottom w:val="single" w:color="000000" w:sz="4" w:space="0"/>
              <w:right w:val="single" w:color="000000" w:sz="4" w:space="0"/>
            </w:tcBorders>
            <w:shd w:val="clear" w:color="auto" w:fill="auto"/>
            <w:vAlign w:val="center"/>
          </w:tcPr>
          <w:p w14:paraId="7F7911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373" w:type="pct"/>
            <w:tcBorders>
              <w:top w:val="nil"/>
              <w:left w:val="single" w:color="000000" w:sz="4" w:space="0"/>
              <w:bottom w:val="single" w:color="000000" w:sz="4" w:space="0"/>
              <w:right w:val="single" w:color="000000" w:sz="4" w:space="0"/>
            </w:tcBorders>
            <w:shd w:val="clear" w:color="auto" w:fill="auto"/>
            <w:vAlign w:val="center"/>
          </w:tcPr>
          <w:p w14:paraId="03629A97">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r>
      <w:tr w14:paraId="7D449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255"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1901CEFD">
            <w:pPr>
              <w:jc w:val="center"/>
              <w:rPr>
                <w:rFonts w:hint="eastAsia" w:ascii="宋体" w:hAnsi="宋体" w:eastAsia="宋体" w:cs="宋体"/>
                <w:i w:val="0"/>
                <w:iCs w:val="0"/>
                <w:color w:val="000000"/>
                <w:sz w:val="22"/>
                <w:szCs w:val="22"/>
                <w:u w:val="none"/>
              </w:rPr>
            </w:pPr>
          </w:p>
        </w:tc>
        <w:tc>
          <w:tcPr>
            <w:tcW w:w="127" w:type="pct"/>
            <w:vMerge w:val="continue"/>
            <w:tcBorders>
              <w:top w:val="nil"/>
              <w:left w:val="single" w:color="000000" w:sz="4" w:space="0"/>
              <w:bottom w:val="single" w:color="000000" w:sz="4" w:space="0"/>
              <w:right w:val="single" w:color="000000" w:sz="4" w:space="0"/>
            </w:tcBorders>
            <w:shd w:val="clear" w:color="auto" w:fill="FFFFFF"/>
            <w:vAlign w:val="center"/>
          </w:tcPr>
          <w:p w14:paraId="34E65CFA">
            <w:pPr>
              <w:jc w:val="center"/>
              <w:rPr>
                <w:rFonts w:hint="eastAsia" w:ascii="宋体" w:hAnsi="宋体" w:eastAsia="宋体" w:cs="宋体"/>
                <w:b/>
                <w:bCs/>
                <w:i w:val="0"/>
                <w:iCs w:val="0"/>
                <w:color w:val="000000"/>
                <w:sz w:val="22"/>
                <w:szCs w:val="22"/>
                <w:u w:val="none"/>
              </w:rPr>
            </w:pP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30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52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D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专户资金</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BB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单位资金</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A3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95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9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专户资金</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9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单位资金</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B86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EE0F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5"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77F6B2CE">
            <w:pPr>
              <w:jc w:val="center"/>
              <w:rPr>
                <w:rFonts w:hint="eastAsia" w:ascii="宋体" w:hAnsi="宋体" w:eastAsia="宋体" w:cs="宋体"/>
                <w:i w:val="0"/>
                <w:iCs w:val="0"/>
                <w:color w:val="000000"/>
                <w:sz w:val="22"/>
                <w:szCs w:val="22"/>
                <w:u w:val="none"/>
              </w:rPr>
            </w:pPr>
          </w:p>
        </w:tc>
        <w:tc>
          <w:tcPr>
            <w:tcW w:w="1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A214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961258.84 </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97A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961258.84 </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3C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961258.84 </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5A830">
            <w:pPr>
              <w:jc w:val="right"/>
              <w:rPr>
                <w:rFonts w:hint="eastAsia" w:ascii="宋体" w:hAnsi="宋体" w:eastAsia="宋体" w:cs="宋体"/>
                <w:i w:val="0"/>
                <w:iCs w:val="0"/>
                <w:color w:val="000000"/>
                <w:sz w:val="22"/>
                <w:szCs w:val="22"/>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DEED7">
            <w:pPr>
              <w:jc w:val="right"/>
              <w:rPr>
                <w:rFonts w:hint="eastAsia" w:ascii="宋体" w:hAnsi="宋体" w:eastAsia="宋体" w:cs="宋体"/>
                <w:i w:val="0"/>
                <w:iCs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F3598">
            <w:pPr>
              <w:jc w:val="right"/>
              <w:rPr>
                <w:rFonts w:hint="eastAsia" w:ascii="宋体" w:hAnsi="宋体" w:eastAsia="宋体" w:cs="宋体"/>
                <w:i w:val="0"/>
                <w:iCs w:val="0"/>
                <w:color w:val="000000"/>
                <w:sz w:val="22"/>
                <w:szCs w:val="22"/>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BF78">
            <w:pPr>
              <w:jc w:val="right"/>
              <w:rPr>
                <w:rFonts w:hint="eastAsia" w:ascii="宋体" w:hAnsi="宋体" w:eastAsia="宋体" w:cs="宋体"/>
                <w:i w:val="0"/>
                <w:iCs w:val="0"/>
                <w:color w:val="000000"/>
                <w:sz w:val="22"/>
                <w:szCs w:val="22"/>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44E01">
            <w:pPr>
              <w:jc w:val="right"/>
              <w:rPr>
                <w:rFonts w:hint="eastAsia" w:ascii="宋体" w:hAnsi="宋体" w:eastAsia="宋体" w:cs="宋体"/>
                <w:i w:val="0"/>
                <w:iCs w:val="0"/>
                <w:color w:val="000000"/>
                <w:sz w:val="22"/>
                <w:szCs w:val="22"/>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45DF">
            <w:pPr>
              <w:jc w:val="right"/>
              <w:rPr>
                <w:rFonts w:hint="eastAsia" w:ascii="宋体" w:hAnsi="宋体" w:eastAsia="宋体" w:cs="宋体"/>
                <w:i w:val="0"/>
                <w:iCs w:val="0"/>
                <w:color w:val="000000"/>
                <w:sz w:val="22"/>
                <w:szCs w:val="22"/>
                <w:u w:val="none"/>
              </w:rPr>
            </w:pP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BFD64">
            <w:pPr>
              <w:jc w:val="right"/>
              <w:rPr>
                <w:rFonts w:hint="eastAsia" w:ascii="宋体" w:hAnsi="宋体" w:eastAsia="宋体" w:cs="宋体"/>
                <w:i w:val="0"/>
                <w:iCs w:val="0"/>
                <w:color w:val="000000"/>
                <w:sz w:val="22"/>
                <w:szCs w:val="22"/>
                <w:u w:val="none"/>
              </w:rPr>
            </w:pPr>
          </w:p>
        </w:tc>
      </w:tr>
      <w:tr w14:paraId="581C9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E8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整体绩效目标</w:t>
            </w:r>
          </w:p>
        </w:tc>
        <w:tc>
          <w:tcPr>
            <w:tcW w:w="2370" w:type="pct"/>
            <w:gridSpan w:val="9"/>
            <w:tcBorders>
              <w:top w:val="single" w:color="000000" w:sz="4" w:space="0"/>
              <w:left w:val="single" w:color="000000" w:sz="4" w:space="0"/>
              <w:bottom w:val="single" w:color="000000" w:sz="4" w:space="0"/>
              <w:right w:val="single" w:color="000000" w:sz="4" w:space="0"/>
            </w:tcBorders>
            <w:shd w:val="clear" w:color="auto" w:fill="auto"/>
            <w:vAlign w:val="top"/>
          </w:tcPr>
          <w:p w14:paraId="25DE58B4">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1、做好“城乡结对共建”活动，深入开展习总书记系列重要讲话精神宣讲。2、召开成都金川商会“情系家乡话发展”迎春茶花会； 3、加强对成都金川商会指导工作，协调组建商会发展公司；4、做好社会扶贫推进协调服务，积极与成都金川商会对接，让商会会员积极参与对口帮扶；5、加强非公企业调研，及时向县委政府提出合理化建议；为会员提过培训，建立交流考察平台；6、办好《金川人》期刊；7、加强非公经济理论宣传、信息工作，进一步提升工作水平，同时加强部门自身建设。8、加强非公企业党建工作。 </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top"/>
          </w:tcPr>
          <w:p w14:paraId="427355E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p>
        </w:tc>
      </w:tr>
      <w:tr w14:paraId="3826A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39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年度主要任务</w:t>
            </w:r>
          </w:p>
        </w:tc>
        <w:tc>
          <w:tcPr>
            <w:tcW w:w="51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CFA9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任务名称</w:t>
            </w:r>
          </w:p>
        </w:tc>
        <w:tc>
          <w:tcPr>
            <w:tcW w:w="185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7B7D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主要内容</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D66C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r>
      <w:tr w14:paraId="0C552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73B9E">
            <w:pPr>
              <w:jc w:val="center"/>
              <w:rPr>
                <w:rFonts w:hint="eastAsia" w:ascii="宋体" w:hAnsi="宋体" w:eastAsia="宋体" w:cs="宋体"/>
                <w:i w:val="0"/>
                <w:iCs w:val="0"/>
                <w:color w:val="000000"/>
                <w:sz w:val="22"/>
                <w:szCs w:val="22"/>
                <w:u w:val="none"/>
              </w:rPr>
            </w:pPr>
          </w:p>
        </w:tc>
        <w:tc>
          <w:tcPr>
            <w:tcW w:w="51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4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非公经济事务</w:t>
            </w:r>
          </w:p>
        </w:tc>
        <w:tc>
          <w:tcPr>
            <w:tcW w:w="1859"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44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做好非公有制经济代表人士政治安排的推荐工作。参与政治协商，发挥民族监督作用，积极参政议政。</w:t>
            </w:r>
          </w:p>
        </w:tc>
        <w:tc>
          <w:tcPr>
            <w:tcW w:w="2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19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9C61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5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79A76">
            <w:pPr>
              <w:jc w:val="center"/>
              <w:rPr>
                <w:rFonts w:hint="eastAsia" w:ascii="宋体" w:hAnsi="宋体" w:eastAsia="宋体" w:cs="宋体"/>
                <w:i w:val="0"/>
                <w:iCs w:val="0"/>
                <w:color w:val="000000"/>
                <w:sz w:val="22"/>
                <w:szCs w:val="22"/>
                <w:u w:val="none"/>
              </w:rPr>
            </w:pPr>
          </w:p>
        </w:tc>
        <w:tc>
          <w:tcPr>
            <w:tcW w:w="51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BA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商会事务</w:t>
            </w:r>
          </w:p>
        </w:tc>
        <w:tc>
          <w:tcPr>
            <w:tcW w:w="1859"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12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与政府相关的经济活动，广泛联系各地工商界人士，开展民间外交，推动经贸交流和协作，促进和谐社会建设。指导本会直属商会工作，积极参与参与社会组织建设工作，促进行业协会商会改革发展。为会员提供政策信息、人才交流培训等服务。组织会员企业参加各类经贸活动，外出参观考察，帮助会员企业拓展市场。</w:t>
            </w:r>
          </w:p>
        </w:tc>
        <w:tc>
          <w:tcPr>
            <w:tcW w:w="2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FA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9E09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BE6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整</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体</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绩</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效</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情</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况</w:t>
            </w:r>
          </w:p>
        </w:tc>
        <w:tc>
          <w:tcPr>
            <w:tcW w:w="2498" w:type="pct"/>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FFA2DB2">
            <w:pPr>
              <w:keepNext w:val="0"/>
              <w:keepLines w:val="0"/>
              <w:widowControl/>
              <w:suppressLineNumbers w:val="0"/>
              <w:jc w:val="center"/>
              <w:textAlignment w:val="center"/>
              <w:rPr>
                <w:rFonts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年度绩效指标</w:t>
            </w:r>
          </w:p>
        </w:tc>
        <w:tc>
          <w:tcPr>
            <w:tcW w:w="23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D32BF">
            <w:pPr>
              <w:keepNext w:val="0"/>
              <w:keepLines w:val="0"/>
              <w:widowControl/>
              <w:suppressLineNumbers w:val="0"/>
              <w:jc w:val="center"/>
              <w:textAlignment w:val="center"/>
              <w:rPr>
                <w:rFonts w:hint="eastAsia" w:ascii="微软雅黑" w:hAnsi="微软雅黑" w:eastAsia="微软雅黑" w:cs="微软雅黑"/>
                <w:b/>
                <w:bCs/>
                <w:i w:val="0"/>
                <w:iCs w:val="0"/>
                <w:color w:val="808080"/>
                <w:kern w:val="0"/>
                <w:sz w:val="28"/>
                <w:szCs w:val="28"/>
                <w:u w:val="none"/>
                <w:lang w:val="en-US" w:eastAsia="zh-CN" w:bidi="ar"/>
              </w:rPr>
            </w:pPr>
          </w:p>
        </w:tc>
      </w:tr>
      <w:tr w14:paraId="7C863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96A73">
            <w:pPr>
              <w:jc w:val="center"/>
              <w:rPr>
                <w:rFonts w:hint="eastAsia" w:ascii="宋体" w:hAnsi="宋体" w:eastAsia="宋体" w:cs="宋体"/>
                <w:b/>
                <w:bCs/>
                <w:i w:val="0"/>
                <w:iCs w:val="0"/>
                <w:color w:val="000000"/>
                <w:sz w:val="22"/>
                <w:szCs w:val="22"/>
                <w:u w:val="none"/>
              </w:rPr>
            </w:pP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43E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255" w:type="pct"/>
            <w:gridSpan w:val="2"/>
            <w:tcBorders>
              <w:top w:val="single" w:color="000000" w:sz="4" w:space="0"/>
              <w:left w:val="single" w:color="000000" w:sz="4" w:space="0"/>
              <w:bottom w:val="nil"/>
              <w:right w:val="single" w:color="000000" w:sz="4" w:space="0"/>
            </w:tcBorders>
            <w:shd w:val="clear" w:color="auto" w:fill="auto"/>
            <w:vAlign w:val="center"/>
          </w:tcPr>
          <w:p w14:paraId="324BA4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627" w:type="pct"/>
            <w:gridSpan w:val="3"/>
            <w:tcBorders>
              <w:top w:val="single" w:color="000000" w:sz="4" w:space="0"/>
              <w:left w:val="single" w:color="000000" w:sz="4" w:space="0"/>
              <w:bottom w:val="nil"/>
              <w:right w:val="single" w:color="000000" w:sz="4" w:space="0"/>
            </w:tcBorders>
            <w:shd w:val="clear" w:color="auto" w:fill="auto"/>
            <w:vAlign w:val="center"/>
          </w:tcPr>
          <w:p w14:paraId="7077DA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三级指标</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759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绩效指标性质</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11A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绩效指标值</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6CE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绩效度量单位</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C6F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权重</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434EB">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r>
      <w:tr w14:paraId="2E5C5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CDA15">
            <w:pPr>
              <w:jc w:val="center"/>
              <w:rPr>
                <w:rFonts w:hint="eastAsia" w:ascii="宋体" w:hAnsi="宋体" w:eastAsia="宋体" w:cs="宋体"/>
                <w:b/>
                <w:bCs/>
                <w:i w:val="0"/>
                <w:iCs w:val="0"/>
                <w:color w:val="000000"/>
                <w:sz w:val="22"/>
                <w:szCs w:val="22"/>
                <w:u w:val="none"/>
              </w:rPr>
            </w:pPr>
          </w:p>
        </w:tc>
        <w:tc>
          <w:tcPr>
            <w:tcW w:w="127" w:type="pct"/>
            <w:vMerge w:val="restart"/>
            <w:tcBorders>
              <w:top w:val="single" w:color="000000" w:sz="4" w:space="0"/>
              <w:left w:val="single" w:color="000000" w:sz="4" w:space="0"/>
              <w:bottom w:val="single" w:color="000000" w:sz="4" w:space="0"/>
              <w:right w:val="nil"/>
            </w:tcBorders>
            <w:shd w:val="clear" w:color="auto" w:fill="auto"/>
            <w:vAlign w:val="center"/>
          </w:tcPr>
          <w:p w14:paraId="35A1E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27" w:type="pct"/>
            <w:tcBorders>
              <w:top w:val="single" w:color="000000" w:sz="4" w:space="0"/>
              <w:left w:val="single" w:color="000000" w:sz="4" w:space="0"/>
              <w:bottom w:val="single" w:color="000000" w:sz="4" w:space="0"/>
              <w:right w:val="nil"/>
            </w:tcBorders>
            <w:shd w:val="clear" w:color="auto" w:fill="auto"/>
            <w:vAlign w:val="center"/>
          </w:tcPr>
          <w:p w14:paraId="19D1D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27" w:type="pct"/>
            <w:tcBorders>
              <w:top w:val="single" w:color="000000" w:sz="4" w:space="0"/>
              <w:left w:val="nil"/>
              <w:bottom w:val="single" w:color="000000" w:sz="4" w:space="0"/>
              <w:right w:val="nil"/>
            </w:tcBorders>
            <w:shd w:val="clear" w:color="auto" w:fill="auto"/>
            <w:vAlign w:val="center"/>
          </w:tcPr>
          <w:p w14:paraId="644321F7">
            <w:pPr>
              <w:rPr>
                <w:rFonts w:hint="eastAsia" w:ascii="宋体" w:hAnsi="宋体" w:eastAsia="宋体" w:cs="宋体"/>
                <w:i w:val="0"/>
                <w:iCs w:val="0"/>
                <w:color w:val="000000"/>
                <w:sz w:val="22"/>
                <w:szCs w:val="22"/>
                <w:u w:val="none"/>
              </w:rPr>
            </w:pP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323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人员经费足额保障率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51DC5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9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8A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BB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3E1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028C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8C688">
            <w:pPr>
              <w:jc w:val="center"/>
              <w:rPr>
                <w:rFonts w:hint="eastAsia" w:ascii="宋体" w:hAnsi="宋体" w:eastAsia="宋体" w:cs="宋体"/>
                <w:b/>
                <w:bCs/>
                <w:i w:val="0"/>
                <w:iCs w:val="0"/>
                <w:color w:val="000000"/>
                <w:sz w:val="22"/>
                <w:szCs w:val="22"/>
                <w:u w:val="none"/>
              </w:rPr>
            </w:pPr>
          </w:p>
        </w:tc>
        <w:tc>
          <w:tcPr>
            <w:tcW w:w="127" w:type="pct"/>
            <w:vMerge w:val="continue"/>
            <w:tcBorders>
              <w:top w:val="single" w:color="000000" w:sz="4" w:space="0"/>
              <w:left w:val="single" w:color="000000" w:sz="4" w:space="0"/>
              <w:bottom w:val="single" w:color="000000" w:sz="4" w:space="0"/>
              <w:right w:val="nil"/>
            </w:tcBorders>
            <w:shd w:val="clear" w:color="auto" w:fill="auto"/>
            <w:vAlign w:val="center"/>
          </w:tcPr>
          <w:p w14:paraId="7D23BBC3">
            <w:pPr>
              <w:jc w:val="left"/>
              <w:rPr>
                <w:rFonts w:hint="eastAsia" w:ascii="宋体" w:hAnsi="宋体" w:eastAsia="宋体" w:cs="宋体"/>
                <w:i w:val="0"/>
                <w:iCs w:val="0"/>
                <w:color w:val="000000"/>
                <w:sz w:val="22"/>
                <w:szCs w:val="22"/>
                <w:u w:val="none"/>
              </w:rPr>
            </w:pPr>
          </w:p>
        </w:tc>
        <w:tc>
          <w:tcPr>
            <w:tcW w:w="255"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02419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27D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34CDB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709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83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60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E3B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7D23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CD73F">
            <w:pPr>
              <w:jc w:val="center"/>
              <w:rPr>
                <w:rFonts w:hint="eastAsia" w:ascii="宋体" w:hAnsi="宋体" w:eastAsia="宋体" w:cs="宋体"/>
                <w:b/>
                <w:bCs/>
                <w:i w:val="0"/>
                <w:iCs w:val="0"/>
                <w:color w:val="000000"/>
                <w:sz w:val="22"/>
                <w:szCs w:val="22"/>
                <w:u w:val="none"/>
              </w:rPr>
            </w:pPr>
          </w:p>
        </w:tc>
        <w:tc>
          <w:tcPr>
            <w:tcW w:w="127" w:type="pct"/>
            <w:vMerge w:val="continue"/>
            <w:tcBorders>
              <w:top w:val="single" w:color="000000" w:sz="4" w:space="0"/>
              <w:left w:val="single" w:color="000000" w:sz="4" w:space="0"/>
              <w:bottom w:val="single" w:color="000000" w:sz="4" w:space="0"/>
              <w:right w:val="nil"/>
            </w:tcBorders>
            <w:shd w:val="clear" w:color="auto" w:fill="auto"/>
            <w:vAlign w:val="center"/>
          </w:tcPr>
          <w:p w14:paraId="7C2C157B">
            <w:pPr>
              <w:jc w:val="left"/>
              <w:rPr>
                <w:rFonts w:hint="eastAsia" w:ascii="宋体" w:hAnsi="宋体" w:eastAsia="宋体" w:cs="宋体"/>
                <w:i w:val="0"/>
                <w:iCs w:val="0"/>
                <w:color w:val="000000"/>
                <w:sz w:val="22"/>
                <w:szCs w:val="22"/>
                <w:u w:val="none"/>
              </w:rPr>
            </w:pPr>
          </w:p>
        </w:tc>
        <w:tc>
          <w:tcPr>
            <w:tcW w:w="255"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661C086D">
            <w:pPr>
              <w:rPr>
                <w:rFonts w:hint="eastAsia" w:ascii="宋体" w:hAnsi="宋体" w:eastAsia="宋体" w:cs="宋体"/>
                <w:i w:val="0"/>
                <w:iCs w:val="0"/>
                <w:color w:val="000000"/>
                <w:sz w:val="22"/>
                <w:szCs w:val="22"/>
                <w:u w:val="none"/>
              </w:rPr>
            </w:pP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9E3E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预算编制准确率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36BCC8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1D9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50B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2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86F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14D9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BEFB7">
            <w:pPr>
              <w:jc w:val="center"/>
              <w:rPr>
                <w:rFonts w:hint="eastAsia" w:ascii="宋体" w:hAnsi="宋体" w:eastAsia="宋体" w:cs="宋体"/>
                <w:b/>
                <w:bCs/>
                <w:i w:val="0"/>
                <w:iCs w:val="0"/>
                <w:color w:val="000000"/>
                <w:sz w:val="22"/>
                <w:szCs w:val="22"/>
                <w:u w:val="none"/>
              </w:rPr>
            </w:pPr>
          </w:p>
        </w:tc>
        <w:tc>
          <w:tcPr>
            <w:tcW w:w="127" w:type="pct"/>
            <w:vMerge w:val="continue"/>
            <w:tcBorders>
              <w:top w:val="single" w:color="000000" w:sz="4" w:space="0"/>
              <w:left w:val="single" w:color="000000" w:sz="4" w:space="0"/>
              <w:bottom w:val="single" w:color="000000" w:sz="4" w:space="0"/>
              <w:right w:val="nil"/>
            </w:tcBorders>
            <w:shd w:val="clear" w:color="auto" w:fill="auto"/>
            <w:vAlign w:val="center"/>
          </w:tcPr>
          <w:p w14:paraId="459DF531">
            <w:pPr>
              <w:jc w:val="left"/>
              <w:rPr>
                <w:rFonts w:hint="eastAsia" w:ascii="宋体" w:hAnsi="宋体" w:eastAsia="宋体" w:cs="宋体"/>
                <w:i w:val="0"/>
                <w:iCs w:val="0"/>
                <w:color w:val="000000"/>
                <w:sz w:val="22"/>
                <w:szCs w:val="22"/>
                <w:u w:val="none"/>
              </w:rPr>
            </w:pPr>
          </w:p>
        </w:tc>
        <w:tc>
          <w:tcPr>
            <w:tcW w:w="127" w:type="pct"/>
            <w:tcBorders>
              <w:top w:val="single" w:color="000000" w:sz="4" w:space="0"/>
              <w:left w:val="single" w:color="000000" w:sz="4" w:space="0"/>
              <w:bottom w:val="single" w:color="000000" w:sz="4" w:space="0"/>
              <w:right w:val="nil"/>
            </w:tcBorders>
            <w:shd w:val="clear" w:color="auto" w:fill="auto"/>
            <w:vAlign w:val="center"/>
          </w:tcPr>
          <w:p w14:paraId="35D753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27" w:type="pct"/>
            <w:tcBorders>
              <w:top w:val="single" w:color="000000" w:sz="4" w:space="0"/>
              <w:left w:val="nil"/>
              <w:bottom w:val="single" w:color="000000" w:sz="4" w:space="0"/>
              <w:right w:val="nil"/>
            </w:tcBorders>
            <w:shd w:val="clear" w:color="auto" w:fill="auto"/>
            <w:vAlign w:val="center"/>
          </w:tcPr>
          <w:p w14:paraId="534B1106">
            <w:pPr>
              <w:rPr>
                <w:rFonts w:hint="eastAsia" w:ascii="宋体" w:hAnsi="宋体" w:eastAsia="宋体" w:cs="宋体"/>
                <w:i w:val="0"/>
                <w:iCs w:val="0"/>
                <w:color w:val="000000"/>
                <w:sz w:val="22"/>
                <w:szCs w:val="22"/>
                <w:u w:val="none"/>
              </w:rPr>
            </w:pP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91E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按时发放率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4A3D5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99F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942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13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0C7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4590E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BE9DC">
            <w:pPr>
              <w:jc w:val="center"/>
              <w:rPr>
                <w:rFonts w:hint="eastAsia" w:ascii="宋体" w:hAnsi="宋体" w:eastAsia="宋体" w:cs="宋体"/>
                <w:b/>
                <w:bCs/>
                <w:i w:val="0"/>
                <w:iCs w:val="0"/>
                <w:color w:val="000000"/>
                <w:sz w:val="22"/>
                <w:szCs w:val="22"/>
                <w:u w:val="none"/>
              </w:rPr>
            </w:pPr>
          </w:p>
        </w:tc>
        <w:tc>
          <w:tcPr>
            <w:tcW w:w="127" w:type="pct"/>
            <w:vMerge w:val="restart"/>
            <w:tcBorders>
              <w:top w:val="single" w:color="000000" w:sz="4" w:space="0"/>
              <w:left w:val="single" w:color="000000" w:sz="4" w:space="0"/>
              <w:bottom w:val="single" w:color="000000" w:sz="4" w:space="0"/>
              <w:right w:val="nil"/>
            </w:tcBorders>
            <w:shd w:val="clear" w:color="auto" w:fill="auto"/>
            <w:vAlign w:val="center"/>
          </w:tcPr>
          <w:p w14:paraId="28D819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255"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589A2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EEA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三公经费控制率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096962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E9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1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E89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14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1158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3323F">
            <w:pPr>
              <w:jc w:val="center"/>
              <w:rPr>
                <w:rFonts w:hint="eastAsia" w:ascii="宋体" w:hAnsi="宋体" w:eastAsia="宋体" w:cs="宋体"/>
                <w:b/>
                <w:bCs/>
                <w:i w:val="0"/>
                <w:iCs w:val="0"/>
                <w:color w:val="000000"/>
                <w:sz w:val="22"/>
                <w:szCs w:val="22"/>
                <w:u w:val="none"/>
              </w:rPr>
            </w:pPr>
          </w:p>
        </w:tc>
        <w:tc>
          <w:tcPr>
            <w:tcW w:w="127" w:type="pct"/>
            <w:vMerge w:val="continue"/>
            <w:tcBorders>
              <w:top w:val="single" w:color="000000" w:sz="4" w:space="0"/>
              <w:left w:val="single" w:color="000000" w:sz="4" w:space="0"/>
              <w:bottom w:val="single" w:color="000000" w:sz="4" w:space="0"/>
              <w:right w:val="nil"/>
            </w:tcBorders>
            <w:shd w:val="clear" w:color="auto" w:fill="auto"/>
            <w:vAlign w:val="center"/>
          </w:tcPr>
          <w:p w14:paraId="6DF67AD8">
            <w:pPr>
              <w:jc w:val="left"/>
              <w:rPr>
                <w:rFonts w:hint="eastAsia" w:ascii="宋体" w:hAnsi="宋体" w:eastAsia="宋体" w:cs="宋体"/>
                <w:i w:val="0"/>
                <w:iCs w:val="0"/>
                <w:color w:val="000000"/>
                <w:sz w:val="22"/>
                <w:szCs w:val="22"/>
                <w:u w:val="none"/>
              </w:rPr>
            </w:pPr>
          </w:p>
        </w:tc>
        <w:tc>
          <w:tcPr>
            <w:tcW w:w="255"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623373C2">
            <w:pPr>
              <w:rPr>
                <w:rFonts w:hint="eastAsia" w:ascii="宋体" w:hAnsi="宋体" w:eastAsia="宋体" w:cs="宋体"/>
                <w:i w:val="0"/>
                <w:iCs w:val="0"/>
                <w:color w:val="000000"/>
                <w:sz w:val="22"/>
                <w:szCs w:val="22"/>
                <w:u w:val="none"/>
              </w:rPr>
            </w:pP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9739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预算结余率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73170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A1F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F8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B8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674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46E2F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B2D5D">
            <w:pPr>
              <w:jc w:val="center"/>
              <w:rPr>
                <w:rFonts w:hint="eastAsia" w:ascii="宋体" w:hAnsi="宋体" w:eastAsia="宋体" w:cs="宋体"/>
                <w:b/>
                <w:bCs/>
                <w:i w:val="0"/>
                <w:iCs w:val="0"/>
                <w:color w:val="000000"/>
                <w:sz w:val="22"/>
                <w:szCs w:val="22"/>
                <w:u w:val="none"/>
              </w:rPr>
            </w:pPr>
          </w:p>
        </w:tc>
        <w:tc>
          <w:tcPr>
            <w:tcW w:w="127" w:type="pct"/>
            <w:vMerge w:val="continue"/>
            <w:tcBorders>
              <w:top w:val="single" w:color="000000" w:sz="4" w:space="0"/>
              <w:left w:val="single" w:color="000000" w:sz="4" w:space="0"/>
              <w:bottom w:val="single" w:color="000000" w:sz="4" w:space="0"/>
              <w:right w:val="nil"/>
            </w:tcBorders>
            <w:shd w:val="clear" w:color="auto" w:fill="auto"/>
            <w:vAlign w:val="center"/>
          </w:tcPr>
          <w:p w14:paraId="022131E1">
            <w:pPr>
              <w:jc w:val="left"/>
              <w:rPr>
                <w:rFonts w:hint="eastAsia" w:ascii="宋体" w:hAnsi="宋体" w:eastAsia="宋体" w:cs="宋体"/>
                <w:i w:val="0"/>
                <w:iCs w:val="0"/>
                <w:color w:val="000000"/>
                <w:sz w:val="22"/>
                <w:szCs w:val="22"/>
                <w:u w:val="none"/>
              </w:rPr>
            </w:pPr>
          </w:p>
        </w:tc>
        <w:tc>
          <w:tcPr>
            <w:tcW w:w="255"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26AB1C9B">
            <w:pPr>
              <w:rPr>
                <w:rFonts w:hint="eastAsia" w:ascii="宋体" w:hAnsi="宋体" w:eastAsia="宋体" w:cs="宋体"/>
                <w:i w:val="0"/>
                <w:iCs w:val="0"/>
                <w:color w:val="000000"/>
                <w:sz w:val="22"/>
                <w:szCs w:val="22"/>
                <w:u w:val="none"/>
              </w:rPr>
            </w:pPr>
          </w:p>
        </w:tc>
        <w:tc>
          <w:tcPr>
            <w:tcW w:w="62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1A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运转保障率</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09DB6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51D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AA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5AF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B90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p w14:paraId="2EA59966">
      <w:pPr>
        <w:pStyle w:val="2"/>
        <w:ind w:firstLine="3200" w:firstLineChars="1000"/>
        <w:jc w:val="both"/>
        <w:rPr>
          <w:rFonts w:ascii="黑体" w:hAnsi="黑体" w:eastAsia="黑体"/>
          <w:sz w:val="32"/>
          <w:szCs w:val="32"/>
        </w:rPr>
      </w:pPr>
      <w:r>
        <w:rPr>
          <w:rFonts w:hint="eastAsia" w:ascii="黑体" w:hAnsi="黑体" w:eastAsia="黑体"/>
          <w:sz w:val="32"/>
          <w:szCs w:val="32"/>
        </w:rPr>
        <w:t xml:space="preserve">第五部分 </w:t>
      </w:r>
      <w:r>
        <w:rPr>
          <w:rFonts w:ascii="黑体" w:hAnsi="黑体" w:eastAsia="黑体"/>
          <w:sz w:val="32"/>
          <w:szCs w:val="32"/>
        </w:rPr>
        <w:t xml:space="preserve"> </w:t>
      </w:r>
      <w:r>
        <w:rPr>
          <w:rFonts w:hint="eastAsia" w:ascii="黑体" w:hAnsi="黑体" w:eastAsia="黑体"/>
          <w:sz w:val="32"/>
          <w:szCs w:val="32"/>
        </w:rPr>
        <w:t>附表</w:t>
      </w:r>
    </w:p>
    <w:p w14:paraId="09BF4EEF">
      <w:pPr>
        <w:snapToGrid w:val="0"/>
        <w:rPr>
          <w:rFonts w:hint="eastAsia" w:ascii="仿宋_GB2312" w:hAnsi="仿宋" w:eastAsia="仿宋_GB2312"/>
          <w:b w:val="0"/>
          <w:sz w:val="28"/>
          <w:szCs w:val="28"/>
        </w:rPr>
      </w:pPr>
      <w:r>
        <w:rPr>
          <w:rFonts w:hint="eastAsia" w:ascii="仿宋_GB2312" w:hAnsi="仿宋" w:eastAsia="仿宋_GB2312"/>
          <w:b w:val="0"/>
          <w:sz w:val="28"/>
          <w:szCs w:val="28"/>
        </w:rPr>
        <w:t>一、收入支出决算总表</w:t>
      </w:r>
    </w:p>
    <w:p w14:paraId="0B70B814">
      <w:pPr>
        <w:rPr>
          <w:rFonts w:hint="eastAsia" w:ascii="仿宋_GB2312" w:hAnsi="仿宋" w:eastAsia="仿宋_GB2312"/>
          <w:b w:val="0"/>
          <w:sz w:val="28"/>
          <w:szCs w:val="28"/>
        </w:rPr>
      </w:pPr>
      <w:r>
        <w:rPr>
          <w:rFonts w:hint="eastAsia" w:ascii="仿宋_GB2312" w:hAnsi="仿宋" w:eastAsia="仿宋_GB2312"/>
          <w:b w:val="0"/>
          <w:sz w:val="28"/>
          <w:szCs w:val="28"/>
        </w:rPr>
        <w:t>二、收入决算表</w:t>
      </w:r>
    </w:p>
    <w:p w14:paraId="6B327639">
      <w:pPr>
        <w:rPr>
          <w:rFonts w:hint="eastAsia" w:ascii="仿宋_GB2312" w:hAnsi="仿宋" w:eastAsia="仿宋_GB2312"/>
          <w:b w:val="0"/>
          <w:sz w:val="28"/>
          <w:szCs w:val="28"/>
        </w:rPr>
      </w:pPr>
      <w:r>
        <w:rPr>
          <w:rFonts w:hint="eastAsia" w:ascii="仿宋_GB2312" w:hAnsi="仿宋" w:eastAsia="仿宋_GB2312"/>
          <w:b w:val="0"/>
          <w:sz w:val="28"/>
          <w:szCs w:val="28"/>
        </w:rPr>
        <w:t>三、支出决算表</w:t>
      </w:r>
    </w:p>
    <w:p w14:paraId="724AEEE1">
      <w:pPr>
        <w:rPr>
          <w:rFonts w:hint="eastAsia" w:ascii="仿宋_GB2312" w:hAnsi="仿宋" w:eastAsia="仿宋_GB2312"/>
          <w:b w:val="0"/>
          <w:sz w:val="28"/>
          <w:szCs w:val="28"/>
        </w:rPr>
      </w:pPr>
      <w:r>
        <w:rPr>
          <w:rFonts w:hint="eastAsia" w:ascii="仿宋_GB2312" w:hAnsi="仿宋" w:eastAsia="仿宋_GB2312"/>
          <w:b w:val="0"/>
          <w:sz w:val="28"/>
          <w:szCs w:val="28"/>
        </w:rPr>
        <w:t>四、财政拨款收入支出决算总表</w:t>
      </w:r>
    </w:p>
    <w:p w14:paraId="63D5510E">
      <w:pPr>
        <w:rPr>
          <w:rFonts w:hint="eastAsia" w:ascii="仿宋_GB2312" w:hAnsi="仿宋" w:eastAsia="仿宋_GB2312"/>
          <w:b w:val="0"/>
          <w:sz w:val="28"/>
          <w:szCs w:val="28"/>
        </w:rPr>
      </w:pPr>
      <w:r>
        <w:rPr>
          <w:rFonts w:hint="eastAsia" w:ascii="仿宋_GB2312" w:hAnsi="仿宋" w:eastAsia="仿宋_GB2312"/>
          <w:b w:val="0"/>
          <w:sz w:val="28"/>
          <w:szCs w:val="28"/>
        </w:rPr>
        <w:t>五、财政拨款支出决算明细表</w:t>
      </w:r>
    </w:p>
    <w:p w14:paraId="09F3B881">
      <w:pPr>
        <w:rPr>
          <w:rFonts w:hint="eastAsia" w:ascii="仿宋_GB2312" w:hAnsi="仿宋" w:eastAsia="仿宋_GB2312"/>
          <w:b w:val="0"/>
          <w:sz w:val="28"/>
          <w:szCs w:val="28"/>
        </w:rPr>
      </w:pPr>
      <w:r>
        <w:rPr>
          <w:rFonts w:hint="eastAsia" w:ascii="仿宋_GB2312" w:hAnsi="仿宋" w:eastAsia="仿宋_GB2312"/>
          <w:b w:val="0"/>
          <w:sz w:val="28"/>
          <w:szCs w:val="28"/>
        </w:rPr>
        <w:t>六、一般公共预算财政拨款支出决算表</w:t>
      </w:r>
    </w:p>
    <w:p w14:paraId="44617B94">
      <w:pPr>
        <w:rPr>
          <w:rFonts w:hint="eastAsia" w:ascii="仿宋_GB2312" w:hAnsi="仿宋" w:eastAsia="仿宋_GB2312"/>
          <w:b w:val="0"/>
          <w:sz w:val="28"/>
          <w:szCs w:val="28"/>
        </w:rPr>
      </w:pPr>
      <w:r>
        <w:rPr>
          <w:rFonts w:hint="eastAsia" w:ascii="仿宋_GB2312" w:hAnsi="仿宋" w:eastAsia="仿宋_GB2312"/>
          <w:b w:val="0"/>
          <w:sz w:val="28"/>
          <w:szCs w:val="28"/>
        </w:rPr>
        <w:t>七、一般公共预算财政拨款支出决算明细表</w:t>
      </w:r>
    </w:p>
    <w:p w14:paraId="7E5F3517">
      <w:pPr>
        <w:rPr>
          <w:rFonts w:hint="eastAsia" w:ascii="仿宋_GB2312" w:hAnsi="仿宋" w:eastAsia="仿宋_GB2312"/>
          <w:b w:val="0"/>
          <w:sz w:val="28"/>
          <w:szCs w:val="28"/>
        </w:rPr>
      </w:pPr>
      <w:r>
        <w:rPr>
          <w:rFonts w:hint="eastAsia" w:ascii="仿宋_GB2312" w:hAnsi="仿宋" w:eastAsia="仿宋_GB2312"/>
          <w:b w:val="0"/>
          <w:sz w:val="28"/>
          <w:szCs w:val="28"/>
        </w:rPr>
        <w:t>八、一般公共预算财政拨款基本支出决算表</w:t>
      </w:r>
    </w:p>
    <w:p w14:paraId="62F8A8E3">
      <w:pPr>
        <w:rPr>
          <w:rFonts w:hint="eastAsia" w:ascii="仿宋_GB2312" w:hAnsi="仿宋" w:eastAsia="仿宋_GB2312"/>
          <w:b w:val="0"/>
          <w:sz w:val="28"/>
          <w:szCs w:val="28"/>
        </w:rPr>
      </w:pPr>
      <w:r>
        <w:rPr>
          <w:rFonts w:hint="eastAsia" w:ascii="仿宋_GB2312" w:hAnsi="仿宋" w:eastAsia="仿宋_GB2312"/>
          <w:b w:val="0"/>
          <w:sz w:val="28"/>
          <w:szCs w:val="28"/>
        </w:rPr>
        <w:t>九、一般公共预算财政拨款项目支出决算表</w:t>
      </w:r>
    </w:p>
    <w:p w14:paraId="19B5B3ED">
      <w:pPr>
        <w:rPr>
          <w:rFonts w:hint="eastAsia" w:ascii="仿宋_GB2312" w:hAnsi="仿宋" w:eastAsia="仿宋_GB2312"/>
          <w:b w:val="0"/>
          <w:sz w:val="28"/>
          <w:szCs w:val="28"/>
        </w:rPr>
      </w:pPr>
      <w:r>
        <w:rPr>
          <w:rFonts w:hint="eastAsia" w:ascii="仿宋_GB2312" w:hAnsi="仿宋" w:eastAsia="仿宋_GB2312"/>
          <w:b w:val="0"/>
          <w:sz w:val="28"/>
          <w:szCs w:val="28"/>
        </w:rPr>
        <w:t>十、政府性基金预算财政拨款收入支出决算表</w:t>
      </w:r>
    </w:p>
    <w:p w14:paraId="2418C1B9">
      <w:pPr>
        <w:rPr>
          <w:rFonts w:hint="eastAsia" w:ascii="仿宋_GB2312" w:hAnsi="仿宋" w:eastAsia="仿宋_GB2312"/>
          <w:b w:val="0"/>
          <w:sz w:val="28"/>
          <w:szCs w:val="28"/>
        </w:rPr>
      </w:pPr>
      <w:r>
        <w:rPr>
          <w:rFonts w:hint="eastAsia" w:ascii="仿宋_GB2312" w:hAnsi="仿宋" w:eastAsia="仿宋_GB2312"/>
          <w:b w:val="0"/>
          <w:sz w:val="28"/>
          <w:szCs w:val="28"/>
        </w:rPr>
        <w:t>十一、国有资本经营预算财政拨款收入支出决算表</w:t>
      </w:r>
    </w:p>
    <w:p w14:paraId="553CE869">
      <w:pPr>
        <w:rPr>
          <w:rFonts w:hint="eastAsia" w:ascii="仿宋_GB2312" w:hAnsi="仿宋" w:eastAsia="仿宋_GB2312"/>
          <w:b w:val="0"/>
          <w:sz w:val="28"/>
          <w:szCs w:val="28"/>
        </w:rPr>
      </w:pPr>
      <w:r>
        <w:rPr>
          <w:rFonts w:hint="eastAsia" w:ascii="仿宋_GB2312" w:hAnsi="仿宋" w:eastAsia="仿宋_GB2312"/>
          <w:b w:val="0"/>
          <w:sz w:val="28"/>
          <w:szCs w:val="28"/>
        </w:rPr>
        <w:t>十二、国有资本经营预算财政拨款支出决算表</w:t>
      </w:r>
    </w:p>
    <w:p w14:paraId="5435FE84">
      <w:pPr>
        <w:rPr>
          <w:rFonts w:hint="eastAsia" w:ascii="仿宋_GB2312" w:hAnsi="仿宋" w:eastAsia="仿宋_GB2312"/>
          <w:b w:val="0"/>
          <w:sz w:val="28"/>
          <w:szCs w:val="28"/>
        </w:rPr>
      </w:pPr>
      <w:r>
        <w:rPr>
          <w:rFonts w:hint="eastAsia" w:ascii="仿宋_GB2312" w:hAnsi="仿宋" w:eastAsia="仿宋_GB2312"/>
          <w:b w:val="0"/>
          <w:sz w:val="28"/>
          <w:szCs w:val="28"/>
        </w:rPr>
        <w:t>十三、财政拨款“三公”经费支出决算表</w:t>
      </w:r>
    </w:p>
    <w:p w14:paraId="29532992">
      <w:pPr>
        <w:pStyle w:val="3"/>
        <w:numPr>
          <w:ilvl w:val="0"/>
          <w:numId w:val="0"/>
        </w:numPr>
        <w:spacing w:before="68" w:line="335" w:lineRule="auto"/>
        <w:ind w:leftChars="0" w:right="733" w:rightChars="0"/>
        <w:jc w:val="both"/>
        <w:rPr>
          <w:rFonts w:hint="eastAsia" w:ascii="仿宋_GB2312" w:hAnsi="仿宋_GB2312" w:eastAsia="仿宋_GB2312" w:cs="仿宋_GB2312"/>
          <w:sz w:val="32"/>
          <w:szCs w:val="32"/>
        </w:rPr>
        <w:sectPr>
          <w:pgSz w:w="12090" w:h="16970"/>
          <w:pgMar w:top="1442" w:right="1813" w:bottom="0" w:left="1813" w:header="0" w:footer="0" w:gutter="0"/>
          <w:cols w:space="720" w:num="1"/>
        </w:sectPr>
      </w:pPr>
      <w:r>
        <w:rPr>
          <w:rFonts w:hint="eastAsia" w:ascii="仿宋_GB2312" w:hAnsi="仿宋" w:eastAsia="仿宋_GB2312"/>
          <w:b w:val="0"/>
          <w:sz w:val="32"/>
          <w:szCs w:val="32"/>
        </w:rPr>
        <w:t>十四、部门预算项目支出绩效自评表（</w:t>
      </w:r>
      <w:r>
        <w:rPr>
          <w:rFonts w:hint="eastAsia" w:ascii="仿宋_GB2312" w:hAnsi="仿宋" w:eastAsia="仿宋_GB2312"/>
          <w:b w:val="0"/>
          <w:sz w:val="32"/>
          <w:szCs w:val="32"/>
          <w:lang w:eastAsia="zh-CN"/>
        </w:rPr>
        <w:t>2024</w:t>
      </w:r>
      <w:r>
        <w:rPr>
          <w:rFonts w:hint="eastAsia" w:ascii="仿宋_GB2312" w:eastAsia="仿宋_GB2312"/>
          <w:b w:val="0"/>
          <w:sz w:val="32"/>
          <w:szCs w:val="32"/>
          <w:lang w:val="en-US" w:eastAsia="zh-CN"/>
        </w:rPr>
        <w:t>年度）</w:t>
      </w:r>
    </w:p>
    <w:p w14:paraId="246A7B5C">
      <w:pPr>
        <w:pStyle w:val="8"/>
        <w:rPr>
          <w:rFonts w:hint="default" w:eastAsia="仿宋_GB2312"/>
          <w:lang w:val="en-US" w:eastAsia="zh-CN"/>
        </w:rPr>
      </w:pPr>
      <w:r>
        <w:rPr>
          <w:rFonts w:hint="eastAsia" w:eastAsia="仿宋_GB2312"/>
          <w:lang w:val="en-US" w:eastAsia="zh-CN"/>
        </w:rPr>
        <w:t xml:space="preserve"> </w:t>
      </w:r>
    </w:p>
    <w:sectPr>
      <w:pgSz w:w="12240" w:h="15840"/>
      <w:pgMar w:top="1440" w:right="1804" w:bottom="1440" w:left="1804"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0ODJiMzlkNTBlMDZlM2U3ZjQxYjgzNGE5YzA3MzAifQ=="/>
  </w:docVars>
  <w:rsids>
    <w:rsidRoot w:val="00000000"/>
    <w:rsid w:val="09047592"/>
    <w:rsid w:val="0963717D"/>
    <w:rsid w:val="1953369D"/>
    <w:rsid w:val="1D5906AA"/>
    <w:rsid w:val="23540F9C"/>
    <w:rsid w:val="2FD404D9"/>
    <w:rsid w:val="3A12281B"/>
    <w:rsid w:val="43364F54"/>
    <w:rsid w:val="46F36279"/>
    <w:rsid w:val="48A40CC7"/>
    <w:rsid w:val="520B6FE7"/>
    <w:rsid w:val="58882214"/>
    <w:rsid w:val="58B2640F"/>
    <w:rsid w:val="58ED488E"/>
    <w:rsid w:val="61894211"/>
    <w:rsid w:val="780358AD"/>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paragraph" w:styleId="2">
    <w:name w:val="heading 1"/>
    <w:basedOn w:val="1"/>
    <w:next w:val="1"/>
    <w:qFormat/>
    <w:uiPriority w:val="0"/>
    <w:pPr>
      <w:keepNext/>
      <w:keepLines/>
      <w:spacing w:before="340" w:after="330" w:line="578" w:lineRule="auto"/>
      <w:outlineLvl w:val="0"/>
    </w:pPr>
    <w:rPr>
      <w:rFonts w:eastAsia="宋体"/>
      <w:bCs/>
      <w:kern w:val="44"/>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2"/>
      <w:szCs w:val="22"/>
      <w:lang w:val="en-US" w:eastAsia="en-US" w:bidi="ar-SA"/>
    </w:rPr>
  </w:style>
  <w:style w:type="paragraph" w:styleId="4">
    <w:name w:val="toc 1"/>
    <w:basedOn w:val="1"/>
    <w:next w:val="1"/>
    <w:qFormat/>
    <w:uiPriority w:val="0"/>
    <w:pPr>
      <w:tabs>
        <w:tab w:val="right" w:leader="dot" w:pos="8296"/>
      </w:tabs>
      <w:spacing w:before="93"/>
      <w:jc w:val="center"/>
    </w:pPr>
    <w:rPr>
      <w:rFonts w:ascii="仿宋" w:hAnsi="仿宋" w:eastAsia="仿宋"/>
      <w:sz w:val="28"/>
      <w:szCs w:val="28"/>
    </w:r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Normal_0"/>
    <w:qFormat/>
    <w:uiPriority w:val="0"/>
    <w:rPr>
      <w:rFonts w:ascii="Times New Roman" w:hAnsi="Times New Roman" w:eastAsia="Times New Roman" w:cs="Times New Roman"/>
      <w:sz w:val="24"/>
      <w:szCs w:val="24"/>
      <w:lang w:val="en-US" w:eastAsia="en-US" w:bidi="ar-SA"/>
    </w:rPr>
  </w:style>
  <w:style w:type="table" w:customStyle="1" w:styleId="9">
    <w:name w:val="Grid Table 1 Light"/>
    <w:basedOn w:val="5"/>
    <w:qFormat/>
    <w:uiPriority w:val="46"/>
    <w:pPr>
      <w:spacing w:after="0" w:line="240" w:lineRule="auto"/>
    </w:p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1">
    <w:name w:val="15"/>
    <w:basedOn w:val="7"/>
    <w:qFormat/>
    <w:uiPriority w:val="0"/>
    <w:rPr>
      <w:rFonts w:hint="default" w:ascii="Calibri" w:hAnsi="Calibri"/>
      <w:b/>
      <w:bCs/>
    </w:rPr>
  </w:style>
  <w:style w:type="paragraph" w:customStyle="1" w:styleId="12">
    <w:name w:val="Table Text"/>
    <w:basedOn w:val="1"/>
    <w:semiHidden/>
    <w:qFormat/>
    <w:uiPriority w:val="0"/>
    <w:rPr>
      <w:rFonts w:ascii="宋体" w:hAnsi="宋体" w:eastAsia="宋体" w:cs="宋体"/>
      <w:sz w:val="14"/>
      <w:szCs w:val="14"/>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1490;\Desktop\2023&#36710;&#36742;&#36153;&#29992;.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21490;\Desktop\2023&#36710;&#36742;&#36153;&#29992;.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21490;\Desktop\2023&#36710;&#36742;&#36153;&#29992;.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年初预算收支分析图</a:t>
            </a:r>
          </a:p>
        </c:rich>
      </c:tx>
      <c:layout/>
      <c:overlay val="0"/>
      <c:spPr>
        <a:noFill/>
        <a:ln>
          <a:noFill/>
        </a:ln>
        <a:effectLst/>
      </c:spPr>
    </c:title>
    <c:autoTitleDeleted val="0"/>
    <c:plotArea>
      <c:layout/>
      <c:barChart>
        <c:barDir val="col"/>
        <c:grouping val="clustered"/>
        <c:varyColors val="0"/>
        <c:ser>
          <c:idx val="0"/>
          <c:order val="0"/>
          <c:tx>
            <c:strRef>
              <c:f>2023年</c:f>
              <c:strCache>
                <c:ptCount val="1"/>
                <c:pt idx="0">
                  <c:v>2023年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{119.79,119.79}</c:f>
              <c:numCache>
                <c:formatCode>General</c:formatCode>
                <c:ptCount val="2"/>
                <c:pt idx="0">
                  <c:v>119.79</c:v>
                </c:pt>
                <c:pt idx="1">
                  <c:v>119.79</c:v>
                </c:pt>
              </c:numCache>
            </c:numRef>
          </c:val>
        </c:ser>
        <c:ser>
          <c:idx val="1"/>
          <c:order val="1"/>
          <c:tx>
            <c:strRef>
              <c:f>2024年</c:f>
              <c:strCache>
                <c:ptCount val="1"/>
                <c:pt idx="0">
                  <c:v>2024年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{96.13,96.13}</c:f>
              <c:numCache>
                <c:formatCode>General</c:formatCode>
                <c:ptCount val="2"/>
                <c:pt idx="0">
                  <c:v>96.13</c:v>
                </c:pt>
                <c:pt idx="1">
                  <c:v>96.13</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全年预算收支分析表</a:t>
            </a:r>
          </a:p>
        </c:rich>
      </c:tx>
      <c:layout/>
      <c:overlay val="0"/>
      <c:spPr>
        <a:noFill/>
        <a:ln>
          <a:noFill/>
        </a:ln>
        <a:effectLst/>
      </c:spPr>
    </c:title>
    <c:autoTitleDeleted val="0"/>
    <c:plotArea>
      <c:layout/>
      <c:barChart>
        <c:barDir val="col"/>
        <c:grouping val="clustered"/>
        <c:varyColors val="0"/>
        <c:ser>
          <c:idx val="0"/>
          <c:order val="0"/>
          <c:tx>
            <c:strRef>
              <c:f>2023年</c:f>
              <c:strCache>
                <c:ptCount val="1"/>
                <c:pt idx="0">
                  <c:v>2023年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{110.48,110.48}</c:f>
              <c:numCache>
                <c:formatCode>General</c:formatCode>
                <c:ptCount val="2"/>
                <c:pt idx="0">
                  <c:v>110.48</c:v>
                </c:pt>
                <c:pt idx="1">
                  <c:v>110.48</c:v>
                </c:pt>
              </c:numCache>
            </c:numRef>
          </c:val>
        </c:ser>
        <c:ser>
          <c:idx val="1"/>
          <c:order val="1"/>
          <c:tx>
            <c:strRef>
              <c:f>2024年</c:f>
              <c:strCache>
                <c:ptCount val="1"/>
                <c:pt idx="0">
                  <c:v>2024年</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{111.18,111.18}</c:f>
              <c:numCache>
                <c:formatCode>General</c:formatCode>
                <c:ptCount val="2"/>
                <c:pt idx="0">
                  <c:v>111.18</c:v>
                </c:pt>
                <c:pt idx="1">
                  <c:v>111.18</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预算执行分析</a:t>
            </a:r>
          </a:p>
        </c:rich>
      </c:tx>
      <c:layout/>
      <c:overlay val="0"/>
      <c:spPr>
        <a:noFill/>
        <a:ln>
          <a:noFill/>
        </a:ln>
        <a:effectLst/>
      </c:spPr>
    </c:title>
    <c:autoTitleDeleted val="0"/>
    <c:plotArea>
      <c:layout/>
      <c:barChart>
        <c:barDir val="col"/>
        <c:grouping val="clustered"/>
        <c:varyColors val="0"/>
        <c:ser>
          <c:idx val="0"/>
          <c:order val="0"/>
          <c:tx>
            <c:strRef>
              <c:f>预算数</c:f>
              <c:strCache>
                <c:ptCount val="1"/>
                <c:pt idx="0">
                  <c:v>预算数</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{111.18,111.18}</c:f>
              <c:numCache>
                <c:formatCode>General</c:formatCode>
                <c:ptCount val="2"/>
                <c:pt idx="0">
                  <c:v>111.18</c:v>
                </c:pt>
                <c:pt idx="1">
                  <c:v>111.18</c:v>
                </c:pt>
              </c:numCache>
            </c:numRef>
          </c:val>
        </c:ser>
        <c:ser>
          <c:idx val="1"/>
          <c:order val="1"/>
          <c:tx>
            <c:strRef>
              <c:f>决算数</c:f>
              <c:strCache>
                <c:ptCount val="1"/>
                <c:pt idx="0">
                  <c:v>决算数</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{"收入数","支出数"}</c:f>
              <c:strCache>
                <c:ptCount val="2"/>
                <c:pt idx="0">
                  <c:v>收入数</c:v>
                </c:pt>
                <c:pt idx="1">
                  <c:v>支出数</c:v>
                </c:pt>
              </c:strCache>
            </c:strRef>
          </c:cat>
          <c:val>
            <c:numRef>
              <c:f>{111.18,111.18}</c:f>
              <c:numCache>
                <c:formatCode>General</c:formatCode>
                <c:ptCount val="2"/>
                <c:pt idx="0">
                  <c:v>111.18</c:v>
                </c:pt>
                <c:pt idx="1">
                  <c:v>111.18</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财政拨款收支决算数对比</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[2023车辆费用.xls]Sheet3!$A$81:$A$82</c:f>
              <c:strCache>
                <c:ptCount val="2"/>
                <c:pt idx="0">
                  <c:v>2023年</c:v>
                </c:pt>
                <c:pt idx="1">
                  <c:v>2024年</c:v>
                </c:pt>
              </c:strCache>
            </c:strRef>
          </c:cat>
          <c:val>
            <c:numRef>
              <c:f>[2023车辆费用.xls]Sheet3!$B$81:$B$82</c:f>
              <c:numCache>
                <c:formatCode>General</c:formatCode>
                <c:ptCount val="2"/>
                <c:pt idx="0">
                  <c:v>110.48</c:v>
                </c:pt>
                <c:pt idx="1">
                  <c:v>111.18</c:v>
                </c:pt>
              </c:numCache>
            </c:numRef>
          </c:val>
        </c:ser>
        <c:dLbls>
          <c:showLegendKey val="0"/>
          <c:showVal val="1"/>
          <c:showCatName val="0"/>
          <c:showSerName val="0"/>
          <c:showPercent val="0"/>
          <c:showBubbleSize val="0"/>
        </c:dLbls>
        <c:gapWidth val="246"/>
        <c:overlap val="-28"/>
        <c:axId val="88008951"/>
        <c:axId val="819452208"/>
      </c:barChart>
      <c:catAx>
        <c:axId val="88008951"/>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9452208"/>
        <c:crosses val="autoZero"/>
        <c:auto val="1"/>
        <c:lblAlgn val="ctr"/>
        <c:lblOffset val="100"/>
        <c:noMultiLvlLbl val="0"/>
      </c:catAx>
      <c:valAx>
        <c:axId val="819452208"/>
        <c:scaling>
          <c:orientation val="minMax"/>
        </c:scaling>
        <c:delete val="0"/>
        <c:axPos val="l"/>
        <c:majorGridlines>
          <c:spPr>
            <a:ln w="9525" cap="flat" cmpd="sng" algn="ctr">
              <a:solidFill>
                <a:schemeClr val="lt1">
                  <a:lumMod val="902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0089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财政拨款收支决算数对比</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[2023车辆费用.xls]Sheet3!$A$81:$A$82</c:f>
              <c:strCache>
                <c:ptCount val="2"/>
                <c:pt idx="0">
                  <c:v>2023年</c:v>
                </c:pt>
                <c:pt idx="1">
                  <c:v>2024年</c:v>
                </c:pt>
              </c:strCache>
            </c:strRef>
          </c:cat>
          <c:val>
            <c:numRef>
              <c:f>[2023车辆费用.xls]Sheet3!$B$81:$B$82</c:f>
              <c:numCache>
                <c:formatCode>General</c:formatCode>
                <c:ptCount val="2"/>
                <c:pt idx="0">
                  <c:v>110.48</c:v>
                </c:pt>
                <c:pt idx="1">
                  <c:v>111.18</c:v>
                </c:pt>
              </c:numCache>
            </c:numRef>
          </c:val>
        </c:ser>
        <c:dLbls>
          <c:showLegendKey val="0"/>
          <c:showVal val="1"/>
          <c:showCatName val="0"/>
          <c:showSerName val="0"/>
          <c:showPercent val="0"/>
          <c:showBubbleSize val="0"/>
        </c:dLbls>
        <c:gapWidth val="246"/>
        <c:overlap val="-28"/>
        <c:axId val="88008951"/>
        <c:axId val="819452208"/>
      </c:barChart>
      <c:catAx>
        <c:axId val="88008951"/>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9452208"/>
        <c:crosses val="autoZero"/>
        <c:auto val="1"/>
        <c:lblAlgn val="ctr"/>
        <c:lblOffset val="100"/>
        <c:noMultiLvlLbl val="0"/>
      </c:catAx>
      <c:valAx>
        <c:axId val="819452208"/>
        <c:scaling>
          <c:orientation val="minMax"/>
        </c:scaling>
        <c:delete val="0"/>
        <c:axPos val="l"/>
        <c:majorGridlines>
          <c:spPr>
            <a:ln w="9525" cap="flat" cmpd="sng" algn="ctr">
              <a:solidFill>
                <a:schemeClr val="lt1">
                  <a:lumMod val="902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0089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各项支出对比图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[2023车辆费用.xls]Sheet3!$A$94:$A$98</c:f>
              <c:strCache>
                <c:ptCount val="5"/>
                <c:pt idx="0">
                  <c:v>一般公共服务支出</c:v>
                </c:pt>
                <c:pt idx="1">
                  <c:v>卫生健康支出</c:v>
                </c:pt>
                <c:pt idx="2">
                  <c:v>住房保障支出</c:v>
                </c:pt>
                <c:pt idx="3">
                  <c:v>社会保障和就业支出</c:v>
                </c:pt>
                <c:pt idx="4">
                  <c:v>教育支出</c:v>
                </c:pt>
              </c:strCache>
            </c:strRef>
          </c:cat>
          <c:val>
            <c:numRef>
              <c:f>[2023车辆费用.xls]Sheet3!$B$94:$B$98</c:f>
              <c:numCache>
                <c:formatCode>General</c:formatCode>
                <c:ptCount val="5"/>
                <c:pt idx="0">
                  <c:v>66.21</c:v>
                </c:pt>
                <c:pt idx="1">
                  <c:v>4.32</c:v>
                </c:pt>
                <c:pt idx="2">
                  <c:v>6.47</c:v>
                </c:pt>
                <c:pt idx="3">
                  <c:v>10.28</c:v>
                </c:pt>
                <c:pt idx="4">
                  <c:v>23.9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三公经费支出分析图</a:t>
            </a:r>
          </a:p>
        </c:rich>
      </c:tx>
      <c:layout/>
      <c:overlay val="0"/>
      <c:spPr>
        <a:noFill/>
        <a:ln>
          <a:noFill/>
        </a:ln>
        <a:effectLst/>
      </c:spPr>
    </c:title>
    <c:autoTitleDeleted val="0"/>
    <c:plotArea>
      <c:layout/>
      <c:pieChart>
        <c:varyColors val="1"/>
        <c:ser>
          <c:idx val="0"/>
          <c:order val="0"/>
          <c:tx>
            <c:strRef>
              <c:f>三公经费支出分析图</c:f>
              <c:strCache>
                <c:ptCount val="1"/>
                <c:pt idx="0">
                  <c:v>三公经费支出分析图</c:v>
                </c:pt>
              </c:strCache>
            </c:strRef>
          </c:tx>
          <c:spPr>
            <a:ln w="19050">
              <a:solidFill>
                <a:schemeClr val="lt1"/>
              </a:solidFill>
            </a:ln>
          </c:spPr>
          <c:explosion val="0"/>
          <c:dPt>
            <c:idx val="0"/>
            <c:bubble3D val="0"/>
            <c:spPr>
              <a:ln w="19050">
                <a:solidFill>
                  <a:schemeClr val="lt1"/>
                </a:solidFill>
              </a:ln>
            </c:spPr>
          </c:dPt>
          <c:dLbls>
            <c:dLbl>
              <c:idx val="0"/>
              <c:layout/>
              <c:dLblPos val="bestFit"/>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{"公务用车购置及运行维护费"}</c:f>
              <c:strCache>
                <c:ptCount val="1"/>
                <c:pt idx="0">
                  <c:v>公务用车购置及运行维护费</c:v>
                </c:pt>
              </c:strCache>
            </c:strRef>
          </c:cat>
          <c:val>
            <c:numRef>
              <c:f>{1.5}</c:f>
              <c:numCache>
                <c:formatCode>General</c:formatCode>
                <c:ptCount val="1"/>
                <c:pt idx="0">
                  <c:v>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eyJoZGlkIjoiZTNiZTMwZmE3MGI4NGYxNjM2N2E1Y2U4OTUxMzIxNjIiLCJ1c2VySWQiOiIzMjI5MDE0MzAifQ==</vt:lpwstr>
  </property>
  <property fmtid="{D5CDD505-2E9C-101B-9397-08002B2CF9AE}" pid="3" name="KSOProductBuildVer">
    <vt:lpwstr>2052-12.1.0.19770</vt:lpwstr>
  </property>
  <property fmtid="{D5CDD505-2E9C-101B-9397-08002B2CF9AE}" pid="4" name="ICV">
    <vt:lpwstr>35C7556FB57A4C84B31656C1C25BA349_13</vt:lpwstr>
  </property>
</Properties>
</file>

<file path=customXml/itemProps1.xml><?xml version="1.0" encoding="utf-8"?>
<ds:datastoreItem xmlns:ds="http://schemas.openxmlformats.org/officeDocument/2006/customXml" ds:itemID="{e9f4f928-0bed-4451-87e2-c635f1f91664}">
  <ds:schemaRefs/>
</ds:datastoreItem>
</file>

<file path=docProps/app.xml><?xml version="1.0" encoding="utf-8"?>
<Properties xmlns="http://schemas.openxmlformats.org/officeDocument/2006/extended-properties" xmlns:vt="http://schemas.openxmlformats.org/officeDocument/2006/docPropsVTypes">
  <Template>Normal.dot</Template>
  <Pages>19</Pages>
  <Words>1398</Words>
  <Characters>1841</Characters>
  <Lines>1</Lines>
  <Paragraphs>1</Paragraphs>
  <TotalTime>3</TotalTime>
  <ScaleCrop>false</ScaleCrop>
  <LinksUpToDate>false</LinksUpToDate>
  <CharactersWithSpaces>1871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2025-02-06T02:26:00Z</dcterms:created>
  <dc:creator>apple</dc:creator>
  <cp:lastModifiedBy>史</cp:lastModifiedBy>
  <dcterms:modified xsi:type="dcterms:W3CDTF">2025-08-28T07:17:28Z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eyJoZGlkIjoiOGI4YTY1M2Q2ZmI5NWNjZWZiOTQ5ZjY0YjFjMDI3ZWYiLCJ1c2VySWQiOiI0NjMwOTU5OTQifQ==</vt:lpwstr>
  </property>
  <property fmtid="{D5CDD505-2E9C-101B-9397-08002B2CF9AE}" pid="3" name="KSOProductBuildVer">
    <vt:lpwstr>2052-12.1.0.17827</vt:lpwstr>
  </property>
  <property fmtid="{D5CDD505-2E9C-101B-9397-08002B2CF9AE}" pid="4" name="ICV">
    <vt:lpwstr>35C7556FB57A4C84B31656C1C25BA349_13</vt:lpwstr>
  </property>
</Properties>
</file>