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F1E94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工商联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33BE0F80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5EAD4CE8">
      <w:pPr>
        <w:pStyle w:val="5"/>
        <w:jc w:val="left"/>
      </w:pPr>
    </w:p>
    <w:p w14:paraId="588D9A5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2025年，我单位部门预算74.11万元 ，均严格按绩效管理要求实现项目绩效目标管理，无重点项目预算，现将情况说明如下：</w:t>
      </w:r>
    </w:p>
    <w:p w14:paraId="7CFC4B06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9D2CE7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完成了2025年本级部门预算整体绩效目标申报，无重点项目预算绩效目标申报。</w:t>
      </w:r>
    </w:p>
    <w:p w14:paraId="2BC94160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4D4EC79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1、做好“城乡结对共建”活动，深入学习习近平总书记系列重要讲话精神宣讲。2、召开成都金川商会“情系家乡话发展”迎春茶花会； 3、加强对成都金川商会指导工作，协调组建商会发展公司；4、做好社会扶贫推进协调服务，积极与成都金川商会对接，让商会会员积极参与对口帮扶；5、加强非公企业调研，及时向县委县政府提出合理化建议；为会员提供培训，建立交流考察平台；6、运营好‘金川商会’公众号；7、加强非公经济理论宣传、信息工作，进一步提升工作水平，同时加强部门自身建设。8、加强非公企业党建工作。</w:t>
      </w:r>
    </w:p>
    <w:p w14:paraId="34FD4537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EFCA5B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无重点项目预算绩效目标。</w:t>
      </w:r>
    </w:p>
    <w:p w14:paraId="77BD3E0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32468BC"/>
    <w:rsid w:val="798B1A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392</Words>
  <Characters>405</Characters>
  <Lines>22</Lines>
  <Paragraphs>9</Paragraphs>
  <TotalTime>1</TotalTime>
  <ScaleCrop>false</ScaleCrop>
  <LinksUpToDate>false</LinksUpToDate>
  <CharactersWithSpaces>407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2025-03-04T05:15:29Z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46CD665F4DB640E084C6EDBF4739558D_12</vt:lpwstr>
  </property>
</Properties>
</file>