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val="en-US" w:eastAsia="zh-CN"/>
        </w:rPr>
      </w:pPr>
    </w:p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2024年工商业联合会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" w:eastAsia="仿宋" w:cs="仿宋" w:hint="eastAsia"/>
          <w:sz w:val="32"/>
          <w:szCs w:val="32"/>
          <w:lang w:val="en-US" w:eastAsia="zh-CN"/>
        </w:rPr>
      </w:pPr>
      <w:r>
        <w:rPr>
          <w:rFonts w:ascii="仿宋" w:eastAsia="仿宋" w:cs="仿宋" w:hint="eastAsia"/>
          <w:sz w:val="32"/>
          <w:szCs w:val="32"/>
          <w:lang w:val="en-US" w:eastAsia="zh-CN"/>
        </w:rPr>
        <w:t>2024年，我部门预算96.13万元 ，均严格按绩效管理要求实现项目绩效目标管理，我单位无重点项目预算，现将情况说明如下：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完成了2024年本级部门预算整体绩效目标申报。</w:t>
      </w:r>
    </w:p>
    <w:p>
      <w:pPr>
        <w:numPr>
          <w:ilvl w:val="0"/>
          <w:numId w:val="1"/>
        </w:numPr>
        <w:spacing w:line="360" w:lineRule="auto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tabs>
          <w:tab w:val="center" w:pos="4153"/>
          <w:tab w:val="right" w:pos="8306"/>
        </w:tabs>
        <w:spacing w:line="360" w:lineRule="auto"/>
        <w:rPr>
          <w:rFonts w:ascii="仿宋" w:eastAsia="仿宋" w:cs="仿宋" w:hint="eastAsia"/>
          <w:sz w:val="32"/>
          <w:szCs w:val="32"/>
          <w:lang w:val="en-US" w:eastAsia="zh-CN"/>
        </w:rPr>
      </w:pPr>
      <w:r>
        <w:rPr>
          <w:rFonts w:ascii="宋体" w:cs="宋体" w:hint="eastAsia"/>
          <w:sz w:val="24"/>
          <w:szCs w:val="24"/>
          <w:lang w:val="en-US" w:eastAsia="zh-CN"/>
        </w:rPr>
        <w:t xml:space="preserve">     </w:t>
      </w:r>
      <w:r>
        <w:rPr>
          <w:rFonts w:ascii="仿宋" w:eastAsia="仿宋" w:cs="仿宋" w:hint="eastAsia"/>
          <w:sz w:val="32"/>
          <w:szCs w:val="32"/>
        </w:rPr>
        <w:t>1、做好“城乡结对共建”活动，深入开展</w:t>
      </w:r>
      <w:r>
        <w:rPr>
          <w:rFonts w:ascii="仿宋" w:eastAsia="仿宋" w:cs="仿宋"/>
          <w:sz w:val="32"/>
          <w:szCs w:val="32"/>
        </w:rPr>
        <w:t>习近平</w:t>
      </w:r>
      <w:r>
        <w:rPr>
          <w:rFonts w:ascii="仿宋" w:eastAsia="仿宋" w:cs="仿宋" w:hint="eastAsia"/>
          <w:sz w:val="32"/>
          <w:szCs w:val="32"/>
        </w:rPr>
        <w:t>总书记系列重要讲话精神宣讲。2、召开成都金川商会“情系家乡话发展”迎春茶花会； 3、加强对成都金川商会指导工作，协调组建商会发展公司；4、做好社会扶贫推进协调服务，积极与成都金川商会对接，让商会会员积极参与对口帮扶；5、加强非公企业调研，及时向县委</w:t>
      </w:r>
      <w:r>
        <w:rPr>
          <w:rFonts w:ascii="仿宋" w:eastAsia="仿宋" w:cs="仿宋"/>
          <w:sz w:val="32"/>
          <w:szCs w:val="32"/>
        </w:rPr>
        <w:t>县</w:t>
      </w:r>
      <w:r>
        <w:rPr>
          <w:rFonts w:ascii="仿宋" w:eastAsia="仿宋" w:cs="仿宋" w:hint="eastAsia"/>
          <w:sz w:val="32"/>
          <w:szCs w:val="32"/>
        </w:rPr>
        <w:t>政府提出合理化建议；为会员</w:t>
      </w:r>
      <w:r>
        <w:rPr>
          <w:rFonts w:ascii="仿宋" w:eastAsia="仿宋" w:cs="仿宋"/>
          <w:sz w:val="32"/>
          <w:szCs w:val="32"/>
        </w:rPr>
        <w:t>提供</w:t>
      </w:r>
      <w:r>
        <w:rPr>
          <w:rFonts w:ascii="仿宋" w:eastAsia="仿宋" w:cs="仿宋" w:hint="eastAsia"/>
          <w:sz w:val="32"/>
          <w:szCs w:val="32"/>
        </w:rPr>
        <w:t>培训，建立交流考察平台；6、办好《金川人》期刊；7、加强非公经济理论宣传、信息工作，进一步提升工作水平，同时加强部门自身建设。8、加强非公企业党建工作。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我单位无重点项目预算。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ExpandShiftReturn/>
    <w:adjustLineHeightInTable/>
    <w:doNotUseIndentAsNumberingTabStop/>
    <w:useAltKinsokuLineBreakRules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381</Words>
  <Characters>394</Characters>
  <Lines>22</Lines>
  <Paragraphs>9</Paragraphs>
  <CharactersWithSpaces>401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2024-03-14T07:48:40Z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2052-10.1.0.6206</vt:lpwstr>
  </property>
</Properties>
</file>