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3D6A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共青团金川县委</w:t>
      </w:r>
    </w:p>
    <w:p w14:paraId="33B78E5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预算绩效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目标</w:t>
      </w: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3C35D39">
      <w:pPr>
        <w:pStyle w:val="2"/>
        <w:jc w:val="left"/>
      </w:pPr>
    </w:p>
    <w:p w14:paraId="32369F2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2025年，我单位部门预算128.54万元 ，均严格按绩效管理要求实现项目绩效目标管理，其中重点项目预算0个，现将情况说明如下：</w:t>
      </w:r>
    </w:p>
    <w:p w14:paraId="1482B64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48DFB2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51115C9C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B5B66C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共青团金川县委在县委、县政府和团州委的坚强领导下，坚持以习近平新时代中国特色社会主义思想为指引，深入学习贯彻习近平总书记对青年工作重要论述，团结带领全县各级团组织和广大团员青年不忘初心跟党走、牢记使命勇担当，坚持围绕中心、服务大局，创新作为、真抓实干，以实际行动为全面建设“美丽富裕幸福新金川”目标凝聚青春智慧，汇聚青春力量。</w:t>
      </w:r>
    </w:p>
    <w:p w14:paraId="12F641A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2A1557D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51EE40-4D0D-40FB-BB8D-B4D983E872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BF85E0A-6FA0-4D11-950D-E8D4CF14CD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32276F1-7B94-497D-B6D7-AC6828FF86F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04976CD"/>
    <w:rsid w:val="468F49A5"/>
    <w:rsid w:val="6A2A5B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325</Words>
  <Characters>336</Characters>
  <Lines>23</Lines>
  <Paragraphs>15</Paragraphs>
  <TotalTime>0</TotalTime>
  <ScaleCrop>false</ScaleCrop>
  <LinksUpToDate>false</LinksUpToDate>
  <CharactersWithSpaces>337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皮不死克斯</cp:lastModifiedBy>
  <dcterms:modified xsi:type="dcterms:W3CDTF">2025-02-24T08:12:22Z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eyJoZGlkIjoiNWU3YTUzMWNkYWI2MTY2YjNjZWY0MGZkZGJiZjNiOTgiLCJ1c2VySWQiOiIzNTQyMzIxODQifQ==</vt:lpwstr>
  </property>
  <property fmtid="{D5CDD505-2E9C-101B-9397-08002B2CF9AE}" pid="4" name="ICV">
    <vt:lpwstr>4A7E2E1E3274404E8C4514C76C327384_12</vt:lpwstr>
  </property>
</Properties>
</file>