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spacing w:after="62" w:afterLines="20" w:afterAutospacing="0"/>
        <w:ind w:firstLine="0" w:firstLineChars="0"/>
        <w:jc w:val="center"/>
        <w:rPr>
          <w:rFonts w:hint="eastAsia" w:ascii="方正小标宋简体" w:eastAsia="方正小标宋简体" w:cs="方正小标宋简体"/>
          <w:sz w:val="52"/>
          <w:szCs w:val="52"/>
        </w:rPr>
      </w:pPr>
      <w:r>
        <w:rPr>
          <w:rFonts w:hint="eastAsia" w:ascii="方正小标宋简体" w:eastAsia="方正小标宋简体" w:cs="方正小标宋简体"/>
          <w:sz w:val="52"/>
          <w:szCs w:val="52"/>
          <w:lang w:eastAsia="zh-CN"/>
        </w:rPr>
        <w:t>202</w:t>
      </w:r>
      <w:r>
        <w:rPr>
          <w:rFonts w:hint="eastAsia" w:ascii="方正小标宋简体" w:eastAsia="方正小标宋简体" w:cs="方正小标宋简体"/>
          <w:sz w:val="52"/>
          <w:szCs w:val="52"/>
          <w:lang w:val="en-US" w:eastAsia="zh-CN"/>
        </w:rPr>
        <w:t>2</w:t>
      </w:r>
      <w:r>
        <w:rPr>
          <w:rFonts w:hint="eastAsia" w:ascii="方正小标宋简体" w:eastAsia="方正小标宋简体" w:cs="方正小标宋简体"/>
          <w:sz w:val="52"/>
          <w:szCs w:val="52"/>
          <w:lang w:eastAsia="zh-CN"/>
        </w:rPr>
        <w:t>年</w:t>
      </w:r>
      <w:r>
        <w:rPr>
          <w:rFonts w:hint="eastAsia" w:ascii="方正小标宋简体" w:eastAsia="方正小标宋简体" w:cs="方正小标宋简体"/>
          <w:sz w:val="52"/>
          <w:szCs w:val="52"/>
        </w:rPr>
        <w:t>度</w:t>
      </w:r>
    </w:p>
    <w:p>
      <w:pPr>
        <w:spacing w:beforeAutospacing="0"/>
        <w:ind w:firstLine="0" w:firstLineChars="0"/>
        <w:jc w:val="center"/>
        <w:rPr>
          <w:rFonts w:hint="eastAsia" w:ascii="方正小标宋简体" w:eastAsia="方正小标宋简体" w:cs="方正小标宋简体"/>
          <w:sz w:val="52"/>
          <w:szCs w:val="52"/>
          <w:lang w:eastAsia="zh-CN"/>
        </w:rPr>
      </w:pPr>
      <w:r>
        <w:rPr>
          <w:rFonts w:hint="eastAsia" w:ascii="方正小标宋简体" w:eastAsia="方正小标宋简体" w:cs="方正小标宋简体"/>
          <w:sz w:val="52"/>
          <w:szCs w:val="52"/>
          <w:lang w:eastAsia="zh-CN"/>
        </w:rPr>
        <w:t>中国共产主义青年团金川县委员会</w:t>
      </w:r>
    </w:p>
    <w:p>
      <w:pPr>
        <w:ind w:left="0" w:firstLine="0" w:firstLineChars="0"/>
        <w:jc w:val="center"/>
        <w:rPr>
          <w:rFonts w:hint="eastAsia" w:ascii="方正小标宋简体" w:eastAsia="方正小标宋简体" w:cs="方正小标宋简体"/>
          <w:sz w:val="52"/>
          <w:szCs w:val="52"/>
        </w:rPr>
      </w:pPr>
      <w:r>
        <w:rPr>
          <w:rFonts w:hint="eastAsia" w:ascii="方正小标宋简体" w:eastAsia="方正小标宋简体" w:cs="方正小标宋简体"/>
          <w:sz w:val="52"/>
          <w:szCs w:val="52"/>
        </w:rPr>
        <w:t>部门决算</w:t>
      </w:r>
    </w:p>
    <w:p>
      <w:pPr>
        <w:ind w:firstLine="2880" w:firstLineChars="400"/>
        <w:jc w:val="both"/>
        <w:rPr>
          <w:rFonts w:ascii="Times New Roman" w:hAnsi="Times New Roman" w:eastAsia="方正小标宋简体" w:cs="Times New Roman"/>
          <w:sz w:val="72"/>
          <w:szCs w:val="72"/>
        </w:rPr>
      </w:pPr>
    </w:p>
    <w:p>
      <w:pPr>
        <w:ind w:firstLine="2880" w:firstLineChars="400"/>
        <w:jc w:val="both"/>
        <w:rPr>
          <w:rFonts w:ascii="Times New Roman" w:hAnsi="Times New Roman" w:eastAsia="方正小标宋简体" w:cs="Times New Roman"/>
          <w:sz w:val="72"/>
          <w:szCs w:val="72"/>
        </w:rPr>
      </w:pPr>
    </w:p>
    <w:p>
      <w:pPr>
        <w:ind w:firstLine="2880" w:firstLineChars="400"/>
        <w:jc w:val="both"/>
        <w:rPr>
          <w:rFonts w:ascii="Times New Roman" w:hAnsi="Times New Roman" w:eastAsia="方正小标宋简体" w:cs="Times New Roman"/>
          <w:sz w:val="72"/>
          <w:szCs w:val="72"/>
        </w:rPr>
      </w:pPr>
    </w:p>
    <w:p>
      <w:pPr>
        <w:ind w:firstLine="2880" w:firstLineChars="400"/>
        <w:jc w:val="both"/>
        <w:rPr>
          <w:rFonts w:ascii="Times New Roman" w:hAnsi="Times New Roman" w:eastAsia="方正小标宋简体" w:cs="Times New Roman"/>
          <w:sz w:val="72"/>
          <w:szCs w:val="72"/>
        </w:rPr>
      </w:pPr>
    </w:p>
    <w:p>
      <w:pPr>
        <w:ind w:firstLine="2880" w:firstLineChars="400"/>
        <w:jc w:val="both"/>
        <w:rPr>
          <w:rFonts w:ascii="Times New Roman" w:hAnsi="Times New Roman" w:eastAsia="方正小标宋简体" w:cs="Times New Roman"/>
          <w:sz w:val="72"/>
          <w:szCs w:val="72"/>
        </w:rPr>
      </w:pPr>
    </w:p>
    <w:p>
      <w:pPr>
        <w:ind w:left="0" w:firstLine="0" w:firstLineChars="0"/>
        <w:jc w:val="both"/>
        <w:rPr>
          <w:rFonts w:hint="eastAsia" w:ascii="Times New Roman" w:hAnsi="Times New Roman" w:eastAsia="方正小标宋简体" w:cs="Times New Roman"/>
          <w:sz w:val="32"/>
          <w:szCs w:val="32"/>
          <w:lang w:val="en-US" w:eastAsia="zh-CN"/>
        </w:rPr>
      </w:pPr>
    </w:p>
    <w:p>
      <w:pPr>
        <w:pStyle w:val="13"/>
        <w:tabs>
          <w:tab w:val="right" w:leader="dot" w:pos="8406"/>
        </w:tabs>
        <w:jc w:val="center"/>
        <w:rPr>
          <w:rFonts w:ascii="Times New Roman" w:hAnsi="Times New Roman" w:eastAsia="方正小标宋简体" w:cs="Times New Roman"/>
          <w:sz w:val="44"/>
          <w:szCs w:val="44"/>
        </w:rPr>
      </w:pPr>
    </w:p>
    <w:p>
      <w:pPr>
        <w:pStyle w:val="13"/>
        <w:tabs>
          <w:tab w:val="right" w:leader="dot" w:pos="8406"/>
        </w:tabs>
        <w:jc w:val="center"/>
        <w:rPr>
          <w:rFonts w:ascii="Times New Roman" w:hAnsi="Times New Roman" w:eastAsia="方正小标宋简体" w:cs="Times New Roman"/>
          <w:sz w:val="44"/>
          <w:szCs w:val="44"/>
        </w:rPr>
      </w:pPr>
    </w:p>
    <w:p>
      <w:pPr>
        <w:pStyle w:val="13"/>
        <w:tabs>
          <w:tab w:val="right" w:leader="dot" w:pos="8406"/>
        </w:tabs>
        <w:jc w:val="center"/>
        <w:rPr>
          <w:rFonts w:ascii="Times New Roman" w:hAnsi="Times New Roman" w:eastAsia="方正小标宋简体" w:cs="Times New Roman"/>
          <w:sz w:val="44"/>
          <w:szCs w:val="44"/>
        </w:rPr>
      </w:pPr>
    </w:p>
    <w:p>
      <w:pPr>
        <w:pStyle w:val="13"/>
        <w:tabs>
          <w:tab w:val="right" w:leader="dot" w:pos="8406"/>
        </w:tabs>
        <w:jc w:val="center"/>
        <w:rPr>
          <w:rFonts w:ascii="Times New Roman" w:hAnsi="Times New Roman" w:eastAsia="方正小标宋简体" w:cs="Times New Roman"/>
          <w:sz w:val="44"/>
          <w:szCs w:val="44"/>
        </w:rPr>
      </w:pPr>
    </w:p>
    <w:p>
      <w:pPr>
        <w:pStyle w:val="13"/>
        <w:tabs>
          <w:tab w:val="right" w:leader="dot" w:pos="8406"/>
        </w:tabs>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目录</w:t>
      </w:r>
    </w:p>
    <w:p>
      <w:pPr>
        <w:pStyle w:val="13"/>
        <w:tabs>
          <w:tab w:val="right" w:leader="dot" w:pos="8296"/>
        </w:tabs>
        <w:ind w:left="0" w:firstLine="0" w:firstLineChars="0"/>
        <w:jc w:val="center"/>
      </w:pPr>
      <w:r>
        <w:rPr>
          <w:rFonts w:ascii="Times New Roman" w:hAnsi="Times New Roman" w:cs="Times New Roman"/>
        </w:rPr>
        <w:t>公开时间：202</w:t>
      </w:r>
      <w:r>
        <w:rPr>
          <w:rFonts w:hint="eastAsia" w:ascii="Times New Roman" w:hAnsi="Times New Roman" w:cs="Times New Roman"/>
          <w:lang w:val="en-US" w:eastAsia="zh-CN"/>
        </w:rPr>
        <w:t>3</w:t>
      </w:r>
      <w:r>
        <w:rPr>
          <w:rFonts w:ascii="Times New Roman" w:hAnsi="Times New Roman" w:cs="Times New Roman"/>
        </w:rPr>
        <w:t>年</w:t>
      </w:r>
      <w:r>
        <w:rPr>
          <w:rFonts w:hint="eastAsia" w:ascii="Times New Roman" w:hAnsi="Times New Roman" w:cs="Times New Roman"/>
          <w:lang w:val="en-US" w:eastAsia="zh-CN"/>
        </w:rPr>
        <w:t>8</w:t>
      </w:r>
      <w:r>
        <w:rPr>
          <w:rFonts w:ascii="Times New Roman" w:hAnsi="Times New Roman" w:cs="Times New Roman"/>
        </w:rPr>
        <w:t>月</w:t>
      </w:r>
      <w:r>
        <w:rPr>
          <w:rFonts w:hint="eastAsia" w:ascii="Times New Roman" w:hAnsi="Times New Roman" w:cs="Times New Roman"/>
          <w:lang w:val="en-US" w:eastAsia="zh-CN"/>
        </w:rPr>
        <w:t>28</w:t>
      </w:r>
      <w:r>
        <w:rPr>
          <w:rFonts w:ascii="Times New Roman" w:hAnsi="Times New Roman" w:cs="Times New Roman"/>
        </w:rPr>
        <w:t>日</w:t>
      </w:r>
    </w:p>
    <w:sdt>
      <w:sdtPr>
        <w:rPr>
          <w:rFonts w:ascii="宋体" w:eastAsia="宋体" w:cs="Times New Roman"/>
          <w:kern w:val="2"/>
          <w:sz w:val="21"/>
          <w:szCs w:val="24"/>
          <w:lang w:val="en-US" w:eastAsia="zh-CN" w:bidi="ar-SA"/>
        </w:rPr>
        <w:id w:val="1781157467"/>
        <w15:color w:val="DBDBDB"/>
        <w:docPartObj>
          <w:docPartGallery w:val="Table of Contents"/>
          <w:docPartUnique/>
        </w:docPartObj>
      </w:sdtPr>
      <w:sdtEndPr>
        <w:rPr>
          <w:rFonts w:ascii="Times New Roman" w:hAnsi="Times New Roman" w:eastAsia="仿宋_GB2312" w:cs="Times New Roman"/>
          <w:kern w:val="2"/>
          <w:sz w:val="32"/>
          <w:szCs w:val="24"/>
          <w:lang w:val="en-US" w:eastAsia="zh-CN" w:bidi="ar-SA"/>
        </w:rPr>
      </w:sdtEndPr>
      <w:sdtContent>
        <w:p>
          <w:pPr>
            <w:spacing w:before="0" w:after="0" w:line="240" w:lineRule="auto"/>
            <w:ind w:left="0" w:right="0" w:firstLine="0" w:firstLineChars="0"/>
            <w:jc w:val="center"/>
          </w:pPr>
        </w:p>
        <w:p>
          <w:pPr>
            <w:pStyle w:val="13"/>
            <w:tabs>
              <w:tab w:val="right" w:leader="dot" w:pos="8306"/>
            </w:tabs>
            <w:ind w:left="0" w:firstLine="0" w:firstLineChars="0"/>
          </w:pPr>
          <w:r>
            <w:fldChar w:fldCharType="begin"/>
          </w:r>
          <w:r>
            <w:instrText xml:space="preserve">TOC \o "1-3" \h \u </w:instrText>
          </w:r>
          <w:r>
            <w:fldChar w:fldCharType="separate"/>
          </w:r>
          <w:r>
            <w:fldChar w:fldCharType="begin"/>
          </w:r>
          <w:r>
            <w:instrText xml:space="preserve"> HYPERLINK \l _Toc11985 </w:instrText>
          </w:r>
          <w:r>
            <w:fldChar w:fldCharType="separate"/>
          </w:r>
          <w:r>
            <w:rPr>
              <w:rFonts w:ascii="Times New Roman" w:hAnsi="Times New Roman" w:cs="Times New Roman"/>
              <w:bCs/>
              <w:szCs w:val="44"/>
              <w:lang w:val="en-US" w:eastAsia="zh-CN"/>
            </w:rPr>
            <w:t>第一部分</w:t>
          </w:r>
          <w:r>
            <w:rPr>
              <w:rFonts w:hint="eastAsia" w:cs="Times New Roman"/>
              <w:bCs/>
              <w:szCs w:val="44"/>
              <w:lang w:val="en-US" w:eastAsia="zh-CN"/>
            </w:rPr>
            <w:t xml:space="preserve">  </w:t>
          </w:r>
          <w:r>
            <w:rPr>
              <w:rFonts w:ascii="Times New Roman" w:hAnsi="Times New Roman" w:cs="Times New Roman"/>
              <w:bCs/>
              <w:szCs w:val="44"/>
              <w:lang w:val="en-US" w:eastAsia="zh-CN"/>
            </w:rPr>
            <w:t>部门概况</w:t>
          </w:r>
          <w:r>
            <w:tab/>
          </w:r>
          <w:r>
            <w:fldChar w:fldCharType="begin"/>
          </w:r>
          <w:r>
            <w:instrText xml:space="preserve"> PAGEREF _Toc11985 \h </w:instrText>
          </w:r>
          <w:r>
            <w:fldChar w:fldCharType="separate"/>
          </w:r>
          <w:r>
            <w:t>1</w:t>
          </w:r>
          <w:r>
            <w:fldChar w:fldCharType="end"/>
          </w:r>
          <w:r>
            <w:fldChar w:fldCharType="end"/>
          </w:r>
        </w:p>
        <w:p>
          <w:pPr>
            <w:pStyle w:val="16"/>
            <w:tabs>
              <w:tab w:val="right" w:leader="dot" w:pos="8306"/>
            </w:tabs>
            <w:ind w:left="0" w:leftChars="0" w:firstLine="0" w:firstLineChars="0"/>
          </w:pPr>
          <w:r>
            <w:fldChar w:fldCharType="begin"/>
          </w:r>
          <w:r>
            <w:instrText xml:space="preserve"> HYPERLINK \l _Toc12526 </w:instrText>
          </w:r>
          <w:r>
            <w:fldChar w:fldCharType="separate"/>
          </w:r>
          <w:r>
            <w:rPr>
              <w:rFonts w:hint="eastAsia" w:ascii="黑体" w:eastAsia="黑体" w:cs="黑体"/>
              <w:bCs w:val="0"/>
              <w:szCs w:val="32"/>
            </w:rPr>
            <w:t>一、 单位基本情况</w:t>
          </w:r>
          <w:r>
            <w:tab/>
          </w:r>
          <w:r>
            <w:fldChar w:fldCharType="begin"/>
          </w:r>
          <w:r>
            <w:instrText xml:space="preserve"> PAGEREF _Toc12526 \h </w:instrText>
          </w:r>
          <w:r>
            <w:fldChar w:fldCharType="separate"/>
          </w:r>
          <w:r>
            <w:t>1</w:t>
          </w:r>
          <w:r>
            <w:fldChar w:fldCharType="end"/>
          </w:r>
          <w:r>
            <w:fldChar w:fldCharType="end"/>
          </w:r>
        </w:p>
        <w:p>
          <w:pPr>
            <w:pStyle w:val="10"/>
            <w:tabs>
              <w:tab w:val="right" w:leader="dot" w:pos="8306"/>
            </w:tabs>
            <w:ind w:left="0" w:leftChars="0" w:firstLine="0" w:firstLineChars="0"/>
          </w:pPr>
          <w:r>
            <w:fldChar w:fldCharType="begin"/>
          </w:r>
          <w:r>
            <w:instrText xml:space="preserve"> HYPERLINK \l _Toc22807 </w:instrText>
          </w:r>
          <w:r>
            <w:fldChar w:fldCharType="separate"/>
          </w:r>
          <w:r>
            <w:rPr>
              <w:rFonts w:hint="eastAsia" w:ascii="楷体" w:eastAsia="楷体" w:cs="楷体"/>
              <w:szCs w:val="32"/>
            </w:rPr>
            <w:t>（一） 主要职能</w:t>
          </w:r>
          <w:r>
            <w:tab/>
          </w:r>
          <w:r>
            <w:fldChar w:fldCharType="begin"/>
          </w:r>
          <w:r>
            <w:instrText xml:space="preserve"> PAGEREF _Toc22807 \h </w:instrText>
          </w:r>
          <w:r>
            <w:fldChar w:fldCharType="separate"/>
          </w:r>
          <w:r>
            <w:t>1</w:t>
          </w:r>
          <w:r>
            <w:fldChar w:fldCharType="end"/>
          </w:r>
          <w:r>
            <w:fldChar w:fldCharType="end"/>
          </w:r>
        </w:p>
        <w:p>
          <w:pPr>
            <w:pStyle w:val="10"/>
            <w:tabs>
              <w:tab w:val="right" w:leader="dot" w:pos="8306"/>
            </w:tabs>
            <w:ind w:left="0" w:leftChars="0" w:firstLine="0" w:firstLineChars="0"/>
          </w:pPr>
          <w:r>
            <w:fldChar w:fldCharType="begin"/>
          </w:r>
          <w:r>
            <w:instrText xml:space="preserve"> HYPERLINK \l _Toc11086 </w:instrText>
          </w:r>
          <w:r>
            <w:fldChar w:fldCharType="separate"/>
          </w:r>
          <w:r>
            <w:rPr>
              <w:rFonts w:hint="eastAsia" w:ascii="楷体" w:eastAsia="楷体" w:cs="楷体"/>
              <w:bCs/>
              <w:szCs w:val="32"/>
            </w:rPr>
            <w:t>（</w:t>
          </w:r>
          <w:r>
            <w:rPr>
              <w:rFonts w:hint="eastAsia" w:ascii="楷体" w:eastAsia="楷体" w:cs="楷体"/>
              <w:bCs/>
              <w:szCs w:val="32"/>
              <w:lang w:eastAsia="zh-CN"/>
            </w:rPr>
            <w:t>二</w:t>
          </w:r>
          <w:r>
            <w:rPr>
              <w:rFonts w:hint="eastAsia" w:ascii="楷体" w:eastAsia="楷体" w:cs="楷体"/>
              <w:bCs/>
              <w:szCs w:val="32"/>
            </w:rPr>
            <w:t>）当年取得的主要成效</w:t>
          </w:r>
          <w:r>
            <w:tab/>
          </w:r>
          <w:r>
            <w:fldChar w:fldCharType="begin"/>
          </w:r>
          <w:r>
            <w:instrText xml:space="preserve"> PAGEREF _Toc11086 \h </w:instrText>
          </w:r>
          <w:r>
            <w:fldChar w:fldCharType="separate"/>
          </w:r>
          <w:r>
            <w:t>2</w:t>
          </w:r>
          <w:r>
            <w:fldChar w:fldCharType="end"/>
          </w:r>
          <w:r>
            <w:fldChar w:fldCharType="end"/>
          </w:r>
        </w:p>
        <w:p>
          <w:pPr>
            <w:pStyle w:val="16"/>
            <w:tabs>
              <w:tab w:val="right" w:leader="dot" w:pos="8306"/>
            </w:tabs>
            <w:ind w:left="0" w:leftChars="0" w:firstLine="0" w:firstLineChars="0"/>
          </w:pPr>
          <w:r>
            <w:fldChar w:fldCharType="begin"/>
          </w:r>
          <w:r>
            <w:instrText xml:space="preserve"> HYPERLINK \l _Toc4614 </w:instrText>
          </w:r>
          <w:r>
            <w:fldChar w:fldCharType="separate"/>
          </w:r>
          <w:r>
            <w:rPr>
              <w:rFonts w:hint="eastAsia" w:ascii="黑体" w:eastAsia="黑体" w:cs="黑体"/>
              <w:bCs w:val="0"/>
              <w:szCs w:val="32"/>
              <w:lang w:eastAsia="zh-CN"/>
            </w:rPr>
            <w:t xml:space="preserve">二、 </w:t>
          </w:r>
          <w:r>
            <w:rPr>
              <w:rFonts w:hint="eastAsia" w:ascii="黑体" w:eastAsia="黑体" w:cs="黑体"/>
              <w:bCs w:val="0"/>
              <w:szCs w:val="32"/>
            </w:rPr>
            <w:t>机构设置</w:t>
          </w:r>
          <w:r>
            <w:rPr>
              <w:rFonts w:hint="eastAsia" w:ascii="黑体" w:eastAsia="黑体" w:cs="黑体"/>
              <w:bCs w:val="0"/>
              <w:szCs w:val="32"/>
              <w:lang w:eastAsia="zh-CN"/>
            </w:rPr>
            <w:t>和人员情况</w:t>
          </w:r>
          <w:r>
            <w:tab/>
          </w:r>
          <w:r>
            <w:fldChar w:fldCharType="begin"/>
          </w:r>
          <w:r>
            <w:instrText xml:space="preserve"> PAGEREF _Toc4614 \h </w:instrText>
          </w:r>
          <w:r>
            <w:fldChar w:fldCharType="separate"/>
          </w:r>
          <w:r>
            <w:t>3</w:t>
          </w:r>
          <w:r>
            <w:fldChar w:fldCharType="end"/>
          </w:r>
          <w:r>
            <w:fldChar w:fldCharType="end"/>
          </w:r>
        </w:p>
        <w:p>
          <w:pPr>
            <w:pStyle w:val="13"/>
            <w:tabs>
              <w:tab w:val="right" w:leader="dot" w:pos="8306"/>
            </w:tabs>
            <w:ind w:left="0" w:firstLine="0" w:firstLineChars="0"/>
          </w:pPr>
          <w:r>
            <w:fldChar w:fldCharType="begin"/>
          </w:r>
          <w:r>
            <w:instrText xml:space="preserve"> HYPERLINK \l _Toc19829 </w:instrText>
          </w:r>
          <w:r>
            <w:fldChar w:fldCharType="separate"/>
          </w:r>
          <w:r>
            <w:rPr>
              <w:rFonts w:ascii="Times New Roman" w:hAnsi="Times New Roman" w:cs="Times New Roman"/>
              <w:bCs/>
              <w:szCs w:val="44"/>
              <w:lang w:val="en-US" w:eastAsia="zh-CN"/>
            </w:rPr>
            <w:t>第二部分</w:t>
          </w:r>
          <w:r>
            <w:rPr>
              <w:rFonts w:hint="eastAsia" w:ascii="Times New Roman" w:hAnsi="Times New Roman" w:cs="Times New Roman"/>
              <w:bCs/>
              <w:szCs w:val="44"/>
              <w:lang w:val="en-US" w:eastAsia="zh-CN"/>
            </w:rPr>
            <w:t xml:space="preserve">  </w:t>
          </w:r>
          <w:r>
            <w:rPr>
              <w:rFonts w:hint="eastAsia" w:cs="Times New Roman"/>
              <w:bCs/>
              <w:szCs w:val="44"/>
              <w:lang w:val="en-US" w:eastAsia="zh-CN"/>
            </w:rPr>
            <w:t>2022年</w:t>
          </w:r>
          <w:r>
            <w:rPr>
              <w:rFonts w:ascii="Times New Roman" w:hAnsi="Times New Roman" w:cs="Times New Roman"/>
              <w:bCs/>
              <w:szCs w:val="44"/>
              <w:lang w:val="en-US" w:eastAsia="zh-CN"/>
            </w:rPr>
            <w:t>度部门决算情况说明</w:t>
          </w:r>
          <w:r>
            <w:tab/>
          </w:r>
          <w:r>
            <w:fldChar w:fldCharType="begin"/>
          </w:r>
          <w:r>
            <w:instrText xml:space="preserve"> PAGEREF _Toc19829 \h </w:instrText>
          </w:r>
          <w:r>
            <w:fldChar w:fldCharType="separate"/>
          </w:r>
          <w:r>
            <w:t>4</w:t>
          </w:r>
          <w:r>
            <w:fldChar w:fldCharType="end"/>
          </w:r>
          <w:r>
            <w:fldChar w:fldCharType="end"/>
          </w:r>
        </w:p>
        <w:p>
          <w:pPr>
            <w:pStyle w:val="16"/>
            <w:tabs>
              <w:tab w:val="right" w:leader="dot" w:pos="8306"/>
            </w:tabs>
            <w:ind w:left="0" w:leftChars="0" w:firstLine="0" w:firstLineChars="0"/>
          </w:pPr>
          <w:r>
            <w:fldChar w:fldCharType="begin"/>
          </w:r>
          <w:r>
            <w:instrText xml:space="preserve"> HYPERLINK \l _Toc30040 </w:instrText>
          </w:r>
          <w:r>
            <w:fldChar w:fldCharType="separate"/>
          </w:r>
          <w:r>
            <w:rPr>
              <w:rFonts w:hint="eastAsia" w:ascii="黑体" w:eastAsia="黑体"/>
              <w:szCs w:val="32"/>
            </w:rPr>
            <w:t>一、收</w:t>
          </w:r>
          <w:r>
            <w:rPr>
              <w:rFonts w:hint="eastAsia" w:ascii="黑体" w:eastAsia="黑体"/>
              <w:bCs/>
              <w:szCs w:val="32"/>
            </w:rPr>
            <w:t>入支出决算总体情况说明</w:t>
          </w:r>
          <w:r>
            <w:tab/>
          </w:r>
          <w:r>
            <w:fldChar w:fldCharType="begin"/>
          </w:r>
          <w:r>
            <w:instrText xml:space="preserve"> PAGEREF _Toc30040 \h </w:instrText>
          </w:r>
          <w:r>
            <w:fldChar w:fldCharType="separate"/>
          </w:r>
          <w:r>
            <w:t>4</w:t>
          </w:r>
          <w:r>
            <w:fldChar w:fldCharType="end"/>
          </w:r>
          <w:r>
            <w:fldChar w:fldCharType="end"/>
          </w:r>
        </w:p>
        <w:p>
          <w:pPr>
            <w:pStyle w:val="16"/>
            <w:tabs>
              <w:tab w:val="right" w:leader="dot" w:pos="8306"/>
            </w:tabs>
            <w:ind w:left="0" w:leftChars="0" w:firstLine="0" w:firstLineChars="0"/>
          </w:pPr>
          <w:r>
            <w:fldChar w:fldCharType="begin"/>
          </w:r>
          <w:r>
            <w:instrText xml:space="preserve"> HYPERLINK \l _Toc13392 </w:instrText>
          </w:r>
          <w:r>
            <w:fldChar w:fldCharType="separate"/>
          </w:r>
          <w:r>
            <w:rPr>
              <w:rFonts w:hint="eastAsia" w:ascii="黑体" w:eastAsia="黑体" w:cs="Times New Roman"/>
              <w:kern w:val="2"/>
              <w:szCs w:val="32"/>
              <w:lang w:val="en-US" w:eastAsia="zh-CN" w:bidi="ar-SA"/>
            </w:rPr>
            <w:t>二、收入决算情况说明</w:t>
          </w:r>
          <w:r>
            <w:tab/>
          </w:r>
          <w:r>
            <w:fldChar w:fldCharType="begin"/>
          </w:r>
          <w:r>
            <w:instrText xml:space="preserve"> PAGEREF _Toc13392 \h </w:instrText>
          </w:r>
          <w:r>
            <w:fldChar w:fldCharType="separate"/>
          </w:r>
          <w:r>
            <w:t>4</w:t>
          </w:r>
          <w:r>
            <w:fldChar w:fldCharType="end"/>
          </w:r>
          <w:r>
            <w:fldChar w:fldCharType="end"/>
          </w:r>
        </w:p>
        <w:p>
          <w:pPr>
            <w:pStyle w:val="16"/>
            <w:tabs>
              <w:tab w:val="right" w:leader="dot" w:pos="8306"/>
            </w:tabs>
            <w:ind w:left="0" w:leftChars="0" w:firstLine="0" w:firstLineChars="0"/>
          </w:pPr>
          <w:r>
            <w:fldChar w:fldCharType="begin"/>
          </w:r>
          <w:r>
            <w:instrText xml:space="preserve"> HYPERLINK \l _Toc17396 </w:instrText>
          </w:r>
          <w:r>
            <w:fldChar w:fldCharType="separate"/>
          </w:r>
          <w:r>
            <w:rPr>
              <w:rFonts w:hint="eastAsia" w:ascii="黑体" w:eastAsia="黑体"/>
              <w:szCs w:val="32"/>
              <w:lang w:eastAsia="zh-CN"/>
            </w:rPr>
            <w:t>三、</w:t>
          </w:r>
          <w:r>
            <w:rPr>
              <w:rFonts w:hint="eastAsia" w:ascii="黑体" w:eastAsia="黑体"/>
              <w:szCs w:val="32"/>
            </w:rPr>
            <w:t>支</w:t>
          </w:r>
          <w:r>
            <w:rPr>
              <w:rFonts w:hint="eastAsia" w:ascii="黑体" w:eastAsia="黑体"/>
              <w:bCs/>
              <w:szCs w:val="32"/>
            </w:rPr>
            <w:t>出决算情况说明</w:t>
          </w:r>
          <w:r>
            <w:tab/>
          </w:r>
          <w:r>
            <w:fldChar w:fldCharType="begin"/>
          </w:r>
          <w:r>
            <w:instrText xml:space="preserve"> PAGEREF _Toc17396 \h </w:instrText>
          </w:r>
          <w:r>
            <w:fldChar w:fldCharType="separate"/>
          </w:r>
          <w:r>
            <w:t>4</w:t>
          </w:r>
          <w:r>
            <w:fldChar w:fldCharType="end"/>
          </w:r>
          <w:r>
            <w:fldChar w:fldCharType="end"/>
          </w:r>
        </w:p>
        <w:p>
          <w:pPr>
            <w:pStyle w:val="16"/>
            <w:tabs>
              <w:tab w:val="right" w:leader="dot" w:pos="8306"/>
            </w:tabs>
            <w:ind w:left="0" w:leftChars="0" w:firstLine="0" w:firstLineChars="0"/>
          </w:pPr>
          <w:r>
            <w:fldChar w:fldCharType="begin"/>
          </w:r>
          <w:r>
            <w:instrText xml:space="preserve"> HYPERLINK \l _Toc7700 </w:instrText>
          </w:r>
          <w: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_Toc7700 \h </w:instrText>
          </w:r>
          <w:r>
            <w:fldChar w:fldCharType="separate"/>
          </w:r>
          <w:r>
            <w:t>4</w:t>
          </w:r>
          <w:r>
            <w:fldChar w:fldCharType="end"/>
          </w:r>
          <w:r>
            <w:fldChar w:fldCharType="end"/>
          </w:r>
        </w:p>
        <w:p>
          <w:pPr>
            <w:pStyle w:val="16"/>
            <w:tabs>
              <w:tab w:val="right" w:leader="dot" w:pos="8306"/>
            </w:tabs>
            <w:ind w:left="0" w:leftChars="0" w:firstLine="0" w:firstLineChars="0"/>
          </w:pPr>
          <w:r>
            <w:fldChar w:fldCharType="begin"/>
          </w:r>
          <w:r>
            <w:instrText xml:space="preserve"> HYPERLINK \l _Toc26750 </w:instrText>
          </w:r>
          <w:r>
            <w:fldChar w:fldCharType="separate"/>
          </w:r>
          <w:r>
            <w:rPr>
              <w:rFonts w:hint="eastAsia" w:ascii="黑体" w:eastAsia="黑体"/>
              <w:szCs w:val="32"/>
            </w:rPr>
            <w:t>五、一</w:t>
          </w:r>
          <w:r>
            <w:rPr>
              <w:rFonts w:hint="eastAsia" w:ascii="黑体" w:eastAsia="黑体"/>
            </w:rPr>
            <w:t>般公共预算财政拨款支出决算情况说明</w:t>
          </w:r>
          <w:r>
            <w:tab/>
          </w:r>
          <w:r>
            <w:fldChar w:fldCharType="begin"/>
          </w:r>
          <w:r>
            <w:instrText xml:space="preserve"> PAGEREF _Toc26750 \h </w:instrText>
          </w:r>
          <w:r>
            <w:fldChar w:fldCharType="separate"/>
          </w:r>
          <w:r>
            <w:t>4</w:t>
          </w:r>
          <w:r>
            <w:fldChar w:fldCharType="end"/>
          </w:r>
          <w:r>
            <w:fldChar w:fldCharType="end"/>
          </w:r>
        </w:p>
        <w:p>
          <w:pPr>
            <w:pStyle w:val="10"/>
            <w:tabs>
              <w:tab w:val="right" w:leader="dot" w:pos="8306"/>
            </w:tabs>
            <w:ind w:left="0" w:leftChars="0" w:firstLine="0" w:firstLineChars="0"/>
          </w:pPr>
          <w:r>
            <w:fldChar w:fldCharType="begin"/>
          </w:r>
          <w:r>
            <w:instrText xml:space="preserve"> HYPERLINK \l _Toc25357 </w:instrText>
          </w:r>
          <w:r>
            <w:fldChar w:fldCharType="separate"/>
          </w:r>
          <w:r>
            <w:rPr>
              <w:rFonts w:hint="eastAsia" w:ascii="仿宋" w:eastAsia="仿宋"/>
              <w:szCs w:val="32"/>
            </w:rPr>
            <w:t>（一）一般公共预算财政拨款支出决算总体情况</w:t>
          </w:r>
          <w:r>
            <w:tab/>
          </w:r>
          <w:r>
            <w:fldChar w:fldCharType="begin"/>
          </w:r>
          <w:r>
            <w:instrText xml:space="preserve"> PAGEREF _Toc25357 \h </w:instrText>
          </w:r>
          <w:r>
            <w:fldChar w:fldCharType="separate"/>
          </w:r>
          <w:r>
            <w:t>4</w:t>
          </w:r>
          <w:r>
            <w:fldChar w:fldCharType="end"/>
          </w:r>
          <w:r>
            <w:fldChar w:fldCharType="end"/>
          </w:r>
        </w:p>
        <w:p>
          <w:pPr>
            <w:pStyle w:val="10"/>
            <w:tabs>
              <w:tab w:val="right" w:leader="dot" w:pos="8306"/>
            </w:tabs>
            <w:ind w:left="0" w:leftChars="0" w:firstLine="0" w:firstLineChars="0"/>
          </w:pPr>
          <w:r>
            <w:fldChar w:fldCharType="begin"/>
          </w:r>
          <w:r>
            <w:instrText xml:space="preserve"> HYPERLINK \l _Toc31079 </w:instrText>
          </w:r>
          <w:r>
            <w:fldChar w:fldCharType="separate"/>
          </w:r>
          <w:r>
            <w:rPr>
              <w:rFonts w:hint="eastAsia" w:ascii="仿宋" w:eastAsia="仿宋"/>
              <w:szCs w:val="32"/>
            </w:rPr>
            <w:t>（二）一般公共预算财政拨款支出决算结构情况</w:t>
          </w:r>
          <w:r>
            <w:tab/>
          </w:r>
          <w:r>
            <w:fldChar w:fldCharType="begin"/>
          </w:r>
          <w:r>
            <w:instrText xml:space="preserve"> PAGEREF _Toc31079 \h </w:instrText>
          </w:r>
          <w:r>
            <w:fldChar w:fldCharType="separate"/>
          </w:r>
          <w:r>
            <w:t>4</w:t>
          </w:r>
          <w:r>
            <w:fldChar w:fldCharType="end"/>
          </w:r>
          <w:r>
            <w:fldChar w:fldCharType="end"/>
          </w:r>
        </w:p>
        <w:p>
          <w:pPr>
            <w:pStyle w:val="10"/>
            <w:tabs>
              <w:tab w:val="right" w:leader="dot" w:pos="8306"/>
            </w:tabs>
            <w:ind w:left="0" w:leftChars="0" w:firstLine="0" w:firstLineChars="0"/>
          </w:pPr>
          <w:r>
            <w:fldChar w:fldCharType="begin"/>
          </w:r>
          <w:r>
            <w:instrText xml:space="preserve"> HYPERLINK \l _Toc10744 </w:instrText>
          </w:r>
          <w:r>
            <w:fldChar w:fldCharType="separate"/>
          </w:r>
          <w:r>
            <w:rPr>
              <w:rFonts w:hint="eastAsia" w:ascii="仿宋" w:eastAsia="仿宋"/>
              <w:szCs w:val="32"/>
            </w:rPr>
            <w:t>（三）一般公共预算财政拨款支出决算具体情况</w:t>
          </w:r>
          <w:r>
            <w:tab/>
          </w:r>
          <w:r>
            <w:fldChar w:fldCharType="begin"/>
          </w:r>
          <w:r>
            <w:instrText xml:space="preserve"> PAGEREF _Toc10744 \h </w:instrText>
          </w:r>
          <w:r>
            <w:fldChar w:fldCharType="separate"/>
          </w:r>
          <w:r>
            <w:t>5</w:t>
          </w:r>
          <w:r>
            <w:fldChar w:fldCharType="end"/>
          </w:r>
          <w:r>
            <w:fldChar w:fldCharType="end"/>
          </w:r>
        </w:p>
        <w:p>
          <w:pPr>
            <w:pStyle w:val="16"/>
            <w:tabs>
              <w:tab w:val="right" w:leader="dot" w:pos="8306"/>
            </w:tabs>
            <w:ind w:left="0" w:leftChars="0" w:firstLine="0" w:firstLineChars="0"/>
          </w:pPr>
          <w:r>
            <w:fldChar w:fldCharType="begin"/>
          </w:r>
          <w:r>
            <w:instrText xml:space="preserve"> HYPERLINK \l _Toc27736 </w:instrText>
          </w:r>
          <w: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_Toc27736 \h </w:instrText>
          </w:r>
          <w:r>
            <w:fldChar w:fldCharType="separate"/>
          </w:r>
          <w:r>
            <w:t>5</w:t>
          </w:r>
          <w:r>
            <w:fldChar w:fldCharType="end"/>
          </w:r>
          <w:r>
            <w:fldChar w:fldCharType="end"/>
          </w:r>
        </w:p>
        <w:p>
          <w:pPr>
            <w:pStyle w:val="16"/>
            <w:tabs>
              <w:tab w:val="right" w:leader="dot" w:pos="8306"/>
            </w:tabs>
            <w:ind w:left="0" w:leftChars="0" w:firstLine="0" w:firstLineChars="0"/>
          </w:pPr>
          <w:r>
            <w:fldChar w:fldCharType="begin"/>
          </w:r>
          <w:r>
            <w:instrText xml:space="preserve"> HYPERLINK \l _Toc23598 </w:instrText>
          </w:r>
          <w: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_Toc23598 \h </w:instrText>
          </w:r>
          <w:r>
            <w:fldChar w:fldCharType="separate"/>
          </w:r>
          <w:r>
            <w:t>6</w:t>
          </w:r>
          <w:r>
            <w:fldChar w:fldCharType="end"/>
          </w:r>
          <w:r>
            <w:fldChar w:fldCharType="end"/>
          </w:r>
        </w:p>
        <w:p>
          <w:pPr>
            <w:pStyle w:val="10"/>
            <w:tabs>
              <w:tab w:val="right" w:leader="dot" w:pos="8306"/>
            </w:tabs>
            <w:ind w:left="0" w:leftChars="0" w:firstLine="0" w:firstLineChars="0"/>
          </w:pPr>
          <w:r>
            <w:fldChar w:fldCharType="begin"/>
          </w:r>
          <w:r>
            <w:instrText xml:space="preserve"> HYPERLINK \l _Toc3639 </w:instrText>
          </w:r>
          <w:r>
            <w:fldChar w:fldCharType="separate"/>
          </w:r>
          <w:r>
            <w:rPr>
              <w:rFonts w:hint="eastAsia" w:ascii="仿宋" w:eastAsia="仿宋"/>
              <w:szCs w:val="32"/>
            </w:rPr>
            <w:t>（一）“三公”经费财政拨款支出决算总体情况说明</w:t>
          </w:r>
          <w:r>
            <w:tab/>
          </w:r>
          <w:r>
            <w:fldChar w:fldCharType="begin"/>
          </w:r>
          <w:r>
            <w:instrText xml:space="preserve"> PAGEREF _Toc3639 \h </w:instrText>
          </w:r>
          <w:r>
            <w:fldChar w:fldCharType="separate"/>
          </w:r>
          <w:r>
            <w:t>6</w:t>
          </w:r>
          <w:r>
            <w:fldChar w:fldCharType="end"/>
          </w:r>
          <w:r>
            <w:fldChar w:fldCharType="end"/>
          </w:r>
        </w:p>
        <w:p>
          <w:pPr>
            <w:pStyle w:val="10"/>
            <w:tabs>
              <w:tab w:val="right" w:leader="dot" w:pos="8306"/>
            </w:tabs>
            <w:ind w:left="0" w:leftChars="0" w:firstLine="0" w:firstLineChars="0"/>
          </w:pPr>
          <w:r>
            <w:fldChar w:fldCharType="begin"/>
          </w:r>
          <w:r>
            <w:instrText xml:space="preserve"> HYPERLINK \l _Toc16427 </w:instrText>
          </w:r>
          <w:r>
            <w:fldChar w:fldCharType="separate"/>
          </w:r>
          <w:r>
            <w:rPr>
              <w:rFonts w:hint="eastAsia" w:ascii="仿宋" w:eastAsia="仿宋"/>
              <w:szCs w:val="32"/>
            </w:rPr>
            <w:t>（二）“三公”经费财政拨款支出决算具体情况说明</w:t>
          </w:r>
          <w:r>
            <w:tab/>
          </w:r>
          <w:r>
            <w:fldChar w:fldCharType="begin"/>
          </w:r>
          <w:r>
            <w:instrText xml:space="preserve"> PAGEREF _Toc16427 \h </w:instrText>
          </w:r>
          <w:r>
            <w:fldChar w:fldCharType="separate"/>
          </w:r>
          <w:r>
            <w:t>6</w:t>
          </w:r>
          <w:r>
            <w:fldChar w:fldCharType="end"/>
          </w:r>
          <w:r>
            <w:fldChar w:fldCharType="end"/>
          </w:r>
        </w:p>
        <w:p>
          <w:pPr>
            <w:pStyle w:val="16"/>
            <w:tabs>
              <w:tab w:val="right" w:leader="dot" w:pos="8306"/>
            </w:tabs>
            <w:ind w:left="0" w:leftChars="0" w:firstLine="0" w:firstLineChars="0"/>
          </w:pPr>
          <w:r>
            <w:fldChar w:fldCharType="begin"/>
          </w:r>
          <w:r>
            <w:instrText xml:space="preserve"> HYPERLINK \l _Toc11287 </w:instrText>
          </w:r>
          <w:r>
            <w:fldChar w:fldCharType="separate"/>
          </w:r>
          <w:r>
            <w:rPr>
              <w:rFonts w:hint="eastAsia" w:ascii="黑体" w:eastAsia="黑体" w:cs="黑体"/>
              <w:bCs w:val="0"/>
              <w:szCs w:val="32"/>
              <w:lang w:val="en-US" w:eastAsia="zh-CN"/>
            </w:rPr>
            <w:t>八</w:t>
          </w:r>
          <w:r>
            <w:rPr>
              <w:rFonts w:hint="eastAsia" w:ascii="黑体" w:eastAsia="黑体" w:cs="黑体"/>
              <w:bCs w:val="0"/>
              <w:szCs w:val="32"/>
            </w:rPr>
            <w:t>、政府性基金预算财政拨款支出决算情况</w:t>
          </w:r>
          <w:r>
            <w:tab/>
          </w:r>
          <w:r>
            <w:fldChar w:fldCharType="begin"/>
          </w:r>
          <w:r>
            <w:instrText xml:space="preserve"> PAGEREF _Toc11287 \h </w:instrText>
          </w:r>
          <w:r>
            <w:fldChar w:fldCharType="separate"/>
          </w:r>
          <w:r>
            <w:t>7</w:t>
          </w:r>
          <w:r>
            <w:fldChar w:fldCharType="end"/>
          </w:r>
          <w:r>
            <w:fldChar w:fldCharType="end"/>
          </w:r>
        </w:p>
        <w:p>
          <w:pPr>
            <w:pStyle w:val="16"/>
            <w:tabs>
              <w:tab w:val="right" w:leader="dot" w:pos="8306"/>
            </w:tabs>
            <w:ind w:left="0" w:leftChars="0" w:firstLine="0" w:firstLineChars="0"/>
          </w:pPr>
          <w:r>
            <w:fldChar w:fldCharType="begin"/>
          </w:r>
          <w:r>
            <w:instrText xml:space="preserve"> HYPERLINK \l _Toc5420 </w:instrText>
          </w:r>
          <w:r>
            <w:fldChar w:fldCharType="separate"/>
          </w:r>
          <w:r>
            <w:rPr>
              <w:rFonts w:hint="eastAsia" w:ascii="黑体" w:eastAsia="黑体" w:cs="Times New Roman"/>
            </w:rPr>
            <w:t xml:space="preserve">九、 </w:t>
          </w:r>
          <w:r>
            <w:rPr>
              <w:rFonts w:hint="eastAsia" w:ascii="黑体" w:eastAsia="黑体"/>
            </w:rPr>
            <w:t>国有资本经营预算支出决算情况说明</w:t>
          </w:r>
          <w:r>
            <w:tab/>
          </w:r>
          <w:r>
            <w:fldChar w:fldCharType="begin"/>
          </w:r>
          <w:r>
            <w:instrText xml:space="preserve"> PAGEREF _Toc5420 \h </w:instrText>
          </w:r>
          <w:r>
            <w:fldChar w:fldCharType="separate"/>
          </w:r>
          <w:r>
            <w:t>7</w:t>
          </w:r>
          <w:r>
            <w:fldChar w:fldCharType="end"/>
          </w:r>
          <w:r>
            <w:fldChar w:fldCharType="end"/>
          </w:r>
        </w:p>
        <w:p>
          <w:pPr>
            <w:pStyle w:val="16"/>
            <w:tabs>
              <w:tab w:val="right" w:leader="dot" w:pos="8306"/>
            </w:tabs>
            <w:ind w:left="0" w:leftChars="0" w:firstLine="0" w:firstLineChars="0"/>
          </w:pPr>
          <w:r>
            <w:fldChar w:fldCharType="begin"/>
          </w:r>
          <w:r>
            <w:instrText xml:space="preserve"> HYPERLINK \l _Toc31947 </w:instrText>
          </w:r>
          <w:r>
            <w:fldChar w:fldCharType="separate"/>
          </w:r>
          <w:r>
            <w:rPr>
              <w:rFonts w:hint="eastAsia" w:ascii="黑体" w:eastAsia="黑体"/>
              <w:bCs w:val="0"/>
              <w:szCs w:val="32"/>
              <w:lang w:eastAsia="zh-CN"/>
            </w:rPr>
            <w:t>十</w:t>
          </w:r>
          <w:r>
            <w:rPr>
              <w:rFonts w:hint="eastAsia" w:ascii="黑体" w:eastAsia="黑体"/>
              <w:bCs w:val="0"/>
              <w:szCs w:val="32"/>
            </w:rPr>
            <w:t>、其他重要事项的情况说明</w:t>
          </w:r>
          <w:r>
            <w:tab/>
          </w:r>
          <w:r>
            <w:fldChar w:fldCharType="begin"/>
          </w:r>
          <w:r>
            <w:instrText xml:space="preserve"> PAGEREF _Toc31947 \h </w:instrText>
          </w:r>
          <w:r>
            <w:fldChar w:fldCharType="separate"/>
          </w:r>
          <w:r>
            <w:t>7</w:t>
          </w:r>
          <w:r>
            <w:fldChar w:fldCharType="end"/>
          </w:r>
          <w:r>
            <w:fldChar w:fldCharType="end"/>
          </w:r>
        </w:p>
        <w:p>
          <w:pPr>
            <w:pStyle w:val="13"/>
            <w:tabs>
              <w:tab w:val="right" w:leader="dot" w:pos="8306"/>
            </w:tabs>
            <w:ind w:left="0" w:firstLine="0" w:firstLineChars="0"/>
          </w:pPr>
          <w:r>
            <w:fldChar w:fldCharType="begin"/>
          </w:r>
          <w:r>
            <w:instrText xml:space="preserve"> HYPERLINK \l _Toc26198 </w:instrText>
          </w:r>
          <w:r>
            <w:fldChar w:fldCharType="separate"/>
          </w:r>
          <w:r>
            <w:rPr>
              <w:rFonts w:hint="eastAsia" w:ascii="方正小标宋简体" w:eastAsia="方正小标宋简体" w:cs="Times New Roman"/>
              <w:szCs w:val="44"/>
            </w:rPr>
            <w:t>第三部分  名</w:t>
          </w:r>
          <w:r>
            <w:rPr>
              <w:rFonts w:hint="eastAsia" w:ascii="方正小标宋简体" w:eastAsia="方正小标宋简体" w:cs="Times New Roman"/>
              <w:bCs/>
              <w:kern w:val="44"/>
              <w:szCs w:val="44"/>
            </w:rPr>
            <w:t>词解释</w:t>
          </w:r>
          <w:r>
            <w:tab/>
          </w:r>
          <w:r>
            <w:fldChar w:fldCharType="begin"/>
          </w:r>
          <w:r>
            <w:instrText xml:space="preserve"> PAGEREF _Toc26198 \h </w:instrText>
          </w:r>
          <w:r>
            <w:fldChar w:fldCharType="separate"/>
          </w:r>
          <w:r>
            <w:t>9</w:t>
          </w:r>
          <w:r>
            <w:fldChar w:fldCharType="end"/>
          </w:r>
          <w:r>
            <w:fldChar w:fldCharType="end"/>
          </w:r>
        </w:p>
        <w:p>
          <w:pPr>
            <w:pStyle w:val="13"/>
            <w:tabs>
              <w:tab w:val="right" w:leader="dot" w:pos="8306"/>
            </w:tabs>
            <w:ind w:left="0" w:firstLine="0" w:firstLineChars="0"/>
          </w:pPr>
          <w:r>
            <w:fldChar w:fldCharType="begin"/>
          </w:r>
          <w:r>
            <w:instrText xml:space="preserve"> HYPERLINK \l _Toc10381 </w:instrText>
          </w:r>
          <w:r>
            <w:fldChar w:fldCharType="separate"/>
          </w:r>
          <w:r>
            <w:rPr>
              <w:rFonts w:hint="eastAsia" w:ascii="方正小标宋简体" w:eastAsia="方正小标宋简体" w:cs="方正小标宋简体"/>
              <w:bCs/>
              <w:szCs w:val="44"/>
              <w:lang w:val="en-US" w:eastAsia="zh-CN"/>
            </w:rPr>
            <w:t>第四部分  附件</w:t>
          </w:r>
          <w:r>
            <w:tab/>
          </w:r>
          <w:r>
            <w:fldChar w:fldCharType="begin"/>
          </w:r>
          <w:r>
            <w:instrText xml:space="preserve"> PAGEREF _Toc10381 \h </w:instrText>
          </w:r>
          <w:r>
            <w:fldChar w:fldCharType="separate"/>
          </w:r>
          <w:r>
            <w:t>11</w:t>
          </w:r>
          <w:r>
            <w:fldChar w:fldCharType="end"/>
          </w:r>
          <w:r>
            <w:fldChar w:fldCharType="end"/>
          </w:r>
        </w:p>
        <w:p>
          <w:pPr>
            <w:pStyle w:val="13"/>
            <w:tabs>
              <w:tab w:val="right" w:leader="dot" w:pos="8306"/>
            </w:tabs>
            <w:ind w:left="0" w:firstLine="0" w:firstLineChars="0"/>
          </w:pPr>
          <w:r>
            <w:fldChar w:fldCharType="begin"/>
          </w:r>
          <w:r>
            <w:instrText xml:space="preserve"> HYPERLINK \l _Toc13367 </w:instrText>
          </w:r>
          <w:r>
            <w:fldChar w:fldCharType="separate"/>
          </w:r>
          <w:r>
            <w:rPr>
              <w:rFonts w:ascii="Times New Roman" w:hAnsi="Times New Roman" w:eastAsia="方正小标宋简体" w:cs="Times New Roman"/>
              <w:bCs/>
              <w:szCs w:val="44"/>
            </w:rPr>
            <w:t>第五部分附表</w:t>
          </w:r>
          <w:r>
            <w:tab/>
          </w:r>
          <w:r>
            <w:fldChar w:fldCharType="begin"/>
          </w:r>
          <w:r>
            <w:instrText xml:space="preserve"> PAGEREF _Toc13367 \h </w:instrText>
          </w:r>
          <w:r>
            <w:fldChar w:fldCharType="separate"/>
          </w:r>
          <w:r>
            <w:t>16</w:t>
          </w:r>
          <w:r>
            <w:fldChar w:fldCharType="end"/>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color w:val="000000"/>
            </w:rPr>
            <w:t>一、收</w:t>
          </w:r>
          <w:r>
            <w:rPr>
              <w:rFonts w:hint="eastAsia" w:ascii="仿宋" w:eastAsia="仿宋"/>
            </w:rPr>
            <w:t>入支出决算总表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hint="eastAsia" w:ascii="仿宋" w:eastAsia="仿宋"/>
            </w:rPr>
          </w:pPr>
          <w:r>
            <w:rPr>
              <w:rFonts w:hint="eastAsia" w:ascii="仿宋" w:eastAsia="仿宋"/>
              <w:color w:val="000000"/>
            </w:rPr>
            <w:t>二、收</w:t>
          </w:r>
          <w:r>
            <w:rPr>
              <w:rFonts w:hint="eastAsia" w:ascii="仿宋" w:eastAsia="仿宋"/>
            </w:rPr>
            <w:t>入决算表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hint="eastAsia" w:ascii="仿宋" w:eastAsia="仿宋"/>
            </w:rPr>
          </w:pPr>
          <w:r>
            <w:rPr>
              <w:rFonts w:hint="eastAsia" w:ascii="仿宋" w:eastAsia="仿宋"/>
            </w:rPr>
            <w:t>三、</w:t>
          </w:r>
          <w:r>
            <w:rPr>
              <w:rFonts w:hint="eastAsia" w:ascii="仿宋" w:eastAsia="仿宋"/>
              <w:color w:val="000000"/>
            </w:rPr>
            <w:t>支</w:t>
          </w:r>
          <w:r>
            <w:rPr>
              <w:rFonts w:hint="eastAsia" w:ascii="仿宋" w:eastAsia="仿宋"/>
            </w:rPr>
            <w:t>出决算表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四、</w:t>
          </w:r>
          <w:r>
            <w:rPr>
              <w:rFonts w:hint="eastAsia" w:ascii="仿宋" w:eastAsia="仿宋"/>
              <w:color w:val="000000"/>
            </w:rPr>
            <w:t>财</w:t>
          </w:r>
          <w:r>
            <w:rPr>
              <w:rFonts w:hint="eastAsia" w:ascii="仿宋" w:eastAsia="仿宋"/>
            </w:rPr>
            <w:t>政拨款收入支出决算总表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五、</w:t>
          </w:r>
          <w:r>
            <w:rPr>
              <w:rFonts w:hint="eastAsia" w:ascii="仿宋" w:eastAsia="仿宋"/>
              <w:color w:val="000000"/>
            </w:rPr>
            <w:t>财</w:t>
          </w:r>
          <w:r>
            <w:rPr>
              <w:rFonts w:hint="eastAsia" w:ascii="仿宋" w:eastAsia="仿宋"/>
            </w:rPr>
            <w:t>政拨款支出决算明细表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hint="eastAsia" w:ascii="仿宋" w:eastAsia="仿宋"/>
            </w:rPr>
          </w:pPr>
          <w:r>
            <w:rPr>
              <w:rFonts w:hint="eastAsia" w:ascii="仿宋" w:eastAsia="仿宋"/>
            </w:rPr>
            <w:t>六、</w:t>
          </w:r>
          <w:r>
            <w:rPr>
              <w:rFonts w:hint="eastAsia" w:ascii="仿宋" w:eastAsia="仿宋"/>
              <w:color w:val="000000"/>
            </w:rPr>
            <w:t>一</w:t>
          </w:r>
          <w:r>
            <w:rPr>
              <w:rFonts w:hint="eastAsia" w:ascii="仿宋" w:eastAsia="仿宋"/>
            </w:rPr>
            <w:t>般公共预算财政拨款支出决算表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七、</w:t>
          </w:r>
          <w:r>
            <w:rPr>
              <w:rFonts w:hint="eastAsia" w:ascii="仿宋" w:eastAsia="仿宋"/>
              <w:color w:val="000000"/>
            </w:rPr>
            <w:t>一</w:t>
          </w:r>
          <w:r>
            <w:rPr>
              <w:rFonts w:hint="eastAsia" w:ascii="仿宋" w:eastAsia="仿宋"/>
            </w:rPr>
            <w:t>般公共预算财政拨款支出决算明细表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八、</w:t>
          </w:r>
          <w:r>
            <w:rPr>
              <w:rFonts w:hint="eastAsia" w:ascii="仿宋" w:eastAsia="仿宋"/>
              <w:color w:val="000000"/>
            </w:rPr>
            <w:t>一</w:t>
          </w:r>
          <w:r>
            <w:rPr>
              <w:rFonts w:hint="eastAsia" w:ascii="仿宋" w:eastAsia="仿宋"/>
            </w:rPr>
            <w:t>般公共预算财政拨款基本支出决算表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九、</w:t>
          </w:r>
          <w:r>
            <w:rPr>
              <w:rFonts w:hint="eastAsia" w:ascii="仿宋" w:eastAsia="仿宋"/>
              <w:color w:val="000000"/>
            </w:rPr>
            <w:t>一</w:t>
          </w:r>
          <w:r>
            <w:rPr>
              <w:rFonts w:hint="eastAsia" w:ascii="仿宋" w:eastAsia="仿宋"/>
            </w:rPr>
            <w:t>般公共预算财政拨款项目支出决算表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hint="eastAsia" w:ascii="仿宋" w:eastAsia="仿宋"/>
            </w:rPr>
          </w:pPr>
          <w:r>
            <w:rPr>
              <w:rFonts w:hint="eastAsia" w:ascii="仿宋" w:eastAsia="仿宋"/>
            </w:rPr>
            <w:t>十、政府性基金预算财政拨款收入支出决算表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十一、国有资本经营预算财政拨款收入支出决算表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十二、国有资本经营预算财政拨款支出决算表</w:t>
          </w:r>
          <w:r>
            <w:tab/>
          </w:r>
          <w:r>
            <w:fldChar w:fldCharType="begin"/>
          </w:r>
          <w:r>
            <w:instrText xml:space="preserve"> PAGEREF _Toc13367 \h </w:instrText>
          </w:r>
          <w:r>
            <w:fldChar w:fldCharType="separate"/>
          </w:r>
          <w:r>
            <w:t>16</w:t>
          </w:r>
          <w:r>
            <w:fldChar w:fldCharType="end"/>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十三、</w:t>
          </w:r>
          <w:r>
            <w:rPr>
              <w:rFonts w:hint="eastAsia" w:ascii="仿宋" w:eastAsia="仿宋"/>
              <w:color w:val="000000"/>
            </w:rPr>
            <w:t>财政拨款“三公”经费支出决算表</w:t>
          </w:r>
          <w:r>
            <w:tab/>
          </w:r>
          <w:r>
            <w:fldChar w:fldCharType="begin"/>
          </w:r>
          <w:r>
            <w:instrText xml:space="preserve"> PAGEREF _Toc13367 \h </w:instrText>
          </w:r>
          <w:r>
            <w:fldChar w:fldCharType="separate"/>
          </w:r>
          <w:r>
            <w:t>16</w:t>
          </w:r>
          <w:r>
            <w:fldChar w:fldCharType="end"/>
          </w:r>
        </w:p>
        <w:p/>
        <w:p>
          <w:r>
            <w:fldChar w:fldCharType="end"/>
          </w:r>
        </w:p>
      </w:sdtContent>
    </w:sdt>
    <w:p>
      <w:pPr>
        <w:rPr>
          <w:rFonts w:ascii="Times New Roman" w:hAnsi="Times New Roman" w:cs="Times New Roman"/>
          <w:szCs w:val="32"/>
        </w:rPr>
      </w:pPr>
    </w:p>
    <w:p>
      <w:pPr>
        <w:tabs>
          <w:tab w:val="left" w:pos="7431"/>
        </w:tabs>
        <w:ind w:left="0" w:firstLine="0" w:firstLineChars="0"/>
        <w:rPr>
          <w:rFonts w:ascii="Times New Roman" w:hAnsi="Times New Roman" w:cs="Times New Roman"/>
          <w:szCs w:val="32"/>
        </w:rPr>
      </w:pPr>
    </w:p>
    <w:p>
      <w:pPr>
        <w:pStyle w:val="4"/>
        <w:bidi w:val="0"/>
        <w:ind w:left="0" w:firstLine="0" w:firstLineChars="0"/>
        <w:jc w:val="both"/>
        <w:outlineLvl w:val="9"/>
        <w:rPr>
          <w:rFonts w:ascii="Times New Roman" w:hAnsi="Times New Roman" w:cs="Times New Roman"/>
        </w:rPr>
        <w:sectPr>
          <w:headerReference r:id="rId3" w:type="default"/>
          <w:pgSz w:w="11906" w:h="16838"/>
          <w:pgMar w:top="1440" w:right="1800" w:bottom="1440" w:left="1800" w:header="851" w:footer="992" w:gutter="0"/>
          <w:docGrid w:type="lines" w:linePitch="312" w:charSpace="0"/>
        </w:sectPr>
      </w:pPr>
      <w:bookmarkStart w:id="0" w:name="_Toc15122"/>
      <w:bookmarkStart w:id="1" w:name="_Toc61109019"/>
      <w:bookmarkStart w:id="2" w:name="_Toc10113"/>
      <w:bookmarkStart w:id="3" w:name="_Toc30529"/>
      <w:bookmarkStart w:id="4" w:name="YS060101"/>
      <w:bookmarkStart w:id="5" w:name="_Toc28780"/>
    </w:p>
    <w:p>
      <w:pPr>
        <w:pStyle w:val="4"/>
        <w:keepNext/>
        <w:keepLines/>
        <w:pageBreakBefore w:val="0"/>
        <w:widowControl w:val="0"/>
        <w:kinsoku/>
        <w:wordWrap/>
        <w:overflowPunct/>
        <w:topLinePunct w:val="0"/>
        <w:bidi w:val="0"/>
        <w:spacing w:line="560" w:lineRule="exact"/>
        <w:ind w:left="0" w:firstLine="0" w:firstLineChars="0"/>
        <w:jc w:val="center"/>
        <w:textAlignment w:val="auto"/>
        <w:rPr>
          <w:rFonts w:hint="eastAsia" w:ascii="Times New Roman" w:hAnsi="Times New Roman" w:cs="Times New Roman"/>
          <w:b w:val="0"/>
          <w:bCs/>
          <w:sz w:val="44"/>
          <w:szCs w:val="44"/>
          <w:lang w:val="en-US" w:eastAsia="zh-CN"/>
        </w:rPr>
      </w:pPr>
      <w:bookmarkStart w:id="6" w:name="_Toc11985"/>
      <w:r>
        <w:rPr>
          <w:rFonts w:ascii="Times New Roman" w:hAnsi="Times New Roman" w:cs="Times New Roman"/>
          <w:b w:val="0"/>
          <w:bCs/>
          <w:sz w:val="44"/>
          <w:szCs w:val="44"/>
          <w:lang w:val="en-US" w:eastAsia="zh-CN"/>
        </w:rPr>
        <w:t>第一部分</w:t>
      </w:r>
      <w:r>
        <w:rPr>
          <w:rFonts w:hint="eastAsia" w:cs="Times New Roman"/>
          <w:b w:val="0"/>
          <w:bCs/>
          <w:sz w:val="44"/>
          <w:szCs w:val="44"/>
          <w:lang w:val="en-US" w:eastAsia="zh-CN"/>
        </w:rPr>
        <w:t xml:space="preserve">  </w:t>
      </w:r>
      <w:r>
        <w:rPr>
          <w:rFonts w:ascii="Times New Roman" w:hAnsi="Times New Roman" w:cs="Times New Roman"/>
          <w:b w:val="0"/>
          <w:bCs/>
          <w:sz w:val="44"/>
          <w:szCs w:val="44"/>
          <w:lang w:val="en-US" w:eastAsia="zh-CN"/>
        </w:rPr>
        <w:t>部门概况</w:t>
      </w:r>
      <w:bookmarkEnd w:id="0"/>
      <w:bookmarkEnd w:id="1"/>
      <w:bookmarkEnd w:id="2"/>
      <w:bookmarkEnd w:id="3"/>
      <w:bookmarkEnd w:id="4"/>
      <w:bookmarkEnd w:id="6"/>
    </w:p>
    <w:p>
      <w:pPr>
        <w:keepNext w:val="0"/>
        <w:keepLines w:val="0"/>
        <w:pageBreakBefore w:val="0"/>
        <w:widowControl w:val="0"/>
        <w:numPr>
          <w:ilvl w:val="0"/>
          <w:numId w:val="1"/>
        </w:numPr>
        <w:kinsoku/>
        <w:wordWrap/>
        <w:overflowPunct/>
        <w:topLinePunct w:val="0"/>
        <w:bidi w:val="0"/>
        <w:snapToGrid w:val="0"/>
        <w:spacing w:line="560" w:lineRule="exact"/>
        <w:ind w:left="0" w:firstLine="640" w:firstLineChars="200"/>
        <w:textAlignment w:val="auto"/>
        <w:outlineLvl w:val="1"/>
        <w:rPr>
          <w:rFonts w:hint="eastAsia" w:ascii="黑体" w:eastAsia="黑体" w:cs="黑体"/>
          <w:b w:val="0"/>
          <w:bCs w:val="0"/>
          <w:sz w:val="32"/>
          <w:szCs w:val="32"/>
        </w:rPr>
      </w:pPr>
      <w:bookmarkStart w:id="7" w:name="_Toc12526"/>
      <w:r>
        <w:rPr>
          <w:rFonts w:hint="eastAsia" w:ascii="黑体" w:eastAsia="黑体" w:cs="黑体"/>
          <w:b w:val="0"/>
          <w:bCs w:val="0"/>
          <w:sz w:val="32"/>
          <w:szCs w:val="32"/>
        </w:rPr>
        <w:t>单位基本情况</w:t>
      </w:r>
      <w:bookmarkEnd w:id="5"/>
      <w:bookmarkEnd w:id="7"/>
    </w:p>
    <w:p>
      <w:pPr>
        <w:keepNext w:val="0"/>
        <w:keepLines w:val="0"/>
        <w:pageBreakBefore w:val="0"/>
        <w:widowControl w:val="0"/>
        <w:numPr>
          <w:ilvl w:val="0"/>
          <w:numId w:val="2"/>
        </w:numPr>
        <w:kinsoku/>
        <w:wordWrap/>
        <w:overflowPunct/>
        <w:topLinePunct w:val="0"/>
        <w:bidi w:val="0"/>
        <w:snapToGrid w:val="0"/>
        <w:spacing w:line="560" w:lineRule="exact"/>
        <w:ind w:left="0" w:firstLine="643" w:firstLineChars="200"/>
        <w:textAlignment w:val="auto"/>
        <w:outlineLvl w:val="2"/>
        <w:rPr>
          <w:rFonts w:hint="eastAsia" w:ascii="楷体" w:eastAsia="楷体" w:cs="楷体"/>
          <w:b/>
          <w:sz w:val="32"/>
          <w:szCs w:val="32"/>
        </w:rPr>
      </w:pPr>
      <w:bookmarkStart w:id="8" w:name="_Toc22807"/>
      <w:bookmarkStart w:id="9" w:name="_Toc26088"/>
      <w:r>
        <w:rPr>
          <w:rFonts w:hint="eastAsia" w:ascii="楷体" w:eastAsia="楷体" w:cs="楷体"/>
          <w:b/>
          <w:sz w:val="32"/>
          <w:szCs w:val="32"/>
        </w:rPr>
        <w:t>主要职能</w:t>
      </w:r>
      <w:bookmarkEnd w:id="8"/>
      <w:bookmarkEnd w:id="9"/>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bookmarkStart w:id="10" w:name="_Toc30557"/>
      <w:r>
        <w:rPr>
          <w:rFonts w:hint="eastAsia" w:ascii="仿宋_GB2312" w:cs="Times New Roman"/>
          <w:bCs/>
          <w:sz w:val="32"/>
          <w:szCs w:val="32"/>
          <w:lang w:val="en-US" w:eastAsia="zh-CN"/>
        </w:rPr>
        <w:t>1.</w:t>
      </w:r>
      <w:r>
        <w:rPr>
          <w:rFonts w:hint="eastAsia" w:ascii="仿宋_GB2312" w:eastAsia="仿宋_GB2312" w:cs="Times New Roman"/>
          <w:bCs/>
          <w:sz w:val="32"/>
          <w:szCs w:val="32"/>
          <w:lang w:val="zh-CN"/>
        </w:rPr>
        <w:t>领导全县共青团工作，组织全县共青团围绕全县改革发展稳定大局开展工作，在全县经济建设、政治建设、文化建设、社会建设、生态文明建设中发挥党的助手作用。</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2.</w:t>
      </w:r>
      <w:r>
        <w:rPr>
          <w:rFonts w:hint="eastAsia" w:ascii="仿宋_GB2312" w:eastAsia="仿宋_GB2312" w:cs="Times New Roman"/>
          <w:bCs/>
          <w:sz w:val="32"/>
          <w:szCs w:val="32"/>
          <w:lang w:val="zh-CN"/>
        </w:rPr>
        <w:t>负责研究指导全县团的组织建设和干部队伍建设，推进全县团的基层组织建设；引导全县青年创业创新，在全县经济社会发展中发挥生力军和突击队的作用。</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3.</w:t>
      </w:r>
      <w:r>
        <w:rPr>
          <w:rFonts w:hint="eastAsia" w:ascii="仿宋_GB2312" w:eastAsia="仿宋_GB2312" w:cs="Times New Roman"/>
          <w:bCs/>
          <w:sz w:val="32"/>
          <w:szCs w:val="32"/>
          <w:lang w:val="zh-CN"/>
        </w:rPr>
        <w:t>协助党组织管理各级团组织的正、副书记，培养、选拔、推荐、表彰团干部和团员青年。</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4.</w:t>
      </w:r>
      <w:r>
        <w:rPr>
          <w:rFonts w:hint="eastAsia" w:ascii="仿宋_GB2312" w:eastAsia="仿宋_GB2312" w:cs="Times New Roman"/>
          <w:bCs/>
          <w:sz w:val="32"/>
          <w:szCs w:val="32"/>
          <w:lang w:val="zh-CN"/>
        </w:rPr>
        <w:t>围绕县委、县人民政府中心工作，负责指导并组织实施全县青少年的思想理论教育和对外宣传工作。负责协调、指导团的新媒体舆论阵地建设和网络舆论引导工作。</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5.</w:t>
      </w:r>
      <w:r>
        <w:rPr>
          <w:rFonts w:hint="eastAsia" w:ascii="仿宋_GB2312" w:eastAsia="仿宋_GB2312" w:cs="Times New Roman"/>
          <w:bCs/>
          <w:sz w:val="32"/>
          <w:szCs w:val="32"/>
          <w:lang w:val="zh-CN"/>
        </w:rPr>
        <w:t>负责全县共青团工作和青年工作的理论研究；向县委、县人民政府反映青少年思想状况，参与协调处理各种与青少年利益相关的工作；对青少年工作中的重大问题提出立法建议；会同有关部门做好预防青少年违法犯罪和未成年人保护工作。</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6.</w:t>
      </w:r>
      <w:r>
        <w:rPr>
          <w:rFonts w:hint="eastAsia" w:ascii="仿宋_GB2312" w:eastAsia="仿宋_GB2312" w:cs="Times New Roman"/>
          <w:bCs/>
          <w:sz w:val="32"/>
          <w:szCs w:val="32"/>
          <w:lang w:val="zh-CN"/>
        </w:rPr>
        <w:t>贯彻落实青少年事业发展规划和青少年工作方针、政策，对青少年活动阵地、青少年服务机构的建设进行规划和管理。</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7.</w:t>
      </w:r>
      <w:r>
        <w:rPr>
          <w:rFonts w:hint="eastAsia" w:ascii="仿宋_GB2312" w:eastAsia="仿宋_GB2312" w:cs="Times New Roman"/>
          <w:bCs/>
          <w:sz w:val="32"/>
          <w:szCs w:val="32"/>
          <w:lang w:val="zh-CN"/>
        </w:rPr>
        <w:t>指导</w:t>
      </w:r>
      <w:r>
        <w:rPr>
          <w:rFonts w:hint="eastAsia" w:ascii="仿宋_GB2312" w:cs="Times New Roman"/>
          <w:bCs/>
          <w:sz w:val="32"/>
          <w:szCs w:val="32"/>
          <w:lang w:val="zh-CN"/>
        </w:rPr>
        <w:t>金川</w:t>
      </w:r>
      <w:r>
        <w:rPr>
          <w:rFonts w:hint="eastAsia" w:ascii="仿宋_GB2312" w:eastAsia="仿宋_GB2312" w:cs="Times New Roman"/>
          <w:bCs/>
          <w:sz w:val="32"/>
          <w:szCs w:val="32"/>
          <w:lang w:val="zh-CN"/>
        </w:rPr>
        <w:t>县少先队工作委员会开展工作。协助教育部门做好中、小学学生的教育管理工作。加强对青年社会组织和青年社团的指导和管理。</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8.</w:t>
      </w:r>
      <w:r>
        <w:rPr>
          <w:rFonts w:hint="eastAsia" w:ascii="仿宋_GB2312" w:eastAsia="仿宋_GB2312" w:cs="Times New Roman"/>
          <w:bCs/>
          <w:sz w:val="32"/>
          <w:szCs w:val="32"/>
          <w:lang w:val="zh-CN"/>
        </w:rPr>
        <w:t>贯彻落实有关青年统战工作的政策，做好青年统战对象的团结教育工作，维护和促进祖国统一和民族团结。</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9.</w:t>
      </w:r>
      <w:r>
        <w:rPr>
          <w:rFonts w:hint="eastAsia" w:ascii="仿宋_GB2312" w:eastAsia="仿宋_GB2312" w:cs="Times New Roman"/>
          <w:bCs/>
          <w:sz w:val="32"/>
          <w:szCs w:val="32"/>
          <w:lang w:val="zh-CN"/>
        </w:rPr>
        <w:t>贯彻落实青少年外事政策，负责全县青少年外事工作和青少年对外交流工作。</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zh-CN"/>
        </w:rPr>
      </w:pPr>
      <w:r>
        <w:rPr>
          <w:rFonts w:hint="eastAsia" w:ascii="仿宋_GB2312" w:cs="Times New Roman"/>
          <w:bCs/>
          <w:sz w:val="32"/>
          <w:szCs w:val="32"/>
          <w:lang w:val="en-US" w:eastAsia="zh-CN"/>
        </w:rPr>
        <w:t>10.</w:t>
      </w:r>
      <w:r>
        <w:rPr>
          <w:rFonts w:hint="eastAsia" w:ascii="仿宋_GB2312" w:eastAsia="仿宋_GB2312" w:cs="Times New Roman"/>
          <w:bCs/>
          <w:sz w:val="32"/>
          <w:szCs w:val="32"/>
          <w:lang w:val="zh-CN"/>
        </w:rPr>
        <w:t>承担县委、县人民政府交办的其他事项。</w:t>
      </w:r>
    </w:p>
    <w:bookmarkEnd w:id="10"/>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2"/>
        <w:rPr>
          <w:rFonts w:hint="eastAsia" w:ascii="楷体" w:eastAsia="楷体" w:cs="楷体"/>
          <w:b/>
          <w:bCs/>
          <w:sz w:val="32"/>
          <w:szCs w:val="32"/>
        </w:rPr>
      </w:pPr>
      <w:bookmarkStart w:id="11" w:name="_Toc20365"/>
      <w:bookmarkStart w:id="12" w:name="_Toc11086"/>
      <w:r>
        <w:rPr>
          <w:rFonts w:hint="eastAsia" w:ascii="楷体" w:eastAsia="楷体" w:cs="楷体"/>
          <w:b/>
          <w:bCs/>
          <w:sz w:val="32"/>
          <w:szCs w:val="32"/>
        </w:rPr>
        <w:t>（</w:t>
      </w:r>
      <w:r>
        <w:rPr>
          <w:rFonts w:hint="eastAsia" w:ascii="楷体" w:eastAsia="楷体" w:cs="楷体"/>
          <w:b/>
          <w:bCs/>
          <w:sz w:val="32"/>
          <w:szCs w:val="32"/>
          <w:lang w:eastAsia="zh-CN"/>
        </w:rPr>
        <w:t>二</w:t>
      </w:r>
      <w:r>
        <w:rPr>
          <w:rFonts w:hint="eastAsia" w:ascii="楷体" w:eastAsia="楷体" w:cs="楷体"/>
          <w:b/>
          <w:bCs/>
          <w:sz w:val="32"/>
          <w:szCs w:val="32"/>
        </w:rPr>
        <w:t>）当年取得的主要成效</w:t>
      </w:r>
      <w:bookmarkEnd w:id="11"/>
      <w:bookmarkEnd w:id="12"/>
    </w:p>
    <w:p>
      <w:pPr>
        <w:pageBreakBefore w:val="0"/>
        <w:widowControl w:val="0"/>
        <w:kinsoku/>
        <w:wordWrap/>
        <w:overflowPunct/>
        <w:topLinePunct w:val="0"/>
        <w:bidi w:val="0"/>
        <w:spacing w:line="560" w:lineRule="exact"/>
        <w:ind w:left="0" w:firstLine="640" w:firstLineChars="200"/>
        <w:textAlignment w:val="auto"/>
        <w:rPr>
          <w:rFonts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1.坚持思想引领，青少年理想信念不断坚定。</w:t>
      </w:r>
      <w:r>
        <w:rPr>
          <w:rFonts w:ascii="Times New Roman" w:hAnsi="Times New Roman" w:eastAsia="仿宋_GB2312" w:cs="Times New Roman"/>
          <w:sz w:val="32"/>
          <w:szCs w:val="32"/>
          <w:lang w:val="en-US" w:eastAsia="zh-CN"/>
        </w:rPr>
        <w:t>始终把青少年思想教育放在工作首位</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稳步推进</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青年大学习”</w:t>
      </w:r>
      <w:r>
        <w:rPr>
          <w:rFonts w:hint="eastAsia" w:ascii="Times New Roman" w:hAnsi="Times New Roman" w:eastAsia="仿宋_GB2312" w:cs="Times New Roman"/>
          <w:sz w:val="32"/>
          <w:szCs w:val="32"/>
          <w:lang w:val="en-US" w:eastAsia="zh-CN"/>
        </w:rPr>
        <w:t>“红领巾爱学习”</w:t>
      </w:r>
      <w:r>
        <w:rPr>
          <w:rFonts w:ascii="Times New Roman" w:hAnsi="Times New Roman" w:eastAsia="仿宋_GB2312" w:cs="Times New Roman"/>
          <w:sz w:val="32"/>
          <w:szCs w:val="32"/>
          <w:lang w:val="en-US" w:eastAsia="zh-CN"/>
        </w:rPr>
        <w:t>工作，广泛动员、积极组织，推进</w:t>
      </w:r>
      <w:r>
        <w:rPr>
          <w:rFonts w:hint="eastAsia" w:ascii="Times New Roman" w:hAnsi="Times New Roman" w:eastAsia="仿宋_GB2312" w:cs="Times New Roman"/>
          <w:sz w:val="32"/>
          <w:szCs w:val="32"/>
          <w:lang w:val="en-US" w:eastAsia="zh-CN"/>
        </w:rPr>
        <w:t>网上学习</w:t>
      </w:r>
      <w:r>
        <w:rPr>
          <w:rFonts w:ascii="Times New Roman" w:hAnsi="Times New Roman" w:eastAsia="仿宋_GB2312" w:cs="Times New Roman"/>
          <w:sz w:val="32"/>
          <w:szCs w:val="32"/>
          <w:lang w:val="en-US" w:eastAsia="zh-CN"/>
        </w:rPr>
        <w:t>常态化、制度化</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坚持开展升国旗、唱国歌、入团入队仪式、18岁成人仪式教育活动，在</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五四</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六一</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等节日，举办各种形式的演讲比赛、知识竞赛、文艺演出等系列活动</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广泛开展民族团结进步教育，切实加强青年民族统战工作，为促进民族团结和社会稳定发挥了积极作用</w:t>
      </w:r>
      <w:r>
        <w:rPr>
          <w:rFonts w:hint="eastAsia" w:ascii="Times New Roman" w:hAnsi="Times New Roman" w:eastAsia="仿宋_GB2312" w:cs="Times New Roman"/>
          <w:sz w:val="32"/>
          <w:szCs w:val="32"/>
          <w:lang w:val="en-US" w:eastAsia="zh-CN"/>
        </w:rPr>
        <w:t>。</w:t>
      </w:r>
    </w:p>
    <w:p>
      <w:pPr>
        <w:pageBreakBefore w:val="0"/>
        <w:widowControl w:val="0"/>
        <w:kinsoku/>
        <w:wordWrap/>
        <w:overflowPunct/>
        <w:topLinePunct w:val="0"/>
        <w:bidi w:val="0"/>
        <w:spacing w:line="560" w:lineRule="exact"/>
        <w:ind w:left="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en-US" w:eastAsia="zh-CN"/>
        </w:rPr>
        <w:t>坚持</w:t>
      </w:r>
      <w:r>
        <w:rPr>
          <w:rFonts w:hint="eastAsia" w:ascii="Times New Roman" w:hAnsi="Times New Roman" w:eastAsia="仿宋_GB2312" w:cs="Times New Roman"/>
          <w:sz w:val="32"/>
          <w:szCs w:val="32"/>
          <w:lang w:val="en-US" w:eastAsia="zh-CN"/>
        </w:rPr>
        <w:t>从严治团</w:t>
      </w:r>
      <w:r>
        <w:rPr>
          <w:rFonts w:ascii="Times New Roman" w:hAnsi="Times New Roman" w:eastAsia="仿宋_GB2312" w:cs="Times New Roman"/>
          <w:sz w:val="32"/>
          <w:szCs w:val="32"/>
          <w:lang w:val="en-US" w:eastAsia="zh-CN"/>
        </w:rPr>
        <w:t>，团的自身建设</w:t>
      </w:r>
      <w:r>
        <w:rPr>
          <w:rFonts w:hint="eastAsia" w:ascii="Times New Roman" w:hAnsi="Times New Roman" w:eastAsia="仿宋_GB2312" w:cs="Times New Roman"/>
          <w:sz w:val="32"/>
          <w:szCs w:val="32"/>
          <w:lang w:val="en-US" w:eastAsia="zh-CN"/>
        </w:rPr>
        <w:t>不断巩固</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在基层组织建设中，持之以恒地抓班子、队伍、阵地、活动、制度建设，改进团组织运行管理方式，着力提升团组织效能、政治功能和社会功能。在团员队伍建设上，不断增强团员意识，落实全面从严治团的要求，进一步增强团员的先进性和光荣感，努力实现对团员队伍建设的全局牵动、全面提升。在团干部队伍建设上，显著提升团干部政治素养、工作水平、工作作风和队伍形象。</w:t>
      </w:r>
    </w:p>
    <w:p>
      <w:pPr>
        <w:pageBreakBefore w:val="0"/>
        <w:widowControl w:val="0"/>
        <w:kinsoku/>
        <w:wordWrap/>
        <w:overflowPunct/>
        <w:topLinePunct w:val="0"/>
        <w:bidi w:val="0"/>
        <w:spacing w:line="560" w:lineRule="exact"/>
        <w:ind w:left="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3.坚持服务青少年，推进中长期青年发展规划落地实施</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青年政策体系逐步完善。推动“规划”与经济社会发展大局有机衔接融合，将“党管青年”原则、“青年优先发展”理念纳入党代会和“十四五”总体安排，形成了强有力的政策倡导，为全面提升青年发展质量、服务经济社会发展大局打下了坚实基础。</w:t>
      </w:r>
      <w:r>
        <w:rPr>
          <w:rFonts w:ascii="Times New Roman" w:hAnsi="Times New Roman" w:eastAsia="仿宋_GB2312" w:cs="Times New Roman"/>
          <w:sz w:val="32"/>
          <w:szCs w:val="32"/>
        </w:rPr>
        <w:t>用心用情关心关爱贫困青年</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val="en-US" w:eastAsia="zh-CN"/>
        </w:rPr>
        <w:t>切实帮助困难青少年解决急难愁盼的事</w:t>
      </w:r>
      <w:r>
        <w:rPr>
          <w:rFonts w:hint="eastAsia" w:ascii="Times New Roman" w:hAnsi="Times New Roman" w:eastAsia="仿宋_GB2312" w:cs="Times New Roman"/>
          <w:sz w:val="32"/>
          <w:szCs w:val="32"/>
          <w:lang w:val="en-US" w:eastAsia="zh-CN"/>
        </w:rPr>
        <w:t>，积极联系社会资源，全面推进“点亮微心愿，共筑童心梦”第六届活动。</w:t>
      </w:r>
      <w:r>
        <w:rPr>
          <w:rFonts w:hint="eastAsia" w:ascii="Times New Roman" w:hAnsi="Times New Roman" w:eastAsia="仿宋_GB2312" w:cs="Times New Roman"/>
          <w:sz w:val="32"/>
          <w:szCs w:val="32"/>
        </w:rPr>
        <w:t>加强未成年人权益保护。通过法治进校园、组织模拟法庭等活动，教育引导未成年人遵纪守法，增强自我保护的意识和能力，促进全社会更加关心关爱未成年人健康成长</w:t>
      </w:r>
      <w:r>
        <w:rPr>
          <w:rFonts w:ascii="Times New Roman" w:hAnsi="Times New Roman" w:eastAsia="仿宋_GB2312" w:cs="Times New Roman"/>
          <w:sz w:val="32"/>
          <w:szCs w:val="32"/>
        </w:rPr>
        <w:t>。</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bCs/>
          <w:sz w:val="32"/>
          <w:szCs w:val="32"/>
        </w:rPr>
      </w:pPr>
      <w:r>
        <w:rPr>
          <w:rFonts w:hint="eastAsia" w:ascii="Times New Roman" w:hAnsi="Times New Roman" w:eastAsia="仿宋_GB2312" w:cs="Times New Roman"/>
          <w:sz w:val="32"/>
          <w:szCs w:val="32"/>
          <w:lang w:val="en-US" w:eastAsia="zh-CN"/>
        </w:rPr>
        <w:t>4.坚持提升大局贡献度</w:t>
      </w:r>
      <w:r>
        <w:rPr>
          <w:rFonts w:ascii="Times New Roman" w:hAnsi="Times New Roman" w:eastAsia="仿宋_GB2312" w:cs="Times New Roman"/>
          <w:sz w:val="32"/>
          <w:szCs w:val="32"/>
          <w:lang w:val="en-US" w:eastAsia="zh-CN"/>
        </w:rPr>
        <w:t>，用心用情开展志愿服务。聚焦疫情防控、抗洪抢险、森林草原防灭火、生态文明建设、乡村振兴、民族团结进步、文明城市创建复核验收等中心工作，切实做好青春志愿服务工作</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通过志愿服务展现共青团新担当新作为。</w:t>
      </w:r>
    </w:p>
    <w:p>
      <w:pPr>
        <w:keepNext w:val="0"/>
        <w:keepLines w:val="0"/>
        <w:pageBreakBefore w:val="0"/>
        <w:widowControl w:val="0"/>
        <w:numPr>
          <w:ilvl w:val="0"/>
          <w:numId w:val="1"/>
        </w:numPr>
        <w:kinsoku/>
        <w:wordWrap/>
        <w:overflowPunct/>
        <w:topLinePunct w:val="0"/>
        <w:bidi w:val="0"/>
        <w:snapToGrid w:val="0"/>
        <w:spacing w:line="560" w:lineRule="exact"/>
        <w:ind w:left="0" w:firstLine="640" w:firstLineChars="200"/>
        <w:textAlignment w:val="auto"/>
        <w:outlineLvl w:val="1"/>
        <w:rPr>
          <w:rFonts w:hint="eastAsia" w:ascii="黑体" w:eastAsia="黑体" w:cs="黑体"/>
          <w:b w:val="0"/>
          <w:bCs w:val="0"/>
          <w:sz w:val="32"/>
          <w:szCs w:val="32"/>
          <w:lang w:eastAsia="zh-CN"/>
        </w:rPr>
      </w:pPr>
      <w:bookmarkStart w:id="13" w:name="_Toc19897"/>
      <w:bookmarkStart w:id="14" w:name="_Toc15377204"/>
      <w:bookmarkStart w:id="15" w:name="_Toc15396602"/>
      <w:bookmarkStart w:id="16" w:name="_Toc8820"/>
      <w:bookmarkStart w:id="17" w:name="_Toc13720"/>
      <w:r>
        <w:rPr>
          <w:rFonts w:hint="eastAsia" w:ascii="黑体" w:eastAsia="黑体" w:cs="黑体"/>
          <w:b w:val="0"/>
          <w:bCs w:val="0"/>
          <w:sz w:val="32"/>
          <w:szCs w:val="32"/>
        </w:rPr>
        <w:t xml:space="preserve"> </w:t>
      </w:r>
      <w:bookmarkStart w:id="18" w:name="_Toc4614"/>
      <w:r>
        <w:rPr>
          <w:rFonts w:hint="eastAsia" w:ascii="黑体" w:eastAsia="黑体" w:cs="黑体"/>
          <w:b w:val="0"/>
          <w:bCs w:val="0"/>
          <w:sz w:val="32"/>
          <w:szCs w:val="32"/>
        </w:rPr>
        <w:t>机构设置</w:t>
      </w:r>
      <w:r>
        <w:rPr>
          <w:rFonts w:hint="eastAsia" w:ascii="黑体" w:eastAsia="黑体" w:cs="黑体"/>
          <w:b w:val="0"/>
          <w:bCs w:val="0"/>
          <w:sz w:val="32"/>
          <w:szCs w:val="32"/>
          <w:lang w:eastAsia="zh-CN"/>
        </w:rPr>
        <w:t>和人员情况</w:t>
      </w:r>
      <w:bookmarkEnd w:id="18"/>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en-US" w:eastAsia="zh-CN"/>
        </w:rPr>
      </w:pPr>
      <w:r>
        <w:rPr>
          <w:rFonts w:hint="eastAsia" w:ascii="仿宋_GB2312" w:eastAsia="仿宋_GB2312" w:cs="Times New Roman"/>
          <w:bCs/>
          <w:sz w:val="32"/>
          <w:szCs w:val="32"/>
          <w:lang w:val="zh-CN"/>
        </w:rPr>
        <w:t>我委属独立编制机构和独立核算的行政单位。人员编制数5人，行政编制4人，机关工勤编制1人。</w:t>
      </w:r>
      <w:r>
        <w:rPr>
          <w:rFonts w:hint="eastAsia" w:ascii="仿宋_GB2312" w:cs="Times New Roman"/>
          <w:bCs/>
          <w:sz w:val="32"/>
          <w:szCs w:val="32"/>
          <w:lang w:val="zh-CN"/>
        </w:rPr>
        <w:t>2022年</w:t>
      </w:r>
      <w:r>
        <w:rPr>
          <w:rFonts w:hint="eastAsia" w:ascii="仿宋_GB2312" w:eastAsia="仿宋_GB2312" w:cs="Times New Roman"/>
          <w:bCs/>
          <w:sz w:val="32"/>
          <w:szCs w:val="32"/>
          <w:lang w:val="zh-CN"/>
        </w:rPr>
        <w:t>财政供养人员为4人。</w:t>
      </w:r>
      <w:r>
        <w:rPr>
          <w:rFonts w:hint="eastAsia" w:ascii="仿宋_GB2312" w:eastAsia="仿宋_GB2312" w:cs="Times New Roman"/>
          <w:bCs/>
          <w:sz w:val="32"/>
          <w:szCs w:val="32"/>
          <w:lang w:val="en-US" w:eastAsia="zh-CN"/>
        </w:rPr>
        <w:t>有西部计划志愿者志愿者</w:t>
      </w:r>
      <w:r>
        <w:rPr>
          <w:rFonts w:hint="eastAsia" w:ascii="仿宋_GB2312" w:cs="Times New Roman"/>
          <w:bCs/>
          <w:sz w:val="32"/>
          <w:szCs w:val="32"/>
          <w:lang w:val="en-US" w:eastAsia="zh-CN"/>
        </w:rPr>
        <w:t>12</w:t>
      </w:r>
      <w:r>
        <w:rPr>
          <w:rFonts w:hint="eastAsia" w:ascii="仿宋_GB2312" w:eastAsia="仿宋_GB2312" w:cs="Times New Roman"/>
          <w:bCs/>
          <w:sz w:val="32"/>
          <w:szCs w:val="32"/>
          <w:lang w:val="en-US" w:eastAsia="zh-CN"/>
        </w:rPr>
        <w:t>人。</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cs="Times New Roman"/>
          <w:bCs/>
          <w:sz w:val="32"/>
          <w:szCs w:val="32"/>
          <w:lang w:val="en-US" w:eastAsia="zh-CN"/>
        </w:rPr>
      </w:pPr>
    </w:p>
    <w:p>
      <w:pPr>
        <w:pStyle w:val="4"/>
        <w:keepNext/>
        <w:keepLines/>
        <w:pageBreakBefore w:val="0"/>
        <w:widowControl w:val="0"/>
        <w:kinsoku/>
        <w:wordWrap/>
        <w:overflowPunct/>
        <w:topLinePunct w:val="0"/>
        <w:bidi w:val="0"/>
        <w:spacing w:line="560" w:lineRule="exact"/>
        <w:ind w:left="0" w:firstLine="0" w:firstLineChars="0"/>
        <w:jc w:val="center"/>
        <w:textAlignment w:val="auto"/>
        <w:rPr>
          <w:rFonts w:hint="eastAsia" w:ascii="Times New Roman" w:hAnsi="Times New Roman" w:cs="Times New Roman"/>
          <w:b w:val="0"/>
          <w:bCs/>
          <w:sz w:val="44"/>
          <w:szCs w:val="44"/>
          <w:lang w:val="en-US" w:eastAsia="zh-CN"/>
        </w:rPr>
      </w:pPr>
      <w:bookmarkStart w:id="19" w:name="_Toc19829"/>
      <w:r>
        <w:rPr>
          <w:rFonts w:ascii="Times New Roman" w:hAnsi="Times New Roman" w:cs="Times New Roman"/>
          <w:b w:val="0"/>
          <w:bCs/>
          <w:sz w:val="44"/>
          <w:szCs w:val="44"/>
          <w:lang w:val="en-US" w:eastAsia="zh-CN"/>
        </w:rPr>
        <w:t>第二部分</w:t>
      </w:r>
      <w:r>
        <w:rPr>
          <w:rFonts w:hint="eastAsia" w:ascii="Times New Roman" w:hAnsi="Times New Roman" w:cs="Times New Roman"/>
          <w:b w:val="0"/>
          <w:bCs/>
          <w:sz w:val="44"/>
          <w:szCs w:val="44"/>
          <w:lang w:val="en-US" w:eastAsia="zh-CN"/>
        </w:rPr>
        <w:t xml:space="preserve">  </w:t>
      </w:r>
      <w:r>
        <w:rPr>
          <w:rFonts w:hint="eastAsia" w:cs="Times New Roman"/>
          <w:b w:val="0"/>
          <w:bCs/>
          <w:sz w:val="44"/>
          <w:szCs w:val="44"/>
          <w:lang w:val="en-US" w:eastAsia="zh-CN"/>
        </w:rPr>
        <w:t>2022年</w:t>
      </w:r>
      <w:r>
        <w:rPr>
          <w:rFonts w:ascii="Times New Roman" w:hAnsi="Times New Roman" w:cs="Times New Roman"/>
          <w:b w:val="0"/>
          <w:bCs/>
          <w:sz w:val="44"/>
          <w:szCs w:val="44"/>
          <w:lang w:val="en-US" w:eastAsia="zh-CN"/>
        </w:rPr>
        <w:t>度部门决算情况说明</w:t>
      </w:r>
      <w:bookmarkEnd w:id="13"/>
      <w:bookmarkEnd w:id="14"/>
      <w:bookmarkEnd w:id="15"/>
      <w:bookmarkEnd w:id="16"/>
      <w:bookmarkEnd w:id="17"/>
      <w:bookmarkEnd w:id="19"/>
    </w:p>
    <w:p>
      <w:pPr>
        <w:pStyle w:val="25"/>
        <w:spacing w:line="560" w:lineRule="exact"/>
        <w:ind w:firstLine="640" w:firstLineChars="200"/>
        <w:outlineLvl w:val="1"/>
        <w:rPr>
          <w:rFonts w:hint="eastAsia" w:ascii="黑体" w:eastAsia="黑体"/>
          <w:b w:val="0"/>
          <w:bCs/>
          <w:sz w:val="32"/>
          <w:szCs w:val="32"/>
        </w:rPr>
      </w:pPr>
      <w:bookmarkStart w:id="20" w:name="_Toc30040"/>
      <w:bookmarkStart w:id="21" w:name="_Toc20543"/>
      <w:bookmarkStart w:id="22" w:name="_Toc28638"/>
      <w:bookmarkStart w:id="23" w:name="_Toc10164"/>
      <w:bookmarkStart w:id="24" w:name="_Toc10933"/>
      <w:bookmarkStart w:id="25" w:name="_Toc5948"/>
      <w:r>
        <w:rPr>
          <w:rFonts w:hint="eastAsia" w:ascii="黑体" w:eastAsia="黑体"/>
          <w:color w:val="000000"/>
          <w:sz w:val="32"/>
          <w:szCs w:val="32"/>
        </w:rPr>
        <w:t>一、收</w:t>
      </w:r>
      <w:r>
        <w:rPr>
          <w:rFonts w:hint="eastAsia" w:ascii="黑体" w:eastAsia="黑体"/>
          <w:b w:val="0"/>
          <w:bCs/>
          <w:sz w:val="32"/>
          <w:szCs w:val="32"/>
        </w:rPr>
        <w:t>入支出决算总体情况说明</w:t>
      </w:r>
      <w:bookmarkEnd w:id="20"/>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2022年度收、支总计172.05万元。与2021年相比，收、支总计各增加59.63万元，增长53.04%。主要变动原因是</w:t>
      </w: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人员</w:t>
      </w:r>
      <w:r>
        <w:rPr>
          <w:rFonts w:hint="eastAsia" w:ascii="仿宋_GB2312" w:cs="仿宋_GB2312"/>
          <w:sz w:val="32"/>
          <w:szCs w:val="32"/>
          <w:lang w:val="en-US" w:eastAsia="zh-CN"/>
        </w:rPr>
        <w:t>增加</w:t>
      </w:r>
      <w:r>
        <w:rPr>
          <w:rFonts w:hint="eastAsia" w:ascii="仿宋_GB2312" w:eastAsia="仿宋_GB2312" w:cs="仿宋_GB2312"/>
          <w:sz w:val="32"/>
          <w:szCs w:val="32"/>
          <w:lang w:val="en-US" w:eastAsia="zh-CN"/>
        </w:rPr>
        <w:t>和项目</w:t>
      </w:r>
      <w:r>
        <w:rPr>
          <w:rFonts w:hint="eastAsia" w:ascii="仿宋_GB2312" w:cs="仿宋_GB2312"/>
          <w:sz w:val="32"/>
          <w:szCs w:val="32"/>
          <w:lang w:val="en-US" w:eastAsia="zh-CN"/>
        </w:rPr>
        <w:t>增加</w:t>
      </w:r>
      <w:r>
        <w:rPr>
          <w:rFonts w:hint="eastAsia" w:ascii="仿宋_GB2312" w:eastAsia="仿宋_GB2312" w:cs="仿宋_GB2312"/>
          <w:sz w:val="32"/>
          <w:szCs w:val="32"/>
          <w:lang w:val="en-US" w:eastAsia="zh-CN"/>
        </w:rPr>
        <w:t>。</w:t>
      </w:r>
    </w:p>
    <w:p>
      <w:pPr>
        <w:spacing w:line="560" w:lineRule="exact"/>
        <w:ind w:firstLine="640" w:firstLineChars="200"/>
        <w:outlineLvl w:val="1"/>
        <w:rPr>
          <w:lang w:val="en-US" w:eastAsia="zh-CN"/>
        </w:rPr>
      </w:pPr>
      <w:bookmarkStart w:id="26" w:name="_Toc13392"/>
      <w:r>
        <w:rPr>
          <w:rFonts w:hint="eastAsia" w:ascii="黑体" w:eastAsia="黑体" w:cs="Times New Roman"/>
          <w:color w:val="000000"/>
          <w:kern w:val="2"/>
          <w:sz w:val="32"/>
          <w:szCs w:val="32"/>
          <w:lang w:val="en-US" w:eastAsia="zh-CN" w:bidi="ar-SA"/>
        </w:rPr>
        <w:t>二、收入决算情况说明</w:t>
      </w:r>
      <w:bookmarkEnd w:id="26"/>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共青团金川县委</w:t>
      </w: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度收入</w:t>
      </w:r>
      <w:r>
        <w:rPr>
          <w:rFonts w:hint="eastAsia" w:ascii="仿宋_GB2312" w:cs="仿宋_GB2312"/>
          <w:sz w:val="32"/>
          <w:szCs w:val="32"/>
          <w:lang w:val="en-US" w:eastAsia="zh-CN"/>
        </w:rPr>
        <w:t>172.05</w:t>
      </w:r>
      <w:r>
        <w:rPr>
          <w:rFonts w:hint="eastAsia" w:ascii="仿宋_GB2312" w:eastAsia="仿宋_GB2312" w:cs="仿宋_GB2312"/>
          <w:sz w:val="32"/>
          <w:szCs w:val="32"/>
          <w:lang w:val="en-US" w:eastAsia="zh-CN"/>
        </w:rPr>
        <w:t>万元，其中，一般公共预算财政拨款收入</w:t>
      </w:r>
      <w:r>
        <w:rPr>
          <w:rFonts w:hint="eastAsia" w:ascii="仿宋_GB2312" w:cs="仿宋_GB2312"/>
          <w:sz w:val="32"/>
          <w:szCs w:val="32"/>
          <w:lang w:val="en-US" w:eastAsia="zh-CN"/>
        </w:rPr>
        <w:t>172.05</w:t>
      </w:r>
      <w:r>
        <w:rPr>
          <w:rFonts w:hint="eastAsia" w:ascii="仿宋_GB2312" w:eastAsia="仿宋_GB2312" w:cs="仿宋_GB2312"/>
          <w:sz w:val="32"/>
          <w:szCs w:val="32"/>
          <w:lang w:val="en-US" w:eastAsia="zh-CN"/>
        </w:rPr>
        <w:t>万元，政府性基金预算财政拨款0万元。</w:t>
      </w:r>
    </w:p>
    <w:p>
      <w:pPr>
        <w:pStyle w:val="25"/>
        <w:spacing w:line="560" w:lineRule="exact"/>
        <w:ind w:left="0" w:firstLine="640" w:firstLineChars="200"/>
        <w:outlineLvl w:val="1"/>
        <w:rPr>
          <w:rFonts w:hint="eastAsia"/>
          <w:lang w:val="en-US" w:eastAsia="zh-CN"/>
        </w:rPr>
      </w:pPr>
      <w:bookmarkStart w:id="27" w:name="_Toc17396"/>
      <w:r>
        <w:rPr>
          <w:rFonts w:hint="eastAsia" w:ascii="黑体" w:eastAsia="黑体"/>
          <w:color w:val="000000"/>
          <w:sz w:val="32"/>
          <w:szCs w:val="32"/>
          <w:lang w:eastAsia="zh-CN"/>
        </w:rPr>
        <w:t>三、</w:t>
      </w:r>
      <w:r>
        <w:rPr>
          <w:rFonts w:hint="eastAsia" w:ascii="黑体" w:eastAsia="黑体"/>
          <w:color w:val="000000"/>
          <w:sz w:val="32"/>
          <w:szCs w:val="32"/>
        </w:rPr>
        <w:t>支</w:t>
      </w:r>
      <w:r>
        <w:rPr>
          <w:rFonts w:hint="eastAsia" w:ascii="黑体" w:eastAsia="黑体"/>
          <w:b w:val="0"/>
          <w:bCs/>
          <w:sz w:val="32"/>
          <w:szCs w:val="32"/>
        </w:rPr>
        <w:t>出决算情况说明</w:t>
      </w:r>
      <w:bookmarkEnd w:id="27"/>
    </w:p>
    <w:p>
      <w:pPr>
        <w:spacing w:line="560" w:lineRule="exact"/>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共青团金川县委</w:t>
      </w: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度支出</w:t>
      </w:r>
      <w:r>
        <w:rPr>
          <w:rFonts w:hint="eastAsia" w:ascii="仿宋_GB2312" w:cs="仿宋_GB2312"/>
          <w:sz w:val="32"/>
          <w:szCs w:val="32"/>
          <w:lang w:val="en-US" w:eastAsia="zh-CN"/>
        </w:rPr>
        <w:t>172.05</w:t>
      </w:r>
      <w:r>
        <w:rPr>
          <w:rFonts w:hint="eastAsia" w:ascii="仿宋_GB2312" w:eastAsia="仿宋_GB2312" w:cs="仿宋_GB2312"/>
          <w:sz w:val="32"/>
          <w:szCs w:val="32"/>
          <w:lang w:val="en-US" w:eastAsia="zh-CN"/>
        </w:rPr>
        <w:t>万元，其中，其中：基本支出</w:t>
      </w:r>
      <w:r>
        <w:rPr>
          <w:rFonts w:hint="eastAsia" w:ascii="仿宋_GB2312" w:cs="仿宋_GB2312"/>
          <w:sz w:val="32"/>
          <w:szCs w:val="32"/>
          <w:lang w:val="en-US" w:eastAsia="zh-CN"/>
        </w:rPr>
        <w:t>124.75</w:t>
      </w:r>
      <w:r>
        <w:rPr>
          <w:rFonts w:hint="eastAsia" w:ascii="仿宋_GB2312" w:eastAsia="仿宋_GB2312" w:cs="仿宋_GB2312"/>
          <w:sz w:val="32"/>
          <w:szCs w:val="32"/>
          <w:lang w:val="en-US" w:eastAsia="zh-CN"/>
        </w:rPr>
        <w:t>万元，占</w:t>
      </w:r>
      <w:r>
        <w:rPr>
          <w:rFonts w:hint="eastAsia" w:ascii="仿宋_GB2312" w:cs="仿宋_GB2312"/>
          <w:sz w:val="32"/>
          <w:szCs w:val="32"/>
          <w:lang w:val="en-US" w:eastAsia="zh-CN"/>
        </w:rPr>
        <w:t>72.51</w:t>
      </w:r>
      <w:r>
        <w:rPr>
          <w:rFonts w:hint="eastAsia" w:ascii="仿宋_GB2312" w:eastAsia="仿宋_GB2312" w:cs="仿宋_GB2312"/>
          <w:sz w:val="32"/>
          <w:szCs w:val="32"/>
          <w:lang w:val="en-US" w:eastAsia="zh-CN"/>
        </w:rPr>
        <w:t>%；项目支出</w:t>
      </w:r>
      <w:r>
        <w:rPr>
          <w:rFonts w:hint="eastAsia" w:ascii="仿宋_GB2312" w:cs="仿宋_GB2312"/>
          <w:sz w:val="32"/>
          <w:szCs w:val="32"/>
          <w:lang w:val="en-US" w:eastAsia="zh-CN"/>
        </w:rPr>
        <w:t>47.3</w:t>
      </w:r>
      <w:r>
        <w:rPr>
          <w:rFonts w:hint="eastAsia" w:ascii="仿宋_GB2312" w:eastAsia="仿宋_GB2312" w:cs="仿宋_GB2312"/>
          <w:sz w:val="32"/>
          <w:szCs w:val="32"/>
          <w:lang w:val="en-US" w:eastAsia="zh-CN"/>
        </w:rPr>
        <w:t>万元，占</w:t>
      </w:r>
      <w:r>
        <w:rPr>
          <w:rFonts w:hint="eastAsia" w:ascii="仿宋_GB2312" w:cs="仿宋_GB2312"/>
          <w:sz w:val="32"/>
          <w:szCs w:val="32"/>
          <w:lang w:val="en-US" w:eastAsia="zh-CN"/>
        </w:rPr>
        <w:t>27.49</w:t>
      </w:r>
      <w:r>
        <w:rPr>
          <w:rFonts w:hint="eastAsia" w:ascii="仿宋_GB2312" w:eastAsia="仿宋_GB2312" w:cs="仿宋_GB2312"/>
          <w:sz w:val="32"/>
          <w:szCs w:val="32"/>
          <w:lang w:val="en-US" w:eastAsia="zh-CN"/>
        </w:rPr>
        <w:t>%</w:t>
      </w:r>
      <w:r>
        <w:rPr>
          <w:rFonts w:hint="eastAsia" w:ascii="仿宋_GB2312" w:cs="仿宋_GB2312"/>
          <w:sz w:val="32"/>
          <w:szCs w:val="32"/>
          <w:lang w:val="en-US" w:eastAsia="zh-CN"/>
        </w:rPr>
        <w:t>。</w:t>
      </w:r>
    </w:p>
    <w:p>
      <w:pPr>
        <w:spacing w:line="560" w:lineRule="exact"/>
        <w:ind w:firstLine="640" w:firstLineChars="200"/>
        <w:outlineLvl w:val="1"/>
        <w:rPr>
          <w:rStyle w:val="21"/>
          <w:rFonts w:hint="eastAsia" w:ascii="黑体" w:eastAsia="黑体"/>
          <w:b w:val="0"/>
        </w:rPr>
      </w:pPr>
      <w:bookmarkStart w:id="28" w:name="_Toc79163613"/>
      <w:bookmarkStart w:id="29" w:name="_Toc15396606"/>
      <w:bookmarkStart w:id="30" w:name="_Toc7700"/>
      <w:bookmarkStart w:id="31" w:name="_Toc79163863"/>
      <w:bookmarkStart w:id="32" w:name="_Toc15377208"/>
      <w:r>
        <w:rPr>
          <w:rFonts w:hint="eastAsia" w:ascii="黑体" w:eastAsia="黑体"/>
          <w:color w:val="000000"/>
          <w:sz w:val="32"/>
          <w:szCs w:val="32"/>
        </w:rPr>
        <w:t>四、财</w:t>
      </w:r>
      <w:r>
        <w:rPr>
          <w:rStyle w:val="21"/>
          <w:rFonts w:hint="eastAsia" w:ascii="黑体" w:eastAsia="黑体"/>
          <w:b w:val="0"/>
        </w:rPr>
        <w:t>政拨款收入支出决算总体情况说明</w:t>
      </w:r>
      <w:bookmarkEnd w:id="28"/>
      <w:bookmarkEnd w:id="29"/>
      <w:bookmarkEnd w:id="30"/>
      <w:bookmarkEnd w:id="31"/>
      <w:bookmarkEnd w:id="32"/>
    </w:p>
    <w:p>
      <w:pPr>
        <w:spacing w:line="560" w:lineRule="exact"/>
        <w:ind w:firstLine="640" w:firstLineChars="200"/>
        <w:outlineLvl w:val="1"/>
        <w:rPr>
          <w:rFonts w:hint="eastAsia" w:ascii="仿宋_GB2312" w:eastAsia="仿宋_GB2312" w:cs="仿宋_GB2312"/>
          <w:sz w:val="32"/>
          <w:szCs w:val="32"/>
          <w:lang w:val="en-US" w:eastAsia="zh-CN"/>
        </w:rPr>
      </w:pPr>
      <w:bookmarkStart w:id="33" w:name="_Toc79163614"/>
      <w:bookmarkStart w:id="34" w:name="_Toc15377209"/>
      <w:bookmarkStart w:id="35" w:name="_Toc79163864"/>
      <w:bookmarkStart w:id="36" w:name="_Toc15396607"/>
      <w:bookmarkStart w:id="37" w:name="_Toc26750"/>
      <w:r>
        <w:rPr>
          <w:rFonts w:hint="eastAsia" w:ascii="仿宋_GB2312" w:eastAsia="仿宋_GB2312" w:cs="仿宋_GB2312"/>
          <w:sz w:val="32"/>
          <w:szCs w:val="32"/>
          <w:lang w:val="en-US" w:eastAsia="zh-CN"/>
        </w:rPr>
        <w:t>2022年度收、支总计172.05万元。与2021年相比，收、支总计各增加59.63万元，增长53.04%。主要变动原因是</w:t>
      </w: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人员</w:t>
      </w:r>
      <w:r>
        <w:rPr>
          <w:rFonts w:hint="eastAsia" w:ascii="仿宋_GB2312" w:cs="仿宋_GB2312"/>
          <w:sz w:val="32"/>
          <w:szCs w:val="32"/>
          <w:lang w:val="en-US" w:eastAsia="zh-CN"/>
        </w:rPr>
        <w:t>增加</w:t>
      </w:r>
      <w:r>
        <w:rPr>
          <w:rFonts w:hint="eastAsia" w:ascii="仿宋_GB2312" w:eastAsia="仿宋_GB2312" w:cs="仿宋_GB2312"/>
          <w:sz w:val="32"/>
          <w:szCs w:val="32"/>
          <w:lang w:val="en-US" w:eastAsia="zh-CN"/>
        </w:rPr>
        <w:t>和项目</w:t>
      </w:r>
      <w:r>
        <w:rPr>
          <w:rFonts w:hint="eastAsia" w:ascii="仿宋_GB2312" w:cs="仿宋_GB2312"/>
          <w:sz w:val="32"/>
          <w:szCs w:val="32"/>
          <w:lang w:val="en-US" w:eastAsia="zh-CN"/>
        </w:rPr>
        <w:t>增加</w:t>
      </w:r>
      <w:r>
        <w:rPr>
          <w:rFonts w:hint="eastAsia" w:ascii="仿宋_GB2312" w:eastAsia="仿宋_GB2312" w:cs="仿宋_GB2312"/>
          <w:sz w:val="32"/>
          <w:szCs w:val="32"/>
          <w:lang w:val="en-US" w:eastAsia="zh-CN"/>
        </w:rPr>
        <w:t>。</w:t>
      </w:r>
    </w:p>
    <w:p>
      <w:pPr>
        <w:spacing w:line="560" w:lineRule="exact"/>
        <w:ind w:firstLine="640" w:firstLineChars="200"/>
        <w:outlineLvl w:val="1"/>
        <w:rPr>
          <w:rStyle w:val="21"/>
          <w:rFonts w:hint="eastAsia" w:ascii="黑体" w:eastAsia="黑体"/>
          <w:b w:val="0"/>
        </w:rPr>
      </w:pPr>
      <w:bookmarkStart w:id="124" w:name="_GoBack"/>
      <w:bookmarkEnd w:id="124"/>
      <w:r>
        <w:rPr>
          <w:rFonts w:hint="eastAsia" w:ascii="黑体" w:eastAsia="黑体"/>
          <w:color w:val="000000"/>
          <w:sz w:val="32"/>
          <w:szCs w:val="32"/>
        </w:rPr>
        <w:t>五、</w:t>
      </w:r>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33"/>
      <w:bookmarkEnd w:id="34"/>
      <w:bookmarkEnd w:id="35"/>
      <w:bookmarkEnd w:id="36"/>
      <w:bookmarkEnd w:id="37"/>
    </w:p>
    <w:bookmarkEnd w:id="21"/>
    <w:bookmarkEnd w:id="22"/>
    <w:bookmarkEnd w:id="23"/>
    <w:p>
      <w:pPr>
        <w:spacing w:line="560" w:lineRule="exact"/>
        <w:ind w:firstLine="643" w:firstLineChars="200"/>
        <w:outlineLvl w:val="2"/>
        <w:rPr>
          <w:rFonts w:hint="eastAsia" w:ascii="仿宋" w:eastAsia="仿宋"/>
          <w:b/>
          <w:color w:val="000000"/>
          <w:sz w:val="32"/>
          <w:szCs w:val="32"/>
        </w:rPr>
      </w:pPr>
      <w:bookmarkStart w:id="38" w:name="_Toc15377210"/>
      <w:bookmarkStart w:id="39" w:name="_Toc79163615"/>
      <w:bookmarkStart w:id="40" w:name="_Toc25357"/>
      <w:bookmarkStart w:id="41" w:name="_Toc79163865"/>
      <w:r>
        <w:rPr>
          <w:rFonts w:hint="eastAsia" w:ascii="仿宋" w:eastAsia="仿宋"/>
          <w:b/>
          <w:color w:val="000000"/>
          <w:sz w:val="32"/>
          <w:szCs w:val="32"/>
        </w:rPr>
        <w:t>（一）一般公共预算财政拨款支出决算总体情况</w:t>
      </w:r>
      <w:bookmarkEnd w:id="38"/>
      <w:bookmarkEnd w:id="39"/>
      <w:bookmarkEnd w:id="40"/>
      <w:bookmarkEnd w:id="41"/>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共青团金川县委</w:t>
      </w: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度一般公共预算财政拨款支出</w:t>
      </w:r>
      <w:r>
        <w:rPr>
          <w:rFonts w:hint="eastAsia" w:ascii="仿宋_GB2312" w:cs="仿宋_GB2312"/>
          <w:sz w:val="32"/>
          <w:szCs w:val="32"/>
          <w:lang w:val="en-US" w:eastAsia="zh-CN"/>
        </w:rPr>
        <w:t>172.05</w:t>
      </w:r>
      <w:r>
        <w:rPr>
          <w:rFonts w:hint="eastAsia" w:ascii="仿宋_GB2312" w:eastAsia="仿宋_GB2312" w:cs="仿宋_GB2312"/>
          <w:sz w:val="32"/>
          <w:szCs w:val="32"/>
          <w:lang w:val="en-US" w:eastAsia="zh-CN"/>
        </w:rPr>
        <w:t>万元，占本年</w:t>
      </w:r>
      <w:r>
        <w:rPr>
          <w:rFonts w:hint="eastAsia" w:ascii="仿宋_GB2312" w:cs="仿宋_GB2312"/>
          <w:sz w:val="32"/>
          <w:szCs w:val="32"/>
          <w:lang w:val="en-US" w:eastAsia="zh-CN"/>
        </w:rPr>
        <w:t>支出</w:t>
      </w:r>
      <w:r>
        <w:rPr>
          <w:rFonts w:hint="eastAsia" w:ascii="仿宋_GB2312" w:eastAsia="仿宋_GB2312" w:cs="仿宋_GB2312"/>
          <w:sz w:val="32"/>
          <w:szCs w:val="32"/>
          <w:lang w:val="en-US" w:eastAsia="zh-CN"/>
        </w:rPr>
        <w:t>合计的100%。</w:t>
      </w:r>
    </w:p>
    <w:p>
      <w:pPr>
        <w:spacing w:line="560" w:lineRule="exact"/>
        <w:ind w:firstLine="643" w:firstLineChars="200"/>
        <w:outlineLvl w:val="2"/>
        <w:rPr>
          <w:rFonts w:hint="eastAsia" w:ascii="仿宋" w:eastAsia="仿宋"/>
          <w:b/>
          <w:color w:val="000000"/>
          <w:sz w:val="32"/>
          <w:szCs w:val="32"/>
        </w:rPr>
      </w:pPr>
      <w:bookmarkStart w:id="42" w:name="_Toc31079"/>
      <w:bookmarkStart w:id="43" w:name="_Toc15377211"/>
      <w:bookmarkStart w:id="44" w:name="_Toc79163616"/>
      <w:bookmarkStart w:id="45" w:name="_Toc79163866"/>
      <w:r>
        <w:rPr>
          <w:rFonts w:hint="eastAsia" w:ascii="仿宋" w:eastAsia="仿宋"/>
          <w:b/>
          <w:color w:val="000000"/>
          <w:sz w:val="32"/>
          <w:szCs w:val="32"/>
        </w:rPr>
        <w:t>（二）一般公共预算财政拨款支出决算结构情况</w:t>
      </w:r>
      <w:bookmarkEnd w:id="42"/>
      <w:bookmarkEnd w:id="43"/>
      <w:bookmarkEnd w:id="44"/>
      <w:bookmarkEnd w:id="45"/>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一般公共预算财政拨款支出</w:t>
      </w:r>
      <w:r>
        <w:rPr>
          <w:rFonts w:hint="eastAsia" w:ascii="仿宋_GB2312" w:cs="仿宋_GB2312"/>
          <w:sz w:val="32"/>
          <w:szCs w:val="32"/>
          <w:lang w:val="en-US" w:eastAsia="zh-CN"/>
        </w:rPr>
        <w:t>172.05</w:t>
      </w:r>
      <w:r>
        <w:rPr>
          <w:rFonts w:hint="eastAsia" w:ascii="仿宋_GB2312" w:eastAsia="仿宋_GB2312" w:cs="仿宋_GB2312"/>
          <w:sz w:val="32"/>
          <w:szCs w:val="32"/>
          <w:lang w:val="en-US" w:eastAsia="zh-CN"/>
        </w:rPr>
        <w:t>万元，其中，一般公共服务支出</w:t>
      </w:r>
      <w:r>
        <w:rPr>
          <w:rFonts w:hint="eastAsia" w:ascii="仿宋_GB2312" w:cs="仿宋_GB2312"/>
          <w:sz w:val="32"/>
          <w:szCs w:val="32"/>
          <w:lang w:val="en-US" w:eastAsia="zh-CN"/>
        </w:rPr>
        <w:t>144.41</w:t>
      </w:r>
      <w:r>
        <w:rPr>
          <w:rFonts w:hint="eastAsia" w:ascii="仿宋_GB2312" w:eastAsia="仿宋_GB2312" w:cs="仿宋_GB2312"/>
          <w:sz w:val="32"/>
          <w:szCs w:val="32"/>
          <w:lang w:val="en-US" w:eastAsia="zh-CN"/>
        </w:rPr>
        <w:t>万元，社会保障和就业支出</w:t>
      </w:r>
      <w:r>
        <w:rPr>
          <w:rFonts w:hint="eastAsia" w:ascii="仿宋_GB2312" w:cs="仿宋_GB2312"/>
          <w:sz w:val="32"/>
          <w:szCs w:val="32"/>
          <w:lang w:val="en-US" w:eastAsia="zh-CN"/>
        </w:rPr>
        <w:t>9.99</w:t>
      </w:r>
      <w:r>
        <w:rPr>
          <w:rFonts w:hint="eastAsia" w:ascii="仿宋_GB2312" w:eastAsia="仿宋_GB2312" w:cs="仿宋_GB2312"/>
          <w:sz w:val="32"/>
          <w:szCs w:val="32"/>
          <w:lang w:val="en-US" w:eastAsia="zh-CN"/>
        </w:rPr>
        <w:t>万元，卫生健康支出</w:t>
      </w:r>
      <w:r>
        <w:rPr>
          <w:rFonts w:hint="eastAsia" w:ascii="仿宋_GB2312" w:cs="仿宋_GB2312"/>
          <w:sz w:val="32"/>
          <w:szCs w:val="32"/>
          <w:lang w:val="en-US" w:eastAsia="zh-CN"/>
        </w:rPr>
        <w:t>3.88</w:t>
      </w:r>
      <w:r>
        <w:rPr>
          <w:rFonts w:hint="eastAsia" w:ascii="仿宋_GB2312" w:eastAsia="仿宋_GB2312" w:cs="仿宋_GB2312"/>
          <w:sz w:val="32"/>
          <w:szCs w:val="32"/>
          <w:lang w:val="en-US" w:eastAsia="zh-CN"/>
        </w:rPr>
        <w:t>万元，住房保障支出</w:t>
      </w:r>
      <w:r>
        <w:rPr>
          <w:rFonts w:hint="eastAsia" w:ascii="仿宋_GB2312" w:cs="仿宋_GB2312"/>
          <w:sz w:val="32"/>
          <w:szCs w:val="32"/>
          <w:lang w:val="en-US" w:eastAsia="zh-CN"/>
        </w:rPr>
        <w:t>13.77</w:t>
      </w:r>
      <w:r>
        <w:rPr>
          <w:rFonts w:hint="eastAsia" w:ascii="仿宋_GB2312" w:eastAsia="仿宋_GB2312" w:cs="仿宋_GB2312"/>
          <w:sz w:val="32"/>
          <w:szCs w:val="32"/>
          <w:lang w:val="en-US" w:eastAsia="zh-CN"/>
        </w:rPr>
        <w:t>万元。</w:t>
      </w:r>
    </w:p>
    <w:p>
      <w:pPr>
        <w:spacing w:line="560" w:lineRule="exact"/>
        <w:ind w:firstLine="643" w:firstLineChars="200"/>
        <w:outlineLvl w:val="2"/>
        <w:rPr>
          <w:rFonts w:hint="eastAsia" w:ascii="仿宋" w:eastAsia="仿宋"/>
          <w:b/>
          <w:color w:val="000000"/>
          <w:sz w:val="32"/>
          <w:szCs w:val="32"/>
        </w:rPr>
      </w:pPr>
      <w:bookmarkStart w:id="46" w:name="_Toc15377212"/>
      <w:bookmarkStart w:id="47" w:name="_Toc79163867"/>
      <w:bookmarkStart w:id="48" w:name="_Toc79163617"/>
      <w:bookmarkStart w:id="49" w:name="_Toc10744"/>
      <w:r>
        <w:rPr>
          <w:rFonts w:hint="eastAsia" w:ascii="仿宋" w:eastAsia="仿宋"/>
          <w:b/>
          <w:color w:val="000000"/>
          <w:sz w:val="32"/>
          <w:szCs w:val="32"/>
        </w:rPr>
        <w:t>（三）一般公共预算财政拨款支出决算具体情况</w:t>
      </w:r>
      <w:bookmarkEnd w:id="46"/>
      <w:bookmarkEnd w:id="47"/>
      <w:bookmarkEnd w:id="48"/>
      <w:bookmarkEnd w:id="49"/>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bookmarkStart w:id="50" w:name="_Toc15378460"/>
      <w:bookmarkStart w:id="51" w:name="_Toc15377444"/>
      <w:bookmarkStart w:id="52" w:name="_Toc15377213"/>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一般公共预算支出决算数为</w:t>
      </w:r>
      <w:r>
        <w:rPr>
          <w:rFonts w:hint="eastAsia" w:ascii="仿宋_GB2312" w:cs="仿宋_GB2312"/>
          <w:sz w:val="32"/>
          <w:szCs w:val="32"/>
          <w:lang w:val="en-US" w:eastAsia="zh-CN"/>
        </w:rPr>
        <w:t>172.05万元</w:t>
      </w:r>
      <w:r>
        <w:rPr>
          <w:rFonts w:hint="eastAsia" w:ascii="仿宋_GB2312" w:eastAsia="仿宋_GB2312" w:cs="仿宋_GB2312"/>
          <w:sz w:val="32"/>
          <w:szCs w:val="32"/>
          <w:lang w:val="en-US" w:eastAsia="zh-CN"/>
        </w:rPr>
        <w:t>，完成预算100%。其中：</w:t>
      </w:r>
      <w:bookmarkEnd w:id="50"/>
      <w:bookmarkEnd w:id="51"/>
      <w:bookmarkEnd w:id="52"/>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 一般公共服务支出（类）群众团体事务（款）行政运行（项）：支出决算为</w:t>
      </w:r>
      <w:r>
        <w:rPr>
          <w:rFonts w:ascii="仿宋_GB2312" w:cs="仿宋_GB2312"/>
          <w:sz w:val="32"/>
          <w:szCs w:val="32"/>
          <w:lang w:eastAsia="zh-CN"/>
        </w:rPr>
        <w:t>97</w:t>
      </w:r>
      <w:r>
        <w:rPr>
          <w:rFonts w:hint="eastAsia" w:ascii="仿宋_GB2312" w:eastAsia="仿宋_GB2312" w:cs="仿宋_GB2312"/>
          <w:sz w:val="32"/>
          <w:szCs w:val="32"/>
          <w:lang w:val="en-US" w:eastAsia="zh-CN"/>
        </w:rPr>
        <w:t>.11元，完成预算100%。</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2.一般公共服务（类）群众团体事务（款）一般行政管理事务（项）: 支出决算为</w:t>
      </w:r>
      <w:r>
        <w:rPr>
          <w:rFonts w:ascii="仿宋_GB2312" w:cs="仿宋_GB2312"/>
          <w:sz w:val="32"/>
          <w:szCs w:val="32"/>
          <w:lang w:eastAsia="zh-CN"/>
        </w:rPr>
        <w:t>11.75</w:t>
      </w:r>
      <w:r>
        <w:rPr>
          <w:rFonts w:hint="eastAsia" w:ascii="仿宋_GB2312" w:eastAsia="仿宋_GB2312" w:cs="仿宋_GB2312"/>
          <w:sz w:val="32"/>
          <w:szCs w:val="32"/>
          <w:lang w:val="en-US" w:eastAsia="zh-CN"/>
        </w:rPr>
        <w:t>万元，完成预算100%。</w:t>
      </w:r>
    </w:p>
    <w:p>
      <w:pPr>
        <w:pageBreakBefore w:val="0"/>
        <w:widowControl w:val="0"/>
        <w:kinsoku/>
        <w:wordWrap/>
        <w:overflowPunct/>
        <w:topLinePunct w:val="0"/>
        <w:bidi w:val="0"/>
        <w:spacing w:line="560" w:lineRule="exact"/>
        <w:ind w:left="0" w:firstLine="640" w:firstLineChars="200"/>
        <w:textAlignment w:val="auto"/>
        <w:rPr>
          <w:rFonts w:hint="eastAsia"/>
          <w:lang w:val="en-US" w:eastAsia="zh-CN"/>
        </w:rPr>
      </w:pPr>
      <w:r>
        <w:rPr>
          <w:rFonts w:ascii="仿宋_GB2312" w:cs="仿宋_GB2312"/>
          <w:sz w:val="32"/>
          <w:szCs w:val="32"/>
          <w:lang w:eastAsia="zh-CN"/>
        </w:rPr>
        <w:t>3</w:t>
      </w:r>
      <w:r>
        <w:rPr>
          <w:rFonts w:hint="eastAsia" w:ascii="仿宋_GB2312" w:eastAsia="仿宋_GB2312" w:cs="仿宋_GB2312"/>
          <w:sz w:val="32"/>
          <w:szCs w:val="32"/>
          <w:lang w:val="en-US" w:eastAsia="zh-CN"/>
        </w:rPr>
        <w:t>.一般公共服务（类）群众团体事务（款）其他群众团体事务支出（项）: 支出决算为</w:t>
      </w:r>
      <w:r>
        <w:rPr>
          <w:rFonts w:ascii="仿宋_GB2312" w:cs="仿宋_GB2312"/>
          <w:sz w:val="32"/>
          <w:szCs w:val="32"/>
          <w:lang w:eastAsia="zh-CN"/>
        </w:rPr>
        <w:t>35.55</w:t>
      </w:r>
      <w:r>
        <w:rPr>
          <w:rFonts w:hint="eastAsia" w:ascii="仿宋_GB2312" w:eastAsia="仿宋_GB2312" w:cs="仿宋_GB2312"/>
          <w:sz w:val="32"/>
          <w:szCs w:val="32"/>
          <w:lang w:val="en-US" w:eastAsia="zh-CN"/>
        </w:rPr>
        <w:t>万元，完成预算100%。</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ascii="仿宋_GB2312" w:cs="仿宋_GB2312"/>
          <w:sz w:val="32"/>
          <w:szCs w:val="32"/>
          <w:lang w:eastAsia="zh-CN"/>
        </w:rPr>
        <w:t>4</w:t>
      </w:r>
      <w:r>
        <w:rPr>
          <w:rFonts w:hint="eastAsia" w:ascii="仿宋_GB2312" w:eastAsia="仿宋_GB2312" w:cs="仿宋_GB2312"/>
          <w:sz w:val="32"/>
          <w:szCs w:val="32"/>
          <w:lang w:val="en-US" w:eastAsia="zh-CN"/>
        </w:rPr>
        <w:t>. 社会保障和就业支出（类）行政事业单位养老支出（款）机关事业单位基本养老保险缴费支出（项）: 支出决算为</w:t>
      </w:r>
      <w:r>
        <w:rPr>
          <w:rFonts w:hint="eastAsia" w:ascii="仿宋_GB2312" w:cs="仿宋_GB2312"/>
          <w:sz w:val="32"/>
          <w:szCs w:val="32"/>
          <w:lang w:val="en-US" w:eastAsia="zh-CN"/>
        </w:rPr>
        <w:t>6.66</w:t>
      </w:r>
      <w:r>
        <w:rPr>
          <w:rFonts w:hint="eastAsia" w:ascii="仿宋_GB2312" w:eastAsia="仿宋_GB2312" w:cs="仿宋_GB2312"/>
          <w:sz w:val="32"/>
          <w:szCs w:val="32"/>
          <w:lang w:val="en-US" w:eastAsia="zh-CN"/>
        </w:rPr>
        <w:t>万元，完成预算100%。</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ascii="仿宋_GB2312" w:cs="仿宋_GB2312"/>
          <w:sz w:val="32"/>
          <w:szCs w:val="32"/>
          <w:lang w:eastAsia="zh-CN"/>
        </w:rPr>
        <w:t>5</w:t>
      </w:r>
      <w:r>
        <w:rPr>
          <w:rFonts w:hint="eastAsia" w:ascii="仿宋_GB2312" w:eastAsia="仿宋_GB2312" w:cs="仿宋_GB2312"/>
          <w:sz w:val="32"/>
          <w:szCs w:val="32"/>
          <w:lang w:val="en-US" w:eastAsia="zh-CN"/>
        </w:rPr>
        <w:t>. 社会保障和就业支出（类）行政事业单位养老支出（款）机关事业单位职业年金缴费支出（项）:支出决算为</w:t>
      </w:r>
      <w:r>
        <w:rPr>
          <w:rFonts w:hint="eastAsia" w:ascii="仿宋_GB2312" w:cs="仿宋_GB2312"/>
          <w:sz w:val="32"/>
          <w:szCs w:val="32"/>
          <w:lang w:val="en-US" w:eastAsia="zh-CN"/>
        </w:rPr>
        <w:t>3.33</w:t>
      </w:r>
      <w:r>
        <w:rPr>
          <w:rFonts w:hint="eastAsia" w:ascii="仿宋_GB2312" w:eastAsia="仿宋_GB2312" w:cs="仿宋_GB2312"/>
          <w:sz w:val="32"/>
          <w:szCs w:val="32"/>
          <w:lang w:val="en-US" w:eastAsia="zh-CN"/>
        </w:rPr>
        <w:t>万元，完成预算100%。</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5.卫生健康支出（类）行政事业单位医疗（款）行政单位医疗（项）:支出决算为</w:t>
      </w:r>
      <w:r>
        <w:rPr>
          <w:rFonts w:hint="eastAsia" w:ascii="仿宋_GB2312" w:cs="仿宋_GB2312"/>
          <w:sz w:val="32"/>
          <w:szCs w:val="32"/>
          <w:lang w:val="en-US" w:eastAsia="zh-CN"/>
        </w:rPr>
        <w:t>3.08</w:t>
      </w:r>
      <w:r>
        <w:rPr>
          <w:rFonts w:hint="eastAsia" w:ascii="仿宋_GB2312" w:eastAsia="仿宋_GB2312" w:cs="仿宋_GB2312"/>
          <w:sz w:val="32"/>
          <w:szCs w:val="32"/>
          <w:lang w:val="en-US" w:eastAsia="zh-CN"/>
        </w:rPr>
        <w:t>万元，完成预算100%。</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6.卫生健康支出（类）行政事业单位医疗（款）公务员医疗补助（项）:支出决算为0.</w:t>
      </w:r>
      <w:r>
        <w:rPr>
          <w:rFonts w:hint="eastAsia" w:ascii="仿宋_GB2312" w:cs="仿宋_GB2312"/>
          <w:sz w:val="32"/>
          <w:szCs w:val="32"/>
          <w:lang w:val="en-US" w:eastAsia="zh-CN"/>
        </w:rPr>
        <w:t>8</w:t>
      </w:r>
      <w:r>
        <w:rPr>
          <w:rFonts w:hint="eastAsia" w:ascii="仿宋_GB2312" w:eastAsia="仿宋_GB2312" w:cs="仿宋_GB2312"/>
          <w:sz w:val="32"/>
          <w:szCs w:val="32"/>
          <w:lang w:val="en-US" w:eastAsia="zh-CN"/>
        </w:rPr>
        <w:t>万元，完成预算100%。</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7.住房保障支出（类）住房改革支出（款）住房公积金（项）：支出决算为</w:t>
      </w:r>
      <w:r>
        <w:rPr>
          <w:rFonts w:hint="eastAsia" w:ascii="仿宋_GB2312" w:cs="仿宋_GB2312"/>
          <w:sz w:val="32"/>
          <w:szCs w:val="32"/>
          <w:lang w:val="en-US" w:eastAsia="zh-CN"/>
        </w:rPr>
        <w:t>13.77</w:t>
      </w:r>
      <w:r>
        <w:rPr>
          <w:rFonts w:hint="eastAsia" w:ascii="仿宋_GB2312" w:eastAsia="仿宋_GB2312" w:cs="仿宋_GB2312"/>
          <w:sz w:val="32"/>
          <w:szCs w:val="32"/>
          <w:lang w:val="en-US" w:eastAsia="zh-CN"/>
        </w:rPr>
        <w:t>万元，完成预算100%。</w:t>
      </w:r>
    </w:p>
    <w:p>
      <w:pPr>
        <w:tabs>
          <w:tab w:val="right" w:pos="8306"/>
        </w:tabs>
        <w:spacing w:line="560" w:lineRule="exact"/>
        <w:ind w:firstLine="640" w:firstLineChars="200"/>
        <w:outlineLvl w:val="1"/>
        <w:rPr>
          <w:rStyle w:val="21"/>
        </w:rPr>
      </w:pPr>
      <w:bookmarkStart w:id="53" w:name="_Toc15396608"/>
      <w:bookmarkStart w:id="54" w:name="_Toc79163618"/>
      <w:bookmarkStart w:id="55" w:name="_Toc27736"/>
      <w:bookmarkStart w:id="56" w:name="_Toc79163868"/>
      <w:bookmarkStart w:id="57" w:name="_Toc15377214"/>
      <w:r>
        <w:rPr>
          <w:rFonts w:hint="eastAsia" w:ascii="黑体" w:eastAsia="黑体"/>
          <w:color w:val="000000"/>
          <w:sz w:val="32"/>
          <w:szCs w:val="32"/>
        </w:rPr>
        <w:t>六</w:t>
      </w:r>
      <w:r>
        <w:rPr>
          <w:rFonts w:hint="eastAsia" w:ascii="黑体" w:eastAsia="黑体"/>
          <w:b/>
          <w:color w:val="000000"/>
          <w:sz w:val="32"/>
          <w:szCs w:val="32"/>
        </w:rPr>
        <w:t>、一</w:t>
      </w:r>
      <w:r>
        <w:rPr>
          <w:rStyle w:val="21"/>
          <w:rFonts w:hint="eastAsia" w:ascii="黑体" w:eastAsia="黑体"/>
          <w:b w:val="0"/>
        </w:rPr>
        <w:t>般公共预算财政拨款基本支出决算情况说明</w:t>
      </w:r>
      <w:bookmarkEnd w:id="53"/>
      <w:bookmarkEnd w:id="54"/>
      <w:bookmarkEnd w:id="55"/>
      <w:bookmarkEnd w:id="56"/>
      <w:bookmarkEnd w:id="57"/>
      <w:r>
        <w:rPr>
          <w:rStyle w:val="21"/>
          <w:rFonts w:hint="eastAsia" w:ascii="黑体" w:eastAsia="黑体"/>
          <w:b w:val="0"/>
        </w:rPr>
        <w:tab/>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bookmarkStart w:id="58" w:name="_Toc15377215"/>
      <w:bookmarkStart w:id="59" w:name="_Toc79163619"/>
      <w:bookmarkStart w:id="60" w:name="_Toc79163869"/>
      <w:bookmarkStart w:id="61" w:name="_Toc15396609"/>
      <w:r>
        <w:rPr>
          <w:rFonts w:hint="eastAsia" w:ascii="仿宋_GB2312" w:eastAsia="仿宋_GB2312" w:cs="仿宋_GB2312"/>
          <w:sz w:val="32"/>
          <w:szCs w:val="32"/>
          <w:lang w:val="en-US" w:eastAsia="zh-CN"/>
        </w:rPr>
        <w:t>共青团金川县委</w:t>
      </w: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度一般公共预算财政拨款支出基本支出</w:t>
      </w:r>
      <w:r>
        <w:rPr>
          <w:rFonts w:hint="eastAsia" w:ascii="仿宋_GB2312" w:cs="仿宋_GB2312"/>
          <w:sz w:val="32"/>
          <w:szCs w:val="32"/>
          <w:lang w:val="en-US" w:eastAsia="zh-CN"/>
        </w:rPr>
        <w:t>124.75</w:t>
      </w:r>
      <w:r>
        <w:rPr>
          <w:rFonts w:hint="eastAsia" w:ascii="仿宋_GB2312" w:eastAsia="仿宋_GB2312" w:cs="仿宋_GB2312"/>
          <w:sz w:val="32"/>
          <w:szCs w:val="32"/>
          <w:lang w:val="en-US" w:eastAsia="zh-CN"/>
        </w:rPr>
        <w:t>万元。</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sz w:val="30"/>
          <w:szCs w:val="30"/>
          <w:lang w:val="en-US" w:eastAsia="zh-CN"/>
        </w:rPr>
      </w:pPr>
      <w:r>
        <w:rPr>
          <w:rFonts w:hint="eastAsia" w:ascii="仿宋_GB2312" w:eastAsia="仿宋_GB2312" w:cs="仿宋_GB2312"/>
          <w:sz w:val="32"/>
          <w:szCs w:val="32"/>
          <w:lang w:val="en-US" w:eastAsia="zh-CN"/>
        </w:rPr>
        <w:t>其中：人员经费</w:t>
      </w:r>
      <w:r>
        <w:rPr>
          <w:rFonts w:hint="eastAsia" w:ascii="仿宋_GB2312" w:cs="仿宋_GB2312"/>
          <w:sz w:val="32"/>
          <w:szCs w:val="32"/>
          <w:lang w:val="en-US" w:eastAsia="zh-CN"/>
        </w:rPr>
        <w:t>114.27</w:t>
      </w:r>
      <w:r>
        <w:rPr>
          <w:rFonts w:hint="eastAsia" w:ascii="仿宋_GB2312" w:eastAsia="仿宋_GB2312" w:cs="仿宋_GB2312"/>
          <w:sz w:val="32"/>
          <w:szCs w:val="32"/>
          <w:lang w:val="en-US" w:eastAsia="zh-CN"/>
        </w:rPr>
        <w:t>万元，主要包括：行政基本工资</w:t>
      </w:r>
      <w:r>
        <w:rPr>
          <w:rFonts w:hint="eastAsia" w:ascii="仿宋_GB2312" w:cs="仿宋_GB2312"/>
          <w:sz w:val="32"/>
          <w:szCs w:val="32"/>
          <w:lang w:val="en-US" w:eastAsia="zh-CN"/>
        </w:rPr>
        <w:t>15.98</w:t>
      </w:r>
      <w:r>
        <w:rPr>
          <w:rFonts w:hint="eastAsia" w:ascii="仿宋_GB2312" w:eastAsia="仿宋_GB2312" w:cs="仿宋_GB2312"/>
          <w:sz w:val="32"/>
          <w:szCs w:val="32"/>
          <w:lang w:val="en-US" w:eastAsia="zh-CN"/>
        </w:rPr>
        <w:t>万元</w:t>
      </w:r>
      <w:r>
        <w:rPr>
          <w:rFonts w:hint="eastAsia" w:ascii="仿宋_GB2312" w:cs="仿宋_GB2312"/>
          <w:sz w:val="32"/>
          <w:szCs w:val="32"/>
          <w:lang w:val="en-US" w:eastAsia="zh-CN"/>
        </w:rPr>
        <w:t>，</w:t>
      </w:r>
      <w:r>
        <w:rPr>
          <w:rFonts w:hint="eastAsia" w:ascii="仿宋_GB2312" w:eastAsia="仿宋_GB2312" w:cs="仿宋_GB2312"/>
          <w:sz w:val="32"/>
          <w:szCs w:val="32"/>
          <w:lang w:val="en-US" w:eastAsia="zh-CN"/>
        </w:rPr>
        <w:t>津贴补贴</w:t>
      </w:r>
      <w:r>
        <w:rPr>
          <w:rFonts w:hint="eastAsia" w:ascii="仿宋_GB2312" w:cs="仿宋_GB2312"/>
          <w:sz w:val="32"/>
          <w:szCs w:val="32"/>
          <w:lang w:val="en-US" w:eastAsia="zh-CN"/>
        </w:rPr>
        <w:t>19.32</w:t>
      </w:r>
      <w:r>
        <w:rPr>
          <w:rFonts w:hint="eastAsia" w:ascii="仿宋_GB2312" w:eastAsia="仿宋_GB2312" w:cs="仿宋_GB2312"/>
          <w:sz w:val="32"/>
          <w:szCs w:val="32"/>
          <w:lang w:val="en-US" w:eastAsia="zh-CN"/>
        </w:rPr>
        <w:t>万元</w:t>
      </w:r>
      <w:r>
        <w:rPr>
          <w:rFonts w:hint="eastAsia" w:ascii="仿宋_GB2312" w:cs="仿宋_GB2312"/>
          <w:sz w:val="32"/>
          <w:szCs w:val="32"/>
          <w:lang w:val="en-US" w:eastAsia="zh-CN"/>
        </w:rPr>
        <w:t>，</w:t>
      </w:r>
      <w:r>
        <w:rPr>
          <w:rFonts w:hint="eastAsia" w:ascii="仿宋_GB2312" w:eastAsia="仿宋_GB2312" w:cs="仿宋_GB2312"/>
          <w:sz w:val="32"/>
          <w:szCs w:val="32"/>
          <w:lang w:val="en-US" w:eastAsia="zh-CN"/>
        </w:rPr>
        <w:t>奖金</w:t>
      </w:r>
      <w:r>
        <w:rPr>
          <w:rFonts w:hint="eastAsia" w:ascii="仿宋_GB2312" w:cs="仿宋_GB2312"/>
          <w:sz w:val="32"/>
          <w:szCs w:val="32"/>
          <w:lang w:val="en-US" w:eastAsia="zh-CN"/>
        </w:rPr>
        <w:t>15.69</w:t>
      </w:r>
      <w:r>
        <w:rPr>
          <w:rFonts w:hint="eastAsia" w:ascii="仿宋_GB2312" w:eastAsia="仿宋_GB2312" w:cs="仿宋_GB2312"/>
          <w:sz w:val="32"/>
          <w:szCs w:val="32"/>
          <w:lang w:val="en-US" w:eastAsia="zh-CN"/>
        </w:rPr>
        <w:t>万元，其他社会保障缴费</w:t>
      </w:r>
      <w:r>
        <w:rPr>
          <w:rFonts w:hint="eastAsia" w:ascii="仿宋_GB2312" w:cs="仿宋_GB2312"/>
          <w:sz w:val="32"/>
          <w:szCs w:val="32"/>
          <w:lang w:val="en-US" w:eastAsia="zh-CN"/>
        </w:rPr>
        <w:t>0.65</w:t>
      </w:r>
      <w:r>
        <w:rPr>
          <w:rFonts w:hint="eastAsia" w:ascii="仿宋_GB2312" w:eastAsia="仿宋_GB2312" w:cs="仿宋_GB2312"/>
          <w:sz w:val="32"/>
          <w:szCs w:val="32"/>
          <w:lang w:val="en-US" w:eastAsia="zh-CN"/>
        </w:rPr>
        <w:t>万元，其他工资福利支出</w:t>
      </w:r>
      <w:r>
        <w:rPr>
          <w:rFonts w:hint="eastAsia" w:ascii="仿宋_GB2312" w:cs="仿宋_GB2312"/>
          <w:sz w:val="32"/>
          <w:szCs w:val="32"/>
          <w:lang w:val="en-US" w:eastAsia="zh-CN"/>
        </w:rPr>
        <w:t>21.52</w:t>
      </w:r>
      <w:r>
        <w:rPr>
          <w:rFonts w:hint="eastAsia" w:ascii="仿宋_GB2312" w:eastAsia="仿宋_GB2312" w:cs="仿宋_GB2312"/>
          <w:sz w:val="32"/>
          <w:szCs w:val="32"/>
          <w:lang w:val="en-US" w:eastAsia="zh-CN"/>
        </w:rPr>
        <w:t>万元，机关事业单位基本养老保险费</w:t>
      </w:r>
      <w:r>
        <w:rPr>
          <w:rFonts w:hint="eastAsia" w:ascii="仿宋_GB2312" w:cs="仿宋_GB2312"/>
          <w:sz w:val="32"/>
          <w:szCs w:val="32"/>
          <w:lang w:val="en-US" w:eastAsia="zh-CN"/>
        </w:rPr>
        <w:t>6.66</w:t>
      </w:r>
      <w:r>
        <w:rPr>
          <w:rFonts w:hint="eastAsia" w:ascii="仿宋_GB2312" w:eastAsia="仿宋_GB2312" w:cs="仿宋_GB2312"/>
          <w:sz w:val="32"/>
          <w:szCs w:val="32"/>
          <w:lang w:val="en-US" w:eastAsia="zh-CN"/>
        </w:rPr>
        <w:t>万元，机关事业单位职业年金</w:t>
      </w:r>
      <w:r>
        <w:rPr>
          <w:rFonts w:hint="eastAsia" w:ascii="仿宋_GB2312" w:cs="仿宋_GB2312"/>
          <w:sz w:val="32"/>
          <w:szCs w:val="32"/>
          <w:lang w:val="en-US" w:eastAsia="zh-CN"/>
        </w:rPr>
        <w:t>3.33</w:t>
      </w:r>
      <w:r>
        <w:rPr>
          <w:rFonts w:hint="eastAsia" w:ascii="仿宋_GB2312" w:eastAsia="仿宋_GB2312" w:cs="仿宋_GB2312"/>
          <w:sz w:val="32"/>
          <w:szCs w:val="32"/>
          <w:lang w:val="en-US" w:eastAsia="zh-CN"/>
        </w:rPr>
        <w:t>万元，住房保障</w:t>
      </w:r>
      <w:r>
        <w:rPr>
          <w:rFonts w:hint="eastAsia" w:ascii="仿宋_GB2312" w:cs="仿宋_GB2312"/>
          <w:sz w:val="32"/>
          <w:szCs w:val="32"/>
          <w:lang w:val="en-US" w:eastAsia="zh-CN"/>
        </w:rPr>
        <w:t>13.77</w:t>
      </w:r>
      <w:r>
        <w:rPr>
          <w:rFonts w:hint="eastAsia" w:ascii="仿宋_GB2312" w:eastAsia="仿宋_GB2312" w:cs="仿宋_GB2312"/>
          <w:sz w:val="32"/>
          <w:szCs w:val="32"/>
          <w:lang w:val="en-US" w:eastAsia="zh-CN"/>
        </w:rPr>
        <w:t>万元，行政单位医疗</w:t>
      </w:r>
      <w:r>
        <w:rPr>
          <w:rFonts w:hint="eastAsia" w:ascii="仿宋_GB2312" w:cs="仿宋_GB2312"/>
          <w:sz w:val="32"/>
          <w:szCs w:val="32"/>
          <w:lang w:val="en-US" w:eastAsia="zh-CN"/>
        </w:rPr>
        <w:t>3.08</w:t>
      </w:r>
      <w:r>
        <w:rPr>
          <w:rFonts w:hint="eastAsia" w:ascii="仿宋_GB2312" w:eastAsia="仿宋_GB2312" w:cs="仿宋_GB2312"/>
          <w:sz w:val="32"/>
          <w:szCs w:val="32"/>
          <w:lang w:val="en-US" w:eastAsia="zh-CN"/>
        </w:rPr>
        <w:t>万元，公务员医疗补助</w:t>
      </w:r>
      <w:r>
        <w:rPr>
          <w:rFonts w:hint="eastAsia" w:ascii="仿宋_GB2312" w:cs="仿宋_GB2312"/>
          <w:sz w:val="32"/>
          <w:szCs w:val="32"/>
          <w:lang w:val="en-US" w:eastAsia="zh-CN"/>
        </w:rPr>
        <w:t>0.8</w:t>
      </w:r>
      <w:r>
        <w:rPr>
          <w:rFonts w:hint="eastAsia" w:ascii="仿宋_GB2312" w:eastAsia="仿宋_GB2312" w:cs="仿宋_GB2312"/>
          <w:sz w:val="32"/>
          <w:szCs w:val="32"/>
          <w:lang w:val="en-US" w:eastAsia="zh-CN"/>
        </w:rPr>
        <w:t>万元</w:t>
      </w:r>
      <w:r>
        <w:rPr>
          <w:rFonts w:hint="eastAsia" w:ascii="仿宋_GB2312" w:cs="仿宋_GB2312"/>
          <w:sz w:val="32"/>
          <w:szCs w:val="32"/>
          <w:lang w:val="en-US" w:eastAsia="zh-CN"/>
        </w:rPr>
        <w:t>,奖励金11.4万元，生活补助2.07万元</w:t>
      </w:r>
      <w:r>
        <w:rPr>
          <w:rFonts w:hint="eastAsia" w:ascii="仿宋_GB2312" w:eastAsia="仿宋_GB2312" w:cs="仿宋_GB2312"/>
          <w:sz w:val="32"/>
          <w:szCs w:val="32"/>
          <w:lang w:val="en-US" w:eastAsia="zh-CN"/>
        </w:rPr>
        <w:t>。</w:t>
      </w:r>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公用经费</w:t>
      </w:r>
      <w:r>
        <w:rPr>
          <w:rFonts w:hint="eastAsia" w:ascii="仿宋_GB2312" w:cs="仿宋_GB2312"/>
          <w:sz w:val="32"/>
          <w:szCs w:val="32"/>
          <w:lang w:val="en-US" w:eastAsia="zh-CN"/>
        </w:rPr>
        <w:t>10.48</w:t>
      </w:r>
      <w:r>
        <w:rPr>
          <w:rFonts w:hint="eastAsia" w:ascii="仿宋_GB2312" w:eastAsia="仿宋_GB2312" w:cs="仿宋_GB2312"/>
          <w:sz w:val="32"/>
          <w:szCs w:val="32"/>
          <w:lang w:val="en-US" w:eastAsia="zh-CN"/>
        </w:rPr>
        <w:t>万元，其中办公费</w:t>
      </w:r>
      <w:r>
        <w:rPr>
          <w:rFonts w:hint="eastAsia" w:ascii="仿宋_GB2312" w:cs="仿宋_GB2312"/>
          <w:sz w:val="32"/>
          <w:szCs w:val="32"/>
          <w:lang w:val="en-US" w:eastAsia="zh-CN"/>
        </w:rPr>
        <w:t>2.92</w:t>
      </w:r>
      <w:r>
        <w:rPr>
          <w:rFonts w:hint="eastAsia" w:ascii="仿宋_GB2312" w:eastAsia="仿宋_GB2312" w:cs="仿宋_GB2312"/>
          <w:sz w:val="32"/>
          <w:szCs w:val="32"/>
          <w:lang w:val="en-US" w:eastAsia="zh-CN"/>
        </w:rPr>
        <w:t>万元、水费</w:t>
      </w:r>
      <w:r>
        <w:rPr>
          <w:rFonts w:hint="eastAsia" w:ascii="仿宋_GB2312" w:cs="仿宋_GB2312"/>
          <w:sz w:val="32"/>
          <w:szCs w:val="32"/>
          <w:lang w:val="en-US" w:eastAsia="zh-CN"/>
        </w:rPr>
        <w:t>0.04</w:t>
      </w:r>
      <w:r>
        <w:rPr>
          <w:rFonts w:hint="eastAsia" w:ascii="仿宋_GB2312" w:eastAsia="仿宋_GB2312" w:cs="仿宋_GB2312"/>
          <w:sz w:val="32"/>
          <w:szCs w:val="32"/>
          <w:lang w:val="en-US" w:eastAsia="zh-CN"/>
        </w:rPr>
        <w:t>万元，电费0.3万元、邮电费0.5万元、差旅费1.</w:t>
      </w:r>
      <w:r>
        <w:rPr>
          <w:rFonts w:hint="eastAsia" w:ascii="仿宋_GB2312" w:cs="仿宋_GB2312"/>
          <w:sz w:val="32"/>
          <w:szCs w:val="32"/>
          <w:lang w:val="en-US" w:eastAsia="zh-CN"/>
        </w:rPr>
        <w:t>4</w:t>
      </w:r>
      <w:r>
        <w:rPr>
          <w:rFonts w:hint="eastAsia" w:ascii="仿宋_GB2312" w:eastAsia="仿宋_GB2312" w:cs="仿宋_GB2312"/>
          <w:sz w:val="32"/>
          <w:szCs w:val="32"/>
          <w:lang w:val="en-US" w:eastAsia="zh-CN"/>
        </w:rPr>
        <w:t>万元、劳务费</w:t>
      </w:r>
      <w:r>
        <w:rPr>
          <w:rFonts w:hint="eastAsia" w:ascii="仿宋_GB2312" w:cs="仿宋_GB2312"/>
          <w:sz w:val="32"/>
          <w:szCs w:val="32"/>
          <w:lang w:val="en-US" w:eastAsia="zh-CN"/>
        </w:rPr>
        <w:t>4.52</w:t>
      </w:r>
      <w:r>
        <w:rPr>
          <w:rFonts w:hint="eastAsia" w:ascii="仿宋_GB2312" w:eastAsia="仿宋_GB2312" w:cs="仿宋_GB2312"/>
          <w:sz w:val="32"/>
          <w:szCs w:val="32"/>
          <w:lang w:val="en-US" w:eastAsia="zh-CN"/>
        </w:rPr>
        <w:t>万元、其他交通费用</w:t>
      </w:r>
      <w:r>
        <w:rPr>
          <w:rFonts w:hint="eastAsia" w:ascii="仿宋_GB2312" w:cs="仿宋_GB2312"/>
          <w:sz w:val="32"/>
          <w:szCs w:val="32"/>
          <w:lang w:val="en-US" w:eastAsia="zh-CN"/>
        </w:rPr>
        <w:t>0.8</w:t>
      </w:r>
      <w:r>
        <w:rPr>
          <w:rFonts w:hint="eastAsia" w:ascii="仿宋_GB2312" w:eastAsia="仿宋_GB2312" w:cs="仿宋_GB2312"/>
          <w:sz w:val="32"/>
          <w:szCs w:val="32"/>
          <w:lang w:val="en-US" w:eastAsia="zh-CN"/>
        </w:rPr>
        <w:t>万元。</w:t>
      </w:r>
    </w:p>
    <w:p>
      <w:pPr>
        <w:spacing w:line="560" w:lineRule="exact"/>
        <w:outlineLvl w:val="1"/>
        <w:rPr>
          <w:rStyle w:val="21"/>
          <w:rFonts w:hint="eastAsia" w:ascii="黑体" w:eastAsia="黑体"/>
          <w:b w:val="0"/>
        </w:rPr>
      </w:pPr>
      <w:bookmarkStart w:id="62" w:name="_Toc23598"/>
      <w:r>
        <w:rPr>
          <w:rFonts w:hint="eastAsia" w:ascii="黑体" w:eastAsia="黑体"/>
          <w:color w:val="000000"/>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58"/>
      <w:bookmarkEnd w:id="59"/>
      <w:bookmarkEnd w:id="60"/>
      <w:bookmarkEnd w:id="61"/>
      <w:bookmarkEnd w:id="62"/>
    </w:p>
    <w:p>
      <w:pPr>
        <w:spacing w:line="560" w:lineRule="exact"/>
        <w:outlineLvl w:val="2"/>
        <w:rPr>
          <w:rFonts w:hint="eastAsia" w:ascii="仿宋" w:eastAsia="仿宋"/>
          <w:b/>
          <w:color w:val="000000"/>
          <w:sz w:val="32"/>
          <w:szCs w:val="32"/>
        </w:rPr>
      </w:pPr>
      <w:bookmarkStart w:id="63" w:name="_Toc79163870"/>
      <w:bookmarkStart w:id="64" w:name="_Toc3639"/>
      <w:bookmarkStart w:id="65" w:name="_Toc15377216"/>
      <w:bookmarkStart w:id="66" w:name="_Toc79163620"/>
      <w:r>
        <w:rPr>
          <w:rFonts w:hint="eastAsia" w:ascii="仿宋" w:eastAsia="仿宋"/>
          <w:b/>
          <w:color w:val="000000"/>
          <w:sz w:val="32"/>
          <w:szCs w:val="32"/>
        </w:rPr>
        <w:t>（一）“三公”经费财政拨款支出决算总体情况说明</w:t>
      </w:r>
      <w:bookmarkEnd w:id="63"/>
      <w:bookmarkEnd w:id="64"/>
      <w:bookmarkEnd w:id="65"/>
      <w:bookmarkEnd w:id="66"/>
    </w:p>
    <w:p>
      <w:pPr>
        <w:pageBreakBefore w:val="0"/>
        <w:widowControl w:val="0"/>
        <w:kinsoku/>
        <w:wordWrap/>
        <w:overflowPunct/>
        <w:topLinePunct w:val="0"/>
        <w:bidi w:val="0"/>
        <w:spacing w:line="560" w:lineRule="exact"/>
        <w:ind w:left="0" w:firstLine="640" w:firstLineChars="200"/>
        <w:textAlignment w:val="auto"/>
        <w:rPr>
          <w:rFonts w:ascii="仿宋_GB2312" w:eastAsia="仿宋_GB2312" w:cs="仿宋_GB2312"/>
          <w:sz w:val="32"/>
          <w:szCs w:val="32"/>
          <w:lang w:val="en-US" w:eastAsia="zh-CN"/>
        </w:rPr>
      </w:pP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“三公”经费财政拨款支出决算为</w:t>
      </w:r>
      <w:r>
        <w:rPr>
          <w:rFonts w:hint="eastAsia" w:ascii="仿宋_GB2312" w:cs="仿宋_GB2312"/>
          <w:sz w:val="32"/>
          <w:szCs w:val="32"/>
          <w:lang w:val="en-US" w:eastAsia="zh-CN"/>
        </w:rPr>
        <w:t>0</w:t>
      </w:r>
      <w:r>
        <w:rPr>
          <w:rFonts w:hint="eastAsia" w:ascii="仿宋_GB2312" w:eastAsia="仿宋_GB2312" w:cs="仿宋_GB2312"/>
          <w:sz w:val="32"/>
          <w:szCs w:val="32"/>
          <w:lang w:val="en-US" w:eastAsia="zh-CN"/>
        </w:rPr>
        <w:t>万元，完成预算100%。</w:t>
      </w:r>
      <w:r>
        <w:rPr>
          <w:rFonts w:ascii="仿宋_GB2312" w:eastAsia="仿宋_GB2312" w:cs="仿宋_GB2312"/>
          <w:sz w:val="32"/>
          <w:szCs w:val="32"/>
          <w:lang w:val="en-US" w:eastAsia="zh-CN"/>
        </w:rPr>
        <w:t>预算数</w:t>
      </w:r>
      <w:r>
        <w:rPr>
          <w:rFonts w:hint="eastAsia" w:ascii="仿宋_GB2312" w:cs="仿宋_GB2312"/>
          <w:sz w:val="32"/>
          <w:szCs w:val="32"/>
          <w:lang w:val="en-US" w:eastAsia="zh-CN"/>
        </w:rPr>
        <w:t>0</w:t>
      </w:r>
      <w:r>
        <w:rPr>
          <w:rFonts w:ascii="仿宋_GB2312" w:eastAsia="仿宋_GB2312" w:cs="仿宋_GB2312"/>
          <w:sz w:val="32"/>
          <w:szCs w:val="32"/>
          <w:lang w:val="en-US" w:eastAsia="zh-CN"/>
        </w:rPr>
        <w:t>万元，决算</w:t>
      </w:r>
      <w:r>
        <w:rPr>
          <w:rFonts w:hint="eastAsia" w:ascii="仿宋_GB2312" w:cs="仿宋_GB2312"/>
          <w:sz w:val="32"/>
          <w:szCs w:val="32"/>
          <w:lang w:val="en-US" w:eastAsia="zh-CN"/>
        </w:rPr>
        <w:t>0</w:t>
      </w:r>
      <w:r>
        <w:rPr>
          <w:rFonts w:ascii="仿宋_GB2312" w:eastAsia="仿宋_GB2312" w:cs="仿宋_GB2312"/>
          <w:sz w:val="32"/>
          <w:szCs w:val="32"/>
          <w:lang w:val="en-US" w:eastAsia="zh-CN"/>
        </w:rPr>
        <w:t>万元</w:t>
      </w:r>
      <w:r>
        <w:rPr>
          <w:rFonts w:hint="eastAsia" w:ascii="仿宋_GB2312" w:cs="仿宋_GB2312"/>
          <w:sz w:val="32"/>
          <w:szCs w:val="32"/>
          <w:lang w:val="en-US" w:eastAsia="zh-CN"/>
        </w:rPr>
        <w:t>。</w:t>
      </w:r>
    </w:p>
    <w:p>
      <w:pPr>
        <w:spacing w:line="560" w:lineRule="exact"/>
        <w:outlineLvl w:val="2"/>
        <w:rPr>
          <w:rFonts w:hint="eastAsia" w:ascii="仿宋" w:eastAsia="仿宋"/>
          <w:b/>
          <w:color w:val="000000"/>
          <w:sz w:val="32"/>
          <w:szCs w:val="32"/>
        </w:rPr>
      </w:pPr>
      <w:bookmarkStart w:id="67" w:name="_Toc79163871"/>
      <w:bookmarkStart w:id="68" w:name="_Toc15377217"/>
      <w:bookmarkStart w:id="69" w:name="_Toc16427"/>
      <w:bookmarkStart w:id="70" w:name="_Toc79163621"/>
      <w:r>
        <w:rPr>
          <w:rFonts w:hint="eastAsia" w:ascii="仿宋" w:eastAsia="仿宋"/>
          <w:b/>
          <w:color w:val="000000"/>
          <w:sz w:val="32"/>
          <w:szCs w:val="32"/>
        </w:rPr>
        <w:t>（二）“三公”经费财政拨款支出决算具体情况说明</w:t>
      </w:r>
      <w:bookmarkEnd w:id="67"/>
      <w:bookmarkEnd w:id="68"/>
      <w:bookmarkEnd w:id="69"/>
      <w:bookmarkEnd w:id="70"/>
    </w:p>
    <w:p>
      <w:pPr>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sz w:val="32"/>
          <w:szCs w:val="32"/>
          <w:lang w:val="en-US" w:eastAsia="zh-CN"/>
        </w:rPr>
      </w:pPr>
      <w:r>
        <w:rPr>
          <w:rFonts w:hint="eastAsia" w:ascii="仿宋_GB2312" w:cs="仿宋_GB2312"/>
          <w:sz w:val="32"/>
          <w:szCs w:val="32"/>
          <w:lang w:val="en-US" w:eastAsia="zh-CN"/>
        </w:rPr>
        <w:t>2022年</w:t>
      </w:r>
      <w:r>
        <w:rPr>
          <w:rFonts w:hint="eastAsia" w:ascii="仿宋_GB2312" w:eastAsia="仿宋_GB2312" w:cs="仿宋_GB2312"/>
          <w:sz w:val="32"/>
          <w:szCs w:val="32"/>
          <w:lang w:val="en-US" w:eastAsia="zh-CN"/>
        </w:rPr>
        <w:t>“三公”经费财政拨款支出决算中，因公出国（境）费支出决算0万元；公务用车购置及运行维护费支出决算</w:t>
      </w:r>
      <w:r>
        <w:rPr>
          <w:rFonts w:hint="eastAsia" w:ascii="仿宋_GB2312" w:cs="仿宋_GB2312"/>
          <w:sz w:val="32"/>
          <w:szCs w:val="32"/>
          <w:lang w:val="en-US" w:eastAsia="zh-CN"/>
        </w:rPr>
        <w:t>0</w:t>
      </w:r>
      <w:r>
        <w:rPr>
          <w:rFonts w:hint="eastAsia" w:ascii="仿宋_GB2312" w:eastAsia="仿宋_GB2312" w:cs="仿宋_GB2312"/>
          <w:sz w:val="32"/>
          <w:szCs w:val="32"/>
          <w:lang w:val="en-US" w:eastAsia="zh-CN"/>
        </w:rPr>
        <w:t>万元；公务接待费支出决算</w:t>
      </w:r>
      <w:r>
        <w:rPr>
          <w:rFonts w:hint="eastAsia" w:ascii="仿宋_GB2312" w:cs="仿宋_GB2312"/>
          <w:sz w:val="32"/>
          <w:szCs w:val="32"/>
          <w:lang w:val="en-US" w:eastAsia="zh-CN"/>
        </w:rPr>
        <w:t>0</w:t>
      </w:r>
      <w:r>
        <w:rPr>
          <w:rFonts w:hint="eastAsia" w:ascii="仿宋_GB2312" w:eastAsia="仿宋_GB2312" w:cs="仿宋_GB2312"/>
          <w:sz w:val="32"/>
          <w:szCs w:val="32"/>
          <w:lang w:val="en-US" w:eastAsia="zh-CN"/>
        </w:rPr>
        <w:t>万元。具体情况如下：</w:t>
      </w:r>
    </w:p>
    <w:p>
      <w:pPr>
        <w:spacing w:line="560" w:lineRule="exact"/>
        <w:rPr>
          <w:rFonts w:hint="eastAsia" w:ascii="仿宋_GB2312" w:eastAsia="仿宋_GB2312" w:cs="仿宋_GB2312"/>
          <w:sz w:val="32"/>
          <w:szCs w:val="32"/>
          <w:lang w:val="en-US"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.公务用车购置及运行维护费支出</w:t>
      </w:r>
      <w:r>
        <w:rPr>
          <w:rFonts w:hint="eastAsia" w:ascii="仿宋_GB2312" w:cs="仿宋_GB2312"/>
          <w:sz w:val="32"/>
          <w:szCs w:val="32"/>
          <w:lang w:val="en-US" w:eastAsia="zh-CN"/>
        </w:rPr>
        <w:t>0</w:t>
      </w:r>
      <w:r>
        <w:rPr>
          <w:rFonts w:hint="eastAsia" w:ascii="仿宋_GB2312" w:eastAsia="仿宋_GB2312" w:cs="仿宋_GB2312"/>
          <w:sz w:val="32"/>
          <w:szCs w:val="32"/>
          <w:lang w:val="en-US" w:eastAsia="zh-CN"/>
        </w:rPr>
        <w:t>万元,完成预算100%。</w:t>
      </w:r>
      <w:r>
        <w:rPr>
          <w:rFonts w:hint="eastAsia" w:ascii="仿宋_GB2312" w:cs="仿宋_GB2312"/>
          <w:sz w:val="32"/>
          <w:szCs w:val="32"/>
          <w:lang w:val="en-US" w:eastAsia="zh-CN"/>
        </w:rPr>
        <w:t>与2022年预算持平。</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b/>
          <w:color w:val="000000"/>
          <w:sz w:val="32"/>
          <w:szCs w:val="32"/>
          <w:lang w:val="en-US" w:eastAsia="zh-CN"/>
        </w:rPr>
        <w:t>0</w:t>
      </w:r>
      <w:r>
        <w:rPr>
          <w:rFonts w:hint="eastAsia" w:ascii="仿宋_GB2312" w:eastAsia="仿宋_GB2312" w:cs="仿宋_GB2312"/>
          <w:sz w:val="32"/>
          <w:szCs w:val="32"/>
          <w:lang w:val="en-US" w:eastAsia="zh-CN"/>
        </w:rPr>
        <w:t>万元。</w:t>
      </w:r>
      <w:r>
        <w:rPr>
          <w:rFonts w:hint="eastAsia" w:ascii="仿宋_GB2312" w:eastAsia="仿宋_GB2312"/>
          <w:b/>
          <w:color w:val="000000"/>
          <w:sz w:val="32"/>
          <w:szCs w:val="32"/>
        </w:rPr>
        <w:t>公务用车运行维护费支出</w:t>
      </w:r>
      <w:r>
        <w:rPr>
          <w:rFonts w:hint="eastAsia" w:ascii="仿宋_GB2312"/>
          <w:color w:val="000000"/>
          <w:sz w:val="32"/>
          <w:szCs w:val="32"/>
          <w:lang w:val="en-US" w:eastAsia="zh-CN"/>
        </w:rPr>
        <w:t>0</w:t>
      </w:r>
      <w:r>
        <w:rPr>
          <w:rFonts w:hint="eastAsia" w:ascii="仿宋_GB2312" w:eastAsia="仿宋_GB2312" w:cs="仿宋_GB2312"/>
          <w:sz w:val="32"/>
          <w:szCs w:val="32"/>
          <w:lang w:val="en-US" w:eastAsia="zh-CN"/>
        </w:rPr>
        <w:t>万元。</w:t>
      </w:r>
    </w:p>
    <w:p>
      <w:pPr>
        <w:spacing w:line="560" w:lineRule="exact"/>
        <w:rPr>
          <w:rFonts w:hint="eastAsia" w:ascii="仿宋_GB2312" w:eastAsia="仿宋_GB2312" w:cs="仿宋_GB2312"/>
          <w:sz w:val="32"/>
          <w:szCs w:val="32"/>
          <w:lang w:val="en-US" w:eastAsia="zh-CN"/>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.公务接待费支出</w:t>
      </w:r>
      <w:r>
        <w:rPr>
          <w:rFonts w:hint="eastAsia" w:ascii="仿宋_GB2312" w:cs="仿宋_GB2312"/>
          <w:sz w:val="32"/>
          <w:szCs w:val="32"/>
          <w:lang w:val="en-US" w:eastAsia="zh-CN"/>
        </w:rPr>
        <w:t>0</w:t>
      </w:r>
      <w:r>
        <w:rPr>
          <w:rFonts w:hint="eastAsia" w:ascii="仿宋_GB2312" w:eastAsia="仿宋_GB2312" w:cs="仿宋_GB2312"/>
          <w:sz w:val="32"/>
          <w:szCs w:val="32"/>
          <w:lang w:val="en-US" w:eastAsia="zh-CN"/>
        </w:rPr>
        <w:t>万元,完成预算100%。</w:t>
      </w:r>
      <w:r>
        <w:rPr>
          <w:rFonts w:hint="eastAsia" w:ascii="仿宋_GB2312" w:cs="仿宋_GB2312"/>
          <w:sz w:val="32"/>
          <w:szCs w:val="32"/>
          <w:lang w:val="en-US" w:eastAsia="zh-CN"/>
        </w:rPr>
        <w:t>与2022年预算持平。</w:t>
      </w:r>
      <w:r>
        <w:rPr>
          <w:rFonts w:hint="eastAsia" w:ascii="仿宋_GB2312" w:eastAsia="仿宋_GB2312" w:cs="仿宋_GB2312"/>
          <w:sz w:val="32"/>
          <w:szCs w:val="32"/>
          <w:lang w:val="en-US" w:eastAsia="zh-CN"/>
        </w:rPr>
        <w:t>其中：</w:t>
      </w:r>
      <w:r>
        <w:rPr>
          <w:rFonts w:hint="eastAsia" w:ascii="仿宋" w:eastAsia="仿宋"/>
          <w:b/>
          <w:color w:val="000000"/>
          <w:sz w:val="32"/>
          <w:szCs w:val="32"/>
        </w:rPr>
        <w:t>国内公务接待支出</w:t>
      </w:r>
      <w:r>
        <w:rPr>
          <w:rFonts w:hint="eastAsia" w:ascii="仿宋_GB2312" w:cs="仿宋_GB2312"/>
          <w:sz w:val="32"/>
          <w:szCs w:val="32"/>
          <w:lang w:val="en-US" w:eastAsia="zh-CN"/>
        </w:rPr>
        <w:t>0</w:t>
      </w:r>
      <w:r>
        <w:rPr>
          <w:rFonts w:hint="eastAsia" w:ascii="仿宋_GB2312" w:eastAsia="仿宋_GB2312" w:cs="仿宋_GB2312"/>
          <w:sz w:val="32"/>
          <w:szCs w:val="32"/>
          <w:lang w:val="en-US" w:eastAsia="zh-CN"/>
        </w:rPr>
        <w:t>万元，</w:t>
      </w:r>
      <w:r>
        <w:rPr>
          <w:rFonts w:hint="eastAsia" w:ascii="仿宋" w:eastAsia="仿宋"/>
          <w:b/>
          <w:color w:val="000000"/>
          <w:sz w:val="32"/>
          <w:szCs w:val="32"/>
        </w:rPr>
        <w:t>外事接待支出</w:t>
      </w:r>
      <w:r>
        <w:rPr>
          <w:rFonts w:hint="eastAsia" w:ascii="仿宋_GB2312" w:eastAsia="仿宋_GB2312" w:cs="仿宋_GB2312"/>
          <w:sz w:val="32"/>
          <w:szCs w:val="32"/>
          <w:lang w:val="en-US" w:eastAsia="zh-CN"/>
        </w:rPr>
        <w:t>0万元，外事接待0批次，0人，共计支出0万元。</w:t>
      </w:r>
    </w:p>
    <w:p>
      <w:pPr>
        <w:spacing w:line="560" w:lineRule="exact"/>
        <w:ind w:firstLine="643" w:firstLineChars="200"/>
        <w:rPr>
          <w:rFonts w:hint="eastAsia" w:ascii="仿宋_GB2312" w:eastAsia="仿宋_GB2312" w:cs="仿宋_GB2312"/>
          <w:color w:val="000000"/>
          <w:sz w:val="32"/>
          <w:szCs w:val="32"/>
          <w:lang w:val="en-US" w:eastAsia="zh-CN" w:bidi="ar-SA"/>
        </w:rPr>
      </w:pPr>
      <w:r>
        <w:rPr>
          <w:rFonts w:hint="eastAsia" w:ascii="仿宋_GB2312" w:eastAsia="仿宋_GB2312" w:cs="仿宋_GB2312"/>
          <w:b/>
          <w:bCs/>
          <w:color w:val="000000"/>
          <w:sz w:val="32"/>
          <w:szCs w:val="32"/>
          <w:lang w:val="en-US" w:eastAsia="zh-CN" w:bidi="ar-SA"/>
        </w:rPr>
        <w:t>3.</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p>
    <w:bookmarkEnd w:id="24"/>
    <w:bookmarkEnd w:id="25"/>
    <w:p>
      <w:pPr>
        <w:keepNext w:val="0"/>
        <w:keepLines w:val="0"/>
        <w:pageBreakBefore w:val="0"/>
        <w:widowControl w:val="0"/>
        <w:kinsoku/>
        <w:wordWrap/>
        <w:overflowPunct/>
        <w:topLinePunct w:val="0"/>
        <w:bidi w:val="0"/>
        <w:spacing w:line="560" w:lineRule="exact"/>
        <w:ind w:left="0" w:firstLine="640" w:firstLineChars="200"/>
        <w:textAlignment w:val="auto"/>
        <w:outlineLvl w:val="1"/>
        <w:rPr>
          <w:rFonts w:hint="eastAsia" w:ascii="黑体" w:eastAsia="黑体" w:cs="黑体"/>
          <w:b w:val="0"/>
          <w:bCs w:val="0"/>
          <w:color w:val="000000"/>
          <w:sz w:val="32"/>
          <w:szCs w:val="32"/>
        </w:rPr>
      </w:pPr>
      <w:bookmarkStart w:id="71" w:name="_Toc11287"/>
      <w:bookmarkStart w:id="72" w:name="_Toc22280"/>
      <w:bookmarkStart w:id="73" w:name="_Toc6898"/>
      <w:r>
        <w:rPr>
          <w:rFonts w:hint="eastAsia" w:ascii="黑体" w:eastAsia="黑体" w:cs="黑体"/>
          <w:b w:val="0"/>
          <w:bCs w:val="0"/>
          <w:color w:val="000000"/>
          <w:sz w:val="32"/>
          <w:szCs w:val="32"/>
          <w:lang w:val="en-US" w:eastAsia="zh-CN"/>
        </w:rPr>
        <w:t>八</w:t>
      </w:r>
      <w:r>
        <w:rPr>
          <w:rFonts w:hint="eastAsia" w:ascii="黑体" w:eastAsia="黑体" w:cs="黑体"/>
          <w:b w:val="0"/>
          <w:bCs w:val="0"/>
          <w:color w:val="000000"/>
          <w:sz w:val="32"/>
          <w:szCs w:val="32"/>
        </w:rPr>
        <w:t>、政府性基金预算财政拨款支出决算情况</w:t>
      </w:r>
      <w:bookmarkEnd w:id="71"/>
      <w:bookmarkEnd w:id="72"/>
      <w:bookmarkEnd w:id="73"/>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color w:val="000000"/>
          <w:sz w:val="32"/>
          <w:szCs w:val="32"/>
        </w:rPr>
      </w:pPr>
      <w:bookmarkStart w:id="74" w:name="_Toc12269"/>
      <w:r>
        <w:rPr>
          <w:rFonts w:hint="eastAsia" w:ascii="仿宋_GB2312" w:cs="仿宋_GB2312"/>
          <w:color w:val="000000"/>
          <w:sz w:val="32"/>
          <w:szCs w:val="32"/>
          <w:lang w:val="en-US" w:eastAsia="zh-CN"/>
        </w:rPr>
        <w:t>2022年</w:t>
      </w:r>
      <w:r>
        <w:rPr>
          <w:rFonts w:hint="eastAsia" w:ascii="仿宋_GB2312" w:eastAsia="仿宋_GB2312" w:cs="仿宋_GB2312"/>
          <w:color w:val="000000"/>
          <w:sz w:val="32"/>
          <w:szCs w:val="32"/>
        </w:rPr>
        <w:t>政府性基金预算财政拨款支出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p>
    <w:p>
      <w:pPr>
        <w:numPr>
          <w:ilvl w:val="0"/>
          <w:numId w:val="3"/>
        </w:numPr>
        <w:spacing w:line="560" w:lineRule="exact"/>
        <w:ind w:left="0" w:firstLine="640" w:firstLineChars="0"/>
        <w:outlineLvl w:val="1"/>
        <w:rPr>
          <w:rStyle w:val="21"/>
          <w:rFonts w:hint="eastAsia" w:ascii="黑体" w:eastAsia="黑体"/>
          <w:b w:val="0"/>
        </w:rPr>
      </w:pPr>
      <w:bookmarkStart w:id="75" w:name="_Toc15396611"/>
      <w:bookmarkStart w:id="76" w:name="_Toc15377219"/>
      <w:bookmarkStart w:id="77" w:name="_Toc79163623"/>
      <w:bookmarkStart w:id="78" w:name="_Toc5420"/>
      <w:bookmarkStart w:id="79" w:name="_Toc79163873"/>
      <w:r>
        <w:rPr>
          <w:rStyle w:val="21"/>
          <w:rFonts w:hint="eastAsia" w:ascii="黑体" w:eastAsia="黑体"/>
          <w:b w:val="0"/>
        </w:rPr>
        <w:t>国有资本经营预算支出决算情况说明</w:t>
      </w:r>
      <w:bookmarkEnd w:id="75"/>
      <w:bookmarkEnd w:id="76"/>
      <w:bookmarkEnd w:id="77"/>
      <w:bookmarkEnd w:id="78"/>
      <w:bookmarkEnd w:id="79"/>
    </w:p>
    <w:p>
      <w:pPr>
        <w:spacing w:line="560" w:lineRule="exact"/>
        <w:rPr>
          <w:rFonts w:hint="eastAsia"/>
        </w:rPr>
      </w:pPr>
      <w:r>
        <w:rPr>
          <w:rFonts w:hint="eastAsia" w:ascii="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bidi w:val="0"/>
        <w:spacing w:line="560" w:lineRule="exact"/>
        <w:ind w:left="0" w:firstLine="640" w:firstLineChars="200"/>
        <w:textAlignment w:val="auto"/>
        <w:outlineLvl w:val="1"/>
        <w:rPr>
          <w:rFonts w:ascii="黑体" w:eastAsia="黑体"/>
          <w:b w:val="0"/>
          <w:bCs w:val="0"/>
          <w:color w:val="000000"/>
          <w:sz w:val="32"/>
          <w:szCs w:val="32"/>
        </w:rPr>
      </w:pPr>
      <w:bookmarkStart w:id="80" w:name="_Toc4566"/>
      <w:bookmarkStart w:id="81" w:name="_Toc31947"/>
      <w:r>
        <w:rPr>
          <w:rFonts w:hint="eastAsia" w:ascii="黑体" w:eastAsia="黑体"/>
          <w:b w:val="0"/>
          <w:bCs w:val="0"/>
          <w:color w:val="000000"/>
          <w:sz w:val="32"/>
          <w:szCs w:val="32"/>
          <w:lang w:eastAsia="zh-CN"/>
        </w:rPr>
        <w:t>十</w:t>
      </w:r>
      <w:r>
        <w:rPr>
          <w:rFonts w:hint="eastAsia" w:ascii="黑体" w:eastAsia="黑体"/>
          <w:b w:val="0"/>
          <w:bCs w:val="0"/>
          <w:color w:val="000000"/>
          <w:sz w:val="32"/>
          <w:szCs w:val="32"/>
        </w:rPr>
        <w:t>、其他重要事项的情况说明</w:t>
      </w:r>
      <w:bookmarkEnd w:id="74"/>
      <w:bookmarkEnd w:id="80"/>
      <w:bookmarkEnd w:id="81"/>
    </w:p>
    <w:p>
      <w:pPr>
        <w:pStyle w:val="5"/>
        <w:keepNext/>
        <w:keepLines/>
        <w:pageBreakBefore w:val="0"/>
        <w:widowControl w:val="0"/>
        <w:kinsoku/>
        <w:wordWrap/>
        <w:overflowPunct/>
        <w:topLinePunct w:val="0"/>
        <w:bidi w:val="0"/>
        <w:spacing w:line="560" w:lineRule="exact"/>
        <w:ind w:left="0" w:firstLine="643" w:firstLineChars="200"/>
        <w:textAlignment w:val="auto"/>
        <w:outlineLvl w:val="2"/>
        <w:rPr>
          <w:rFonts w:ascii="Times New Roman" w:hAnsi="Times New Roman" w:cs="Times New Roman"/>
          <w:sz w:val="32"/>
          <w:szCs w:val="32"/>
        </w:rPr>
      </w:pPr>
      <w:bookmarkStart w:id="82" w:name="_Toc8456"/>
      <w:bookmarkStart w:id="83" w:name="_Toc61109031"/>
      <w:bookmarkStart w:id="84" w:name="_Toc887"/>
      <w:bookmarkStart w:id="85" w:name="_Toc5649"/>
      <w:bookmarkStart w:id="86" w:name="_Toc29003"/>
      <w:r>
        <w:rPr>
          <w:rFonts w:ascii="Times New Roman" w:hAnsi="Times New Roman" w:cs="Times New Roman"/>
          <w:sz w:val="32"/>
          <w:szCs w:val="32"/>
        </w:rPr>
        <w:t>（一）本部门财务管理、绩效管理、决算组织、编报、审核情况</w:t>
      </w:r>
      <w:bookmarkEnd w:id="82"/>
      <w:bookmarkEnd w:id="83"/>
      <w:bookmarkEnd w:id="84"/>
      <w:bookmarkEnd w:id="85"/>
    </w:p>
    <w:p>
      <w:pPr>
        <w:pageBreakBefore w:val="0"/>
        <w:widowControl w:val="0"/>
        <w:kinsoku/>
        <w:wordWrap/>
        <w:overflowPunct/>
        <w:topLinePunct w:val="0"/>
        <w:bidi w:val="0"/>
        <w:spacing w:line="560" w:lineRule="exact"/>
        <w:ind w:left="0" w:firstLine="640" w:firstLineChars="200"/>
        <w:textAlignment w:val="auto"/>
        <w:rPr>
          <w:rFonts w:ascii="Times New Roman" w:hAnsi="Times New Roman" w:cs="Times New Roman"/>
          <w:sz w:val="32"/>
          <w:szCs w:val="32"/>
        </w:rPr>
      </w:pPr>
      <w:r>
        <w:rPr>
          <w:rFonts w:hint="eastAsia" w:cs="Times New Roman"/>
          <w:sz w:val="32"/>
          <w:szCs w:val="32"/>
          <w:lang w:eastAsia="zh-CN"/>
        </w:rPr>
        <w:t>2022年</w:t>
      </w:r>
      <w:r>
        <w:rPr>
          <w:rFonts w:ascii="Times New Roman" w:hAnsi="Times New Roman" w:cs="Times New Roman"/>
          <w:sz w:val="32"/>
          <w:szCs w:val="32"/>
        </w:rPr>
        <w:t>我</w:t>
      </w:r>
      <w:r>
        <w:rPr>
          <w:rFonts w:hint="eastAsia" w:cs="Times New Roman"/>
          <w:sz w:val="32"/>
          <w:szCs w:val="32"/>
          <w:lang w:val="en-US" w:eastAsia="zh-CN"/>
        </w:rPr>
        <w:t>委</w:t>
      </w:r>
      <w:r>
        <w:rPr>
          <w:rFonts w:ascii="Times New Roman" w:hAnsi="Times New Roman" w:cs="Times New Roman"/>
          <w:sz w:val="32"/>
          <w:szCs w:val="32"/>
        </w:rPr>
        <w:t>财务工作坚持以人为本，理顺机制，更新财务理念，服务大众。这一年，在领导和财务工作人员的共同努力下，立足现状，努力提高有限经费的使用效率，本着厉行节约，反对铺张浪费的原则圆满完成了财务管理任务，实现了财政经费的收支平衡。</w:t>
      </w:r>
    </w:p>
    <w:p>
      <w:pPr>
        <w:pStyle w:val="5"/>
        <w:keepNext/>
        <w:keepLines/>
        <w:pageBreakBefore w:val="0"/>
        <w:widowControl w:val="0"/>
        <w:kinsoku/>
        <w:wordWrap/>
        <w:overflowPunct/>
        <w:topLinePunct w:val="0"/>
        <w:bidi w:val="0"/>
        <w:spacing w:line="560" w:lineRule="exact"/>
        <w:ind w:left="0" w:firstLine="643" w:firstLineChars="200"/>
        <w:textAlignment w:val="auto"/>
        <w:outlineLvl w:val="2"/>
        <w:rPr>
          <w:rFonts w:ascii="Times New Roman" w:hAnsi="Times New Roman" w:cs="Times New Roman"/>
          <w:sz w:val="32"/>
          <w:szCs w:val="32"/>
        </w:rPr>
      </w:pPr>
      <w:bookmarkStart w:id="87" w:name="_Toc19585"/>
      <w:bookmarkStart w:id="88" w:name="_Toc24522"/>
      <w:bookmarkStart w:id="89" w:name="_Toc61109032"/>
      <w:bookmarkStart w:id="90" w:name="_Toc6136"/>
      <w:r>
        <w:rPr>
          <w:rFonts w:ascii="Times New Roman" w:hAnsi="Times New Roman" w:cs="Times New Roman"/>
          <w:sz w:val="32"/>
          <w:szCs w:val="32"/>
        </w:rPr>
        <w:t>（二）本部门决算及绩效信息公开工作、主管部门对所属单位按规定批复决算工作开展情况</w:t>
      </w:r>
      <w:bookmarkEnd w:id="87"/>
      <w:bookmarkEnd w:id="88"/>
      <w:bookmarkEnd w:id="89"/>
      <w:bookmarkEnd w:id="90"/>
    </w:p>
    <w:p>
      <w:pPr>
        <w:keepNext w:val="0"/>
        <w:keepLines w:val="0"/>
        <w:pageBreakBefore w:val="0"/>
        <w:widowControl w:val="0"/>
        <w:kinsoku/>
        <w:wordWrap/>
        <w:overflowPunct/>
        <w:topLinePunct w:val="0"/>
        <w:autoSpaceDE w:val="0"/>
        <w:autoSpaceDN w:val="0"/>
        <w:bidi w:val="0"/>
        <w:adjustRightInd w:val="0"/>
        <w:spacing w:line="560" w:lineRule="exact"/>
        <w:ind w:left="0" w:firstLine="640" w:firstLineChars="200"/>
        <w:jc w:val="left"/>
        <w:textAlignment w:val="auto"/>
        <w:outlineLvl w:val="1"/>
        <w:rPr>
          <w:rFonts w:ascii="Times New Roman" w:hAnsi="Times New Roman" w:cs="Times New Roman"/>
          <w:sz w:val="32"/>
          <w:szCs w:val="32"/>
        </w:rPr>
      </w:pPr>
      <w:bookmarkStart w:id="91" w:name="_Toc26979"/>
      <w:r>
        <w:rPr>
          <w:rFonts w:ascii="Times New Roman" w:hAnsi="Times New Roman" w:cs="Times New Roman"/>
          <w:sz w:val="32"/>
          <w:szCs w:val="32"/>
        </w:rPr>
        <w:t>按照县委、县政府的统一安排,我</w:t>
      </w:r>
      <w:r>
        <w:rPr>
          <w:rFonts w:hint="eastAsia" w:cs="Times New Roman"/>
          <w:sz w:val="32"/>
          <w:szCs w:val="32"/>
          <w:lang w:val="en-US" w:eastAsia="zh-CN"/>
        </w:rPr>
        <w:t>委</w:t>
      </w:r>
      <w:r>
        <w:rPr>
          <w:rFonts w:ascii="Times New Roman" w:hAnsi="Times New Roman" w:cs="Times New Roman"/>
          <w:sz w:val="32"/>
          <w:szCs w:val="32"/>
        </w:rPr>
        <w:t>准确、及时地进行部门预、决算公开工作。</w:t>
      </w:r>
      <w:bookmarkEnd w:id="91"/>
      <w:bookmarkStart w:id="92" w:name="_Toc6981"/>
    </w:p>
    <w:p>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left"/>
        <w:textAlignment w:val="auto"/>
        <w:outlineLvl w:val="1"/>
        <w:rPr>
          <w:rFonts w:hint="eastAsia" w:ascii="楷体" w:eastAsia="楷体" w:cs="楷体"/>
          <w:b/>
          <w:color w:val="000000"/>
          <w:sz w:val="32"/>
          <w:szCs w:val="32"/>
        </w:rPr>
      </w:pPr>
      <w:bookmarkStart w:id="93" w:name="_Toc28380"/>
      <w:r>
        <w:rPr>
          <w:rFonts w:hint="eastAsia" w:ascii="楷体" w:eastAsia="楷体" w:cs="楷体"/>
          <w:b/>
          <w:color w:val="000000"/>
          <w:sz w:val="32"/>
          <w:szCs w:val="32"/>
        </w:rPr>
        <w:t>（</w:t>
      </w:r>
      <w:r>
        <w:rPr>
          <w:rFonts w:hint="eastAsia" w:ascii="楷体" w:eastAsia="楷体" w:cs="楷体"/>
          <w:b/>
          <w:color w:val="000000"/>
          <w:sz w:val="32"/>
          <w:szCs w:val="32"/>
          <w:lang w:val="en-US" w:eastAsia="zh-CN"/>
        </w:rPr>
        <w:t>三</w:t>
      </w:r>
      <w:r>
        <w:rPr>
          <w:rFonts w:hint="eastAsia" w:ascii="楷体" w:eastAsia="楷体" w:cs="楷体"/>
          <w:b/>
          <w:color w:val="000000"/>
          <w:sz w:val="32"/>
          <w:szCs w:val="32"/>
        </w:rPr>
        <w:t>）政府采购支出情况</w:t>
      </w:r>
      <w:bookmarkEnd w:id="92"/>
      <w:bookmarkEnd w:id="93"/>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楷体" w:eastAsia="楷体" w:cs="楷体"/>
          <w:b/>
          <w:color w:val="000000"/>
          <w:sz w:val="32"/>
          <w:szCs w:val="32"/>
        </w:rPr>
      </w:pPr>
      <w:r>
        <w:rPr>
          <w:rFonts w:hint="eastAsia" w:ascii="仿宋_GB2312" w:cs="仿宋_GB2312"/>
          <w:color w:val="000000"/>
          <w:sz w:val="32"/>
          <w:szCs w:val="32"/>
          <w:lang w:val="en-US" w:eastAsia="zh-CN"/>
        </w:rPr>
        <w:t>2022年</w:t>
      </w:r>
      <w:r>
        <w:rPr>
          <w:rFonts w:hint="eastAsia" w:ascii="仿宋_GB2312" w:eastAsia="仿宋_GB2312" w:cs="仿宋_GB2312"/>
          <w:color w:val="000000"/>
          <w:sz w:val="32"/>
          <w:szCs w:val="32"/>
        </w:rPr>
        <w:t>度，</w:t>
      </w:r>
      <w:r>
        <w:rPr>
          <w:rFonts w:hint="eastAsia" w:ascii="仿宋_GB2312" w:eastAsia="仿宋_GB2312" w:cs="仿宋_GB2312"/>
          <w:color w:val="000000"/>
          <w:sz w:val="32"/>
          <w:szCs w:val="32"/>
          <w:lang w:eastAsia="zh-CN"/>
        </w:rPr>
        <w:t>共青团金川县委</w:t>
      </w:r>
      <w:r>
        <w:rPr>
          <w:rFonts w:hint="eastAsia" w:ascii="仿宋_GB2312" w:eastAsia="仿宋_GB2312" w:cs="仿宋_GB2312"/>
          <w:color w:val="000000"/>
          <w:sz w:val="32"/>
          <w:szCs w:val="32"/>
        </w:rPr>
        <w:t>采购支出总额0万元。</w:t>
      </w:r>
    </w:p>
    <w:p>
      <w:pPr>
        <w:keepNext w:val="0"/>
        <w:keepLines w:val="0"/>
        <w:pageBreakBefore w:val="0"/>
        <w:widowControl w:val="0"/>
        <w:kinsoku/>
        <w:wordWrap/>
        <w:overflowPunct/>
        <w:topLinePunct w:val="0"/>
        <w:bidi w:val="0"/>
        <w:spacing w:line="560" w:lineRule="exact"/>
        <w:ind w:left="0" w:firstLine="643" w:firstLineChars="200"/>
        <w:textAlignment w:val="auto"/>
        <w:outlineLvl w:val="1"/>
        <w:rPr>
          <w:rFonts w:hint="eastAsia" w:ascii="楷体" w:eastAsia="楷体" w:cs="楷体"/>
          <w:b/>
          <w:color w:val="000000"/>
          <w:sz w:val="32"/>
          <w:szCs w:val="32"/>
        </w:rPr>
      </w:pPr>
      <w:bookmarkStart w:id="94" w:name="_Toc23538"/>
      <w:r>
        <w:rPr>
          <w:rFonts w:hint="eastAsia" w:ascii="楷体" w:eastAsia="楷体" w:cs="楷体"/>
          <w:b/>
          <w:color w:val="000000"/>
          <w:sz w:val="32"/>
          <w:szCs w:val="32"/>
        </w:rPr>
        <w:t>（</w:t>
      </w:r>
      <w:r>
        <w:rPr>
          <w:rFonts w:hint="eastAsia" w:ascii="楷体" w:eastAsia="楷体" w:cs="楷体"/>
          <w:b/>
          <w:color w:val="000000"/>
          <w:sz w:val="32"/>
          <w:szCs w:val="32"/>
          <w:lang w:val="en-US" w:eastAsia="zh-CN"/>
        </w:rPr>
        <w:t>四</w:t>
      </w:r>
      <w:r>
        <w:rPr>
          <w:rFonts w:hint="eastAsia" w:ascii="楷体" w:eastAsia="楷体" w:cs="楷体"/>
          <w:b/>
          <w:color w:val="000000"/>
          <w:sz w:val="32"/>
          <w:szCs w:val="32"/>
        </w:rPr>
        <w:t>）机关运行经费支出情况</w:t>
      </w:r>
      <w:bookmarkEnd w:id="86"/>
      <w:bookmarkEnd w:id="94"/>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s="仿宋_GB2312"/>
          <w:color w:val="000000"/>
          <w:sz w:val="32"/>
          <w:szCs w:val="32"/>
        </w:rPr>
      </w:pPr>
      <w:r>
        <w:rPr>
          <w:rFonts w:hint="eastAsia" w:ascii="仿宋_GB2312" w:cs="仿宋_GB2312"/>
          <w:color w:val="000000"/>
          <w:sz w:val="32"/>
          <w:szCs w:val="32"/>
          <w:lang w:val="en-US" w:eastAsia="zh-CN"/>
        </w:rPr>
        <w:t>2022年</w:t>
      </w:r>
      <w:r>
        <w:rPr>
          <w:rFonts w:hint="eastAsia" w:ascii="仿宋_GB2312" w:eastAsia="仿宋_GB2312" w:cs="仿宋_GB2312"/>
          <w:color w:val="000000"/>
          <w:sz w:val="32"/>
          <w:szCs w:val="32"/>
        </w:rPr>
        <w:t>度，</w:t>
      </w:r>
      <w:r>
        <w:rPr>
          <w:rFonts w:hint="eastAsia" w:ascii="仿宋_GB2312" w:eastAsia="仿宋_GB2312" w:cs="仿宋_GB2312"/>
          <w:color w:val="000000"/>
          <w:sz w:val="32"/>
          <w:szCs w:val="32"/>
          <w:lang w:eastAsia="zh-CN"/>
        </w:rPr>
        <w:t>共青团金川县委</w:t>
      </w:r>
      <w:r>
        <w:rPr>
          <w:rFonts w:hint="eastAsia" w:ascii="仿宋_GB2312" w:eastAsia="仿宋_GB2312" w:cs="仿宋_GB2312"/>
          <w:color w:val="000000"/>
          <w:sz w:val="32"/>
          <w:szCs w:val="32"/>
        </w:rPr>
        <w:t>机关运行经费支出</w:t>
      </w:r>
      <w:r>
        <w:rPr>
          <w:rFonts w:hint="eastAsia" w:ascii="仿宋_GB2312" w:eastAsia="仿宋_GB2312" w:cs="仿宋_GB2312"/>
          <w:color w:val="000000"/>
          <w:sz w:val="32"/>
          <w:szCs w:val="32"/>
          <w:lang w:val="en-US" w:eastAsia="zh-CN"/>
        </w:rPr>
        <w:t>10.</w:t>
      </w:r>
      <w:r>
        <w:rPr>
          <w:rFonts w:hint="eastAsia" w:ascii="仿宋_GB2312" w:cs="仿宋_GB2312"/>
          <w:color w:val="000000"/>
          <w:sz w:val="32"/>
          <w:szCs w:val="32"/>
          <w:lang w:val="en-US" w:eastAsia="zh-CN"/>
        </w:rPr>
        <w:t>48</w:t>
      </w:r>
      <w:r>
        <w:rPr>
          <w:rFonts w:hint="eastAsia" w:ascii="仿宋_GB2312" w:eastAsia="仿宋_GB2312" w:cs="仿宋_GB2312"/>
          <w:color w:val="000000"/>
          <w:sz w:val="32"/>
          <w:szCs w:val="32"/>
        </w:rPr>
        <w:t>万元。</w:t>
      </w:r>
    </w:p>
    <w:p>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left"/>
        <w:textAlignment w:val="auto"/>
        <w:outlineLvl w:val="1"/>
        <w:rPr>
          <w:rFonts w:hint="eastAsia" w:ascii="楷体" w:eastAsia="楷体" w:cs="楷体"/>
          <w:b/>
          <w:color w:val="000000"/>
          <w:sz w:val="32"/>
          <w:szCs w:val="32"/>
        </w:rPr>
      </w:pPr>
      <w:bookmarkStart w:id="95" w:name="_Toc7294"/>
      <w:bookmarkStart w:id="96" w:name="_Toc7203"/>
      <w:r>
        <w:rPr>
          <w:rFonts w:hint="eastAsia" w:ascii="楷体" w:eastAsia="楷体" w:cs="楷体"/>
          <w:b/>
          <w:color w:val="000000"/>
          <w:sz w:val="32"/>
          <w:szCs w:val="32"/>
        </w:rPr>
        <w:t>（</w:t>
      </w:r>
      <w:r>
        <w:rPr>
          <w:rFonts w:hint="eastAsia" w:ascii="楷体" w:eastAsia="楷体" w:cs="楷体"/>
          <w:b/>
          <w:color w:val="000000"/>
          <w:sz w:val="32"/>
          <w:szCs w:val="32"/>
          <w:lang w:val="en-US" w:eastAsia="zh-CN"/>
        </w:rPr>
        <w:t>五</w:t>
      </w:r>
      <w:r>
        <w:rPr>
          <w:rFonts w:hint="eastAsia" w:ascii="楷体" w:eastAsia="楷体" w:cs="楷体"/>
          <w:b/>
          <w:color w:val="000000"/>
          <w:sz w:val="32"/>
          <w:szCs w:val="32"/>
        </w:rPr>
        <w:t>）国有资产占有使用情况</w:t>
      </w:r>
      <w:bookmarkEnd w:id="95"/>
      <w:bookmarkEnd w:id="96"/>
    </w:p>
    <w:p>
      <w:pPr>
        <w:keepNext w:val="0"/>
        <w:keepLines w:val="0"/>
        <w:pageBreakBefore w:val="0"/>
        <w:widowControl w:val="0"/>
        <w:kinsoku/>
        <w:wordWrap/>
        <w:overflowPunct/>
        <w:topLinePunct w:val="0"/>
        <w:autoSpaceDE w:val="0"/>
        <w:autoSpaceDN w:val="0"/>
        <w:bidi w:val="0"/>
        <w:adjustRightInd w:val="0"/>
        <w:spacing w:line="560" w:lineRule="exact"/>
        <w:ind w:left="0" w:firstLine="640" w:firstLineChars="200"/>
        <w:jc w:val="left"/>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截至</w:t>
      </w:r>
      <w:r>
        <w:rPr>
          <w:rFonts w:hint="eastAsia" w:ascii="仿宋_GB2312" w:cs="仿宋_GB2312"/>
          <w:color w:val="000000"/>
          <w:sz w:val="32"/>
          <w:szCs w:val="32"/>
          <w:lang w:val="en-US" w:eastAsia="zh-CN"/>
        </w:rPr>
        <w:t>2022年</w:t>
      </w:r>
      <w:r>
        <w:rPr>
          <w:rFonts w:hint="eastAsia" w:ascii="仿宋_GB2312" w:eastAsia="仿宋_GB2312" w:cs="仿宋_GB2312"/>
          <w:color w:val="000000"/>
          <w:sz w:val="32"/>
          <w:szCs w:val="32"/>
        </w:rPr>
        <w:t>12月31日，</w:t>
      </w:r>
      <w:r>
        <w:rPr>
          <w:rFonts w:hint="eastAsia" w:ascii="仿宋_GB2312" w:eastAsia="仿宋_GB2312" w:cs="仿宋_GB2312"/>
          <w:color w:val="000000"/>
          <w:sz w:val="32"/>
          <w:szCs w:val="32"/>
          <w:lang w:eastAsia="zh-CN"/>
        </w:rPr>
        <w:t>共青团金川县委</w:t>
      </w:r>
      <w:r>
        <w:rPr>
          <w:rFonts w:hint="eastAsia" w:ascii="仿宋_GB2312" w:eastAsia="仿宋_GB2312" w:cs="仿宋_GB2312"/>
          <w:color w:val="000000"/>
          <w:sz w:val="32"/>
          <w:szCs w:val="32"/>
        </w:rPr>
        <w:t>有公有车辆</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val="en-US" w:eastAsia="zh-CN"/>
        </w:rPr>
        <w:t>其中</w:t>
      </w:r>
      <w:r>
        <w:rPr>
          <w:rFonts w:hint="eastAsia" w:ascii="仿宋_GB2312" w:eastAsia="仿宋_GB2312" w:cs="仿宋_GB2312"/>
          <w:color w:val="000000"/>
          <w:sz w:val="32"/>
          <w:szCs w:val="32"/>
        </w:rPr>
        <w:t>轿车</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olor w:val="000000"/>
          <w:sz w:val="32"/>
          <w:szCs w:val="32"/>
        </w:rPr>
        <w:t>为一般公务用车，但已经在走报废程序，无法使用</w:t>
      </w:r>
      <w:r>
        <w:rPr>
          <w:rFonts w:hint="eastAsia" w:ascii="仿宋_GB2312" w:eastAsia="仿宋_GB2312" w:cs="仿宋_GB2312"/>
          <w:color w:val="000000"/>
          <w:sz w:val="32"/>
          <w:szCs w:val="32"/>
        </w:rPr>
        <w:t>。</w:t>
      </w:r>
    </w:p>
    <w:p>
      <w:pPr>
        <w:pStyle w:val="5"/>
        <w:keepNext/>
        <w:keepLines/>
        <w:pageBreakBefore w:val="0"/>
        <w:widowControl w:val="0"/>
        <w:kinsoku/>
        <w:wordWrap/>
        <w:overflowPunct/>
        <w:topLinePunct w:val="0"/>
        <w:bidi w:val="0"/>
        <w:spacing w:line="560" w:lineRule="exact"/>
        <w:ind w:left="0" w:firstLine="643" w:firstLineChars="200"/>
        <w:textAlignment w:val="auto"/>
        <w:rPr>
          <w:rFonts w:hint="eastAsia"/>
          <w:sz w:val="32"/>
          <w:szCs w:val="32"/>
        </w:rPr>
      </w:pPr>
      <w:bookmarkStart w:id="97" w:name="_Toc7485"/>
      <w:bookmarkStart w:id="98" w:name="_Toc1385"/>
      <w:r>
        <w:rPr>
          <w:rFonts w:hint="eastAsia"/>
          <w:sz w:val="32"/>
          <w:szCs w:val="32"/>
          <w:lang w:eastAsia="zh-CN"/>
        </w:rPr>
        <w:t>（</w:t>
      </w:r>
      <w:r>
        <w:rPr>
          <w:rFonts w:hint="eastAsia"/>
          <w:sz w:val="32"/>
          <w:szCs w:val="32"/>
          <w:lang w:val="en-US" w:eastAsia="zh-CN"/>
        </w:rPr>
        <w:t>六</w:t>
      </w:r>
      <w:r>
        <w:rPr>
          <w:rFonts w:hint="eastAsia"/>
          <w:sz w:val="32"/>
          <w:szCs w:val="32"/>
          <w:lang w:eastAsia="zh-CN"/>
        </w:rPr>
        <w:t>）</w:t>
      </w:r>
      <w:r>
        <w:rPr>
          <w:rFonts w:hint="eastAsia"/>
          <w:sz w:val="32"/>
          <w:szCs w:val="32"/>
        </w:rPr>
        <w:t>资产负债结构情况</w:t>
      </w:r>
      <w:bookmarkEnd w:id="97"/>
      <w:bookmarkEnd w:id="98"/>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sz w:val="32"/>
          <w:szCs w:val="32"/>
        </w:rPr>
      </w:pPr>
      <w:r>
        <w:rPr>
          <w:rFonts w:hint="eastAsia"/>
          <w:sz w:val="32"/>
          <w:szCs w:val="32"/>
          <w:lang w:val="en-US" w:eastAsia="zh-CN"/>
        </w:rPr>
        <w:t>2022年</w:t>
      </w:r>
      <w:r>
        <w:rPr>
          <w:rFonts w:hint="eastAsia" w:ascii="仿宋_GB2312" w:eastAsia="仿宋_GB2312"/>
          <w:sz w:val="32"/>
          <w:szCs w:val="32"/>
        </w:rPr>
        <w:t>末固定资产总</w:t>
      </w:r>
      <w:r>
        <w:rPr>
          <w:rFonts w:hint="eastAsia" w:ascii="仿宋_GB2312" w:eastAsia="仿宋_GB2312"/>
          <w:sz w:val="32"/>
          <w:szCs w:val="32"/>
          <w:lang w:val="en-US" w:eastAsia="zh-CN"/>
        </w:rPr>
        <w:t>值10.83</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较</w:t>
      </w:r>
      <w:r>
        <w:rPr>
          <w:rFonts w:hint="eastAsia" w:ascii="仿宋_GB2312" w:eastAsia="仿宋_GB2312"/>
          <w:sz w:val="32"/>
          <w:szCs w:val="32"/>
          <w:lang w:val="en-US" w:eastAsia="zh-CN"/>
        </w:rPr>
        <w:t>202</w:t>
      </w:r>
      <w:r>
        <w:rPr>
          <w:rFonts w:hint="eastAsia" w:ascii="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10.83</w:t>
      </w:r>
      <w:r>
        <w:rPr>
          <w:rFonts w:hint="eastAsia" w:ascii="仿宋_GB2312" w:eastAsia="仿宋_GB2312"/>
          <w:sz w:val="32"/>
          <w:szCs w:val="32"/>
        </w:rPr>
        <w:t>万元无增加。</w:t>
      </w:r>
      <w:r>
        <w:rPr>
          <w:rFonts w:hint="eastAsia"/>
          <w:sz w:val="32"/>
          <w:szCs w:val="32"/>
          <w:lang w:val="en-US" w:eastAsia="zh-CN"/>
        </w:rPr>
        <w:t>2022年</w:t>
      </w:r>
      <w:r>
        <w:rPr>
          <w:rFonts w:hint="eastAsia" w:ascii="仿宋_GB2312" w:eastAsia="仿宋_GB2312"/>
          <w:sz w:val="32"/>
          <w:szCs w:val="32"/>
        </w:rPr>
        <w:t>年末固定资产</w:t>
      </w:r>
      <w:r>
        <w:rPr>
          <w:rFonts w:hint="eastAsia" w:ascii="仿宋_GB2312" w:eastAsia="仿宋_GB2312"/>
          <w:sz w:val="32"/>
          <w:szCs w:val="32"/>
          <w:lang w:val="en-US" w:eastAsia="zh-CN"/>
        </w:rPr>
        <w:t>累计折旧</w:t>
      </w:r>
      <w:r>
        <w:rPr>
          <w:rFonts w:hint="eastAsia" w:ascii="仿宋_GB2312"/>
          <w:sz w:val="32"/>
          <w:szCs w:val="32"/>
          <w:lang w:val="en-US" w:eastAsia="zh-CN"/>
        </w:rPr>
        <w:t>9.94</w:t>
      </w:r>
      <w:r>
        <w:rPr>
          <w:rFonts w:hint="eastAsia" w:ascii="仿宋_GB2312" w:eastAsia="仿宋_GB2312"/>
          <w:sz w:val="32"/>
          <w:szCs w:val="32"/>
          <w:lang w:val="en-US" w:eastAsia="zh-CN"/>
        </w:rPr>
        <w:t>万元，</w:t>
      </w:r>
      <w:r>
        <w:rPr>
          <w:rFonts w:hint="eastAsia" w:ascii="仿宋_GB2312" w:eastAsia="仿宋_GB2312"/>
          <w:sz w:val="32"/>
          <w:szCs w:val="32"/>
        </w:rPr>
        <w:t>固定资产</w:t>
      </w:r>
      <w:r>
        <w:rPr>
          <w:rFonts w:hint="eastAsia" w:ascii="仿宋_GB2312" w:eastAsia="仿宋_GB2312"/>
          <w:sz w:val="32"/>
          <w:szCs w:val="32"/>
          <w:lang w:val="en-US" w:eastAsia="zh-CN"/>
        </w:rPr>
        <w:t>净值</w:t>
      </w:r>
      <w:r>
        <w:rPr>
          <w:rFonts w:hint="eastAsia" w:ascii="仿宋_GB2312"/>
          <w:sz w:val="32"/>
          <w:szCs w:val="32"/>
          <w:lang w:val="en-US" w:eastAsia="zh-CN"/>
        </w:rPr>
        <w:t>0.89</w:t>
      </w:r>
      <w:r>
        <w:rPr>
          <w:rFonts w:hint="eastAsia" w:ascii="仿宋_GB2312" w:eastAsia="仿宋_GB2312"/>
          <w:sz w:val="32"/>
          <w:szCs w:val="32"/>
          <w:lang w:val="en-US" w:eastAsia="zh-CN"/>
        </w:rPr>
        <w:t>万元。</w:t>
      </w:r>
    </w:p>
    <w:p>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left"/>
        <w:textAlignment w:val="auto"/>
        <w:outlineLvl w:val="1"/>
        <w:rPr>
          <w:rFonts w:ascii="楷体" w:eastAsia="楷体" w:cs="楷体"/>
          <w:b/>
          <w:color w:val="000000"/>
          <w:sz w:val="32"/>
          <w:szCs w:val="32"/>
          <w:lang w:val="en-US" w:eastAsia="zh-CN"/>
        </w:rPr>
      </w:pPr>
      <w:bookmarkStart w:id="99" w:name="_Toc21197"/>
      <w:bookmarkStart w:id="100" w:name="_Toc19323"/>
      <w:r>
        <w:rPr>
          <w:rFonts w:hint="eastAsia" w:ascii="楷体" w:eastAsia="楷体" w:cs="楷体"/>
          <w:b/>
          <w:color w:val="000000"/>
          <w:sz w:val="32"/>
          <w:szCs w:val="32"/>
        </w:rPr>
        <w:t>（</w:t>
      </w:r>
      <w:r>
        <w:rPr>
          <w:rFonts w:hint="eastAsia" w:ascii="楷体" w:eastAsia="楷体" w:cs="楷体"/>
          <w:b/>
          <w:color w:val="000000"/>
          <w:sz w:val="32"/>
          <w:szCs w:val="32"/>
          <w:lang w:val="en-US" w:eastAsia="zh-CN"/>
        </w:rPr>
        <w:t>七</w:t>
      </w:r>
      <w:r>
        <w:rPr>
          <w:rFonts w:hint="eastAsia" w:ascii="楷体" w:eastAsia="楷体" w:cs="楷体"/>
          <w:b/>
          <w:color w:val="000000"/>
          <w:sz w:val="32"/>
          <w:szCs w:val="32"/>
        </w:rPr>
        <w:t>）</w:t>
      </w:r>
      <w:bookmarkEnd w:id="99"/>
      <w:r>
        <w:rPr>
          <w:rFonts w:hint="eastAsia" w:ascii="楷体" w:eastAsia="楷体" w:cs="楷体"/>
          <w:b/>
          <w:color w:val="000000"/>
          <w:sz w:val="32"/>
          <w:szCs w:val="32"/>
          <w:lang w:val="en-US" w:eastAsia="zh-CN"/>
        </w:rPr>
        <w:t>整体绩效</w:t>
      </w:r>
      <w:bookmarkEnd w:id="100"/>
    </w:p>
    <w:p>
      <w:pPr>
        <w:pageBreakBefore w:val="0"/>
        <w:widowControl w:val="0"/>
        <w:kinsoku/>
        <w:wordWrap/>
        <w:overflowPunct/>
        <w:topLinePunct w:val="0"/>
        <w:bidi w:val="0"/>
        <w:spacing w:line="560" w:lineRule="exact"/>
        <w:ind w:left="0" w:firstLine="640" w:firstLineChars="200"/>
        <w:textAlignment w:val="auto"/>
        <w:rPr>
          <w:rFonts w:ascii="Times New Roman" w:hAnsi="Times New Roman" w:cs="Times New Roman"/>
          <w:sz w:val="32"/>
          <w:szCs w:val="32"/>
        </w:rPr>
      </w:pPr>
      <w:bookmarkStart w:id="101" w:name="_Toc13295"/>
      <w:r>
        <w:rPr>
          <w:rFonts w:ascii="Times New Roman" w:hAnsi="Times New Roman" w:cs="Times New Roman"/>
          <w:sz w:val="32"/>
          <w:szCs w:val="32"/>
        </w:rPr>
        <w:t>通过加强预算收支的管理，不断建立健全内部管理制度，理顺内部管理流程，部门整体支出管理情况得到了提升。部门整体支出绩效情况如下：</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ascii="楷体" w:eastAsia="楷体" w:cs="楷体"/>
          <w:b/>
          <w:bCs/>
          <w:sz w:val="32"/>
          <w:szCs w:val="32"/>
        </w:rPr>
      </w:pPr>
      <w:bookmarkStart w:id="102" w:name="_Toc13637"/>
      <w:r>
        <w:rPr>
          <w:rFonts w:ascii="楷体" w:eastAsia="楷体" w:cs="楷体"/>
          <w:b/>
          <w:bCs/>
          <w:sz w:val="32"/>
          <w:szCs w:val="32"/>
        </w:rPr>
        <w:t>1</w:t>
      </w:r>
      <w:r>
        <w:rPr>
          <w:rFonts w:hint="eastAsia" w:ascii="楷体" w:eastAsia="楷体" w:cs="楷体"/>
          <w:b/>
          <w:bCs/>
          <w:sz w:val="32"/>
          <w:szCs w:val="32"/>
        </w:rPr>
        <w:t>、评价结论</w:t>
      </w:r>
      <w:bookmarkEnd w:id="101"/>
      <w:bookmarkEnd w:id="102"/>
    </w:p>
    <w:p>
      <w:pPr>
        <w:keepNext w:val="0"/>
        <w:keepLines w:val="0"/>
        <w:pageBreakBefore w:val="0"/>
        <w:widowControl w:val="0"/>
        <w:kinsoku/>
        <w:wordWrap/>
        <w:overflowPunct/>
        <w:topLinePunct w:val="0"/>
        <w:bidi w:val="0"/>
        <w:spacing w:line="560" w:lineRule="exact"/>
        <w:ind w:left="0" w:firstLine="640" w:firstLineChars="200"/>
        <w:textAlignment w:val="auto"/>
        <w:rPr>
          <w:rFonts w:ascii="仿宋_GB2312" w:eastAsia="仿宋_GB2312"/>
          <w:sz w:val="32"/>
          <w:szCs w:val="32"/>
        </w:rPr>
      </w:pPr>
      <w:r>
        <w:rPr>
          <w:rFonts w:hint="eastAsia" w:ascii="仿宋_GB2312" w:eastAsia="仿宋_GB2312"/>
          <w:sz w:val="32"/>
          <w:szCs w:val="32"/>
        </w:rPr>
        <w:t>部门预算执行情况良好，无不良记录及违规违纪行为，预算支出和决算支出基本情况相符。</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ascii="楷体" w:eastAsia="楷体" w:cs="楷体"/>
          <w:b/>
          <w:bCs/>
          <w:sz w:val="32"/>
          <w:szCs w:val="32"/>
        </w:rPr>
      </w:pPr>
      <w:bookmarkStart w:id="103" w:name="_Toc21013"/>
      <w:bookmarkStart w:id="104" w:name="_Toc16082"/>
      <w:r>
        <w:rPr>
          <w:rFonts w:ascii="楷体" w:eastAsia="楷体" w:cs="楷体"/>
          <w:b/>
          <w:bCs/>
          <w:sz w:val="32"/>
          <w:szCs w:val="32"/>
        </w:rPr>
        <w:t>2</w:t>
      </w:r>
      <w:r>
        <w:rPr>
          <w:rFonts w:hint="eastAsia" w:ascii="楷体" w:eastAsia="楷体" w:cs="楷体"/>
          <w:b/>
          <w:bCs/>
          <w:sz w:val="32"/>
          <w:szCs w:val="32"/>
        </w:rPr>
        <w:t>、存在问题</w:t>
      </w:r>
      <w:bookmarkEnd w:id="103"/>
      <w:bookmarkEnd w:id="104"/>
    </w:p>
    <w:p>
      <w:pPr>
        <w:keepNext w:val="0"/>
        <w:keepLines w:val="0"/>
        <w:pageBreakBefore w:val="0"/>
        <w:widowControl w:val="0"/>
        <w:kinsoku/>
        <w:wordWrap/>
        <w:overflowPunct/>
        <w:topLinePunct w:val="0"/>
        <w:bidi w:val="0"/>
        <w:spacing w:line="560" w:lineRule="exact"/>
        <w:ind w:left="0" w:firstLine="640" w:firstLineChars="200"/>
        <w:textAlignment w:val="auto"/>
        <w:rPr>
          <w:rFonts w:ascii="仿宋_GB2312" w:eastAsia="仿宋_GB2312"/>
          <w:sz w:val="32"/>
          <w:szCs w:val="32"/>
        </w:rPr>
      </w:pPr>
      <w:r>
        <w:rPr>
          <w:rFonts w:hint="eastAsia" w:ascii="仿宋_GB2312" w:eastAsia="仿宋_GB2312"/>
          <w:sz w:val="32"/>
          <w:szCs w:val="32"/>
        </w:rPr>
        <w:t>一是预算经费支出进度较快；二是部门决算上报处理效率还需继续提升。</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ascii="楷体" w:eastAsia="楷体" w:cs="楷体"/>
          <w:b/>
          <w:bCs/>
          <w:sz w:val="32"/>
          <w:szCs w:val="32"/>
        </w:rPr>
      </w:pPr>
      <w:bookmarkStart w:id="105" w:name="_Toc29651"/>
      <w:bookmarkStart w:id="106" w:name="_Toc7325"/>
      <w:r>
        <w:rPr>
          <w:rFonts w:ascii="楷体" w:eastAsia="楷体" w:cs="楷体"/>
          <w:b/>
          <w:bCs/>
          <w:sz w:val="32"/>
          <w:szCs w:val="32"/>
        </w:rPr>
        <w:t>3</w:t>
      </w:r>
      <w:r>
        <w:rPr>
          <w:rFonts w:hint="eastAsia" w:ascii="楷体" w:eastAsia="楷体" w:cs="楷体"/>
          <w:b/>
          <w:bCs/>
          <w:sz w:val="32"/>
          <w:szCs w:val="32"/>
        </w:rPr>
        <w:t>、改进建议</w:t>
      </w:r>
      <w:bookmarkEnd w:id="105"/>
      <w:bookmarkEnd w:id="106"/>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加快完成机关财务管理规章制度建设、加强会计核算和财务管理能力，及时与财政局相关科室对接工作，提升工作效率。</w:t>
      </w:r>
      <w:bookmarkStart w:id="107" w:name="_Toc31471"/>
      <w:bookmarkStart w:id="108" w:name="_Toc19803"/>
      <w:bookmarkStart w:id="109" w:name="_Toc10747"/>
    </w:p>
    <w:bookmarkEnd w:id="107"/>
    <w:bookmarkEnd w:id="108"/>
    <w:bookmarkEnd w:id="109"/>
    <w:p>
      <w:pPr>
        <w:spacing w:line="560" w:lineRule="exact"/>
        <w:ind w:left="0" w:firstLine="0" w:firstLineChars="0"/>
        <w:jc w:val="center"/>
        <w:outlineLvl w:val="9"/>
        <w:rPr>
          <w:rFonts w:hint="eastAsia" w:ascii="方正小标宋简体" w:eastAsia="方正小标宋简体" w:cs="Times New Roman"/>
          <w:color w:val="000000"/>
          <w:sz w:val="44"/>
          <w:szCs w:val="44"/>
        </w:rPr>
      </w:pPr>
      <w:bookmarkStart w:id="110" w:name="_Toc79163629"/>
      <w:bookmarkStart w:id="111" w:name="_Toc15396613"/>
      <w:bookmarkStart w:id="112" w:name="_Toc15377225"/>
      <w:bookmarkStart w:id="113" w:name="_Toc79163879"/>
    </w:p>
    <w:p>
      <w:pPr>
        <w:spacing w:line="560" w:lineRule="exact"/>
        <w:ind w:left="0" w:firstLine="0" w:firstLineChars="0"/>
        <w:jc w:val="center"/>
        <w:outlineLvl w:val="9"/>
        <w:rPr>
          <w:rFonts w:hint="eastAsia" w:ascii="方正小标宋简体" w:eastAsia="方正小标宋简体" w:cs="Times New Roman"/>
          <w:color w:val="000000"/>
          <w:sz w:val="44"/>
          <w:szCs w:val="44"/>
        </w:rPr>
      </w:pPr>
    </w:p>
    <w:p>
      <w:pPr>
        <w:spacing w:line="560" w:lineRule="exact"/>
        <w:ind w:left="0" w:firstLine="0" w:firstLineChars="0"/>
        <w:jc w:val="both"/>
        <w:outlineLvl w:val="9"/>
        <w:rPr>
          <w:rFonts w:hint="eastAsia" w:ascii="方正小标宋简体" w:eastAsia="方正小标宋简体" w:cs="Times New Roman"/>
          <w:color w:val="000000"/>
          <w:sz w:val="44"/>
          <w:szCs w:val="44"/>
        </w:rPr>
      </w:pPr>
    </w:p>
    <w:p>
      <w:pPr>
        <w:spacing w:line="560" w:lineRule="exact"/>
        <w:ind w:left="0" w:firstLine="0" w:firstLineChars="0"/>
        <w:jc w:val="center"/>
        <w:outlineLvl w:val="0"/>
        <w:rPr>
          <w:rFonts w:hint="eastAsia" w:ascii="方正小标宋简体" w:eastAsia="方正小标宋简体" w:cs="Times New Roman"/>
          <w:b w:val="0"/>
          <w:sz w:val="21"/>
        </w:rPr>
      </w:pPr>
      <w:bookmarkStart w:id="114" w:name="_Toc26198"/>
      <w:r>
        <w:rPr>
          <w:rFonts w:hint="eastAsia" w:ascii="方正小标宋简体" w:eastAsia="方正小标宋简体" w:cs="Times New Roman"/>
          <w:color w:val="000000"/>
          <w:sz w:val="44"/>
          <w:szCs w:val="44"/>
        </w:rPr>
        <w:t>第三部分  名</w:t>
      </w:r>
      <w:r>
        <w:rPr>
          <w:rFonts w:hint="eastAsia" w:ascii="方正小标宋简体" w:eastAsia="方正小标宋简体" w:cs="Times New Roman"/>
          <w:b w:val="0"/>
          <w:bCs/>
          <w:kern w:val="44"/>
          <w:sz w:val="44"/>
          <w:szCs w:val="44"/>
        </w:rPr>
        <w:t>词解释</w:t>
      </w:r>
      <w:bookmarkEnd w:id="110"/>
      <w:bookmarkEnd w:id="111"/>
      <w:bookmarkEnd w:id="112"/>
      <w:bookmarkEnd w:id="113"/>
      <w:bookmarkEnd w:id="114"/>
    </w:p>
    <w:p>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.其他收入：指单位取得的除上述收入以外的各项收入。</w:t>
      </w:r>
    </w:p>
    <w:p>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.使用非财政拨款结余：指事业单位使用以前年度积累的非财政拨款结余弥补当年收支差额的金额。 </w:t>
      </w:r>
    </w:p>
    <w:p>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.年初结转和结余：指以前年度尚未完成、结转到本年按有关规定继续使用的资金。 </w:t>
      </w:r>
    </w:p>
    <w:p>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.结余分配：指事业单位按照会计制度规定缴纳的所得税、提取的专用结余以及转入非财政拨款结余的金额等。</w:t>
      </w:r>
    </w:p>
    <w:p>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s="仿宋_GB2312"/>
          <w:sz w:val="32"/>
          <w:szCs w:val="32"/>
          <w:lang w:val="en-US" w:eastAsia="zh-CN"/>
        </w:rPr>
        <w:t xml:space="preserve"> 一般公共服务支出（类）群众团体事务（款）行政运行（项）</w:t>
      </w:r>
      <w:r>
        <w:rPr>
          <w:rFonts w:hint="eastAsia" w:ascii="仿宋_GB2312" w:eastAsia="仿宋_GB2312" w:cs="仿宋"/>
          <w:color w:val="000000"/>
          <w:kern w:val="0"/>
          <w:sz w:val="32"/>
          <w:szCs w:val="32"/>
          <w:lang w:val="en-US" w:eastAsia="zh-CN" w:bidi="ar-SA"/>
        </w:rPr>
        <w:t>：指行政单位的基本支出</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s="仿宋_GB2312"/>
          <w:sz w:val="32"/>
          <w:szCs w:val="32"/>
          <w:lang w:val="en-US" w:eastAsia="zh-CN"/>
        </w:rPr>
        <w:t>社会保障和就业支出（类）行政事业单位养老支出（款）机关事业单位基本养老保险缴费支出（项）</w:t>
      </w:r>
      <w:r>
        <w:rPr>
          <w:rFonts w:hint="eastAsia" w:ascii="仿宋_GB2312" w:eastAsia="仿宋_GB2312" w:cs="仿宋"/>
          <w:color w:val="000000"/>
          <w:kern w:val="0"/>
          <w:sz w:val="32"/>
          <w:szCs w:val="32"/>
          <w:lang w:val="en-US" w:eastAsia="zh-CN" w:bidi="ar-SA"/>
        </w:rPr>
        <w:t>：</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s="仿宋_GB2312"/>
          <w:sz w:val="32"/>
          <w:szCs w:val="32"/>
          <w:lang w:val="en-US" w:eastAsia="zh-CN"/>
        </w:rPr>
        <w:t>社会保障和就业支出（类）行政事业单位养老支出（款）机关事业单位职业年金缴费支出（项）</w:t>
      </w:r>
      <w:r>
        <w:rPr>
          <w:rFonts w:hint="eastAsia" w:ascii="仿宋_GB2312" w:eastAsia="仿宋_GB2312" w:cs="仿宋"/>
          <w:color w:val="000000"/>
          <w:kern w:val="0"/>
          <w:sz w:val="32"/>
          <w:szCs w:val="32"/>
          <w:lang w:val="en-US" w:eastAsia="zh-CN" w:bidi="ar-SA"/>
        </w:rPr>
        <w:t>：</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w:t>
      </w:r>
      <w:r>
        <w:rPr>
          <w:rFonts w:hint="eastAsia" w:ascii="仿宋_GB2312" w:eastAsia="仿宋_GB2312" w:cs="仿宋_GB2312"/>
          <w:sz w:val="32"/>
          <w:szCs w:val="32"/>
          <w:lang w:val="en-US" w:eastAsia="zh-CN"/>
        </w:rPr>
        <w:t>卫生健康支出（类）行政事业单位医疗（款）行政单位医疗（项）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s="仿宋_GB2312"/>
          <w:sz w:val="32"/>
          <w:szCs w:val="32"/>
          <w:lang w:val="en-US" w:eastAsia="zh-CN"/>
        </w:rPr>
        <w:t>卫生健康支出（类）行政事业单位医疗（款）公务员医疗补助（项）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s="仿宋_GB2312"/>
          <w:sz w:val="32"/>
          <w:szCs w:val="32"/>
          <w:lang w:val="en-US" w:eastAsia="zh-CN"/>
        </w:rPr>
        <w:t>住房保障支出（类）住房改革支出（款）住房公积金（项）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.项目支出：指在基本支出之外为完成特定行政任务和事业发展目标所发生的支出。 </w:t>
      </w:r>
    </w:p>
    <w:p>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pageBreakBefore w:val="0"/>
        <w:widowControl w:val="0"/>
        <w:kinsoku/>
        <w:wordWrap/>
        <w:overflowPunct/>
        <w:topLinePunct w:val="0"/>
        <w:autoSpaceDE w:val="0"/>
        <w:autoSpaceDN w:val="0"/>
        <w:bidi w:val="0"/>
        <w:spacing w:line="560" w:lineRule="exact"/>
        <w:ind w:left="0" w:firstLine="640" w:firstLineChars="200"/>
        <w:textAlignment w:val="auto"/>
        <w:rPr>
          <w:rFonts w:hint="eastAsia" w:ascii="仿宋_GB2312" w:eastAsia="仿宋_GB2312" w:cs="黑体"/>
          <w:sz w:val="32"/>
          <w:szCs w:val="32"/>
        </w:rPr>
      </w:pPr>
    </w:p>
    <w:p>
      <w:pPr>
        <w:pageBreakBefore w:val="0"/>
        <w:widowControl w:val="0"/>
        <w:kinsoku/>
        <w:wordWrap/>
        <w:overflowPunct/>
        <w:topLinePunct w:val="0"/>
        <w:bidi w:val="0"/>
        <w:spacing w:line="560" w:lineRule="exact"/>
        <w:ind w:left="0" w:firstLine="643" w:firstLineChars="200"/>
        <w:textAlignment w:val="auto"/>
        <w:rPr>
          <w:rFonts w:hint="eastAsia" w:ascii="仿宋_GB2312" w:eastAsia="仿宋_GB2312"/>
          <w:b/>
          <w:i/>
          <w:color w:val="404040"/>
          <w:sz w:val="32"/>
          <w:szCs w:val="32"/>
        </w:rPr>
      </w:pPr>
    </w:p>
    <w:p>
      <w:pPr>
        <w:pageBreakBefore w:val="0"/>
        <w:widowControl w:val="0"/>
        <w:kinsoku/>
        <w:wordWrap/>
        <w:overflowPunct/>
        <w:topLinePunct w:val="0"/>
        <w:bidi w:val="0"/>
        <w:spacing w:line="560" w:lineRule="exact"/>
        <w:ind w:left="0" w:firstLine="0" w:firstLineChars="0"/>
        <w:textAlignment w:val="auto"/>
        <w:rPr>
          <w:rFonts w:hint="eastAsia" w:ascii="仿宋_GB2312" w:eastAsia="仿宋_GB2312" w:cs="仿宋"/>
          <w:color w:val="000000"/>
          <w:kern w:val="0"/>
          <w:sz w:val="32"/>
          <w:szCs w:val="32"/>
          <w:lang w:eastAsia="zh-CN"/>
        </w:rPr>
      </w:pPr>
    </w:p>
    <w:p>
      <w:pPr>
        <w:pStyle w:val="4"/>
        <w:keepNext/>
        <w:keepLines/>
        <w:pageBreakBefore w:val="0"/>
        <w:widowControl w:val="0"/>
        <w:kinsoku/>
        <w:wordWrap/>
        <w:overflowPunct/>
        <w:topLinePunct w:val="0"/>
        <w:bidi w:val="0"/>
        <w:spacing w:line="560" w:lineRule="exact"/>
        <w:ind w:left="0" w:firstLine="0" w:firstLineChars="0"/>
        <w:jc w:val="center"/>
        <w:textAlignment w:val="auto"/>
        <w:rPr>
          <w:rFonts w:hint="eastAsia" w:ascii="方正小标宋简体" w:eastAsia="方正小标宋简体" w:cs="方正小标宋简体"/>
          <w:b w:val="0"/>
          <w:bCs/>
          <w:sz w:val="44"/>
          <w:szCs w:val="44"/>
          <w:lang w:val="en-US" w:eastAsia="zh-CN"/>
        </w:rPr>
      </w:pPr>
      <w:bookmarkStart w:id="115" w:name="_Toc10381"/>
      <w:r>
        <w:rPr>
          <w:rFonts w:hint="eastAsia" w:ascii="方正小标宋简体" w:eastAsia="方正小标宋简体" w:cs="方正小标宋简体"/>
          <w:b w:val="0"/>
          <w:bCs/>
          <w:sz w:val="44"/>
          <w:szCs w:val="44"/>
          <w:lang w:val="en-US" w:eastAsia="zh-CN"/>
        </w:rPr>
        <w:t>第四部分  附件</w:t>
      </w:r>
      <w:bookmarkEnd w:id="115"/>
    </w:p>
    <w:p>
      <w:pPr>
        <w:pStyle w:val="4"/>
        <w:keepNext/>
        <w:keepLines/>
        <w:pageBreakBefore w:val="0"/>
        <w:widowControl w:val="0"/>
        <w:kinsoku/>
        <w:wordWrap/>
        <w:overflowPunct/>
        <w:topLinePunct w:val="0"/>
        <w:bidi w:val="0"/>
        <w:spacing w:line="560" w:lineRule="exact"/>
        <w:ind w:left="0" w:firstLine="0" w:firstLineChars="0"/>
        <w:jc w:val="center"/>
        <w:textAlignment w:val="auto"/>
        <w:rPr>
          <w:rFonts w:hint="eastAsia" w:ascii="方正小标宋简体" w:eastAsia="方正小标宋简体" w:cs="方正小标宋简体"/>
          <w:b w:val="0"/>
          <w:bCs/>
          <w:sz w:val="44"/>
          <w:szCs w:val="44"/>
          <w:lang w:val="en-US" w:eastAsia="zh-CN"/>
        </w:rPr>
      </w:pPr>
      <w:bookmarkStart w:id="116" w:name="_Toc31178"/>
      <w:bookmarkStart w:id="117" w:name="_Toc27061"/>
      <w:r>
        <w:rPr>
          <w:rFonts w:hint="eastAsia" w:ascii="方正小标宋简体" w:eastAsia="方正小标宋简体" w:cs="方正小标宋简体"/>
          <w:b w:val="0"/>
          <w:bCs/>
          <w:sz w:val="44"/>
          <w:szCs w:val="44"/>
          <w:lang w:val="en-US" w:eastAsia="zh-CN"/>
        </w:rPr>
        <w:t>中国共产主义青年团金川县委员会</w:t>
      </w:r>
      <w:bookmarkEnd w:id="116"/>
      <w:bookmarkEnd w:id="117"/>
    </w:p>
    <w:p>
      <w:pPr>
        <w:pStyle w:val="4"/>
        <w:keepNext/>
        <w:keepLines/>
        <w:pageBreakBefore w:val="0"/>
        <w:widowControl w:val="0"/>
        <w:kinsoku/>
        <w:wordWrap/>
        <w:overflowPunct/>
        <w:topLinePunct w:val="0"/>
        <w:bidi w:val="0"/>
        <w:spacing w:line="560" w:lineRule="exact"/>
        <w:ind w:left="0" w:firstLine="0" w:firstLineChars="0"/>
        <w:jc w:val="center"/>
        <w:textAlignment w:val="auto"/>
        <w:rPr>
          <w:rFonts w:hint="eastAsia" w:ascii="方正小标宋简体" w:eastAsia="方正小标宋简体" w:cs="方正小标宋简体"/>
          <w:b w:val="0"/>
          <w:bCs/>
          <w:sz w:val="44"/>
          <w:szCs w:val="44"/>
        </w:rPr>
      </w:pPr>
      <w:bookmarkStart w:id="118" w:name="_Toc7427"/>
      <w:bookmarkStart w:id="119" w:name="_Toc6789"/>
      <w:r>
        <w:rPr>
          <w:rFonts w:hint="eastAsia" w:ascii="方正小标宋简体" w:eastAsia="方正小标宋简体" w:cs="方正小标宋简体"/>
          <w:b w:val="0"/>
          <w:bCs/>
          <w:sz w:val="44"/>
          <w:szCs w:val="44"/>
          <w:lang w:eastAsia="zh-CN"/>
        </w:rPr>
        <w:t>2022年度部门整体支出</w:t>
      </w:r>
      <w:r>
        <w:rPr>
          <w:rFonts w:hint="eastAsia" w:ascii="方正小标宋简体" w:eastAsia="方正小标宋简体" w:cs="方正小标宋简体"/>
          <w:b w:val="0"/>
          <w:bCs/>
          <w:sz w:val="44"/>
          <w:szCs w:val="44"/>
        </w:rPr>
        <w:t>绩效</w:t>
      </w:r>
      <w:r>
        <w:rPr>
          <w:rFonts w:hint="eastAsia" w:ascii="方正小标宋简体" w:eastAsia="方正小标宋简体" w:cs="方正小标宋简体"/>
          <w:b w:val="0"/>
          <w:bCs/>
          <w:sz w:val="44"/>
          <w:szCs w:val="44"/>
          <w:lang w:eastAsia="zh-CN"/>
        </w:rPr>
        <w:t>评价报告</w:t>
      </w:r>
      <w:bookmarkEnd w:id="118"/>
      <w:bookmarkEnd w:id="119"/>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ascii="Times New Roman" w:hAnsi="Times New Roman" w:eastAsia="黑体" w:cs="Times New Roman"/>
          <w:color w:val="000000"/>
          <w:kern w:val="0"/>
          <w:sz w:val="32"/>
          <w:szCs w:val="32"/>
          <w:shd w:val="clear" w:color="auto" w:fill="FFFFFF"/>
        </w:rPr>
      </w:pPr>
    </w:p>
    <w:p>
      <w:pPr>
        <w:widowControl/>
        <w:adjustRightInd w:val="0"/>
        <w:snapToGrid w:val="0"/>
        <w:spacing w:line="580" w:lineRule="exact"/>
        <w:ind w:firstLine="620" w:firstLineChars="200"/>
        <w:contextualSpacing/>
        <w:jc w:val="both"/>
        <w:rPr>
          <w:rFonts w:hint="eastAsia" w:ascii="黑体" w:eastAsia="黑体" w:cs="黑体"/>
          <w:color w:val="000000"/>
          <w:kern w:val="0"/>
          <w:sz w:val="31"/>
          <w:szCs w:val="31"/>
          <w:lang w:val="zh-CN" w:eastAsia="zh-CN"/>
        </w:rPr>
      </w:pPr>
      <w:r>
        <w:rPr>
          <w:rFonts w:hint="eastAsia" w:ascii="黑体" w:eastAsia="黑体" w:cs="黑体"/>
          <w:color w:val="000000"/>
          <w:kern w:val="0"/>
          <w:sz w:val="31"/>
          <w:szCs w:val="31"/>
          <w:lang w:val="en-US" w:eastAsia="zh-CN"/>
        </w:rPr>
        <w:t>一、</w:t>
      </w:r>
      <w:r>
        <w:rPr>
          <w:rFonts w:hint="eastAsia" w:ascii="黑体" w:eastAsia="黑体" w:cs="黑体"/>
          <w:color w:val="000000"/>
          <w:kern w:val="0"/>
          <w:sz w:val="31"/>
          <w:szCs w:val="31"/>
          <w:lang w:val="zh-CN" w:eastAsia="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eastAsia="仿宋_GB2312" w:cs="宋体"/>
          <w:b/>
          <w:bCs/>
          <w:color w:val="000000"/>
          <w:kern w:val="0"/>
          <w:sz w:val="32"/>
          <w:szCs w:val="24"/>
          <w:lang w:val="zh-CN" w:eastAsia="zh-CN"/>
        </w:rPr>
      </w:pPr>
      <w:r>
        <w:rPr>
          <w:rFonts w:hint="eastAsia" w:ascii="仿宋_GB2312" w:eastAsia="仿宋_GB2312" w:cs="宋体"/>
          <w:b/>
          <w:bCs/>
          <w:color w:val="000000"/>
          <w:kern w:val="0"/>
          <w:sz w:val="32"/>
          <w:szCs w:val="24"/>
          <w:lang w:val="zh-CN" w:eastAsia="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zh-CN" w:eastAsia="zh-CN"/>
        </w:rPr>
        <w:t>我单位属独立编制机构，是独立核算的行政单位。</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eastAsia="仿宋_GB2312" w:cs="宋体"/>
          <w:b/>
          <w:bCs/>
          <w:color w:val="000000"/>
          <w:kern w:val="0"/>
          <w:sz w:val="32"/>
          <w:szCs w:val="24"/>
          <w:lang w:val="zh-CN" w:eastAsia="zh-CN"/>
        </w:rPr>
      </w:pPr>
      <w:r>
        <w:rPr>
          <w:rFonts w:hint="eastAsia" w:ascii="仿宋_GB2312" w:eastAsia="仿宋_GB2312" w:cs="宋体"/>
          <w:b/>
          <w:bCs/>
          <w:color w:val="000000"/>
          <w:kern w:val="0"/>
          <w:sz w:val="32"/>
          <w:szCs w:val="24"/>
          <w:lang w:val="zh-CN" w:eastAsia="zh-CN"/>
        </w:rPr>
        <w:t>（二）机构职能。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1.</w:t>
      </w:r>
      <w:r>
        <w:rPr>
          <w:rFonts w:hint="eastAsia" w:ascii="仿宋_GB2312" w:eastAsia="仿宋_GB2312" w:cs="宋体"/>
          <w:color w:val="000000"/>
          <w:kern w:val="0"/>
          <w:sz w:val="32"/>
          <w:szCs w:val="24"/>
          <w:lang w:val="zh-CN" w:eastAsia="zh-CN"/>
        </w:rPr>
        <w:t>领导全县共青团工作，组织全县共青团围绕全县改革发展稳定大局开展工作，在全县经济建设、政治建设、文化建设、社会建设、生态文明建设中发挥党的助手作用。</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2.</w:t>
      </w:r>
      <w:r>
        <w:rPr>
          <w:rFonts w:hint="eastAsia" w:ascii="仿宋_GB2312" w:eastAsia="仿宋_GB2312" w:cs="宋体"/>
          <w:color w:val="000000"/>
          <w:kern w:val="0"/>
          <w:sz w:val="32"/>
          <w:szCs w:val="24"/>
          <w:lang w:val="zh-CN" w:eastAsia="zh-CN"/>
        </w:rPr>
        <w:t>负责研究指导全县团的组织建设和干部队伍建设，推进全县团的基层组织建设；引导全县青年创业创新，在全县经济社会发展中发挥生力军和突击队的作用。</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3.</w:t>
      </w:r>
      <w:r>
        <w:rPr>
          <w:rFonts w:hint="eastAsia" w:ascii="仿宋_GB2312" w:eastAsia="仿宋_GB2312" w:cs="宋体"/>
          <w:color w:val="000000"/>
          <w:kern w:val="0"/>
          <w:sz w:val="32"/>
          <w:szCs w:val="24"/>
          <w:lang w:val="zh-CN" w:eastAsia="zh-CN"/>
        </w:rPr>
        <w:t>协助党组织管理各级团组织的正、副书记，培养、选拔、推荐、表彰团干部和团员青年。</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4.</w:t>
      </w:r>
      <w:r>
        <w:rPr>
          <w:rFonts w:hint="eastAsia" w:ascii="仿宋_GB2312" w:eastAsia="仿宋_GB2312" w:cs="宋体"/>
          <w:color w:val="000000"/>
          <w:kern w:val="0"/>
          <w:sz w:val="32"/>
          <w:szCs w:val="24"/>
          <w:lang w:val="zh-CN" w:eastAsia="zh-CN"/>
        </w:rPr>
        <w:t>围绕县委、县人民政府中心工作，负责指导并组织实施全县青少年的思想理论教育和对外宣传工作。负责协调、指导团的新媒体舆论阵地建设和网络舆论引导工作。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5.</w:t>
      </w:r>
      <w:r>
        <w:rPr>
          <w:rFonts w:hint="eastAsia" w:ascii="仿宋_GB2312" w:eastAsia="仿宋_GB2312" w:cs="宋体"/>
          <w:color w:val="000000"/>
          <w:kern w:val="0"/>
          <w:sz w:val="32"/>
          <w:szCs w:val="24"/>
          <w:lang w:val="zh-CN" w:eastAsia="zh-CN"/>
        </w:rPr>
        <w:t>负责全县共青团工作和青年工作的理论研究；向县委、县人民政府反映青少年思想状况，参与协调处理各种与青少年利益相关的工作；对青少年工作中的重大问题提出立法建议；会同有关部门做好预防青少年违法犯罪和未成年人保护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6.</w:t>
      </w:r>
      <w:r>
        <w:rPr>
          <w:rFonts w:hint="eastAsia" w:ascii="仿宋_GB2312" w:eastAsia="仿宋_GB2312" w:cs="宋体"/>
          <w:color w:val="000000"/>
          <w:kern w:val="0"/>
          <w:sz w:val="32"/>
          <w:szCs w:val="24"/>
          <w:lang w:val="zh-CN" w:eastAsia="zh-CN"/>
        </w:rPr>
        <w:t>贯彻落实青少年事业发展规划和青少年工作方针、政策，对青少年活动阵地、青少年服务机构的建设进行规划和管理。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7.</w:t>
      </w:r>
      <w:r>
        <w:rPr>
          <w:rFonts w:hint="eastAsia" w:ascii="仿宋_GB2312" w:eastAsia="仿宋_GB2312" w:cs="宋体"/>
          <w:color w:val="000000"/>
          <w:kern w:val="0"/>
          <w:sz w:val="32"/>
          <w:szCs w:val="24"/>
          <w:lang w:val="zh-CN" w:eastAsia="zh-CN"/>
        </w:rPr>
        <w:t>指导金川县少先队工作委员会开展工作。协助教育部门做好中、小学学生的教育管理工作。加强对青年社会组织和青年社团的指导和管理。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8.</w:t>
      </w:r>
      <w:r>
        <w:rPr>
          <w:rFonts w:hint="eastAsia" w:ascii="仿宋_GB2312" w:eastAsia="仿宋_GB2312" w:cs="宋体"/>
          <w:color w:val="000000"/>
          <w:kern w:val="0"/>
          <w:sz w:val="32"/>
          <w:szCs w:val="24"/>
          <w:lang w:val="zh-CN" w:eastAsia="zh-CN"/>
        </w:rPr>
        <w:t>贯彻落实有关青年统战工作的政策，做好青年统战对象的团结教育工作，维护和促进祖国统一和民族团结。</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9.</w:t>
      </w:r>
      <w:r>
        <w:rPr>
          <w:rFonts w:hint="eastAsia" w:ascii="仿宋_GB2312" w:eastAsia="仿宋_GB2312" w:cs="宋体"/>
          <w:color w:val="000000"/>
          <w:kern w:val="0"/>
          <w:sz w:val="32"/>
          <w:szCs w:val="24"/>
          <w:lang w:val="zh-CN" w:eastAsia="zh-CN"/>
        </w:rPr>
        <w:t>贯彻落实青少年外事政策，负责全县青少年外事工作和青少年对外交流工作。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en-US" w:eastAsia="zh-CN"/>
        </w:rPr>
        <w:t>10.</w:t>
      </w:r>
      <w:r>
        <w:rPr>
          <w:rFonts w:hint="eastAsia" w:ascii="仿宋_GB2312" w:eastAsia="仿宋_GB2312" w:cs="宋体"/>
          <w:color w:val="000000"/>
          <w:kern w:val="0"/>
          <w:sz w:val="32"/>
          <w:szCs w:val="24"/>
          <w:lang w:val="zh-CN" w:eastAsia="zh-CN"/>
        </w:rPr>
        <w:t>承担县委、县人民政府交办的其他事项。</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eastAsia="仿宋_GB2312" w:cs="宋体"/>
          <w:b/>
          <w:bCs/>
          <w:color w:val="000000"/>
          <w:kern w:val="0"/>
          <w:sz w:val="32"/>
          <w:szCs w:val="24"/>
          <w:lang w:val="zh-CN" w:eastAsia="zh-CN"/>
        </w:rPr>
      </w:pPr>
      <w:r>
        <w:rPr>
          <w:rFonts w:hint="eastAsia" w:ascii="仿宋_GB2312" w:eastAsia="仿宋_GB2312" w:cs="宋体"/>
          <w:b/>
          <w:bCs/>
          <w:color w:val="000000"/>
          <w:kern w:val="0"/>
          <w:sz w:val="32"/>
          <w:szCs w:val="24"/>
          <w:lang w:val="zh-CN" w:eastAsia="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宋体"/>
          <w:color w:val="000000"/>
          <w:kern w:val="0"/>
          <w:sz w:val="32"/>
          <w:szCs w:val="24"/>
          <w:lang w:val="zh-CN" w:eastAsia="zh-CN"/>
        </w:rPr>
      </w:pPr>
      <w:r>
        <w:rPr>
          <w:rFonts w:hint="eastAsia" w:ascii="仿宋_GB2312" w:eastAsia="仿宋_GB2312" w:cs="宋体"/>
          <w:color w:val="000000"/>
          <w:kern w:val="0"/>
          <w:sz w:val="32"/>
          <w:szCs w:val="24"/>
          <w:lang w:val="zh-CN" w:eastAsia="zh-CN"/>
        </w:rPr>
        <w:t>我委属独立编制机构和独立核算的行政单位。人员编制数5人，行政编制4人，机关工勤编制1人。</w:t>
      </w:r>
      <w:r>
        <w:rPr>
          <w:rFonts w:hint="eastAsia" w:ascii="仿宋_GB2312" w:eastAsia="仿宋_GB2312" w:cs="宋体"/>
          <w:color w:val="000000"/>
          <w:kern w:val="0"/>
          <w:sz w:val="32"/>
          <w:szCs w:val="24"/>
          <w:lang w:val="en-US" w:eastAsia="zh-CN"/>
        </w:rPr>
        <w:t>截至</w:t>
      </w:r>
      <w:r>
        <w:rPr>
          <w:rFonts w:hint="eastAsia" w:ascii="仿宋_GB2312" w:eastAsia="仿宋_GB2312" w:cs="宋体"/>
          <w:color w:val="000000"/>
          <w:kern w:val="0"/>
          <w:sz w:val="32"/>
          <w:szCs w:val="24"/>
          <w:lang w:val="zh-CN" w:eastAsia="zh-CN"/>
        </w:rPr>
        <w:t>202</w:t>
      </w:r>
      <w:r>
        <w:rPr>
          <w:rFonts w:hint="eastAsia" w:ascii="仿宋_GB2312" w:cs="宋体"/>
          <w:color w:val="000000"/>
          <w:kern w:val="0"/>
          <w:sz w:val="32"/>
          <w:szCs w:val="24"/>
          <w:lang w:val="en-US" w:eastAsia="zh-CN"/>
        </w:rPr>
        <w:t>2</w:t>
      </w:r>
      <w:r>
        <w:rPr>
          <w:rFonts w:hint="eastAsia" w:ascii="仿宋_GB2312" w:eastAsia="仿宋_GB2312" w:cs="宋体"/>
          <w:color w:val="000000"/>
          <w:kern w:val="0"/>
          <w:sz w:val="32"/>
          <w:szCs w:val="24"/>
          <w:lang w:val="zh-CN" w:eastAsia="zh-CN"/>
        </w:rPr>
        <w:t>年</w:t>
      </w:r>
      <w:r>
        <w:rPr>
          <w:rFonts w:hint="eastAsia" w:ascii="仿宋_GB2312" w:cs="宋体"/>
          <w:color w:val="000000"/>
          <w:kern w:val="0"/>
          <w:sz w:val="32"/>
          <w:szCs w:val="24"/>
          <w:lang w:val="en-US" w:eastAsia="zh-CN"/>
        </w:rPr>
        <w:t>12</w:t>
      </w:r>
      <w:r>
        <w:rPr>
          <w:rFonts w:hint="eastAsia" w:ascii="仿宋_GB2312" w:eastAsia="仿宋_GB2312" w:cs="宋体"/>
          <w:color w:val="000000"/>
          <w:kern w:val="0"/>
          <w:sz w:val="32"/>
          <w:szCs w:val="24"/>
          <w:lang w:val="en-US" w:eastAsia="zh-CN"/>
        </w:rPr>
        <w:t>月，</w:t>
      </w:r>
      <w:r>
        <w:rPr>
          <w:rFonts w:hint="eastAsia" w:ascii="仿宋_GB2312" w:eastAsia="仿宋_GB2312" w:cs="宋体"/>
          <w:color w:val="000000"/>
          <w:kern w:val="0"/>
          <w:sz w:val="32"/>
          <w:szCs w:val="24"/>
          <w:lang w:val="zh-CN" w:eastAsia="zh-CN"/>
        </w:rPr>
        <w:t>财政供养人员为4人</w:t>
      </w:r>
      <w:r>
        <w:rPr>
          <w:rFonts w:hint="eastAsia" w:ascii="仿宋_GB2312" w:cs="宋体"/>
          <w:color w:val="000000"/>
          <w:kern w:val="0"/>
          <w:sz w:val="32"/>
          <w:szCs w:val="24"/>
          <w:lang w:val="en-US" w:eastAsia="zh-CN"/>
        </w:rPr>
        <w:t>,</w:t>
      </w:r>
      <w:r>
        <w:rPr>
          <w:rFonts w:hint="eastAsia" w:ascii="仿宋_GB2312" w:eastAsia="仿宋_GB2312" w:cs="宋体"/>
          <w:color w:val="000000"/>
          <w:kern w:val="0"/>
          <w:sz w:val="32"/>
          <w:szCs w:val="24"/>
          <w:lang w:val="en-US" w:eastAsia="zh-CN"/>
        </w:rPr>
        <w:t>有西部计划志愿者志愿者1</w:t>
      </w:r>
      <w:r>
        <w:rPr>
          <w:rFonts w:hint="eastAsia" w:ascii="仿宋_GB2312" w:cs="宋体"/>
          <w:color w:val="000000"/>
          <w:kern w:val="0"/>
          <w:sz w:val="32"/>
          <w:szCs w:val="24"/>
          <w:lang w:val="en-US" w:eastAsia="zh-CN"/>
        </w:rPr>
        <w:t>2</w:t>
      </w:r>
      <w:r>
        <w:rPr>
          <w:rFonts w:hint="eastAsia" w:ascii="仿宋_GB2312" w:eastAsia="仿宋_GB2312" w:cs="宋体"/>
          <w:color w:val="000000"/>
          <w:kern w:val="0"/>
          <w:sz w:val="32"/>
          <w:szCs w:val="24"/>
          <w:lang w:val="en-US" w:eastAsia="zh-CN"/>
        </w:rPr>
        <w:t>人。</w:t>
      </w:r>
    </w:p>
    <w:p>
      <w:pPr>
        <w:pStyle w:val="17"/>
        <w:keepNext w:val="0"/>
        <w:keepLines w:val="0"/>
        <w:widowControl/>
        <w:suppressLineNumbers w:val="0"/>
        <w:ind w:left="0"/>
        <w:jc w:val="both"/>
      </w:pPr>
      <w:r>
        <w:rPr>
          <w:rFonts w:hint="eastAsia" w:ascii="黑体" w:eastAsia="黑体" w:cs="黑体"/>
          <w:color w:val="000000"/>
          <w:sz w:val="31"/>
          <w:szCs w:val="31"/>
        </w:rPr>
        <w:t>二、部门财政资金收支情况</w:t>
      </w:r>
    </w:p>
    <w:p>
      <w:pPr>
        <w:pStyle w:val="17"/>
        <w:keepNext w:val="0"/>
        <w:keepLines w:val="0"/>
        <w:pageBreakBefore w:val="0"/>
        <w:widowControl/>
        <w:suppressLineNumbers w:val="0"/>
        <w:kinsoku/>
        <w:wordWrap/>
        <w:overflowPunct/>
        <w:topLinePunct w:val="0"/>
        <w:autoSpaceDE/>
        <w:autoSpaceDN/>
        <w:bidi w:val="0"/>
        <w:spacing w:beforeAutospacing="0" w:afterAutospacing="0" w:line="576" w:lineRule="exact"/>
        <w:ind w:left="0"/>
        <w:jc w:val="both"/>
        <w:textAlignment w:val="auto"/>
        <w:rPr>
          <w:rFonts w:hint="eastAsia" w:ascii="仿宋_GB2312" w:eastAsia="仿宋_GB2312" w:cs="仿宋_GB2312"/>
          <w:b/>
          <w:bCs/>
          <w:color w:val="000000"/>
          <w:sz w:val="31"/>
          <w:szCs w:val="31"/>
        </w:rPr>
      </w:pPr>
      <w:r>
        <w:rPr>
          <w:rFonts w:hint="eastAsia" w:ascii="仿宋_GB2312" w:eastAsia="仿宋_GB2312" w:cs="仿宋_GB2312"/>
          <w:b/>
          <w:bCs/>
          <w:color w:val="000000"/>
          <w:sz w:val="31"/>
          <w:szCs w:val="31"/>
        </w:rPr>
        <w:t>（一）部门财政资金收入情况。</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firstLine="640" w:firstLineChars="200"/>
        <w:jc w:val="both"/>
        <w:textAlignment w:val="auto"/>
        <w:rPr>
          <w:rFonts w:hint="eastAsia" w:ascii="仿宋_GB2312" w:eastAsia="仿宋_GB2312" w:cs="仿宋_GB2312"/>
          <w:color w:val="000000"/>
          <w:sz w:val="31"/>
          <w:szCs w:val="31"/>
        </w:rPr>
      </w:pPr>
      <w:r>
        <w:rPr>
          <w:rFonts w:hint="eastAsia" w:ascii="仿宋_GB2312" w:eastAsia="仿宋_GB2312" w:cs="Times New Roman"/>
          <w:bCs/>
          <w:sz w:val="32"/>
          <w:szCs w:val="32"/>
          <w:lang w:val="zh-CN"/>
        </w:rPr>
        <w:t>202</w:t>
      </w:r>
      <w:r>
        <w:rPr>
          <w:rFonts w:hint="eastAsia" w:ascii="仿宋_GB2312" w:eastAsia="仿宋_GB2312" w:cs="Times New Roman"/>
          <w:bCs/>
          <w:sz w:val="32"/>
          <w:szCs w:val="32"/>
          <w:lang w:val="en-US" w:eastAsia="zh-CN"/>
        </w:rPr>
        <w:t>2</w:t>
      </w:r>
      <w:r>
        <w:rPr>
          <w:rFonts w:hint="eastAsia" w:ascii="仿宋_GB2312" w:eastAsia="仿宋_GB2312" w:cs="Times New Roman"/>
          <w:bCs/>
          <w:sz w:val="32"/>
          <w:szCs w:val="32"/>
          <w:lang w:val="zh-CN"/>
        </w:rPr>
        <w:t>年预算收入</w:t>
      </w:r>
      <w:r>
        <w:rPr>
          <w:rFonts w:hint="eastAsia" w:ascii="仿宋_GB2312" w:eastAsia="仿宋_GB2312" w:cs="Times New Roman"/>
          <w:bCs/>
          <w:sz w:val="32"/>
          <w:szCs w:val="32"/>
          <w:lang w:val="en-US" w:eastAsia="zh-CN"/>
        </w:rPr>
        <w:t>172.05</w:t>
      </w:r>
      <w:r>
        <w:rPr>
          <w:rFonts w:hint="eastAsia" w:ascii="仿宋_GB2312" w:eastAsia="仿宋_GB2312" w:cs="Times New Roman"/>
          <w:bCs/>
          <w:sz w:val="32"/>
          <w:szCs w:val="32"/>
          <w:lang w:val="zh-CN"/>
        </w:rPr>
        <w:t>万元。截止202</w:t>
      </w:r>
      <w:r>
        <w:rPr>
          <w:rFonts w:hint="eastAsia" w:ascii="仿宋_GB2312" w:eastAsia="仿宋_GB2312" w:cs="Times New Roman"/>
          <w:bCs/>
          <w:sz w:val="32"/>
          <w:szCs w:val="32"/>
          <w:lang w:val="en-US" w:eastAsia="zh-CN"/>
        </w:rPr>
        <w:t>2</w:t>
      </w:r>
      <w:r>
        <w:rPr>
          <w:rFonts w:hint="eastAsia" w:ascii="仿宋_GB2312" w:eastAsia="仿宋_GB2312" w:cs="Times New Roman"/>
          <w:bCs/>
          <w:sz w:val="32"/>
          <w:szCs w:val="32"/>
          <w:lang w:val="zh-CN"/>
        </w:rPr>
        <w:t>年底，实际共收到财政拨款收入</w:t>
      </w:r>
      <w:r>
        <w:rPr>
          <w:rFonts w:hint="eastAsia" w:ascii="仿宋_GB2312" w:eastAsia="仿宋_GB2312" w:cs="Times New Roman"/>
          <w:bCs/>
          <w:sz w:val="32"/>
          <w:szCs w:val="32"/>
          <w:lang w:val="en-US" w:eastAsia="zh-CN"/>
        </w:rPr>
        <w:t>172.05</w:t>
      </w:r>
      <w:r>
        <w:rPr>
          <w:rFonts w:hint="eastAsia" w:ascii="仿宋_GB2312" w:eastAsia="仿宋_GB2312" w:cs="Times New Roman"/>
          <w:bCs/>
          <w:sz w:val="32"/>
          <w:szCs w:val="32"/>
          <w:lang w:val="zh-CN"/>
        </w:rPr>
        <w:t>万元。其中，政府性基金预算财政拨款0万元。</w:t>
      </w:r>
    </w:p>
    <w:p>
      <w:pPr>
        <w:pStyle w:val="17"/>
        <w:keepNext w:val="0"/>
        <w:keepLines w:val="0"/>
        <w:pageBreakBefore w:val="0"/>
        <w:widowControl/>
        <w:suppressLineNumbers w:val="0"/>
        <w:kinsoku/>
        <w:wordWrap/>
        <w:overflowPunct/>
        <w:topLinePunct w:val="0"/>
        <w:autoSpaceDE/>
        <w:autoSpaceDN/>
        <w:bidi w:val="0"/>
        <w:spacing w:beforeAutospacing="0" w:afterAutospacing="0" w:line="576" w:lineRule="exact"/>
        <w:ind w:left="0"/>
        <w:jc w:val="both"/>
        <w:textAlignment w:val="auto"/>
        <w:rPr>
          <w:rFonts w:hint="eastAsia" w:ascii="仿宋_GB2312" w:eastAsia="仿宋_GB2312" w:cs="仿宋_GB2312"/>
          <w:b/>
          <w:bCs/>
          <w:color w:val="000000"/>
          <w:sz w:val="31"/>
          <w:szCs w:val="31"/>
        </w:rPr>
      </w:pPr>
      <w:r>
        <w:rPr>
          <w:rFonts w:hint="eastAsia" w:ascii="仿宋_GB2312" w:eastAsia="仿宋_GB2312" w:cs="宋体"/>
          <w:b/>
          <w:bCs/>
          <w:color w:val="000000"/>
          <w:kern w:val="0"/>
          <w:sz w:val="32"/>
          <w:szCs w:val="24"/>
          <w:lang w:val="zh-CN" w:eastAsia="zh-CN"/>
        </w:rPr>
        <w:t>（二）</w:t>
      </w:r>
      <w:r>
        <w:rPr>
          <w:rFonts w:hint="eastAsia" w:ascii="仿宋_GB2312" w:eastAsia="仿宋_GB2312" w:cs="仿宋_GB2312"/>
          <w:b/>
          <w:bCs/>
          <w:color w:val="000000"/>
          <w:sz w:val="31"/>
          <w:szCs w:val="31"/>
        </w:rPr>
        <w:t>部门财政资金支出情况。</w:t>
      </w:r>
    </w:p>
    <w:p>
      <w:pPr>
        <w:pStyle w:val="17"/>
        <w:keepNext w:val="0"/>
        <w:keepLines w:val="0"/>
        <w:pageBreakBefore w:val="0"/>
        <w:widowControl/>
        <w:suppressLineNumbers w:val="0"/>
        <w:kinsoku/>
        <w:wordWrap/>
        <w:overflowPunct/>
        <w:topLinePunct w:val="0"/>
        <w:autoSpaceDE/>
        <w:autoSpaceDN/>
        <w:bidi w:val="0"/>
        <w:spacing w:beforeAutospacing="0" w:afterAutospacing="0" w:line="576" w:lineRule="exact"/>
        <w:ind w:left="0" w:firstLine="640" w:firstLineChars="200"/>
        <w:jc w:val="both"/>
        <w:textAlignment w:val="auto"/>
        <w:rPr>
          <w:rFonts w:hint="eastAsia" w:ascii="仿宋_GB2312" w:eastAsia="仿宋_GB2312" w:cs="仿宋_GB2312"/>
          <w:color w:val="000000"/>
          <w:sz w:val="31"/>
          <w:szCs w:val="31"/>
        </w:rPr>
      </w:pPr>
      <w:r>
        <w:rPr>
          <w:rFonts w:hint="eastAsia" w:ascii="仿宋_GB2312" w:eastAsia="仿宋_GB2312" w:cs="Times New Roman"/>
          <w:bCs/>
          <w:sz w:val="32"/>
          <w:szCs w:val="32"/>
          <w:lang w:val="zh-CN"/>
        </w:rPr>
        <w:t>202</w:t>
      </w:r>
      <w:r>
        <w:rPr>
          <w:rFonts w:hint="eastAsia" w:ascii="仿宋_GB2312" w:eastAsia="仿宋_GB2312" w:cs="Times New Roman"/>
          <w:bCs/>
          <w:sz w:val="32"/>
          <w:szCs w:val="32"/>
          <w:lang w:val="en-US" w:eastAsia="zh-CN"/>
        </w:rPr>
        <w:t>2</w:t>
      </w:r>
      <w:r>
        <w:rPr>
          <w:rFonts w:hint="eastAsia" w:ascii="仿宋_GB2312" w:eastAsia="仿宋_GB2312" w:cs="Times New Roman"/>
          <w:bCs/>
          <w:sz w:val="32"/>
          <w:szCs w:val="32"/>
          <w:lang w:val="zh-CN"/>
        </w:rPr>
        <w:t>年预算支出</w:t>
      </w:r>
      <w:r>
        <w:rPr>
          <w:rFonts w:hint="eastAsia" w:ascii="仿宋_GB2312" w:eastAsia="仿宋_GB2312" w:cs="Times New Roman"/>
          <w:bCs/>
          <w:sz w:val="32"/>
          <w:szCs w:val="32"/>
          <w:lang w:val="en-US" w:eastAsia="zh-CN"/>
        </w:rPr>
        <w:t>172.05</w:t>
      </w:r>
      <w:r>
        <w:rPr>
          <w:rFonts w:hint="eastAsia" w:ascii="仿宋_GB2312" w:eastAsia="仿宋_GB2312" w:cs="Times New Roman"/>
          <w:bCs/>
          <w:sz w:val="32"/>
          <w:szCs w:val="32"/>
          <w:lang w:val="zh-CN"/>
        </w:rPr>
        <w:t>万元。截止202</w:t>
      </w:r>
      <w:r>
        <w:rPr>
          <w:rFonts w:hint="eastAsia" w:ascii="仿宋_GB2312" w:eastAsia="仿宋_GB2312" w:cs="Times New Roman"/>
          <w:bCs/>
          <w:sz w:val="32"/>
          <w:szCs w:val="32"/>
          <w:lang w:val="en-US" w:eastAsia="zh-CN"/>
        </w:rPr>
        <w:t>2</w:t>
      </w:r>
      <w:r>
        <w:rPr>
          <w:rFonts w:hint="eastAsia" w:ascii="仿宋_GB2312" w:eastAsia="仿宋_GB2312" w:cs="Times New Roman"/>
          <w:bCs/>
          <w:sz w:val="32"/>
          <w:szCs w:val="32"/>
          <w:lang w:val="zh-CN"/>
        </w:rPr>
        <w:t>年底，实际各类支出共计</w:t>
      </w:r>
      <w:r>
        <w:rPr>
          <w:rFonts w:hint="eastAsia" w:ascii="仿宋_GB2312" w:eastAsia="仿宋_GB2312" w:cs="Times New Roman"/>
          <w:bCs/>
          <w:sz w:val="32"/>
          <w:szCs w:val="32"/>
          <w:lang w:val="en-US" w:eastAsia="zh-CN"/>
        </w:rPr>
        <w:t>172.05</w:t>
      </w:r>
      <w:r>
        <w:rPr>
          <w:rFonts w:hint="eastAsia" w:ascii="仿宋_GB2312" w:eastAsia="仿宋_GB2312" w:cs="Times New Roman"/>
          <w:bCs/>
          <w:sz w:val="32"/>
          <w:szCs w:val="32"/>
          <w:lang w:val="zh-CN"/>
        </w:rPr>
        <w:t>万元。其中，</w:t>
      </w:r>
      <w:r>
        <w:rPr>
          <w:rFonts w:hint="eastAsia" w:ascii="仿宋_GB2312" w:eastAsia="仿宋_GB2312" w:cs="Times New Roman"/>
          <w:bCs/>
          <w:sz w:val="32"/>
          <w:szCs w:val="32"/>
        </w:rPr>
        <w:t>基本支出</w:t>
      </w:r>
      <w:r>
        <w:rPr>
          <w:rFonts w:hint="eastAsia" w:ascii="仿宋_GB2312" w:eastAsia="仿宋_GB2312" w:cs="Times New Roman"/>
          <w:bCs/>
          <w:sz w:val="32"/>
          <w:szCs w:val="32"/>
          <w:lang w:val="en-US" w:eastAsia="zh-CN"/>
        </w:rPr>
        <w:t>124.75</w:t>
      </w:r>
      <w:r>
        <w:rPr>
          <w:rFonts w:hint="eastAsia" w:ascii="仿宋_GB2312" w:eastAsia="仿宋_GB2312" w:cs="Times New Roman"/>
          <w:bCs/>
          <w:sz w:val="32"/>
          <w:szCs w:val="32"/>
        </w:rPr>
        <w:t>万元</w:t>
      </w:r>
      <w:r>
        <w:rPr>
          <w:rFonts w:hint="eastAsia" w:ascii="仿宋_GB2312" w:eastAsia="仿宋_GB2312" w:cs="Times New Roman"/>
          <w:bCs/>
          <w:sz w:val="32"/>
          <w:szCs w:val="32"/>
          <w:lang w:val="zh-CN"/>
        </w:rPr>
        <w:t>，占总支出的</w:t>
      </w:r>
      <w:r>
        <w:rPr>
          <w:rFonts w:hint="eastAsia" w:ascii="仿宋_GB2312" w:eastAsia="仿宋_GB2312" w:cs="Times New Roman"/>
          <w:bCs/>
          <w:sz w:val="32"/>
          <w:szCs w:val="32"/>
          <w:lang w:val="en-US" w:eastAsia="zh-CN"/>
        </w:rPr>
        <w:t>72.51</w:t>
      </w:r>
      <w:r>
        <w:rPr>
          <w:rFonts w:hint="eastAsia" w:ascii="仿宋_GB2312" w:eastAsia="仿宋_GB2312" w:cs="Times New Roman"/>
          <w:bCs/>
          <w:sz w:val="32"/>
          <w:szCs w:val="32"/>
          <w:lang w:val="zh-CN"/>
        </w:rPr>
        <w:t>%；</w:t>
      </w:r>
      <w:r>
        <w:rPr>
          <w:rFonts w:hint="eastAsia" w:ascii="仿宋_GB2312" w:eastAsia="仿宋_GB2312" w:cs="Times New Roman"/>
          <w:bCs/>
          <w:sz w:val="32"/>
          <w:szCs w:val="32"/>
        </w:rPr>
        <w:t>项目支出</w:t>
      </w:r>
      <w:r>
        <w:rPr>
          <w:rFonts w:hint="eastAsia" w:ascii="仿宋_GB2312" w:eastAsia="仿宋_GB2312" w:cs="Times New Roman"/>
          <w:bCs/>
          <w:sz w:val="32"/>
          <w:szCs w:val="32"/>
          <w:lang w:val="en-US" w:eastAsia="zh-CN"/>
        </w:rPr>
        <w:t>47.75</w:t>
      </w:r>
      <w:r>
        <w:rPr>
          <w:rFonts w:hint="eastAsia" w:ascii="仿宋_GB2312" w:eastAsia="仿宋_GB2312" w:cs="Times New Roman"/>
          <w:bCs/>
          <w:sz w:val="32"/>
          <w:szCs w:val="32"/>
        </w:rPr>
        <w:t>万元</w:t>
      </w:r>
      <w:r>
        <w:rPr>
          <w:rFonts w:hint="eastAsia" w:ascii="仿宋_GB2312" w:eastAsia="仿宋_GB2312" w:cs="Times New Roman"/>
          <w:bCs/>
          <w:sz w:val="32"/>
          <w:szCs w:val="32"/>
          <w:lang w:val="zh-CN"/>
        </w:rPr>
        <w:t>，占总支出的</w:t>
      </w:r>
      <w:r>
        <w:rPr>
          <w:rFonts w:hint="eastAsia" w:ascii="仿宋_GB2312" w:eastAsia="仿宋_GB2312" w:cs="Times New Roman"/>
          <w:bCs/>
          <w:sz w:val="32"/>
          <w:szCs w:val="32"/>
          <w:lang w:val="en-US" w:eastAsia="zh-CN"/>
        </w:rPr>
        <w:t>27.49</w:t>
      </w:r>
      <w:r>
        <w:rPr>
          <w:rFonts w:hint="eastAsia" w:ascii="仿宋_GB2312" w:eastAsia="仿宋_GB2312" w:cs="Times New Roman"/>
          <w:bCs/>
          <w:sz w:val="32"/>
          <w:szCs w:val="32"/>
          <w:lang w:val="zh-CN"/>
        </w:rPr>
        <w:t>%。</w:t>
      </w:r>
    </w:p>
    <w:p>
      <w:pPr>
        <w:pStyle w:val="17"/>
        <w:keepNext w:val="0"/>
        <w:keepLines w:val="0"/>
        <w:pageBreakBefore w:val="0"/>
        <w:widowControl/>
        <w:numPr>
          <w:ilvl w:val="0"/>
          <w:numId w:val="4"/>
        </w:numPr>
        <w:suppressLineNumbers w:val="0"/>
        <w:kinsoku/>
        <w:wordWrap/>
        <w:overflowPunct/>
        <w:topLinePunct w:val="0"/>
        <w:autoSpaceDE/>
        <w:autoSpaceDN/>
        <w:bidi w:val="0"/>
        <w:spacing w:beforeAutospacing="0" w:afterAutospacing="0" w:line="576" w:lineRule="exact"/>
        <w:ind w:left="0" w:firstLine="640" w:firstLineChars="0"/>
        <w:jc w:val="both"/>
        <w:textAlignment w:val="auto"/>
        <w:rPr>
          <w:rFonts w:hint="eastAsia" w:ascii="黑体" w:eastAsia="黑体" w:cs="黑体"/>
          <w:color w:val="000000"/>
          <w:sz w:val="31"/>
          <w:szCs w:val="31"/>
        </w:rPr>
      </w:pPr>
      <w:r>
        <w:rPr>
          <w:rFonts w:hint="eastAsia" w:ascii="黑体" w:eastAsia="黑体" w:cs="黑体"/>
          <w:color w:val="000000"/>
          <w:sz w:val="31"/>
          <w:szCs w:val="31"/>
        </w:rPr>
        <w:t>部门整体预算绩效管理情况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3" w:firstLineChars="200"/>
        <w:contextualSpacing/>
        <w:jc w:val="both"/>
        <w:textAlignment w:val="auto"/>
        <w:rPr>
          <w:rFonts w:hint="eastAsia" w:ascii="仿宋_GB2312" w:eastAsia="仿宋_GB2312" w:cs="Times New Roman"/>
          <w:b/>
          <w:bCs w:val="0"/>
          <w:kern w:val="0"/>
          <w:sz w:val="32"/>
          <w:szCs w:val="32"/>
          <w:lang w:val="zh-CN" w:eastAsia="zh-CN"/>
        </w:rPr>
      </w:pPr>
      <w:r>
        <w:rPr>
          <w:rFonts w:hint="eastAsia" w:ascii="仿宋_GB2312" w:eastAsia="仿宋_GB2312" w:cs="Times New Roman"/>
          <w:b/>
          <w:bCs w:val="0"/>
          <w:kern w:val="0"/>
          <w:sz w:val="32"/>
          <w:szCs w:val="32"/>
          <w:lang w:val="zh-CN" w:eastAsia="zh-CN"/>
        </w:rPr>
        <w:t>（一）部门预算管理。</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right="0"/>
        <w:jc w:val="both"/>
        <w:textAlignment w:val="auto"/>
        <w:rPr>
          <w:rFonts w:hint="eastAsia" w:ascii="仿宋_GB2312" w:eastAsia="仿宋_GB2312" w:cs="Times New Roman"/>
          <w:bCs/>
          <w:kern w:val="0"/>
          <w:sz w:val="32"/>
          <w:szCs w:val="32"/>
          <w:lang w:val="zh-CN" w:eastAsia="zh-CN"/>
        </w:rPr>
      </w:pPr>
      <w:r>
        <w:rPr>
          <w:rFonts w:hint="eastAsia" w:ascii="仿宋_GB2312" w:eastAsia="仿宋_GB2312" w:cs="Times New Roman"/>
          <w:bCs/>
          <w:kern w:val="0"/>
          <w:sz w:val="32"/>
          <w:szCs w:val="32"/>
          <w:lang w:val="zh-CN" w:eastAsia="zh-CN"/>
        </w:rPr>
        <w:t>我单位</w:t>
      </w:r>
      <w:r>
        <w:rPr>
          <w:rFonts w:hint="eastAsia" w:ascii="仿宋_GB2312" w:eastAsia="仿宋_GB2312" w:cs="Times New Roman"/>
          <w:bCs/>
          <w:kern w:val="0"/>
          <w:sz w:val="32"/>
          <w:szCs w:val="32"/>
          <w:lang w:val="en-US" w:eastAsia="zh-CN"/>
        </w:rPr>
        <w:t>2022年严格</w:t>
      </w:r>
      <w:r>
        <w:rPr>
          <w:rFonts w:hint="eastAsia" w:ascii="仿宋_GB2312" w:eastAsia="仿宋_GB2312" w:cs="Times New Roman"/>
          <w:bCs/>
          <w:kern w:val="0"/>
          <w:sz w:val="32"/>
          <w:szCs w:val="32"/>
          <w:lang w:val="zh-CN" w:eastAsia="zh-CN"/>
        </w:rPr>
        <w:t>按照州级部门预算编制通知及有关要求</w:t>
      </w:r>
      <w:r>
        <w:rPr>
          <w:rFonts w:hint="eastAsia" w:ascii="仿宋_GB2312" w:eastAsia="仿宋_GB2312" w:cs="Times New Roman"/>
          <w:bCs/>
          <w:kern w:val="0"/>
          <w:sz w:val="32"/>
          <w:szCs w:val="32"/>
          <w:lang w:val="en-US" w:eastAsia="zh-CN"/>
        </w:rPr>
        <w:t>和部门预算编制口径汇总编报了本部门预算。</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zh-CN" w:eastAsia="zh-CN"/>
        </w:rPr>
      </w:pPr>
      <w:r>
        <w:rPr>
          <w:rFonts w:hint="eastAsia" w:ascii="仿宋_GB2312" w:eastAsia="仿宋_GB2312" w:cs="Times New Roman"/>
          <w:bCs/>
          <w:kern w:val="0"/>
          <w:sz w:val="32"/>
          <w:szCs w:val="32"/>
          <w:lang w:val="en-US" w:eastAsia="zh-CN"/>
        </w:rPr>
        <w:t>1</w:t>
      </w:r>
      <w:r>
        <w:rPr>
          <w:rFonts w:hint="eastAsia" w:ascii="仿宋_GB2312" w:eastAsia="仿宋_GB2312" w:cs="Times New Roman"/>
          <w:bCs/>
          <w:kern w:val="0"/>
          <w:sz w:val="32"/>
          <w:szCs w:val="32"/>
          <w:lang w:val="zh-CN" w:eastAsia="zh-CN"/>
        </w:rPr>
        <w:t>、预算编制</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zh-CN" w:eastAsia="zh-CN"/>
        </w:rPr>
      </w:pPr>
      <w:r>
        <w:rPr>
          <w:rFonts w:hint="eastAsia" w:ascii="仿宋_GB2312" w:eastAsia="仿宋_GB2312" w:cs="Times New Roman"/>
          <w:bCs/>
          <w:kern w:val="0"/>
          <w:sz w:val="32"/>
          <w:szCs w:val="32"/>
          <w:lang w:val="en-US" w:eastAsia="zh-CN"/>
        </w:rPr>
        <w:t>（1）</w:t>
      </w:r>
      <w:r>
        <w:rPr>
          <w:rFonts w:hint="eastAsia" w:ascii="仿宋_GB2312" w:eastAsia="仿宋_GB2312" w:cs="Times New Roman"/>
          <w:bCs/>
          <w:kern w:val="0"/>
          <w:sz w:val="32"/>
          <w:szCs w:val="32"/>
          <w:lang w:val="zh-CN" w:eastAsia="zh-CN"/>
        </w:rPr>
        <w:t>目标制定</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2022年我单位部门预算资金均较准确编制了当年计划完成工作任务和预期要实现的效果，</w:t>
      </w:r>
      <w:r>
        <w:rPr>
          <w:rFonts w:hint="eastAsia" w:ascii="仿宋_GB2312" w:eastAsia="仿宋_GB2312" w:cs="Times New Roman"/>
          <w:bCs/>
          <w:kern w:val="0"/>
          <w:sz w:val="32"/>
          <w:szCs w:val="32"/>
          <w:lang w:val="zh-CN" w:eastAsia="zh-CN"/>
        </w:rPr>
        <w:t>要素完整，做到细化量化，且</w:t>
      </w:r>
      <w:r>
        <w:rPr>
          <w:rFonts w:hint="eastAsia" w:ascii="仿宋_GB2312" w:eastAsia="仿宋_GB2312" w:cs="Times New Roman"/>
          <w:bCs/>
          <w:kern w:val="0"/>
          <w:sz w:val="32"/>
          <w:szCs w:val="32"/>
          <w:lang w:val="en-US" w:eastAsia="zh-CN"/>
        </w:rPr>
        <w:t>对重点项目绩效的编制做到了进一步的明确和量化。</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（2）目标实现</w:t>
      </w:r>
    </w:p>
    <w:p>
      <w:pPr>
        <w:pStyle w:val="15"/>
        <w:keepNext w:val="0"/>
        <w:keepLines w:val="0"/>
        <w:pageBreakBefore w:val="0"/>
        <w:widowControl w:val="0"/>
        <w:suppressLineNumbers w:val="0"/>
        <w:suppressAutoHyphens/>
        <w:kinsoku/>
        <w:wordWrap/>
        <w:overflowPunct/>
        <w:topLinePunct w:val="0"/>
        <w:autoSpaceDE/>
        <w:autoSpaceDN/>
        <w:bidi w:val="0"/>
        <w:spacing w:before="0" w:beforeAutospacing="0" w:after="0" w:afterAutospacing="0" w:line="576" w:lineRule="exact"/>
        <w:ind w:left="0" w:leftChars="0" w:firstLine="640" w:firstLineChars="200"/>
        <w:jc w:val="both"/>
        <w:textAlignment w:val="auto"/>
        <w:rPr>
          <w:rFonts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2022年我单位单位年初无项目预算支出。</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（3）编制准确</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right="0"/>
        <w:jc w:val="both"/>
        <w:textAlignment w:val="auto"/>
        <w:rPr>
          <w:rFonts w:hint="eastAsia" w:ascii="仿宋_GB2312" w:eastAsia="仿宋_GB2312" w:cs="Times New Roman"/>
          <w:bCs/>
          <w:kern w:val="0"/>
          <w:sz w:val="32"/>
          <w:szCs w:val="32"/>
          <w:lang w:val="zh-CN" w:eastAsia="zh-CN"/>
        </w:rPr>
      </w:pPr>
      <w:r>
        <w:rPr>
          <w:rFonts w:hint="eastAsia" w:ascii="仿宋_GB2312" w:eastAsia="仿宋_GB2312" w:cs="Times New Roman"/>
          <w:bCs/>
          <w:kern w:val="0"/>
          <w:sz w:val="32"/>
          <w:szCs w:val="32"/>
          <w:lang w:val="zh-CN" w:eastAsia="zh-CN"/>
        </w:rPr>
        <w:t>我单位按照县财政局</w:t>
      </w:r>
      <w:r>
        <w:rPr>
          <w:rFonts w:hint="eastAsia" w:ascii="仿宋_GB2312" w:eastAsia="仿宋_GB2312" w:cs="Times New Roman"/>
          <w:bCs/>
          <w:kern w:val="0"/>
          <w:sz w:val="32"/>
          <w:szCs w:val="32"/>
          <w:lang w:val="en-US" w:eastAsia="zh-CN"/>
        </w:rPr>
        <w:t>2022年</w:t>
      </w:r>
      <w:r>
        <w:rPr>
          <w:rFonts w:hint="eastAsia" w:ascii="仿宋_GB2312" w:eastAsia="仿宋_GB2312" w:cs="Times New Roman"/>
          <w:bCs/>
          <w:kern w:val="0"/>
          <w:sz w:val="32"/>
          <w:szCs w:val="32"/>
          <w:lang w:val="zh-CN" w:eastAsia="zh-CN"/>
        </w:rPr>
        <w:t>部门预算编制通知的要求,在编制过程中,认真核实本单位实际财政供养人数和单位实有编制情况,科学、正确编制人员经费和公用经费,做到细化项目支出、预算范围和科目。</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2、预算执行</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（1）支出控制</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leftChars="0" w:firstLine="640" w:firstLineChars="200"/>
        <w:jc w:val="both"/>
        <w:textAlignment w:val="auto"/>
        <w:rPr>
          <w:rFonts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2022年部门公用经费及非定额公用支出年初预算83.76万元，年末决算172.05万元，偏差值为105.41%。</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（2）动态调整</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我单位开展绩效运行监控后，将绩效监控结果应用到预算调整。</w:t>
      </w:r>
      <w:r>
        <w:rPr>
          <w:rFonts w:ascii="仿宋_GB2312" w:eastAsia="仿宋_GB2312" w:cs="Times New Roman"/>
          <w:bCs/>
          <w:kern w:val="0"/>
          <w:sz w:val="32"/>
          <w:szCs w:val="32"/>
          <w:lang w:val="en-US" w:eastAsia="zh-CN"/>
        </w:rPr>
        <w:t>及时预控、查找资金使用和管理过程中的薄弱环节，提出纠偏措施；加快资金拨付进度，确保后续绩效目标的有效实现提供有力支撑。</w:t>
      </w:r>
      <w:r>
        <w:rPr>
          <w:rFonts w:hint="eastAsia" w:ascii="仿宋_GB2312" w:eastAsia="仿宋_GB2312" w:cs="Times New Roman"/>
          <w:bCs/>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（3）执行进度</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left="0" w:right="0" w:firstLine="640" w:firstLineChars="200"/>
        <w:jc w:val="both"/>
        <w:textAlignment w:val="auto"/>
        <w:rPr>
          <w:rFonts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2022年均达到执行进度。</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3、完成结果</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（1）预算完成</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我单位2022年预算项目12月预算执行进度达到标准。</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（2）违规记录</w:t>
      </w:r>
      <w:r>
        <w:rPr>
          <w:rFonts w:ascii="仿宋_GB2312" w:eastAsia="仿宋_GB2312" w:cs="Times New Roman"/>
          <w:bCs/>
          <w:kern w:val="0"/>
          <w:sz w:val="32"/>
          <w:szCs w:val="32"/>
          <w:lang w:val="en-US" w:eastAsia="zh-CN"/>
        </w:rPr>
        <w:t xml:space="preserve"> </w:t>
      </w:r>
    </w:p>
    <w:p>
      <w:pPr>
        <w:rPr>
          <w:rFonts w:ascii="仿宋_GB2312" w:eastAsia="仿宋_GB2312" w:cs="Times New Roman"/>
          <w:bCs/>
          <w:kern w:val="0"/>
          <w:sz w:val="32"/>
          <w:szCs w:val="32"/>
          <w:lang w:val="en-US" w:eastAsia="zh-CN"/>
        </w:rPr>
      </w:pPr>
      <w:r>
        <w:rPr>
          <w:rFonts w:ascii="仿宋_GB2312" w:eastAsia="仿宋_GB2312" w:cs="Times New Roman"/>
          <w:bCs/>
          <w:kern w:val="0"/>
          <w:sz w:val="32"/>
          <w:szCs w:val="32"/>
          <w:lang w:val="en-US" w:eastAsia="zh-CN"/>
        </w:rPr>
        <w:t>根据审计监督、财政检查结果</w:t>
      </w:r>
      <w:r>
        <w:rPr>
          <w:rFonts w:hint="eastAsia" w:ascii="仿宋_GB2312" w:eastAsia="仿宋_GB2312" w:cs="Times New Roman"/>
          <w:bCs/>
          <w:kern w:val="0"/>
          <w:sz w:val="32"/>
          <w:szCs w:val="32"/>
          <w:lang w:val="en-US" w:eastAsia="zh-CN"/>
        </w:rPr>
        <w:t>，我单位2022</w:t>
      </w:r>
      <w:r>
        <w:rPr>
          <w:rFonts w:ascii="仿宋_GB2312" w:eastAsia="仿宋_GB2312" w:cs="Times New Roman"/>
          <w:bCs/>
          <w:kern w:val="0"/>
          <w:sz w:val="32"/>
          <w:szCs w:val="32"/>
          <w:lang w:val="en-US" w:eastAsia="zh-CN"/>
        </w:rPr>
        <w:t>年度</w:t>
      </w:r>
      <w:r>
        <w:rPr>
          <w:rFonts w:hint="eastAsia" w:ascii="仿宋_GB2312" w:eastAsia="仿宋_GB2312" w:cs="Times New Roman"/>
          <w:bCs/>
          <w:kern w:val="0"/>
          <w:sz w:val="32"/>
          <w:szCs w:val="32"/>
          <w:lang w:val="en-US" w:eastAsia="zh-CN"/>
        </w:rPr>
        <w:t>无</w:t>
      </w:r>
      <w:r>
        <w:rPr>
          <w:rFonts w:ascii="仿宋_GB2312" w:eastAsia="仿宋_GB2312" w:cs="Times New Roman"/>
          <w:bCs/>
          <w:kern w:val="0"/>
          <w:sz w:val="32"/>
          <w:szCs w:val="32"/>
          <w:lang w:val="en-US" w:eastAsia="zh-CN"/>
        </w:rPr>
        <w:t>预算管理方面违纪违规问题</w:t>
      </w:r>
      <w:r>
        <w:rPr>
          <w:rFonts w:hint="eastAsia" w:ascii="仿宋_GB2312" w:eastAsia="仿宋_GB2312" w:cs="Times New Roman"/>
          <w:bCs/>
          <w:kern w:val="0"/>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3" w:firstLineChars="200"/>
        <w:contextualSpacing/>
        <w:jc w:val="both"/>
        <w:textAlignment w:val="auto"/>
        <w:rPr>
          <w:rFonts w:hint="eastAsia" w:ascii="仿宋_GB2312" w:eastAsia="仿宋_GB2312" w:cs="Times New Roman"/>
          <w:b/>
          <w:bCs w:val="0"/>
          <w:kern w:val="0"/>
          <w:sz w:val="32"/>
          <w:szCs w:val="32"/>
          <w:lang w:val="zh-CN" w:eastAsia="zh-CN"/>
        </w:rPr>
      </w:pPr>
      <w:r>
        <w:rPr>
          <w:rFonts w:hint="eastAsia" w:ascii="仿宋_GB2312" w:eastAsia="仿宋_GB2312" w:cs="Times New Roman"/>
          <w:b/>
          <w:bCs w:val="0"/>
          <w:kern w:val="0"/>
          <w:sz w:val="32"/>
          <w:szCs w:val="32"/>
          <w:lang w:val="zh-CN" w:eastAsia="zh-CN"/>
        </w:rPr>
        <w:t>（二）结果应用情况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zh-CN" w:eastAsia="zh-CN"/>
        </w:rPr>
      </w:pPr>
      <w:r>
        <w:rPr>
          <w:rFonts w:hint="eastAsia" w:ascii="仿宋_GB2312" w:eastAsia="仿宋_GB2312" w:cs="Times New Roman"/>
          <w:bCs/>
          <w:kern w:val="0"/>
          <w:sz w:val="32"/>
          <w:szCs w:val="32"/>
          <w:lang w:val="en-US" w:eastAsia="zh-CN"/>
        </w:rPr>
        <w:t>1.</w:t>
      </w:r>
      <w:r>
        <w:rPr>
          <w:rFonts w:hint="eastAsia" w:ascii="仿宋_GB2312" w:eastAsia="仿宋_GB2312" w:cs="Times New Roman"/>
          <w:bCs/>
          <w:kern w:val="0"/>
          <w:sz w:val="32"/>
          <w:szCs w:val="32"/>
          <w:lang w:val="zh-CN" w:eastAsia="zh-CN"/>
        </w:rPr>
        <w:t>信息公开</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我单位按要求将部门整体绩效自评情况和自行组织的评价情况向社会及时公开。</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zh-CN" w:eastAsia="zh-CN"/>
        </w:rPr>
      </w:pPr>
      <w:r>
        <w:rPr>
          <w:rFonts w:hint="eastAsia" w:ascii="仿宋_GB2312" w:eastAsia="仿宋_GB2312" w:cs="Times New Roman"/>
          <w:bCs/>
          <w:kern w:val="0"/>
          <w:sz w:val="32"/>
          <w:szCs w:val="32"/>
          <w:lang w:val="en-US" w:eastAsia="zh-CN"/>
        </w:rPr>
        <w:t>2.</w:t>
      </w:r>
      <w:r>
        <w:rPr>
          <w:rFonts w:hint="eastAsia" w:ascii="仿宋_GB2312" w:eastAsia="仿宋_GB2312" w:cs="Times New Roman"/>
          <w:bCs/>
          <w:kern w:val="0"/>
          <w:sz w:val="32"/>
          <w:szCs w:val="32"/>
          <w:lang w:val="zh-CN" w:eastAsia="zh-CN"/>
        </w:rPr>
        <w:t>整改反馈</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（1）结果整改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我单位按要求及时整改了审计、财政、巡察等部门发现的问题整改情况。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（2）应用反馈</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我单位按要求在规定时间内，及时向财政部门反馈结果应用情况。</w:t>
      </w:r>
    </w:p>
    <w:p>
      <w:pPr>
        <w:pStyle w:val="17"/>
        <w:keepNext w:val="0"/>
        <w:keepLines w:val="0"/>
        <w:pageBreakBefore w:val="0"/>
        <w:widowControl/>
        <w:suppressLineNumbers w:val="0"/>
        <w:kinsoku/>
        <w:wordWrap/>
        <w:overflowPunct/>
        <w:topLinePunct w:val="0"/>
        <w:autoSpaceDE/>
        <w:autoSpaceDN/>
        <w:bidi w:val="0"/>
        <w:spacing w:beforeAutospacing="0" w:afterAutospacing="0" w:line="576" w:lineRule="exact"/>
        <w:ind w:left="0"/>
        <w:jc w:val="both"/>
        <w:textAlignment w:val="auto"/>
      </w:pPr>
      <w:r>
        <w:rPr>
          <w:rFonts w:hint="eastAsia" w:ascii="黑体" w:eastAsia="黑体" w:cs="黑体"/>
          <w:color w:val="000000"/>
          <w:sz w:val="31"/>
          <w:szCs w:val="31"/>
        </w:rPr>
        <w:t>四、评价结论及建议</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3" w:firstLineChars="200"/>
        <w:contextualSpacing/>
        <w:jc w:val="both"/>
        <w:textAlignment w:val="auto"/>
        <w:rPr>
          <w:rFonts w:hint="eastAsia" w:ascii="仿宋_GB2312" w:eastAsia="仿宋_GB2312" w:cs="Times New Roman"/>
          <w:b/>
          <w:bCs w:val="0"/>
          <w:kern w:val="0"/>
          <w:sz w:val="32"/>
          <w:szCs w:val="32"/>
          <w:lang w:val="zh-CN" w:eastAsia="zh-CN"/>
        </w:rPr>
      </w:pPr>
      <w:r>
        <w:rPr>
          <w:rFonts w:hint="eastAsia" w:ascii="仿宋_GB2312" w:eastAsia="仿宋_GB2312" w:cs="Times New Roman"/>
          <w:b/>
          <w:bCs w:val="0"/>
          <w:kern w:val="0"/>
          <w:sz w:val="32"/>
          <w:szCs w:val="32"/>
          <w:lang w:val="zh-CN" w:eastAsia="zh-CN"/>
        </w:rPr>
        <w:t>（一）评价结论。</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zh-CN" w:eastAsia="zh-CN"/>
        </w:rPr>
      </w:pPr>
      <w:r>
        <w:rPr>
          <w:rFonts w:hint="eastAsia" w:ascii="仿宋_GB2312" w:eastAsia="仿宋_GB2312" w:cs="Times New Roman"/>
          <w:bCs/>
          <w:kern w:val="0"/>
          <w:sz w:val="32"/>
          <w:szCs w:val="32"/>
          <w:lang w:val="en-US" w:eastAsia="zh-CN"/>
        </w:rPr>
        <w:t>经过认真对照《2022年县级部门整体支出绩效评价指标体系》，我单位各项指标都较好达到了相关要求，自评分为87分。</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3" w:firstLineChars="200"/>
        <w:contextualSpacing/>
        <w:jc w:val="both"/>
        <w:textAlignment w:val="auto"/>
        <w:rPr>
          <w:rFonts w:hint="eastAsia" w:ascii="仿宋_GB2312" w:eastAsia="仿宋_GB2312" w:cs="Times New Roman"/>
          <w:b/>
          <w:bCs w:val="0"/>
          <w:kern w:val="0"/>
          <w:sz w:val="32"/>
          <w:szCs w:val="32"/>
          <w:lang w:val="en-US" w:eastAsia="zh-CN"/>
        </w:rPr>
      </w:pPr>
      <w:r>
        <w:rPr>
          <w:rFonts w:hint="eastAsia" w:ascii="仿宋_GB2312" w:eastAsia="仿宋_GB2312" w:cs="Times New Roman"/>
          <w:b/>
          <w:bCs w:val="0"/>
          <w:kern w:val="0"/>
          <w:sz w:val="32"/>
          <w:szCs w:val="32"/>
          <w:lang w:val="zh-CN" w:eastAsia="zh-CN"/>
        </w:rPr>
        <w:t>（</w:t>
      </w:r>
      <w:r>
        <w:rPr>
          <w:rFonts w:hint="eastAsia" w:ascii="仿宋_GB2312" w:eastAsia="仿宋_GB2312" w:cs="Times New Roman"/>
          <w:b/>
          <w:bCs w:val="0"/>
          <w:kern w:val="0"/>
          <w:sz w:val="32"/>
          <w:szCs w:val="32"/>
          <w:lang w:val="en-US" w:eastAsia="zh-CN"/>
        </w:rPr>
        <w:t>二</w:t>
      </w:r>
      <w:r>
        <w:rPr>
          <w:rFonts w:hint="eastAsia" w:ascii="仿宋_GB2312" w:eastAsia="仿宋_GB2312" w:cs="Times New Roman"/>
          <w:b/>
          <w:bCs w:val="0"/>
          <w:kern w:val="0"/>
          <w:sz w:val="32"/>
          <w:szCs w:val="32"/>
          <w:lang w:val="zh-CN" w:eastAsia="zh-CN"/>
        </w:rPr>
        <w:t>）存在问题。</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一是在对中长期绩效目标、年度绩效目标和明细绩效目标的把握还不够准确。</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二是单位内控制度不够完善，其有效性有待提高。</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zh-CN" w:eastAsia="zh-CN"/>
        </w:rPr>
      </w:pPr>
      <w:r>
        <w:rPr>
          <w:rFonts w:hint="eastAsia" w:ascii="仿宋_GB2312" w:eastAsia="仿宋_GB2312" w:cs="Times New Roman"/>
          <w:bCs/>
          <w:kern w:val="0"/>
          <w:sz w:val="32"/>
          <w:szCs w:val="32"/>
          <w:lang w:val="zh-CN" w:eastAsia="zh-CN"/>
        </w:rPr>
        <w:t>改进建议。</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一是加强部门预算编制、执行的监督检查。应强化部门预算“硬”约束，建立预算编制、执行“回头看”的监督机制。及时找出编制与执行结果的差距、漏洞，为下一次科学、准确地编制部门预算提供可鉴之处，进而提高预算编制的准确性、完整性。</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二是加强内控防范，根据业务流程找出风险防范点，针对各风险点制定完善单位内部控制制度。</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640" w:firstLineChars="200"/>
        <w:contextualSpacing/>
        <w:jc w:val="both"/>
        <w:textAlignment w:val="auto"/>
        <w:rPr>
          <w:rFonts w:hint="eastAsia" w:ascii="仿宋_GB2312" w:eastAsia="仿宋_GB2312" w:cs="Times New Roman"/>
          <w:bCs/>
          <w:kern w:val="0"/>
          <w:sz w:val="32"/>
          <w:szCs w:val="32"/>
          <w:lang w:val="en-US" w:eastAsia="zh-CN"/>
        </w:rPr>
      </w:pPr>
      <w:r>
        <w:rPr>
          <w:rFonts w:hint="eastAsia" w:ascii="仿宋_GB2312" w:eastAsia="仿宋_GB2312" w:cs="Times New Roman"/>
          <w:bCs/>
          <w:kern w:val="0"/>
          <w:sz w:val="32"/>
          <w:szCs w:val="32"/>
          <w:lang w:val="en-US" w:eastAsia="zh-CN"/>
        </w:rPr>
        <w:t>三是</w:t>
      </w:r>
      <w:r>
        <w:rPr>
          <w:rFonts w:ascii="仿宋_GB2312" w:eastAsia="仿宋_GB2312" w:cs="Times New Roman"/>
          <w:bCs/>
          <w:kern w:val="0"/>
          <w:sz w:val="32"/>
          <w:szCs w:val="32"/>
          <w:lang w:val="en-US" w:eastAsia="zh-CN"/>
        </w:rPr>
        <w:t>加强</w:t>
      </w:r>
      <w:r>
        <w:rPr>
          <w:rFonts w:hint="eastAsia" w:ascii="仿宋_GB2312" w:eastAsia="仿宋_GB2312" w:cs="Times New Roman"/>
          <w:bCs/>
          <w:kern w:val="0"/>
          <w:sz w:val="32"/>
          <w:szCs w:val="32"/>
          <w:lang w:val="en-US" w:eastAsia="zh-CN"/>
        </w:rPr>
        <w:t>财务</w:t>
      </w:r>
      <w:r>
        <w:rPr>
          <w:rFonts w:ascii="仿宋_GB2312" w:eastAsia="仿宋_GB2312" w:cs="Times New Roman"/>
          <w:bCs/>
          <w:kern w:val="0"/>
          <w:sz w:val="32"/>
          <w:szCs w:val="32"/>
          <w:lang w:val="en-US" w:eastAsia="zh-CN"/>
        </w:rPr>
        <w:t>的业务培训</w:t>
      </w:r>
      <w:r>
        <w:rPr>
          <w:rFonts w:hint="eastAsia" w:ascii="仿宋_GB2312" w:eastAsia="仿宋_GB2312" w:cs="Times New Roman"/>
          <w:bCs/>
          <w:kern w:val="0"/>
          <w:sz w:val="32"/>
          <w:szCs w:val="32"/>
          <w:lang w:val="en-US" w:eastAsia="zh-CN"/>
        </w:rPr>
        <w:t>，</w:t>
      </w:r>
      <w:r>
        <w:rPr>
          <w:rFonts w:ascii="仿宋_GB2312" w:eastAsia="仿宋_GB2312" w:cs="Times New Roman"/>
          <w:bCs/>
          <w:kern w:val="0"/>
          <w:sz w:val="32"/>
          <w:szCs w:val="32"/>
          <w:lang w:val="en-US" w:eastAsia="zh-CN"/>
        </w:rPr>
        <w:t>进一步统一认识，充实</w:t>
      </w:r>
      <w:r>
        <w:rPr>
          <w:rFonts w:hint="eastAsia" w:ascii="仿宋_GB2312" w:eastAsia="仿宋_GB2312" w:cs="Times New Roman"/>
          <w:bCs/>
          <w:kern w:val="0"/>
          <w:sz w:val="32"/>
          <w:szCs w:val="32"/>
          <w:lang w:val="en-US" w:eastAsia="zh-CN"/>
        </w:rPr>
        <w:t>财务</w:t>
      </w:r>
      <w:r>
        <w:rPr>
          <w:rFonts w:ascii="仿宋_GB2312" w:eastAsia="仿宋_GB2312" w:cs="Times New Roman"/>
          <w:bCs/>
          <w:kern w:val="0"/>
          <w:sz w:val="32"/>
          <w:szCs w:val="32"/>
          <w:lang w:val="en-US" w:eastAsia="zh-CN"/>
        </w:rPr>
        <w:t>业务知识。</w:t>
      </w:r>
    </w:p>
    <w:p>
      <w:pPr>
        <w:pageBreakBefore w:val="0"/>
        <w:widowControl w:val="0"/>
        <w:kinsoku/>
        <w:wordWrap/>
        <w:overflowPunct/>
        <w:topLinePunct w:val="0"/>
        <w:bidi w:val="0"/>
        <w:spacing w:line="560" w:lineRule="exact"/>
        <w:ind w:left="0" w:firstLine="640" w:firstLineChars="200"/>
        <w:jc w:val="center"/>
        <w:textAlignment w:val="auto"/>
        <w:outlineLvl w:val="9"/>
        <w:rPr>
          <w:rFonts w:ascii="Times New Roman" w:hAnsi="Times New Roman" w:eastAsia="黑体" w:cs="Times New Roman"/>
          <w:color w:val="000000"/>
          <w:sz w:val="32"/>
          <w:szCs w:val="32"/>
        </w:rPr>
      </w:pPr>
    </w:p>
    <w:p>
      <w:pPr>
        <w:pStyle w:val="4"/>
        <w:keepNext/>
        <w:keepLines/>
        <w:pageBreakBefore w:val="0"/>
        <w:widowControl w:val="0"/>
        <w:kinsoku/>
        <w:wordWrap/>
        <w:overflowPunct/>
        <w:topLinePunct w:val="0"/>
        <w:bidi w:val="0"/>
        <w:spacing w:line="560" w:lineRule="exact"/>
        <w:ind w:left="0" w:firstLine="643" w:firstLineChars="200"/>
        <w:jc w:val="center"/>
        <w:textAlignment w:val="auto"/>
        <w:outlineLvl w:val="9"/>
        <w:rPr>
          <w:rFonts w:ascii="Times New Roman" w:hAnsi="Times New Roman" w:cs="Times New Roman"/>
          <w:sz w:val="32"/>
          <w:szCs w:val="32"/>
        </w:rPr>
      </w:pPr>
      <w:bookmarkStart w:id="120" w:name="_Toc27643"/>
      <w:bookmarkStart w:id="121" w:name="_Toc21333"/>
    </w:p>
    <w:p>
      <w:pPr>
        <w:pageBreakBefore w:val="0"/>
        <w:widowControl w:val="0"/>
        <w:kinsoku/>
        <w:wordWrap/>
        <w:overflowPunct/>
        <w:topLinePunct w:val="0"/>
        <w:bidi w:val="0"/>
        <w:spacing w:line="560" w:lineRule="exact"/>
        <w:ind w:left="0" w:firstLine="640" w:firstLineChars="200"/>
        <w:textAlignment w:val="auto"/>
        <w:rPr>
          <w:rFonts w:ascii="Times New Roman" w:hAnsi="Times New Roman" w:cs="Times New Roman"/>
          <w:sz w:val="32"/>
          <w:szCs w:val="32"/>
        </w:rPr>
      </w:pPr>
    </w:p>
    <w:p>
      <w:pPr>
        <w:pageBreakBefore w:val="0"/>
        <w:widowControl w:val="0"/>
        <w:kinsoku/>
        <w:wordWrap/>
        <w:overflowPunct/>
        <w:topLinePunct w:val="0"/>
        <w:bidi w:val="0"/>
        <w:spacing w:line="560" w:lineRule="exact"/>
        <w:ind w:left="0" w:firstLine="640" w:firstLineChars="200"/>
        <w:textAlignment w:val="auto"/>
        <w:rPr>
          <w:rFonts w:ascii="Times New Roman" w:hAnsi="Times New Roman" w:cs="Times New Roman"/>
          <w:sz w:val="32"/>
          <w:szCs w:val="32"/>
        </w:rPr>
      </w:pPr>
    </w:p>
    <w:p>
      <w:pPr>
        <w:pageBreakBefore w:val="0"/>
        <w:widowControl w:val="0"/>
        <w:kinsoku/>
        <w:wordWrap/>
        <w:overflowPunct/>
        <w:topLinePunct w:val="0"/>
        <w:bidi w:val="0"/>
        <w:spacing w:line="560" w:lineRule="exact"/>
        <w:ind w:left="0" w:firstLine="640" w:firstLineChars="200"/>
        <w:textAlignment w:val="auto"/>
        <w:rPr>
          <w:rFonts w:ascii="Times New Roman" w:hAnsi="Times New Roman" w:cs="Times New Roman"/>
          <w:sz w:val="32"/>
          <w:szCs w:val="32"/>
        </w:rPr>
      </w:pPr>
    </w:p>
    <w:p>
      <w:pPr>
        <w:pageBreakBefore w:val="0"/>
        <w:widowControl w:val="0"/>
        <w:kinsoku/>
        <w:wordWrap/>
        <w:overflowPunct/>
        <w:topLinePunct w:val="0"/>
        <w:bidi w:val="0"/>
        <w:spacing w:line="560" w:lineRule="exact"/>
        <w:ind w:left="0" w:firstLine="0" w:firstLineChars="0"/>
        <w:textAlignment w:val="auto"/>
        <w:rPr>
          <w:rFonts w:ascii="Times New Roman" w:hAnsi="Times New Roman" w:cs="Times New Roman"/>
          <w:sz w:val="32"/>
          <w:szCs w:val="32"/>
        </w:rPr>
      </w:pPr>
    </w:p>
    <w:p>
      <w:pPr>
        <w:pStyle w:val="4"/>
        <w:keepNext/>
        <w:keepLines/>
        <w:pageBreakBefore w:val="0"/>
        <w:widowControl w:val="0"/>
        <w:kinsoku/>
        <w:wordWrap/>
        <w:overflowPunct/>
        <w:topLinePunct w:val="0"/>
        <w:bidi w:val="0"/>
        <w:spacing w:line="560" w:lineRule="exact"/>
        <w:ind w:left="0" w:firstLine="0" w:firstLineChars="0"/>
        <w:jc w:val="center"/>
        <w:textAlignment w:val="auto"/>
        <w:rPr>
          <w:rFonts w:ascii="Times New Roman" w:hAnsi="Times New Roman" w:eastAsia="方正小标宋简体" w:cs="Times New Roman"/>
          <w:b w:val="0"/>
          <w:bCs/>
          <w:sz w:val="44"/>
          <w:szCs w:val="44"/>
        </w:rPr>
      </w:pPr>
      <w:bookmarkStart w:id="122" w:name="_Toc14763"/>
      <w:bookmarkStart w:id="123" w:name="_Toc13367"/>
      <w:r>
        <w:rPr>
          <w:rFonts w:ascii="Times New Roman" w:hAnsi="Times New Roman" w:eastAsia="方正小标宋简体" w:cs="Times New Roman"/>
          <w:b w:val="0"/>
          <w:bCs/>
          <w:sz w:val="44"/>
          <w:szCs w:val="44"/>
        </w:rPr>
        <w:t>第五部分</w:t>
      </w:r>
      <w:r>
        <w:rPr>
          <w:rFonts w:hint="eastAsia" w:eastAsia="方正小标宋简体" w:cs="Times New Roman"/>
          <w:b w:val="0"/>
          <w:bCs/>
          <w:sz w:val="44"/>
          <w:szCs w:val="44"/>
          <w:lang w:val="en-US" w:eastAsia="zh-CN"/>
        </w:rPr>
        <w:t xml:space="preserve"> </w:t>
      </w:r>
      <w:r>
        <w:rPr>
          <w:rFonts w:ascii="Times New Roman" w:hAnsi="Times New Roman" w:eastAsia="方正小标宋简体" w:cs="Times New Roman"/>
          <w:b w:val="0"/>
          <w:bCs/>
          <w:sz w:val="44"/>
          <w:szCs w:val="44"/>
        </w:rPr>
        <w:t>附表</w:t>
      </w:r>
      <w:bookmarkEnd w:id="120"/>
      <w:bookmarkEnd w:id="121"/>
      <w:bookmarkEnd w:id="122"/>
      <w:bookmarkEnd w:id="123"/>
    </w:p>
    <w:p>
      <w:pPr>
        <w:pStyle w:val="16"/>
        <w:tabs>
          <w:tab w:val="right" w:leader="dot" w:pos="8296"/>
        </w:tabs>
        <w:ind w:left="0" w:leftChars="0" w:firstLine="0" w:firstLineChars="0"/>
        <w:rPr>
          <w:rFonts w:eastAsia="宋体" w:cs="Arial"/>
          <w:sz w:val="21"/>
          <w:szCs w:val="22"/>
          <w:lang w:bidi="ar-SA"/>
        </w:rPr>
      </w:pPr>
      <w:r>
        <w:rPr>
          <w:rFonts w:hint="eastAsia" w:ascii="仿宋" w:eastAsia="仿宋"/>
          <w:color w:val="000000"/>
        </w:rPr>
        <w:t>一、收</w:t>
      </w:r>
      <w:r>
        <w:rPr>
          <w:rFonts w:hint="eastAsia" w:ascii="仿宋" w:eastAsia="仿宋"/>
        </w:rPr>
        <w:t>入支出决算总表</w:t>
      </w:r>
    </w:p>
    <w:p>
      <w:pPr>
        <w:pStyle w:val="16"/>
        <w:tabs>
          <w:tab w:val="right" w:leader="dot" w:pos="8296"/>
        </w:tabs>
        <w:ind w:left="0" w:leftChars="0" w:firstLine="0" w:firstLineChars="0"/>
        <w:rPr>
          <w:rFonts w:hint="eastAsia" w:ascii="仿宋" w:eastAsia="仿宋"/>
        </w:rPr>
      </w:pPr>
      <w:r>
        <w:rPr>
          <w:rFonts w:hint="eastAsia" w:ascii="仿宋" w:eastAsia="仿宋"/>
          <w:color w:val="000000"/>
        </w:rPr>
        <w:t>二、收</w:t>
      </w:r>
      <w:r>
        <w:rPr>
          <w:rFonts w:hint="eastAsia" w:ascii="仿宋" w:eastAsia="仿宋"/>
        </w:rPr>
        <w:t>入决算表</w:t>
      </w:r>
    </w:p>
    <w:p>
      <w:pPr>
        <w:pStyle w:val="16"/>
        <w:tabs>
          <w:tab w:val="right" w:leader="dot" w:pos="8296"/>
        </w:tabs>
        <w:ind w:left="0" w:leftChars="0" w:firstLine="0" w:firstLineChars="0"/>
        <w:rPr>
          <w:rFonts w:hint="eastAsia" w:ascii="仿宋" w:eastAsia="仿宋"/>
        </w:rPr>
      </w:pPr>
      <w:r>
        <w:rPr>
          <w:rFonts w:hint="eastAsia" w:ascii="仿宋" w:eastAsia="仿宋"/>
        </w:rPr>
        <w:t>三、</w:t>
      </w:r>
      <w:r>
        <w:rPr>
          <w:rFonts w:hint="eastAsia" w:ascii="仿宋" w:eastAsia="仿宋"/>
          <w:color w:val="000000"/>
        </w:rPr>
        <w:t>支</w:t>
      </w:r>
      <w:r>
        <w:rPr>
          <w:rFonts w:hint="eastAsia" w:ascii="仿宋" w:eastAsia="仿宋"/>
        </w:rPr>
        <w:t>出决算表</w:t>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四、</w:t>
      </w:r>
      <w:r>
        <w:rPr>
          <w:rFonts w:hint="eastAsia" w:ascii="仿宋" w:eastAsia="仿宋"/>
          <w:color w:val="000000"/>
        </w:rPr>
        <w:t>财</w:t>
      </w:r>
      <w:r>
        <w:rPr>
          <w:rFonts w:hint="eastAsia" w:ascii="仿宋" w:eastAsia="仿宋"/>
        </w:rPr>
        <w:t>政拨款收入支出决算总表</w:t>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五、</w:t>
      </w:r>
      <w:r>
        <w:rPr>
          <w:rFonts w:hint="eastAsia" w:ascii="仿宋" w:eastAsia="仿宋"/>
          <w:color w:val="000000"/>
        </w:rPr>
        <w:t>财</w:t>
      </w:r>
      <w:r>
        <w:rPr>
          <w:rFonts w:hint="eastAsia" w:ascii="仿宋" w:eastAsia="仿宋"/>
        </w:rPr>
        <w:t>政拨款支出决算明细表</w:t>
      </w:r>
    </w:p>
    <w:p>
      <w:pPr>
        <w:pStyle w:val="16"/>
        <w:tabs>
          <w:tab w:val="right" w:leader="dot" w:pos="8296"/>
        </w:tabs>
        <w:ind w:left="0" w:leftChars="0" w:firstLine="0" w:firstLineChars="0"/>
        <w:rPr>
          <w:rFonts w:hint="eastAsia" w:ascii="仿宋" w:eastAsia="仿宋"/>
        </w:rPr>
      </w:pPr>
      <w:r>
        <w:rPr>
          <w:rFonts w:hint="eastAsia" w:ascii="仿宋" w:eastAsia="仿宋"/>
        </w:rPr>
        <w:t>六、</w:t>
      </w:r>
      <w:r>
        <w:rPr>
          <w:rFonts w:hint="eastAsia" w:ascii="仿宋" w:eastAsia="仿宋"/>
          <w:color w:val="000000"/>
        </w:rPr>
        <w:t>一</w:t>
      </w:r>
      <w:r>
        <w:rPr>
          <w:rFonts w:hint="eastAsia" w:ascii="仿宋" w:eastAsia="仿宋"/>
        </w:rPr>
        <w:t>般公共预算财政拨款支出决算表</w:t>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七、</w:t>
      </w:r>
      <w:r>
        <w:rPr>
          <w:rFonts w:hint="eastAsia" w:ascii="仿宋" w:eastAsia="仿宋"/>
          <w:color w:val="000000"/>
        </w:rPr>
        <w:t>一</w:t>
      </w:r>
      <w:r>
        <w:rPr>
          <w:rFonts w:hint="eastAsia" w:ascii="仿宋" w:eastAsia="仿宋"/>
        </w:rPr>
        <w:t>般公共预算财政拨款支出决算明细表</w:t>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八、</w:t>
      </w:r>
      <w:r>
        <w:rPr>
          <w:rFonts w:hint="eastAsia" w:ascii="仿宋" w:eastAsia="仿宋"/>
          <w:color w:val="000000"/>
        </w:rPr>
        <w:t>一</w:t>
      </w:r>
      <w:r>
        <w:rPr>
          <w:rFonts w:hint="eastAsia" w:ascii="仿宋" w:eastAsia="仿宋"/>
        </w:rPr>
        <w:t>般公共预算财政拨款基本支出决算表</w:t>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九、</w:t>
      </w:r>
      <w:r>
        <w:rPr>
          <w:rFonts w:hint="eastAsia" w:ascii="仿宋" w:eastAsia="仿宋"/>
          <w:color w:val="000000"/>
        </w:rPr>
        <w:t>一</w:t>
      </w:r>
      <w:r>
        <w:rPr>
          <w:rFonts w:hint="eastAsia" w:ascii="仿宋" w:eastAsia="仿宋"/>
        </w:rPr>
        <w:t>般公共预算财政拨款项目支出决算表</w:t>
      </w:r>
    </w:p>
    <w:p>
      <w:pPr>
        <w:pStyle w:val="16"/>
        <w:tabs>
          <w:tab w:val="right" w:leader="dot" w:pos="8296"/>
        </w:tabs>
        <w:ind w:left="0" w:leftChars="0" w:firstLine="0" w:firstLineChars="0"/>
        <w:rPr>
          <w:rFonts w:hint="eastAsia" w:ascii="仿宋" w:eastAsia="仿宋"/>
        </w:rPr>
      </w:pPr>
      <w:r>
        <w:rPr>
          <w:rFonts w:hint="eastAsia" w:ascii="仿宋" w:eastAsia="仿宋"/>
        </w:rPr>
        <w:t>十、政府性基金预算财政拨款收入支出决算表</w:t>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十一、国有资本经营预算财政拨款收入支出决算表</w:t>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十二、国有资本经营预算财政拨款支出决算表</w:t>
      </w:r>
    </w:p>
    <w:p>
      <w:pPr>
        <w:pStyle w:val="16"/>
        <w:tabs>
          <w:tab w:val="right" w:leader="dot" w:pos="8296"/>
        </w:tabs>
        <w:ind w:left="0" w:leftChars="0" w:firstLine="0" w:firstLineChars="0"/>
        <w:rPr>
          <w:rFonts w:eastAsia="宋体" w:cs="Arial"/>
          <w:sz w:val="21"/>
          <w:szCs w:val="22"/>
          <w:lang w:bidi="ar-SA"/>
        </w:rPr>
      </w:pPr>
      <w:r>
        <w:rPr>
          <w:rFonts w:hint="eastAsia" w:ascii="仿宋" w:eastAsia="仿宋"/>
        </w:rPr>
        <w:t>十三、</w:t>
      </w:r>
      <w:r>
        <w:rPr>
          <w:rFonts w:hint="eastAsia" w:ascii="仿宋" w:eastAsia="仿宋"/>
          <w:color w:val="000000"/>
        </w:rPr>
        <w:t>财政拨款“三公”经费支出决算表</w:t>
      </w:r>
    </w:p>
    <w:p/>
    <w:sectPr>
      <w:footerReference r:id="rId4" w:type="default"/>
      <w:pgSz w:w="11906" w:h="16838"/>
      <w:pgMar w:top="1440" w:right="1800" w:bottom="1440" w:left="1800" w:header="851" w:footer="992" w:gutter="0"/>
      <w:pgNumType w:start="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3665" distR="113665" simplePos="0" relativeHeight="1024" behindDoc="0" locked="0" layoutInCell="1" allowOverlap="1">
              <wp:simplePos x="0" y="0"/>
              <wp:positionH relativeFrom="margin">
                <wp:align>center</wp:align>
              </wp:positionH>
              <wp:positionV relativeFrom="paragraph">
                <wp:posOffset>0</wp:posOffset>
              </wp:positionV>
              <wp:extent cx="285750" cy="197485"/>
              <wp:effectExtent l="0" t="0" r="0" b="0"/>
              <wp:wrapNone/>
              <wp:docPr id="1" name="文本框 12"/>
              <wp:cNvGraphicFramePr/>
              <a:graphic xmlns:a="http://schemas.openxmlformats.org/drawingml/2006/main">
                <a:graphicData uri="http://schemas.microsoft.com/office/word/2010/wordprocessingShape">
                  <wps:wsp>
                    <wps:cNvSpPr/>
                    <wps:spPr>
                      <a:xfrm>
                        <a:off x="0" y="0"/>
                        <a:ext cx="285749" cy="197336"/>
                      </a:xfrm>
                      <a:prstGeom prst="rect">
                        <a:avLst/>
                      </a:prstGeom>
                      <a:noFill/>
                      <a:ln w="9525" cap="flat" cmpd="sng">
                        <a:noFill/>
                        <a:prstDash val="solid"/>
                        <a:round/>
                      </a:ln>
                    </wps:spPr>
                    <wps:txbx>
                      <w:txbxContent>
                        <w:p>
                          <w:pPr>
                            <w:pStyle w:val="11"/>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rect id="文本框 12" o:spid="_x0000_s1026" o:spt="1" style="position:absolute;left:0pt;margin-top:0pt;height:15.55pt;width:22.5pt;mso-position-horizontal:center;mso-position-horizontal-relative:margin;mso-wrap-style:none;z-index:1024;mso-width-relative:page;mso-height-relative:page;" filled="f" stroked="f" coordsize="21600,21600" o:gfxdata="UEsDBAoAAAAAAIdO4kAAAAAAAAAAAAAAAAAEAAAAZHJzL1BLAwQUAAAACACHTuJAyk2b9dEAAAAD&#10;AQAADwAAAGRycy9kb3ducmV2LnhtbE2PzWrDMBCE74W+g9hCb43k9IfgWs6hEGhLL3HyAIq1/qHS&#10;ykhKnLx9tr20l4Fhlplvq/XZO3HCmMZAGoqFAoHUBjtSr2G/2zysQKRsyBoXCDVcMMG6vr2pTGnD&#10;TFs8NbkXXEKpNBqGnKdSytQO6E1ahAmJsy5EbzLb2Esbzczl3smlUi/Sm5F4YTATvg3YfjdHr0Hu&#10;ms28alxU4XPZfbmP922HQev7u0K9gsh4zn/H8IPP6FAz0yEcySbhNPAj+Vc5e3pmd9DwWBQg60r+&#10;Z6+vUEsDBBQAAAAIAIdO4kAdkReZ6gEAAKcDAAAOAAAAZHJzL2Uyb0RvYy54bWytU0uOEzEU3CNx&#10;B8t70p0MmZm00hkhokFICEYaOIDjtrst+Sc/J93hAHADVmzYz7lyDp7d+Yxgh9g4Zft1+VW9yvJu&#10;MJrsRADlbE2nk5ISYblrlG1r+uXz/atbSiAy2zDtrKjpXgC9W718sex9JWauc7oRgSCJhar3Ne1i&#10;9FVRAO+EYTBxXli8lC4YFnEb2qIJrEd2o4tZWV4XvQuND44LADxdj5d0lfmlFDx+khJEJLqm2FvM&#10;a8jrJq3FasmqNjDfKX5sg/1DF4Ypi4+eqdYsMrIN6i8qo3hw4GSccGcKJ6XiImtANdPyDzWPHfMi&#10;a0FzwJ9tgv9Hyz/uHgJRDc6OEssMjujw4/vh59Ph1zcynSV/eg8Vlj36h3DcAcIkdpDBpF+UQYbs&#10;6f7sqRgi4Xg4u53fvF5QwvFquri5urpOnMXlYx8gvhPOkARqGnBk2Um2+wBxLD2VpLesu1da4zmr&#10;tCV9TRfz2RzpGYZHahYRGo9ywLaZ5ll9olkz6MiOYRrAadWM8w9ua5vxKW2xuaR41JhQHDYDXia4&#10;cc0e7cK8Y6edC18p6TE7NbUYbkr0e4ujSTE7gXACmxNgluOHNcVGR/g2jnHc+qDaDnnL3Df4N9uI&#10;WrMFl7eP3WEasonH5Ka4Pd/nqsv/a/U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k2b9dEAAAAD&#10;AQAADwAAAAAAAAABACAAAAAiAAAAZHJzL2Rvd25yZXYueG1sUEsBAhQAFAAAAAgAh07iQB2RF5nq&#10;AQAApwMAAA4AAAAAAAAAAQAgAAAAIAEAAGRycy9lMm9Eb2MueG1sUEsFBgAAAAAGAAYAWQEAAHwF&#10;AAAAAA==&#10;">
              <v:fill on="f" focussize="0,0"/>
              <v:stroke on="f"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4</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AE96A6"/>
    <w:multiLevelType w:val="singleLevel"/>
    <w:tmpl w:val="88AE96A6"/>
    <w:lvl w:ilvl="0" w:tentative="0">
      <w:start w:val="3"/>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D1C4811"/>
    <w:multiLevelType w:val="singleLevel"/>
    <w:tmpl w:val="ED1C4811"/>
    <w:lvl w:ilvl="0" w:tentative="0">
      <w:start w:val="1"/>
      <w:numFmt w:val="chineseCounting"/>
      <w:suff w:val="nothing"/>
      <w:lvlText w:val="（%1）"/>
      <w:lvlJc w:val="left"/>
      <w:pPr>
        <w:ind w:left="802" w:firstLine="0"/>
      </w:pPr>
      <w:rPr>
        <w:rFonts w:hint="eastAsia"/>
      </w:rPr>
    </w:lvl>
  </w:abstractNum>
  <w:abstractNum w:abstractNumId="3">
    <w:nsid w:val="5683897A"/>
    <w:multiLevelType w:val="singleLevel"/>
    <w:tmpl w:val="5683897A"/>
    <w:lvl w:ilvl="0" w:tentative="0">
      <w:start w:val="1"/>
      <w:numFmt w:val="chineseCounting"/>
      <w:suff w:val="nothing"/>
      <w:lvlText w:val="%1、"/>
      <w:lvlJc w:val="left"/>
      <w:pPr>
        <w:ind w:left="0" w:firstLine="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6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NWU3YTUzMWNkYWI2MTY2YjNjZWY0MGZkZGJiZjNiOTgifQ=="/>
  </w:docVars>
  <w:rsids>
    <w:rsidRoot w:val="00000000"/>
    <w:rsid w:val="1C6F34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pacing w:line="360" w:lineRule="auto"/>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uiPriority w:val="0"/>
    <w:pPr>
      <w:keepNext/>
      <w:keepLines/>
      <w:widowControl w:val="0"/>
      <w:spacing w:line="576" w:lineRule="exact"/>
      <w:outlineLvl w:val="0"/>
    </w:pPr>
    <w:rPr>
      <w:rFonts w:eastAsia="黑体"/>
      <w:b/>
      <w:kern w:val="44"/>
    </w:rPr>
  </w:style>
  <w:style w:type="paragraph" w:styleId="5">
    <w:name w:val="heading 2"/>
    <w:basedOn w:val="1"/>
    <w:next w:val="1"/>
    <w:link w:val="21"/>
    <w:qFormat/>
    <w:uiPriority w:val="0"/>
    <w:pPr>
      <w:keepNext/>
      <w:keepLines/>
      <w:widowControl w:val="0"/>
      <w:spacing w:line="576" w:lineRule="exact"/>
      <w:outlineLvl w:val="1"/>
    </w:pPr>
    <w:rPr>
      <w:rFonts w:ascii="Arial" w:hAnsi="Arial" w:eastAsia="楷体"/>
      <w:b/>
    </w:rPr>
  </w:style>
  <w:style w:type="paragraph" w:styleId="6">
    <w:name w:val="heading 3"/>
    <w:basedOn w:val="1"/>
    <w:next w:val="1"/>
    <w:uiPriority w:val="0"/>
    <w:pPr>
      <w:keepNext/>
      <w:keepLines/>
      <w:spacing w:before="260" w:after="260" w:line="415" w:lineRule="auto"/>
      <w:outlineLvl w:val="2"/>
    </w:pPr>
    <w:rPr>
      <w:b/>
      <w:sz w:val="32"/>
    </w:rPr>
  </w:style>
  <w:style w:type="character" w:default="1" w:styleId="19">
    <w:name w:val="Default Paragraph Font"/>
    <w:qFormat/>
    <w:uiPriority w:val="0"/>
  </w:style>
  <w:style w:type="table" w:default="1" w:styleId="20">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uiPriority w:val="0"/>
    <w:pPr>
      <w:ind w:firstLine="200" w:firstLineChars="200"/>
    </w:pPr>
  </w:style>
  <w:style w:type="paragraph" w:styleId="3">
    <w:name w:val="Body Text Indent"/>
    <w:basedOn w:val="1"/>
    <w:uiPriority w:val="0"/>
    <w:pPr>
      <w:spacing w:after="120"/>
      <w:ind w:left="200" w:leftChars="200"/>
    </w:pPr>
  </w:style>
  <w:style w:type="paragraph" w:styleId="7">
    <w:name w:val="Body Text First Indent"/>
    <w:basedOn w:val="8"/>
    <w:uiPriority w:val="0"/>
    <w:pPr>
      <w:ind w:firstLine="100" w:firstLineChars="100"/>
    </w:pPr>
    <w:rPr>
      <w:rFonts w:ascii="Calibri" w:hAnsi="Calibri" w:eastAsia="宋体"/>
      <w:sz w:val="21"/>
    </w:rPr>
  </w:style>
  <w:style w:type="paragraph" w:styleId="8">
    <w:name w:val="Body Text"/>
    <w:basedOn w:val="1"/>
    <w:uiPriority w:val="0"/>
    <w:pPr>
      <w:spacing w:after="120"/>
    </w:pPr>
  </w:style>
  <w:style w:type="paragraph" w:styleId="9">
    <w:name w:val="toc 5"/>
    <w:basedOn w:val="1"/>
    <w:next w:val="1"/>
    <w:uiPriority w:val="0"/>
    <w:pPr>
      <w:ind w:left="1680"/>
    </w:pPr>
  </w:style>
  <w:style w:type="paragraph" w:styleId="10">
    <w:name w:val="toc 3"/>
    <w:basedOn w:val="1"/>
    <w:next w:val="1"/>
    <w:uiPriority w:val="0"/>
    <w:pPr>
      <w:ind w:left="400" w:leftChars="400"/>
    </w:pPr>
  </w:style>
  <w:style w:type="paragraph" w:styleId="11">
    <w:name w:val="footer"/>
    <w:basedOn w:val="1"/>
    <w:qFormat/>
    <w:uiPriority w:val="0"/>
    <w:pPr>
      <w:tabs>
        <w:tab w:val="center" w:pos="4153"/>
        <w:tab w:val="right" w:pos="8306"/>
      </w:tabs>
      <w:snapToGrid w:val="0"/>
      <w:jc w:val="left"/>
    </w:pPr>
    <w:rPr>
      <w:rFonts w:eastAsia="宋体"/>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rFonts w:eastAsia="宋体"/>
      <w:sz w:val="18"/>
      <w:szCs w:val="18"/>
    </w:rPr>
  </w:style>
  <w:style w:type="paragraph" w:styleId="13">
    <w:name w:val="toc 1"/>
    <w:basedOn w:val="1"/>
    <w:next w:val="1"/>
    <w:uiPriority w:val="0"/>
  </w:style>
  <w:style w:type="paragraph" w:styleId="14">
    <w:name w:val="toc 4"/>
    <w:basedOn w:val="1"/>
    <w:next w:val="1"/>
    <w:uiPriority w:val="0"/>
    <w:pPr>
      <w:ind w:left="1260"/>
    </w:pPr>
  </w:style>
  <w:style w:type="paragraph" w:styleId="15">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16">
    <w:name w:val="toc 2"/>
    <w:basedOn w:val="1"/>
    <w:next w:val="1"/>
    <w:uiPriority w:val="0"/>
    <w:pPr>
      <w:ind w:left="200" w:leftChars="200"/>
    </w:pPr>
  </w:style>
  <w:style w:type="paragraph" w:styleId="17">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18">
    <w:name w:val="Normal (Web)"/>
    <w:basedOn w:val="1"/>
    <w:uiPriority w:val="0"/>
    <w:pPr>
      <w:widowControl/>
      <w:spacing w:before="100" w:beforeAutospacing="1" w:after="100" w:afterAutospacing="1"/>
      <w:jc w:val="left"/>
    </w:pPr>
    <w:rPr>
      <w:rFonts w:ascii="宋体" w:hAnsi="宋体" w:cs="宋体"/>
      <w:kern w:val="0"/>
      <w:sz w:val="24"/>
    </w:rPr>
  </w:style>
  <w:style w:type="character" w:customStyle="1" w:styleId="21">
    <w:name w:val="heading 2 Char"/>
    <w:basedOn w:val="19"/>
    <w:link w:val="5"/>
    <w:uiPriority w:val="0"/>
    <w:rPr>
      <w:rFonts w:ascii="Arial" w:hAnsi="Arial" w:eastAsia="楷体" w:cs="Times New Roman"/>
      <w:b/>
      <w:kern w:val="2"/>
      <w:sz w:val="32"/>
      <w:szCs w:val="24"/>
      <w:lang w:val="en-US" w:eastAsia="zh-CN" w:bidi="ar-SA"/>
    </w:rPr>
  </w:style>
  <w:style w:type="paragraph" w:customStyle="1" w:styleId="22">
    <w:name w:val="WPSOffice手动目录 1"/>
    <w:uiPriority w:val="0"/>
    <w:rPr>
      <w:rFonts w:ascii="Times New Roman" w:hAnsi="Times New Roman" w:eastAsia="宋体" w:cs="Times New Roman"/>
      <w:sz w:val="20"/>
      <w:szCs w:val="20"/>
      <w:lang w:val="en-US" w:eastAsia="zh-CN" w:bidi="ar-SA"/>
    </w:rPr>
  </w:style>
  <w:style w:type="paragraph" w:customStyle="1" w:styleId="23">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24">
    <w:name w:val="WPSOffice手动目录 3"/>
    <w:qFormat/>
    <w:uiPriority w:val="0"/>
    <w:pPr>
      <w:ind w:left="400" w:leftChars="400"/>
    </w:pPr>
    <w:rPr>
      <w:rFonts w:ascii="Times New Roman" w:hAnsi="Times New Roman" w:eastAsia="宋体" w:cs="Times New Roman"/>
      <w:sz w:val="20"/>
      <w:szCs w:val="20"/>
      <w:lang w:val="en-US" w:eastAsia="zh-CN" w:bidi="ar-SA"/>
    </w:rPr>
  </w:style>
  <w:style w:type="paragraph" w:customStyle="1" w:styleId="25">
    <w:name w:val="列表段落1"/>
    <w:next w:val="14"/>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6">
    <w:name w:val="Default"/>
    <w:next w:val="9"/>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19</Pages>
  <Words>7288</Words>
  <Characters>7813</Characters>
  <Lines>432</Lines>
  <Paragraphs>220</Paragraphs>
  <TotalTime>0</TotalTime>
  <ScaleCrop>false</ScaleCrop>
  <LinksUpToDate>false</LinksUpToDate>
  <CharactersWithSpaces>7943</CharactersWithSpaces>
  <Application>WPS Office_11.1.0.7832_F1E327BC-269C-435d-A152-05C5408002CA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2023-01-11T09:22:00Z</dcterms:created>
  <dc:creator>皮不死克斯</dc:creator>
  <cp:lastModifiedBy>lenovo</cp:lastModifiedBy>
  <dcterms:modified xsi:type="dcterms:W3CDTF">2023-08-30T03:26:57Z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y fmtid="{D5CDD505-2E9C-101B-9397-08002B2CF9AE}" pid="3" name="ICV">
    <vt:lpwstr>E38DC47C8021497DB3C23B7BFFA68799_13</vt:lpwstr>
  </property>
</Properties>
</file>