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仿宋_GB2312" w:hAnsi="仿宋_GB2312" w:eastAsia="仿宋_GB2312" w:cs="仿宋_GB2312"/>
          <w:color w:val="000000"/>
          <w:sz w:val="72"/>
          <w:szCs w:val="72"/>
        </w:rPr>
      </w:pPr>
      <w:bookmarkStart w:id="0" w:name="_Toc15306267"/>
    </w:p>
    <w:p>
      <w:pPr>
        <w:spacing w:line="600" w:lineRule="exact"/>
        <w:jc w:val="center"/>
        <w:outlineLvl w:val="0"/>
        <w:rPr>
          <w:rFonts w:ascii="仿宋_GB2312" w:hAnsi="仿宋_GB2312" w:eastAsia="仿宋_GB2312" w:cs="仿宋_GB2312"/>
          <w:color w:val="000000"/>
          <w:sz w:val="72"/>
          <w:szCs w:val="72"/>
        </w:rPr>
      </w:pPr>
    </w:p>
    <w:p>
      <w:pPr>
        <w:spacing w:line="600" w:lineRule="exact"/>
        <w:jc w:val="center"/>
        <w:outlineLvl w:val="0"/>
        <w:rPr>
          <w:rFonts w:ascii="仿宋_GB2312" w:hAnsi="仿宋_GB2312" w:eastAsia="仿宋_GB2312" w:cs="仿宋_GB2312"/>
          <w:color w:val="000000"/>
          <w:sz w:val="72"/>
          <w:szCs w:val="72"/>
        </w:rPr>
      </w:pPr>
    </w:p>
    <w:p>
      <w:pPr>
        <w:spacing w:line="600" w:lineRule="exact"/>
        <w:jc w:val="center"/>
        <w:outlineLvl w:val="0"/>
        <w:rPr>
          <w:rFonts w:ascii="仿宋_GB2312" w:hAnsi="仿宋_GB2312" w:eastAsia="仿宋_GB2312" w:cs="仿宋_GB2312"/>
          <w:color w:val="000000"/>
          <w:sz w:val="72"/>
          <w:szCs w:val="72"/>
        </w:rPr>
      </w:pPr>
    </w:p>
    <w:p>
      <w:pPr>
        <w:adjustRightInd w:val="0"/>
        <w:snapToGrid w:val="0"/>
        <w:spacing w:line="360" w:lineRule="auto"/>
        <w:jc w:val="center"/>
        <w:outlineLvl w:val="0"/>
        <w:rPr>
          <w:rFonts w:ascii="仿宋_GB2312" w:hAnsi="仿宋_GB2312" w:eastAsia="仿宋_GB2312" w:cs="仿宋_GB2312"/>
          <w:color w:val="000000"/>
          <w:sz w:val="72"/>
          <w:szCs w:val="72"/>
        </w:rPr>
      </w:pPr>
      <w:bookmarkStart w:id="1" w:name="_Toc15377425"/>
      <w:bookmarkStart w:id="2" w:name="_Toc15378441"/>
      <w:bookmarkStart w:id="3" w:name="_Toc21439"/>
      <w:bookmarkStart w:id="4" w:name="_Toc15396597"/>
      <w:bookmarkStart w:id="5" w:name="_Toc15396475"/>
      <w:bookmarkStart w:id="6" w:name="_Toc15377193"/>
      <w:r>
        <w:rPr>
          <w:rFonts w:hint="eastAsia" w:ascii="仿宋_GB2312" w:hAnsi="仿宋_GB2312" w:eastAsia="仿宋_GB2312" w:cs="仿宋_GB2312"/>
          <w:color w:val="000000"/>
          <w:sz w:val="72"/>
          <w:szCs w:val="72"/>
        </w:rPr>
        <w:t>2020年度</w:t>
      </w:r>
      <w:bookmarkEnd w:id="1"/>
      <w:bookmarkEnd w:id="2"/>
      <w:bookmarkEnd w:id="3"/>
      <w:bookmarkEnd w:id="4"/>
      <w:bookmarkEnd w:id="5"/>
      <w:bookmarkEnd w:id="6"/>
    </w:p>
    <w:bookmarkEnd w:id="0"/>
    <w:p>
      <w:pPr>
        <w:adjustRightInd w:val="0"/>
        <w:snapToGrid w:val="0"/>
        <w:spacing w:line="360" w:lineRule="auto"/>
        <w:jc w:val="center"/>
        <w:outlineLvl w:val="0"/>
        <w:rPr>
          <w:rFonts w:ascii="仿宋_GB2312" w:hAnsi="仿宋_GB2312" w:eastAsia="仿宋_GB2312" w:cs="仿宋_GB2312"/>
          <w:color w:val="000000"/>
          <w:sz w:val="72"/>
          <w:szCs w:val="72"/>
        </w:rPr>
      </w:pPr>
      <w:bookmarkStart w:id="7" w:name="_Toc20339"/>
      <w:bookmarkStart w:id="8" w:name="_Toc16040"/>
      <w:bookmarkStart w:id="9" w:name="_Toc32513"/>
      <w:bookmarkStart w:id="10" w:name="_Toc15964"/>
      <w:r>
        <w:rPr>
          <w:rFonts w:hint="eastAsia" w:ascii="仿宋_GB2312" w:hAnsi="仿宋_GB2312" w:eastAsia="仿宋_GB2312" w:cs="仿宋_GB2312"/>
          <w:color w:val="000000"/>
          <w:sz w:val="72"/>
          <w:szCs w:val="72"/>
        </w:rPr>
        <w:t>中国共产主义青年团</w:t>
      </w:r>
    </w:p>
    <w:p>
      <w:pPr>
        <w:adjustRightInd w:val="0"/>
        <w:snapToGrid w:val="0"/>
        <w:spacing w:line="360" w:lineRule="auto"/>
        <w:jc w:val="center"/>
        <w:outlineLvl w:val="0"/>
        <w:rPr>
          <w:rFonts w:ascii="仿宋_GB2312" w:hAnsi="仿宋_GB2312" w:eastAsia="仿宋_GB2312" w:cs="仿宋_GB2312"/>
          <w:color w:val="000000"/>
          <w:sz w:val="72"/>
          <w:szCs w:val="72"/>
        </w:rPr>
      </w:pPr>
      <w:r>
        <w:rPr>
          <w:rFonts w:hint="eastAsia" w:ascii="仿宋_GB2312" w:hAnsi="仿宋_GB2312" w:eastAsia="仿宋_GB2312" w:cs="仿宋_GB2312"/>
          <w:color w:val="000000"/>
          <w:sz w:val="72"/>
          <w:szCs w:val="72"/>
        </w:rPr>
        <w:t>金川县委员会部门决算</w:t>
      </w:r>
      <w:bookmarkEnd w:id="7"/>
      <w:bookmarkEnd w:id="8"/>
      <w:bookmarkEnd w:id="9"/>
      <w:bookmarkEnd w:id="10"/>
    </w:p>
    <w:p>
      <w:pPr>
        <w:widowControl/>
        <w:jc w:val="center"/>
        <w:rPr>
          <w:rFonts w:ascii="仿宋_GB2312" w:hAnsi="仿宋_GB2312" w:eastAsia="仿宋_GB2312" w:cs="仿宋_GB2312"/>
          <w:color w:val="000000"/>
          <w:sz w:val="36"/>
          <w:szCs w:val="36"/>
        </w:rPr>
      </w:pPr>
    </w:p>
    <w:p>
      <w:pPr>
        <w:widowControl/>
        <w:jc w:val="center"/>
        <w:rPr>
          <w:rFonts w:ascii="仿宋_GB2312" w:hAnsi="仿宋_GB2312" w:eastAsia="仿宋_GB2312" w:cs="仿宋_GB2312"/>
          <w:color w:val="000000"/>
          <w:sz w:val="36"/>
          <w:szCs w:val="36"/>
        </w:rPr>
      </w:pPr>
    </w:p>
    <w:p>
      <w:pPr>
        <w:widowControl/>
        <w:jc w:val="center"/>
        <w:rPr>
          <w:rFonts w:ascii="仿宋_GB2312" w:hAnsi="仿宋_GB2312" w:eastAsia="仿宋_GB2312" w:cs="仿宋_GB2312"/>
          <w:color w:val="000000"/>
          <w:sz w:val="36"/>
          <w:szCs w:val="36"/>
        </w:rPr>
      </w:pPr>
    </w:p>
    <w:p>
      <w:pPr>
        <w:widowControl/>
        <w:jc w:val="center"/>
        <w:rPr>
          <w:rFonts w:ascii="仿宋_GB2312" w:hAnsi="仿宋_GB2312" w:eastAsia="仿宋_GB2312" w:cs="仿宋_GB2312"/>
          <w:color w:val="000000"/>
          <w:sz w:val="48"/>
          <w:szCs w:val="48"/>
        </w:rPr>
      </w:pPr>
      <w:r>
        <w:rPr>
          <w:rFonts w:hint="eastAsia" w:ascii="仿宋_GB2312" w:hAnsi="仿宋_GB2312" w:eastAsia="仿宋_GB2312" w:cs="仿宋_GB2312"/>
          <w:color w:val="000000"/>
          <w:sz w:val="36"/>
          <w:szCs w:val="36"/>
        </w:rPr>
        <w:br w:type="page"/>
      </w:r>
      <w:r>
        <w:rPr>
          <w:rFonts w:hint="eastAsia" w:ascii="仿宋_GB2312" w:hAnsi="仿宋_GB2312" w:eastAsia="仿宋_GB2312" w:cs="仿宋_GB2312"/>
          <w:color w:val="000000"/>
          <w:sz w:val="48"/>
          <w:szCs w:val="48"/>
        </w:rPr>
        <w:t>目录</w:t>
      </w:r>
    </w:p>
    <w:p>
      <w:pPr>
        <w:pStyle w:val="10"/>
        <w:tabs>
          <w:tab w:val="right" w:leader="dot" w:pos="8306"/>
          <w:tab w:val="clear" w:pos="8296"/>
        </w:tabs>
        <w:rPr>
          <w:rFonts w:eastAsia="仿宋_GB2312"/>
          <w:sz w:val="20"/>
          <w:szCs w:val="20"/>
        </w:rPr>
      </w:pPr>
      <w:r>
        <w:rPr>
          <w:rFonts w:hint="eastAsia" w:ascii="仿宋_GB2312" w:hAnsi="仿宋_GB2312" w:eastAsia="仿宋_GB2312" w:cs="仿宋_GB2312"/>
          <w:color w:val="000000"/>
          <w:sz w:val="32"/>
          <w:szCs w:val="32"/>
        </w:rPr>
        <w:t>公开时间：2021年8月3日</w:t>
      </w:r>
    </w:p>
    <w:p>
      <w:r>
        <w:rPr>
          <w:rFonts w:hint="eastAsia" w:ascii="仿宋_GB2312" w:hAnsi="仿宋_GB2312" w:eastAsia="仿宋_GB2312" w:cs="仿宋_GB2312"/>
          <w:color w:val="000000"/>
          <w:sz w:val="48"/>
          <w:szCs w:val="48"/>
        </w:rPr>
        <w:fldChar w:fldCharType="begin"/>
      </w:r>
      <w:r>
        <w:rPr>
          <w:rFonts w:hint="eastAsia" w:ascii="仿宋_GB2312" w:hAnsi="仿宋_GB2312" w:eastAsia="仿宋_GB2312" w:cs="仿宋_GB2312"/>
          <w:color w:val="000000"/>
          <w:sz w:val="48"/>
          <w:szCs w:val="48"/>
        </w:rPr>
        <w:instrText xml:space="preserve"> TOC \o "1-2" \h \z \u </w:instrText>
      </w:r>
      <w:r>
        <w:rPr>
          <w:rFonts w:hint="eastAsia" w:ascii="仿宋_GB2312" w:hAnsi="仿宋_GB2312" w:eastAsia="仿宋_GB2312" w:cs="仿宋_GB2312"/>
          <w:color w:val="000000"/>
          <w:sz w:val="48"/>
          <w:szCs w:val="48"/>
        </w:rPr>
        <w:fldChar w:fldCharType="separate"/>
      </w:r>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1"/>
        <w:ind w:left="420"/>
      </w:pPr>
      <w:r>
        <w:rPr>
          <w:rStyle w:val="16"/>
          <w:rFonts w:hint="eastAsia" w:ascii="仿宋" w:eastAsia="仿宋"/>
          <w:bCs/>
          <w:sz w:val="28"/>
          <w:szCs w:val="28"/>
        </w:rPr>
        <w:t xml:space="preserve"> 十、预算绩效情况说明...................................................................10</w:t>
      </w:r>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rPr>
          <w:rFonts w:hint="eastAsia"/>
        </w:rPr>
        <w:fldChar w:fldCharType="end"/>
      </w:r>
      <w:r>
        <w:rPr>
          <w:rFonts w:hint="eastAsia"/>
        </w:rPr>
        <w:t>4</w:t>
      </w:r>
    </w:p>
    <w:p>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1</w:t>
      </w:r>
      <w:r>
        <w:rPr>
          <w:rFonts w:hint="eastAsia"/>
        </w:rPr>
        <w:fldChar w:fldCharType="end"/>
      </w:r>
      <w:r>
        <w:rPr>
          <w:rFonts w:hint="eastAsia"/>
        </w:rPr>
        <w:t>7</w:t>
      </w:r>
    </w:p>
    <w:p>
      <w:pPr>
        <w:pStyle w:val="11"/>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7</w:t>
      </w:r>
    </w:p>
    <w:p>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2</w:t>
      </w:r>
    </w:p>
    <w:p>
      <w:pPr>
        <w:pStyle w:val="11"/>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22</w:t>
      </w:r>
    </w:p>
    <w:p>
      <w:pPr>
        <w:pStyle w:val="11"/>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p>
    <w:p>
      <w:pPr>
        <w:pStyle w:val="11"/>
        <w:tabs>
          <w:tab w:val="right" w:leader="dot" w:pos="8306"/>
          <w:tab w:val="clear" w:pos="8296"/>
        </w:tabs>
        <w:ind w:left="420"/>
      </w:pPr>
    </w:p>
    <w:p>
      <w:pPr>
        <w:widowControl/>
        <w:jc w:val="center"/>
        <w:rPr>
          <w:rFonts w:ascii="仿宋_GB2312" w:hAnsi="仿宋_GB2312" w:eastAsia="仿宋_GB2312" w:cs="仿宋_GB2312"/>
          <w:color w:val="000000"/>
          <w:sz w:val="24"/>
        </w:rPr>
      </w:pPr>
      <w:r>
        <w:rPr>
          <w:rFonts w:hint="eastAsia" w:ascii="仿宋_GB2312" w:hAnsi="仿宋_GB2312" w:eastAsia="仿宋_GB2312" w:cs="仿宋_GB2312"/>
          <w:color w:val="000000"/>
        </w:rPr>
        <w:fldChar w:fldCharType="end"/>
      </w:r>
      <w:bookmarkStart w:id="11" w:name="_Toc15377196"/>
    </w:p>
    <w:p>
      <w:pPr>
        <w:widowControl/>
        <w:jc w:val="center"/>
        <w:rPr>
          <w:rFonts w:ascii="仿宋_GB2312" w:hAnsi="仿宋_GB2312" w:eastAsia="仿宋_GB2312" w:cs="仿宋_GB2312"/>
          <w:color w:val="000000"/>
          <w:sz w:val="24"/>
        </w:rPr>
      </w:pPr>
    </w:p>
    <w:p>
      <w:pPr>
        <w:widowControl/>
        <w:jc w:val="center"/>
        <w:rPr>
          <w:rStyle w:val="17"/>
          <w:rFonts w:ascii="黑体" w:hAnsi="黑体" w:eastAsia="黑体" w:cs="黑体"/>
        </w:rPr>
      </w:pPr>
      <w:bookmarkStart w:id="12" w:name="_Toc24248"/>
    </w:p>
    <w:p>
      <w:pPr>
        <w:widowControl/>
        <w:jc w:val="center"/>
        <w:rPr>
          <w:rStyle w:val="17"/>
          <w:rFonts w:ascii="黑体" w:hAnsi="黑体" w:eastAsia="黑体" w:cs="黑体"/>
        </w:rPr>
      </w:pPr>
    </w:p>
    <w:p>
      <w:pPr>
        <w:widowControl/>
        <w:jc w:val="center"/>
        <w:rPr>
          <w:rStyle w:val="17"/>
          <w:rFonts w:ascii="黑体" w:hAnsi="黑体" w:eastAsia="黑体" w:cs="黑体"/>
        </w:rPr>
      </w:pPr>
    </w:p>
    <w:p>
      <w:pPr>
        <w:widowControl/>
        <w:jc w:val="center"/>
        <w:rPr>
          <w:rStyle w:val="17"/>
          <w:rFonts w:ascii="黑体" w:hAnsi="黑体" w:eastAsia="黑体" w:cs="黑体"/>
        </w:rPr>
      </w:pPr>
    </w:p>
    <w:p>
      <w:pPr>
        <w:widowControl/>
        <w:jc w:val="center"/>
        <w:rPr>
          <w:rStyle w:val="17"/>
          <w:rFonts w:ascii="黑体" w:hAnsi="黑体" w:eastAsia="黑体" w:cs="黑体"/>
        </w:rPr>
      </w:pPr>
    </w:p>
    <w:p>
      <w:pPr>
        <w:widowControl/>
        <w:jc w:val="center"/>
        <w:rPr>
          <w:rStyle w:val="17"/>
          <w:rFonts w:ascii="黑体" w:hAnsi="黑体" w:eastAsia="黑体" w:cs="黑体"/>
        </w:rPr>
      </w:pPr>
    </w:p>
    <w:p>
      <w:pPr>
        <w:widowControl/>
        <w:jc w:val="center"/>
        <w:rPr>
          <w:rStyle w:val="17"/>
          <w:rFonts w:ascii="黑体" w:hAnsi="黑体" w:eastAsia="黑体" w:cs="黑体"/>
        </w:rPr>
      </w:pPr>
    </w:p>
    <w:p>
      <w:pPr>
        <w:widowControl/>
        <w:jc w:val="center"/>
        <w:rPr>
          <w:rStyle w:val="17"/>
          <w:rFonts w:ascii="黑体" w:hAnsi="黑体" w:eastAsia="黑体" w:cs="黑体"/>
        </w:rPr>
      </w:pPr>
    </w:p>
    <w:p>
      <w:pPr>
        <w:widowControl/>
        <w:ind w:firstLine="2209" w:firstLineChars="500"/>
        <w:rPr>
          <w:rStyle w:val="17"/>
          <w:rFonts w:ascii="黑体" w:hAnsi="黑体" w:eastAsia="黑体" w:cs="黑体"/>
        </w:rPr>
      </w:pPr>
    </w:p>
    <w:p>
      <w:pPr>
        <w:widowControl/>
        <w:ind w:firstLine="2209" w:firstLineChars="500"/>
        <w:rPr>
          <w:rFonts w:ascii="黑体" w:hAnsi="黑体" w:eastAsia="黑体" w:cs="黑体"/>
          <w:b/>
          <w:bCs/>
          <w:color w:val="000000"/>
          <w:sz w:val="32"/>
          <w:szCs w:val="32"/>
        </w:rPr>
      </w:pPr>
      <w:r>
        <w:rPr>
          <w:rStyle w:val="17"/>
          <w:rFonts w:hint="eastAsia" w:ascii="黑体" w:hAnsi="黑体" w:eastAsia="黑体" w:cs="黑体"/>
        </w:rPr>
        <w:t>第一部分 部门概况</w:t>
      </w:r>
      <w:bookmarkEnd w:id="11"/>
      <w:bookmarkEnd w:id="12"/>
    </w:p>
    <w:p>
      <w:pPr>
        <w:pStyle w:val="3"/>
        <w:spacing w:before="0" w:after="0" w:line="240" w:lineRule="auto"/>
        <w:ind w:left="643" w:hanging="643" w:hangingChars="200"/>
        <w:rPr>
          <w:rStyle w:val="18"/>
          <w:rFonts w:ascii="黑体" w:hAnsi="黑体" w:eastAsia="黑体" w:cs="黑体"/>
          <w:b/>
          <w:bCs/>
        </w:rPr>
      </w:pPr>
      <w:bookmarkStart w:id="13" w:name="_Toc15377197"/>
      <w:bookmarkStart w:id="14" w:name="_Toc23415"/>
      <w:r>
        <w:rPr>
          <w:rFonts w:hint="eastAsia" w:ascii="黑体" w:hAnsi="黑体" w:eastAsia="黑体" w:cs="黑体"/>
          <w:color w:val="000000"/>
        </w:rPr>
        <w:t>一、基</w:t>
      </w:r>
      <w:r>
        <w:rPr>
          <w:rStyle w:val="18"/>
          <w:rFonts w:hint="eastAsia" w:ascii="黑体" w:hAnsi="黑体" w:eastAsia="黑体" w:cs="黑体"/>
          <w:b/>
          <w:bCs/>
        </w:rPr>
        <w:t>本职能及主要工作</w:t>
      </w:r>
      <w:bookmarkEnd w:id="13"/>
      <w:bookmarkEnd w:id="14"/>
      <w:bookmarkStart w:id="15" w:name="_Toc15378445"/>
      <w:bookmarkStart w:id="16" w:name="_Toc15377198"/>
    </w:p>
    <w:p>
      <w:pPr>
        <w:pStyle w:val="3"/>
        <w:spacing w:before="0" w:after="0" w:line="240" w:lineRule="auto"/>
        <w:ind w:firstLine="643" w:firstLineChars="200"/>
        <w:rPr>
          <w:rFonts w:ascii="仿宋_GB2312" w:hAnsi="仿宋_GB2312" w:eastAsia="仿宋_GB2312" w:cs="仿宋_GB2312"/>
          <w:color w:val="000000"/>
        </w:rPr>
      </w:pPr>
      <w:bookmarkStart w:id="17" w:name="_Toc4224"/>
      <w:r>
        <w:rPr>
          <w:rFonts w:hint="eastAsia" w:ascii="仿宋_GB2312" w:hAnsi="仿宋_GB2312" w:eastAsia="仿宋_GB2312" w:cs="仿宋_GB2312"/>
          <w:color w:val="000000"/>
        </w:rPr>
        <w:t>（一）主要职能</w:t>
      </w:r>
      <w:bookmarkEnd w:id="15"/>
      <w:bookmarkEnd w:id="16"/>
      <w:bookmarkEnd w:id="17"/>
      <w:bookmarkStart w:id="18" w:name="_Toc15378446"/>
      <w:bookmarkStart w:id="19" w:name="_Toc15377199"/>
    </w:p>
    <w:p>
      <w:pPr>
        <w:snapToGrid w:val="0"/>
        <w:spacing w:line="52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组织开展青年思想政治工作，坚持对青年的引导和教育，树立正确的理想、信念和价值观；努力帮助青年学习现代科学文化知识和法律知识，抵御各种腐朽思想和不良风气的侵蚀，不断提高青年的思想道德素质、科学文化素质和法律意识</w:t>
      </w:r>
      <w:r>
        <w:rPr>
          <w:rFonts w:hint="eastAsia" w:ascii="仿宋_GB2312" w:hAnsi="仿宋_GB2312" w:eastAsia="仿宋_GB2312" w:cs="仿宋_GB2312"/>
          <w:sz w:val="32"/>
          <w:szCs w:val="32"/>
        </w:rPr>
        <w:t>。</w:t>
      </w:r>
    </w:p>
    <w:p>
      <w:pPr>
        <w:pStyle w:val="3"/>
        <w:spacing w:before="0" w:after="0" w:line="240" w:lineRule="auto"/>
        <w:ind w:firstLine="643" w:firstLineChars="200"/>
        <w:rPr>
          <w:rFonts w:ascii="仿宋_GB2312" w:hAnsi="仿宋_GB2312" w:eastAsia="仿宋_GB2312" w:cs="仿宋_GB2312"/>
          <w:color w:val="000000"/>
        </w:rPr>
      </w:pPr>
      <w:bookmarkStart w:id="20" w:name="_Toc11972"/>
      <w:r>
        <w:rPr>
          <w:rFonts w:hint="eastAsia" w:ascii="仿宋_GB2312" w:hAnsi="仿宋_GB2312" w:eastAsia="仿宋_GB2312" w:cs="仿宋_GB2312"/>
          <w:color w:val="000000"/>
        </w:rPr>
        <w:t>（二）2020年重点工作完成情况</w:t>
      </w:r>
      <w:bookmarkEnd w:id="18"/>
      <w:bookmarkEnd w:id="19"/>
      <w:bookmarkEnd w:id="20"/>
    </w:p>
    <w:p>
      <w:pPr>
        <w:snapToGrid w:val="0"/>
        <w:spacing w:line="520" w:lineRule="exact"/>
        <w:ind w:firstLine="640" w:firstLineChars="200"/>
        <w:rPr>
          <w:rFonts w:ascii="仿宋_GB2312" w:hAnsi="仿宋_GB2312" w:eastAsia="仿宋_GB2312" w:cs="仿宋_GB2312"/>
          <w:bCs/>
          <w:color w:val="000000"/>
          <w:sz w:val="32"/>
          <w:szCs w:val="32"/>
        </w:rPr>
      </w:pPr>
      <w:bookmarkStart w:id="21" w:name="_Toc15377200"/>
      <w:r>
        <w:rPr>
          <w:rFonts w:hint="eastAsia" w:ascii="仿宋_GB2312" w:hAnsi="仿宋_GB2312" w:eastAsia="仿宋_GB2312" w:cs="仿宋_GB2312"/>
          <w:bCs/>
          <w:sz w:val="32"/>
          <w:szCs w:val="32"/>
        </w:rPr>
        <w:t>团结带领青年在经济建设中发挥生力军和突击队作用，组织青年参加我县两个文明建设；关心青年的工作、学习和生活，切实为青年服务，向党和政府反映青年的意见和要求，开展社会监督，同各种危害青少年成长的现象作斗争，保护和促进青少年的健康成长。</w:t>
      </w:r>
    </w:p>
    <w:p>
      <w:pPr>
        <w:numPr>
          <w:ilvl w:val="0"/>
          <w:numId w:val="1"/>
        </w:numPr>
        <w:spacing w:line="578" w:lineRule="exact"/>
        <w:rPr>
          <w:rFonts w:ascii="黑体" w:hAnsi="黑体" w:eastAsia="黑体" w:cs="黑体"/>
          <w:b/>
          <w:bCs/>
          <w:color w:val="000000"/>
          <w:sz w:val="32"/>
          <w:szCs w:val="32"/>
        </w:rPr>
      </w:pPr>
      <w:bookmarkStart w:id="22" w:name="_Toc7759"/>
      <w:r>
        <w:rPr>
          <w:rFonts w:hint="eastAsia" w:ascii="黑体" w:hAnsi="黑体" w:eastAsia="黑体" w:cs="黑体"/>
          <w:b/>
          <w:bCs/>
          <w:color w:val="000000"/>
          <w:sz w:val="32"/>
          <w:szCs w:val="32"/>
        </w:rPr>
        <w:t>机构设置</w:t>
      </w:r>
      <w:bookmarkEnd w:id="21"/>
    </w:p>
    <w:bookmarkEnd w:id="22"/>
    <w:p>
      <w:pPr>
        <w:snapToGrid w:val="0"/>
        <w:spacing w:line="520" w:lineRule="exact"/>
        <w:ind w:firstLine="640" w:firstLineChars="200"/>
        <w:rPr>
          <w:rStyle w:val="18"/>
          <w:rFonts w:ascii="仿宋_GB2312" w:hAnsi="仿宋_GB2312" w:eastAsia="仿宋_GB2312" w:cs="仿宋_GB2312"/>
          <w:b w:val="0"/>
          <w:bCs w:val="0"/>
        </w:rPr>
      </w:pPr>
      <w:r>
        <w:rPr>
          <w:rFonts w:hint="eastAsia" w:ascii="仿宋_GB2312" w:hAnsi="仿宋_GB2312" w:eastAsia="仿宋_GB2312" w:cs="仿宋_GB2312"/>
          <w:bCs/>
          <w:sz w:val="32"/>
          <w:szCs w:val="32"/>
        </w:rPr>
        <w:t>我委属独立编制机构和独立核算的行政单位。人员编制数5人，行政编制4人，机关工勤编制1人。2020年财政供养人员为4人。</w:t>
      </w:r>
    </w:p>
    <w:p>
      <w:pPr>
        <w:pStyle w:val="2"/>
        <w:ind w:right="440"/>
        <w:jc w:val="center"/>
        <w:rPr>
          <w:rFonts w:ascii="仿宋_GB2312" w:hAnsi="仿宋_GB2312" w:eastAsia="仿宋_GB2312" w:cs="仿宋_GB2312"/>
        </w:rPr>
      </w:pPr>
      <w:bookmarkStart w:id="23" w:name="_Toc15377204"/>
      <w:r>
        <w:rPr>
          <w:rFonts w:hint="eastAsia" w:ascii="仿宋_GB2312" w:hAnsi="仿宋_GB2312" w:eastAsia="仿宋_GB2312" w:cs="仿宋_GB2312"/>
          <w:b w:val="0"/>
          <w:color w:val="000000"/>
        </w:rPr>
        <w:t xml:space="preserve">  </w:t>
      </w:r>
      <w:bookmarkStart w:id="24" w:name="_Toc10587"/>
      <w:r>
        <w:rPr>
          <w:rFonts w:hint="eastAsia" w:ascii="黑体" w:hAnsi="黑体" w:eastAsia="黑体" w:cs="黑体"/>
          <w:b w:val="0"/>
          <w:color w:val="000000"/>
        </w:rPr>
        <w:t>第二部分</w:t>
      </w:r>
      <w:r>
        <w:rPr>
          <w:rFonts w:hint="eastAsia" w:ascii="黑体" w:hAnsi="黑体" w:eastAsia="黑体" w:cs="黑体"/>
          <w:color w:val="000000"/>
        </w:rPr>
        <w:t xml:space="preserve"> </w:t>
      </w:r>
      <w:r>
        <w:rPr>
          <w:rStyle w:val="17"/>
          <w:rFonts w:hint="eastAsia" w:ascii="黑体" w:hAnsi="黑体" w:eastAsia="黑体" w:cs="黑体"/>
          <w:b w:val="0"/>
          <w:bCs w:val="0"/>
        </w:rPr>
        <w:t>2020年度部门决算情况说明</w:t>
      </w:r>
      <w:bookmarkEnd w:id="23"/>
      <w:bookmarkEnd w:id="24"/>
    </w:p>
    <w:p>
      <w:pPr>
        <w:pStyle w:val="23"/>
        <w:ind w:firstLine="0" w:firstLineChars="0"/>
        <w:outlineLvl w:val="1"/>
        <w:rPr>
          <w:rStyle w:val="18"/>
          <w:rFonts w:ascii="黑体" w:hAnsi="黑体" w:eastAsia="黑体" w:cs="黑体"/>
        </w:rPr>
      </w:pPr>
      <w:bookmarkStart w:id="25" w:name="_Toc15377205"/>
      <w:bookmarkStart w:id="26" w:name="_Toc4383"/>
      <w:r>
        <w:rPr>
          <w:rFonts w:hint="eastAsia" w:ascii="黑体" w:hAnsi="黑体" w:eastAsia="黑体" w:cs="黑体"/>
          <w:b/>
          <w:bCs/>
          <w:color w:val="000000"/>
          <w:sz w:val="32"/>
          <w:szCs w:val="32"/>
        </w:rPr>
        <w:t>一、收</w:t>
      </w:r>
      <w:r>
        <w:rPr>
          <w:rStyle w:val="18"/>
          <w:rFonts w:hint="eastAsia" w:ascii="黑体" w:hAnsi="黑体" w:eastAsia="黑体" w:cs="黑体"/>
        </w:rPr>
        <w:t>入支出决算总体情况说明</w:t>
      </w:r>
      <w:bookmarkEnd w:id="25"/>
      <w:bookmarkEnd w:id="26"/>
    </w:p>
    <w:p>
      <w:pPr>
        <w:snapToGrid w:val="0"/>
        <w:spacing w:line="540" w:lineRule="atLeast"/>
        <w:ind w:firstLine="600" w:firstLineChars="200"/>
        <w:rPr>
          <w:rFonts w:ascii="仿宋_GB2312" w:hAnsi="仿宋_GB2312" w:eastAsia="仿宋_GB2312" w:cs="仿宋_GB2312"/>
          <w:color w:val="333333"/>
          <w:kern w:val="0"/>
          <w:sz w:val="30"/>
          <w:szCs w:val="30"/>
        </w:rPr>
      </w:pPr>
      <w:r>
        <w:rPr>
          <w:rFonts w:hint="eastAsia" w:ascii="仿宋_GB2312" w:hAnsi="仿宋_GB2312" w:eastAsia="仿宋_GB2312" w:cs="仿宋_GB2312"/>
          <w:color w:val="333333"/>
          <w:kern w:val="0"/>
          <w:sz w:val="30"/>
          <w:szCs w:val="30"/>
        </w:rPr>
        <w:t>2020年度总收入141.49万元，较上年146.34万元收入减少4.85万元，减少3.31%。减少的主要原因人员减少。</w:t>
      </w:r>
    </w:p>
    <w:p>
      <w:pPr>
        <w:snapToGrid w:val="0"/>
        <w:spacing w:line="540" w:lineRule="atLeast"/>
        <w:ind w:firstLine="600" w:firstLineChars="200"/>
        <w:rPr>
          <w:rFonts w:ascii="仿宋_GB2312" w:hAnsi="仿宋_GB2312" w:eastAsia="仿宋_GB2312" w:cs="仿宋_GB2312"/>
          <w:color w:val="333333"/>
          <w:kern w:val="0"/>
          <w:sz w:val="30"/>
          <w:szCs w:val="30"/>
        </w:rPr>
      </w:pPr>
      <w:r>
        <w:rPr>
          <w:rFonts w:hint="eastAsia" w:ascii="仿宋_GB2312" w:hAnsi="仿宋_GB2312" w:eastAsia="仿宋_GB2312" w:cs="仿宋_GB2312"/>
          <w:color w:val="333333"/>
          <w:kern w:val="0"/>
          <w:sz w:val="30"/>
          <w:szCs w:val="30"/>
        </w:rPr>
        <w:t>2020年总支出135.49万元，较上年171.69万元支出减少36.2万元，减少21.08%，减少主要原因为人员减少。</w:t>
      </w:r>
    </w:p>
    <w:p>
      <w:pPr>
        <w:snapToGrid w:val="0"/>
        <w:spacing w:line="540" w:lineRule="atLeast"/>
        <w:rPr>
          <w:rStyle w:val="18"/>
          <w:rFonts w:ascii="黑体" w:hAnsi="黑体" w:eastAsia="黑体" w:cs="黑体"/>
        </w:rPr>
      </w:pPr>
      <w:bookmarkStart w:id="27" w:name="_Toc15377206"/>
      <w:r>
        <w:rPr>
          <w:rFonts w:hint="eastAsia" w:ascii="黑体" w:hAnsi="黑体" w:eastAsia="黑体" w:cs="黑体"/>
          <w:b/>
          <w:bCs/>
        </w:rPr>
        <w:drawing>
          <wp:anchor distT="0" distB="0" distL="114300" distR="114300" simplePos="0" relativeHeight="251659264" behindDoc="0" locked="0" layoutInCell="1" allowOverlap="1">
            <wp:simplePos x="0" y="0"/>
            <wp:positionH relativeFrom="column">
              <wp:posOffset>194945</wp:posOffset>
            </wp:positionH>
            <wp:positionV relativeFrom="paragraph">
              <wp:posOffset>99695</wp:posOffset>
            </wp:positionV>
            <wp:extent cx="4828540" cy="2819400"/>
            <wp:effectExtent l="4445" t="4445" r="5715" b="1460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cs="黑体"/>
          <w:b/>
          <w:bCs/>
          <w:color w:val="000000"/>
          <w:sz w:val="32"/>
          <w:szCs w:val="32"/>
        </w:rPr>
        <w:t>二、 收入决</w:t>
      </w:r>
      <w:r>
        <w:rPr>
          <w:rStyle w:val="18"/>
          <w:rFonts w:hint="eastAsia" w:ascii="黑体" w:hAnsi="黑体" w:eastAsia="黑体" w:cs="黑体"/>
        </w:rPr>
        <w:t>算情况说明</w:t>
      </w:r>
      <w:bookmarkEnd w:id="27"/>
    </w:p>
    <w:p>
      <w:pPr>
        <w:spacing w:line="600" w:lineRule="exact"/>
        <w:ind w:firstLine="600" w:firstLineChars="200"/>
        <w:outlineLvl w:val="1"/>
        <w:rPr>
          <w:rFonts w:ascii="仿宋_GB2312" w:hAnsi="仿宋_GB2312" w:eastAsia="仿宋_GB2312" w:cs="仿宋_GB2312"/>
          <w:color w:val="000000"/>
          <w:sz w:val="32"/>
          <w:szCs w:val="32"/>
        </w:rPr>
      </w:pPr>
      <w:bookmarkStart w:id="28" w:name="_Toc15687"/>
      <w:r>
        <w:rPr>
          <w:rFonts w:hint="eastAsia" w:ascii="仿宋_GB2312" w:hAnsi="仿宋_GB2312" w:eastAsia="仿宋_GB2312" w:cs="仿宋_GB2312"/>
          <w:color w:val="333333"/>
          <w:kern w:val="0"/>
          <w:sz w:val="30"/>
          <w:szCs w:val="30"/>
        </w:rPr>
        <w:t>2020年总收入141.49万元，其中：一般公共预算财政拨款收入141.49万元，占100%；政府性基金预算财政拨款收入0万元，0%；国有资本经营预算财政拨款收入0万元，占0%；事业收入0万元，占0%；经营收入0万元，占0%；附属单位上缴收入0万元，占0%；其他收入0万元，占0%。</w:t>
      </w:r>
      <w:bookmarkEnd w:id="28"/>
      <w:bookmarkStart w:id="29" w:name="_Toc15377207"/>
    </w:p>
    <w:p>
      <w:pPr>
        <w:snapToGrid w:val="0"/>
        <w:spacing w:line="540" w:lineRule="atLeast"/>
        <w:rPr>
          <w:rFonts w:ascii="黑体" w:hAnsi="黑体" w:eastAsia="黑体" w:cs="黑体"/>
          <w:b/>
          <w:bCs/>
          <w:color w:val="000000"/>
          <w:sz w:val="32"/>
          <w:szCs w:val="32"/>
        </w:rPr>
      </w:pPr>
      <w:bookmarkStart w:id="30" w:name="_Toc21480"/>
      <w:r>
        <w:rPr>
          <w:rFonts w:hint="eastAsia" w:ascii="黑体" w:hAnsi="黑体" w:eastAsia="黑体" w:cs="黑体"/>
          <w:b/>
          <w:bCs/>
          <w:color w:val="000000"/>
          <w:sz w:val="32"/>
          <w:szCs w:val="32"/>
        </w:rPr>
        <w:t>三、支出决算情况说明</w:t>
      </w:r>
      <w:bookmarkEnd w:id="29"/>
      <w:bookmarkEnd w:id="30"/>
    </w:p>
    <w:p>
      <w:pPr>
        <w:spacing w:line="600" w:lineRule="exact"/>
        <w:ind w:firstLine="420" w:firstLineChars="200"/>
        <w:outlineLvl w:val="1"/>
        <w:rPr>
          <w:rFonts w:ascii="仿宋_GB2312" w:hAnsi="仿宋_GB2312" w:eastAsia="仿宋_GB2312" w:cs="仿宋_GB2312"/>
        </w:rPr>
      </w:pPr>
      <w:bookmarkStart w:id="31" w:name="_Toc11884"/>
      <w:r>
        <w:rPr>
          <w:rFonts w:hint="eastAsia" w:ascii="仿宋_GB2312" w:hAnsi="仿宋_GB2312" w:eastAsia="仿宋_GB2312" w:cs="仿宋_GB2312"/>
        </w:rPr>
        <w:drawing>
          <wp:anchor distT="0" distB="0" distL="114300" distR="114300" simplePos="0" relativeHeight="251660288" behindDoc="0" locked="0" layoutInCell="1" allowOverlap="1">
            <wp:simplePos x="0" y="0"/>
            <wp:positionH relativeFrom="column">
              <wp:posOffset>414020</wp:posOffset>
            </wp:positionH>
            <wp:positionV relativeFrom="paragraph">
              <wp:posOffset>447040</wp:posOffset>
            </wp:positionV>
            <wp:extent cx="4514215" cy="2522855"/>
            <wp:effectExtent l="4445" t="4445" r="15240" b="6350"/>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_GB2312" w:eastAsia="仿宋_GB2312" w:cs="仿宋_GB2312"/>
          <w:color w:val="333333"/>
          <w:kern w:val="0"/>
          <w:sz w:val="30"/>
          <w:szCs w:val="30"/>
        </w:rPr>
        <w:t>2020年总支出135.49万元，其中：基本支出126.09万元，占93.06%；项目支出9.4万元，占6.94%；上缴上级支出0万元，占0%；经营支出0万元，占0%；对附属单位补助支出0万元，占0%。</w:t>
      </w:r>
      <w:bookmarkEnd w:id="31"/>
    </w:p>
    <w:p>
      <w:pPr>
        <w:snapToGrid w:val="0"/>
        <w:spacing w:line="540" w:lineRule="atLeast"/>
        <w:rPr>
          <w:rFonts w:ascii="黑体" w:hAnsi="黑体" w:eastAsia="黑体" w:cs="黑体"/>
          <w:b/>
          <w:bCs/>
          <w:color w:val="000000"/>
          <w:sz w:val="32"/>
          <w:szCs w:val="32"/>
        </w:rPr>
      </w:pPr>
      <w:bookmarkStart w:id="32" w:name="_Toc15377208"/>
      <w:r>
        <w:rPr>
          <w:rFonts w:hint="eastAsia" w:ascii="黑体" w:hAnsi="黑体" w:eastAsia="黑体" w:cs="黑体"/>
          <w:b/>
          <w:bCs/>
          <w:color w:val="000000"/>
          <w:sz w:val="32"/>
          <w:szCs w:val="32"/>
        </w:rPr>
        <w:t>四、财政拨款收入支出决算总体情况说明</w:t>
      </w:r>
      <w:bookmarkEnd w:id="32"/>
    </w:p>
    <w:p>
      <w:pPr>
        <w:snapToGrid w:val="0"/>
        <w:spacing w:line="540" w:lineRule="atLeast"/>
        <w:ind w:firstLine="600" w:firstLineChars="200"/>
        <w:rPr>
          <w:rFonts w:ascii="仿宋_GB2312" w:hAnsi="仿宋_GB2312" w:eastAsia="仿宋_GB2312" w:cs="仿宋_GB2312"/>
          <w:color w:val="333333"/>
          <w:kern w:val="0"/>
          <w:sz w:val="30"/>
          <w:szCs w:val="30"/>
        </w:rPr>
      </w:pPr>
      <w:r>
        <w:rPr>
          <w:rFonts w:hint="eastAsia" w:ascii="仿宋_GB2312" w:hAnsi="仿宋_GB2312" w:eastAsia="仿宋_GB2312" w:cs="仿宋_GB2312"/>
          <w:color w:val="333333"/>
          <w:kern w:val="0"/>
          <w:sz w:val="30"/>
          <w:szCs w:val="30"/>
        </w:rPr>
        <w:t>2020年度财政拨款收入141.49万元，较上年146.34万元收入减少4.85万元，减少3.31%。减少的主要原因为人员减少。</w:t>
      </w:r>
    </w:p>
    <w:p>
      <w:pPr>
        <w:snapToGrid w:val="0"/>
        <w:spacing w:line="540" w:lineRule="atLeast"/>
        <w:ind w:firstLine="600" w:firstLineChars="200"/>
        <w:rPr>
          <w:rFonts w:ascii="仿宋_GB2312" w:hAnsi="仿宋_GB2312" w:eastAsia="仿宋_GB2312" w:cs="仿宋_GB2312"/>
        </w:rPr>
      </w:pPr>
      <w:r>
        <w:rPr>
          <w:rFonts w:hint="eastAsia" w:ascii="仿宋_GB2312" w:hAnsi="仿宋_GB2312" w:eastAsia="仿宋_GB2312" w:cs="仿宋_GB2312"/>
          <w:color w:val="333333"/>
          <w:kern w:val="0"/>
          <w:sz w:val="30"/>
          <w:szCs w:val="30"/>
        </w:rPr>
        <w:t>2020年度财政拨款支出135.49万元，较上年171.69万元支出减少36.2万元，减少21.08%，</w:t>
      </w:r>
      <w:bookmarkStart w:id="33" w:name="_Toc15377209"/>
      <w:r>
        <w:rPr>
          <w:rFonts w:hint="eastAsia" w:ascii="仿宋_GB2312" w:hAnsi="仿宋_GB2312" w:eastAsia="仿宋_GB2312" w:cs="仿宋_GB2312"/>
          <w:color w:val="333333"/>
          <w:kern w:val="0"/>
          <w:sz w:val="30"/>
          <w:szCs w:val="30"/>
        </w:rPr>
        <w:t>减少的主要原因为人员减少。</w:t>
      </w:r>
      <w:r>
        <w:rPr>
          <w:rFonts w:hint="eastAsia" w:ascii="仿宋_GB2312" w:hAnsi="仿宋_GB2312" w:eastAsia="仿宋_GB2312" w:cs="仿宋_GB2312"/>
        </w:rPr>
        <w:drawing>
          <wp:anchor distT="0" distB="0" distL="114300" distR="114300" simplePos="0" relativeHeight="251661312" behindDoc="0" locked="0" layoutInCell="1" allowOverlap="1">
            <wp:simplePos x="0" y="0"/>
            <wp:positionH relativeFrom="column">
              <wp:posOffset>290195</wp:posOffset>
            </wp:positionH>
            <wp:positionV relativeFrom="page">
              <wp:posOffset>4014470</wp:posOffset>
            </wp:positionV>
            <wp:extent cx="4828540" cy="2819400"/>
            <wp:effectExtent l="4445" t="4445" r="5715" b="14605"/>
            <wp:wrapTopAndBottom/>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napToGrid w:val="0"/>
        <w:spacing w:line="540" w:lineRule="atLeast"/>
        <w:rPr>
          <w:rFonts w:ascii="黑体" w:hAnsi="黑体" w:eastAsia="黑体" w:cs="黑体"/>
          <w:b/>
          <w:bCs/>
          <w:color w:val="000000"/>
          <w:sz w:val="32"/>
          <w:szCs w:val="32"/>
        </w:rPr>
      </w:pPr>
      <w:r>
        <w:rPr>
          <w:rFonts w:hint="eastAsia" w:ascii="黑体" w:hAnsi="黑体" w:eastAsia="黑体" w:cs="黑体"/>
          <w:b/>
          <w:bCs/>
          <w:color w:val="000000"/>
          <w:sz w:val="32"/>
          <w:szCs w:val="32"/>
        </w:rPr>
        <w:t>五、一般公共预算财政拨款支出决算情况说明</w:t>
      </w:r>
      <w:bookmarkEnd w:id="33"/>
    </w:p>
    <w:p>
      <w:pPr>
        <w:spacing w:line="600" w:lineRule="exact"/>
        <w:ind w:firstLine="643" w:firstLineChars="200"/>
        <w:outlineLvl w:val="2"/>
        <w:rPr>
          <w:rFonts w:ascii="仿宋_GB2312" w:hAnsi="仿宋_GB2312" w:eastAsia="仿宋_GB2312" w:cs="仿宋_GB2312"/>
          <w:b/>
          <w:color w:val="000000"/>
          <w:sz w:val="32"/>
          <w:szCs w:val="32"/>
        </w:rPr>
      </w:pPr>
      <w:bookmarkStart w:id="34" w:name="_Toc15377210"/>
      <w:r>
        <w:rPr>
          <w:rFonts w:hint="eastAsia" w:ascii="仿宋_GB2312" w:hAnsi="仿宋_GB2312" w:eastAsia="仿宋_GB2312" w:cs="仿宋_GB2312"/>
          <w:b/>
          <w:color w:val="000000"/>
          <w:sz w:val="32"/>
          <w:szCs w:val="32"/>
        </w:rPr>
        <w:t>（一）一般公共预算财政拨款支出决算总体情况</w:t>
      </w:r>
      <w:bookmarkEnd w:id="34"/>
    </w:p>
    <w:p>
      <w:pPr>
        <w:snapToGrid w:val="0"/>
        <w:spacing w:line="540" w:lineRule="atLeast"/>
        <w:ind w:firstLine="420" w:firstLineChars="200"/>
        <w:rPr>
          <w:rFonts w:ascii="仿宋_GB2312" w:hAnsi="仿宋_GB2312" w:eastAsia="仿宋_GB2312" w:cs="仿宋_GB2312"/>
          <w:color w:val="333333"/>
          <w:kern w:val="0"/>
          <w:sz w:val="30"/>
          <w:szCs w:val="30"/>
        </w:rPr>
      </w:pPr>
      <w:r>
        <w:rPr>
          <w:rFonts w:hint="eastAsia" w:ascii="仿宋_GB2312" w:hAnsi="仿宋_GB2312" w:eastAsia="仿宋_GB2312" w:cs="仿宋_GB2312"/>
        </w:rPr>
        <w:t xml:space="preserve">  </w:t>
      </w:r>
      <w:r>
        <w:rPr>
          <w:rFonts w:hint="eastAsia" w:ascii="仿宋_GB2312" w:hAnsi="仿宋_GB2312" w:eastAsia="仿宋_GB2312" w:cs="仿宋_GB2312"/>
          <w:color w:val="333333"/>
          <w:kern w:val="0"/>
          <w:sz w:val="30"/>
          <w:szCs w:val="30"/>
        </w:rPr>
        <w:t>2020年度一般公共预算财政拨款支出135.49万元，较上年171.69万元支出减少36.2万元，减少21.08%，减少的主要原因为人员减少。</w:t>
      </w:r>
    </w:p>
    <w:p>
      <w:pPr>
        <w:snapToGrid w:val="0"/>
        <w:spacing w:line="520" w:lineRule="exact"/>
        <w:ind w:firstLine="420" w:firstLineChars="200"/>
        <w:rPr>
          <w:rFonts w:ascii="仿宋_GB2312" w:hAnsi="仿宋_GB2312" w:eastAsia="仿宋_GB2312" w:cs="仿宋_GB2312"/>
          <w:spacing w:val="-2"/>
          <w:sz w:val="32"/>
          <w:szCs w:val="32"/>
        </w:rPr>
      </w:pPr>
      <w:r>
        <w:rPr>
          <w:rFonts w:hint="eastAsia" w:ascii="仿宋_GB2312" w:hAnsi="仿宋_GB2312" w:eastAsia="仿宋_GB2312" w:cs="仿宋_GB2312"/>
        </w:rPr>
        <w:drawing>
          <wp:anchor distT="0" distB="0" distL="114300" distR="114300" simplePos="0" relativeHeight="251662336" behindDoc="0" locked="0" layoutInCell="1" allowOverlap="1">
            <wp:simplePos x="0" y="0"/>
            <wp:positionH relativeFrom="column">
              <wp:posOffset>404495</wp:posOffset>
            </wp:positionH>
            <wp:positionV relativeFrom="page">
              <wp:posOffset>1004570</wp:posOffset>
            </wp:positionV>
            <wp:extent cx="4428490" cy="2524760"/>
            <wp:effectExtent l="4445" t="4445" r="5715" b="23495"/>
            <wp:wrapTopAndBottom/>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napToGrid w:val="0"/>
        <w:spacing w:line="520" w:lineRule="exact"/>
        <w:ind w:firstLine="643" w:firstLineChars="200"/>
        <w:rPr>
          <w:rFonts w:ascii="仿宋_GB2312" w:hAnsi="仿宋_GB2312" w:eastAsia="仿宋_GB2312" w:cs="仿宋_GB2312"/>
          <w:b/>
          <w:sz w:val="32"/>
          <w:szCs w:val="32"/>
        </w:rPr>
      </w:pPr>
      <w:bookmarkStart w:id="35" w:name="_Toc15377211"/>
      <w:r>
        <w:rPr>
          <w:rFonts w:hint="eastAsia" w:ascii="仿宋_GB2312" w:hAnsi="仿宋_GB2312" w:eastAsia="仿宋_GB2312" w:cs="仿宋_GB2312"/>
          <w:b/>
          <w:sz w:val="32"/>
          <w:szCs w:val="32"/>
        </w:rPr>
        <w:t>（二）一般公共预算财政拨款支出决算结构情况</w:t>
      </w:r>
      <w:bookmarkEnd w:id="35"/>
    </w:p>
    <w:p>
      <w:pPr>
        <w:spacing w:line="600" w:lineRule="exact"/>
        <w:ind w:firstLine="42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rPr>
        <w:drawing>
          <wp:anchor distT="0" distB="0" distL="114300" distR="114300" simplePos="0" relativeHeight="251663360" behindDoc="0" locked="0" layoutInCell="1" allowOverlap="1">
            <wp:simplePos x="0" y="0"/>
            <wp:positionH relativeFrom="column">
              <wp:posOffset>391795</wp:posOffset>
            </wp:positionH>
            <wp:positionV relativeFrom="page">
              <wp:posOffset>6285230</wp:posOffset>
            </wp:positionV>
            <wp:extent cx="4572000" cy="3362325"/>
            <wp:effectExtent l="4445" t="4445" r="14605" b="5080"/>
            <wp:wrapTopAndBottom/>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仿宋_GB2312" w:eastAsia="仿宋_GB2312" w:cs="仿宋_GB2312"/>
          <w:sz w:val="32"/>
          <w:szCs w:val="32"/>
        </w:rPr>
        <w:t>2020年一般公共预算财政拨款支出</w:t>
      </w:r>
      <w:r>
        <w:rPr>
          <w:rFonts w:hint="eastAsia" w:ascii="仿宋_GB2312" w:hAnsi="仿宋_GB2312" w:eastAsia="仿宋_GB2312" w:cs="仿宋_GB2312"/>
          <w:sz w:val="28"/>
          <w:szCs w:val="28"/>
        </w:rPr>
        <w:t>135.49</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sz w:val="32"/>
          <w:szCs w:val="32"/>
          <w:lang w:eastAsia="zh-CN"/>
        </w:rPr>
        <w:t>：</w:t>
      </w:r>
      <w:bookmarkStart w:id="86" w:name="_GoBack"/>
      <w:bookmarkEnd w:id="86"/>
      <w:r>
        <w:rPr>
          <w:rFonts w:hint="eastAsia" w:ascii="仿宋_GB2312" w:hAnsi="仿宋_GB2312" w:eastAsia="仿宋_GB2312" w:cs="仿宋_GB2312"/>
          <w:b/>
          <w:bCs/>
          <w:sz w:val="32"/>
          <w:szCs w:val="32"/>
        </w:rPr>
        <w:t>一般公共服务支出</w:t>
      </w:r>
      <w:r>
        <w:rPr>
          <w:rFonts w:hint="eastAsia" w:ascii="仿宋_GB2312" w:hAnsi="仿宋_GB2312" w:eastAsia="仿宋_GB2312" w:cs="仿宋_GB2312"/>
          <w:sz w:val="28"/>
          <w:szCs w:val="28"/>
        </w:rPr>
        <w:t>97.36万元，占71.86%；</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sz w:val="28"/>
          <w:szCs w:val="28"/>
        </w:rPr>
        <w:t>9.53万元，占7.03%；</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sz w:val="28"/>
          <w:szCs w:val="28"/>
        </w:rPr>
        <w:t>3.99万元，占2.94%；</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sz w:val="28"/>
          <w:szCs w:val="28"/>
        </w:rPr>
        <w:t>15.61万元，占11.52%；</w:t>
      </w:r>
      <w:r>
        <w:rPr>
          <w:rFonts w:hint="eastAsia" w:ascii="仿宋_GB2312" w:hAnsi="仿宋_GB2312" w:eastAsia="仿宋_GB2312" w:cs="仿宋_GB2312"/>
          <w:b/>
          <w:bCs/>
          <w:sz w:val="32"/>
          <w:szCs w:val="32"/>
        </w:rPr>
        <w:t>其他支出</w:t>
      </w:r>
      <w:r>
        <w:rPr>
          <w:rFonts w:hint="eastAsia" w:ascii="仿宋_GB2312" w:hAnsi="仿宋_GB2312" w:eastAsia="仿宋_GB2312" w:cs="仿宋_GB2312"/>
          <w:sz w:val="28"/>
          <w:szCs w:val="28"/>
        </w:rPr>
        <w:t>9万元，占6.65%。</w:t>
      </w:r>
      <w:bookmarkStart w:id="36" w:name="_Toc15377213"/>
      <w:bookmarkStart w:id="37" w:name="_Toc15377444"/>
      <w:bookmarkStart w:id="38" w:name="_Toc15378460"/>
    </w:p>
    <w:p>
      <w:pPr>
        <w:spacing w:line="600" w:lineRule="exact"/>
        <w:ind w:firstLine="643" w:firstLineChars="200"/>
        <w:outlineLvl w:val="2"/>
        <w:rPr>
          <w:rFonts w:ascii="仿宋_GB2312" w:hAnsi="仿宋_GB2312" w:eastAsia="仿宋_GB2312" w:cs="仿宋_GB2312"/>
          <w:b/>
          <w:color w:val="000000"/>
          <w:sz w:val="32"/>
          <w:szCs w:val="32"/>
        </w:rPr>
      </w:pPr>
      <w:bookmarkStart w:id="39" w:name="_Toc15377212"/>
      <w:r>
        <w:rPr>
          <w:rFonts w:hint="eastAsia" w:ascii="仿宋_GB2312" w:hAnsi="仿宋_GB2312" w:eastAsia="仿宋_GB2312" w:cs="仿宋_GB2312"/>
          <w:b/>
          <w:color w:val="000000"/>
          <w:sz w:val="32"/>
          <w:szCs w:val="32"/>
        </w:rPr>
        <w:t>（三）一般公共预算财政拨款支出决算具体情况</w:t>
      </w:r>
      <w:bookmarkEnd w:id="36"/>
      <w:bookmarkEnd w:id="37"/>
      <w:bookmarkEnd w:id="38"/>
      <w:bookmarkEnd w:id="39"/>
      <w:bookmarkStart w:id="40" w:name="_Toc15377214"/>
    </w:p>
    <w:p>
      <w:pPr>
        <w:spacing w:line="600" w:lineRule="exact"/>
        <w:outlineLvl w:val="2"/>
        <w:rPr>
          <w:rFonts w:ascii="仿宋_GB2312" w:hAnsi="仿宋_GB2312" w:eastAsia="仿宋_GB2312" w:cs="仿宋_GB2312"/>
          <w:bCs/>
          <w:color w:val="FF0000"/>
          <w:sz w:val="32"/>
          <w:szCs w:val="32"/>
        </w:rPr>
      </w:pPr>
      <w:r>
        <w:rPr>
          <w:rFonts w:hint="eastAsia" w:ascii="仿宋_GB2312" w:hAnsi="仿宋_GB2312" w:eastAsia="仿宋_GB2312" w:cs="仿宋_GB2312"/>
          <w:bCs/>
          <w:color w:val="000000"/>
          <w:sz w:val="32"/>
          <w:szCs w:val="32"/>
        </w:rPr>
        <w:t xml:space="preserve">   2020年一般公共预算数为104.45万元，支出决算数为135.49万元</w:t>
      </w:r>
      <w:r>
        <w:rPr>
          <w:rStyle w:val="15"/>
          <w:rFonts w:hint="eastAsia" w:ascii="仿宋_GB2312" w:hAnsi="仿宋_GB2312" w:eastAsia="仿宋_GB2312" w:cs="仿宋_GB2312"/>
          <w:b w:val="0"/>
          <w:bCs/>
          <w:color w:val="000000"/>
          <w:sz w:val="32"/>
          <w:szCs w:val="32"/>
        </w:rPr>
        <w:t>。结转下年8万元。其中：</w:t>
      </w:r>
    </w:p>
    <w:p>
      <w:pPr>
        <w:spacing w:line="600" w:lineRule="exact"/>
        <w:ind w:firstLine="643"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1.一般公共服务支出（类）群众团体事务（款）行政运行（项）:</w:t>
      </w:r>
      <w:r>
        <w:rPr>
          <w:rStyle w:val="15"/>
          <w:rFonts w:hint="eastAsia" w:ascii="仿宋_GB2312" w:hAnsi="仿宋_GB2312" w:eastAsia="仿宋_GB2312" w:cs="仿宋_GB2312"/>
          <w:b w:val="0"/>
          <w:bCs/>
          <w:color w:val="000000"/>
          <w:sz w:val="32"/>
          <w:szCs w:val="32"/>
        </w:rPr>
        <w:t xml:space="preserve"> 支出决算为97.36万元。</w:t>
      </w:r>
    </w:p>
    <w:p>
      <w:pPr>
        <w:spacing w:line="600" w:lineRule="exact"/>
        <w:ind w:firstLine="643"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2.社会保障和就业支出（类）行政事业单位养老支出（款）  机关事业单位基本养老保险缴费支出（项）:</w:t>
      </w:r>
      <w:r>
        <w:rPr>
          <w:rStyle w:val="15"/>
          <w:rFonts w:hint="eastAsia" w:ascii="仿宋_GB2312" w:hAnsi="仿宋_GB2312" w:eastAsia="仿宋_GB2312" w:cs="仿宋_GB2312"/>
          <w:b w:val="0"/>
          <w:bCs/>
          <w:color w:val="000000"/>
          <w:sz w:val="32"/>
          <w:szCs w:val="32"/>
        </w:rPr>
        <w:t xml:space="preserve"> 支出决算为6.35万元。</w:t>
      </w:r>
    </w:p>
    <w:p>
      <w:pPr>
        <w:spacing w:line="600" w:lineRule="exact"/>
        <w:ind w:firstLine="643"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3.社会保障和就业支出（类）行政事业单位养老支出（款）    机关事业单位职业年金缴费支出（项）:</w:t>
      </w:r>
      <w:r>
        <w:rPr>
          <w:rStyle w:val="15"/>
          <w:rFonts w:hint="eastAsia" w:ascii="仿宋_GB2312" w:hAnsi="仿宋_GB2312" w:eastAsia="仿宋_GB2312" w:cs="仿宋_GB2312"/>
          <w:b w:val="0"/>
          <w:bCs/>
          <w:color w:val="000000"/>
          <w:sz w:val="32"/>
          <w:szCs w:val="32"/>
        </w:rPr>
        <w:t xml:space="preserve"> 支出决算为3.18万元。</w:t>
      </w:r>
    </w:p>
    <w:p>
      <w:pPr>
        <w:spacing w:line="600" w:lineRule="exact"/>
        <w:ind w:firstLine="643"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4.卫生健康支出（类）公共卫生（款）突发公共卫生事件应急处理（项）</w:t>
      </w:r>
      <w:r>
        <w:rPr>
          <w:rStyle w:val="15"/>
          <w:rFonts w:hint="eastAsia" w:ascii="仿宋_GB2312" w:hAnsi="仿宋_GB2312" w:eastAsia="仿宋_GB2312" w:cs="仿宋_GB2312"/>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支出决算为0.4万元。</w:t>
      </w:r>
    </w:p>
    <w:p>
      <w:pPr>
        <w:spacing w:line="600" w:lineRule="exact"/>
        <w:ind w:firstLine="643"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5.卫生健康支出（类）行政事业单位医疗（款）行政单位医疗（项）</w:t>
      </w:r>
      <w:r>
        <w:rPr>
          <w:rStyle w:val="15"/>
          <w:rFonts w:hint="eastAsia" w:ascii="仿宋_GB2312" w:hAnsi="仿宋_GB2312" w:eastAsia="仿宋_GB2312" w:cs="仿宋_GB2312"/>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支出决算为2.78万元。</w:t>
      </w:r>
    </w:p>
    <w:p>
      <w:pPr>
        <w:spacing w:line="600" w:lineRule="exact"/>
        <w:ind w:firstLine="643"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6.卫生健康支出（类）行政事业单位医疗（款）公务员医疗补助（项）</w:t>
      </w:r>
      <w:r>
        <w:rPr>
          <w:rStyle w:val="15"/>
          <w:rFonts w:hint="eastAsia" w:ascii="仿宋_GB2312" w:hAnsi="仿宋_GB2312" w:eastAsia="仿宋_GB2312" w:cs="仿宋_GB2312"/>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支出决算为0.81万元。</w:t>
      </w:r>
    </w:p>
    <w:p>
      <w:pPr>
        <w:spacing w:line="600" w:lineRule="exact"/>
        <w:ind w:firstLine="643"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7.住房保障（类）住房改革支出（款）住房公积金（项）：</w:t>
      </w:r>
      <w:r>
        <w:rPr>
          <w:rStyle w:val="15"/>
          <w:rFonts w:hint="eastAsia" w:ascii="仿宋_GB2312" w:hAnsi="仿宋_GB2312" w:eastAsia="仿宋_GB2312" w:cs="仿宋_GB2312"/>
          <w:b w:val="0"/>
          <w:bCs/>
          <w:color w:val="000000"/>
          <w:sz w:val="32"/>
          <w:szCs w:val="32"/>
        </w:rPr>
        <w:t>支出决算为15.61万元。</w:t>
      </w:r>
    </w:p>
    <w:p>
      <w:pPr>
        <w:spacing w:line="600" w:lineRule="exact"/>
        <w:ind w:firstLine="643"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8.其他支出（类）其他支出（款）其他支出（项）：</w:t>
      </w:r>
      <w:r>
        <w:rPr>
          <w:rStyle w:val="15"/>
          <w:rFonts w:hint="eastAsia" w:ascii="仿宋_GB2312" w:hAnsi="仿宋_GB2312" w:eastAsia="仿宋_GB2312" w:cs="仿宋_GB2312"/>
          <w:b w:val="0"/>
          <w:bCs/>
          <w:color w:val="000000"/>
          <w:sz w:val="32"/>
          <w:szCs w:val="32"/>
        </w:rPr>
        <w:t>支出决算为9万元。</w:t>
      </w:r>
    </w:p>
    <w:p>
      <w:pPr>
        <w:snapToGrid w:val="0"/>
        <w:spacing w:line="540" w:lineRule="atLeast"/>
        <w:rPr>
          <w:rFonts w:ascii="黑体" w:hAnsi="黑体" w:eastAsia="黑体" w:cs="黑体"/>
          <w:b/>
          <w:bCs/>
          <w:color w:val="000000"/>
          <w:sz w:val="32"/>
          <w:szCs w:val="32"/>
        </w:rPr>
      </w:pPr>
      <w:r>
        <w:rPr>
          <w:rFonts w:hint="eastAsia" w:ascii="黑体" w:hAnsi="黑体" w:eastAsia="黑体" w:cs="黑体"/>
          <w:b/>
          <w:bCs/>
          <w:color w:val="000000"/>
          <w:sz w:val="32"/>
          <w:szCs w:val="32"/>
        </w:rPr>
        <w:t>六、一般公共预算财政拨款基本支出决算情况说明</w:t>
      </w:r>
      <w:bookmarkEnd w:id="40"/>
      <w:r>
        <w:rPr>
          <w:rFonts w:hint="eastAsia" w:ascii="黑体" w:hAnsi="黑体" w:eastAsia="黑体" w:cs="黑体"/>
          <w:b/>
          <w:bCs/>
          <w:color w:val="000000"/>
          <w:sz w:val="32"/>
          <w:szCs w:val="32"/>
        </w:rPr>
        <w:tab/>
      </w:r>
    </w:p>
    <w:p>
      <w:pPr>
        <w:spacing w:line="600" w:lineRule="exact"/>
        <w:ind w:firstLine="64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2020年一般公共预算财政拨款基本支出</w:t>
      </w:r>
      <w:r>
        <w:rPr>
          <w:rFonts w:hint="eastAsia" w:ascii="仿宋_GB2312" w:hAnsi="仿宋_GB2312" w:eastAsia="仿宋_GB2312" w:cs="仿宋_GB2312"/>
          <w:color w:val="000000"/>
          <w:sz w:val="32"/>
          <w:szCs w:val="32"/>
        </w:rPr>
        <w:t>126.09</w:t>
      </w:r>
      <w:r>
        <w:rPr>
          <w:rFonts w:hint="eastAsia" w:ascii="仿宋_GB2312" w:hAnsi="仿宋_GB2312" w:eastAsia="仿宋_GB2312" w:cs="仿宋_GB2312"/>
          <w:color w:val="000000"/>
          <w:sz w:val="32"/>
          <w:szCs w:val="32"/>
          <w:lang w:val="zh-CN"/>
        </w:rPr>
        <w:t>万元，其中：工资福利支出：90.52万元（基本工资：16.73万元，津贴补贴：22.6万元，奖金：1.21万元，机关事业单位基本养老保险缴费：6.35万元，职业年金缴费：3.18万元，职工基本医疗保险缴费：2.78万元，公务员医疗补助缴费：</w:t>
      </w:r>
      <w:r>
        <w:rPr>
          <w:rStyle w:val="15"/>
          <w:rFonts w:hint="eastAsia" w:ascii="仿宋_GB2312" w:hAnsi="仿宋_GB2312" w:eastAsia="仿宋_GB2312" w:cs="仿宋_GB2312"/>
          <w:b w:val="0"/>
          <w:bCs/>
          <w:color w:val="000000"/>
          <w:sz w:val="32"/>
          <w:szCs w:val="32"/>
        </w:rPr>
        <w:t>0.81</w:t>
      </w:r>
      <w:r>
        <w:rPr>
          <w:rFonts w:hint="eastAsia" w:ascii="仿宋_GB2312" w:hAnsi="仿宋_GB2312" w:eastAsia="仿宋_GB2312" w:cs="仿宋_GB2312"/>
          <w:color w:val="000000"/>
          <w:sz w:val="32"/>
          <w:szCs w:val="32"/>
          <w:lang w:val="zh-CN"/>
        </w:rPr>
        <w:t>万元，</w:t>
      </w:r>
      <w:r>
        <w:rPr>
          <w:rFonts w:hint="eastAsia" w:ascii="仿宋_GB2312" w:hAnsi="仿宋_GB2312" w:eastAsia="仿宋_GB2312" w:cs="仿宋_GB2312"/>
          <w:color w:val="000000"/>
          <w:sz w:val="32"/>
          <w:szCs w:val="32"/>
        </w:rPr>
        <w:t>其他社会保障缴费：16.6</w:t>
      </w:r>
      <w:r>
        <w:rPr>
          <w:rFonts w:hint="eastAsia" w:ascii="仿宋_GB2312" w:hAnsi="仿宋_GB2312" w:eastAsia="仿宋_GB2312" w:cs="仿宋_GB2312"/>
          <w:color w:val="000000"/>
          <w:sz w:val="32"/>
          <w:szCs w:val="32"/>
          <w:lang w:val="zh-CN"/>
        </w:rPr>
        <w:t>万元，住房公积金：15.61万元，其他工资福利支出：</w:t>
      </w:r>
      <w:r>
        <w:rPr>
          <w:rFonts w:hint="eastAsia" w:ascii="仿宋_GB2312" w:hAnsi="仿宋_GB2312" w:eastAsia="仿宋_GB2312" w:cs="仿宋_GB2312"/>
          <w:color w:val="000000"/>
          <w:sz w:val="32"/>
          <w:szCs w:val="32"/>
        </w:rPr>
        <w:t>4.65万元</w:t>
      </w:r>
      <w:r>
        <w:rPr>
          <w:rFonts w:hint="eastAsia" w:ascii="仿宋_GB2312" w:hAnsi="仿宋_GB2312" w:eastAsia="仿宋_GB2312" w:cs="仿宋_GB2312"/>
          <w:color w:val="000000"/>
          <w:sz w:val="32"/>
          <w:szCs w:val="32"/>
          <w:lang w:val="zh-CN"/>
        </w:rPr>
        <w:t>）。</w:t>
      </w:r>
    </w:p>
    <w:p>
      <w:pPr>
        <w:spacing w:line="600" w:lineRule="exact"/>
        <w:ind w:firstLine="64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商品和服务支出：18.02万元（办公费：7.84万元，水费：0.03万元，电费：0.3万元，邮电费：0.5万元，差旅费：2万元，劳务费：3.75万元，其他交通费用：3.6万元）。</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对个人和家庭的补助：17.01万元（奖励金：17.01万元）。</w:t>
      </w:r>
    </w:p>
    <w:p>
      <w:pPr>
        <w:snapToGrid w:val="0"/>
        <w:spacing w:line="540" w:lineRule="atLeast"/>
        <w:rPr>
          <w:rFonts w:ascii="黑体" w:hAnsi="黑体" w:eastAsia="黑体" w:cs="黑体"/>
          <w:b/>
          <w:bCs/>
          <w:color w:val="000000"/>
          <w:sz w:val="32"/>
          <w:szCs w:val="32"/>
        </w:rPr>
      </w:pPr>
      <w:bookmarkStart w:id="41" w:name="_Toc13465"/>
      <w:bookmarkStart w:id="42" w:name="_Toc15377215"/>
      <w:r>
        <w:rPr>
          <w:rFonts w:hint="eastAsia" w:ascii="黑体" w:hAnsi="黑体" w:eastAsia="黑体" w:cs="黑体"/>
          <w:b/>
          <w:bCs/>
          <w:color w:val="000000"/>
          <w:sz w:val="32"/>
          <w:szCs w:val="32"/>
        </w:rPr>
        <w:t>七、“三公”经费财政拨款支出决算情况说明</w:t>
      </w:r>
      <w:bookmarkEnd w:id="41"/>
      <w:bookmarkEnd w:id="42"/>
    </w:p>
    <w:p>
      <w:pPr>
        <w:spacing w:line="600" w:lineRule="exact"/>
        <w:ind w:firstLine="640"/>
        <w:outlineLvl w:val="2"/>
        <w:rPr>
          <w:rFonts w:ascii="仿宋_GB2312" w:hAnsi="仿宋_GB2312" w:eastAsia="仿宋_GB2312" w:cs="仿宋_GB2312"/>
          <w:b/>
          <w:color w:val="000000"/>
          <w:sz w:val="32"/>
          <w:szCs w:val="32"/>
        </w:rPr>
      </w:pPr>
      <w:bookmarkStart w:id="43" w:name="_Toc15377216"/>
      <w:r>
        <w:rPr>
          <w:rFonts w:hint="eastAsia" w:ascii="仿宋_GB2312" w:hAnsi="仿宋_GB2312" w:eastAsia="仿宋_GB2312" w:cs="仿宋_GB2312"/>
          <w:b/>
          <w:color w:val="000000"/>
          <w:sz w:val="32"/>
          <w:szCs w:val="32"/>
        </w:rPr>
        <w:t>（一）“三公”经费财政拨款支出决算总体情况说明</w:t>
      </w:r>
      <w:bookmarkEnd w:id="43"/>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2020年“三公”经费财政拨款支出决算为0万元。</w:t>
      </w:r>
    </w:p>
    <w:p>
      <w:pPr>
        <w:spacing w:line="600" w:lineRule="exact"/>
        <w:ind w:firstLine="640"/>
        <w:outlineLvl w:val="2"/>
        <w:rPr>
          <w:rFonts w:ascii="仿宋_GB2312" w:hAnsi="仿宋_GB2312" w:eastAsia="仿宋_GB2312" w:cs="仿宋_GB2312"/>
          <w:b/>
          <w:color w:val="000000"/>
          <w:sz w:val="32"/>
          <w:szCs w:val="32"/>
        </w:rPr>
      </w:pPr>
      <w:bookmarkStart w:id="44" w:name="_Toc15377217"/>
      <w:r>
        <w:rPr>
          <w:rFonts w:hint="eastAsia" w:ascii="仿宋_GB2312" w:hAnsi="仿宋_GB2312" w:eastAsia="仿宋_GB2312" w:cs="仿宋_GB2312"/>
          <w:b/>
          <w:color w:val="000000"/>
          <w:sz w:val="32"/>
          <w:szCs w:val="32"/>
        </w:rPr>
        <w:t>（二）“三公”经费财政拨款支出决算具体情况说明</w:t>
      </w:r>
      <w:bookmarkEnd w:id="44"/>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w:t>
      </w:r>
      <w:r>
        <w:rPr>
          <w:rFonts w:hint="eastAsia" w:ascii="仿宋_GB2312" w:hAnsi="仿宋_GB2312" w:eastAsia="仿宋_GB2312" w:cs="仿宋_GB2312"/>
          <w:sz w:val="32"/>
          <w:szCs w:val="32"/>
        </w:rPr>
        <w:t>决算0万元。</w:t>
      </w:r>
    </w:p>
    <w:p>
      <w:pPr>
        <w:spacing w:line="60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rPr>
        <w:t>0万元，</w:t>
      </w:r>
      <w:r>
        <w:rPr>
          <w:rStyle w:val="15"/>
          <w:rFonts w:hint="eastAsia" w:ascii="仿宋_GB2312" w:hAnsi="仿宋_GB2312" w:eastAsia="仿宋_GB2312" w:cs="仿宋_GB2312"/>
          <w:b w:val="0"/>
          <w:bCs/>
          <w:color w:val="000000"/>
          <w:sz w:val="32"/>
          <w:szCs w:val="32"/>
        </w:rPr>
        <w:t>完成预算0%。</w:t>
      </w:r>
      <w:r>
        <w:rPr>
          <w:rFonts w:hint="eastAsia" w:ascii="仿宋_GB2312" w:hAnsi="仿宋_GB2312" w:eastAsia="仿宋_GB2312" w:cs="仿宋_GB2312"/>
          <w:sz w:val="32"/>
          <w:szCs w:val="32"/>
        </w:rPr>
        <w:t>全年安排因公出国（境）团组0次，出国（境）0人。因</w:t>
      </w:r>
      <w:r>
        <w:rPr>
          <w:rFonts w:hint="eastAsia" w:ascii="仿宋_GB2312" w:hAnsi="仿宋_GB2312" w:eastAsia="仿宋_GB2312" w:cs="仿宋_GB2312"/>
          <w:color w:val="000000"/>
          <w:sz w:val="32"/>
          <w:szCs w:val="32"/>
        </w:rPr>
        <w:t>公出国（境）支出决算与2019年无变动。</w:t>
      </w:r>
    </w:p>
    <w:p>
      <w:pPr>
        <w:spacing w:line="60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color w:val="000000"/>
          <w:sz w:val="32"/>
          <w:szCs w:val="32"/>
        </w:rPr>
        <w:t>2.公务</w:t>
      </w:r>
      <w:r>
        <w:rPr>
          <w:rFonts w:hint="eastAsia" w:ascii="仿宋_GB2312" w:hAnsi="仿宋_GB2312" w:eastAsia="仿宋_GB2312" w:cs="仿宋_GB2312"/>
          <w:b/>
          <w:sz w:val="32"/>
          <w:szCs w:val="32"/>
        </w:rPr>
        <w:t>用车</w:t>
      </w:r>
      <w:r>
        <w:rPr>
          <w:rFonts w:hint="eastAsia" w:ascii="仿宋_GB2312" w:hAnsi="仿宋_GB2312" w:eastAsia="仿宋_GB2312" w:cs="仿宋_GB2312"/>
          <w:b/>
          <w:color w:val="000000"/>
          <w:sz w:val="32"/>
          <w:szCs w:val="32"/>
        </w:rPr>
        <w:t>购置及运行维护费支出</w:t>
      </w:r>
      <w:r>
        <w:rPr>
          <w:rFonts w:hint="eastAsia" w:ascii="仿宋_GB2312" w:hAnsi="仿宋_GB2312" w:eastAsia="仿宋_GB2312" w:cs="仿宋_GB2312"/>
          <w:color w:val="333333"/>
          <w:kern w:val="0"/>
          <w:sz w:val="28"/>
          <w:szCs w:val="28"/>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Style w:val="15"/>
          <w:rFonts w:hint="eastAsia" w:ascii="仿宋_GB2312" w:hAnsi="仿宋_GB2312" w:eastAsia="仿宋_GB2312" w:cs="仿宋_GB2312"/>
          <w:b w:val="0"/>
          <w:bCs/>
          <w:color w:val="000000"/>
          <w:sz w:val="32"/>
          <w:szCs w:val="32"/>
        </w:rPr>
        <w:t>完成预算0%。</w:t>
      </w:r>
    </w:p>
    <w:p>
      <w:pPr>
        <w:autoSpaceDE w:val="0"/>
        <w:autoSpaceDN w:val="0"/>
        <w:adjustRightInd w:val="0"/>
        <w:spacing w:line="600" w:lineRule="exact"/>
        <w:ind w:firstLine="640" w:firstLineChars="200"/>
        <w:jc w:val="left"/>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color w:val="000000"/>
          <w:sz w:val="32"/>
          <w:szCs w:val="32"/>
        </w:rPr>
        <w:t>公务用车购置支出</w:t>
      </w:r>
      <w:r>
        <w:rPr>
          <w:rFonts w:hint="eastAsia" w:ascii="仿宋_GB2312" w:hAnsi="仿宋_GB2312" w:eastAsia="仿宋_GB2312" w:cs="仿宋_GB2312"/>
          <w:color w:val="000000"/>
          <w:sz w:val="32"/>
          <w:szCs w:val="32"/>
        </w:rPr>
        <w:t>0万元。</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公务用车运行维护费支出</w:t>
      </w:r>
      <w:r>
        <w:rPr>
          <w:rFonts w:hint="eastAsia" w:ascii="仿宋_GB2312" w:hAnsi="仿宋_GB2312" w:eastAsia="仿宋_GB2312" w:cs="仿宋_GB2312"/>
          <w:sz w:val="32"/>
          <w:szCs w:val="32"/>
        </w:rPr>
        <w:t>0万元。</w:t>
      </w:r>
    </w:p>
    <w:p>
      <w:pPr>
        <w:spacing w:line="600" w:lineRule="exact"/>
        <w:ind w:firstLine="640"/>
        <w:outlineLvl w:val="1"/>
        <w:rPr>
          <w:rFonts w:ascii="仿宋_GB2312" w:hAnsi="仿宋_GB2312" w:eastAsia="仿宋_GB2312" w:cs="仿宋_GB2312"/>
          <w:color w:val="000000"/>
          <w:sz w:val="32"/>
          <w:szCs w:val="32"/>
        </w:rPr>
      </w:pPr>
      <w:bookmarkStart w:id="45" w:name="_Toc19989"/>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rPr>
        <w:t>0万元</w:t>
      </w:r>
      <w:bookmarkStart w:id="46" w:name="_Toc15377218"/>
      <w:r>
        <w:rPr>
          <w:rFonts w:hint="eastAsia" w:ascii="仿宋_GB2312" w:hAnsi="仿宋_GB2312" w:eastAsia="仿宋_GB2312" w:cs="仿宋_GB2312"/>
          <w:color w:val="000000"/>
          <w:sz w:val="32"/>
          <w:szCs w:val="32"/>
        </w:rPr>
        <w:t>。</w:t>
      </w:r>
      <w:bookmarkEnd w:id="45"/>
    </w:p>
    <w:p>
      <w:pPr>
        <w:snapToGrid w:val="0"/>
        <w:spacing w:line="540" w:lineRule="atLeast"/>
        <w:rPr>
          <w:rFonts w:ascii="黑体" w:hAnsi="黑体" w:eastAsia="黑体" w:cs="黑体"/>
          <w:b/>
          <w:bCs/>
          <w:color w:val="000000"/>
          <w:sz w:val="32"/>
          <w:szCs w:val="32"/>
        </w:rPr>
      </w:pPr>
      <w:bookmarkStart w:id="47" w:name="_Toc30215"/>
      <w:r>
        <w:rPr>
          <w:rFonts w:hint="eastAsia" w:ascii="黑体" w:hAnsi="黑体" w:eastAsia="黑体" w:cs="黑体"/>
          <w:b/>
          <w:bCs/>
          <w:color w:val="000000"/>
          <w:sz w:val="32"/>
          <w:szCs w:val="32"/>
        </w:rPr>
        <w:t>八、政府性基金预算支出决算情况说明</w:t>
      </w:r>
      <w:bookmarkEnd w:id="46"/>
      <w:bookmarkEnd w:id="47"/>
    </w:p>
    <w:p>
      <w:pPr>
        <w:spacing w:line="600" w:lineRule="exact"/>
        <w:ind w:firstLine="640"/>
        <w:rPr>
          <w:rFonts w:ascii="仿宋_GB2312" w:hAnsi="仿宋_GB2312" w:eastAsia="仿宋_GB2312" w:cs="仿宋_GB2312"/>
          <w:color w:val="000000"/>
          <w:sz w:val="32"/>
          <w:szCs w:val="32"/>
        </w:rPr>
      </w:pPr>
      <w:bookmarkStart w:id="48" w:name="_Toc15377219"/>
      <w:r>
        <w:rPr>
          <w:rFonts w:hint="eastAsia" w:ascii="仿宋_GB2312" w:hAnsi="仿宋_GB2312" w:eastAsia="仿宋_GB2312" w:cs="仿宋_GB2312"/>
          <w:color w:val="000000"/>
          <w:sz w:val="32"/>
          <w:szCs w:val="32"/>
        </w:rPr>
        <w:t>2020年政府性基金预算财政拨款支出0万元。</w:t>
      </w:r>
    </w:p>
    <w:p>
      <w:pPr>
        <w:snapToGrid w:val="0"/>
        <w:spacing w:line="540" w:lineRule="atLeast"/>
        <w:rPr>
          <w:rFonts w:ascii="黑体" w:hAnsi="黑体" w:eastAsia="黑体" w:cs="黑体"/>
          <w:b/>
          <w:bCs/>
          <w:color w:val="000000"/>
          <w:sz w:val="32"/>
          <w:szCs w:val="32"/>
        </w:rPr>
      </w:pPr>
      <w:bookmarkStart w:id="49" w:name="_Toc30641"/>
      <w:r>
        <w:rPr>
          <w:rFonts w:hint="eastAsia" w:ascii="黑体" w:hAnsi="黑体" w:eastAsia="黑体" w:cs="黑体"/>
          <w:b/>
          <w:bCs/>
          <w:color w:val="000000"/>
          <w:sz w:val="32"/>
          <w:szCs w:val="32"/>
        </w:rPr>
        <w:t>九、国有资本经营预算支出决算情况说明</w:t>
      </w:r>
      <w:bookmarkEnd w:id="48"/>
      <w:bookmarkEnd w:id="49"/>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2020年国有资本经营预算拨款支出0万元。</w:t>
      </w:r>
    </w:p>
    <w:p>
      <w:pPr>
        <w:snapToGrid w:val="0"/>
        <w:spacing w:line="540" w:lineRule="atLeast"/>
        <w:rPr>
          <w:rFonts w:ascii="黑体" w:hAnsi="黑体" w:eastAsia="黑体" w:cs="黑体"/>
          <w:b/>
          <w:bCs/>
          <w:color w:val="000000"/>
          <w:sz w:val="32"/>
          <w:szCs w:val="32"/>
        </w:rPr>
      </w:pPr>
      <w:bookmarkStart w:id="50" w:name="_Toc16936"/>
      <w:r>
        <w:rPr>
          <w:rFonts w:hint="eastAsia" w:ascii="黑体" w:hAnsi="黑体" w:eastAsia="黑体" w:cs="黑体"/>
          <w:b/>
          <w:bCs/>
          <w:color w:val="000000"/>
          <w:sz w:val="32"/>
          <w:szCs w:val="32"/>
        </w:rPr>
        <w:t>十、预算绩效情况说明</w:t>
      </w:r>
    </w:p>
    <w:bookmarkEnd w:id="50"/>
    <w:p>
      <w:pPr>
        <w:snapToGrid w:val="0"/>
        <w:spacing w:line="520" w:lineRule="exact"/>
        <w:ind w:firstLine="800" w:firstLineChars="250"/>
        <w:rPr>
          <w:rFonts w:ascii="仿宋_GB2312" w:hAnsi="仿宋_GB2312" w:eastAsia="仿宋_GB2312" w:cs="仿宋_GB2312"/>
          <w:color w:val="333333"/>
          <w:kern w:val="0"/>
          <w:sz w:val="32"/>
          <w:szCs w:val="32"/>
          <w:lang w:val="zh-CN"/>
        </w:rPr>
      </w:pPr>
      <w:r>
        <w:rPr>
          <w:rFonts w:hint="eastAsia" w:ascii="仿宋_GB2312" w:hAnsi="仿宋_GB2312" w:eastAsia="仿宋_GB2312" w:cs="仿宋_GB2312"/>
          <w:color w:val="333333"/>
          <w:kern w:val="0"/>
          <w:sz w:val="32"/>
          <w:szCs w:val="32"/>
          <w:lang w:val="zh-CN"/>
        </w:rPr>
        <w:t>1.按照预算绩效管理要求，本部门对2020年一般公共预算项目支出开展了绩效目标管理，</w:t>
      </w:r>
      <w:r>
        <w:rPr>
          <w:rFonts w:hint="eastAsia" w:ascii="仿宋_GB2312" w:hAnsi="仿宋_GB2312" w:eastAsia="仿宋_GB2312" w:cs="仿宋_GB2312"/>
          <w:color w:val="333333"/>
          <w:kern w:val="0"/>
          <w:sz w:val="32"/>
          <w:szCs w:val="32"/>
        </w:rPr>
        <w:t>正常完成</w:t>
      </w:r>
      <w:r>
        <w:rPr>
          <w:rFonts w:hint="eastAsia" w:ascii="仿宋_GB2312" w:hAnsi="仿宋_GB2312" w:eastAsia="仿宋_GB2312" w:cs="仿宋_GB2312"/>
          <w:color w:val="333333"/>
          <w:kern w:val="0"/>
          <w:sz w:val="32"/>
          <w:szCs w:val="32"/>
          <w:lang w:val="zh-CN"/>
        </w:rPr>
        <w:t>绩效目标。</w:t>
      </w:r>
    </w:p>
    <w:p>
      <w:pPr>
        <w:snapToGrid w:val="0"/>
        <w:spacing w:line="520" w:lineRule="exact"/>
        <w:ind w:firstLine="800" w:firstLineChars="250"/>
        <w:rPr>
          <w:rFonts w:ascii="仿宋_GB2312" w:hAnsi="仿宋_GB2312" w:eastAsia="仿宋_GB2312" w:cs="仿宋_GB2312"/>
          <w:color w:val="333333"/>
          <w:kern w:val="0"/>
          <w:sz w:val="32"/>
          <w:szCs w:val="32"/>
          <w:lang w:val="zh-CN"/>
        </w:rPr>
      </w:pPr>
      <w:r>
        <w:rPr>
          <w:rFonts w:hint="eastAsia" w:ascii="仿宋_GB2312" w:hAnsi="仿宋_GB2312" w:eastAsia="仿宋_GB2312" w:cs="仿宋_GB2312"/>
          <w:color w:val="333333"/>
          <w:kern w:val="0"/>
          <w:sz w:val="32"/>
          <w:szCs w:val="32"/>
          <w:lang w:val="zh-CN"/>
        </w:rPr>
        <w:t>2.部门整体支出绩效自评开展情况。</w:t>
      </w:r>
    </w:p>
    <w:p>
      <w:pPr>
        <w:spacing w:line="520" w:lineRule="exact"/>
        <w:ind w:firstLine="640" w:firstLineChars="200"/>
        <w:rPr>
          <w:rFonts w:ascii="仿宋_GB2312" w:hAnsi="仿宋_GB2312" w:eastAsia="仿宋_GB2312" w:cs="仿宋_GB2312"/>
          <w:color w:val="333333"/>
          <w:kern w:val="0"/>
          <w:sz w:val="32"/>
          <w:szCs w:val="32"/>
          <w:lang w:val="zh-CN"/>
        </w:rPr>
      </w:pPr>
      <w:r>
        <w:rPr>
          <w:rFonts w:hint="eastAsia" w:ascii="仿宋_GB2312" w:hAnsi="仿宋_GB2312" w:eastAsia="仿宋_GB2312" w:cs="仿宋_GB2312"/>
          <w:color w:val="333333"/>
          <w:kern w:val="0"/>
          <w:sz w:val="32"/>
          <w:szCs w:val="32"/>
          <w:lang w:val="zh-CN"/>
        </w:rPr>
        <w:t>按照预算绩效管理要求，本部门对2020年整体支出开展绩效自评，自评得分</w:t>
      </w:r>
      <w:r>
        <w:rPr>
          <w:rFonts w:hint="eastAsia" w:ascii="仿宋_GB2312" w:hAnsi="仿宋_GB2312" w:eastAsia="仿宋_GB2312" w:cs="仿宋_GB2312"/>
          <w:color w:val="333333"/>
          <w:kern w:val="0"/>
          <w:sz w:val="32"/>
          <w:szCs w:val="32"/>
        </w:rPr>
        <w:t>85.4</w:t>
      </w:r>
      <w:r>
        <w:rPr>
          <w:rFonts w:hint="eastAsia" w:ascii="仿宋_GB2312" w:hAnsi="仿宋_GB2312" w:eastAsia="仿宋_GB2312" w:cs="仿宋_GB2312"/>
          <w:color w:val="333333"/>
          <w:kern w:val="0"/>
          <w:sz w:val="32"/>
          <w:szCs w:val="32"/>
          <w:lang w:val="zh-CN"/>
        </w:rPr>
        <w:t>分。存在的问题：预算编制还需进一步细化，针对我局预算存在的问题，提出以下建议： </w:t>
      </w:r>
      <w:r>
        <w:rPr>
          <w:rFonts w:hint="eastAsia" w:ascii="仿宋_GB2312" w:hAnsi="仿宋_GB2312" w:eastAsia="仿宋_GB2312" w:cs="仿宋_GB2312"/>
          <w:color w:val="333333"/>
          <w:kern w:val="0"/>
          <w:sz w:val="32"/>
          <w:szCs w:val="32"/>
          <w:lang w:val="zh-CN"/>
        </w:rPr>
        <w:br w:type="textWrapping"/>
      </w:r>
      <w:r>
        <w:rPr>
          <w:rFonts w:hint="eastAsia" w:ascii="仿宋_GB2312" w:hAnsi="仿宋_GB2312" w:eastAsia="仿宋_GB2312" w:cs="仿宋_GB2312"/>
          <w:color w:val="333333"/>
          <w:kern w:val="0"/>
          <w:sz w:val="32"/>
          <w:szCs w:val="32"/>
          <w:lang w:val="zh-CN"/>
        </w:rPr>
        <w:t>　　遵循先有预算、后有支出的原则，加强财务管理和内部控制监督制度。严禁超预算和无预算安排支出，严格开支范围和标准，严格支出报销审核，不报销任何超范围、超标准的费用。</w:t>
      </w:r>
    </w:p>
    <w:p>
      <w:pPr>
        <w:ind w:firstLine="1280" w:firstLineChars="400"/>
        <w:rPr>
          <w:rFonts w:ascii="仿宋_GB2312" w:hAnsi="仿宋_GB2312" w:eastAsia="仿宋_GB2312" w:cs="仿宋_GB2312"/>
          <w:color w:val="333333"/>
          <w:kern w:val="0"/>
          <w:sz w:val="28"/>
          <w:szCs w:val="28"/>
          <w:lang w:val="zh-CN"/>
        </w:rPr>
      </w:pPr>
      <w:r>
        <w:rPr>
          <w:rFonts w:hint="eastAsia" w:ascii="仿宋_GB2312" w:hAnsi="仿宋_GB2312" w:eastAsia="仿宋_GB2312" w:cs="仿宋_GB2312"/>
          <w:color w:val="000000"/>
          <w:sz w:val="32"/>
          <w:szCs w:val="32"/>
        </w:rPr>
        <w:t>2020年部门整体支出绩效评价得分表</w:t>
      </w:r>
    </w:p>
    <w:tbl>
      <w:tblPr>
        <w:tblStyle w:val="13"/>
        <w:tblpPr w:leftFromText="180" w:rightFromText="180" w:vertAnchor="text" w:horzAnchor="page" w:tblpXSpec="center" w:tblpY="584"/>
        <w:tblOverlap w:val="never"/>
        <w:tblW w:w="11215" w:type="dxa"/>
        <w:jc w:val="center"/>
        <w:tblLayout w:type="autofit"/>
        <w:tblCellMar>
          <w:top w:w="0" w:type="dxa"/>
          <w:left w:w="0" w:type="dxa"/>
          <w:bottom w:w="0" w:type="dxa"/>
          <w:right w:w="0" w:type="dxa"/>
        </w:tblCellMar>
      </w:tblPr>
      <w:tblGrid>
        <w:gridCol w:w="682"/>
        <w:gridCol w:w="510"/>
        <w:gridCol w:w="714"/>
        <w:gridCol w:w="997"/>
        <w:gridCol w:w="1082"/>
        <w:gridCol w:w="3935"/>
        <w:gridCol w:w="426"/>
        <w:gridCol w:w="501"/>
        <w:gridCol w:w="503"/>
        <w:gridCol w:w="501"/>
        <w:gridCol w:w="503"/>
        <w:gridCol w:w="861"/>
      </w:tblGrid>
      <w:tr>
        <w:tblPrEx>
          <w:tblCellMar>
            <w:top w:w="0" w:type="dxa"/>
            <w:left w:w="0" w:type="dxa"/>
            <w:bottom w:w="0" w:type="dxa"/>
            <w:right w:w="0" w:type="dxa"/>
          </w:tblCellMar>
        </w:tblPrEx>
        <w:trPr>
          <w:trHeight w:val="614" w:hRule="atLeast"/>
          <w:jc w:val="center"/>
        </w:trPr>
        <w:tc>
          <w:tcPr>
            <w:tcW w:w="18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cs="宋体"/>
                <w:b/>
                <w:color w:val="000000"/>
                <w:sz w:val="24"/>
              </w:rPr>
            </w:pPr>
            <w:r>
              <w:rPr>
                <w:rFonts w:hint="eastAsia" w:ascii="宋体" w:hAnsi="宋体" w:cs="宋体"/>
                <w:b/>
                <w:color w:val="000000"/>
                <w:kern w:val="0"/>
                <w:sz w:val="24"/>
              </w:rPr>
              <w:t>绩效指标</w:t>
            </w:r>
          </w:p>
        </w:tc>
        <w:tc>
          <w:tcPr>
            <w:tcW w:w="10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指标分值</w:t>
            </w:r>
          </w:p>
        </w:tc>
        <w:tc>
          <w:tcPr>
            <w:tcW w:w="10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指标解释</w:t>
            </w:r>
          </w:p>
        </w:tc>
        <w:tc>
          <w:tcPr>
            <w:tcW w:w="3947"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计分标准</w:t>
            </w:r>
          </w:p>
        </w:tc>
        <w:tc>
          <w:tcPr>
            <w:tcW w:w="426"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得分</w:t>
            </w:r>
          </w:p>
        </w:tc>
        <w:tc>
          <w:tcPr>
            <w:tcW w:w="10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评价方式</w:t>
            </w:r>
          </w:p>
        </w:tc>
        <w:tc>
          <w:tcPr>
            <w:tcW w:w="10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评价属性</w:t>
            </w:r>
          </w:p>
        </w:tc>
        <w:tc>
          <w:tcPr>
            <w:tcW w:w="8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备注</w:t>
            </w:r>
          </w:p>
        </w:tc>
      </w:tr>
      <w:tr>
        <w:tblPrEx>
          <w:tblCellMar>
            <w:top w:w="0" w:type="dxa"/>
            <w:left w:w="0" w:type="dxa"/>
            <w:bottom w:w="0" w:type="dxa"/>
            <w:right w:w="0" w:type="dxa"/>
          </w:tblCellMar>
        </w:tblPrEx>
        <w:trPr>
          <w:trHeight w:val="1244"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一级指标</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二级指标</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三级指标</w:t>
            </w:r>
          </w:p>
        </w:tc>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p>
        </w:tc>
        <w:tc>
          <w:tcPr>
            <w:tcW w:w="1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p>
        </w:tc>
        <w:tc>
          <w:tcPr>
            <w:tcW w:w="3947"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p>
        </w:tc>
        <w:tc>
          <w:tcPr>
            <w:tcW w:w="42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p>
        </w:tc>
        <w:tc>
          <w:tcPr>
            <w:tcW w:w="50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整体评价</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样本评价</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定性评价</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定量评价</w:t>
            </w: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p>
        </w:tc>
      </w:tr>
      <w:tr>
        <w:tblPrEx>
          <w:tblCellMar>
            <w:top w:w="0" w:type="dxa"/>
            <w:left w:w="0" w:type="dxa"/>
            <w:bottom w:w="0" w:type="dxa"/>
            <w:right w:w="0" w:type="dxa"/>
          </w:tblCellMar>
        </w:tblPrEx>
        <w:trPr>
          <w:trHeight w:val="2463"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部门预算管理（80分）</w:t>
            </w:r>
          </w:p>
        </w:tc>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预算编制（30分）</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目标制定</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10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评价部门绩效目标是否要素完整、细化量化。</w:t>
            </w:r>
          </w:p>
        </w:tc>
        <w:tc>
          <w:tcPr>
            <w:tcW w:w="3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 xml:space="preserve">1.绩效目标编制要素完整的，得5分，否则酌情扣分。                                                       2.绩效指标细化量化的，得5分，否则酌情扣分。                  有项目绩效目标的部门（单位），根据项目绩效目标编制质量打分，无项目绩效目标的部门，根据部门整体支出绩效目标打分。                                                                    </w:t>
            </w: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4"/>
              </w:rPr>
              <w:t>9</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r>
      <w:tr>
        <w:tblPrEx>
          <w:tblCellMar>
            <w:top w:w="0" w:type="dxa"/>
            <w:left w:w="0" w:type="dxa"/>
            <w:bottom w:w="0" w:type="dxa"/>
            <w:right w:w="0" w:type="dxa"/>
          </w:tblCellMar>
        </w:tblPrEx>
        <w:trPr>
          <w:trHeight w:val="672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目标实现</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10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评价部门绩效目标实际实现程度与预期目标的偏离度。</w:t>
            </w:r>
          </w:p>
        </w:tc>
        <w:tc>
          <w:tcPr>
            <w:tcW w:w="3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以项目完成数量为核心，评价项目实际完成情况</w:t>
            </w:r>
            <w:r>
              <w:rPr>
                <w:rFonts w:hint="eastAsia" w:ascii="宋体" w:hAnsi="宋体" w:cs="宋体"/>
                <w:color w:val="000000"/>
                <w:kern w:val="0"/>
                <w:sz w:val="24"/>
                <w:lang w:eastAsia="zh-CN"/>
              </w:rPr>
              <w:t>与</w:t>
            </w:r>
            <w:r>
              <w:rPr>
                <w:rFonts w:hint="eastAsia" w:ascii="宋体" w:hAnsi="宋体" w:cs="宋体"/>
                <w:color w:val="000000"/>
                <w:kern w:val="0"/>
                <w:sz w:val="24"/>
              </w:rPr>
              <w:t>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4"/>
              </w:rPr>
              <w:t>9.9</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评价组评价范围为部门机关及至少2个下属单位的所有纳入绩效目标管理的部门预算项目，部门自评范围为部门所有纳入绩效目标管理的部门预算项目</w:t>
            </w:r>
          </w:p>
        </w:tc>
      </w:tr>
      <w:tr>
        <w:tblPrEx>
          <w:tblCellMar>
            <w:top w:w="0" w:type="dxa"/>
            <w:left w:w="0" w:type="dxa"/>
            <w:bottom w:w="0" w:type="dxa"/>
            <w:right w:w="0" w:type="dxa"/>
          </w:tblCellMar>
        </w:tblPrEx>
        <w:trPr>
          <w:trHeight w:val="1774"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编制准确</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10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评价部门年初预算编制是否科学准确。</w:t>
            </w:r>
          </w:p>
        </w:tc>
        <w:tc>
          <w:tcPr>
            <w:tcW w:w="3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指标得分=（1-（10×部门全年预算调剂金额/年初部门预算数））*指标分值。其中：若部门全年预算调剂金额/年初部门预算数</w:t>
            </w:r>
            <w:r>
              <w:rPr>
                <w:rFonts w:hint="eastAsia" w:ascii="宋体" w:hAnsi="宋体" w:cs="宋体"/>
                <w:color w:val="000000"/>
                <w:kern w:val="0"/>
                <w:sz w:val="24"/>
                <w:lang w:eastAsia="zh-CN"/>
              </w:rPr>
              <w:t>〉</w:t>
            </w:r>
            <w:r>
              <w:rPr>
                <w:rFonts w:hint="eastAsia" w:ascii="宋体" w:hAnsi="宋体" w:cs="宋体"/>
                <w:color w:val="000000"/>
                <w:kern w:val="0"/>
                <w:sz w:val="24"/>
              </w:rPr>
              <w:t>0.1，此项得0分。</w:t>
            </w: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4"/>
              </w:rPr>
              <w:t>9.5</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r>
      <w:tr>
        <w:tblPrEx>
          <w:tblCellMar>
            <w:top w:w="0" w:type="dxa"/>
            <w:left w:w="0" w:type="dxa"/>
            <w:bottom w:w="0" w:type="dxa"/>
            <w:right w:w="0" w:type="dxa"/>
          </w:tblCellMar>
        </w:tblPrEx>
        <w:trPr>
          <w:trHeight w:val="2515"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预算执行（30分）</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支出控制</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10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部门公用经费及非定额公用支出控制情况。</w:t>
            </w:r>
          </w:p>
        </w:tc>
        <w:tc>
          <w:tcPr>
            <w:tcW w:w="3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计算部门日常公用经费、项目支出中“办公费、印刷费、水费、电费、物业管理费”等科目年初预算数与决算数偏差程度                                                              预决算偏差程度在10%以内的，得10分。偏差度在10%-20%之间的，得5分，偏差度超过20%的，不得分。</w:t>
            </w: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4"/>
              </w:rPr>
              <w:t>8.5</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r>
      <w:tr>
        <w:tblPrEx>
          <w:tblCellMar>
            <w:top w:w="0" w:type="dxa"/>
            <w:left w:w="0" w:type="dxa"/>
            <w:bottom w:w="0" w:type="dxa"/>
            <w:right w:w="0" w:type="dxa"/>
          </w:tblCellMar>
        </w:tblPrEx>
        <w:trPr>
          <w:trHeight w:val="3377"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动态调整</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10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评价部门开展绩效运行监控后，将绩效监控结果应用到预算调整的情况。</w:t>
            </w:r>
          </w:p>
        </w:tc>
        <w:tc>
          <w:tcPr>
            <w:tcW w:w="3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1.当部门绩效监控调整取消额和结余注销额均不为零时，指标得分=部门项目支出绩效监控调整取消额÷</w:t>
            </w:r>
            <w:r>
              <w:rPr>
                <w:rFonts w:hint="eastAsia" w:ascii="宋体" w:hAnsi="宋体" w:cs="宋体"/>
                <w:color w:val="000000"/>
                <w:kern w:val="0"/>
                <w:sz w:val="24"/>
                <w:lang w:eastAsia="zh-CN"/>
              </w:rPr>
              <w:t>（</w:t>
            </w:r>
            <w:r>
              <w:rPr>
                <w:rFonts w:hint="eastAsia" w:ascii="宋体" w:hAnsi="宋体" w:cs="宋体"/>
                <w:color w:val="000000"/>
                <w:kern w:val="0"/>
                <w:sz w:val="24"/>
              </w:rPr>
              <w:t xml:space="preserve">部门绩效监控调整取消额+预算结余注销额）*10                                                  2.当部门绩效监控调整取消额为零，结余注销额不为零时，指标得分=（1-10*结余注销额/年度预算总额）*10，结余注销额超过部门年度预算总额10%的，指标不得分。                  3.当部门绩效监控调整取消额与结余注销额均为零时，得满分。                                                             </w:t>
            </w: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4"/>
              </w:rPr>
              <w:t>8.5</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r>
      <w:tr>
        <w:tblPrEx>
          <w:tblCellMar>
            <w:top w:w="0" w:type="dxa"/>
            <w:left w:w="0" w:type="dxa"/>
            <w:bottom w:w="0" w:type="dxa"/>
            <w:right w:w="0" w:type="dxa"/>
          </w:tblCellMar>
        </w:tblPrEx>
        <w:trPr>
          <w:trHeight w:val="2158"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执行进度</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10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评价部门在6、9、11月的预算执行情况。</w:t>
            </w:r>
          </w:p>
        </w:tc>
        <w:tc>
          <w:tcPr>
            <w:tcW w:w="3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部门预算执行进度在6、9、11月应达到序时进度的80%、90%、90%，即实际支出进度分别达到40%、67.5%、82.5%。                                                     6、9、11月部门预算执行进度达到量化指标的分别得3、4、3分，未达到目标进度</w:t>
            </w:r>
            <w:r>
              <w:rPr>
                <w:rFonts w:hint="eastAsia" w:ascii="宋体" w:hAnsi="宋体" w:cs="宋体"/>
                <w:color w:val="000000"/>
                <w:kern w:val="0"/>
                <w:sz w:val="24"/>
                <w:lang w:eastAsia="zh-CN"/>
              </w:rPr>
              <w:t>的</w:t>
            </w:r>
            <w:r>
              <w:rPr>
                <w:rFonts w:hint="eastAsia" w:ascii="宋体" w:hAnsi="宋体" w:cs="宋体"/>
                <w:color w:val="000000"/>
                <w:kern w:val="0"/>
                <w:sz w:val="24"/>
              </w:rPr>
              <w:t xml:space="preserve">按其实际进度占目标进度的比重计算得分。                                             </w:t>
            </w: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4"/>
              </w:rPr>
              <w:t>10</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r>
      <w:tr>
        <w:tblPrEx>
          <w:tblCellMar>
            <w:top w:w="0" w:type="dxa"/>
            <w:left w:w="0" w:type="dxa"/>
            <w:bottom w:w="0" w:type="dxa"/>
            <w:right w:w="0" w:type="dxa"/>
          </w:tblCellMar>
        </w:tblPrEx>
        <w:trPr>
          <w:trHeight w:val="1478"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完成结果（20分）</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预算完成</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10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评价部门预算项目年终预算执行情况。</w:t>
            </w:r>
          </w:p>
        </w:tc>
        <w:tc>
          <w:tcPr>
            <w:tcW w:w="3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部门预算项目12月预算执行进度达到100%的，得10分，未达100%的，按照实际进度量化计算得分。</w:t>
            </w: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4"/>
              </w:rPr>
              <w:t>10</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r>
      <w:tr>
        <w:tblPrEx>
          <w:tblCellMar>
            <w:top w:w="0" w:type="dxa"/>
            <w:left w:w="0" w:type="dxa"/>
            <w:bottom w:w="0" w:type="dxa"/>
            <w:right w:w="0" w:type="dxa"/>
          </w:tblCellMar>
        </w:tblPrEx>
        <w:trPr>
          <w:trHeight w:val="2463"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违规记录</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10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根据审计监督、财政检查结果反映部门上一年度部门预算管理是否合规。</w:t>
            </w:r>
          </w:p>
        </w:tc>
        <w:tc>
          <w:tcPr>
            <w:tcW w:w="3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依据评价年度审计监督、财政检查结果，出现部门预算管理方面违纪违规问题的，每个问题扣0.5分，直至扣完。</w:t>
            </w: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4"/>
              </w:rPr>
              <w:t>10</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4"/>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4"/>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r>
      <w:tr>
        <w:tblPrEx>
          <w:tblCellMar>
            <w:top w:w="0" w:type="dxa"/>
            <w:left w:w="0" w:type="dxa"/>
            <w:bottom w:w="0" w:type="dxa"/>
            <w:right w:w="0" w:type="dxa"/>
          </w:tblCellMar>
        </w:tblPrEx>
        <w:trPr>
          <w:trHeight w:val="2767"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绩效结果应用（10分）</w:t>
            </w:r>
          </w:p>
        </w:tc>
        <w:tc>
          <w:tcPr>
            <w:tcW w:w="48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信息公开（2分</w:t>
            </w:r>
            <w:r>
              <w:rPr>
                <w:rFonts w:hint="eastAsia" w:ascii="宋体" w:hAnsi="宋体" w:cs="宋体"/>
                <w:color w:val="000000"/>
                <w:kern w:val="0"/>
                <w:sz w:val="24"/>
                <w:lang w:eastAsia="zh-CN"/>
              </w:rPr>
              <w:t>）</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自评公开</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w:t>
            </w:r>
          </w:p>
        </w:tc>
        <w:tc>
          <w:tcPr>
            <w:tcW w:w="10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评价部门是否按要求将部门整体绩效自评情况和自行组织的评价情况向社会公开。</w:t>
            </w:r>
          </w:p>
        </w:tc>
        <w:tc>
          <w:tcPr>
            <w:tcW w:w="3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按要求将相关绩效信息随同决算公开的，得2分，否则不得分。</w:t>
            </w: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4"/>
              </w:rPr>
              <w:t>2</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r>
      <w:tr>
        <w:tblPrEx>
          <w:tblCellMar>
            <w:top w:w="0" w:type="dxa"/>
            <w:left w:w="0" w:type="dxa"/>
            <w:bottom w:w="0" w:type="dxa"/>
            <w:right w:w="0" w:type="dxa"/>
          </w:tblCellMar>
        </w:tblPrEx>
        <w:trPr>
          <w:trHeight w:val="2158"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整改反馈（8分）</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结果整改</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10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评价部门根据绩效管理结果整改问题、完善政策、改进管理的情况。</w:t>
            </w:r>
          </w:p>
        </w:tc>
        <w:tc>
          <w:tcPr>
            <w:tcW w:w="3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针对绩效管理过程中（包括绩效目标核查、绩效监控核查和重点绩效评价）提出的问题进行整改，将绩效管理结果应用于完善政策、改进管理、预算挂钩等的，得4分。否则，酌情扣分。</w:t>
            </w: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4"/>
              </w:rPr>
              <w:t>4</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r>
      <w:tr>
        <w:tblPrEx>
          <w:tblCellMar>
            <w:top w:w="0" w:type="dxa"/>
            <w:left w:w="0" w:type="dxa"/>
            <w:bottom w:w="0" w:type="dxa"/>
            <w:right w:w="0" w:type="dxa"/>
          </w:tblCellMar>
        </w:tblPrEx>
        <w:trPr>
          <w:trHeight w:val="1853"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应用反馈</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10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评价部门按要求及时向财政部门反馈结果应用情况。</w:t>
            </w:r>
          </w:p>
        </w:tc>
        <w:tc>
          <w:tcPr>
            <w:tcW w:w="3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部门在规定时间内向财政部门反馈应用绩效结果报告的，得满分，否则不得分。</w:t>
            </w: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4"/>
              </w:rPr>
              <w:t>4</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4"/>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r>
      <w:tr>
        <w:tblPrEx>
          <w:tblCellMar>
            <w:top w:w="0" w:type="dxa"/>
            <w:left w:w="0" w:type="dxa"/>
            <w:bottom w:w="0" w:type="dxa"/>
            <w:right w:w="0" w:type="dxa"/>
          </w:tblCellMar>
        </w:tblPrEx>
        <w:trPr>
          <w:trHeight w:val="1853" w:hRule="atLeast"/>
          <w:jc w:val="center"/>
        </w:trPr>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自评质量（10分）</w:t>
            </w:r>
          </w:p>
        </w:tc>
        <w:tc>
          <w:tcPr>
            <w:tcW w:w="486"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自评质量（10分）</w:t>
            </w:r>
          </w:p>
        </w:tc>
        <w:tc>
          <w:tcPr>
            <w:tcW w:w="716"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自评准确</w:t>
            </w:r>
          </w:p>
        </w:tc>
        <w:tc>
          <w:tcPr>
            <w:tcW w:w="1000"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1084"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评价部门整体支出自评准确率。</w:t>
            </w:r>
          </w:p>
        </w:tc>
        <w:tc>
          <w:tcPr>
            <w:tcW w:w="3947"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部门整体支出自评得分与评价组抽查得分差异在5%以内的，不扣分；在5%-10%之间的，扣4分，在10%-20%的，扣8分，在20%以上的，扣10分。（部门在自评时，此项指标无需打分，部门自评满分为90分）</w:t>
            </w:r>
          </w:p>
        </w:tc>
        <w:tc>
          <w:tcPr>
            <w:tcW w:w="42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5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5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5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5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86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r>
      <w:tr>
        <w:tblPrEx>
          <w:tblCellMar>
            <w:top w:w="0" w:type="dxa"/>
            <w:left w:w="0" w:type="dxa"/>
            <w:bottom w:w="0" w:type="dxa"/>
            <w:right w:w="0" w:type="dxa"/>
          </w:tblCellMar>
        </w:tblPrEx>
        <w:trPr>
          <w:trHeight w:val="410" w:hRule="atLeast"/>
          <w:jc w:val="center"/>
        </w:trPr>
        <w:tc>
          <w:tcPr>
            <w:tcW w:w="791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合计</w:t>
            </w:r>
          </w:p>
        </w:tc>
        <w:tc>
          <w:tcPr>
            <w:tcW w:w="329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85.4</w:t>
            </w:r>
          </w:p>
        </w:tc>
      </w:tr>
    </w:tbl>
    <w:p>
      <w:pPr>
        <w:pStyle w:val="12"/>
        <w:widowControl/>
        <w:spacing w:line="520" w:lineRule="exact"/>
        <w:jc w:val="both"/>
        <w:rPr>
          <w:rFonts w:ascii="仿宋_GB2312" w:hAnsi="仿宋_GB2312" w:eastAsia="仿宋_GB2312" w:cs="仿宋_GB2312"/>
          <w:color w:val="333333"/>
          <w:sz w:val="28"/>
          <w:szCs w:val="28"/>
          <w:lang w:val="zh-CN"/>
        </w:rPr>
      </w:pPr>
    </w:p>
    <w:p>
      <w:pPr>
        <w:snapToGrid w:val="0"/>
        <w:spacing w:line="540" w:lineRule="atLeast"/>
        <w:rPr>
          <w:rFonts w:ascii="黑体" w:hAnsi="黑体" w:eastAsia="黑体" w:cs="黑体"/>
          <w:b/>
          <w:bCs/>
          <w:color w:val="000000"/>
          <w:sz w:val="32"/>
          <w:szCs w:val="32"/>
        </w:rPr>
      </w:pPr>
      <w:bookmarkStart w:id="51" w:name="_Toc15377221"/>
      <w:bookmarkStart w:id="52" w:name="_Toc145"/>
      <w:r>
        <w:rPr>
          <w:rFonts w:hint="eastAsia" w:ascii="黑体" w:hAnsi="黑体" w:eastAsia="黑体" w:cs="黑体"/>
          <w:b/>
          <w:bCs/>
          <w:color w:val="000000"/>
          <w:sz w:val="32"/>
          <w:szCs w:val="32"/>
        </w:rPr>
        <w:t>十一、其他重要事项的情况说明</w:t>
      </w:r>
      <w:bookmarkEnd w:id="51"/>
      <w:bookmarkEnd w:id="52"/>
    </w:p>
    <w:p>
      <w:pPr>
        <w:spacing w:line="600" w:lineRule="exact"/>
        <w:ind w:firstLine="643" w:firstLineChars="200"/>
        <w:rPr>
          <w:rFonts w:ascii="仿宋_GB2312" w:hAnsi="仿宋_GB2312" w:eastAsia="仿宋_GB2312" w:cs="仿宋_GB2312"/>
          <w:color w:val="000000"/>
          <w:sz w:val="32"/>
          <w:szCs w:val="32"/>
        </w:rPr>
      </w:pPr>
      <w:bookmarkStart w:id="53" w:name="_Toc15377225"/>
      <w:r>
        <w:rPr>
          <w:rFonts w:hint="eastAsia" w:ascii="仿宋_GB2312" w:hAnsi="仿宋_GB2312" w:eastAsia="仿宋_GB2312" w:cs="仿宋_GB2312"/>
          <w:b/>
          <w:color w:val="000000"/>
          <w:sz w:val="32"/>
          <w:szCs w:val="32"/>
        </w:rPr>
        <w:t>（一）机关运行经费支出情况</w:t>
      </w:r>
    </w:p>
    <w:p>
      <w:pPr>
        <w:spacing w:line="600" w:lineRule="exact"/>
        <w:ind w:firstLine="800" w:firstLineChars="250"/>
        <w:rPr>
          <w:rFonts w:ascii="仿宋_GB2312" w:eastAsia="仿宋_GB2312"/>
          <w:color w:val="000000"/>
          <w:sz w:val="30"/>
          <w:szCs w:val="30"/>
        </w:rPr>
      </w:pPr>
      <w:r>
        <w:rPr>
          <w:rFonts w:ascii="仿宋_GB2312" w:eastAsia="仿宋_GB2312"/>
          <w:color w:val="000000"/>
          <w:sz w:val="32"/>
          <w:szCs w:val="32"/>
        </w:rPr>
        <w:t>2020</w:t>
      </w:r>
      <w:r>
        <w:rPr>
          <w:rFonts w:hint="eastAsia" w:ascii="仿宋_GB2312" w:eastAsia="仿宋_GB2312"/>
          <w:color w:val="000000"/>
          <w:sz w:val="32"/>
          <w:szCs w:val="32"/>
        </w:rPr>
        <w:t>年度，中国共产主义青年团金川县委员会机关运行经费</w:t>
      </w:r>
      <w:r>
        <w:rPr>
          <w:rFonts w:ascii="仿宋_GB2312" w:eastAsia="仿宋_GB2312"/>
          <w:color w:val="000000"/>
          <w:sz w:val="32"/>
          <w:szCs w:val="32"/>
        </w:rPr>
        <w:t>18.58</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（二）政府采购支出情况</w:t>
      </w:r>
    </w:p>
    <w:p>
      <w:pPr>
        <w:spacing w:line="600" w:lineRule="exact"/>
        <w:ind w:firstLine="800" w:firstLineChars="250"/>
        <w:rPr>
          <w:rFonts w:ascii="仿宋_GB2312" w:eastAsia="仿宋_GB2312"/>
          <w:color w:val="000000"/>
          <w:sz w:val="32"/>
          <w:szCs w:val="32"/>
        </w:rPr>
      </w:pPr>
      <w:r>
        <w:rPr>
          <w:rFonts w:hint="eastAsia" w:ascii="仿宋_GB2312" w:eastAsia="仿宋_GB2312"/>
          <w:color w:val="000000"/>
          <w:sz w:val="32"/>
          <w:szCs w:val="32"/>
        </w:rPr>
        <w:t>中国共产主义青年团金川县委员会</w:t>
      </w:r>
      <w:r>
        <w:rPr>
          <w:rFonts w:ascii="仿宋_GB2312" w:eastAsia="仿宋_GB2312"/>
          <w:color w:val="000000"/>
          <w:sz w:val="32"/>
          <w:szCs w:val="32"/>
        </w:rPr>
        <w:t>2020</w:t>
      </w:r>
      <w:r>
        <w:rPr>
          <w:rFonts w:hint="eastAsia" w:ascii="仿宋_GB2312" w:eastAsia="仿宋_GB2312"/>
          <w:color w:val="000000"/>
          <w:sz w:val="32"/>
          <w:szCs w:val="32"/>
        </w:rPr>
        <w:t>年采购支出</w:t>
      </w:r>
      <w:r>
        <w:rPr>
          <w:rFonts w:ascii="仿宋_GB2312" w:eastAsia="仿宋_GB2312"/>
          <w:color w:val="000000"/>
          <w:sz w:val="32"/>
          <w:szCs w:val="32"/>
        </w:rPr>
        <w:t>1.06</w:t>
      </w:r>
      <w:r>
        <w:rPr>
          <w:rFonts w:hint="eastAsia" w:ascii="仿宋_GB2312" w:eastAsia="仿宋_GB2312"/>
          <w:color w:val="000000"/>
          <w:sz w:val="32"/>
          <w:szCs w:val="32"/>
        </w:rPr>
        <w:t>万元。</w:t>
      </w:r>
    </w:p>
    <w:p>
      <w:pPr>
        <w:spacing w:line="600" w:lineRule="exact"/>
        <w:ind w:firstLine="803" w:firstLineChars="25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（三）国有资产占有使用情况</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日，我委有公务用车辆</w:t>
      </w:r>
      <w:r>
        <w:rPr>
          <w:rFonts w:ascii="仿宋_GB2312" w:eastAsia="仿宋_GB2312"/>
          <w:color w:val="000000"/>
          <w:sz w:val="32"/>
          <w:szCs w:val="32"/>
        </w:rPr>
        <w:t>1</w:t>
      </w:r>
      <w:r>
        <w:rPr>
          <w:rFonts w:hint="eastAsia" w:ascii="仿宋_GB2312" w:eastAsia="仿宋_GB2312"/>
          <w:color w:val="000000"/>
          <w:sz w:val="32"/>
          <w:szCs w:val="32"/>
        </w:rPr>
        <w:t>辆，为一般公务用车，但已经在走报废程序，无法使用；无单价</w:t>
      </w:r>
      <w:r>
        <w:rPr>
          <w:rFonts w:ascii="仿宋_GB2312" w:eastAsia="仿宋_GB2312"/>
          <w:color w:val="000000"/>
          <w:sz w:val="32"/>
          <w:szCs w:val="32"/>
        </w:rPr>
        <w:t>50</w:t>
      </w:r>
      <w:r>
        <w:rPr>
          <w:rFonts w:hint="eastAsia" w:ascii="仿宋_GB2312" w:eastAsia="仿宋_GB2312"/>
          <w:color w:val="000000"/>
          <w:sz w:val="32"/>
          <w:szCs w:val="32"/>
        </w:rPr>
        <w:t>万元以上通用设备，无单价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p>
    <w:bookmarkEnd w:id="53"/>
    <w:p>
      <w:pPr>
        <w:numPr>
          <w:ilvl w:val="0"/>
          <w:numId w:val="2"/>
        </w:numPr>
        <w:spacing w:line="600" w:lineRule="exact"/>
        <w:ind w:firstLine="663" w:firstLineChars="150"/>
        <w:jc w:val="center"/>
        <w:outlineLvl w:val="0"/>
        <w:rPr>
          <w:rStyle w:val="17"/>
          <w:rFonts w:ascii="黑体" w:eastAsia="黑体"/>
          <w:b w:val="0"/>
        </w:rPr>
      </w:pPr>
      <w:bookmarkStart w:id="54" w:name="_Toc1877"/>
      <w:r>
        <w:rPr>
          <w:rFonts w:hint="eastAsia" w:ascii="黑体" w:eastAsia="黑体"/>
          <w:b/>
          <w:color w:val="000000"/>
          <w:sz w:val="44"/>
          <w:szCs w:val="44"/>
        </w:rPr>
        <w:t>名</w:t>
      </w:r>
      <w:r>
        <w:rPr>
          <w:rStyle w:val="17"/>
          <w:rFonts w:hint="eastAsia" w:ascii="黑体" w:eastAsia="黑体"/>
          <w:b w:val="0"/>
        </w:rPr>
        <w:t>词解释</w:t>
      </w:r>
      <w:bookmarkEnd w:id="54"/>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5" w:name="_Toc15396614"/>
      <w:bookmarkStart w:id="56"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3"/>
        <w:rPr>
          <w:rStyle w:val="17"/>
          <w:rFonts w:ascii="仿宋" w:eastAsia="仿宋"/>
          <w:b w:val="0"/>
          <w:bCs w:val="0"/>
          <w:sz w:val="32"/>
          <w:szCs w:val="32"/>
        </w:rPr>
      </w:pPr>
      <w:bookmarkStart w:id="57" w:name="_Toc15396615"/>
    </w:p>
    <w:p>
      <w:pPr>
        <w:rPr>
          <w:rStyle w:val="17"/>
          <w:rFonts w:ascii="仿宋" w:eastAsia="仿宋"/>
          <w:b w:val="0"/>
          <w:bCs w:val="0"/>
          <w:sz w:val="32"/>
          <w:szCs w:val="32"/>
        </w:rPr>
      </w:pPr>
    </w:p>
    <w:p>
      <w:pPr>
        <w:rPr>
          <w:rStyle w:val="17"/>
          <w:rFonts w:ascii="仿宋" w:eastAsia="仿宋"/>
          <w:b w:val="0"/>
          <w:bCs w:val="0"/>
          <w:sz w:val="32"/>
          <w:szCs w:val="32"/>
        </w:rPr>
      </w:pPr>
    </w:p>
    <w:p>
      <w:pPr>
        <w:rPr>
          <w:rStyle w:val="17"/>
          <w:rFonts w:ascii="仿宋" w:eastAsia="仿宋"/>
          <w:b w:val="0"/>
          <w:bCs w:val="0"/>
          <w:sz w:val="32"/>
          <w:szCs w:val="32"/>
        </w:rPr>
      </w:pPr>
    </w:p>
    <w:p>
      <w:pPr>
        <w:rPr>
          <w:rStyle w:val="17"/>
          <w:rFonts w:ascii="仿宋" w:eastAsia="仿宋"/>
          <w:b w:val="0"/>
          <w:bCs w:val="0"/>
          <w:sz w:val="32"/>
          <w:szCs w:val="32"/>
        </w:rPr>
      </w:pPr>
    </w:p>
    <w:p>
      <w:pPr>
        <w:pStyle w:val="3"/>
        <w:spacing w:before="0" w:after="0" w:line="240" w:lineRule="auto"/>
        <w:rPr>
          <w:rStyle w:val="17"/>
          <w:rFonts w:ascii="仿宋" w:eastAsia="仿宋"/>
          <w:b w:val="0"/>
          <w:bCs w:val="0"/>
          <w:sz w:val="32"/>
          <w:szCs w:val="32"/>
        </w:rPr>
      </w:pPr>
      <w:bookmarkStart w:id="58" w:name="_Toc6843"/>
      <w:r>
        <w:rPr>
          <w:rStyle w:val="17"/>
          <w:rFonts w:hint="eastAsia" w:ascii="仿宋" w:eastAsia="仿宋"/>
          <w:b w:val="0"/>
          <w:bCs w:val="0"/>
          <w:sz w:val="32"/>
          <w:szCs w:val="32"/>
        </w:rPr>
        <w:t>附件1</w:t>
      </w:r>
      <w:bookmarkEnd w:id="57"/>
      <w:bookmarkEnd w:id="58"/>
    </w:p>
    <w:p>
      <w:pPr>
        <w:numPr>
          <w:ilvl w:val="0"/>
          <w:numId w:val="2"/>
        </w:numPr>
        <w:spacing w:line="600" w:lineRule="exact"/>
        <w:ind w:firstLine="660" w:firstLineChars="150"/>
        <w:jc w:val="center"/>
        <w:outlineLvl w:val="0"/>
        <w:rPr>
          <w:rStyle w:val="17"/>
          <w:rFonts w:ascii="黑体" w:eastAsia="黑体"/>
          <w:b w:val="0"/>
        </w:rPr>
      </w:pPr>
      <w:bookmarkStart w:id="59" w:name="_Toc24680"/>
      <w:r>
        <w:rPr>
          <w:rStyle w:val="17"/>
          <w:rFonts w:hint="eastAsia" w:ascii="黑体" w:eastAsia="黑体"/>
          <w:b w:val="0"/>
        </w:rPr>
        <w:t>附件</w:t>
      </w:r>
      <w:bookmarkEnd w:id="55"/>
      <w:bookmarkEnd w:id="59"/>
    </w:p>
    <w:p>
      <w:pPr>
        <w:outlineLvl w:val="0"/>
        <w:rPr>
          <w:rStyle w:val="17"/>
          <w:rFonts w:ascii="黑体" w:eastAsia="黑体"/>
          <w:b w:val="0"/>
        </w:rPr>
      </w:pPr>
    </w:p>
    <w:bookmarkEnd w:id="56"/>
    <w:p>
      <w:pPr>
        <w:widowControl/>
        <w:spacing w:line="56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共青团金川县委</w:t>
      </w:r>
    </w:p>
    <w:p>
      <w:pPr>
        <w:widowControl/>
        <w:spacing w:line="56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2020年部门整体支出绩效报告</w:t>
      </w:r>
    </w:p>
    <w:p>
      <w:pPr>
        <w:widowControl/>
        <w:spacing w:line="560" w:lineRule="exact"/>
        <w:jc w:val="center"/>
        <w:rPr>
          <w:rFonts w:ascii="黑体" w:hAnsi="宋体" w:eastAsia="黑体" w:cs="宋体"/>
          <w:color w:val="000000"/>
          <w:kern w:val="0"/>
        </w:rPr>
      </w:pPr>
      <w:r>
        <w:rPr>
          <w:rFonts w:hint="eastAsia" w:ascii="仿宋_GB2312" w:hAnsi="宋体" w:eastAsia="仿宋_GB2312" w:cs="仿宋_GB2312"/>
          <w:sz w:val="32"/>
        </w:rPr>
        <w:t xml:space="preserve"> </w:t>
      </w:r>
    </w:p>
    <w:p>
      <w:pPr>
        <w:widowControl/>
        <w:spacing w:line="56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widowControl/>
        <w:spacing w:line="560" w:lineRule="exact"/>
        <w:ind w:firstLine="720"/>
        <w:jc w:val="left"/>
        <w:rPr>
          <w:rFonts w:ascii="仿宋_GB2312" w:hAnsi="宋体" w:eastAsia="仿宋_GB2312" w:cs="宋体"/>
          <w:b/>
          <w:color w:val="000000"/>
          <w:kern w:val="0"/>
          <w:sz w:val="32"/>
          <w:lang w:val="zh-CN"/>
        </w:rPr>
      </w:pPr>
      <w:r>
        <w:rPr>
          <w:rFonts w:hint="eastAsia" w:ascii="仿宋_GB2312" w:hAnsi="宋体" w:eastAsia="仿宋_GB2312" w:cs="宋体"/>
          <w:b/>
          <w:color w:val="000000"/>
          <w:kern w:val="0"/>
          <w:sz w:val="32"/>
          <w:lang w:val="zh-CN"/>
        </w:rPr>
        <w:t>（一）机构组成。</w:t>
      </w:r>
    </w:p>
    <w:p>
      <w:pPr>
        <w:spacing w:line="560" w:lineRule="exact"/>
        <w:ind w:firstLine="640" w:firstLineChars="200"/>
        <w:rPr>
          <w:rFonts w:ascii="仿宋_GB2312" w:hAnsi="仿宋" w:eastAsia="仿宋_GB2312"/>
          <w:bCs/>
          <w:sz w:val="32"/>
          <w:szCs w:val="32"/>
        </w:rPr>
      </w:pPr>
      <w:r>
        <w:rPr>
          <w:rFonts w:hint="eastAsia" w:ascii="仿宋_GB2312" w:hAnsi="仿宋" w:eastAsia="仿宋_GB2312"/>
          <w:sz w:val="32"/>
          <w:szCs w:val="32"/>
        </w:rPr>
        <w:t>1．主要职能。</w:t>
      </w:r>
      <w:r>
        <w:rPr>
          <w:rFonts w:hint="eastAsia" w:ascii="仿宋_GB2312" w:hAnsi="仿宋" w:eastAsia="仿宋_GB2312"/>
          <w:bCs/>
          <w:sz w:val="32"/>
          <w:szCs w:val="32"/>
        </w:rPr>
        <w:t>组织开展青年思想政治工作，坚持对青年的引导和教育，树立正确的理想、信念和价值观；努力帮助青年学习现代科学文化知识和法律知识，抵御各种腐朽思想和不良风气的侵蚀，不断提高青年的思想道德素质、科学文化素质和法律意识。</w:t>
      </w:r>
    </w:p>
    <w:p>
      <w:pPr>
        <w:spacing w:line="560" w:lineRule="exact"/>
        <w:ind w:firstLine="320" w:firstLineChars="100"/>
        <w:rPr>
          <w:rFonts w:ascii="仿宋_GB2312" w:hAnsi="仿宋" w:eastAsia="仿宋_GB2312"/>
          <w:bCs/>
          <w:sz w:val="32"/>
          <w:szCs w:val="32"/>
        </w:rPr>
      </w:pPr>
      <w:r>
        <w:rPr>
          <w:rFonts w:hint="eastAsia" w:ascii="仿宋_GB2312" w:hAnsi="仿宋" w:eastAsia="仿宋_GB2312"/>
          <w:sz w:val="32"/>
          <w:szCs w:val="32"/>
        </w:rPr>
        <w:t xml:space="preserve"> 2．机构情况，</w:t>
      </w:r>
      <w:r>
        <w:rPr>
          <w:rFonts w:hint="eastAsia" w:ascii="仿宋_GB2312" w:hAnsi="仿宋" w:eastAsia="仿宋_GB2312"/>
          <w:bCs/>
          <w:sz w:val="32"/>
          <w:szCs w:val="32"/>
        </w:rPr>
        <w:t>我委属独立编制机构和独立核算的行政单位。</w:t>
      </w:r>
    </w:p>
    <w:p>
      <w:pPr>
        <w:widowControl/>
        <w:spacing w:line="560" w:lineRule="exact"/>
        <w:ind w:firstLine="480" w:firstLineChars="150"/>
        <w:jc w:val="left"/>
        <w:rPr>
          <w:rFonts w:ascii="仿宋_GB2312" w:hAnsi="仿宋" w:eastAsia="仿宋_GB2312"/>
          <w:bCs/>
          <w:sz w:val="32"/>
          <w:szCs w:val="32"/>
        </w:rPr>
      </w:pPr>
      <w:r>
        <w:rPr>
          <w:rFonts w:hint="eastAsia" w:ascii="仿宋_GB2312" w:hAnsi="仿宋" w:eastAsia="仿宋_GB2312"/>
          <w:sz w:val="32"/>
          <w:szCs w:val="32"/>
        </w:rPr>
        <w:t>3．人员情况，</w:t>
      </w:r>
      <w:r>
        <w:rPr>
          <w:rFonts w:hint="eastAsia" w:ascii="仿宋_GB2312" w:hAnsi="仿宋" w:eastAsia="仿宋_GB2312"/>
          <w:bCs/>
          <w:sz w:val="32"/>
          <w:szCs w:val="32"/>
        </w:rPr>
        <w:t>人员编制数5人，行政编制4人，机关工勤编制1人。2020年财政供养人员为4人。</w:t>
      </w:r>
    </w:p>
    <w:p>
      <w:pPr>
        <w:widowControl/>
        <w:spacing w:line="56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widowControl/>
        <w:spacing w:line="56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（一）部门财政资金收入情况。</w:t>
      </w:r>
    </w:p>
    <w:p>
      <w:pPr>
        <w:widowControl/>
        <w:spacing w:line="56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2020年我委预算收入资金141.49万元，其中一般公共服务拨款收入97.36万元，社会保障和就业支出收入9.53万元，卫生健康支出收入3.99万元，住房保障支出收入15.61万元，其他支出15万元。年初结转结余2万元。</w:t>
      </w:r>
    </w:p>
    <w:p>
      <w:pPr>
        <w:widowControl/>
        <w:spacing w:line="56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（二）部门财政资金支出情况。</w:t>
      </w:r>
    </w:p>
    <w:p>
      <w:pPr>
        <w:widowControl/>
        <w:spacing w:line="56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2020年我局财政资金支出126.09万元，其中人员经费支出107.51万元，日常公用经费支出18.58万元，项目经费支出9.4万元（青少年创业资金）。年末结转结余8万元。</w:t>
      </w:r>
    </w:p>
    <w:p>
      <w:pPr>
        <w:widowControl/>
        <w:spacing w:line="56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三、部门财政支出管理情况</w:t>
      </w:r>
    </w:p>
    <w:p>
      <w:pPr>
        <w:widowControl/>
        <w:spacing w:line="560" w:lineRule="exact"/>
        <w:ind w:firstLine="640" w:firstLineChars="20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（一）预算编制情况。</w:t>
      </w:r>
    </w:p>
    <w:p>
      <w:pPr>
        <w:spacing w:line="56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严格按照县级部门预算编制通知和有关要求，按时完成基础库、项目库报送工作，按时完成2021年预算编制工作，并按时提交部门预算草案。按规定编制政府采购预算，预算编制全面、科学。按时完成基础库、项目库报送工作；预算编制准确，预工委审查后提出未提出修改的问题；部门整体绩效目标能完整、合理反映部门年度职责履行情况；对于州级转移支付资金及时下达分解，并按项目进度支付资金。</w:t>
      </w:r>
      <w:r>
        <w:rPr>
          <w:rFonts w:hint="eastAsia" w:ascii="仿宋_GB2312" w:hAnsi="宋体" w:eastAsia="仿宋_GB2312" w:cs="宋体"/>
          <w:color w:val="000000"/>
          <w:kern w:val="0"/>
          <w:sz w:val="32"/>
          <w:lang w:val="zh-CN"/>
        </w:rPr>
        <w:br w:type="textWrapping"/>
      </w:r>
      <w:r>
        <w:rPr>
          <w:rFonts w:hint="eastAsia" w:ascii="仿宋_GB2312" w:hAnsi="宋体" w:eastAsia="仿宋_GB2312" w:cs="宋体"/>
          <w:color w:val="000000"/>
          <w:kern w:val="0"/>
          <w:sz w:val="32"/>
        </w:rPr>
        <w:t xml:space="preserve">  </w:t>
      </w:r>
      <w:r>
        <w:rPr>
          <w:rFonts w:hint="eastAsia" w:ascii="仿宋_GB2312" w:hAnsi="宋体" w:eastAsia="仿宋_GB2312" w:cs="宋体"/>
          <w:color w:val="000000"/>
          <w:kern w:val="0"/>
          <w:sz w:val="32"/>
          <w:lang w:val="zh-CN"/>
        </w:rPr>
        <w:t>（二）执行管理情况。</w:t>
      </w:r>
      <w:r>
        <w:rPr>
          <w:rFonts w:hint="eastAsia" w:ascii="仿宋_GB2312" w:hAnsi="宋体" w:eastAsia="仿宋_GB2312" w:cs="宋体"/>
          <w:color w:val="000000"/>
          <w:kern w:val="0"/>
          <w:sz w:val="32"/>
          <w:lang w:val="zh-CN"/>
        </w:rPr>
        <w:tab/>
      </w:r>
    </w:p>
    <w:p>
      <w:pPr>
        <w:spacing w:line="56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我委2020年严格执行《预算法》按要求严格预算执行管理，按规定及时分配财力专项预算，按规定在一个月内分配上级专款，无超预算支出。我委认真贯彻落实中央和省委省政府相关规定，厉行节约。我委2020年因公出国（境）费用0元、会议费0元、车辆购置及运行费用0元、公务接待费0万元。严格控制水、电、气、燃油费用支出，比上年支出减少。2020年水费0.03万元，电费0.3万元。</w:t>
      </w:r>
    </w:p>
    <w:p>
      <w:pPr>
        <w:widowControl/>
        <w:spacing w:line="56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（三）综合管理情况。</w:t>
      </w:r>
    </w:p>
    <w:p>
      <w:pPr>
        <w:spacing w:line="56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2020年采购</w:t>
      </w:r>
      <w:r>
        <w:rPr>
          <w:rFonts w:hint="eastAsia" w:ascii="仿宋_GB2312" w:hAnsi="仿宋" w:eastAsia="仿宋_GB2312" w:cs="宋体"/>
          <w:color w:val="333333"/>
          <w:kern w:val="0"/>
          <w:sz w:val="32"/>
          <w:szCs w:val="32"/>
        </w:rPr>
        <w:t>支出</w:t>
      </w:r>
      <w:r>
        <w:rPr>
          <w:rFonts w:ascii="仿宋_GB2312" w:eastAsia="仿宋_GB2312"/>
          <w:color w:val="000000"/>
          <w:sz w:val="30"/>
          <w:szCs w:val="30"/>
        </w:rPr>
        <w:t>1.06</w:t>
      </w:r>
      <w:r>
        <w:rPr>
          <w:rFonts w:hint="eastAsia" w:ascii="仿宋_GB2312" w:hAnsi="仿宋" w:eastAsia="仿宋_GB2312" w:cs="宋体"/>
          <w:color w:val="333333"/>
          <w:kern w:val="0"/>
          <w:sz w:val="32"/>
          <w:szCs w:val="32"/>
        </w:rPr>
        <w:t>万元，实</w:t>
      </w:r>
      <w:r>
        <w:rPr>
          <w:rFonts w:hint="eastAsia" w:ascii="仿宋_GB2312" w:hAnsi="宋体" w:eastAsia="仿宋_GB2312" w:cs="宋体"/>
          <w:color w:val="000000"/>
          <w:kern w:val="0"/>
          <w:sz w:val="32"/>
          <w:lang w:val="zh-CN"/>
        </w:rPr>
        <w:t>施计划与政府采购预算的一致，执行的实施计划与备案的实施计划的一致。2020年我委将所有资产纳入资产管理信息系统，并按要求落实专人及时、准确、全面开展资产清查工作。2020年我委建立健全了内部控制制度，并严格执行；严格按照县财政通知要求公开预算、决算、部门整体绩效；严格按照县财政局要求对部门整体全面进行绩效评价，并及时上报财政，对绩效评价发现问题制定整改措施，并整改落实到位；严格按照县财政局文件要求及时进行自查，并上报材料，未发现违纪违规问题。2020年年我委根据部门职能职责，认真完成县委县政府安排的各项专项工作任务及其他年度重点工作任务。</w:t>
      </w:r>
    </w:p>
    <w:p>
      <w:pPr>
        <w:widowControl/>
        <w:spacing w:line="560" w:lineRule="exact"/>
        <w:ind w:firstLine="720"/>
        <w:jc w:val="left"/>
        <w:rPr>
          <w:rFonts w:ascii="仿宋_GB2312" w:hAnsi="楷体" w:eastAsia="仿宋_GB2312"/>
          <w:color w:val="000000"/>
          <w:kern w:val="0"/>
          <w:sz w:val="32"/>
          <w:lang w:val="zh-CN"/>
        </w:rPr>
      </w:pPr>
      <w:r>
        <w:rPr>
          <w:rFonts w:hint="eastAsia" w:ascii="仿宋_GB2312" w:hAnsi="楷体" w:eastAsia="仿宋_GB2312"/>
          <w:color w:val="000000"/>
          <w:kern w:val="0"/>
          <w:sz w:val="32"/>
          <w:lang w:val="zh-CN"/>
        </w:rPr>
        <w:t>（四）整体绩效。</w:t>
      </w:r>
    </w:p>
    <w:p>
      <w:pPr>
        <w:spacing w:line="560" w:lineRule="exact"/>
        <w:ind w:firstLine="643" w:firstLineChars="200"/>
        <w:rPr>
          <w:rFonts w:ascii="仿宋_GB2312" w:hAnsi="仿宋_GB2312" w:eastAsia="仿宋_GB2312" w:cs="仿宋_GB2312"/>
          <w:color w:val="000000"/>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一）坚持不懈用习近平新时代中国特色社会主义思想教育引领青年，打牢广大青年听党话、跟党走的思想根基。</w:t>
      </w:r>
      <w:r>
        <w:rPr>
          <w:rFonts w:hint="eastAsia" w:ascii="仿宋_GB2312" w:hAnsi="仿宋_GB2312" w:eastAsia="仿宋_GB2312" w:cs="仿宋_GB2312"/>
          <w:b/>
          <w:bCs/>
          <w:sz w:val="32"/>
          <w:szCs w:val="32"/>
        </w:rPr>
        <w:t>一是</w:t>
      </w:r>
      <w:r>
        <w:rPr>
          <w:rFonts w:hint="eastAsia" w:ascii="仿宋_GB2312" w:hAnsi="仿宋_GB2312" w:eastAsia="仿宋_GB2312" w:cs="仿宋_GB2312"/>
          <w:color w:val="000000"/>
          <w:sz w:val="32"/>
          <w:szCs w:val="32"/>
        </w:rPr>
        <w:t>举办了2期“与书同行▪不负青春”现场读书会</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每期邀请了6位嘉宾，分享好书，交流感悟，鼓励和引导全县广大团员青年养成好读书、读好书的习惯。</w:t>
      </w:r>
      <w:r>
        <w:rPr>
          <w:rFonts w:hint="eastAsia" w:ascii="仿宋_GB2312" w:hAnsi="仿宋_GB2312" w:eastAsia="仿宋_GB2312" w:cs="仿宋_GB2312"/>
          <w:b/>
          <w:bCs/>
          <w:color w:val="000000"/>
          <w:sz w:val="32"/>
          <w:szCs w:val="32"/>
        </w:rPr>
        <w:t>二是</w:t>
      </w:r>
      <w:r>
        <w:rPr>
          <w:rFonts w:hint="eastAsia" w:ascii="仿宋_GB2312" w:hAnsi="仿宋_GB2312" w:eastAsia="仿宋_GB2312" w:cs="仿宋_GB2312"/>
          <w:color w:val="000000"/>
          <w:sz w:val="32"/>
          <w:szCs w:val="32"/>
        </w:rPr>
        <w:t>持续推进“网上共青团”建设。持续推动“梨乡青年”微信公众号等新媒体矩阵建设，提升覆盖面、影响力，注重围绕青年关注、社会关心开展创作，增强与上级团属媒体的同频共振，</w:t>
      </w:r>
      <w:r>
        <w:rPr>
          <w:rFonts w:hint="eastAsia" w:ascii="仿宋_GB2312" w:hAnsi="仿宋_GB2312" w:eastAsia="仿宋_GB2312" w:cs="仿宋_GB2312"/>
          <w:sz w:val="32"/>
          <w:szCs w:val="32"/>
        </w:rPr>
        <w:t>全年</w:t>
      </w:r>
      <w:r>
        <w:rPr>
          <w:rFonts w:hint="eastAsia" w:ascii="仿宋_GB2312" w:hAnsi="仿宋_GB2312" w:eastAsia="仿宋_GB2312" w:cs="仿宋_GB2312"/>
          <w:color w:val="000000"/>
          <w:sz w:val="32"/>
          <w:szCs w:val="32"/>
        </w:rPr>
        <w:t>“梨乡青年”微信公众号</w:t>
      </w:r>
      <w:r>
        <w:rPr>
          <w:rFonts w:hint="eastAsia" w:ascii="仿宋_GB2312" w:hAnsi="仿宋_GB2312" w:eastAsia="仿宋_GB2312" w:cs="仿宋_GB2312"/>
          <w:sz w:val="32"/>
          <w:szCs w:val="32"/>
        </w:rPr>
        <w:t>共发布文章310余篇，其中超过75%为原创。全年抖音号发送作品79条，浏览量50万+，粉丝数5563，获赞1.3万+</w:t>
      </w:r>
      <w:r>
        <w:rPr>
          <w:rFonts w:hint="eastAsia" w:ascii="仿宋_GB2312" w:hAnsi="仿宋_GB2312" w:eastAsia="仿宋_GB2312" w:cs="仿宋_GB2312"/>
          <w:color w:val="000000"/>
          <w:sz w:val="32"/>
          <w:szCs w:val="32"/>
        </w:rPr>
        <w:t>。引导各基层团组织建好QQ群、微信群等，为青年交流沟通搭建网络平台。激励广大团员青年争做“中国好网民”。宣传工作在全州名列前茅。</w:t>
      </w:r>
      <w:r>
        <w:rPr>
          <w:rFonts w:hint="eastAsia" w:ascii="仿宋_GB2312" w:hAnsi="仿宋_GB2312" w:eastAsia="仿宋_GB2312" w:cs="仿宋_GB2312"/>
          <w:b/>
          <w:bCs/>
          <w:color w:val="000000"/>
          <w:sz w:val="32"/>
          <w:szCs w:val="32"/>
        </w:rPr>
        <w:t>三是</w:t>
      </w:r>
      <w:r>
        <w:rPr>
          <w:rFonts w:hint="eastAsia" w:ascii="仿宋_GB2312" w:hAnsi="仿宋_GB2312" w:eastAsia="仿宋_GB2312" w:cs="仿宋_GB2312"/>
          <w:color w:val="000000"/>
          <w:sz w:val="32"/>
          <w:szCs w:val="32"/>
        </w:rPr>
        <w:t>为纪念“一二、九”爱国运动85周年，在全县各中小学校开展了演讲比赛、歌咏比赛、锅庄比赛、主题班会活动，2000余名学生参加活动。</w:t>
      </w:r>
    </w:p>
    <w:p>
      <w:pPr>
        <w:spacing w:line="560" w:lineRule="exact"/>
        <w:ind w:firstLine="643" w:firstLineChars="200"/>
        <w:rPr>
          <w:rFonts w:ascii="仿宋_GB2312" w:hAnsi="仿宋_GB2312" w:eastAsia="仿宋_GB2312" w:cs="仿宋_GB2312"/>
          <w:color w:val="000000"/>
          <w:sz w:val="32"/>
          <w:szCs w:val="32"/>
        </w:rPr>
      </w:pPr>
      <w:r>
        <w:rPr>
          <w:rFonts w:hint="eastAsia" w:ascii="楷体_GB2312" w:hAnsi="楷体_GB2312" w:eastAsia="楷体_GB2312" w:cs="楷体_GB2312"/>
          <w:b/>
          <w:bCs/>
          <w:color w:val="000000"/>
          <w:sz w:val="32"/>
          <w:szCs w:val="32"/>
        </w:rPr>
        <w:t>（二）勇担服务青年的政治责任，积极满足青少年日益增长的美好生活需要。一是关心关爱贫困青少年</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开展了第五季“点亮微心愿·共筑童心梦”暖冬活动，帮助全县5至16周岁630名贫困青少年实现微心愿。</w:t>
      </w:r>
      <w:r>
        <w:rPr>
          <w:rFonts w:hint="eastAsia" w:ascii="仿宋_GB2312" w:hAnsi="仿宋_GB2312" w:eastAsia="仿宋_GB2312" w:cs="仿宋_GB2312"/>
          <w:b/>
          <w:bCs/>
          <w:color w:val="000000"/>
          <w:sz w:val="32"/>
          <w:szCs w:val="32"/>
        </w:rPr>
        <w:t>二是助力青年创业就业。</w:t>
      </w:r>
      <w:r>
        <w:rPr>
          <w:rFonts w:hint="eastAsia" w:ascii="仿宋_GB2312" w:hAnsi="仿宋_GB2312" w:eastAsia="仿宋_GB2312" w:cs="仿宋_GB2312"/>
          <w:color w:val="000000"/>
          <w:sz w:val="32"/>
          <w:szCs w:val="32"/>
        </w:rPr>
        <w:t>做好阿坝州青年创业专项扶持资金扶持项目的跟踪服务工作，鼓励、指导创业青年积极申报。向团州委推荐3名创业青年申报专项扶持资金7万元。成立了“金川县青年创业联盟”，吸纳会员37名。</w:t>
      </w:r>
      <w:r>
        <w:rPr>
          <w:rFonts w:hint="eastAsia" w:ascii="仿宋_GB2312" w:hAnsi="仿宋_GB2312" w:eastAsia="仿宋_GB2312" w:cs="仿宋_GB2312"/>
          <w:b/>
          <w:bCs/>
          <w:color w:val="000000"/>
          <w:sz w:val="32"/>
          <w:szCs w:val="32"/>
        </w:rPr>
        <w:t>三是</w:t>
      </w:r>
      <w:r>
        <w:rPr>
          <w:rFonts w:hint="eastAsia" w:ascii="仿宋_GB2312" w:hAnsi="仿宋_GB2312" w:eastAsia="仿宋_GB2312" w:cs="仿宋_GB2312"/>
          <w:b/>
          <w:bCs/>
          <w:sz w:val="32"/>
          <w:szCs w:val="32"/>
        </w:rPr>
        <w:t>深化青少年权益保护和预防犯罪工作。</w:t>
      </w:r>
      <w:r>
        <w:rPr>
          <w:rFonts w:hint="eastAsia" w:ascii="仿宋_GB2312" w:hAnsi="仿宋_GB2312" w:eastAsia="仿宋_GB2312" w:cs="仿宋_GB2312"/>
          <w:kern w:val="0"/>
          <w:sz w:val="32"/>
          <w:szCs w:val="32"/>
        </w:rPr>
        <w:t>加大“七五”普法、禁毒防艾等专题法治教育、宣传力度，积极引导社会力量参与青少年维权工作。重视和关心青少年群体心理健康。</w:t>
      </w:r>
      <w:r>
        <w:rPr>
          <w:rFonts w:hint="eastAsia" w:ascii="仿宋_GB2312" w:hAnsi="仿宋_GB2312" w:eastAsia="仿宋_GB2312" w:cs="仿宋_GB2312"/>
          <w:color w:val="000000"/>
          <w:kern w:val="0"/>
          <w:sz w:val="32"/>
          <w:szCs w:val="32"/>
        </w:rPr>
        <w:t>深入开展了</w:t>
      </w:r>
      <w:r>
        <w:rPr>
          <w:rFonts w:hint="eastAsia" w:ascii="仿宋_GB2312" w:hAnsi="仿宋_GB2312" w:eastAsia="仿宋_GB2312" w:cs="仿宋_GB2312"/>
          <w:sz w:val="32"/>
          <w:szCs w:val="32"/>
        </w:rPr>
        <w:t>“森林草原防灭火”等</w:t>
      </w:r>
      <w:r>
        <w:rPr>
          <w:rFonts w:hint="eastAsia" w:ascii="仿宋_GB2312" w:hAnsi="仿宋_GB2312" w:eastAsia="仿宋_GB2312" w:cs="仿宋_GB2312"/>
          <w:color w:val="000000"/>
          <w:kern w:val="0"/>
          <w:sz w:val="32"/>
          <w:szCs w:val="32"/>
        </w:rPr>
        <w:t>法律进校园活动8场次，累计受教育人数0.2万人次，发放《小学生普法漫画》、《青少年法律知识读本》等普法读物0.5万余册。</w:t>
      </w:r>
    </w:p>
    <w:p>
      <w:pPr>
        <w:spacing w:line="560" w:lineRule="exact"/>
        <w:ind w:firstLine="640" w:firstLineChars="200"/>
        <w:jc w:val="left"/>
        <w:rPr>
          <w:rFonts w:ascii="黑体" w:hAnsi="宋体" w:eastAsia="黑体" w:cs="宋体"/>
          <w:color w:val="000000"/>
          <w:kern w:val="0"/>
        </w:rPr>
      </w:pPr>
      <w:r>
        <w:rPr>
          <w:rFonts w:hint="eastAsia" w:ascii="黑体" w:hAnsi="宋体" w:eastAsia="黑体" w:cs="宋体"/>
          <w:color w:val="000000"/>
          <w:kern w:val="0"/>
          <w:sz w:val="32"/>
        </w:rPr>
        <w:t>四、评价结论及建议</w:t>
      </w:r>
    </w:p>
    <w:p>
      <w:pPr>
        <w:spacing w:line="56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一、绩效评价</w:t>
      </w:r>
    </w:p>
    <w:p>
      <w:pPr>
        <w:spacing w:line="56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我单位严格执行支出绩效评价，自评打分</w:t>
      </w:r>
      <w:r>
        <w:rPr>
          <w:rFonts w:hint="eastAsia" w:ascii="仿宋_GB2312" w:hAnsi="宋体" w:eastAsia="仿宋_GB2312" w:cs="宋体"/>
          <w:color w:val="000000"/>
          <w:kern w:val="0"/>
          <w:sz w:val="32"/>
        </w:rPr>
        <w:t>85.4</w:t>
      </w:r>
      <w:r>
        <w:rPr>
          <w:rFonts w:hint="eastAsia" w:ascii="仿宋_GB2312" w:hAnsi="宋体" w:eastAsia="仿宋_GB2312" w:cs="宋体"/>
          <w:color w:val="000000"/>
          <w:kern w:val="0"/>
          <w:sz w:val="32"/>
          <w:lang w:val="zh-CN"/>
        </w:rPr>
        <w:t>分，部门整体绩效运行良好。</w:t>
      </w:r>
    </w:p>
    <w:p>
      <w:pPr>
        <w:spacing w:line="56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二、建议</w:t>
      </w:r>
    </w:p>
    <w:p>
      <w:pPr>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预算编制还需进一步细化，针对我局预算存在的问题，提出以下建议： </w:t>
      </w:r>
      <w:r>
        <w:rPr>
          <w:rFonts w:hint="eastAsia" w:ascii="仿宋_GB2312" w:hAnsi="宋体" w:eastAsia="仿宋_GB2312" w:cs="宋体"/>
          <w:color w:val="000000"/>
          <w:kern w:val="0"/>
          <w:sz w:val="32"/>
          <w:lang w:val="zh-CN"/>
        </w:rPr>
        <w:br w:type="textWrapping"/>
      </w:r>
      <w:r>
        <w:rPr>
          <w:rFonts w:hint="eastAsia" w:ascii="仿宋_GB2312" w:hAnsi="宋体" w:eastAsia="仿宋_GB2312" w:cs="宋体"/>
          <w:color w:val="000000"/>
          <w:kern w:val="0"/>
          <w:sz w:val="32"/>
          <w:lang w:val="zh-CN"/>
        </w:rPr>
        <w:t>　　遵循先有预算、后有支出的原则，加强财务管理和内部控制监督制度。严禁超预算和无预算安排支出，严格开支范围和标准，严格支出报销审核，不报销任何超范围、超标准的费用。 </w:t>
      </w:r>
    </w:p>
    <w:p>
      <w:pPr>
        <w:ind w:firstLine="640" w:firstLineChars="200"/>
        <w:rPr>
          <w:rFonts w:ascii="仿宋_GB2312" w:hAnsi="宋体" w:eastAsia="仿宋_GB2312" w:cs="宋体"/>
          <w:color w:val="000000"/>
          <w:kern w:val="0"/>
          <w:sz w:val="32"/>
          <w:lang w:val="zh-CN"/>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ind w:firstLine="2640" w:firstLineChars="600"/>
        <w:outlineLvl w:val="0"/>
        <w:rPr>
          <w:rFonts w:ascii="黑体" w:eastAsia="黑体"/>
          <w:color w:val="000000"/>
          <w:sz w:val="44"/>
          <w:szCs w:val="44"/>
        </w:rPr>
      </w:pPr>
      <w:bookmarkStart w:id="60" w:name="_Toc27386"/>
    </w:p>
    <w:p>
      <w:pPr>
        <w:spacing w:line="600" w:lineRule="exact"/>
        <w:ind w:firstLine="2640" w:firstLineChars="600"/>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60"/>
    </w:p>
    <w:p>
      <w:pPr>
        <w:pStyle w:val="3"/>
        <w:rPr>
          <w:rFonts w:ascii="仿宋" w:eastAsia="仿宋"/>
          <w:color w:val="000000"/>
        </w:rPr>
      </w:pPr>
      <w:bookmarkStart w:id="61" w:name="_Toc26345"/>
      <w:r>
        <w:rPr>
          <w:rFonts w:hint="eastAsia" w:ascii="仿宋" w:eastAsia="仿宋"/>
          <w:b w:val="0"/>
          <w:color w:val="000000"/>
        </w:rPr>
        <w:t>一、收</w:t>
      </w:r>
      <w:r>
        <w:rPr>
          <w:rStyle w:val="18"/>
          <w:rFonts w:hint="eastAsia" w:ascii="仿宋" w:eastAsia="仿宋"/>
          <w:b w:val="0"/>
          <w:bCs w:val="0"/>
        </w:rPr>
        <w:t>入支出决算总表</w:t>
      </w:r>
      <w:bookmarkEnd w:id="61"/>
    </w:p>
    <w:p>
      <w:pPr>
        <w:pStyle w:val="3"/>
        <w:rPr>
          <w:rFonts w:ascii="仿宋" w:eastAsia="仿宋"/>
          <w:color w:val="000000"/>
        </w:rPr>
      </w:pPr>
      <w:bookmarkStart w:id="62" w:name="_Toc15396620"/>
      <w:bookmarkStart w:id="63" w:name="_Toc21722"/>
      <w:r>
        <w:rPr>
          <w:rFonts w:hint="eastAsia" w:ascii="仿宋" w:eastAsia="仿宋"/>
          <w:b w:val="0"/>
          <w:color w:val="000000"/>
        </w:rPr>
        <w:t>二、收</w:t>
      </w:r>
      <w:r>
        <w:rPr>
          <w:rStyle w:val="18"/>
          <w:rFonts w:hint="eastAsia" w:ascii="仿宋" w:eastAsia="仿宋"/>
          <w:b w:val="0"/>
          <w:bCs w:val="0"/>
        </w:rPr>
        <w:t>入总表</w:t>
      </w:r>
      <w:bookmarkEnd w:id="62"/>
      <w:bookmarkEnd w:id="63"/>
    </w:p>
    <w:p>
      <w:pPr>
        <w:pStyle w:val="3"/>
        <w:rPr>
          <w:rFonts w:ascii="仿宋" w:eastAsia="仿宋"/>
          <w:color w:val="000000"/>
        </w:rPr>
      </w:pPr>
      <w:bookmarkStart w:id="64" w:name="_Toc15396621"/>
      <w:bookmarkStart w:id="65" w:name="_Toc1976"/>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64"/>
      <w:bookmarkEnd w:id="65"/>
    </w:p>
    <w:p>
      <w:pPr>
        <w:pStyle w:val="3"/>
        <w:rPr>
          <w:rFonts w:ascii="仿宋" w:eastAsia="仿宋"/>
          <w:b w:val="0"/>
          <w:color w:val="000000"/>
        </w:rPr>
      </w:pPr>
      <w:bookmarkStart w:id="66" w:name="_Toc15396622"/>
      <w:bookmarkStart w:id="67" w:name="_Toc21308"/>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6"/>
      <w:bookmarkEnd w:id="67"/>
    </w:p>
    <w:p>
      <w:pPr>
        <w:pStyle w:val="3"/>
        <w:rPr>
          <w:rFonts w:ascii="仿宋" w:eastAsia="仿宋"/>
          <w:color w:val="000000"/>
        </w:rPr>
      </w:pPr>
      <w:bookmarkStart w:id="68" w:name="_Toc15396623"/>
      <w:bookmarkStart w:id="69" w:name="_Toc30151"/>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8"/>
      <w:bookmarkEnd w:id="69"/>
    </w:p>
    <w:p>
      <w:pPr>
        <w:pStyle w:val="3"/>
        <w:rPr>
          <w:rFonts w:ascii="仿宋" w:eastAsia="仿宋"/>
          <w:color w:val="000000"/>
        </w:rPr>
      </w:pPr>
      <w:bookmarkStart w:id="70" w:name="_Toc15396624"/>
      <w:bookmarkStart w:id="71" w:name="_Toc10897"/>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70"/>
      <w:bookmarkEnd w:id="71"/>
    </w:p>
    <w:p>
      <w:pPr>
        <w:pStyle w:val="3"/>
        <w:rPr>
          <w:rFonts w:ascii="仿宋" w:eastAsia="仿宋"/>
          <w:color w:val="000000"/>
        </w:rPr>
      </w:pPr>
      <w:bookmarkStart w:id="72" w:name="_Toc15396625"/>
      <w:bookmarkStart w:id="73" w:name="_Toc29667"/>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72"/>
      <w:bookmarkEnd w:id="73"/>
    </w:p>
    <w:p>
      <w:pPr>
        <w:pStyle w:val="3"/>
        <w:rPr>
          <w:rFonts w:ascii="仿宋" w:eastAsia="仿宋"/>
          <w:color w:val="000000"/>
        </w:rPr>
      </w:pPr>
      <w:bookmarkStart w:id="74" w:name="_Toc15396626"/>
      <w:bookmarkStart w:id="75" w:name="_Toc27148"/>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74"/>
      <w:bookmarkEnd w:id="75"/>
    </w:p>
    <w:p>
      <w:pPr>
        <w:pStyle w:val="3"/>
        <w:rPr>
          <w:rFonts w:ascii="仿宋" w:eastAsia="仿宋"/>
          <w:color w:val="000000"/>
        </w:rPr>
      </w:pPr>
      <w:bookmarkStart w:id="76" w:name="_Toc15396627"/>
      <w:bookmarkStart w:id="77" w:name="_Toc13734"/>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76"/>
      <w:bookmarkEnd w:id="77"/>
    </w:p>
    <w:p>
      <w:pPr>
        <w:pStyle w:val="3"/>
        <w:rPr>
          <w:rFonts w:ascii="仿宋" w:eastAsia="仿宋"/>
          <w:color w:val="000000"/>
        </w:rPr>
      </w:pPr>
      <w:bookmarkStart w:id="78" w:name="_Toc15396628"/>
      <w:bookmarkStart w:id="79" w:name="_Toc6984"/>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78"/>
      <w:bookmarkEnd w:id="79"/>
    </w:p>
    <w:p>
      <w:pPr>
        <w:pStyle w:val="3"/>
        <w:rPr>
          <w:rFonts w:ascii="仿宋" w:eastAsia="仿宋"/>
          <w:color w:val="000000"/>
        </w:rPr>
      </w:pPr>
      <w:bookmarkStart w:id="80" w:name="_Toc15396629"/>
      <w:bookmarkStart w:id="81" w:name="_Toc22784"/>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80"/>
      <w:bookmarkEnd w:id="81"/>
    </w:p>
    <w:p>
      <w:pPr>
        <w:pStyle w:val="3"/>
        <w:rPr>
          <w:rFonts w:ascii="仿宋" w:eastAsia="仿宋"/>
          <w:color w:val="000000"/>
        </w:rPr>
      </w:pPr>
      <w:bookmarkStart w:id="82" w:name="_Toc15396630"/>
      <w:bookmarkStart w:id="83" w:name="_Toc15411"/>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82"/>
      <w:bookmarkEnd w:id="83"/>
    </w:p>
    <w:p>
      <w:pPr>
        <w:pStyle w:val="3"/>
        <w:rPr>
          <w:rFonts w:ascii="仿宋" w:eastAsia="仿宋"/>
          <w:color w:val="000000"/>
        </w:rPr>
      </w:pPr>
      <w:bookmarkStart w:id="84" w:name="_Toc15396631"/>
      <w:bookmarkStart w:id="85" w:name="_Toc17655"/>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有资本经营预算支出决算表</w:t>
      </w:r>
      <w:bookmarkEnd w:id="84"/>
      <w:bookmarkEnd w:id="85"/>
    </w:p>
    <w:p>
      <w:pPr>
        <w:ind w:firstLine="640" w:firstLineChars="200"/>
        <w:rPr>
          <w:rFonts w:ascii="仿宋_GB2312" w:hAnsi="宋体" w:eastAsia="仿宋_GB2312" w:cs="宋体"/>
          <w:color w:val="000000"/>
          <w:kern w:val="0"/>
          <w:sz w:val="32"/>
          <w:lang w:val="zh-CN"/>
        </w:rPr>
      </w:pPr>
    </w:p>
    <w:p>
      <w:pPr>
        <w:ind w:firstLine="420" w:firstLineChars="200"/>
        <w:rPr>
          <w:rFonts w:ascii="仿宋_GB2312" w:hAnsi="仿宋_GB2312" w:eastAsia="仿宋_GB2312" w:cs="仿宋_GB2312"/>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roman"/>
    <w:pitch w:val="default"/>
    <w:sig w:usb0="A00002FF" w:usb1="28CFFCFA" w:usb2="00000016" w:usb3="00000000" w:csb0="00100001"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22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1">
    <w:nsid w:val="4A4ED09F"/>
    <w:multiLevelType w:val="singleLevel"/>
    <w:tmpl w:val="4A4ED09F"/>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C4A22"/>
    <w:rsid w:val="002C4A22"/>
    <w:rsid w:val="0097534E"/>
    <w:rsid w:val="00EB2348"/>
    <w:rsid w:val="02FC6D65"/>
    <w:rsid w:val="04895BDE"/>
    <w:rsid w:val="08FD3965"/>
    <w:rsid w:val="09CC507D"/>
    <w:rsid w:val="0C932D42"/>
    <w:rsid w:val="0CAE5CD7"/>
    <w:rsid w:val="0CCC1A6A"/>
    <w:rsid w:val="0D6A6D8A"/>
    <w:rsid w:val="0F512629"/>
    <w:rsid w:val="12977C0B"/>
    <w:rsid w:val="13FF0D14"/>
    <w:rsid w:val="14960A65"/>
    <w:rsid w:val="14E8454D"/>
    <w:rsid w:val="167109DD"/>
    <w:rsid w:val="17C267C9"/>
    <w:rsid w:val="22B00AE8"/>
    <w:rsid w:val="23B90510"/>
    <w:rsid w:val="276D6BB5"/>
    <w:rsid w:val="2A68453A"/>
    <w:rsid w:val="2CAC7CD2"/>
    <w:rsid w:val="2D1C15E3"/>
    <w:rsid w:val="2DDA7102"/>
    <w:rsid w:val="2FD542C7"/>
    <w:rsid w:val="31641555"/>
    <w:rsid w:val="34665509"/>
    <w:rsid w:val="356D211C"/>
    <w:rsid w:val="3D482A34"/>
    <w:rsid w:val="41000067"/>
    <w:rsid w:val="420D4E5B"/>
    <w:rsid w:val="43363626"/>
    <w:rsid w:val="451775D3"/>
    <w:rsid w:val="458A0729"/>
    <w:rsid w:val="49A377D0"/>
    <w:rsid w:val="4A523F88"/>
    <w:rsid w:val="4B731DC2"/>
    <w:rsid w:val="50FB6ED1"/>
    <w:rsid w:val="57CB031C"/>
    <w:rsid w:val="599A6930"/>
    <w:rsid w:val="62C769E8"/>
    <w:rsid w:val="68AE03E2"/>
    <w:rsid w:val="73016846"/>
    <w:rsid w:val="79784DEC"/>
    <w:rsid w:val="7CC30BEA"/>
    <w:rsid w:val="7EBA20BC"/>
    <w:rsid w:val="7F2E3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uiPriority w:val="0"/>
    <w:pPr>
      <w:keepNext/>
      <w:keepLines/>
      <w:spacing w:before="340" w:after="330" w:line="578" w:lineRule="auto"/>
      <w:outlineLvl w:val="0"/>
    </w:pPr>
    <w:rPr>
      <w:b/>
      <w:bCs/>
      <w:kern w:val="44"/>
      <w:sz w:val="44"/>
      <w:szCs w:val="44"/>
    </w:rPr>
  </w:style>
  <w:style w:type="paragraph" w:styleId="3">
    <w:name w:val="heading 2"/>
    <w:basedOn w:val="1"/>
    <w:next w:val="1"/>
    <w:link w:val="18"/>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0"/>
    <w:pPr>
      <w:jc w:val="left"/>
      <w:textAlignment w:val="baseline"/>
    </w:pPr>
    <w:rPr>
      <w:kern w:val="0"/>
      <w:sz w:val="24"/>
    </w:rPr>
  </w:style>
  <w:style w:type="character" w:styleId="15">
    <w:name w:val="Strong"/>
    <w:basedOn w:val="14"/>
    <w:uiPriority w:val="0"/>
    <w:rPr>
      <w:b/>
    </w:rPr>
  </w:style>
  <w:style w:type="character" w:styleId="16">
    <w:name w:val="Hyperlink"/>
    <w:basedOn w:val="14"/>
    <w:uiPriority w:val="0"/>
    <w:rPr>
      <w:color w:val="0000FF"/>
      <w:u w:val="single"/>
    </w:rPr>
  </w:style>
  <w:style w:type="character" w:customStyle="1" w:styleId="17">
    <w:name w:val="标题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3"/>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5">
    <w:name w:val="Body text|22"/>
    <w:basedOn w:val="1"/>
    <w:qFormat/>
    <w:uiPriority w:val="0"/>
    <w:pPr>
      <w:shd w:val="clear" w:color="auto" w:fill="FFFFFF"/>
      <w:spacing w:after="420" w:line="320" w:lineRule="exact"/>
      <w:jc w:val="distribute"/>
    </w:pPr>
    <w:rPr>
      <w:rFonts w:ascii="PMingLiU" w:hAnsi="PMingLiU" w:eastAsia="PMingLiU" w:cs="PMingLiU"/>
      <w:spacing w:val="4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2000" b="0" i="0" u="none" strike="noStrike" kern="1200" spc="0" baseline="0">
                <a:solidFill>
                  <a:schemeClr val="tx1">
                    <a:lumMod val="65000"/>
                    <a:lumOff val="35000"/>
                  </a:schemeClr>
                </a:solidFill>
                <a:latin typeface="+mn-lt"/>
                <a:ea typeface="+mn-ea"/>
                <a:cs typeface="+mn-cs"/>
              </a:defRPr>
            </a:pPr>
            <a:r>
              <a:rPr sz="2000"/>
              <a:t>收入支出决算决算图</a:t>
            </a:r>
            <a:endParaRPr sz="2000"/>
          </a:p>
        </c:rich>
      </c:tx>
      <c:layout>
        <c:manualLayout>
          <c:xMode val="edge"/>
          <c:yMode val="edge"/>
          <c:x val="0.278544114208896"/>
          <c:y val="0.0588400900900901"/>
        </c:manualLayout>
      </c:layout>
      <c:overlay val="0"/>
      <c:spPr>
        <a:noFill/>
        <a:ln>
          <a:noFill/>
        </a:ln>
        <a:effectLst/>
      </c:spPr>
    </c:title>
    <c:autoTitleDeleted val="0"/>
    <c:plotArea>
      <c:layout>
        <c:manualLayout>
          <c:layoutTarget val="inner"/>
          <c:xMode val="edge"/>
          <c:yMode val="edge"/>
          <c:x val="0.128237337966056"/>
          <c:y val="0.257200267916946"/>
          <c:w val="0.818441801416544"/>
          <c:h val="0.677606608617995"/>
        </c:manualLayout>
      </c:layout>
      <c:barChart>
        <c:barDir val="bar"/>
        <c:grouping val="clustered"/>
        <c:varyColors val="0"/>
        <c:ser>
          <c:idx val="0"/>
          <c:order val="0"/>
          <c:tx>
            <c:strRef>
              <c:f>[工作簿1]Sheet1!$C$4</c:f>
              <c:strCache>
                <c:ptCount val="1"/>
                <c:pt idx="0">
                  <c:v>总收入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2020年</c:v>
                </c:pt>
                <c:pt idx="1">
                  <c:v>2019年</c:v>
                </c:pt>
              </c:strCache>
            </c:strRef>
          </c:cat>
          <c:val>
            <c:numRef>
              <c:f>[工作簿1]Sheet1!$D$4:$E$4</c:f>
              <c:numCache>
                <c:formatCode>General</c:formatCode>
                <c:ptCount val="2"/>
                <c:pt idx="0">
                  <c:v>141.49</c:v>
                </c:pt>
                <c:pt idx="1">
                  <c:v>146.34</c:v>
                </c:pt>
              </c:numCache>
            </c:numRef>
          </c:val>
        </c:ser>
        <c:ser>
          <c:idx val="1"/>
          <c:order val="1"/>
          <c:tx>
            <c:strRef>
              <c:f>[工作簿1]Sheet1!$C$5</c:f>
              <c:strCache>
                <c:ptCount val="1"/>
                <c:pt idx="0">
                  <c:v>总支出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2020年</c:v>
                </c:pt>
                <c:pt idx="1">
                  <c:v>2019年</c:v>
                </c:pt>
              </c:strCache>
            </c:strRef>
          </c:cat>
          <c:val>
            <c:numRef>
              <c:f>[工作簿1]Sheet1!$D$5:$E$5</c:f>
              <c:numCache>
                <c:formatCode>General</c:formatCode>
                <c:ptCount val="2"/>
                <c:pt idx="0">
                  <c:v>135.49</c:v>
                </c:pt>
                <c:pt idx="1">
                  <c:v>171.69</c:v>
                </c:pt>
              </c:numCache>
            </c:numRef>
          </c:val>
        </c:ser>
        <c:dLbls>
          <c:showLegendKey val="0"/>
          <c:showVal val="1"/>
          <c:showCatName val="0"/>
          <c:showSerName val="0"/>
          <c:showPercent val="0"/>
          <c:showBubbleSize val="0"/>
        </c:dLbls>
        <c:gapWidth val="182"/>
        <c:axId val="120511104"/>
        <c:axId val="120566144"/>
      </c:barChart>
      <c:catAx>
        <c:axId val="120511104"/>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0566144"/>
        <c:crosses val="autoZero"/>
        <c:auto val="1"/>
        <c:lblAlgn val="ctr"/>
        <c:lblOffset val="100"/>
        <c:noMultiLvlLbl val="0"/>
      </c:catAx>
      <c:valAx>
        <c:axId val="12056614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05111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2000" b="0" i="0" u="none" strike="noStrike" kern="1200" spc="0" baseline="0">
                <a:solidFill>
                  <a:schemeClr val="tx1">
                    <a:lumMod val="65000"/>
                    <a:lumOff val="35000"/>
                  </a:schemeClr>
                </a:solidFill>
                <a:latin typeface="+mn-lt"/>
                <a:ea typeface="+mn-ea"/>
                <a:cs typeface="+mn-cs"/>
              </a:defRPr>
            </a:pPr>
            <a:r>
              <a:rPr sz="2000"/>
              <a:t>支出决算决算图</a:t>
            </a:r>
            <a:endParaRPr sz="2000"/>
          </a:p>
        </c:rich>
      </c:tx>
      <c:layout/>
      <c:overlay val="0"/>
      <c:spPr>
        <a:noFill/>
        <a:ln>
          <a:noFill/>
        </a:ln>
        <a:effectLst/>
      </c:spPr>
    </c:title>
    <c:autoTitleDeleted val="0"/>
    <c:plotArea>
      <c:layout/>
      <c:pieChart>
        <c:varyColors val="1"/>
        <c:ser>
          <c:idx val="0"/>
          <c:order val="0"/>
          <c:spPr/>
          <c:explosion val="4"/>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[工作簿1]Sheet1!$D$28:$D$29</c:f>
              <c:strCache>
                <c:ptCount val="2"/>
                <c:pt idx="0">
                  <c:v>基本支出</c:v>
                </c:pt>
                <c:pt idx="1">
                  <c:v>项目支出</c:v>
                </c:pt>
              </c:strCache>
            </c:strRef>
          </c:cat>
          <c:val>
            <c:numRef>
              <c:f>[工作簿1]Sheet1!$E$28:$E$29</c:f>
              <c:numCache>
                <c:formatCode>General</c:formatCode>
                <c:ptCount val="2"/>
                <c:pt idx="0">
                  <c:v>126.09</c:v>
                </c:pt>
                <c:pt idx="1">
                  <c:v>9.4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sz="100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2000" b="0" i="0" u="none" strike="noStrike" kern="1200" spc="0" baseline="0">
                <a:solidFill>
                  <a:schemeClr val="tx1">
                    <a:lumMod val="65000"/>
                    <a:lumOff val="35000"/>
                  </a:schemeClr>
                </a:solidFill>
                <a:latin typeface="+mn-lt"/>
                <a:ea typeface="+mn-ea"/>
                <a:cs typeface="+mn-cs"/>
              </a:defRPr>
            </a:pPr>
            <a:r>
              <a:rPr sz="2000"/>
              <a:t>财政拨款收、支决算变动情况</a:t>
            </a:r>
            <a:endParaRPr sz="2000"/>
          </a:p>
        </c:rich>
      </c:tx>
      <c:layout>
        <c:manualLayout>
          <c:xMode val="edge"/>
          <c:yMode val="edge"/>
          <c:x val="0.142431541878544"/>
          <c:y val="0.0453265765765766"/>
        </c:manualLayout>
      </c:layout>
      <c:overlay val="0"/>
      <c:spPr>
        <a:noFill/>
        <a:ln>
          <a:noFill/>
        </a:ln>
        <a:effectLst/>
      </c:spPr>
    </c:title>
    <c:autoTitleDeleted val="0"/>
    <c:plotArea>
      <c:layout>
        <c:manualLayout>
          <c:layoutTarget val="inner"/>
          <c:xMode val="edge"/>
          <c:yMode val="edge"/>
          <c:x val="0.126854287217254"/>
          <c:y val="0.231177175165789"/>
          <c:w val="0.818441801416544"/>
          <c:h val="0.677606608617995"/>
        </c:manualLayout>
      </c:layout>
      <c:barChart>
        <c:barDir val="bar"/>
        <c:grouping val="clustered"/>
        <c:varyColors val="0"/>
        <c:ser>
          <c:idx val="0"/>
          <c:order val="0"/>
          <c:tx>
            <c:strRef>
              <c:f>[工作簿1]Sheet1!$C$4</c:f>
              <c:strCache>
                <c:ptCount val="1"/>
                <c:pt idx="0">
                  <c:v>财政拨款收入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2020年</c:v>
                </c:pt>
                <c:pt idx="1">
                  <c:v>2019年</c:v>
                </c:pt>
              </c:strCache>
            </c:strRef>
          </c:cat>
          <c:val>
            <c:numRef>
              <c:f>[工作簿1]Sheet1!$D$4:$E$4</c:f>
              <c:numCache>
                <c:formatCode>General</c:formatCode>
                <c:ptCount val="2"/>
                <c:pt idx="0">
                  <c:v>141.49</c:v>
                </c:pt>
                <c:pt idx="1">
                  <c:v>146.34</c:v>
                </c:pt>
              </c:numCache>
            </c:numRef>
          </c:val>
        </c:ser>
        <c:ser>
          <c:idx val="1"/>
          <c:order val="1"/>
          <c:tx>
            <c:strRef>
              <c:f>[工作簿1]Sheet1!$C$5</c:f>
              <c:strCache>
                <c:ptCount val="1"/>
                <c:pt idx="0">
                  <c:v>财政拨款支出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2020年</c:v>
                </c:pt>
                <c:pt idx="1">
                  <c:v>2019年</c:v>
                </c:pt>
              </c:strCache>
            </c:strRef>
          </c:cat>
          <c:val>
            <c:numRef>
              <c:f>[工作簿1]Sheet1!$D$5:$E$5</c:f>
              <c:numCache>
                <c:formatCode>General</c:formatCode>
                <c:ptCount val="2"/>
                <c:pt idx="0">
                  <c:v>135.49</c:v>
                </c:pt>
                <c:pt idx="1">
                  <c:v>171.69</c:v>
                </c:pt>
              </c:numCache>
            </c:numRef>
          </c:val>
        </c:ser>
        <c:dLbls>
          <c:showLegendKey val="0"/>
          <c:showVal val="1"/>
          <c:showCatName val="0"/>
          <c:showSerName val="0"/>
          <c:showPercent val="0"/>
          <c:showBubbleSize val="0"/>
        </c:dLbls>
        <c:gapWidth val="182"/>
        <c:axId val="121338112"/>
        <c:axId val="121364480"/>
      </c:barChart>
      <c:catAx>
        <c:axId val="121338112"/>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1364480"/>
        <c:crosses val="autoZero"/>
        <c:auto val="1"/>
        <c:lblAlgn val="ctr"/>
        <c:lblOffset val="100"/>
        <c:noMultiLvlLbl val="0"/>
      </c:catAx>
      <c:valAx>
        <c:axId val="12136448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133811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2000" b="0" i="0" u="none" strike="noStrike" kern="1200" spc="0" baseline="0">
                <a:solidFill>
                  <a:schemeClr val="tx1">
                    <a:lumMod val="65000"/>
                    <a:lumOff val="35000"/>
                  </a:schemeClr>
                </a:solidFill>
                <a:latin typeface="+mn-lt"/>
                <a:ea typeface="+mn-ea"/>
                <a:cs typeface="+mn-cs"/>
              </a:defRPr>
            </a:pPr>
            <a:r>
              <a:rPr sz="2000"/>
              <a:t>一般公共预算财政拨款</a:t>
            </a:r>
            <a:endParaRPr sz="2000"/>
          </a:p>
          <a:p>
            <a:pPr>
              <a:defRPr lang="zh-CN" sz="2000" b="0" i="0" u="none" strike="noStrike" kern="1200" spc="0" baseline="0">
                <a:solidFill>
                  <a:schemeClr val="tx1">
                    <a:lumMod val="65000"/>
                    <a:lumOff val="35000"/>
                  </a:schemeClr>
                </a:solidFill>
                <a:latin typeface="+mn-lt"/>
                <a:ea typeface="+mn-ea"/>
                <a:cs typeface="+mn-cs"/>
              </a:defRPr>
            </a:pPr>
            <a:r>
              <a:rPr sz="2000"/>
              <a:t>支出决算变动情况</a:t>
            </a:r>
            <a:endParaRPr sz="2000"/>
          </a:p>
          <a:p>
            <a:pPr>
              <a:defRPr lang="zh-CN" sz="2000" b="0" i="0" u="none" strike="noStrike" kern="1200" spc="0" baseline="0">
                <a:solidFill>
                  <a:schemeClr val="tx1">
                    <a:lumMod val="65000"/>
                    <a:lumOff val="35000"/>
                  </a:schemeClr>
                </a:solidFill>
                <a:latin typeface="+mn-lt"/>
                <a:ea typeface="+mn-ea"/>
                <a:cs typeface="+mn-cs"/>
              </a:defRPr>
            </a:pPr>
            <a:endParaRPr sz="2000"/>
          </a:p>
        </c:rich>
      </c:tx>
      <c:layout>
        <c:manualLayout>
          <c:xMode val="edge"/>
          <c:yMode val="edge"/>
          <c:x val="0.239091194692852"/>
          <c:y val="0.0419481981981982"/>
        </c:manualLayout>
      </c:layout>
      <c:overlay val="0"/>
      <c:spPr>
        <a:noFill/>
        <a:ln>
          <a:noFill/>
        </a:ln>
        <a:effectLst/>
      </c:spPr>
    </c:title>
    <c:autoTitleDeleted val="0"/>
    <c:plotArea>
      <c:layout>
        <c:manualLayout>
          <c:layoutTarget val="inner"/>
          <c:xMode val="edge"/>
          <c:yMode val="edge"/>
          <c:x val="0.128237337966056"/>
          <c:y val="0.257200267916946"/>
          <c:w val="0.818441801416544"/>
          <c:h val="0.677606608617995"/>
        </c:manualLayout>
      </c:layout>
      <c:barChart>
        <c:barDir val="bar"/>
        <c:grouping val="clustered"/>
        <c:varyColors val="0"/>
        <c:ser>
          <c:idx val="0"/>
          <c:order val="0"/>
          <c:tx>
            <c:strRef>
              <c:f>[工作簿1]Sheet1!$C$4</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2020年</c:v>
                </c:pt>
                <c:pt idx="1">
                  <c:v>2019年</c:v>
                </c:pt>
              </c:strCache>
            </c:strRef>
          </c:cat>
          <c:val>
            <c:numRef>
              <c:f>[工作簿1]Sheet1!$D$4:$E$4</c:f>
              <c:numCache>
                <c:formatCode>General</c:formatCode>
                <c:ptCount val="2"/>
              </c:numCache>
            </c:numRef>
          </c:val>
        </c:ser>
        <c:ser>
          <c:idx val="1"/>
          <c:order val="1"/>
          <c:tx>
            <c:strRef>
              <c:f>[工作簿1]Sheet1!$C$5</c:f>
              <c:strCache>
                <c:ptCount val="1"/>
                <c:pt idx="0">
                  <c:v>一般公共预算财政拨款
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2020年</c:v>
                </c:pt>
                <c:pt idx="1">
                  <c:v>2019年</c:v>
                </c:pt>
              </c:strCache>
            </c:strRef>
          </c:cat>
          <c:val>
            <c:numRef>
              <c:f>[工作簿1]Sheet1!$D$5:$E$5</c:f>
              <c:numCache>
                <c:formatCode>General</c:formatCode>
                <c:ptCount val="2"/>
                <c:pt idx="0">
                  <c:v>135.49</c:v>
                </c:pt>
                <c:pt idx="1">
                  <c:v>171.69</c:v>
                </c:pt>
              </c:numCache>
            </c:numRef>
          </c:val>
        </c:ser>
        <c:dLbls>
          <c:showLegendKey val="0"/>
          <c:showVal val="1"/>
          <c:showCatName val="0"/>
          <c:showSerName val="0"/>
          <c:showPercent val="0"/>
          <c:showBubbleSize val="0"/>
        </c:dLbls>
        <c:gapWidth val="182"/>
        <c:axId val="124671104"/>
        <c:axId val="124672640"/>
      </c:barChart>
      <c:catAx>
        <c:axId val="124671104"/>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4672640"/>
        <c:crosses val="autoZero"/>
        <c:auto val="1"/>
        <c:lblAlgn val="ctr"/>
        <c:lblOffset val="100"/>
        <c:noMultiLvlLbl val="0"/>
      </c:catAx>
      <c:valAx>
        <c:axId val="12467264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4671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0" i="0" u="none" strike="noStrike" kern="1200" spc="0" baseline="0">
                <a:solidFill>
                  <a:schemeClr val="tx1">
                    <a:lumMod val="65000"/>
                    <a:lumOff val="35000"/>
                  </a:schemeClr>
                </a:solidFill>
                <a:latin typeface="+mn-lt"/>
                <a:ea typeface="+mn-ea"/>
                <a:cs typeface="+mn-cs"/>
              </a:defRPr>
            </a:pPr>
            <a:r>
              <a:rPr sz="1600"/>
              <a:t>一般公共预算财政拨款支出决算结构</a:t>
            </a:r>
            <a:endParaRPr sz="1600"/>
          </a:p>
        </c:rich>
      </c:tx>
      <c:layout/>
      <c:overlay val="0"/>
      <c:spPr>
        <a:noFill/>
        <a:ln>
          <a:noFill/>
        </a:ln>
        <a:effectLst/>
      </c:spPr>
    </c:title>
    <c:autoTitleDeleted val="0"/>
    <c:plotArea>
      <c:layout/>
      <c:doughnut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[工作簿1]Sheet1!$E$54:$E$58</c:f>
              <c:strCache>
                <c:ptCount val="5"/>
                <c:pt idx="0">
                  <c:v>一般公共服务支出</c:v>
                </c:pt>
                <c:pt idx="1">
                  <c:v>社会保障和就业支出</c:v>
                </c:pt>
                <c:pt idx="2">
                  <c:v>卫生健康支出</c:v>
                </c:pt>
                <c:pt idx="3">
                  <c:v>住房保障支出</c:v>
                </c:pt>
                <c:pt idx="4">
                  <c:v>其他支出</c:v>
                </c:pt>
              </c:strCache>
            </c:strRef>
          </c:cat>
          <c:val>
            <c:numRef>
              <c:f>[工作簿1]Sheet1!$F$54:$F$58</c:f>
              <c:numCache>
                <c:formatCode>General</c:formatCode>
                <c:ptCount val="5"/>
                <c:pt idx="0">
                  <c:v>97.36</c:v>
                </c:pt>
                <c:pt idx="1">
                  <c:v>9.53</c:v>
                </c:pt>
                <c:pt idx="2">
                  <c:v>3.99</c:v>
                </c:pt>
                <c:pt idx="3">
                  <c:v>15.61</c:v>
                </c:pt>
                <c:pt idx="4">
                  <c:v>9</c:v>
                </c:pt>
              </c:numCache>
            </c:numRef>
          </c:val>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legendEntry>
        <c:idx val="0"/>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sz="10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7665</Words>
  <Characters>2613</Characters>
  <Lines>21</Lines>
  <Paragraphs>20</Paragraphs>
  <TotalTime>9</TotalTime>
  <ScaleCrop>false</ScaleCrop>
  <LinksUpToDate>false</LinksUpToDate>
  <CharactersWithSpaces>10258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2021-09-22T01:23:00Z</cp:lastPrinted>
  <dcterms:modified xsi:type="dcterms:W3CDTF">2021-09-27T03:52:32Z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94098AFE5B6647178E092417B96FB9D5</vt:lpwstr>
  </property>
</Properties>
</file>