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2023年，我单位部门预算12万元 ，均严格按绩效管理要求实现项目绩效目标管理，其中重点项目预算1个，现将情况说明如下：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Chars="200" w:firstLine="640"/>
        <w:textAlignment w:val="auto"/>
        <w:rPr>
          <w:rFonts w:ascii="Times New Roman" w:hAnsi="Times New Roman"/>
          <w:szCs w:val="32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为切实加强基层妇联工作的人财物保障，有力推进我县妇女儿童事业发展。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重点项目1：妇联专项工作经费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项目年度绩效目标：2023年度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绩效指标设置情况：细化指标5个，包括产出指标、成本指标、效益指标和满意度指标。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......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GIwMGY4YzRjOTM2YTRhMmI0OGRjMzQ1NGJkNjJlOD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able of figures"/>
    <w:basedOn w:val="0"/>
    <w:next w:val="0"/>
    <w:pPr>
      <w:ind w:leftChars="200" w:left="400" w:hangingChars="200" w:hanging="200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1</Pages>
  <Words>326</Words>
  <Characters>341</Characters>
  <Lines>21</Lines>
  <Paragraphs>14</Paragraphs>
  <CharactersWithSpaces>343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2023-02-13T03:06:45Z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2052-11.1.0.9208</vt:lpwstr>
  </property>
  <property fmtid="{D5CDD505-2E9C-101B-9397-08002B2CF9AE}" pid="3" name="ICV">
    <vt:lpwstr>87684178FEED4C948DD55415202DB971</vt:lpwstr>
  </property>
</Properties>
</file>