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1F027">
      <w:pPr>
        <w:adjustRightInd w:val="0"/>
        <w:snapToGrid w:val="0"/>
        <w:spacing w:line="360" w:lineRule="auto"/>
        <w:jc w:val="center"/>
        <w:outlineLvl w:val="0"/>
        <w:rPr>
          <w:rFonts w:ascii="黑体" w:eastAsia="黑体"/>
          <w:color w:val="000000"/>
          <w:sz w:val="72"/>
          <w:szCs w:val="72"/>
        </w:rPr>
      </w:pPr>
      <w:bookmarkStart w:id="11" w:name="_GoBack"/>
      <w:bookmarkEnd w:id="11"/>
      <w:bookmarkStart w:id="0" w:name="_Toc15396475"/>
      <w:bookmarkStart w:id="1" w:name="_Toc15378441"/>
      <w:bookmarkStart w:id="2" w:name="_Toc15377193"/>
      <w:bookmarkStart w:id="3" w:name="_Toc15396597"/>
      <w:bookmarkStart w:id="4" w:name="_Toc15377425"/>
    </w:p>
    <w:p w14:paraId="5F8D5E22">
      <w:pPr>
        <w:adjustRightInd w:val="0"/>
        <w:snapToGrid w:val="0"/>
        <w:spacing w:line="360" w:lineRule="auto"/>
        <w:jc w:val="center"/>
        <w:outlineLvl w:val="0"/>
        <w:rPr>
          <w:rFonts w:ascii="黑体" w:eastAsia="黑体"/>
          <w:color w:val="000000"/>
          <w:sz w:val="72"/>
          <w:szCs w:val="72"/>
        </w:rPr>
      </w:pPr>
    </w:p>
    <w:p w14:paraId="2D88689C">
      <w:pPr>
        <w:adjustRightInd w:val="0"/>
        <w:snapToGrid w:val="0"/>
        <w:spacing w:line="360" w:lineRule="auto"/>
        <w:jc w:val="center"/>
        <w:outlineLvl w:val="0"/>
        <w:rPr>
          <w:rFonts w:ascii="方正小标宋简体" w:eastAsia="方正小标宋简体"/>
          <w:color w:val="000000"/>
          <w:sz w:val="72"/>
          <w:szCs w:val="72"/>
        </w:rPr>
      </w:pPr>
      <w:r>
        <w:rPr>
          <w:rFonts w:ascii="黑体" w:eastAsia="黑体"/>
          <w:color w:val="000000"/>
          <w:sz w:val="72"/>
          <w:szCs w:val="72"/>
        </w:rPr>
        <w:t>20</w:t>
      </w:r>
      <w:r>
        <w:rPr>
          <w:rFonts w:hint="eastAsia" w:ascii="黑体" w:eastAsia="黑体"/>
          <w:color w:val="000000"/>
          <w:sz w:val="72"/>
          <w:szCs w:val="72"/>
          <w:lang w:val="en-US" w:eastAsia="zh-CN"/>
        </w:rPr>
        <w:t>22</w:t>
      </w:r>
      <w:r>
        <w:rPr>
          <w:rFonts w:hint="eastAsia" w:ascii="方正小标宋简体" w:eastAsia="方正小标宋简体"/>
          <w:color w:val="000000"/>
          <w:sz w:val="72"/>
          <w:szCs w:val="72"/>
        </w:rPr>
        <w:t>年度</w:t>
      </w:r>
      <w:bookmarkEnd w:id="0"/>
      <w:bookmarkEnd w:id="1"/>
      <w:bookmarkEnd w:id="2"/>
      <w:bookmarkEnd w:id="3"/>
      <w:bookmarkEnd w:id="4"/>
    </w:p>
    <w:p w14:paraId="2423422C">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5" w:name="_Toc15396598"/>
      <w:bookmarkStart w:id="6" w:name="_Toc15306268"/>
      <w:bookmarkStart w:id="7" w:name="_Toc15377426"/>
      <w:bookmarkStart w:id="8" w:name="_Toc15378442"/>
      <w:bookmarkStart w:id="9" w:name="_Toc15377194"/>
      <w:bookmarkStart w:id="10" w:name="_Toc15396476"/>
      <w:r>
        <w:rPr>
          <w:rFonts w:hint="eastAsia" w:ascii="方正小标宋简体" w:eastAsia="方正小标宋简体"/>
          <w:color w:val="000000"/>
          <w:sz w:val="72"/>
          <w:szCs w:val="72"/>
          <w:lang w:eastAsia="zh-CN"/>
        </w:rPr>
        <w:t>金川县妇女联合会</w:t>
      </w:r>
    </w:p>
    <w:p w14:paraId="25A2BA5F">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w:t>
      </w:r>
      <w:bookmarkEnd w:id="5"/>
      <w:bookmarkEnd w:id="6"/>
      <w:bookmarkEnd w:id="7"/>
      <w:bookmarkEnd w:id="8"/>
      <w:bookmarkEnd w:id="9"/>
      <w:bookmarkEnd w:id="10"/>
      <w:r>
        <w:rPr>
          <w:rFonts w:hint="eastAsia" w:ascii="方正小标宋简体" w:eastAsia="方正小标宋简体"/>
          <w:color w:val="000000"/>
          <w:sz w:val="72"/>
          <w:szCs w:val="72"/>
          <w:lang w:eastAsia="zh-CN"/>
        </w:rPr>
        <w:t>预算编制说明</w:t>
      </w:r>
    </w:p>
    <w:p w14:paraId="532678DB">
      <w:pPr>
        <w:pStyle w:val="4"/>
        <w:rPr>
          <w:rFonts w:hint="eastAsia" w:ascii="方正小标宋简体" w:hAnsi="方正小标宋简体" w:eastAsia="方正小标宋简体" w:cs="方正小标宋简体"/>
          <w:sz w:val="40"/>
          <w:szCs w:val="40"/>
        </w:rPr>
      </w:pPr>
    </w:p>
    <w:p w14:paraId="5776D2B3">
      <w:pPr>
        <w:rPr>
          <w:rFonts w:hint="eastAsia"/>
        </w:rPr>
      </w:pPr>
    </w:p>
    <w:p w14:paraId="39B3CA9F">
      <w:pPr>
        <w:pStyle w:val="2"/>
        <w:rPr>
          <w:rFonts w:hint="eastAsia"/>
        </w:rPr>
      </w:pPr>
    </w:p>
    <w:p w14:paraId="2B850189">
      <w:pPr>
        <w:pStyle w:val="2"/>
        <w:rPr>
          <w:rFonts w:hint="eastAsia"/>
        </w:rPr>
      </w:pPr>
    </w:p>
    <w:p w14:paraId="053AC492">
      <w:pPr>
        <w:pStyle w:val="2"/>
        <w:rPr>
          <w:rFonts w:hint="eastAsia"/>
        </w:rPr>
      </w:pPr>
    </w:p>
    <w:p w14:paraId="15EB8145">
      <w:pPr>
        <w:pStyle w:val="2"/>
        <w:rPr>
          <w:rFonts w:hint="eastAsia"/>
        </w:rPr>
      </w:pPr>
    </w:p>
    <w:p w14:paraId="2AFA4132">
      <w:pPr>
        <w:pStyle w:val="2"/>
        <w:rPr>
          <w:rFonts w:hint="eastAsia"/>
        </w:rPr>
      </w:pPr>
    </w:p>
    <w:p w14:paraId="0CB1982C">
      <w:pPr>
        <w:pStyle w:val="2"/>
        <w:rPr>
          <w:rFonts w:hint="eastAsia"/>
        </w:rPr>
      </w:pPr>
    </w:p>
    <w:p w14:paraId="4CAE997E">
      <w:pPr>
        <w:pStyle w:val="2"/>
        <w:rPr>
          <w:rFonts w:hint="eastAsia"/>
        </w:rPr>
      </w:pPr>
    </w:p>
    <w:p w14:paraId="29C434A3">
      <w:pPr>
        <w:pStyle w:val="2"/>
        <w:rPr>
          <w:rFonts w:hint="eastAsia"/>
        </w:rPr>
      </w:pPr>
    </w:p>
    <w:p w14:paraId="2E2DF35F">
      <w:pPr>
        <w:pStyle w:val="2"/>
        <w:rPr>
          <w:rFonts w:hint="eastAsia"/>
        </w:rPr>
      </w:pPr>
    </w:p>
    <w:p w14:paraId="6AFB0BDE">
      <w:pPr>
        <w:pStyle w:val="2"/>
        <w:rPr>
          <w:rFonts w:hint="eastAsia"/>
        </w:rPr>
      </w:pPr>
    </w:p>
    <w:p w14:paraId="2F630E53">
      <w:pPr>
        <w:pStyle w:val="2"/>
        <w:rPr>
          <w:rFonts w:hint="eastAsia"/>
        </w:rPr>
      </w:pPr>
    </w:p>
    <w:p w14:paraId="1BDD0DEF">
      <w:pPr>
        <w:pStyle w:val="2"/>
        <w:rPr>
          <w:rFonts w:hint="eastAsia"/>
        </w:rPr>
      </w:pPr>
    </w:p>
    <w:p w14:paraId="51BBEEBD">
      <w:pPr>
        <w:pStyle w:val="2"/>
        <w:rPr>
          <w:rFonts w:hint="eastAsia"/>
        </w:rPr>
      </w:pPr>
    </w:p>
    <w:p w14:paraId="3488531B">
      <w:pPr>
        <w:pStyle w:val="2"/>
        <w:rPr>
          <w:rFonts w:hint="eastAsia"/>
        </w:rPr>
      </w:pPr>
    </w:p>
    <w:p w14:paraId="583F796F">
      <w:pPr>
        <w:pStyle w:val="2"/>
        <w:rPr>
          <w:rFonts w:hint="eastAsia"/>
        </w:rPr>
      </w:pPr>
    </w:p>
    <w:p w14:paraId="6D55069A">
      <w:pPr>
        <w:pStyle w:val="2"/>
        <w:rPr>
          <w:rFonts w:hint="eastAsia"/>
        </w:rPr>
      </w:pPr>
    </w:p>
    <w:p w14:paraId="157C8595">
      <w:pPr>
        <w:pStyle w:val="2"/>
        <w:rPr>
          <w:rFonts w:hint="eastAsia"/>
        </w:rPr>
      </w:pPr>
    </w:p>
    <w:p w14:paraId="0B6D1E56">
      <w:pPr>
        <w:pStyle w:val="2"/>
        <w:rPr>
          <w:rFonts w:hint="eastAsia"/>
        </w:rPr>
      </w:pPr>
    </w:p>
    <w:p w14:paraId="10B4F3D9">
      <w:pPr>
        <w:widowControl/>
        <w:jc w:val="center"/>
        <w:rPr>
          <w:rFonts w:ascii="黑体" w:eastAsia="黑体"/>
          <w:color w:val="000000"/>
          <w:sz w:val="48"/>
          <w:szCs w:val="48"/>
        </w:rPr>
      </w:pPr>
      <w:r>
        <w:rPr>
          <w:rFonts w:hint="eastAsia" w:ascii="黑体" w:eastAsia="黑体"/>
          <w:color w:val="000000"/>
          <w:sz w:val="48"/>
          <w:szCs w:val="48"/>
        </w:rPr>
        <w:t>目录</w:t>
      </w:r>
    </w:p>
    <w:p w14:paraId="06769E4B">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7F950C7C">
      <w:pPr>
        <w:pStyle w:val="3"/>
        <w:rPr>
          <w:rFonts w:cs="Arial"/>
        </w:rPr>
      </w:pPr>
      <w:r>
        <w:fldChar w:fldCharType="begin"/>
      </w:r>
      <w:r>
        <w:instrText xml:space="preserve"> HYPERLINK \l "_Toc15396599" </w:instrText>
      </w:r>
      <w:r>
        <w:fldChar w:fldCharType="separate"/>
      </w:r>
      <w:r>
        <w:rPr>
          <w:rFonts w:hint="eastAsia"/>
        </w:rPr>
        <w:t>一</w:t>
      </w:r>
      <w:r>
        <w:rPr>
          <w:rFonts w:hint="eastAsia"/>
          <w:lang w:eastAsia="zh-CN"/>
        </w:rPr>
        <w:t>、基本职能及主要工作</w:t>
      </w:r>
      <w:r>
        <w:tab/>
      </w:r>
      <w:r>
        <w:rPr>
          <w:rFonts w:hint="eastAsia"/>
          <w:lang w:val="en-US" w:eastAsia="zh-CN"/>
        </w:rPr>
        <w:t>3</w:t>
      </w:r>
      <w:r>
        <w:rPr>
          <w:rFonts w:hint="eastAsia"/>
        </w:rPr>
        <w:fldChar w:fldCharType="end"/>
      </w:r>
    </w:p>
    <w:p w14:paraId="59F606C5">
      <w:pPr>
        <w:pStyle w:val="5"/>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lang w:eastAsia="zh-CN"/>
        </w:rPr>
        <w:t>（一）</w:t>
      </w:r>
      <w:r>
        <w:rPr>
          <w:rFonts w:hint="eastAsia" w:ascii="仿宋" w:eastAsia="仿宋"/>
          <w:sz w:val="28"/>
          <w:szCs w:val="28"/>
        </w:rPr>
        <w:t>职能</w:t>
      </w:r>
      <w:r>
        <w:rPr>
          <w:rFonts w:hint="eastAsia" w:ascii="仿宋" w:eastAsia="仿宋"/>
          <w:sz w:val="28"/>
          <w:szCs w:val="28"/>
          <w:lang w:eastAsia="zh-CN"/>
        </w:rPr>
        <w:t>简介</w:t>
      </w:r>
      <w:r>
        <w:rPr>
          <w:rFonts w:ascii="仿宋" w:eastAsia="仿宋"/>
          <w:sz w:val="28"/>
          <w:szCs w:val="28"/>
        </w:rPr>
        <w:tab/>
      </w:r>
      <w:r>
        <w:rPr>
          <w:rFonts w:hint="eastAsia" w:ascii="仿宋" w:eastAsia="仿宋"/>
          <w:sz w:val="28"/>
          <w:szCs w:val="28"/>
          <w:lang w:val="en-US" w:eastAsia="zh-CN"/>
        </w:rPr>
        <w:t>3</w:t>
      </w:r>
      <w:r>
        <w:rPr>
          <w:rFonts w:hint="eastAsia" w:ascii="仿宋" w:eastAsia="仿宋"/>
          <w:sz w:val="28"/>
          <w:szCs w:val="28"/>
        </w:rPr>
        <w:fldChar w:fldCharType="end"/>
      </w:r>
    </w:p>
    <w:p w14:paraId="6F0B4F42">
      <w:pPr>
        <w:pStyle w:val="5"/>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lang w:eastAsia="zh-CN"/>
        </w:rPr>
        <w:t>（二）主要工作</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p>
    <w:p w14:paraId="4C1AF814">
      <w:pPr>
        <w:pStyle w:val="3"/>
      </w:pPr>
      <w:r>
        <w:fldChar w:fldCharType="begin"/>
      </w:r>
      <w:r>
        <w:instrText xml:space="preserve"> HYPERLINK \l "_Toc15396602" </w:instrText>
      </w:r>
      <w:r>
        <w:fldChar w:fldCharType="separate"/>
      </w:r>
      <w:r>
        <w:rPr>
          <w:rFonts w:hint="eastAsia"/>
          <w:lang w:eastAsia="zh-CN"/>
        </w:rPr>
        <w:t>二、</w:t>
      </w:r>
      <w:r>
        <w:rPr>
          <w:rFonts w:hint="eastAsia"/>
        </w:rPr>
        <w:t>部门</w:t>
      </w:r>
      <w:r>
        <w:rPr>
          <w:rFonts w:hint="eastAsia"/>
          <w:lang w:eastAsia="zh-CN"/>
        </w:rPr>
        <w:t>预算单位构成</w:t>
      </w:r>
      <w:r>
        <w:tab/>
      </w:r>
      <w:r>
        <w:rPr>
          <w:rFonts w:hint="eastAsia"/>
          <w:lang w:val="en-US" w:eastAsia="zh-CN"/>
        </w:rPr>
        <w:t>4</w:t>
      </w:r>
      <w:r>
        <w:fldChar w:fldCharType="end"/>
      </w:r>
    </w:p>
    <w:p w14:paraId="6C8ED679">
      <w:pPr>
        <w:pStyle w:val="5"/>
        <w:ind w:left="0" w:leftChars="0" w:firstLine="0" w:firstLineChars="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lang w:eastAsia="zh-CN"/>
        </w:rPr>
        <w:t>收支预算</w:t>
      </w:r>
      <w:r>
        <w:rPr>
          <w:rFonts w:hint="eastAsia" w:ascii="仿宋" w:eastAsia="仿宋" w:cs="Times New Roman"/>
          <w:bCs/>
          <w:sz w:val="28"/>
          <w:szCs w:val="28"/>
        </w:rPr>
        <w:t>情况说明</w:t>
      </w:r>
      <w:r>
        <w:rPr>
          <w:rFonts w:ascii="仿宋" w:eastAsia="仿宋"/>
          <w:sz w:val="28"/>
          <w:szCs w:val="28"/>
        </w:rPr>
        <w:tab/>
      </w:r>
      <w:r>
        <w:rPr>
          <w:rFonts w:hint="eastAsia" w:ascii="仿宋" w:eastAsia="仿宋"/>
          <w:sz w:val="28"/>
          <w:szCs w:val="28"/>
          <w:lang w:val="en-US" w:eastAsia="zh-CN"/>
        </w:rPr>
        <w:t>4</w:t>
      </w:r>
      <w:r>
        <w:rPr>
          <w:rFonts w:ascii="仿宋" w:eastAsia="仿宋"/>
          <w:sz w:val="28"/>
          <w:szCs w:val="28"/>
        </w:rPr>
        <w:fldChar w:fldCharType="end"/>
      </w:r>
    </w:p>
    <w:p w14:paraId="425F0473">
      <w:pPr>
        <w:pStyle w:val="5"/>
        <w:ind w:left="0" w:leftChars="0" w:firstLine="0" w:firstLineChars="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w:t>
      </w:r>
      <w:r>
        <w:rPr>
          <w:rFonts w:hint="eastAsia" w:ascii="仿宋" w:eastAsia="仿宋" w:cs="Times New Roman"/>
          <w:bCs/>
          <w:sz w:val="28"/>
          <w:szCs w:val="28"/>
          <w:lang w:eastAsia="zh-CN"/>
        </w:rPr>
        <w:t>收支预算</w:t>
      </w:r>
      <w:r>
        <w:rPr>
          <w:rFonts w:hint="eastAsia" w:ascii="仿宋" w:eastAsia="仿宋" w:cs="Times New Roman"/>
          <w:bCs/>
          <w:sz w:val="28"/>
          <w:szCs w:val="28"/>
        </w:rPr>
        <w:t>情况说明</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14:paraId="4EA28FCE">
      <w:pPr>
        <w:pStyle w:val="5"/>
        <w:ind w:left="0" w:leftChars="0" w:firstLine="0" w:firstLineChars="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w:t>
      </w:r>
      <w:r>
        <w:rPr>
          <w:rFonts w:hint="eastAsia" w:ascii="仿宋" w:eastAsia="仿宋" w:cs="Times New Roman"/>
          <w:bCs/>
          <w:sz w:val="28"/>
          <w:szCs w:val="28"/>
          <w:lang w:eastAsia="zh-CN"/>
        </w:rPr>
        <w:t>当年</w:t>
      </w:r>
      <w:r>
        <w:rPr>
          <w:rFonts w:hint="eastAsia" w:ascii="仿宋" w:eastAsia="仿宋" w:cs="Times New Roman"/>
          <w:bCs/>
          <w:sz w:val="28"/>
          <w:szCs w:val="28"/>
        </w:rPr>
        <w:t>拨款情况说明</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14:paraId="67EC4FA9">
      <w:pPr>
        <w:pStyle w:val="5"/>
        <w:ind w:left="0" w:leftChars="0" w:firstLine="0" w:firstLineChars="0"/>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般公共预算基本支出情况说明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14:paraId="61AF350C">
      <w:pPr>
        <w:pStyle w:val="5"/>
        <w:ind w:left="0" w:leftChars="0" w:firstLine="0" w:firstLineChars="0"/>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w:t>
      </w:r>
      <w:r>
        <w:rPr>
          <w:rFonts w:hint="eastAsia" w:ascii="仿宋" w:eastAsia="仿宋" w:cs="Times New Roman"/>
          <w:bCs/>
          <w:sz w:val="28"/>
          <w:szCs w:val="28"/>
          <w:lang w:eastAsia="zh-CN"/>
        </w:rPr>
        <w:t>预算安排</w:t>
      </w:r>
      <w:r>
        <w:rPr>
          <w:rFonts w:hint="eastAsia" w:ascii="仿宋" w:eastAsia="仿宋" w:cs="Times New Roman"/>
          <w:bCs/>
          <w:sz w:val="28"/>
          <w:szCs w:val="28"/>
        </w:rPr>
        <w:t>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14:paraId="3CFEBFE1">
      <w:pPr>
        <w:pStyle w:val="5"/>
        <w:ind w:left="0" w:leftChars="0" w:firstLine="0" w:firstLineChars="0"/>
        <w:rPr>
          <w:rFonts w:hint="eastAsia" w:ascii="仿宋" w:eastAsia="仿宋"/>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8</w:t>
      </w:r>
    </w:p>
    <w:p w14:paraId="7003FD98">
      <w:pPr>
        <w:pStyle w:val="5"/>
        <w:ind w:left="0" w:leftChars="0" w:firstLine="0" w:firstLineChars="0"/>
        <w:rPr>
          <w:rFonts w:hint="eastAsia" w:ascii="仿宋" w:eastAsia="仿宋" w:cs="Arial"/>
          <w:sz w:val="28"/>
          <w:szCs w:val="28"/>
          <w:lang w:val="en-US" w:eastAsia="zh-CN"/>
        </w:rPr>
      </w:pPr>
      <w:r>
        <w:rPr>
          <w:rFonts w:hint="eastAsia" w:ascii="仿宋" w:hAnsi="Times New Roman" w:eastAsia="仿宋" w:cs="Times New Roman"/>
          <w:bCs/>
          <w:sz w:val="28"/>
          <w:szCs w:val="28"/>
          <w:lang w:eastAsia="zh-CN"/>
        </w:rPr>
        <w:t>九、</w:t>
      </w:r>
      <w:r>
        <w:rPr>
          <w:rFonts w:hint="eastAsia" w:ascii="仿宋" w:hAnsi="Times New Roman" w:eastAsia="仿宋" w:cs="Times New Roman"/>
          <w:bCs/>
          <w:sz w:val="28"/>
          <w:szCs w:val="28"/>
        </w:rPr>
        <w:fldChar w:fldCharType="begin"/>
      </w:r>
      <w:r>
        <w:rPr>
          <w:rFonts w:hint="eastAsia" w:ascii="仿宋" w:hAnsi="Times New Roman" w:eastAsia="仿宋" w:cs="Times New Roman"/>
          <w:bCs/>
          <w:sz w:val="28"/>
          <w:szCs w:val="28"/>
        </w:rPr>
        <w:instrText xml:space="preserve"> HYPERLINK \l "_Toc15396612" </w:instrText>
      </w:r>
      <w:r>
        <w:rPr>
          <w:rFonts w:hint="eastAsia" w:ascii="仿宋" w:hAnsi="Times New Roman" w:eastAsia="仿宋" w:cs="Times New Roman"/>
          <w:bCs/>
          <w:sz w:val="28"/>
          <w:szCs w:val="28"/>
        </w:rPr>
        <w:fldChar w:fldCharType="separate"/>
      </w:r>
      <w:r>
        <w:rPr>
          <w:rFonts w:hint="eastAsia" w:ascii="仿宋" w:hAnsi="Times New Roman" w:eastAsia="仿宋" w:cs="Times New Roman"/>
          <w:bCs/>
          <w:sz w:val="28"/>
          <w:szCs w:val="28"/>
        </w:rPr>
        <w:t>其他重要事项的情况说明</w:t>
      </w:r>
      <w:r>
        <w:rPr>
          <w:rFonts w:hint="eastAsia" w:ascii="仿宋" w:hAnsi="Times New Roman" w:eastAsia="仿宋" w:cs="Times New Roman"/>
          <w:bCs/>
          <w:sz w:val="28"/>
          <w:szCs w:val="28"/>
        </w:rPr>
        <w:tab/>
      </w:r>
      <w:r>
        <w:rPr>
          <w:rFonts w:hint="eastAsia" w:ascii="仿宋" w:hAnsi="Times New Roman" w:eastAsia="仿宋" w:cs="Times New Roman"/>
          <w:bCs/>
          <w:sz w:val="28"/>
          <w:szCs w:val="28"/>
        </w:rPr>
        <w:fldChar w:fldCharType="end"/>
      </w:r>
      <w:r>
        <w:rPr>
          <w:rFonts w:hint="eastAsia" w:ascii="仿宋" w:eastAsia="仿宋"/>
          <w:sz w:val="28"/>
          <w:szCs w:val="28"/>
          <w:lang w:val="en-US" w:eastAsia="zh-CN"/>
        </w:rPr>
        <w:t>8</w:t>
      </w:r>
    </w:p>
    <w:p w14:paraId="58B72CDC">
      <w:pPr>
        <w:pStyle w:val="3"/>
        <w:rPr>
          <w:rFonts w:hint="eastAsia" w:ascii="方正小标宋简体" w:hAnsi="方正小标宋简体" w:eastAsia="方正小标宋简体" w:cs="方正小标宋简体"/>
          <w:sz w:val="40"/>
          <w:szCs w:val="40"/>
        </w:rPr>
      </w:pPr>
      <w:r>
        <w:fldChar w:fldCharType="begin"/>
      </w:r>
      <w:r>
        <w:instrText xml:space="preserve"> HYPERLINK \l "_Toc15396613" </w:instrText>
      </w:r>
      <w:r>
        <w:fldChar w:fldCharType="separate"/>
      </w:r>
      <w:r>
        <w:rPr>
          <w:rFonts w:hint="eastAsia"/>
          <w:lang w:eastAsia="zh-CN"/>
        </w:rPr>
        <w:t>十</w:t>
      </w:r>
      <w:r>
        <w:rPr>
          <w:rFonts w:hint="eastAsia"/>
          <w:bCs/>
          <w:kern w:val="44"/>
          <w:lang w:eastAsia="zh-CN"/>
        </w:rPr>
        <w:t>、</w:t>
      </w:r>
      <w:r>
        <w:rPr>
          <w:rFonts w:hint="eastAsia"/>
        </w:rPr>
        <w:t>名</w:t>
      </w:r>
      <w:r>
        <w:rPr>
          <w:rFonts w:hint="eastAsia"/>
          <w:bCs/>
          <w:kern w:val="44"/>
        </w:rPr>
        <w:t>词解释</w:t>
      </w:r>
      <w:r>
        <w:tab/>
      </w:r>
      <w:r>
        <w:rPr>
          <w:rFonts w:hint="eastAsia"/>
          <w:lang w:val="en-US" w:eastAsia="zh-CN"/>
        </w:rPr>
        <w:t>9</w:t>
      </w:r>
      <w:r>
        <w:fldChar w:fldCharType="end"/>
      </w:r>
      <w:r>
        <w:rPr>
          <w:rFonts w:ascii="仿宋" w:eastAsia="仿宋"/>
          <w:color w:val="000000"/>
          <w:sz w:val="24"/>
        </w:rPr>
        <w:fldChar w:fldCharType="end"/>
      </w:r>
    </w:p>
    <w:p w14:paraId="28B8CF0D">
      <w:pPr>
        <w:pStyle w:val="4"/>
        <w:rPr>
          <w:rFonts w:hint="eastAsia"/>
        </w:rPr>
      </w:pPr>
    </w:p>
    <w:p w14:paraId="6A2EBC7B">
      <w:pPr>
        <w:pStyle w:val="4"/>
        <w:rPr>
          <w:rFonts w:hint="eastAsia"/>
        </w:rPr>
      </w:pPr>
    </w:p>
    <w:p w14:paraId="74406DB4">
      <w:pPr>
        <w:rPr>
          <w:rFonts w:hint="eastAsia"/>
        </w:rPr>
      </w:pPr>
    </w:p>
    <w:p w14:paraId="54F36EF7">
      <w:pPr>
        <w:pStyle w:val="2"/>
        <w:rPr>
          <w:rFonts w:hint="eastAsia"/>
        </w:rPr>
      </w:pPr>
    </w:p>
    <w:p w14:paraId="6F359C07">
      <w:pPr>
        <w:pStyle w:val="2"/>
        <w:rPr>
          <w:rFonts w:hint="eastAsia"/>
        </w:rPr>
      </w:pPr>
    </w:p>
    <w:p w14:paraId="7D935F0B">
      <w:pPr>
        <w:pStyle w:val="2"/>
        <w:rPr>
          <w:rFonts w:hint="eastAsia"/>
        </w:rPr>
      </w:pPr>
    </w:p>
    <w:p w14:paraId="51B5A6FB">
      <w:pPr>
        <w:pStyle w:val="2"/>
        <w:rPr>
          <w:rFonts w:hint="eastAsia"/>
        </w:rPr>
      </w:pPr>
    </w:p>
    <w:p w14:paraId="616A4AF9">
      <w:pPr>
        <w:pStyle w:val="2"/>
        <w:rPr>
          <w:rFonts w:hint="eastAsia"/>
        </w:rPr>
      </w:pPr>
    </w:p>
    <w:p w14:paraId="3E2266DC">
      <w:pPr>
        <w:pStyle w:val="2"/>
        <w:rPr>
          <w:rFonts w:hint="eastAsia"/>
        </w:rPr>
      </w:pPr>
    </w:p>
    <w:p w14:paraId="5E11B5BE">
      <w:pPr>
        <w:pStyle w:val="2"/>
        <w:rPr>
          <w:rFonts w:hint="eastAsia"/>
        </w:rPr>
      </w:pPr>
    </w:p>
    <w:p w14:paraId="31A67D77">
      <w:pPr>
        <w:pStyle w:val="2"/>
        <w:rPr>
          <w:rFonts w:hint="eastAsia"/>
        </w:rPr>
      </w:pPr>
    </w:p>
    <w:p w14:paraId="6C2DC101">
      <w:pPr>
        <w:pStyle w:val="2"/>
        <w:rPr>
          <w:rFonts w:hint="eastAsia"/>
        </w:rPr>
      </w:pPr>
    </w:p>
    <w:p w14:paraId="036D797E">
      <w:pPr>
        <w:pStyle w:val="2"/>
        <w:rPr>
          <w:rFonts w:hint="eastAsia"/>
        </w:rPr>
      </w:pPr>
    </w:p>
    <w:p w14:paraId="2CD8DDB0">
      <w:pPr>
        <w:pStyle w:val="2"/>
        <w:rPr>
          <w:rFonts w:hint="eastAsia"/>
        </w:rPr>
      </w:pPr>
    </w:p>
    <w:p w14:paraId="140207ED">
      <w:pPr>
        <w:pStyle w:val="2"/>
        <w:rPr>
          <w:rFonts w:hint="eastAsia"/>
        </w:rPr>
      </w:pPr>
    </w:p>
    <w:p w14:paraId="32C75B35">
      <w:pPr>
        <w:pStyle w:val="2"/>
        <w:rPr>
          <w:rFonts w:hint="eastAsia"/>
        </w:rPr>
      </w:pPr>
    </w:p>
    <w:p w14:paraId="1505FE22">
      <w:pPr>
        <w:numPr>
          <w:ilvl w:val="0"/>
          <w:numId w:val="1"/>
        </w:numPr>
        <w:rPr>
          <w:rFonts w:hint="eastAsia" w:ascii="黑体" w:hAnsi="黑体" w:eastAsia="黑体" w:cs="黑体"/>
          <w:sz w:val="32"/>
          <w:szCs w:val="32"/>
        </w:rPr>
      </w:pPr>
      <w:r>
        <w:rPr>
          <w:rFonts w:hint="eastAsia" w:ascii="黑体" w:hAnsi="黑体" w:eastAsia="黑体" w:cs="黑体"/>
          <w:sz w:val="32"/>
          <w:szCs w:val="32"/>
        </w:rPr>
        <w:t>基本职能及主要工作</w:t>
      </w:r>
    </w:p>
    <w:p w14:paraId="32342C54">
      <w:pPr>
        <w:numPr>
          <w:ilvl w:val="0"/>
          <w:numId w:val="0"/>
        </w:numPr>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妇联</w:t>
      </w:r>
      <w:r>
        <w:rPr>
          <w:rFonts w:hint="eastAsia" w:ascii="楷体_GB2312" w:hAnsi="楷体_GB2312" w:eastAsia="楷体_GB2312" w:cs="楷体_GB2312"/>
          <w:b/>
          <w:bCs/>
          <w:sz w:val="32"/>
          <w:szCs w:val="32"/>
        </w:rPr>
        <w:t>职能简介</w:t>
      </w:r>
    </w:p>
    <w:p w14:paraId="7D599D8C">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1.团结、动员妇女投身改革开放，社会主义现代化建设，促进经济发展和社会全面进步。</w:t>
      </w:r>
    </w:p>
    <w:p w14:paraId="03B54EE4">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2.教育、引导广大妇女增强自尊、自信、自立、自强的精神，全面提高素质，促进妇女人才成长。</w:t>
      </w:r>
    </w:p>
    <w:p w14:paraId="6F6B4BE3">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3.代表妇女参与国家和社会事务的民主管理、民主监督、参与有关妇女儿童法律法规规章的制定，维护妇女儿童合法权益。</w:t>
      </w:r>
    </w:p>
    <w:p w14:paraId="4EFF628A">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4.为妇女儿童服务。加强与社会各界的联系，协调和推动社会各界为妇女儿童办实事。</w:t>
      </w:r>
    </w:p>
    <w:p w14:paraId="6E58E817">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5.负责推动新两纲和两法的贯彻实施，意图维护妇女儿童合法权益。         </w:t>
      </w:r>
    </w:p>
    <w:p w14:paraId="18F879E1">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6.巩固和扩大各族各界妇女的大团结，加强同港、澳、台及华侨妇女的联谊，促进祖国统一大业，积极发展同各国妇女友好交往，增进了解友谊，维护世界和平。</w:t>
      </w:r>
    </w:p>
    <w:p w14:paraId="618874B3">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7.承担县人民政府妇女儿童工作委员会的日常工作，承办县委县政府交办的其他事项。</w:t>
      </w:r>
    </w:p>
    <w:p w14:paraId="2EEF09D9">
      <w:pPr>
        <w:numPr>
          <w:ilvl w:val="0"/>
          <w:numId w:val="0"/>
        </w:numPr>
        <w:ind w:firstLine="587" w:firstLineChars="200"/>
        <w:rPr>
          <w:rFonts w:hint="eastAsia" w:ascii="宋体" w:hAnsi="宋体" w:eastAsia="仿宋_GB2312" w:cs="宋体"/>
          <w:b/>
          <w:bCs/>
          <w:color w:val="000000"/>
          <w:spacing w:val="-14"/>
          <w:kern w:val="0"/>
          <w:sz w:val="32"/>
          <w:szCs w:val="32"/>
          <w:lang w:eastAsia="zh-CN"/>
        </w:rPr>
      </w:pPr>
      <w:r>
        <w:rPr>
          <w:rFonts w:hint="eastAsia" w:ascii="宋体" w:hAnsi="宋体" w:eastAsia="仿宋_GB2312" w:cs="宋体"/>
          <w:b/>
          <w:bCs/>
          <w:color w:val="000000"/>
          <w:spacing w:val="-14"/>
          <w:kern w:val="0"/>
          <w:sz w:val="32"/>
          <w:szCs w:val="32"/>
          <w:highlight w:val="yellow"/>
          <w:lang w:val="en-US" w:eastAsia="zh-CN"/>
        </w:rPr>
        <w:t>（二）</w:t>
      </w:r>
      <w:r>
        <w:rPr>
          <w:rFonts w:hint="eastAsia" w:ascii="楷体_GB2312" w:hAnsi="宋体" w:eastAsia="楷体_GB2312" w:cs="宋体"/>
          <w:b/>
          <w:bCs/>
          <w:color w:val="333333"/>
          <w:kern w:val="0"/>
          <w:sz w:val="32"/>
          <w:szCs w:val="32"/>
          <w:lang w:eastAsia="zh-CN"/>
        </w:rPr>
        <w:t>金川县妇联主要工作</w:t>
      </w:r>
    </w:p>
    <w:p w14:paraId="784F3BF9">
      <w:pPr>
        <w:spacing w:line="240" w:lineRule="auto"/>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突出政治引领，坚持强化意识形态。做好“三大行动”持续深化“两联一进”群众工作全覆盖工作。深抓妇女思想政治引领、扎实开展党史学习教育。</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推进巾帼维权，在建设法治金川中谋共进强化源头维权、加强法治宣传，引导妇女群众尊法学法守法用法。落实新修订的《未成年人保护法》，践行“我为群众办实事”活动。联合多部门维护妇女合法权益，申请“人身安全保护令”。加强“平安家庭”建设工作。筹备召开反家庭暴力</w:t>
      </w:r>
      <w:r>
        <w:rPr>
          <w:rFonts w:hint="eastAsia" w:ascii="仿宋_GB2312" w:hAnsi="仿宋_GB2312" w:eastAsia="仿宋_GB2312" w:cs="仿宋_GB2312"/>
          <w:b w:val="0"/>
          <w:bCs w:val="0"/>
          <w:sz w:val="32"/>
          <w:szCs w:val="32"/>
          <w:highlight w:val="yellow"/>
          <w:lang w:val="en-US" w:eastAsia="zh-CN"/>
        </w:rPr>
        <w:t>及</w:t>
      </w:r>
      <w:r>
        <w:rPr>
          <w:rFonts w:hint="eastAsia" w:ascii="仿宋_GB2312" w:hAnsi="仿宋_GB2312" w:eastAsia="仿宋_GB2312" w:cs="仿宋_GB2312"/>
          <w:b w:val="0"/>
          <w:bCs w:val="0"/>
          <w:sz w:val="32"/>
          <w:szCs w:val="32"/>
          <w:lang w:val="en-US" w:eastAsia="zh-CN"/>
        </w:rPr>
        <w:t>妇女儿童权益维护联席会议。</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推进巾帼关爱，在改善妇儿民生中有作为。开展困难群体慰问。</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做好“家”字文章，参与基层社会治理。常态推进家庭文明创建活动。配合州妇联开展家庭教育讲座。开展“净土金川·清廉万家”好风传家活动。开展安全宣传进家庭活动。</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深化基层妇联改革，加强妇联组织建设。党建带妇建，大力推进女性进村“两委”班子。多措并举，同步做好基层妇联换届工作。</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b w:val="0"/>
          <w:bCs w:val="0"/>
          <w:sz w:val="32"/>
          <w:szCs w:val="32"/>
          <w:lang w:val="en-US" w:eastAsia="zh-CN"/>
        </w:rPr>
        <w:t>顺利通过“两纲”终期评估检查。</w:t>
      </w:r>
    </w:p>
    <w:p w14:paraId="1C514885">
      <w:pPr>
        <w:ind w:firstLine="587" w:firstLineChars="200"/>
        <w:rPr>
          <w:rFonts w:hint="eastAsia" w:ascii="黑体" w:hAnsi="黑体" w:eastAsia="黑体" w:cs="黑体"/>
          <w:b/>
          <w:bCs/>
          <w:color w:val="000000"/>
          <w:spacing w:val="-14"/>
          <w:kern w:val="0"/>
          <w:sz w:val="32"/>
          <w:szCs w:val="32"/>
          <w:lang w:eastAsia="zh-CN"/>
        </w:rPr>
      </w:pPr>
      <w:r>
        <w:rPr>
          <w:rFonts w:hint="eastAsia" w:ascii="黑体" w:hAnsi="黑体" w:eastAsia="黑体" w:cs="黑体"/>
          <w:b/>
          <w:bCs/>
          <w:color w:val="000000"/>
          <w:spacing w:val="-14"/>
          <w:kern w:val="0"/>
          <w:sz w:val="32"/>
          <w:szCs w:val="32"/>
        </w:rPr>
        <w:t>二、部门</w:t>
      </w:r>
      <w:r>
        <w:rPr>
          <w:rFonts w:hint="eastAsia" w:ascii="黑体" w:hAnsi="黑体" w:eastAsia="黑体" w:cs="黑体"/>
          <w:b/>
          <w:bCs/>
          <w:color w:val="000000"/>
          <w:spacing w:val="-14"/>
          <w:kern w:val="0"/>
          <w:sz w:val="32"/>
          <w:szCs w:val="32"/>
          <w:lang w:eastAsia="zh-CN"/>
        </w:rPr>
        <w:t>预算单位构成</w:t>
      </w:r>
    </w:p>
    <w:p w14:paraId="06A8B053">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2022年妇联独立编制参公单位机构数为1个，财政供养人员编制为7名，其中行政编制4名，行政工勤编制1名，事业编制2名；2022年实际财政供养人员5人，其中行政编制3名，行政工勤编制1名，事业编制1名。 </w:t>
      </w:r>
    </w:p>
    <w:p w14:paraId="6CBC97D8">
      <w:pPr>
        <w:ind w:firstLine="587" w:firstLineChars="200"/>
        <w:rPr>
          <w:rFonts w:hint="eastAsia" w:ascii="黑体" w:hAnsi="黑体" w:eastAsia="黑体" w:cs="黑体"/>
          <w:b/>
          <w:bCs/>
          <w:color w:val="000000"/>
          <w:spacing w:val="-14"/>
          <w:kern w:val="0"/>
          <w:sz w:val="32"/>
          <w:szCs w:val="32"/>
        </w:rPr>
      </w:pPr>
      <w:r>
        <w:rPr>
          <w:rFonts w:hint="eastAsia" w:ascii="黑体" w:hAnsi="黑体" w:eastAsia="黑体" w:cs="黑体"/>
          <w:b/>
          <w:bCs/>
          <w:color w:val="000000"/>
          <w:spacing w:val="-14"/>
          <w:kern w:val="0"/>
          <w:sz w:val="32"/>
          <w:szCs w:val="32"/>
        </w:rPr>
        <w:t>三、收支预算情况</w:t>
      </w:r>
      <w:r>
        <w:rPr>
          <w:rFonts w:hint="eastAsia" w:ascii="黑体" w:hAnsi="黑体" w:eastAsia="黑体" w:cs="黑体"/>
          <w:b/>
          <w:bCs/>
          <w:color w:val="000000"/>
          <w:spacing w:val="-14"/>
          <w:kern w:val="0"/>
          <w:sz w:val="32"/>
          <w:szCs w:val="32"/>
          <w:lang w:eastAsia="zh-CN"/>
        </w:rPr>
        <w:t>说明</w:t>
      </w:r>
    </w:p>
    <w:p w14:paraId="1011847F">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按照综合预算原则，县妇联所有收入和支出均纳入部门预算管理。收入包括：一般公共预算拨款收入83.49万元；支出包括：一般公共服务支出、教育支出、社会保障和就业支出、卫生健康支出、住房保障支出。2022年妇联收支总预算</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万元，比2021年收支预算总数减少11.34万元，主要原因是2021年6月调出一人。</w:t>
      </w:r>
    </w:p>
    <w:p w14:paraId="73017779">
      <w:pPr>
        <w:numPr>
          <w:ilvl w:val="0"/>
          <w:numId w:val="2"/>
        </w:numPr>
        <w:ind w:firstLine="321" w:firstLineChars="100"/>
        <w:rPr>
          <w:rFonts w:hint="eastAsia" w:ascii="楷体_GB2312" w:hAnsi="宋体" w:eastAsia="楷体_GB2312" w:cs="宋体"/>
          <w:b/>
          <w:bCs/>
          <w:color w:val="333333"/>
          <w:kern w:val="0"/>
          <w:sz w:val="32"/>
          <w:szCs w:val="32"/>
          <w:lang w:eastAsia="zh-CN"/>
        </w:rPr>
      </w:pPr>
      <w:r>
        <w:rPr>
          <w:rFonts w:hint="eastAsia" w:ascii="楷体_GB2312" w:hAnsi="宋体" w:eastAsia="楷体_GB2312" w:cs="宋体"/>
          <w:b/>
          <w:bCs/>
          <w:color w:val="333333"/>
          <w:kern w:val="0"/>
          <w:sz w:val="32"/>
          <w:szCs w:val="32"/>
          <w:lang w:val="en-US" w:eastAsia="zh-CN"/>
        </w:rPr>
        <w:t>收入预算情</w:t>
      </w:r>
      <w:r>
        <w:rPr>
          <w:rFonts w:hint="eastAsia" w:ascii="楷体_GB2312" w:hAnsi="宋体" w:eastAsia="楷体_GB2312" w:cs="宋体"/>
          <w:b/>
          <w:bCs/>
          <w:color w:val="333333"/>
          <w:kern w:val="0"/>
          <w:sz w:val="32"/>
          <w:szCs w:val="32"/>
          <w:lang w:eastAsia="zh-CN"/>
        </w:rPr>
        <w:t>况</w:t>
      </w:r>
    </w:p>
    <w:p w14:paraId="67D4C499">
      <w:pPr>
        <w:ind w:firstLine="640" w:firstLineChars="200"/>
        <w:rPr>
          <w:rFonts w:hint="eastAsia" w:ascii="仿宋_GB2312" w:hAnsi="宋体" w:eastAsia="仿宋_GB2312" w:cs="宋体"/>
          <w:color w:val="333333"/>
          <w:kern w:val="0"/>
          <w:sz w:val="32"/>
          <w:szCs w:val="32"/>
          <w:lang w:val="en-US"/>
        </w:rPr>
      </w:pPr>
      <w:r>
        <w:rPr>
          <w:rFonts w:hint="eastAsia" w:ascii="仿宋_GB2312" w:hAnsi="宋体" w:eastAsia="仿宋_GB2312" w:cs="宋体"/>
          <w:color w:val="333333"/>
          <w:kern w:val="0"/>
          <w:sz w:val="32"/>
          <w:szCs w:val="32"/>
          <w:lang w:val="en-US" w:eastAsia="zh-CN"/>
        </w:rPr>
        <w:t>金川县妇联2022年</w:t>
      </w:r>
      <w:r>
        <w:rPr>
          <w:rFonts w:hint="eastAsia" w:ascii="仿宋_GB2312" w:hAnsi="宋体" w:eastAsia="仿宋_GB2312" w:cs="宋体"/>
          <w:color w:val="333333"/>
          <w:kern w:val="0"/>
          <w:sz w:val="32"/>
          <w:szCs w:val="32"/>
        </w:rPr>
        <w:t>收入</w:t>
      </w:r>
      <w:r>
        <w:rPr>
          <w:rFonts w:hint="eastAsia" w:ascii="仿宋_GB2312" w:hAnsi="宋体" w:eastAsia="仿宋_GB2312" w:cs="宋体"/>
          <w:color w:val="333333"/>
          <w:kern w:val="0"/>
          <w:sz w:val="32"/>
          <w:szCs w:val="32"/>
          <w:lang w:val="en-US" w:eastAsia="zh-CN"/>
        </w:rPr>
        <w:t>预算</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w:t>
      </w:r>
      <w:r>
        <w:rPr>
          <w:rFonts w:hint="eastAsia" w:ascii="仿宋_GB2312" w:hAnsi="宋体" w:eastAsia="仿宋_GB2312" w:cs="宋体"/>
          <w:color w:val="333333"/>
          <w:kern w:val="0"/>
          <w:sz w:val="32"/>
          <w:szCs w:val="32"/>
          <w:lang w:val="en-US"/>
        </w:rPr>
        <w:t>一般公共预算拨款收入</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rPr>
        <w:t>万元，占</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lang w:val="en-US"/>
        </w:rPr>
        <w:t>%。</w:t>
      </w:r>
    </w:p>
    <w:p w14:paraId="68465822">
      <w:pPr>
        <w:ind w:firstLine="643" w:firstLineChars="200"/>
        <w:rPr>
          <w:rFonts w:hint="eastAsia" w:ascii="仿宋_GB2312" w:hAnsi="仿宋_GB2312" w:eastAsia="仿宋_GB2312" w:cs="仿宋_GB2312"/>
          <w:sz w:val="32"/>
          <w:szCs w:val="32"/>
          <w:lang w:val="en-US"/>
        </w:rPr>
      </w:pPr>
      <w:r>
        <w:rPr>
          <w:rFonts w:hint="eastAsia" w:ascii="楷体_GB2312" w:hAnsi="宋体" w:eastAsia="楷体_GB2312" w:cs="宋体"/>
          <w:b/>
          <w:bCs/>
          <w:color w:val="333333"/>
          <w:kern w:val="0"/>
          <w:sz w:val="32"/>
          <w:szCs w:val="32"/>
          <w:lang w:val="en-US" w:eastAsia="zh-CN"/>
        </w:rPr>
        <w:t>（二）支出预算情</w:t>
      </w:r>
      <w:r>
        <w:rPr>
          <w:rFonts w:hint="eastAsia" w:ascii="楷体_GB2312" w:hAnsi="宋体" w:eastAsia="楷体_GB2312" w:cs="宋体"/>
          <w:b/>
          <w:bCs/>
          <w:color w:val="333333"/>
          <w:kern w:val="0"/>
          <w:sz w:val="32"/>
          <w:szCs w:val="32"/>
          <w:lang w:val="en-US"/>
        </w:rPr>
        <w:t>况</w:t>
      </w:r>
    </w:p>
    <w:p w14:paraId="5AD9B1D4">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金川县妇联2022年支出预算</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万元，基本支出</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万元，占100%。</w:t>
      </w:r>
    </w:p>
    <w:p w14:paraId="70E94D00">
      <w:pPr>
        <w:ind w:firstLine="587" w:firstLineChars="200"/>
        <w:rPr>
          <w:rFonts w:hint="eastAsia" w:ascii="黑体" w:hAnsi="黑体" w:eastAsia="黑体" w:cs="黑体"/>
          <w:b/>
          <w:bCs/>
          <w:color w:val="000000"/>
          <w:spacing w:val="-14"/>
          <w:kern w:val="0"/>
          <w:sz w:val="32"/>
          <w:szCs w:val="32"/>
          <w:lang w:val="en-US"/>
        </w:rPr>
      </w:pPr>
      <w:r>
        <w:rPr>
          <w:rFonts w:hint="eastAsia" w:ascii="黑体" w:hAnsi="黑体" w:eastAsia="黑体" w:cs="黑体"/>
          <w:b/>
          <w:bCs/>
          <w:color w:val="000000"/>
          <w:spacing w:val="-14"/>
          <w:kern w:val="0"/>
          <w:sz w:val="32"/>
          <w:szCs w:val="32"/>
          <w:lang w:val="en-US" w:eastAsia="zh-CN"/>
        </w:rPr>
        <w:t>四、财政</w:t>
      </w:r>
      <w:r>
        <w:rPr>
          <w:rFonts w:hint="eastAsia" w:ascii="黑体" w:hAnsi="黑体" w:eastAsia="黑体" w:cs="黑体"/>
          <w:b/>
          <w:bCs/>
          <w:color w:val="000000"/>
          <w:spacing w:val="-14"/>
          <w:kern w:val="0"/>
          <w:sz w:val="32"/>
          <w:szCs w:val="32"/>
          <w:lang w:val="en-US"/>
        </w:rPr>
        <w:t>拨款收支预算情况说明</w:t>
      </w:r>
    </w:p>
    <w:p w14:paraId="7508CD7C">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金川县妇联2022年财政收支出总预算</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万万元，比2021年收支预算总数减少11.34万元，主要原因是2021年6月调出一人。</w:t>
      </w:r>
    </w:p>
    <w:p w14:paraId="4FB55725">
      <w:pPr>
        <w:ind w:firstLine="640" w:firstLineChars="200"/>
        <w:rPr>
          <w:rFonts w:hint="eastAsia" w:ascii="仿宋_GB2312" w:hAnsi="宋体" w:eastAsia="仿宋_GB2312" w:cs="宋体"/>
          <w:color w:val="333333"/>
          <w:kern w:val="0"/>
          <w:sz w:val="32"/>
          <w:szCs w:val="32"/>
          <w:highlight w:val="none"/>
          <w:lang w:val="en-US" w:eastAsia="zh-CN"/>
        </w:rPr>
      </w:pPr>
      <w:r>
        <w:rPr>
          <w:rFonts w:hint="eastAsia" w:ascii="仿宋_GB2312" w:hAnsi="宋体" w:eastAsia="仿宋_GB2312" w:cs="宋体"/>
          <w:color w:val="333333"/>
          <w:kern w:val="0"/>
          <w:sz w:val="32"/>
          <w:szCs w:val="32"/>
          <w:lang w:val="en-US" w:eastAsia="zh-CN"/>
        </w:rPr>
        <w:t>收入包括：本年一般公共预算拨款收入</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万元；支出包括：</w:t>
      </w:r>
      <w:r>
        <w:rPr>
          <w:rFonts w:hint="eastAsia" w:ascii="仿宋_GB2312" w:hAnsi="宋体" w:eastAsia="仿宋_GB2312" w:cs="宋体"/>
          <w:color w:val="333333"/>
          <w:kern w:val="0"/>
          <w:sz w:val="32"/>
          <w:szCs w:val="32"/>
          <w:highlight w:val="none"/>
          <w:lang w:val="en-US" w:eastAsia="zh-CN"/>
        </w:rPr>
        <w:t>一般公共服务支出61.01万元、教育支出0.15万元、社会保障和就业支出11.34万元、卫生健康支出5.33万元、住房保障支出5.67万元。</w:t>
      </w:r>
    </w:p>
    <w:p w14:paraId="0EE1927B">
      <w:pPr>
        <w:ind w:firstLine="587" w:firstLineChars="200"/>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五、一般公共预算当年拨款情况说明</w:t>
      </w:r>
    </w:p>
    <w:p w14:paraId="53480F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rPr>
      </w:pPr>
      <w:r>
        <w:rPr>
          <w:rFonts w:hint="eastAsia" w:ascii="楷体_GB2312" w:hAnsi="宋体" w:eastAsia="楷体_GB2312" w:cs="宋体"/>
          <w:b/>
          <w:bCs/>
          <w:color w:val="333333"/>
          <w:kern w:val="0"/>
          <w:sz w:val="32"/>
          <w:szCs w:val="32"/>
          <w:lang w:val="en-US" w:eastAsia="zh-CN"/>
        </w:rPr>
        <w:t>（一）一般公共预算当年拨</w:t>
      </w:r>
      <w:r>
        <w:rPr>
          <w:rFonts w:hint="eastAsia" w:ascii="楷体_GB2312" w:hAnsi="宋体" w:eastAsia="楷体_GB2312" w:cs="宋体"/>
          <w:b/>
          <w:bCs/>
          <w:color w:val="333333"/>
          <w:kern w:val="0"/>
          <w:sz w:val="32"/>
          <w:szCs w:val="32"/>
          <w:lang w:val="en-US"/>
        </w:rPr>
        <w:t>款规模变化情况</w:t>
      </w:r>
    </w:p>
    <w:p w14:paraId="1C21BA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金川县妇联2022年一般公共预算当年拨款</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万元，比2021年收支预算总数减少11.34万元，主要原因是2021年6月调出一人。</w:t>
      </w:r>
    </w:p>
    <w:p w14:paraId="5587E63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rPr>
      </w:pPr>
      <w:r>
        <w:rPr>
          <w:rFonts w:hint="eastAsia" w:ascii="楷体_GB2312" w:hAnsi="宋体" w:eastAsia="楷体_GB2312" w:cs="宋体"/>
          <w:b/>
          <w:bCs/>
          <w:color w:val="333333"/>
          <w:kern w:val="0"/>
          <w:sz w:val="32"/>
          <w:szCs w:val="32"/>
          <w:lang w:val="en-US" w:eastAsia="zh-CN"/>
        </w:rPr>
        <w:t>（二）一般公共预算当年拨款</w:t>
      </w:r>
      <w:r>
        <w:rPr>
          <w:rFonts w:hint="eastAsia" w:ascii="楷体_GB2312" w:hAnsi="宋体" w:eastAsia="楷体_GB2312" w:cs="宋体"/>
          <w:b/>
          <w:bCs/>
          <w:color w:val="333333"/>
          <w:kern w:val="0"/>
          <w:sz w:val="32"/>
          <w:szCs w:val="32"/>
          <w:lang w:val="en-US"/>
        </w:rPr>
        <w:t>结构情况</w:t>
      </w:r>
    </w:p>
    <w:p w14:paraId="7451C0F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highlight w:val="none"/>
          <w:lang w:val="en-US" w:eastAsia="zh-CN"/>
        </w:rPr>
      </w:pPr>
      <w:r>
        <w:rPr>
          <w:rFonts w:hint="eastAsia" w:ascii="仿宋_GB2312" w:hAnsi="宋体" w:eastAsia="仿宋_GB2312" w:cs="宋体"/>
          <w:color w:val="333333"/>
          <w:kern w:val="0"/>
          <w:sz w:val="32"/>
          <w:szCs w:val="32"/>
          <w:highlight w:val="none"/>
          <w:lang w:val="en-US" w:eastAsia="zh-CN"/>
        </w:rPr>
        <w:t>一般公共服务支出61.01万元、占73.07%，教育支出0.15万元、占0.18%，社会保障和就业支出11.34万元、占13.58%，卫生健康支出5.33万元、占6.38%，住房保障支出5.67万元、占6.79%。</w:t>
      </w:r>
    </w:p>
    <w:p w14:paraId="07D86CB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rPr>
      </w:pPr>
      <w:r>
        <w:rPr>
          <w:rFonts w:hint="eastAsia" w:ascii="楷体_GB2312" w:hAnsi="楷体_GB2312" w:eastAsia="楷体_GB2312" w:cs="楷体_GB2312"/>
          <w:b/>
          <w:bCs/>
          <w:sz w:val="32"/>
          <w:szCs w:val="32"/>
          <w:lang w:val="en-US"/>
        </w:rPr>
        <w:t>（</w:t>
      </w:r>
      <w:r>
        <w:rPr>
          <w:rFonts w:hint="eastAsia" w:ascii="楷体_GB2312" w:hAnsi="宋体" w:eastAsia="楷体_GB2312" w:cs="宋体"/>
          <w:b/>
          <w:bCs/>
          <w:color w:val="333333"/>
          <w:kern w:val="0"/>
          <w:sz w:val="32"/>
          <w:szCs w:val="32"/>
          <w:lang w:val="en-US" w:eastAsia="zh-CN"/>
        </w:rPr>
        <w:t>三）一般公共预算当年拨</w:t>
      </w:r>
      <w:r>
        <w:rPr>
          <w:rFonts w:hint="eastAsia" w:ascii="楷体_GB2312" w:hAnsi="宋体" w:eastAsia="楷体_GB2312" w:cs="宋体"/>
          <w:b/>
          <w:bCs/>
          <w:color w:val="333333"/>
          <w:kern w:val="0"/>
          <w:sz w:val="32"/>
          <w:szCs w:val="32"/>
          <w:lang w:val="en-US"/>
        </w:rPr>
        <w:t>款具体使用情况</w:t>
      </w:r>
    </w:p>
    <w:p w14:paraId="410A2AB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1.群众团体事务29（款）行政运行01（项）:2022年预算数为</w:t>
      </w:r>
      <w:r>
        <w:rPr>
          <w:rFonts w:hint="eastAsia" w:ascii="仿宋_GB2312" w:hAnsi="宋体" w:eastAsia="仿宋_GB2312" w:cs="宋体"/>
          <w:color w:val="333333"/>
          <w:kern w:val="0"/>
          <w:sz w:val="32"/>
          <w:szCs w:val="32"/>
          <w:highlight w:val="none"/>
          <w:lang w:val="en-US" w:eastAsia="zh-CN"/>
        </w:rPr>
        <w:t>50.96万元，</w:t>
      </w:r>
      <w:r>
        <w:rPr>
          <w:rFonts w:hint="eastAsia" w:ascii="仿宋_GB2312" w:hAnsi="宋体" w:eastAsia="仿宋_GB2312" w:cs="宋体"/>
          <w:color w:val="333333"/>
          <w:kern w:val="0"/>
          <w:sz w:val="32"/>
          <w:szCs w:val="32"/>
          <w:lang w:val="en-US" w:eastAsia="zh-CN"/>
        </w:rPr>
        <w:t>主要用于：</w:t>
      </w:r>
      <w:r>
        <w:rPr>
          <w:rFonts w:hint="eastAsia" w:ascii="仿宋_GB2312" w:hAnsi="仿宋_GB2312" w:eastAsia="仿宋_GB2312" w:cs="仿宋_GB2312"/>
          <w:sz w:val="32"/>
          <w:szCs w:val="32"/>
        </w:rPr>
        <w:t>本单位正常运转的基本支出，包括基本工资、津贴补贴等人员经费以及办公费、</w:t>
      </w:r>
      <w:r>
        <w:rPr>
          <w:rFonts w:hint="eastAsia" w:ascii="仿宋_GB2312" w:hAnsi="仿宋_GB2312" w:eastAsia="仿宋_GB2312" w:cs="仿宋_GB2312"/>
          <w:sz w:val="32"/>
          <w:szCs w:val="32"/>
          <w:lang w:eastAsia="zh-CN"/>
        </w:rPr>
        <w:t>差旅</w:t>
      </w:r>
      <w:r>
        <w:rPr>
          <w:rFonts w:hint="eastAsia" w:ascii="仿宋_GB2312" w:hAnsi="仿宋_GB2312" w:eastAsia="仿宋_GB2312" w:cs="仿宋_GB2312"/>
          <w:sz w:val="32"/>
          <w:szCs w:val="32"/>
        </w:rPr>
        <w:t>费、水电费等日常公用经费</w:t>
      </w:r>
      <w:r>
        <w:rPr>
          <w:rFonts w:hint="eastAsia" w:ascii="仿宋_GB2312" w:hAnsi="仿宋_GB2312" w:eastAsia="仿宋_GB2312" w:cs="仿宋_GB2312"/>
          <w:sz w:val="32"/>
          <w:szCs w:val="32"/>
          <w:lang w:eastAsia="zh-CN"/>
        </w:rPr>
        <w:t>。</w:t>
      </w:r>
    </w:p>
    <w:p w14:paraId="43F636B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宋体" w:eastAsia="仿宋_GB2312" w:cs="宋体"/>
          <w:color w:val="333333"/>
          <w:kern w:val="0"/>
          <w:sz w:val="32"/>
          <w:szCs w:val="32"/>
          <w:lang w:val="en-US" w:eastAsia="zh-CN"/>
        </w:rPr>
        <w:t>2.群众团体事务29（款）事业运行50（项）:2022年预算数为</w:t>
      </w:r>
      <w:r>
        <w:rPr>
          <w:rFonts w:hint="eastAsia" w:ascii="仿宋_GB2312" w:hAnsi="宋体" w:eastAsia="仿宋_GB2312" w:cs="宋体"/>
          <w:color w:val="333333"/>
          <w:kern w:val="0"/>
          <w:sz w:val="32"/>
          <w:szCs w:val="32"/>
          <w:highlight w:val="none"/>
          <w:lang w:val="en-US" w:eastAsia="zh-CN"/>
        </w:rPr>
        <w:t>10.05万元，</w:t>
      </w:r>
      <w:r>
        <w:rPr>
          <w:rFonts w:hint="eastAsia" w:ascii="仿宋_GB2312" w:hAnsi="宋体" w:eastAsia="仿宋_GB2312" w:cs="宋体"/>
          <w:color w:val="333333"/>
          <w:kern w:val="0"/>
          <w:sz w:val="32"/>
          <w:szCs w:val="32"/>
          <w:lang w:val="en-US" w:eastAsia="zh-CN"/>
        </w:rPr>
        <w:t>主要用于：</w:t>
      </w:r>
      <w:r>
        <w:rPr>
          <w:rFonts w:hint="eastAsia" w:ascii="仿宋_GB2312" w:hAnsi="仿宋_GB2312" w:eastAsia="仿宋_GB2312" w:cs="仿宋_GB2312"/>
          <w:sz w:val="32"/>
          <w:szCs w:val="32"/>
        </w:rPr>
        <w:t>本单位正常运转的基本支出，包括基本工资、津贴补贴等人员经费以及办公费、</w:t>
      </w:r>
      <w:r>
        <w:rPr>
          <w:rFonts w:hint="eastAsia" w:ascii="仿宋_GB2312" w:hAnsi="仿宋_GB2312" w:eastAsia="仿宋_GB2312" w:cs="仿宋_GB2312"/>
          <w:sz w:val="32"/>
          <w:szCs w:val="32"/>
          <w:lang w:eastAsia="zh-CN"/>
        </w:rPr>
        <w:t>差旅费</w:t>
      </w:r>
      <w:r>
        <w:rPr>
          <w:rFonts w:hint="eastAsia" w:ascii="仿宋_GB2312" w:hAnsi="仿宋_GB2312" w:eastAsia="仿宋_GB2312" w:cs="仿宋_GB2312"/>
          <w:sz w:val="32"/>
          <w:szCs w:val="32"/>
        </w:rPr>
        <w:t>等日常公用经费</w:t>
      </w:r>
      <w:r>
        <w:rPr>
          <w:rFonts w:hint="eastAsia" w:ascii="仿宋_GB2312" w:hAnsi="仿宋_GB2312" w:eastAsia="仿宋_GB2312" w:cs="仿宋_GB2312"/>
          <w:sz w:val="32"/>
          <w:szCs w:val="32"/>
          <w:lang w:eastAsia="zh-CN"/>
        </w:rPr>
        <w:t>。</w:t>
      </w:r>
    </w:p>
    <w:p w14:paraId="194DA8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3.教育支出（类）进修及培训08（款）培训支出03（项）：2022年预算数为0.15万元，主要用于：本单位职工业务培训。技能提升。</w:t>
      </w:r>
    </w:p>
    <w:p w14:paraId="40FA238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仿宋_GB2312" w:eastAsia="仿宋_GB2312" w:cs="仿宋_GB2312"/>
          <w:sz w:val="32"/>
          <w:szCs w:val="32"/>
          <w:lang w:val="en-US" w:eastAsia="zh-CN"/>
        </w:rPr>
        <w:t>4.社会</w:t>
      </w:r>
      <w:r>
        <w:rPr>
          <w:rFonts w:hint="eastAsia" w:ascii="仿宋_GB2312" w:hAnsi="宋体" w:eastAsia="仿宋_GB2312" w:cs="宋体"/>
          <w:color w:val="333333"/>
          <w:kern w:val="0"/>
          <w:sz w:val="32"/>
          <w:szCs w:val="32"/>
          <w:lang w:val="en-US" w:eastAsia="zh-CN"/>
        </w:rPr>
        <w:t>保障和就业（类）行政事业单位离退休（款）机关事业单位基本养老保险缴费支出（项）:2022年预算数为7.56万元，主要用于：实施养老保险制度后，部门按规定由单位缴纳的基本养老保险费支出。</w:t>
      </w:r>
    </w:p>
    <w:p w14:paraId="45810B3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5.社会保障和就业（类）行政事业单位离退休（款）机关事业单位职业年金缴费支出（项）:2022年预算数为3.78万元，主要用于：实施养老保险制度后，部门按规定由单位缴纳的职业年金支出。</w:t>
      </w:r>
    </w:p>
    <w:p w14:paraId="6E95C41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6.医疗卫生与计划生育（类）行政事业单位医疗（款）行政单位医疗（项）:2022年预算数为3.31万元，主要用于：厅机关及参公管理事业单位基本医疗保险缴费支出。</w:t>
      </w:r>
    </w:p>
    <w:p w14:paraId="0336626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7.医疗卫生与计划生育（类）行政事业单位医疗（款）公务员医疗补助（项）:2022年预算数为2.02万元，主要用于：厅机关及参公管理事业单位集中缴纳公务员医疗补助支出。</w:t>
      </w:r>
    </w:p>
    <w:p w14:paraId="0F59070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8.住房保障（类）住房改革支出（款）住房公积金（项）:2022年预算数为5.67万元，主要用于：部门按人力资源和社会保障部、财政部规定的基本工资和津贴补贴以及规定比例为职工缴纳的住房公积金支出。</w:t>
      </w:r>
    </w:p>
    <w:p w14:paraId="03A8EF8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87" w:firstLineChars="200"/>
        <w:jc w:val="both"/>
        <w:textAlignment w:val="auto"/>
        <w:outlineLvl w:val="9"/>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六、一般公共预算基本支出情况说明</w:t>
      </w:r>
    </w:p>
    <w:p w14:paraId="360E49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金川县妇联2022年一般公共预算基本支出83.49万元，其中：</w:t>
      </w:r>
    </w:p>
    <w:p w14:paraId="54BDAD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人员经费71.3万元，主要包括：基本工资、津贴补贴、奖金、社会保险缴费、绩效工资、机关事业单位基本养老保险缴费、职业年金缴费、其他工资福利支出、离休费、住房公积金、其他对个人和家庭的补助支出。</w:t>
      </w:r>
    </w:p>
    <w:p w14:paraId="017849B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2、公用经费12.19万元，主要包括：办公费2.4万元、水费0.06万元，电费0.3万元、邮电费1.32万元、差旅费4万元、培训费0.15万元。公务接待费0.15万元、劳务费1.8万元、公务用车运行维护费2万元。</w:t>
      </w:r>
    </w:p>
    <w:p w14:paraId="78D804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87" w:firstLineChars="200"/>
        <w:jc w:val="both"/>
        <w:textAlignment w:val="auto"/>
        <w:outlineLvl w:val="9"/>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七、“三公”经费财政拨款预算安排情况说明</w:t>
      </w:r>
    </w:p>
    <w:p w14:paraId="673072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财政厅2022年“三公”经费财政拨款预算数2.15万元，其中：公务接待费0.15万元，公务用车购置及运行维护费2万元。</w:t>
      </w:r>
    </w:p>
    <w:p w14:paraId="4FEF3A24">
      <w:pPr>
        <w:numPr>
          <w:ilvl w:val="0"/>
          <w:numId w:val="0"/>
        </w:numPr>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 xml:space="preserve">   </w:t>
      </w:r>
      <w:r>
        <w:rPr>
          <w:rFonts w:hint="eastAsia" w:ascii="楷体_GB2312" w:hAnsi="宋体" w:eastAsia="楷体_GB2312" w:cs="宋体"/>
          <w:b/>
          <w:bCs/>
          <w:color w:val="333333"/>
          <w:kern w:val="0"/>
          <w:sz w:val="32"/>
          <w:szCs w:val="32"/>
          <w:lang w:val="en-US" w:eastAsia="zh-CN"/>
        </w:rPr>
        <w:t>（一）</w:t>
      </w:r>
      <w:r>
        <w:rPr>
          <w:rFonts w:hint="eastAsia" w:ascii="楷体_GB2312" w:hAnsi="宋体" w:eastAsia="楷体_GB2312" w:cs="宋体"/>
          <w:b/>
          <w:bCs/>
          <w:color w:val="333333"/>
          <w:kern w:val="0"/>
          <w:sz w:val="32"/>
          <w:szCs w:val="32"/>
          <w:lang w:val="en-US"/>
        </w:rPr>
        <w:t>因公出国（境）经费较20</w:t>
      </w:r>
      <w:r>
        <w:rPr>
          <w:rFonts w:hint="eastAsia" w:ascii="楷体_GB2312" w:hAnsi="宋体" w:eastAsia="楷体_GB2312" w:cs="宋体"/>
          <w:b/>
          <w:bCs/>
          <w:color w:val="333333"/>
          <w:kern w:val="0"/>
          <w:sz w:val="32"/>
          <w:szCs w:val="32"/>
          <w:lang w:val="en-US" w:eastAsia="zh-CN"/>
        </w:rPr>
        <w:t>21</w:t>
      </w:r>
      <w:r>
        <w:rPr>
          <w:rFonts w:hint="eastAsia" w:ascii="楷体_GB2312" w:hAnsi="宋体" w:eastAsia="楷体_GB2312" w:cs="宋体"/>
          <w:b/>
          <w:bCs/>
          <w:color w:val="333333"/>
          <w:kern w:val="0"/>
          <w:sz w:val="32"/>
          <w:szCs w:val="32"/>
          <w:lang w:val="en-US"/>
        </w:rPr>
        <w:t>年预算持平</w:t>
      </w:r>
      <w:r>
        <w:rPr>
          <w:rFonts w:hint="eastAsia" w:ascii="楷体_GB2312" w:hAnsi="楷体_GB2312" w:eastAsia="楷体_GB2312" w:cs="楷体_GB2312"/>
          <w:b/>
          <w:bCs/>
          <w:sz w:val="32"/>
          <w:szCs w:val="32"/>
        </w:rPr>
        <w:t>。</w:t>
      </w:r>
    </w:p>
    <w:p w14:paraId="1E291EBE">
      <w:pPr>
        <w:numPr>
          <w:ilvl w:val="0"/>
          <w:numId w:val="0"/>
        </w:num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仿宋_GB2312" w:eastAsia="仿宋_GB2312" w:cs="仿宋_GB2312"/>
          <w:sz w:val="32"/>
          <w:szCs w:val="32"/>
        </w:rPr>
        <w:t>主</w:t>
      </w:r>
      <w:r>
        <w:rPr>
          <w:rFonts w:hint="eastAsia" w:ascii="仿宋_GB2312" w:hAnsi="宋体" w:eastAsia="仿宋_GB2312" w:cs="宋体"/>
          <w:color w:val="333333"/>
          <w:kern w:val="0"/>
          <w:sz w:val="32"/>
          <w:szCs w:val="32"/>
          <w:lang w:val="en-US" w:eastAsia="zh-CN"/>
        </w:rPr>
        <w:t>要原因是根据我单位工作实际，无境外培训、学习交流、访问等工作。</w:t>
      </w:r>
    </w:p>
    <w:p w14:paraId="21A5B4A2">
      <w:pPr>
        <w:numPr>
          <w:ilvl w:val="0"/>
          <w:numId w:val="0"/>
        </w:numPr>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 xml:space="preserve">    （二）公务接待费与2021年预算持平。</w:t>
      </w:r>
    </w:p>
    <w:p w14:paraId="2CABC2B6">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2022年公务接待费0.15万元，计划用于执行公务、考察调研、检查指导等公务活动开支的交通费、住宿费、用餐费等。</w:t>
      </w:r>
    </w:p>
    <w:p w14:paraId="5194BFA7">
      <w:pPr>
        <w:rPr>
          <w:rFonts w:hint="eastAsia" w:ascii="仿宋_GB2312" w:hAnsi="宋体" w:eastAsia="仿宋_GB2312" w:cs="宋体"/>
          <w:color w:val="333333"/>
          <w:kern w:val="0"/>
          <w:sz w:val="32"/>
          <w:szCs w:val="32"/>
          <w:lang w:val="en-US" w:eastAsia="zh-CN"/>
        </w:rPr>
      </w:pPr>
      <w:r>
        <w:rPr>
          <w:rFonts w:hint="eastAsia" w:ascii="楷体_GB2312" w:hAnsi="楷体_GB2312" w:eastAsia="楷体_GB2312" w:cs="楷体_GB2312"/>
          <w:b/>
          <w:bCs/>
          <w:sz w:val="32"/>
          <w:szCs w:val="32"/>
          <w:lang w:val="en-US" w:eastAsia="zh-CN"/>
        </w:rPr>
        <w:t xml:space="preserve">   </w:t>
      </w:r>
      <w:r>
        <w:rPr>
          <w:rFonts w:hint="eastAsia" w:ascii="楷体_GB2312" w:hAnsi="宋体" w:eastAsia="楷体_GB2312" w:cs="宋体"/>
          <w:b/>
          <w:bCs/>
          <w:color w:val="333333"/>
          <w:kern w:val="0"/>
          <w:sz w:val="32"/>
          <w:szCs w:val="32"/>
          <w:lang w:val="en-US" w:eastAsia="zh-CN"/>
        </w:rPr>
        <w:t>（三）公务用车购置及运行维护费较2021年预算增加</w:t>
      </w:r>
      <w:r>
        <w:rPr>
          <w:rFonts w:hint="eastAsia" w:ascii="楷体_GB2312" w:hAnsi="楷体_GB2312" w:eastAsia="楷体_GB2312" w:cs="楷体_GB2312"/>
          <w:b/>
          <w:bCs/>
          <w:sz w:val="32"/>
          <w:szCs w:val="32"/>
          <w:lang w:val="en-US"/>
        </w:rPr>
        <w:t>。</w:t>
      </w:r>
    </w:p>
    <w:p w14:paraId="43E69A80">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单位现有公务用车1辆，其中：轿车1辆。</w:t>
      </w:r>
    </w:p>
    <w:p w14:paraId="64F74B21">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2022年未安排公务用车购置费。2022年安排公务用车运行维护费2万元，用于1辆</w:t>
      </w:r>
      <w:r>
        <w:rPr>
          <w:rFonts w:hint="eastAsia" w:ascii="仿宋_GB2312" w:hAnsi="宋体" w:eastAsia="仿宋_GB2312" w:cs="宋体"/>
          <w:color w:val="333333"/>
          <w:kern w:val="0"/>
          <w:sz w:val="32"/>
          <w:szCs w:val="32"/>
          <w:highlight w:val="none"/>
          <w:lang w:val="en-US" w:eastAsia="zh-CN"/>
        </w:rPr>
        <w:t>公务用车</w:t>
      </w:r>
      <w:r>
        <w:rPr>
          <w:rFonts w:hint="eastAsia" w:ascii="仿宋_GB2312" w:hAnsi="宋体" w:eastAsia="仿宋_GB2312" w:cs="宋体"/>
          <w:color w:val="333333"/>
          <w:kern w:val="0"/>
          <w:sz w:val="32"/>
          <w:szCs w:val="32"/>
          <w:lang w:val="en-US" w:eastAsia="zh-CN"/>
        </w:rPr>
        <w:t>燃油、过路（桥）、维修、保险等方面支出，主要保障机关及下属单位工作调研、脱贫攻坚、财政监督检查及周转金清理、基层妇女就业培训。</w:t>
      </w:r>
    </w:p>
    <w:p w14:paraId="74D102F7">
      <w:pPr>
        <w:ind w:firstLine="587" w:firstLineChars="200"/>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八、政府性基金预算支出情况说明</w:t>
      </w:r>
    </w:p>
    <w:p w14:paraId="3A0C2162">
      <w:pPr>
        <w:ind w:firstLine="640" w:firstLineChars="200"/>
        <w:rPr>
          <w:rFonts w:hint="eastAsia" w:ascii="仿宋_GB2312" w:hAnsi="仿宋_GB2312" w:eastAsia="仿宋_GB2312" w:cs="仿宋_GB2312"/>
          <w:w w:val="90"/>
          <w:sz w:val="32"/>
          <w:szCs w:val="32"/>
          <w:lang w:val="en-US"/>
        </w:rPr>
      </w:pPr>
      <w:r>
        <w:rPr>
          <w:rFonts w:hint="eastAsia" w:ascii="仿宋_GB2312" w:hAnsi="宋体" w:eastAsia="仿宋_GB2312" w:cs="宋体"/>
          <w:color w:val="333333"/>
          <w:kern w:val="0"/>
          <w:sz w:val="32"/>
          <w:szCs w:val="32"/>
          <w:lang w:val="en-US" w:eastAsia="zh-CN"/>
        </w:rPr>
        <w:t>财政厅2022年没有使用政府性基金预算拨款安排的支出。</w:t>
      </w:r>
    </w:p>
    <w:p w14:paraId="509C4FEF">
      <w:pPr>
        <w:ind w:firstLine="587" w:firstLineChars="200"/>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九、其他重要事项的情况说明</w:t>
      </w:r>
    </w:p>
    <w:p w14:paraId="4C4D0F8B">
      <w:pPr>
        <w:ind w:firstLine="643" w:firstLineChars="200"/>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（一）机关运行经费</w:t>
      </w:r>
    </w:p>
    <w:p w14:paraId="3726B73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2022年，金川县妇联单位的机关运行经费财政拨款预算为12.19万元，比2021年预算减少0.23万元，主要原因是2021年6月调出一人。</w:t>
      </w:r>
    </w:p>
    <w:p w14:paraId="172A5BDF">
      <w:pPr>
        <w:ind w:firstLine="643" w:firstLineChars="200"/>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（二）政府采购情况</w:t>
      </w:r>
    </w:p>
    <w:p w14:paraId="5547FE0C">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2022年妇联未安排政府采购预算经费。</w:t>
      </w:r>
    </w:p>
    <w:p w14:paraId="2FB132AA">
      <w:pPr>
        <w:ind w:firstLine="643" w:firstLineChars="200"/>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（三）国有资产占有使用情况</w:t>
      </w:r>
    </w:p>
    <w:p w14:paraId="229E0CFF">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截至2021年底，妇联公务用车共有车辆1辆。单位价值200万元以上大型设备0台（套）。2022年部门预算未安排购置车辆及单位价值200万元以上大型设备。</w:t>
      </w:r>
    </w:p>
    <w:p w14:paraId="5A05CFF6">
      <w:pPr>
        <w:ind w:firstLine="643" w:firstLineChars="200"/>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（四）绩效目标设置情况</w:t>
      </w:r>
    </w:p>
    <w:p w14:paraId="72BD921D">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2022年金川县妇联基本支出均按要求实行绩效目标管理，涉及一般公共预算当年拨款83.49万元。</w:t>
      </w:r>
    </w:p>
    <w:p w14:paraId="3E10F98B">
      <w:pPr>
        <w:ind w:firstLine="587" w:firstLineChars="200"/>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十一、名词解释</w:t>
      </w:r>
    </w:p>
    <w:p w14:paraId="11C6E2DD">
      <w:pPr>
        <w:ind w:firstLine="65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十、名词解释</w:t>
      </w:r>
    </w:p>
    <w:p w14:paraId="7B1CD6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1.一般公共预算拨款收入：指县级财政当年拨付的资金。</w:t>
      </w:r>
    </w:p>
    <w:p w14:paraId="683C54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2.上年结转：指以前年度尚未完成，结转到本年仍按原规定用途继续使用的资金。</w:t>
      </w:r>
    </w:p>
    <w:p w14:paraId="7EC6B4A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3.一般公共服务支出（类）群众团体事务（款）行政运行（项）：反映每各级人民团体、社会团体、群众团体及工会、妇联、共青团组织等方面的支出。</w:t>
      </w:r>
    </w:p>
    <w:p w14:paraId="6EB71EF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4.会保障和就业（类）行政事业单位离退休（款）机关事业单位基本养老保险缴费支出（项）：指部门实施养老保险制度由单位缴纳的养老保险费的支出。</w:t>
      </w:r>
    </w:p>
    <w:p w14:paraId="21433AB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5.会保障和就业（类）行政事业单位离退休（款）机关事业单位职业年金缴费支出（项）：指部门实施养老保险制度由单位缴纳的职业年金的支出。</w:t>
      </w:r>
    </w:p>
    <w:p w14:paraId="3FBDBAC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6.医疗卫生与计划生育（类）行政事业单位医疗（款）行政单位医疗（项）：指厅机关及参公管理事业单位用于缴纳单位基本医疗保险支出。</w:t>
      </w:r>
    </w:p>
    <w:p w14:paraId="07B8076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7.医疗卫生与计划生育（类）行政事业单位医疗（款）公务员医疗补助（项）：指厅机关及参公管理事业单位用于集中缴纳公务员医疗补助支出。</w:t>
      </w:r>
    </w:p>
    <w:p w14:paraId="050486D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8.住房保障（类）住房改革支出（款）住房公积金（项）：指按照《住房公积金管理条例》的规定，由单位及其在职职工缴存的长期住房储金。</w:t>
      </w:r>
    </w:p>
    <w:p w14:paraId="0638826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9.基本支出：指为保证机构正常运转，完成日常工作任务而发生的人员支出和公用支出。</w:t>
      </w:r>
    </w:p>
    <w:p w14:paraId="0988D0F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10.项目支出：指在基本支出之外为完成特定行政任务和事业发展目标所发生的支出。</w:t>
      </w:r>
    </w:p>
    <w:p w14:paraId="01CC14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11.“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2AEC00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12.机关运行经费：为保障行政单位（包含参照公务员法管理的事业单位）运行用于购买货物和服务的各项资金。包括办公及印刷费、邮电费、差旅费、会议费一般设备购置费等费用开支。</w:t>
      </w:r>
    </w:p>
    <w:p w14:paraId="2D345A6E">
      <w:pPr>
        <w:rPr>
          <w:rFonts w:hint="eastAsia" w:ascii="仿宋_GB2312" w:hAnsi="仿宋_GB2312" w:eastAsia="仿宋_GB2312" w:cs="仿宋_GB2312"/>
          <w:sz w:val="32"/>
          <w:szCs w:val="32"/>
        </w:rPr>
      </w:pPr>
    </w:p>
    <w:p w14:paraId="536A733F">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roma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EE06C"/>
    <w:multiLevelType w:val="singleLevel"/>
    <w:tmpl w:val="BAFEE06C"/>
    <w:lvl w:ilvl="0" w:tentative="0">
      <w:start w:val="1"/>
      <w:numFmt w:val="chineseCounting"/>
      <w:suff w:val="nothing"/>
      <w:lvlText w:val="%1、"/>
      <w:lvlJc w:val="left"/>
      <w:rPr>
        <w:rFonts w:hint="eastAsia"/>
      </w:rPr>
    </w:lvl>
  </w:abstractNum>
  <w:abstractNum w:abstractNumId="1">
    <w:nsid w:val="00000003"/>
    <w:multiLevelType w:val="singleLevel"/>
    <w:tmpl w:val="00000003"/>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440990"/>
    <w:rsid w:val="03FD1DFE"/>
    <w:rsid w:val="04D4265F"/>
    <w:rsid w:val="07E80F64"/>
    <w:rsid w:val="0CA2622B"/>
    <w:rsid w:val="0E580162"/>
    <w:rsid w:val="109209D5"/>
    <w:rsid w:val="12433ACD"/>
    <w:rsid w:val="12E50E1E"/>
    <w:rsid w:val="12EF7015"/>
    <w:rsid w:val="158D0512"/>
    <w:rsid w:val="1A34526A"/>
    <w:rsid w:val="1E230A54"/>
    <w:rsid w:val="26B008AC"/>
    <w:rsid w:val="2AC43009"/>
    <w:rsid w:val="2B440990"/>
    <w:rsid w:val="2BE320C8"/>
    <w:rsid w:val="309064B7"/>
    <w:rsid w:val="3EED372D"/>
    <w:rsid w:val="413338D6"/>
    <w:rsid w:val="46E61C1D"/>
    <w:rsid w:val="46F77E3B"/>
    <w:rsid w:val="47280D43"/>
    <w:rsid w:val="49F56477"/>
    <w:rsid w:val="4F330962"/>
    <w:rsid w:val="503716EB"/>
    <w:rsid w:val="56ED2ECA"/>
    <w:rsid w:val="601C5710"/>
    <w:rsid w:val="6B451770"/>
    <w:rsid w:val="76CA09AA"/>
    <w:rsid w:val="79E16380"/>
    <w:rsid w:val="7AB11361"/>
    <w:rsid w:val="7E936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
    <w:name w:val="toc 1"/>
    <w:basedOn w:val="1"/>
    <w:next w:val="1"/>
    <w:qFormat/>
    <w:uiPriority w:val="0"/>
    <w:pPr>
      <w:tabs>
        <w:tab w:val="right" w:leader="dot" w:pos="8296"/>
      </w:tabs>
      <w:spacing w:before="93"/>
      <w:jc w:val="center"/>
    </w:pPr>
    <w:rPr>
      <w:rFonts w:ascii="仿宋" w:eastAsia="仿宋"/>
      <w:sz w:val="28"/>
      <w:szCs w:val="28"/>
    </w:rPr>
  </w:style>
  <w:style w:type="paragraph" w:styleId="4">
    <w:name w:val="table of figures"/>
    <w:basedOn w:val="1"/>
    <w:next w:val="1"/>
    <w:qFormat/>
    <w:uiPriority w:val="0"/>
    <w:pPr>
      <w:ind w:left="200" w:leftChars="200" w:hanging="200" w:hangingChars="200"/>
    </w:pPr>
  </w:style>
  <w:style w:type="paragraph" w:styleId="5">
    <w:name w:val="toc 2"/>
    <w:basedOn w:val="1"/>
    <w:next w:val="1"/>
    <w:uiPriority w:val="0"/>
    <w:pPr>
      <w:tabs>
        <w:tab w:val="right" w:leader="dot" w:pos="8296"/>
      </w:tabs>
      <w:ind w:left="200" w:leftChars="200"/>
    </w:p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3154</Words>
  <Characters>3488</Characters>
  <Lines>0</Lines>
  <Paragraphs>0</Paragraphs>
  <TotalTime>1</TotalTime>
  <ScaleCrop>false</ScaleCrop>
  <LinksUpToDate>false</LinksUpToDate>
  <CharactersWithSpaces>3542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2020-10-23T08:44:00Z</dcterms:created>
  <dc:creator>Administrator</dc:creator>
  <cp:lastModifiedBy>盐星星</cp:lastModifiedBy>
  <cp:lastPrinted>2022-03-08T04:10:00Z</cp:lastPrinted>
  <dcterms:modified xsi:type="dcterms:W3CDTF">2026-04-21T08:26:16Z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eyJoZGlkIjoiZDVjZjE1OTBmZTc4M2ZlNjdmNWM1MmQ5OThkMGU1NjEiLCJ1c2VySWQiOiIxMDYwOTQ0NDM1In0=</vt:lpwstr>
  </property>
  <property fmtid="{D5CDD505-2E9C-101B-9397-08002B2CF9AE}" pid="4" name="ICV">
    <vt:lpwstr>F3065EDF75A144538A37657F1D8EEDB0_12</vt:lpwstr>
  </property>
</Properties>
</file>