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E29DF">
      <w:pPr>
        <w:widowControl/>
        <w:spacing w:line="560" w:lineRule="exact"/>
        <w:ind w:firstLine="60"/>
        <w:jc w:val="center"/>
        <w:rPr>
          <w:rFonts w:hint="eastAsia" w:ascii="Times New Roman" w:hAnsi="Times New Roman" w:eastAsia="方正小标宋_GBK" w:cs="Times New Roman"/>
          <w:sz w:val="44"/>
          <w:szCs w:val="44"/>
          <w:lang w:val="en-US" w:eastAsia="zh-CN"/>
        </w:rPr>
      </w:pPr>
      <w:bookmarkStart w:id="0" w:name="_GoBack"/>
      <w:r>
        <w:rPr>
          <w:rFonts w:ascii="Times New Roman" w:hAnsi="Times New Roman" w:eastAsia="方正小标宋_GBK" w:cs="Times New Roman"/>
          <w:sz w:val="44"/>
          <w:szCs w:val="44"/>
          <w:lang w:val="en-US" w:eastAsia="zh-CN"/>
        </w:rPr>
        <w:t>金川县2025年</w:t>
      </w:r>
      <w:r>
        <w:rPr>
          <w:rFonts w:hint="eastAsia" w:ascii="Times New Roman" w:hAnsi="Times New Roman" w:eastAsia="方正小标宋_GBK" w:cs="Times New Roman"/>
          <w:sz w:val="44"/>
          <w:szCs w:val="44"/>
          <w:lang w:val="en-US" w:eastAsia="zh-CN"/>
        </w:rPr>
        <w:t>统战部</w:t>
      </w:r>
    </w:p>
    <w:p w14:paraId="0454DE8D">
      <w:pPr>
        <w:widowControl/>
        <w:spacing w:line="560" w:lineRule="exact"/>
        <w:ind w:firstLine="60"/>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预算绩效目标情况说明</w:t>
      </w:r>
    </w:p>
    <w:p w14:paraId="66EA77E9">
      <w:pPr>
        <w:pStyle w:val="6"/>
        <w:jc w:val="left"/>
      </w:pPr>
    </w:p>
    <w:p w14:paraId="3775D51D">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2025年，我单位部门预算349.52万元 ，均严格按绩效管理要求实现项目绩效目标管理，其中重点项目预算4个，现将情况说明如下：</w:t>
      </w:r>
    </w:p>
    <w:p w14:paraId="20222254">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45BC40B0">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完成了2025年本级部门预算整体绩效目标申报和4个项目预算绩效目标申报，并编报4个项目预算事前绩效评估报告。</w:t>
      </w:r>
    </w:p>
    <w:p w14:paraId="2979BAB7">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53528C26">
      <w:pPr>
        <w:pStyle w:val="6"/>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贯彻落实统一战线的政策、法律法规，统筹协调和指导各部门（单位）统一战线工作。2.负责发现、培养宗教界代表人士，党外代表人士，新的社会阶层人士，非公经济代表人士等工作，3.贯彻落实党的民族工作方针，党的宗教工作基本方针和政策，维护宗教界合法权益，抵御境外利用宗教进行渗透，引导各宗教坚持中国化方向，巩固和发展同宗教界的爱国统一战线。4.贯彻落实中央、省委、州委、县委关于对境外藏胞工作的方针、政策。5.统一领导对台统战工作，牵头开展对台统战工作。6.统一管理侨务工作，贯彻落实党的侨务工作方针政策，保护华侨和归侨侨眷在县内的合法权利和利益。7.协助管理乡镇寺庙管理所所长；受县委委托，领导县工商联党组，指导工商联工作；领导县民族宗教局，管理县侨务台湾事务工作；做好统一战线有关单位和团体及事业单位的管理工作。8.科学开展经济统战、海外统战等工作，做好网上网下统战服务，严格贯彻中央、省、州、县对统战工作的系列部署，确保统战工作稳步推进。9.完成县委交办的其他工作。</w:t>
      </w:r>
    </w:p>
    <w:p w14:paraId="1FB693E9">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7A890786">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重点项目1：维稳工作经费</w:t>
      </w:r>
    </w:p>
    <w:p w14:paraId="50F45B4C">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项目年度绩效目标：本项目是为了做好全县统一战线稳定工作，维护我县社会稳定，更好地团结、服务统一战线各界人士 。（1）贯彻落实加强党对统一战线工作集中统一领导要求，组织落实党中央、省委、州委、县委关于统一战线工作重大决策部署，巩固壮大最广泛的统一战线。(2)贯彻落实党的宗教工作基本方针和政策，维护宗教界合法权益，抵御境W利用Z教进行渗透，引导各宗教坚持中国化方向，维护宗J领域和谐稳定。(3)贯彻落实中央、省委、州委、县委关于对境外藏胞工作的方针、政策。承担县对外藏胞领导小组办公室日常工作。(4)3月、7月敏感期全县宗教领域维护稳定工作。（5）中央、省、州、县召开各项重大会议期间的维护稳定工作 。</w:t>
      </w:r>
    </w:p>
    <w:p w14:paraId="2D65DEA8">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25F27E89">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重点项目2：寺庙工作经费</w:t>
      </w:r>
    </w:p>
    <w:p w14:paraId="440D16AC">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做好全县27座寺庙工作，维护我县宗教领域的和谐稳定，引导宗教与社会主义社会相适应。主要包括：（1）抓好寺庙常态化管理。（2）抓好寺庙反分维稳工作。（3）深入推进“联寺联僧”工作。（4）抓好“孝善和俭”进寺庙建设。（5）抓好藏胞动态管理。（6）县委交办的其他工作。</w:t>
      </w:r>
    </w:p>
    <w:p w14:paraId="13C88DED">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20D2533D">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重点项目3：特勤费</w:t>
      </w:r>
    </w:p>
    <w:p w14:paraId="3FD9232A">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是为了收集各界统一战线相关情报信息，掌握各界代表人士工作、思想、生活动态，贯彻落实加强党对统一战线工作集中统一领导要求，组织落实党中央、省委、州委、县委关于统一战线工作重大决策部署，巩固壮大最广泛的统一战线；贯彻落实党的宣传工作方针，统筹推进全县统一战线宣传和意识形态工作，组织贯彻落实党中央、省委、州委、县委统一战线宣传工作政策和规划，统筹推进网络统战工作，打造网络统战工作平台，研判涉及统一战线的舆情并协调有关部门应对处置。</w:t>
      </w:r>
    </w:p>
    <w:p w14:paraId="6AF4FA1E">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4412E48E">
      <w:pPr>
        <w:spacing w:line="560" w:lineRule="exact"/>
        <w:ind w:firstLine="643" w:firstLineChars="200"/>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重点项目4：寺管干部特殊补助资金</w:t>
      </w:r>
    </w:p>
    <w:p w14:paraId="7CAAF6FF">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本项目资金主要用于对全县乡镇寺庙管理所干部进行特殊补助每人每年1万元，合计资金24万元，该项目实施能保障寺庙管理所高效运转，提高寺管所工作人员工作积极性，提升寺庙依法管理水平，更好维护寺庙的和谐稳定，为推进建设“两个金川”创造稳定的社会环境。</w:t>
      </w:r>
    </w:p>
    <w:p w14:paraId="3E5E6BF6">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绩效指标设置情况：细化指标7个，包括产出指标、成本指标、效益指标和满意度指标。</w:t>
      </w:r>
    </w:p>
    <w:p w14:paraId="56870933">
      <w:pPr>
        <w:spacing w:line="560" w:lineRule="exact"/>
        <w:ind w:firstLine="640" w:firstLineChars="200"/>
        <w:rPr>
          <w:rFonts w:hint="eastAsia" w:ascii="仿宋_GB2312" w:eastAsia="仿宋_GB2312" w:cs="仿宋_GB2312"/>
          <w:sz w:val="32"/>
          <w:szCs w:val="32"/>
          <w:lang w:val="en-US" w:eastAsia="zh-CN"/>
        </w:rPr>
      </w:pPr>
    </w:p>
    <w:p w14:paraId="086EDAB5">
      <w:pPr>
        <w:spacing w:line="560" w:lineRule="exact"/>
        <w:ind w:firstLine="640" w:firstLineChars="200"/>
        <w:rPr>
          <w:rFonts w:hint="eastAsia" w:ascii="仿宋_GB2312" w:eastAsia="仿宋_GB2312" w:cs="仿宋_GB2312"/>
          <w:sz w:val="32"/>
          <w:szCs w:val="32"/>
          <w:lang w:val="en-US" w:eastAsia="zh-CN"/>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50093A"/>
    <w:rsid w:val="0D175319"/>
    <w:rsid w:val="0D6D6C85"/>
    <w:rsid w:val="1B31725D"/>
    <w:rsid w:val="675E0B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99"/>
    <w:pPr>
      <w:ind w:left="200" w:leftChars="200" w:hanging="200" w:hangingChars="200"/>
    </w:pPr>
  </w:style>
  <w:style w:type="paragraph" w:styleId="6">
    <w:name w:val="footer"/>
    <w:basedOn w:val="1"/>
    <w:uiPriority w:val="0"/>
    <w:pPr>
      <w:tabs>
        <w:tab w:val="center" w:pos="4153"/>
        <w:tab w:val="right" w:pos="8306"/>
      </w:tabs>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1586</Words>
  <Characters>1618</Characters>
  <Lines>23</Lines>
  <Paragraphs>15</Paragraphs>
  <TotalTime>12</TotalTime>
  <ScaleCrop>false</ScaleCrop>
  <LinksUpToDate>false</LinksUpToDate>
  <CharactersWithSpaces>1621</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2025-03-04T04:54:38Z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E466C4E386384D7890E834145D793346_13</vt:lpwstr>
  </property>
  <property fmtid="{D5CDD505-2E9C-101B-9397-08002B2CF9AE}" pid="4" name="KSOTemplateDocerSaveRecord">
    <vt:lpwstr>eyJoZGlkIjoiOTE2ZDllODRiODE2ZDJhYjhiNzIxNGU1Mjk2ZDY5YmQiLCJ1c2VySWQiOiI0NDY1MjUyNDgifQ==</vt:lpwstr>
  </property>
</Properties>
</file>