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lang w:val="en-US" w:eastAsia="zh-CN"/>
        </w:rPr>
        <w:t>金川县</w:t>
      </w:r>
      <w:r>
        <w:rPr>
          <w:rFonts w:ascii="方正小标宋_GBK" w:eastAsia="方正小标宋_GBK" w:cs="方正小标宋_GBK" w:hint="eastAsia"/>
          <w:sz w:val="44"/>
          <w:szCs w:val="44"/>
          <w:lang w:val="en-US" w:eastAsia="zh-CN"/>
        </w:rPr>
        <w:t>2024年统战部</w:t>
      </w:r>
      <w:r>
        <w:rPr>
          <w:rFonts w:ascii="方正小标宋_GBK" w:eastAsia="方正小标宋_GBK" w:cs="方正小标宋_GBK" w:hint="eastAsia"/>
          <w:sz w:val="44"/>
          <w:szCs w:val="44"/>
        </w:rPr>
        <w:t>预算绩效目标</w:t>
      </w:r>
    </w:p>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hint="eastAsia"/>
          <w:sz w:val="44"/>
          <w:szCs w:val="44"/>
        </w:rPr>
        <w:t>情况说明</w:t>
      </w:r>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2024年，我单位部门预算322.95万元 ，均严格按绩效管理要求实现项目绩效目标管理，其中重点项目预算4个，现将情况说明如下：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完成了2024年本级部门预算整体绩效目标申报和4个项目预算绩效目标申报，并编报4个项目预算事前绩效评估报告。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5"/>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1.贯彻落实统一战线的政策、法律法规，统筹协调和指导各部门（单位）统一战线工作。2.负责发现、培养宗教界代表人士，党外代表人士，新的社会阶层</w:t>
      </w:r>
      <w:bookmarkStart w:id="0" w:name="_GoBack"/>
      <w:bookmarkEnd w:id="0"/>
      <w:r>
        <w:rPr>
          <w:rFonts w:ascii="仿宋_GB2312" w:eastAsia="仿宋_GB2312" w:cs="仿宋_GB2312" w:hint="eastAsia"/>
          <w:sz w:val="32"/>
          <w:szCs w:val="32"/>
          <w:lang w:val="en-US" w:eastAsia="zh-CN"/>
        </w:rPr>
        <w:t>人士，非公经济代表人士等工作，3.贯彻落实党的民族工作方针，党的宗教工作基本方针和政策，维护宗教界合法权益，抵御境外利用宗教进行渗透，引导各宗教坚持中国化方向，巩固和发展同宗教界的爱国统一战线。4.贯彻落实中央、省委、州委、县委关于对境外藏胞工作的方针、政策。5.统一领导对台统战工作，牵头开展对台统战工作。6.统一管理侨务工作，贯彻落实党的侨务工作方针政策，保护华侨和归侨侨眷在县内的合法权利和利益。7.协助管理乡镇寺庙管理所所长；受县委委托，领导县工商联党组，指导工商联工作；领导县民族宗教局，管理县侨务台湾事务工作；做好统一战线有关单位和团体及事业单位的管理工作。</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重点项目1：维稳工作经费</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项目年度绩效目标：本项目是为了做好全县统一战线稳定工作，维护我县社会稳定，更好地团结、服务统一战线各界人士 。（1）贯彻落实加强党对统一战线工作集中统一领导要求，组织落实党中央、省委、州委、县委关于统一战线工作重大决策部署，巩固壮大最广泛的统一战线。(2)贯彻落实党的宗J工作基本方针和政策，维护宗J界合法权益，抵御境W利用Z教进行渗透，引导各宗J坚持中国化方向，维护宗J领域和谐稳定。(3)贯彻落实中央、省委、州委、县委关于对境外藏B工作的方针、政策。承担县对外藏B领导小组办公室日常工作。(4)3月、7月M感期全县宗J领域维护稳定工作。（5）中央、省、州、县召开各项重大会议期间的维护W定工作 。</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绩效指标设置情况：细化指标7个，包括产出指标、成本指标、效益指标和满意度指标。</w:t>
      </w:r>
    </w:p>
    <w:p>
      <w:pPr>
        <w:spacing w:line="560" w:lineRule="exact"/>
        <w:ind w:firstLineChars="20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重点项目2：寺庙工作经费</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本项目是为了做好全县27座寺M工作，维护我县宗J领域的和谐稳定，引导宗J与社会主义社会相适应。主要包括：（1）抓好寺M常态化管理。（2）抓好寺M反分L维W工作。（3）深入推进“联寺联僧”工作。（4）抓好“孝善和俭”进寺庙建设。（5）抓好藏B动态管理。（6）县委交办的其他工作。</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绩效指标设置情况：细化指标7个，包括产出指标、成本指标、效益指标和满意度指标。</w:t>
      </w:r>
    </w:p>
    <w:p>
      <w:pPr>
        <w:spacing w:line="560" w:lineRule="exact"/>
        <w:ind w:firstLineChars="20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重点项目3：特勤费</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本项目是为了收集各条统一战线相关情报信息，掌握各界代表人士工作、思想、生活动态，贯彻落实加强党对统一战线工作集中统一领导要求，组织落实党中央、省委、州委、县委关于统一战线工作重大决策部署，巩固壮大最广泛的统一战线；贯彻落实党的宣传工作方针，统筹推进全县统一战线宣传和意识形态工作，组织贯彻落实党中央、省委、州委、县委统一战线宣传工作政策和规划，统筹推进网络统战工作，打造网络统战工作平台，研判涉及统一战线的舆情并协调有关部门应对处置。</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绩效指标设置情况：细化指标7个，包括产出指标、成本指标、效益指标和满意度指标。</w:t>
      </w:r>
    </w:p>
    <w:p>
      <w:pPr>
        <w:spacing w:line="560" w:lineRule="exact"/>
        <w:ind w:firstLineChars="20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重点项目4：寺管干部特殊补助资金</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本项目资金主要用于对全县乡镇寺庙管理所干部进行特殊补助助每人每年1万元，合计资金24万元，该项目实施能保障寺管会高效运转，提高寺管会工作人员工作积极性，提升寺庙管理水平，更好维护寺庙的和谐稳定，为推进建设“两个金川”创造稳定的社会环境。</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绩效指标设置情况：细化指标7个，包括产出指标、成本指标、效益指标和满意度指标。</w:t>
      </w:r>
    </w:p>
    <w:p>
      <w:pPr>
        <w:spacing w:line="560" w:lineRule="exact"/>
        <w:ind w:firstLineChars="200" w:firstLine="640"/>
        <w:rPr>
          <w:rFonts w:ascii="仿宋_GB2312" w:eastAsia="仿宋_GB2312" w:cs="仿宋_GB2312" w:hint="eastAsia"/>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Luxi Sans">
    <w:altName w:val="Segoe Print"/>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DZjNGNjMmU1NzE1ZGI5NjM2N2I4NmZkNGJiZDg2OD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next w:val="15"/>
    <w:pPr>
      <w:widowControl w:val="0"/>
      <w:jc w:val="both"/>
    </w:pPr>
    <w:rPr>
      <w:rFonts w:ascii="Calibri" w:eastAsia="宋体" w:cs="Arial" w:hAnsi="Calibri"/>
      <w:kern w:val="2"/>
      <w:sz w:val="21"/>
      <w:szCs w:val="24"/>
      <w:lang w:val="en-US" w:eastAsia="zh-CN" w:bidi="ar-SA"/>
    </w:rPr>
  </w:style>
  <w:style w:type="paragraph" w:styleId="1">
    <w:name w:val="heading 1"/>
    <w:basedOn w:val="0"/>
    <w:autoRedefine/>
    <w:next w:val="0"/>
    <w:pPr>
      <w:keepNext/>
      <w:keepLines/>
      <w:widowControl w:val="0"/>
      <w:spacing w:before="340" w:after="330" w:line="578" w:lineRule="auto"/>
      <w:outlineLvl w:val="0"/>
    </w:pPr>
    <w:rPr>
      <w:b/>
      <w:bCs/>
      <w:kern w:val="44"/>
      <w:sz w:val="44"/>
    </w:rPr>
  </w:style>
  <w:style w:type="paragraph" w:styleId="2">
    <w:name w:val="heading 2"/>
    <w:basedOn w:val="0"/>
    <w:autoRedefine/>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autoRedefine/>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footer"/>
    <w:basedOn w:val="0"/>
    <w:autoRedefine/>
    <w:pPr>
      <w:tabs>
        <w:tab w:val="center" w:pos="4153"/>
        <w:tab w:val="right" w:pos="8306"/>
      </w:tabs>
      <w:snapToGrid w:val="0"/>
      <w:jc w:val="left"/>
    </w:pPr>
    <w:rPr>
      <w:sz w:val="18"/>
    </w:rPr>
  </w:style>
  <w:style w:type="paragraph" w:styleId="16">
    <w:name w:val="Normal (Web)"/>
    <w:basedOn w:val="0"/>
    <w:autoRedefine/>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Yozo_Office27021597764231179</Application>
  <Pages>3</Pages>
  <Words>1505</Words>
  <Characters>1535</Characters>
  <Lines>70</Lines>
  <Paragraphs>20</Paragraphs>
  <CharactersWithSpaces>1539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2024-03-14T07:42:22Z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A07FD3B320BC4997AEE8BDCB96EA243A_12</vt:lpwstr>
  </property>
</Properties>
</file>