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F8BD9E">
      <w:pPr>
        <w:pStyle w:val="6"/>
        <w:rPr>
          <w:rFonts w:hint="eastAsia" w:ascii="Times New Roman" w:hAnsi="Times New Roman" w:eastAsia="方正小标宋简体" w:cs="Times New Roman"/>
          <w:color w:val="auto"/>
          <w:kern w:val="2"/>
          <w:sz w:val="72"/>
          <w:szCs w:val="72"/>
          <w:highlight w:val="none"/>
          <w:lang w:val="en-US" w:eastAsia="zh-CN" w:bidi="ar-SA"/>
        </w:rPr>
      </w:pPr>
      <w:bookmarkStart w:id="0" w:name="_Toc15396597"/>
      <w:bookmarkStart w:id="1" w:name="_Toc15377425"/>
      <w:bookmarkStart w:id="2" w:name="_Toc15377193"/>
      <w:bookmarkStart w:id="3" w:name="_Toc15396475"/>
      <w:bookmarkStart w:id="4" w:name="_Toc15378441"/>
      <w:bookmarkStart w:id="5" w:name="_Toc15306267"/>
    </w:p>
    <w:p w14:paraId="10142C73">
      <w:pPr>
        <w:pStyle w:val="6"/>
        <w:rPr>
          <w:rFonts w:hint="eastAsia" w:ascii="Times New Roman" w:hAnsi="Times New Roman" w:eastAsia="方正小标宋简体" w:cs="Times New Roman"/>
          <w:color w:val="auto"/>
          <w:kern w:val="2"/>
          <w:sz w:val="72"/>
          <w:szCs w:val="72"/>
          <w:highlight w:val="none"/>
          <w:lang w:val="en-US" w:eastAsia="zh-CN" w:bidi="ar-SA"/>
        </w:rPr>
      </w:pPr>
    </w:p>
    <w:p w14:paraId="71723E75">
      <w:pPr>
        <w:pStyle w:val="6"/>
        <w:rPr>
          <w:rFonts w:hint="eastAsia" w:ascii="Times New Roman" w:hAnsi="Times New Roman" w:eastAsia="方正小标宋简体" w:cs="Times New Roman"/>
          <w:color w:val="auto"/>
          <w:kern w:val="2"/>
          <w:sz w:val="72"/>
          <w:szCs w:val="72"/>
          <w:highlight w:val="none"/>
          <w:lang w:val="en-US" w:eastAsia="zh-CN" w:bidi="ar-SA"/>
        </w:rPr>
      </w:pPr>
    </w:p>
    <w:bookmarkEnd w:id="0"/>
    <w:bookmarkEnd w:id="1"/>
    <w:bookmarkEnd w:id="2"/>
    <w:bookmarkEnd w:id="3"/>
    <w:bookmarkEnd w:id="4"/>
    <w:bookmarkEnd w:id="5"/>
    <w:p w14:paraId="616C8D38">
      <w:pPr>
        <w:adjustRightInd w:val="0"/>
        <w:snapToGrid w:val="0"/>
        <w:spacing w:line="360" w:lineRule="auto"/>
        <w:ind w:firstLine="0" w:firstLineChars="0"/>
        <w:jc w:val="center"/>
        <w:outlineLvl w:val="0"/>
        <w:rPr>
          <w:rFonts w:hint="eastAsia" w:ascii="方正小标宋_GBK" w:hAnsi="方正小标宋_GBK" w:eastAsia="方正小标宋_GBK" w:cs="方正小标宋_GBK"/>
          <w:sz w:val="72"/>
          <w:szCs w:val="72"/>
        </w:rPr>
      </w:pPr>
      <w:bookmarkStart w:id="6" w:name="_Toc8772"/>
      <w:bookmarkStart w:id="7" w:name="_Toc13870"/>
      <w:bookmarkStart w:id="8" w:name="_Toc30479"/>
      <w:r>
        <w:rPr>
          <w:rFonts w:hint="eastAsia" w:ascii="方正小标宋_GBK" w:hAnsi="方正小标宋_GBK" w:eastAsia="方正小标宋_GBK" w:cs="方正小标宋_GBK"/>
          <w:sz w:val="72"/>
          <w:szCs w:val="72"/>
        </w:rPr>
        <w:t>202</w:t>
      </w:r>
      <w:r>
        <w:rPr>
          <w:rFonts w:hint="eastAsia" w:ascii="方正小标宋_GBK" w:hAnsi="方正小标宋_GBK" w:eastAsia="方正小标宋_GBK" w:cs="方正小标宋_GBK"/>
          <w:sz w:val="72"/>
          <w:szCs w:val="72"/>
          <w:lang w:val="en-US" w:eastAsia="zh-CN"/>
        </w:rPr>
        <w:t>4</w:t>
      </w:r>
      <w:r>
        <w:rPr>
          <w:rFonts w:hint="eastAsia" w:ascii="方正小标宋_GBK" w:hAnsi="方正小标宋_GBK" w:eastAsia="方正小标宋_GBK" w:cs="方正小标宋_GBK"/>
          <w:sz w:val="72"/>
          <w:szCs w:val="72"/>
        </w:rPr>
        <w:t>年度</w:t>
      </w:r>
      <w:bookmarkEnd w:id="6"/>
      <w:bookmarkEnd w:id="7"/>
      <w:bookmarkEnd w:id="8"/>
    </w:p>
    <w:p w14:paraId="5F353C6D">
      <w:pPr>
        <w:adjustRightInd w:val="0"/>
        <w:snapToGrid w:val="0"/>
        <w:spacing w:line="360" w:lineRule="auto"/>
        <w:ind w:firstLine="0" w:firstLineChars="0"/>
        <w:jc w:val="center"/>
        <w:outlineLvl w:val="0"/>
        <w:rPr>
          <w:rFonts w:hint="default" w:ascii="方正小标宋_GBK" w:hAnsi="方正小标宋_GBK" w:eastAsia="方正小标宋_GBK" w:cs="方正小标宋_GBK"/>
          <w:sz w:val="72"/>
          <w:szCs w:val="72"/>
          <w:lang w:val="en-US" w:eastAsia="zh-CN"/>
        </w:rPr>
      </w:pPr>
      <w:bookmarkStart w:id="9" w:name="_Toc31024"/>
      <w:bookmarkStart w:id="10" w:name="_Toc17891"/>
      <w:bookmarkStart w:id="11" w:name="_Toc32362"/>
      <w:r>
        <w:rPr>
          <w:rFonts w:hint="eastAsia" w:ascii="方正小标宋_GBK" w:hAnsi="方正小标宋_GBK" w:eastAsia="方正小标宋_GBK" w:cs="方正小标宋_GBK"/>
          <w:sz w:val="72"/>
          <w:szCs w:val="72"/>
        </w:rPr>
        <w:t>金川县</w:t>
      </w:r>
      <w:bookmarkEnd w:id="9"/>
      <w:bookmarkEnd w:id="10"/>
      <w:r>
        <w:rPr>
          <w:rFonts w:hint="eastAsia" w:ascii="方正小标宋_GBK" w:hAnsi="方正小标宋_GBK" w:eastAsia="方正小标宋_GBK" w:cs="方正小标宋_GBK"/>
          <w:sz w:val="72"/>
          <w:szCs w:val="72"/>
          <w:lang w:val="en-US" w:eastAsia="zh-CN"/>
        </w:rPr>
        <w:t>档案馆</w:t>
      </w:r>
    </w:p>
    <w:p w14:paraId="76F134C6">
      <w:pPr>
        <w:adjustRightInd w:val="0"/>
        <w:snapToGrid w:val="0"/>
        <w:spacing w:line="360" w:lineRule="auto"/>
        <w:ind w:firstLine="0" w:firstLineChars="0"/>
        <w:jc w:val="center"/>
        <w:outlineLvl w:val="0"/>
        <w:rPr>
          <w:rFonts w:hint="eastAsia" w:ascii="方正小标宋_GBK" w:hAnsi="方正小标宋_GBK" w:eastAsia="方正小标宋_GBK" w:cs="方正小标宋_GBK"/>
          <w:sz w:val="72"/>
          <w:szCs w:val="72"/>
        </w:rPr>
      </w:pPr>
      <w:bookmarkStart w:id="12" w:name="_Toc5119"/>
      <w:bookmarkStart w:id="13" w:name="_Toc4067"/>
      <w:r>
        <w:rPr>
          <w:rFonts w:hint="eastAsia" w:ascii="方正小标宋_GBK" w:hAnsi="方正小标宋_GBK" w:eastAsia="方正小标宋_GBK" w:cs="方正小标宋_GBK"/>
          <w:sz w:val="72"/>
          <w:szCs w:val="72"/>
        </w:rPr>
        <w:t>部</w:t>
      </w:r>
      <w:bookmarkStart w:id="94" w:name="_GoBack"/>
      <w:bookmarkEnd w:id="94"/>
      <w:r>
        <w:rPr>
          <w:rFonts w:hint="eastAsia" w:ascii="方正小标宋_GBK" w:hAnsi="方正小标宋_GBK" w:eastAsia="方正小标宋_GBK" w:cs="方正小标宋_GBK"/>
          <w:sz w:val="72"/>
          <w:szCs w:val="72"/>
        </w:rPr>
        <w:t>门决算</w:t>
      </w:r>
      <w:bookmarkEnd w:id="11"/>
      <w:bookmarkEnd w:id="12"/>
      <w:bookmarkEnd w:id="13"/>
    </w:p>
    <w:p w14:paraId="4006120F">
      <w:pPr>
        <w:adjustRightInd w:val="0"/>
        <w:snapToGrid w:val="0"/>
        <w:spacing w:line="360" w:lineRule="auto"/>
        <w:ind w:firstLine="1440"/>
        <w:jc w:val="center"/>
        <w:rPr>
          <w:rFonts w:hint="eastAsia" w:ascii="方正小标宋简体" w:eastAsia="方正小标宋简体" w:cs="方正小标宋简体"/>
          <w:sz w:val="72"/>
          <w:szCs w:val="72"/>
        </w:rPr>
      </w:pPr>
    </w:p>
    <w:p w14:paraId="69B8F1FF">
      <w:pPr>
        <w:widowControl/>
        <w:ind w:firstLine="720"/>
        <w:jc w:val="center"/>
        <w:rPr>
          <w:rFonts w:hint="eastAsia" w:ascii="方正小标宋简体" w:eastAsia="方正小标宋简体"/>
          <w:sz w:val="36"/>
          <w:szCs w:val="36"/>
        </w:rPr>
      </w:pPr>
    </w:p>
    <w:p w14:paraId="1AEA4569">
      <w:pPr>
        <w:widowControl/>
        <w:ind w:firstLine="720"/>
        <w:jc w:val="center"/>
        <w:rPr>
          <w:rFonts w:hint="eastAsia" w:ascii="方正小标宋简体" w:eastAsia="方正小标宋简体"/>
          <w:sz w:val="36"/>
          <w:szCs w:val="36"/>
        </w:rPr>
      </w:pPr>
    </w:p>
    <w:p w14:paraId="6179D89C">
      <w:pPr>
        <w:widowControl/>
        <w:ind w:firstLine="720"/>
        <w:jc w:val="center"/>
        <w:rPr>
          <w:rFonts w:hint="eastAsia" w:ascii="方正小标宋简体" w:eastAsia="方正小标宋简体"/>
          <w:sz w:val="36"/>
          <w:szCs w:val="36"/>
        </w:rPr>
      </w:pPr>
    </w:p>
    <w:p w14:paraId="1D40C760">
      <w:pPr>
        <w:widowControl/>
        <w:ind w:firstLine="0" w:firstLineChars="0"/>
        <w:rPr>
          <w:rFonts w:hint="eastAsia" w:ascii="仿宋_GB2312" w:eastAsia="仿宋_GB2312" w:cs="仿宋_GB2312"/>
          <w:sz w:val="36"/>
          <w:szCs w:val="36"/>
        </w:rPr>
      </w:pPr>
    </w:p>
    <w:p w14:paraId="65510842">
      <w:pPr>
        <w:widowControl/>
        <w:jc w:val="center"/>
        <w:rPr>
          <w:rFonts w:ascii="Times New Roman" w:hAnsi="Times New Roman" w:eastAsia="黑体"/>
          <w:color w:val="auto"/>
          <w:sz w:val="48"/>
          <w:szCs w:val="48"/>
          <w:highlight w:val="none"/>
        </w:rPr>
      </w:pPr>
      <w:r>
        <w:rPr>
          <w:rFonts w:hint="eastAsia" w:ascii="仿宋_GB2312" w:eastAsia="仿宋_GB2312" w:cs="仿宋_GB2312"/>
          <w:sz w:val="36"/>
          <w:szCs w:val="36"/>
        </w:rPr>
        <w:t>已保密审查、内容审定，同意对外公开</w:t>
      </w:r>
      <w:r>
        <w:rPr>
          <w:rFonts w:ascii="Times New Roman" w:hAnsi="Times New Roman" w:eastAsia="方正小标宋简体"/>
          <w:color w:val="auto"/>
          <w:sz w:val="36"/>
          <w:szCs w:val="36"/>
          <w:highlight w:val="none"/>
        </w:rPr>
        <w:br w:type="page"/>
      </w:r>
      <w:r>
        <w:rPr>
          <w:rFonts w:hint="eastAsia" w:ascii="Times New Roman" w:hAnsi="Times New Roman" w:eastAsia="黑体"/>
          <w:color w:val="auto"/>
          <w:sz w:val="48"/>
          <w:szCs w:val="48"/>
          <w:highlight w:val="none"/>
        </w:rPr>
        <w:t>目录</w:t>
      </w:r>
    </w:p>
    <w:p w14:paraId="55DD21CA">
      <w:pPr>
        <w:widowControl/>
        <w:jc w:val="center"/>
        <w:rPr>
          <w:rFonts w:ascii="Times New Roman" w:hAnsi="Times New Roman" w:eastAsia="黑体" w:cstheme="minorBidi"/>
          <w:color w:val="auto"/>
          <w:sz w:val="28"/>
          <w:szCs w:val="28"/>
          <w:highlight w:val="none"/>
        </w:rPr>
      </w:pPr>
    </w:p>
    <w:p w14:paraId="4B801DD7">
      <w:pPr>
        <w:pStyle w:val="13"/>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25</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 xml:space="preserve">  8</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 xml:space="preserve">  20</w:t>
      </w:r>
      <w:r>
        <w:rPr>
          <w:rFonts w:hint="eastAsia" w:ascii="Times New Roman" w:hAnsi="Times New Roman" w:eastAsia="仿宋_GB2312" w:cs="仿宋_GB2312"/>
          <w:color w:val="auto"/>
          <w:sz w:val="32"/>
          <w:szCs w:val="32"/>
          <w:highlight w:val="none"/>
        </w:rPr>
        <w:t>日</w:t>
      </w:r>
    </w:p>
    <w:p w14:paraId="418AE245">
      <w:pPr>
        <w:rPr>
          <w:rFonts w:ascii="Times New Roman" w:hAnsi="Times New Roman"/>
          <w:color w:val="auto"/>
          <w:highlight w:val="none"/>
        </w:rPr>
      </w:pPr>
    </w:p>
    <w:sdt>
      <w:sdtPr>
        <w:rPr>
          <w:rFonts w:ascii="宋体" w:hAnsi="宋体" w:eastAsia="宋体" w:cs="Times New Roman"/>
          <w:kern w:val="2"/>
          <w:sz w:val="21"/>
          <w:szCs w:val="24"/>
          <w:lang w:val="en-US" w:eastAsia="zh-CN" w:bidi="ar-SA"/>
        </w:rPr>
        <w:id w:val="147468905"/>
        <w15:color w:val="DBDBDB"/>
        <w:docPartObj>
          <w:docPartGallery w:val="Table of Contents"/>
          <w:docPartUnique/>
        </w:docPartObj>
      </w:sdtPr>
      <w:sdtEndPr>
        <w:rPr>
          <w:rFonts w:hint="eastAsia" w:ascii="Times New Roman" w:hAnsi="Times New Roman" w:eastAsia="宋体" w:cs="Times New Roman"/>
          <w:kern w:val="2"/>
          <w:sz w:val="21"/>
          <w:szCs w:val="32"/>
          <w:lang w:val="en-US" w:eastAsia="zh-CN" w:bidi="ar-SA"/>
        </w:rPr>
      </w:sdtEndPr>
      <w:sdtContent>
        <w:p w14:paraId="7E995CEF">
          <w:pPr>
            <w:spacing w:before="0" w:beforeLines="0" w:after="0" w:afterLines="0" w:line="240" w:lineRule="auto"/>
            <w:ind w:left="0" w:leftChars="0" w:right="0" w:rightChars="0" w:firstLine="0" w:firstLineChars="0"/>
            <w:jc w:val="center"/>
          </w:pPr>
        </w:p>
        <w:p w14:paraId="377E49FE">
          <w:pPr>
            <w:pStyle w:val="13"/>
            <w:tabs>
              <w:tab w:val="right" w:leader="dot" w:pos="8306"/>
              <w:tab w:val="clear" w:pos="8296"/>
            </w:tabs>
            <w:rPr>
              <w:sz w:val="32"/>
              <w:szCs w:val="32"/>
            </w:rPr>
          </w:pPr>
          <w:r>
            <w:rPr>
              <w:rFonts w:hint="eastAsia" w:ascii="Times New Roman" w:hAnsi="Times New Roman" w:eastAsia="宋体" w:cs="Times New Roman"/>
              <w:kern w:val="2"/>
              <w:sz w:val="32"/>
              <w:szCs w:val="32"/>
              <w:lang w:val="en-US" w:eastAsia="zh-CN" w:bidi="ar-SA"/>
            </w:rPr>
            <w:fldChar w:fldCharType="begin"/>
          </w:r>
          <w:r>
            <w:rPr>
              <w:rFonts w:hint="eastAsia" w:ascii="Times New Roman" w:hAnsi="Times New Roman" w:eastAsia="宋体" w:cs="Times New Roman"/>
              <w:kern w:val="2"/>
              <w:sz w:val="32"/>
              <w:szCs w:val="32"/>
              <w:lang w:val="en-US" w:eastAsia="zh-CN" w:bidi="ar-SA"/>
            </w:rPr>
            <w:instrText xml:space="preserve">TOC \o "1-2" \h \u </w:instrText>
          </w:r>
          <w:r>
            <w:rPr>
              <w:rFonts w:hint="eastAsia" w:ascii="Times New Roman" w:hAnsi="Times New Roman" w:eastAsia="宋体" w:cs="Times New Roman"/>
              <w:kern w:val="2"/>
              <w:sz w:val="32"/>
              <w:szCs w:val="32"/>
              <w:lang w:val="en-US" w:eastAsia="zh-CN" w:bidi="ar-SA"/>
            </w:rPr>
            <w:fldChar w:fldCharType="separate"/>
          </w:r>
          <w:r>
            <w:rPr>
              <w:rFonts w:hint="eastAsia" w:ascii="Times New Roman" w:hAnsi="Times New Roman" w:eastAsia="宋体" w:cs="Times New Roman"/>
              <w:kern w:val="2"/>
              <w:sz w:val="32"/>
              <w:szCs w:val="32"/>
              <w:lang w:val="en-US" w:eastAsia="zh-CN" w:bidi="ar-SA"/>
            </w:rPr>
            <w:fldChar w:fldCharType="begin"/>
          </w:r>
          <w:r>
            <w:rPr>
              <w:rFonts w:hint="eastAsia" w:ascii="Times New Roman" w:hAnsi="Times New Roman" w:eastAsia="宋体" w:cs="Times New Roman"/>
              <w:kern w:val="2"/>
              <w:sz w:val="32"/>
              <w:szCs w:val="32"/>
              <w:lang w:val="en-US" w:eastAsia="zh-CN" w:bidi="ar-SA"/>
            </w:rPr>
            <w:instrText xml:space="preserve"> HYPERLINK \l _Toc18539 </w:instrText>
          </w:r>
          <w:r>
            <w:rPr>
              <w:rFonts w:hint="eastAsia" w:ascii="Times New Roman" w:hAnsi="Times New Roman" w:eastAsia="宋体" w:cs="Times New Roman"/>
              <w:kern w:val="2"/>
              <w:sz w:val="32"/>
              <w:szCs w:val="32"/>
              <w:lang w:val="en-US" w:eastAsia="zh-CN" w:bidi="ar-SA"/>
            </w:rPr>
            <w:fldChar w:fldCharType="separate"/>
          </w:r>
          <w:r>
            <w:rPr>
              <w:rFonts w:hint="eastAsia" w:ascii="Times New Roman" w:hAnsi="Times New Roman" w:eastAsia="方正小标宋简体" w:cs="方正小标宋简体"/>
              <w:sz w:val="32"/>
              <w:szCs w:val="32"/>
              <w:highlight w:val="none"/>
            </w:rPr>
            <w:t>第一部分</w:t>
          </w:r>
          <w:r>
            <w:rPr>
              <w:rFonts w:hint="eastAsia" w:ascii="Times New Roman" w:hAnsi="Times New Roman" w:eastAsia="方正小标宋简体" w:cs="方正小标宋简体"/>
              <w:sz w:val="32"/>
              <w:szCs w:val="32"/>
              <w:highlight w:val="none"/>
              <w:lang w:val="en-US" w:eastAsia="zh-CN"/>
            </w:rPr>
            <w:t xml:space="preserve"> </w:t>
          </w:r>
          <w:r>
            <w:rPr>
              <w:rFonts w:hint="eastAsia" w:ascii="Times New Roman" w:hAnsi="Times New Roman" w:eastAsia="方正小标宋简体" w:cs="方正小标宋简体"/>
              <w:sz w:val="32"/>
              <w:szCs w:val="32"/>
              <w:highlight w:val="none"/>
            </w:rPr>
            <w:t xml:space="preserve"> </w:t>
          </w:r>
          <w:r>
            <w:rPr>
              <w:rFonts w:hint="eastAsia" w:ascii="Times New Roman" w:hAnsi="Times New Roman" w:eastAsia="方正小标宋简体" w:cs="方正小标宋简体"/>
              <w:bCs w:val="0"/>
              <w:sz w:val="32"/>
              <w:szCs w:val="32"/>
              <w:highlight w:val="none"/>
            </w:rPr>
            <w:t>部门概况</w:t>
          </w:r>
          <w:r>
            <w:rPr>
              <w:sz w:val="32"/>
              <w:szCs w:val="32"/>
            </w:rPr>
            <w:tab/>
          </w:r>
          <w:r>
            <w:rPr>
              <w:sz w:val="32"/>
              <w:szCs w:val="32"/>
            </w:rPr>
            <w:fldChar w:fldCharType="begin"/>
          </w:r>
          <w:r>
            <w:rPr>
              <w:sz w:val="32"/>
              <w:szCs w:val="32"/>
            </w:rPr>
            <w:instrText xml:space="preserve"> PAGEREF _Toc18539 \h </w:instrText>
          </w:r>
          <w:r>
            <w:rPr>
              <w:sz w:val="32"/>
              <w:szCs w:val="32"/>
            </w:rPr>
            <w:fldChar w:fldCharType="separate"/>
          </w:r>
          <w:r>
            <w:rPr>
              <w:sz w:val="32"/>
              <w:szCs w:val="32"/>
            </w:rPr>
            <w:t>4</w:t>
          </w:r>
          <w:r>
            <w:rPr>
              <w:sz w:val="32"/>
              <w:szCs w:val="32"/>
            </w:rPr>
            <w:fldChar w:fldCharType="end"/>
          </w:r>
          <w:r>
            <w:rPr>
              <w:rFonts w:hint="eastAsia" w:ascii="Times New Roman" w:hAnsi="Times New Roman" w:eastAsia="宋体" w:cs="Times New Roman"/>
              <w:kern w:val="2"/>
              <w:sz w:val="32"/>
              <w:szCs w:val="32"/>
              <w:lang w:val="en-US" w:eastAsia="zh-CN" w:bidi="ar-SA"/>
            </w:rPr>
            <w:fldChar w:fldCharType="end"/>
          </w:r>
        </w:p>
        <w:p w14:paraId="2B96A318">
          <w:pPr>
            <w:pStyle w:val="15"/>
            <w:tabs>
              <w:tab w:val="right" w:leader="dot" w:pos="8306"/>
              <w:tab w:val="clear" w:pos="8296"/>
            </w:tabs>
            <w:rPr>
              <w:sz w:val="32"/>
              <w:szCs w:val="32"/>
            </w:rPr>
          </w:pPr>
          <w:r>
            <w:rPr>
              <w:rFonts w:hint="eastAsia" w:ascii="Times New Roman" w:hAnsi="Times New Roman" w:eastAsia="宋体" w:cs="Times New Roman"/>
              <w:kern w:val="2"/>
              <w:sz w:val="32"/>
              <w:szCs w:val="32"/>
              <w:lang w:val="en-US" w:eastAsia="zh-CN" w:bidi="ar-SA"/>
            </w:rPr>
            <w:fldChar w:fldCharType="begin"/>
          </w:r>
          <w:r>
            <w:rPr>
              <w:rFonts w:hint="eastAsia" w:ascii="Times New Roman" w:hAnsi="Times New Roman" w:eastAsia="宋体" w:cs="Times New Roman"/>
              <w:kern w:val="2"/>
              <w:sz w:val="32"/>
              <w:szCs w:val="32"/>
              <w:lang w:val="en-US" w:eastAsia="zh-CN" w:bidi="ar-SA"/>
            </w:rPr>
            <w:instrText xml:space="preserve"> HYPERLINK \l _Toc12466 </w:instrText>
          </w:r>
          <w:r>
            <w:rPr>
              <w:rFonts w:hint="eastAsia" w:ascii="Times New Roman" w:hAnsi="Times New Roman" w:eastAsia="宋体" w:cs="Times New Roman"/>
              <w:kern w:val="2"/>
              <w:sz w:val="32"/>
              <w:szCs w:val="32"/>
              <w:lang w:val="en-US" w:eastAsia="zh-CN" w:bidi="ar-SA"/>
            </w:rPr>
            <w:fldChar w:fldCharType="separate"/>
          </w:r>
          <w:r>
            <w:rPr>
              <w:rFonts w:hint="eastAsia" w:ascii="Times New Roman" w:hAnsi="Times New Roman" w:eastAsia="黑体"/>
              <w:sz w:val="32"/>
              <w:szCs w:val="32"/>
              <w:lang w:eastAsia="zh-CN"/>
            </w:rPr>
            <w:t xml:space="preserve">一、 </w:t>
          </w:r>
          <w:r>
            <w:rPr>
              <w:rFonts w:hint="eastAsia" w:ascii="Times New Roman" w:hAnsi="Times New Roman" w:eastAsia="黑体"/>
              <w:sz w:val="32"/>
              <w:szCs w:val="32"/>
              <w:highlight w:val="none"/>
              <w:lang w:eastAsia="zh-CN"/>
            </w:rPr>
            <w:t>部门职责</w:t>
          </w:r>
          <w:r>
            <w:rPr>
              <w:sz w:val="32"/>
              <w:szCs w:val="32"/>
            </w:rPr>
            <w:tab/>
          </w:r>
          <w:r>
            <w:rPr>
              <w:sz w:val="32"/>
              <w:szCs w:val="32"/>
            </w:rPr>
            <w:fldChar w:fldCharType="begin"/>
          </w:r>
          <w:r>
            <w:rPr>
              <w:sz w:val="32"/>
              <w:szCs w:val="32"/>
            </w:rPr>
            <w:instrText xml:space="preserve"> PAGEREF _Toc12466 \h </w:instrText>
          </w:r>
          <w:r>
            <w:rPr>
              <w:sz w:val="32"/>
              <w:szCs w:val="32"/>
            </w:rPr>
            <w:fldChar w:fldCharType="separate"/>
          </w:r>
          <w:r>
            <w:rPr>
              <w:sz w:val="32"/>
              <w:szCs w:val="32"/>
            </w:rPr>
            <w:t>4</w:t>
          </w:r>
          <w:r>
            <w:rPr>
              <w:sz w:val="32"/>
              <w:szCs w:val="32"/>
            </w:rPr>
            <w:fldChar w:fldCharType="end"/>
          </w:r>
          <w:r>
            <w:rPr>
              <w:rFonts w:hint="eastAsia" w:ascii="Times New Roman" w:hAnsi="Times New Roman" w:eastAsia="宋体" w:cs="Times New Roman"/>
              <w:kern w:val="2"/>
              <w:sz w:val="32"/>
              <w:szCs w:val="32"/>
              <w:lang w:val="en-US" w:eastAsia="zh-CN" w:bidi="ar-SA"/>
            </w:rPr>
            <w:fldChar w:fldCharType="end"/>
          </w:r>
        </w:p>
        <w:p w14:paraId="057EC717">
          <w:pPr>
            <w:pStyle w:val="15"/>
            <w:tabs>
              <w:tab w:val="right" w:leader="dot" w:pos="8306"/>
              <w:tab w:val="clear" w:pos="8296"/>
            </w:tabs>
            <w:rPr>
              <w:sz w:val="32"/>
              <w:szCs w:val="32"/>
            </w:rPr>
          </w:pPr>
          <w:r>
            <w:rPr>
              <w:rFonts w:hint="eastAsia" w:ascii="Times New Roman" w:hAnsi="Times New Roman" w:eastAsia="宋体" w:cs="Times New Roman"/>
              <w:kern w:val="2"/>
              <w:sz w:val="32"/>
              <w:szCs w:val="32"/>
              <w:lang w:val="en-US" w:eastAsia="zh-CN" w:bidi="ar-SA"/>
            </w:rPr>
            <w:fldChar w:fldCharType="begin"/>
          </w:r>
          <w:r>
            <w:rPr>
              <w:rFonts w:hint="eastAsia" w:ascii="Times New Roman" w:hAnsi="Times New Roman" w:eastAsia="宋体" w:cs="Times New Roman"/>
              <w:kern w:val="2"/>
              <w:sz w:val="32"/>
              <w:szCs w:val="32"/>
              <w:lang w:val="en-US" w:eastAsia="zh-CN" w:bidi="ar-SA"/>
            </w:rPr>
            <w:instrText xml:space="preserve"> HYPERLINK \l _Toc16671 </w:instrText>
          </w:r>
          <w:r>
            <w:rPr>
              <w:rFonts w:hint="eastAsia" w:ascii="Times New Roman" w:hAnsi="Times New Roman" w:eastAsia="宋体" w:cs="Times New Roman"/>
              <w:kern w:val="2"/>
              <w:sz w:val="32"/>
              <w:szCs w:val="32"/>
              <w:lang w:val="en-US" w:eastAsia="zh-CN" w:bidi="ar-SA"/>
            </w:rPr>
            <w:fldChar w:fldCharType="separate"/>
          </w:r>
          <w:r>
            <w:rPr>
              <w:rFonts w:hint="eastAsia" w:ascii="Times New Roman" w:hAnsi="Times New Roman" w:eastAsia="黑体"/>
              <w:sz w:val="32"/>
              <w:szCs w:val="32"/>
              <w:highlight w:val="none"/>
            </w:rPr>
            <w:t>二、机</w:t>
          </w:r>
          <w:r>
            <w:rPr>
              <w:rFonts w:hint="eastAsia" w:ascii="Times New Roman" w:hAnsi="Times New Roman" w:eastAsia="黑体"/>
              <w:bCs w:val="0"/>
              <w:sz w:val="32"/>
              <w:szCs w:val="32"/>
              <w:highlight w:val="none"/>
            </w:rPr>
            <w:t>构设置</w:t>
          </w:r>
          <w:r>
            <w:rPr>
              <w:sz w:val="32"/>
              <w:szCs w:val="32"/>
            </w:rPr>
            <w:tab/>
          </w:r>
          <w:r>
            <w:rPr>
              <w:sz w:val="32"/>
              <w:szCs w:val="32"/>
            </w:rPr>
            <w:fldChar w:fldCharType="begin"/>
          </w:r>
          <w:r>
            <w:rPr>
              <w:sz w:val="32"/>
              <w:szCs w:val="32"/>
            </w:rPr>
            <w:instrText xml:space="preserve"> PAGEREF _Toc16671 \h </w:instrText>
          </w:r>
          <w:r>
            <w:rPr>
              <w:sz w:val="32"/>
              <w:szCs w:val="32"/>
            </w:rPr>
            <w:fldChar w:fldCharType="separate"/>
          </w:r>
          <w:r>
            <w:rPr>
              <w:sz w:val="32"/>
              <w:szCs w:val="32"/>
            </w:rPr>
            <w:t>5</w:t>
          </w:r>
          <w:r>
            <w:rPr>
              <w:sz w:val="32"/>
              <w:szCs w:val="32"/>
            </w:rPr>
            <w:fldChar w:fldCharType="end"/>
          </w:r>
          <w:r>
            <w:rPr>
              <w:rFonts w:hint="eastAsia" w:ascii="Times New Roman" w:hAnsi="Times New Roman" w:eastAsia="宋体" w:cs="Times New Roman"/>
              <w:kern w:val="2"/>
              <w:sz w:val="32"/>
              <w:szCs w:val="32"/>
              <w:lang w:val="en-US" w:eastAsia="zh-CN" w:bidi="ar-SA"/>
            </w:rPr>
            <w:fldChar w:fldCharType="end"/>
          </w:r>
        </w:p>
        <w:p w14:paraId="4D77DA97">
          <w:pPr>
            <w:pStyle w:val="13"/>
            <w:tabs>
              <w:tab w:val="right" w:leader="dot" w:pos="8306"/>
              <w:tab w:val="clear" w:pos="8296"/>
            </w:tabs>
            <w:rPr>
              <w:sz w:val="32"/>
              <w:szCs w:val="32"/>
            </w:rPr>
          </w:pPr>
          <w:r>
            <w:rPr>
              <w:rFonts w:hint="eastAsia" w:ascii="Times New Roman" w:hAnsi="Times New Roman" w:eastAsia="宋体" w:cs="Times New Roman"/>
              <w:kern w:val="2"/>
              <w:sz w:val="32"/>
              <w:szCs w:val="32"/>
              <w:lang w:val="en-US" w:eastAsia="zh-CN" w:bidi="ar-SA"/>
            </w:rPr>
            <w:fldChar w:fldCharType="begin"/>
          </w:r>
          <w:r>
            <w:rPr>
              <w:rFonts w:hint="eastAsia" w:ascii="Times New Roman" w:hAnsi="Times New Roman" w:eastAsia="宋体" w:cs="Times New Roman"/>
              <w:kern w:val="2"/>
              <w:sz w:val="32"/>
              <w:szCs w:val="32"/>
              <w:lang w:val="en-US" w:eastAsia="zh-CN" w:bidi="ar-SA"/>
            </w:rPr>
            <w:instrText xml:space="preserve"> HYPERLINK \l _Toc22077 </w:instrText>
          </w:r>
          <w:r>
            <w:rPr>
              <w:rFonts w:hint="eastAsia" w:ascii="Times New Roman" w:hAnsi="Times New Roman" w:eastAsia="宋体" w:cs="Times New Roman"/>
              <w:kern w:val="2"/>
              <w:sz w:val="32"/>
              <w:szCs w:val="32"/>
              <w:lang w:val="en-US" w:eastAsia="zh-CN" w:bidi="ar-SA"/>
            </w:rPr>
            <w:fldChar w:fldCharType="separate"/>
          </w:r>
          <w:r>
            <w:rPr>
              <w:rFonts w:hint="eastAsia" w:ascii="Times New Roman" w:hAnsi="Times New Roman" w:eastAsia="方正小标宋简体" w:cs="方正小标宋简体"/>
              <w:sz w:val="32"/>
              <w:szCs w:val="32"/>
              <w:highlight w:val="none"/>
            </w:rPr>
            <w:t>第二部分</w:t>
          </w:r>
          <w:r>
            <w:rPr>
              <w:rFonts w:hint="eastAsia" w:ascii="Times New Roman" w:hAnsi="Times New Roman" w:eastAsia="方正小标宋简体" w:cs="方正小标宋简体"/>
              <w:sz w:val="32"/>
              <w:szCs w:val="32"/>
              <w:highlight w:val="none"/>
              <w:lang w:val="en-US" w:eastAsia="zh-CN"/>
            </w:rPr>
            <w:t xml:space="preserve"> </w:t>
          </w:r>
          <w:r>
            <w:rPr>
              <w:rFonts w:hint="eastAsia" w:ascii="Times New Roman" w:hAnsi="Times New Roman" w:eastAsia="方正小标宋简体" w:cs="方正小标宋简体"/>
              <w:sz w:val="32"/>
              <w:szCs w:val="32"/>
              <w:highlight w:val="none"/>
            </w:rPr>
            <w:t xml:space="preserve"> </w:t>
          </w:r>
          <w:r>
            <w:rPr>
              <w:rFonts w:hint="eastAsia" w:ascii="Times New Roman" w:hAnsi="Times New Roman" w:eastAsia="方正小标宋简体" w:cs="方正小标宋简体"/>
              <w:sz w:val="32"/>
              <w:szCs w:val="32"/>
              <w:highlight w:val="none"/>
              <w:lang w:val="en-US" w:eastAsia="zh-CN"/>
            </w:rPr>
            <w:t>2024年度</w:t>
          </w:r>
          <w:r>
            <w:rPr>
              <w:rFonts w:hint="eastAsia" w:ascii="Times New Roman" w:hAnsi="Times New Roman" w:eastAsia="方正小标宋简体" w:cs="方正小标宋简体"/>
              <w:sz w:val="32"/>
              <w:szCs w:val="32"/>
              <w:highlight w:val="none"/>
            </w:rPr>
            <w:t>部门决算情况说明</w:t>
          </w:r>
          <w:r>
            <w:rPr>
              <w:sz w:val="32"/>
              <w:szCs w:val="32"/>
            </w:rPr>
            <w:tab/>
          </w:r>
          <w:r>
            <w:rPr>
              <w:sz w:val="32"/>
              <w:szCs w:val="32"/>
            </w:rPr>
            <w:fldChar w:fldCharType="begin"/>
          </w:r>
          <w:r>
            <w:rPr>
              <w:sz w:val="32"/>
              <w:szCs w:val="32"/>
            </w:rPr>
            <w:instrText xml:space="preserve"> PAGEREF _Toc22077 \h </w:instrText>
          </w:r>
          <w:r>
            <w:rPr>
              <w:sz w:val="32"/>
              <w:szCs w:val="32"/>
            </w:rPr>
            <w:fldChar w:fldCharType="separate"/>
          </w:r>
          <w:r>
            <w:rPr>
              <w:sz w:val="32"/>
              <w:szCs w:val="32"/>
            </w:rPr>
            <w:t>6</w:t>
          </w:r>
          <w:r>
            <w:rPr>
              <w:sz w:val="32"/>
              <w:szCs w:val="32"/>
            </w:rPr>
            <w:fldChar w:fldCharType="end"/>
          </w:r>
          <w:r>
            <w:rPr>
              <w:rFonts w:hint="eastAsia" w:ascii="Times New Roman" w:hAnsi="Times New Roman" w:eastAsia="宋体" w:cs="Times New Roman"/>
              <w:kern w:val="2"/>
              <w:sz w:val="32"/>
              <w:szCs w:val="32"/>
              <w:lang w:val="en-US" w:eastAsia="zh-CN" w:bidi="ar-SA"/>
            </w:rPr>
            <w:fldChar w:fldCharType="end"/>
          </w:r>
        </w:p>
        <w:p w14:paraId="6B366E86">
          <w:pPr>
            <w:pStyle w:val="15"/>
            <w:tabs>
              <w:tab w:val="right" w:leader="dot" w:pos="8306"/>
              <w:tab w:val="clear" w:pos="8296"/>
            </w:tabs>
            <w:rPr>
              <w:sz w:val="32"/>
              <w:szCs w:val="32"/>
            </w:rPr>
          </w:pPr>
          <w:r>
            <w:rPr>
              <w:rFonts w:hint="eastAsia" w:ascii="Times New Roman" w:hAnsi="Times New Roman" w:eastAsia="宋体" w:cs="Times New Roman"/>
              <w:kern w:val="2"/>
              <w:sz w:val="32"/>
              <w:szCs w:val="32"/>
              <w:lang w:val="en-US" w:eastAsia="zh-CN" w:bidi="ar-SA"/>
            </w:rPr>
            <w:fldChar w:fldCharType="begin"/>
          </w:r>
          <w:r>
            <w:rPr>
              <w:rFonts w:hint="eastAsia" w:ascii="Times New Roman" w:hAnsi="Times New Roman" w:eastAsia="宋体" w:cs="Times New Roman"/>
              <w:kern w:val="2"/>
              <w:sz w:val="32"/>
              <w:szCs w:val="32"/>
              <w:lang w:val="en-US" w:eastAsia="zh-CN" w:bidi="ar-SA"/>
            </w:rPr>
            <w:instrText xml:space="preserve"> HYPERLINK \l _Toc7453 </w:instrText>
          </w:r>
          <w:r>
            <w:rPr>
              <w:rFonts w:hint="eastAsia" w:ascii="Times New Roman" w:hAnsi="Times New Roman" w:eastAsia="宋体" w:cs="Times New Roman"/>
              <w:kern w:val="2"/>
              <w:sz w:val="32"/>
              <w:szCs w:val="32"/>
              <w:lang w:val="en-US" w:eastAsia="zh-CN" w:bidi="ar-SA"/>
            </w:rPr>
            <w:fldChar w:fldCharType="separate"/>
          </w:r>
          <w:r>
            <w:rPr>
              <w:rFonts w:hint="eastAsia" w:ascii="Times New Roman" w:hAnsi="Times New Roman" w:eastAsia="黑体"/>
              <w:sz w:val="32"/>
              <w:szCs w:val="32"/>
              <w:highlight w:val="none"/>
              <w:lang w:eastAsia="zh-CN"/>
            </w:rPr>
            <w:t>一、</w:t>
          </w:r>
          <w:r>
            <w:rPr>
              <w:rFonts w:hint="eastAsia" w:ascii="Times New Roman" w:hAnsi="Times New Roman" w:eastAsia="黑体"/>
              <w:sz w:val="32"/>
              <w:szCs w:val="32"/>
              <w:highlight w:val="none"/>
            </w:rPr>
            <w:t>收入支出决算总体情况说明</w:t>
          </w:r>
          <w:r>
            <w:rPr>
              <w:sz w:val="32"/>
              <w:szCs w:val="32"/>
            </w:rPr>
            <w:tab/>
          </w:r>
          <w:r>
            <w:rPr>
              <w:sz w:val="32"/>
              <w:szCs w:val="32"/>
            </w:rPr>
            <w:fldChar w:fldCharType="begin"/>
          </w:r>
          <w:r>
            <w:rPr>
              <w:sz w:val="32"/>
              <w:szCs w:val="32"/>
            </w:rPr>
            <w:instrText xml:space="preserve"> PAGEREF _Toc7453 \h </w:instrText>
          </w:r>
          <w:r>
            <w:rPr>
              <w:sz w:val="32"/>
              <w:szCs w:val="32"/>
            </w:rPr>
            <w:fldChar w:fldCharType="separate"/>
          </w:r>
          <w:r>
            <w:rPr>
              <w:sz w:val="32"/>
              <w:szCs w:val="32"/>
            </w:rPr>
            <w:t>6</w:t>
          </w:r>
          <w:r>
            <w:rPr>
              <w:sz w:val="32"/>
              <w:szCs w:val="32"/>
            </w:rPr>
            <w:fldChar w:fldCharType="end"/>
          </w:r>
          <w:r>
            <w:rPr>
              <w:rFonts w:hint="eastAsia" w:ascii="Times New Roman" w:hAnsi="Times New Roman" w:eastAsia="宋体" w:cs="Times New Roman"/>
              <w:kern w:val="2"/>
              <w:sz w:val="32"/>
              <w:szCs w:val="32"/>
              <w:lang w:val="en-US" w:eastAsia="zh-CN" w:bidi="ar-SA"/>
            </w:rPr>
            <w:fldChar w:fldCharType="end"/>
          </w:r>
        </w:p>
        <w:p w14:paraId="19587C9D">
          <w:pPr>
            <w:pStyle w:val="15"/>
            <w:tabs>
              <w:tab w:val="right" w:leader="dot" w:pos="8306"/>
              <w:tab w:val="clear" w:pos="8296"/>
            </w:tabs>
            <w:rPr>
              <w:sz w:val="32"/>
              <w:szCs w:val="32"/>
            </w:rPr>
          </w:pPr>
          <w:r>
            <w:rPr>
              <w:rFonts w:hint="eastAsia" w:ascii="Times New Roman" w:hAnsi="Times New Roman" w:eastAsia="宋体" w:cs="Times New Roman"/>
              <w:kern w:val="2"/>
              <w:sz w:val="32"/>
              <w:szCs w:val="32"/>
              <w:lang w:val="en-US" w:eastAsia="zh-CN" w:bidi="ar-SA"/>
            </w:rPr>
            <w:fldChar w:fldCharType="begin"/>
          </w:r>
          <w:r>
            <w:rPr>
              <w:rFonts w:hint="eastAsia" w:ascii="Times New Roman" w:hAnsi="Times New Roman" w:eastAsia="宋体" w:cs="Times New Roman"/>
              <w:kern w:val="2"/>
              <w:sz w:val="32"/>
              <w:szCs w:val="32"/>
              <w:lang w:val="en-US" w:eastAsia="zh-CN" w:bidi="ar-SA"/>
            </w:rPr>
            <w:instrText xml:space="preserve"> HYPERLINK \l _Toc17969 </w:instrText>
          </w:r>
          <w:r>
            <w:rPr>
              <w:rFonts w:hint="eastAsia" w:ascii="Times New Roman" w:hAnsi="Times New Roman" w:eastAsia="宋体" w:cs="Times New Roman"/>
              <w:kern w:val="2"/>
              <w:sz w:val="32"/>
              <w:szCs w:val="32"/>
              <w:lang w:val="en-US" w:eastAsia="zh-CN" w:bidi="ar-SA"/>
            </w:rPr>
            <w:fldChar w:fldCharType="separate"/>
          </w:r>
          <w:r>
            <w:rPr>
              <w:rFonts w:hint="eastAsia" w:ascii="Times New Roman" w:hAnsi="Times New Roman" w:eastAsia="黑体"/>
              <w:sz w:val="32"/>
              <w:szCs w:val="32"/>
              <w:highlight w:val="none"/>
              <w:lang w:eastAsia="zh-CN"/>
            </w:rPr>
            <w:t>二、收入决算情况说明</w:t>
          </w:r>
          <w:r>
            <w:rPr>
              <w:sz w:val="32"/>
              <w:szCs w:val="32"/>
            </w:rPr>
            <w:tab/>
          </w:r>
          <w:r>
            <w:rPr>
              <w:sz w:val="32"/>
              <w:szCs w:val="32"/>
            </w:rPr>
            <w:fldChar w:fldCharType="begin"/>
          </w:r>
          <w:r>
            <w:rPr>
              <w:sz w:val="32"/>
              <w:szCs w:val="32"/>
            </w:rPr>
            <w:instrText xml:space="preserve"> PAGEREF _Toc17969 \h </w:instrText>
          </w:r>
          <w:r>
            <w:rPr>
              <w:sz w:val="32"/>
              <w:szCs w:val="32"/>
            </w:rPr>
            <w:fldChar w:fldCharType="separate"/>
          </w:r>
          <w:r>
            <w:rPr>
              <w:sz w:val="32"/>
              <w:szCs w:val="32"/>
            </w:rPr>
            <w:t>6</w:t>
          </w:r>
          <w:r>
            <w:rPr>
              <w:sz w:val="32"/>
              <w:szCs w:val="32"/>
            </w:rPr>
            <w:fldChar w:fldCharType="end"/>
          </w:r>
          <w:r>
            <w:rPr>
              <w:rFonts w:hint="eastAsia" w:ascii="Times New Roman" w:hAnsi="Times New Roman" w:eastAsia="宋体" w:cs="Times New Roman"/>
              <w:kern w:val="2"/>
              <w:sz w:val="32"/>
              <w:szCs w:val="32"/>
              <w:lang w:val="en-US" w:eastAsia="zh-CN" w:bidi="ar-SA"/>
            </w:rPr>
            <w:fldChar w:fldCharType="end"/>
          </w:r>
        </w:p>
        <w:p w14:paraId="193918F9">
          <w:pPr>
            <w:pStyle w:val="15"/>
            <w:tabs>
              <w:tab w:val="right" w:leader="dot" w:pos="8306"/>
              <w:tab w:val="clear" w:pos="8296"/>
            </w:tabs>
            <w:rPr>
              <w:sz w:val="32"/>
              <w:szCs w:val="32"/>
            </w:rPr>
          </w:pPr>
          <w:r>
            <w:rPr>
              <w:rFonts w:hint="eastAsia" w:ascii="Times New Roman" w:hAnsi="Times New Roman" w:eastAsia="宋体" w:cs="Times New Roman"/>
              <w:kern w:val="2"/>
              <w:sz w:val="32"/>
              <w:szCs w:val="32"/>
              <w:lang w:val="en-US" w:eastAsia="zh-CN" w:bidi="ar-SA"/>
            </w:rPr>
            <w:fldChar w:fldCharType="begin"/>
          </w:r>
          <w:r>
            <w:rPr>
              <w:rFonts w:hint="eastAsia" w:ascii="Times New Roman" w:hAnsi="Times New Roman" w:eastAsia="宋体" w:cs="Times New Roman"/>
              <w:kern w:val="2"/>
              <w:sz w:val="32"/>
              <w:szCs w:val="32"/>
              <w:lang w:val="en-US" w:eastAsia="zh-CN" w:bidi="ar-SA"/>
            </w:rPr>
            <w:instrText xml:space="preserve"> HYPERLINK \l _Toc15282 </w:instrText>
          </w:r>
          <w:r>
            <w:rPr>
              <w:rFonts w:hint="eastAsia" w:ascii="Times New Roman" w:hAnsi="Times New Roman" w:eastAsia="宋体" w:cs="Times New Roman"/>
              <w:kern w:val="2"/>
              <w:sz w:val="32"/>
              <w:szCs w:val="32"/>
              <w:lang w:val="en-US" w:eastAsia="zh-CN" w:bidi="ar-SA"/>
            </w:rPr>
            <w:fldChar w:fldCharType="separate"/>
          </w:r>
          <w:r>
            <w:rPr>
              <w:rFonts w:hint="eastAsia" w:ascii="Times New Roman" w:hAnsi="Times New Roman" w:eastAsia="黑体"/>
              <w:sz w:val="32"/>
              <w:szCs w:val="32"/>
              <w:highlight w:val="none"/>
              <w:lang w:eastAsia="zh-CN"/>
            </w:rPr>
            <w:t>三、</w:t>
          </w:r>
          <w:r>
            <w:rPr>
              <w:rFonts w:hint="eastAsia" w:ascii="Times New Roman" w:hAnsi="Times New Roman" w:eastAsia="黑体"/>
              <w:sz w:val="32"/>
              <w:szCs w:val="32"/>
              <w:highlight w:val="none"/>
            </w:rPr>
            <w:t>支出决算情况说明</w:t>
          </w:r>
          <w:r>
            <w:rPr>
              <w:sz w:val="32"/>
              <w:szCs w:val="32"/>
            </w:rPr>
            <w:tab/>
          </w:r>
          <w:r>
            <w:rPr>
              <w:sz w:val="32"/>
              <w:szCs w:val="32"/>
            </w:rPr>
            <w:fldChar w:fldCharType="begin"/>
          </w:r>
          <w:r>
            <w:rPr>
              <w:sz w:val="32"/>
              <w:szCs w:val="32"/>
            </w:rPr>
            <w:instrText xml:space="preserve"> PAGEREF _Toc15282 \h </w:instrText>
          </w:r>
          <w:r>
            <w:rPr>
              <w:sz w:val="32"/>
              <w:szCs w:val="32"/>
            </w:rPr>
            <w:fldChar w:fldCharType="separate"/>
          </w:r>
          <w:r>
            <w:rPr>
              <w:sz w:val="32"/>
              <w:szCs w:val="32"/>
            </w:rPr>
            <w:t>7</w:t>
          </w:r>
          <w:r>
            <w:rPr>
              <w:sz w:val="32"/>
              <w:szCs w:val="32"/>
            </w:rPr>
            <w:fldChar w:fldCharType="end"/>
          </w:r>
          <w:r>
            <w:rPr>
              <w:rFonts w:hint="eastAsia" w:ascii="Times New Roman" w:hAnsi="Times New Roman" w:eastAsia="宋体" w:cs="Times New Roman"/>
              <w:kern w:val="2"/>
              <w:sz w:val="32"/>
              <w:szCs w:val="32"/>
              <w:lang w:val="en-US" w:eastAsia="zh-CN" w:bidi="ar-SA"/>
            </w:rPr>
            <w:fldChar w:fldCharType="end"/>
          </w:r>
        </w:p>
        <w:p w14:paraId="14FEF927">
          <w:pPr>
            <w:pStyle w:val="15"/>
            <w:tabs>
              <w:tab w:val="right" w:leader="dot" w:pos="8306"/>
              <w:tab w:val="clear" w:pos="8296"/>
            </w:tabs>
            <w:rPr>
              <w:sz w:val="32"/>
              <w:szCs w:val="32"/>
            </w:rPr>
          </w:pPr>
          <w:r>
            <w:rPr>
              <w:rFonts w:hint="eastAsia" w:ascii="Times New Roman" w:hAnsi="Times New Roman" w:eastAsia="宋体" w:cs="Times New Roman"/>
              <w:kern w:val="2"/>
              <w:sz w:val="32"/>
              <w:szCs w:val="32"/>
              <w:lang w:val="en-US" w:eastAsia="zh-CN" w:bidi="ar-SA"/>
            </w:rPr>
            <w:fldChar w:fldCharType="begin"/>
          </w:r>
          <w:r>
            <w:rPr>
              <w:rFonts w:hint="eastAsia" w:ascii="Times New Roman" w:hAnsi="Times New Roman" w:eastAsia="宋体" w:cs="Times New Roman"/>
              <w:kern w:val="2"/>
              <w:sz w:val="32"/>
              <w:szCs w:val="32"/>
              <w:lang w:val="en-US" w:eastAsia="zh-CN" w:bidi="ar-SA"/>
            </w:rPr>
            <w:instrText xml:space="preserve"> HYPERLINK \l _Toc1286 </w:instrText>
          </w:r>
          <w:r>
            <w:rPr>
              <w:rFonts w:hint="eastAsia" w:ascii="Times New Roman" w:hAnsi="Times New Roman" w:eastAsia="宋体" w:cs="Times New Roman"/>
              <w:kern w:val="2"/>
              <w:sz w:val="32"/>
              <w:szCs w:val="32"/>
              <w:lang w:val="en-US" w:eastAsia="zh-CN" w:bidi="ar-SA"/>
            </w:rPr>
            <w:fldChar w:fldCharType="separate"/>
          </w:r>
          <w:r>
            <w:rPr>
              <w:rFonts w:hint="eastAsia" w:ascii="Times New Roman" w:hAnsi="Times New Roman" w:eastAsia="黑体"/>
              <w:sz w:val="32"/>
              <w:szCs w:val="32"/>
              <w:highlight w:val="none"/>
            </w:rPr>
            <w:t>四、财政拨款收入支出决算总体情况说明</w:t>
          </w:r>
          <w:r>
            <w:rPr>
              <w:sz w:val="32"/>
              <w:szCs w:val="32"/>
            </w:rPr>
            <w:tab/>
          </w:r>
          <w:r>
            <w:rPr>
              <w:sz w:val="32"/>
              <w:szCs w:val="32"/>
            </w:rPr>
            <w:fldChar w:fldCharType="begin"/>
          </w:r>
          <w:r>
            <w:rPr>
              <w:sz w:val="32"/>
              <w:szCs w:val="32"/>
            </w:rPr>
            <w:instrText xml:space="preserve"> PAGEREF _Toc1286 \h </w:instrText>
          </w:r>
          <w:r>
            <w:rPr>
              <w:sz w:val="32"/>
              <w:szCs w:val="32"/>
            </w:rPr>
            <w:fldChar w:fldCharType="separate"/>
          </w:r>
          <w:r>
            <w:rPr>
              <w:sz w:val="32"/>
              <w:szCs w:val="32"/>
            </w:rPr>
            <w:t>8</w:t>
          </w:r>
          <w:r>
            <w:rPr>
              <w:sz w:val="32"/>
              <w:szCs w:val="32"/>
            </w:rPr>
            <w:fldChar w:fldCharType="end"/>
          </w:r>
          <w:r>
            <w:rPr>
              <w:rFonts w:hint="eastAsia" w:ascii="Times New Roman" w:hAnsi="Times New Roman" w:eastAsia="宋体" w:cs="Times New Roman"/>
              <w:kern w:val="2"/>
              <w:sz w:val="32"/>
              <w:szCs w:val="32"/>
              <w:lang w:val="en-US" w:eastAsia="zh-CN" w:bidi="ar-SA"/>
            </w:rPr>
            <w:fldChar w:fldCharType="end"/>
          </w:r>
        </w:p>
        <w:p w14:paraId="10CD1090">
          <w:pPr>
            <w:pStyle w:val="15"/>
            <w:tabs>
              <w:tab w:val="right" w:leader="dot" w:pos="8306"/>
              <w:tab w:val="clear" w:pos="8296"/>
            </w:tabs>
            <w:rPr>
              <w:sz w:val="32"/>
              <w:szCs w:val="32"/>
            </w:rPr>
          </w:pPr>
          <w:r>
            <w:rPr>
              <w:rFonts w:hint="eastAsia" w:ascii="Times New Roman" w:hAnsi="Times New Roman" w:eastAsia="宋体" w:cs="Times New Roman"/>
              <w:kern w:val="2"/>
              <w:sz w:val="32"/>
              <w:szCs w:val="32"/>
              <w:lang w:val="en-US" w:eastAsia="zh-CN" w:bidi="ar-SA"/>
            </w:rPr>
            <w:fldChar w:fldCharType="begin"/>
          </w:r>
          <w:r>
            <w:rPr>
              <w:rFonts w:hint="eastAsia" w:ascii="Times New Roman" w:hAnsi="Times New Roman" w:eastAsia="宋体" w:cs="Times New Roman"/>
              <w:kern w:val="2"/>
              <w:sz w:val="32"/>
              <w:szCs w:val="32"/>
              <w:lang w:val="en-US" w:eastAsia="zh-CN" w:bidi="ar-SA"/>
            </w:rPr>
            <w:instrText xml:space="preserve"> HYPERLINK \l _Toc1588 </w:instrText>
          </w:r>
          <w:r>
            <w:rPr>
              <w:rFonts w:hint="eastAsia" w:ascii="Times New Roman" w:hAnsi="Times New Roman" w:eastAsia="宋体" w:cs="Times New Roman"/>
              <w:kern w:val="2"/>
              <w:sz w:val="32"/>
              <w:szCs w:val="32"/>
              <w:lang w:val="en-US" w:eastAsia="zh-CN" w:bidi="ar-SA"/>
            </w:rPr>
            <w:fldChar w:fldCharType="separate"/>
          </w:r>
          <w:r>
            <w:rPr>
              <w:rFonts w:hint="eastAsia" w:ascii="Times New Roman" w:hAnsi="Times New Roman" w:eastAsia="黑体"/>
              <w:sz w:val="32"/>
              <w:szCs w:val="32"/>
              <w:highlight w:val="none"/>
            </w:rPr>
            <w:t>五、一般公共预算财政拨款支出决算情况说明</w:t>
          </w:r>
          <w:r>
            <w:rPr>
              <w:sz w:val="32"/>
              <w:szCs w:val="32"/>
            </w:rPr>
            <w:tab/>
          </w:r>
          <w:r>
            <w:rPr>
              <w:sz w:val="32"/>
              <w:szCs w:val="32"/>
            </w:rPr>
            <w:fldChar w:fldCharType="begin"/>
          </w:r>
          <w:r>
            <w:rPr>
              <w:sz w:val="32"/>
              <w:szCs w:val="32"/>
            </w:rPr>
            <w:instrText xml:space="preserve"> PAGEREF _Toc1588 \h </w:instrText>
          </w:r>
          <w:r>
            <w:rPr>
              <w:sz w:val="32"/>
              <w:szCs w:val="32"/>
            </w:rPr>
            <w:fldChar w:fldCharType="separate"/>
          </w:r>
          <w:r>
            <w:rPr>
              <w:sz w:val="32"/>
              <w:szCs w:val="32"/>
            </w:rPr>
            <w:t>8</w:t>
          </w:r>
          <w:r>
            <w:rPr>
              <w:sz w:val="32"/>
              <w:szCs w:val="32"/>
            </w:rPr>
            <w:fldChar w:fldCharType="end"/>
          </w:r>
          <w:r>
            <w:rPr>
              <w:rFonts w:hint="eastAsia" w:ascii="Times New Roman" w:hAnsi="Times New Roman" w:eastAsia="宋体" w:cs="Times New Roman"/>
              <w:kern w:val="2"/>
              <w:sz w:val="32"/>
              <w:szCs w:val="32"/>
              <w:lang w:val="en-US" w:eastAsia="zh-CN" w:bidi="ar-SA"/>
            </w:rPr>
            <w:fldChar w:fldCharType="end"/>
          </w:r>
        </w:p>
        <w:p w14:paraId="00A5B1E5">
          <w:pPr>
            <w:pStyle w:val="15"/>
            <w:tabs>
              <w:tab w:val="right" w:leader="dot" w:pos="8306"/>
              <w:tab w:val="clear" w:pos="8296"/>
            </w:tabs>
            <w:rPr>
              <w:sz w:val="32"/>
              <w:szCs w:val="32"/>
            </w:rPr>
          </w:pPr>
          <w:r>
            <w:rPr>
              <w:rFonts w:hint="eastAsia" w:ascii="Times New Roman" w:hAnsi="Times New Roman" w:eastAsia="宋体" w:cs="Times New Roman"/>
              <w:kern w:val="2"/>
              <w:sz w:val="32"/>
              <w:szCs w:val="32"/>
              <w:lang w:val="en-US" w:eastAsia="zh-CN" w:bidi="ar-SA"/>
            </w:rPr>
            <w:fldChar w:fldCharType="begin"/>
          </w:r>
          <w:r>
            <w:rPr>
              <w:rFonts w:hint="eastAsia" w:ascii="Times New Roman" w:hAnsi="Times New Roman" w:eastAsia="宋体" w:cs="Times New Roman"/>
              <w:kern w:val="2"/>
              <w:sz w:val="32"/>
              <w:szCs w:val="32"/>
              <w:lang w:val="en-US" w:eastAsia="zh-CN" w:bidi="ar-SA"/>
            </w:rPr>
            <w:instrText xml:space="preserve"> HYPERLINK \l _Toc6937 </w:instrText>
          </w:r>
          <w:r>
            <w:rPr>
              <w:rFonts w:hint="eastAsia" w:ascii="Times New Roman" w:hAnsi="Times New Roman" w:eastAsia="宋体" w:cs="Times New Roman"/>
              <w:kern w:val="2"/>
              <w:sz w:val="32"/>
              <w:szCs w:val="32"/>
              <w:lang w:val="en-US" w:eastAsia="zh-CN" w:bidi="ar-SA"/>
            </w:rPr>
            <w:fldChar w:fldCharType="separate"/>
          </w:r>
          <w:r>
            <w:rPr>
              <w:rFonts w:hint="eastAsia" w:ascii="Times New Roman" w:hAnsi="Times New Roman" w:eastAsia="黑体"/>
              <w:sz w:val="32"/>
              <w:szCs w:val="32"/>
              <w:highlight w:val="none"/>
            </w:rPr>
            <w:t>六、一般公共预算财政拨款基本支出决算情况说明</w:t>
          </w:r>
          <w:r>
            <w:rPr>
              <w:sz w:val="32"/>
              <w:szCs w:val="32"/>
            </w:rPr>
            <w:tab/>
          </w:r>
          <w:r>
            <w:rPr>
              <w:sz w:val="32"/>
              <w:szCs w:val="32"/>
            </w:rPr>
            <w:fldChar w:fldCharType="begin"/>
          </w:r>
          <w:r>
            <w:rPr>
              <w:sz w:val="32"/>
              <w:szCs w:val="32"/>
            </w:rPr>
            <w:instrText xml:space="preserve"> PAGEREF _Toc6937 \h </w:instrText>
          </w:r>
          <w:r>
            <w:rPr>
              <w:sz w:val="32"/>
              <w:szCs w:val="32"/>
            </w:rPr>
            <w:fldChar w:fldCharType="separate"/>
          </w:r>
          <w:r>
            <w:rPr>
              <w:sz w:val="32"/>
              <w:szCs w:val="32"/>
            </w:rPr>
            <w:t>11</w:t>
          </w:r>
          <w:r>
            <w:rPr>
              <w:sz w:val="32"/>
              <w:szCs w:val="32"/>
            </w:rPr>
            <w:fldChar w:fldCharType="end"/>
          </w:r>
          <w:r>
            <w:rPr>
              <w:rFonts w:hint="eastAsia" w:ascii="Times New Roman" w:hAnsi="Times New Roman" w:eastAsia="宋体" w:cs="Times New Roman"/>
              <w:kern w:val="2"/>
              <w:sz w:val="32"/>
              <w:szCs w:val="32"/>
              <w:lang w:val="en-US" w:eastAsia="zh-CN" w:bidi="ar-SA"/>
            </w:rPr>
            <w:fldChar w:fldCharType="end"/>
          </w:r>
        </w:p>
        <w:p w14:paraId="4344BC9A">
          <w:pPr>
            <w:pStyle w:val="15"/>
            <w:tabs>
              <w:tab w:val="right" w:leader="dot" w:pos="8306"/>
              <w:tab w:val="clear" w:pos="8296"/>
            </w:tabs>
            <w:rPr>
              <w:sz w:val="32"/>
              <w:szCs w:val="32"/>
            </w:rPr>
          </w:pPr>
          <w:r>
            <w:rPr>
              <w:rFonts w:hint="eastAsia" w:ascii="Times New Roman" w:hAnsi="Times New Roman" w:eastAsia="宋体" w:cs="Times New Roman"/>
              <w:kern w:val="2"/>
              <w:sz w:val="32"/>
              <w:szCs w:val="32"/>
              <w:lang w:val="en-US" w:eastAsia="zh-CN" w:bidi="ar-SA"/>
            </w:rPr>
            <w:fldChar w:fldCharType="begin"/>
          </w:r>
          <w:r>
            <w:rPr>
              <w:rFonts w:hint="eastAsia" w:ascii="Times New Roman" w:hAnsi="Times New Roman" w:eastAsia="宋体" w:cs="Times New Roman"/>
              <w:kern w:val="2"/>
              <w:sz w:val="32"/>
              <w:szCs w:val="32"/>
              <w:lang w:val="en-US" w:eastAsia="zh-CN" w:bidi="ar-SA"/>
            </w:rPr>
            <w:instrText xml:space="preserve"> HYPERLINK \l _Toc17231 </w:instrText>
          </w:r>
          <w:r>
            <w:rPr>
              <w:rFonts w:hint="eastAsia" w:ascii="Times New Roman" w:hAnsi="Times New Roman" w:eastAsia="宋体" w:cs="Times New Roman"/>
              <w:kern w:val="2"/>
              <w:sz w:val="32"/>
              <w:szCs w:val="32"/>
              <w:lang w:val="en-US" w:eastAsia="zh-CN" w:bidi="ar-SA"/>
            </w:rPr>
            <w:fldChar w:fldCharType="separate"/>
          </w:r>
          <w:r>
            <w:rPr>
              <w:rFonts w:hint="eastAsia" w:ascii="Times New Roman" w:hAnsi="Times New Roman" w:eastAsia="黑体"/>
              <w:sz w:val="32"/>
              <w:szCs w:val="32"/>
              <w:highlight w:val="none"/>
            </w:rPr>
            <w:t>七、财政拨款“三公”经费支出决算情况说明</w:t>
          </w:r>
          <w:r>
            <w:rPr>
              <w:sz w:val="32"/>
              <w:szCs w:val="32"/>
            </w:rPr>
            <w:tab/>
          </w:r>
          <w:r>
            <w:rPr>
              <w:sz w:val="32"/>
              <w:szCs w:val="32"/>
            </w:rPr>
            <w:fldChar w:fldCharType="begin"/>
          </w:r>
          <w:r>
            <w:rPr>
              <w:sz w:val="32"/>
              <w:szCs w:val="32"/>
            </w:rPr>
            <w:instrText xml:space="preserve"> PAGEREF _Toc17231 \h </w:instrText>
          </w:r>
          <w:r>
            <w:rPr>
              <w:sz w:val="32"/>
              <w:szCs w:val="32"/>
            </w:rPr>
            <w:fldChar w:fldCharType="separate"/>
          </w:r>
          <w:r>
            <w:rPr>
              <w:sz w:val="32"/>
              <w:szCs w:val="32"/>
            </w:rPr>
            <w:t>12</w:t>
          </w:r>
          <w:r>
            <w:rPr>
              <w:sz w:val="32"/>
              <w:szCs w:val="32"/>
            </w:rPr>
            <w:fldChar w:fldCharType="end"/>
          </w:r>
          <w:r>
            <w:rPr>
              <w:rFonts w:hint="eastAsia" w:ascii="Times New Roman" w:hAnsi="Times New Roman" w:eastAsia="宋体" w:cs="Times New Roman"/>
              <w:kern w:val="2"/>
              <w:sz w:val="32"/>
              <w:szCs w:val="32"/>
              <w:lang w:val="en-US" w:eastAsia="zh-CN" w:bidi="ar-SA"/>
            </w:rPr>
            <w:fldChar w:fldCharType="end"/>
          </w:r>
        </w:p>
        <w:p w14:paraId="384FBC99">
          <w:pPr>
            <w:pStyle w:val="15"/>
            <w:tabs>
              <w:tab w:val="right" w:leader="dot" w:pos="8306"/>
              <w:tab w:val="clear" w:pos="8296"/>
            </w:tabs>
            <w:rPr>
              <w:sz w:val="32"/>
              <w:szCs w:val="32"/>
            </w:rPr>
          </w:pPr>
          <w:r>
            <w:rPr>
              <w:rFonts w:hint="eastAsia" w:ascii="Times New Roman" w:hAnsi="Times New Roman" w:eastAsia="宋体" w:cs="Times New Roman"/>
              <w:kern w:val="2"/>
              <w:sz w:val="32"/>
              <w:szCs w:val="32"/>
              <w:lang w:val="en-US" w:eastAsia="zh-CN" w:bidi="ar-SA"/>
            </w:rPr>
            <w:fldChar w:fldCharType="begin"/>
          </w:r>
          <w:r>
            <w:rPr>
              <w:rFonts w:hint="eastAsia" w:ascii="Times New Roman" w:hAnsi="Times New Roman" w:eastAsia="宋体" w:cs="Times New Roman"/>
              <w:kern w:val="2"/>
              <w:sz w:val="32"/>
              <w:szCs w:val="32"/>
              <w:lang w:val="en-US" w:eastAsia="zh-CN" w:bidi="ar-SA"/>
            </w:rPr>
            <w:instrText xml:space="preserve"> HYPERLINK \l _Toc131 </w:instrText>
          </w:r>
          <w:r>
            <w:rPr>
              <w:rFonts w:hint="eastAsia" w:ascii="Times New Roman" w:hAnsi="Times New Roman" w:eastAsia="宋体" w:cs="Times New Roman"/>
              <w:kern w:val="2"/>
              <w:sz w:val="32"/>
              <w:szCs w:val="32"/>
              <w:lang w:val="en-US" w:eastAsia="zh-CN" w:bidi="ar-SA"/>
            </w:rPr>
            <w:fldChar w:fldCharType="separate"/>
          </w:r>
          <w:r>
            <w:rPr>
              <w:rFonts w:hint="eastAsia" w:ascii="Times New Roman" w:hAnsi="Times New Roman" w:eastAsia="黑体"/>
              <w:sz w:val="32"/>
              <w:szCs w:val="32"/>
              <w:highlight w:val="none"/>
            </w:rPr>
            <w:t>八、政府性基金预算支出决算情况说明</w:t>
          </w:r>
          <w:r>
            <w:rPr>
              <w:sz w:val="32"/>
              <w:szCs w:val="32"/>
            </w:rPr>
            <w:tab/>
          </w:r>
          <w:r>
            <w:rPr>
              <w:sz w:val="32"/>
              <w:szCs w:val="32"/>
            </w:rPr>
            <w:fldChar w:fldCharType="begin"/>
          </w:r>
          <w:r>
            <w:rPr>
              <w:sz w:val="32"/>
              <w:szCs w:val="32"/>
            </w:rPr>
            <w:instrText xml:space="preserve"> PAGEREF _Toc131 \h </w:instrText>
          </w:r>
          <w:r>
            <w:rPr>
              <w:sz w:val="32"/>
              <w:szCs w:val="32"/>
            </w:rPr>
            <w:fldChar w:fldCharType="separate"/>
          </w:r>
          <w:r>
            <w:rPr>
              <w:sz w:val="32"/>
              <w:szCs w:val="32"/>
            </w:rPr>
            <w:t>13</w:t>
          </w:r>
          <w:r>
            <w:rPr>
              <w:sz w:val="32"/>
              <w:szCs w:val="32"/>
            </w:rPr>
            <w:fldChar w:fldCharType="end"/>
          </w:r>
          <w:r>
            <w:rPr>
              <w:rFonts w:hint="eastAsia" w:ascii="Times New Roman" w:hAnsi="Times New Roman" w:eastAsia="宋体" w:cs="Times New Roman"/>
              <w:kern w:val="2"/>
              <w:sz w:val="32"/>
              <w:szCs w:val="32"/>
              <w:lang w:val="en-US" w:eastAsia="zh-CN" w:bidi="ar-SA"/>
            </w:rPr>
            <w:fldChar w:fldCharType="end"/>
          </w:r>
        </w:p>
        <w:p w14:paraId="0C5209B1">
          <w:pPr>
            <w:pStyle w:val="15"/>
            <w:tabs>
              <w:tab w:val="right" w:leader="dot" w:pos="8306"/>
              <w:tab w:val="clear" w:pos="8296"/>
            </w:tabs>
            <w:rPr>
              <w:sz w:val="32"/>
              <w:szCs w:val="32"/>
            </w:rPr>
          </w:pPr>
          <w:r>
            <w:rPr>
              <w:rFonts w:hint="eastAsia" w:ascii="Times New Roman" w:hAnsi="Times New Roman" w:eastAsia="宋体" w:cs="Times New Roman"/>
              <w:kern w:val="2"/>
              <w:sz w:val="32"/>
              <w:szCs w:val="32"/>
              <w:lang w:val="en-US" w:eastAsia="zh-CN" w:bidi="ar-SA"/>
            </w:rPr>
            <w:fldChar w:fldCharType="begin"/>
          </w:r>
          <w:r>
            <w:rPr>
              <w:rFonts w:hint="eastAsia" w:ascii="Times New Roman" w:hAnsi="Times New Roman" w:eastAsia="宋体" w:cs="Times New Roman"/>
              <w:kern w:val="2"/>
              <w:sz w:val="32"/>
              <w:szCs w:val="32"/>
              <w:lang w:val="en-US" w:eastAsia="zh-CN" w:bidi="ar-SA"/>
            </w:rPr>
            <w:instrText xml:space="preserve"> HYPERLINK \l _Toc13798 </w:instrText>
          </w:r>
          <w:r>
            <w:rPr>
              <w:rFonts w:hint="eastAsia" w:ascii="Times New Roman" w:hAnsi="Times New Roman" w:eastAsia="宋体" w:cs="Times New Roman"/>
              <w:kern w:val="2"/>
              <w:sz w:val="32"/>
              <w:szCs w:val="32"/>
              <w:lang w:val="en-US" w:eastAsia="zh-CN" w:bidi="ar-SA"/>
            </w:rPr>
            <w:fldChar w:fldCharType="separate"/>
          </w:r>
          <w:r>
            <w:rPr>
              <w:rFonts w:hint="eastAsia" w:ascii="Times New Roman" w:hAnsi="Times New Roman" w:eastAsia="黑体"/>
              <w:sz w:val="32"/>
              <w:szCs w:val="32"/>
              <w:highlight w:val="none"/>
              <w:lang w:eastAsia="zh-CN"/>
            </w:rPr>
            <w:t>九、</w:t>
          </w:r>
          <w:r>
            <w:rPr>
              <w:rFonts w:hint="eastAsia" w:ascii="Times New Roman" w:hAnsi="Times New Roman" w:eastAsia="黑体"/>
              <w:sz w:val="32"/>
              <w:szCs w:val="32"/>
              <w:highlight w:val="none"/>
            </w:rPr>
            <w:t>国有资本经营预算支出决算情况说明</w:t>
          </w:r>
          <w:r>
            <w:rPr>
              <w:sz w:val="32"/>
              <w:szCs w:val="32"/>
            </w:rPr>
            <w:tab/>
          </w:r>
          <w:r>
            <w:rPr>
              <w:sz w:val="32"/>
              <w:szCs w:val="32"/>
            </w:rPr>
            <w:fldChar w:fldCharType="begin"/>
          </w:r>
          <w:r>
            <w:rPr>
              <w:sz w:val="32"/>
              <w:szCs w:val="32"/>
            </w:rPr>
            <w:instrText xml:space="preserve"> PAGEREF _Toc13798 \h </w:instrText>
          </w:r>
          <w:r>
            <w:rPr>
              <w:sz w:val="32"/>
              <w:szCs w:val="32"/>
            </w:rPr>
            <w:fldChar w:fldCharType="separate"/>
          </w:r>
          <w:r>
            <w:rPr>
              <w:sz w:val="32"/>
              <w:szCs w:val="32"/>
            </w:rPr>
            <w:t>13</w:t>
          </w:r>
          <w:r>
            <w:rPr>
              <w:sz w:val="32"/>
              <w:szCs w:val="32"/>
            </w:rPr>
            <w:fldChar w:fldCharType="end"/>
          </w:r>
          <w:r>
            <w:rPr>
              <w:rFonts w:hint="eastAsia" w:ascii="Times New Roman" w:hAnsi="Times New Roman" w:eastAsia="宋体" w:cs="Times New Roman"/>
              <w:kern w:val="2"/>
              <w:sz w:val="32"/>
              <w:szCs w:val="32"/>
              <w:lang w:val="en-US" w:eastAsia="zh-CN" w:bidi="ar-SA"/>
            </w:rPr>
            <w:fldChar w:fldCharType="end"/>
          </w:r>
        </w:p>
        <w:p w14:paraId="5A1B97EB">
          <w:pPr>
            <w:pStyle w:val="15"/>
            <w:tabs>
              <w:tab w:val="right" w:leader="dot" w:pos="8306"/>
              <w:tab w:val="clear" w:pos="8296"/>
            </w:tabs>
            <w:rPr>
              <w:sz w:val="32"/>
              <w:szCs w:val="32"/>
            </w:rPr>
          </w:pPr>
          <w:r>
            <w:rPr>
              <w:rFonts w:hint="eastAsia" w:ascii="Times New Roman" w:hAnsi="Times New Roman" w:eastAsia="宋体" w:cs="Times New Roman"/>
              <w:kern w:val="2"/>
              <w:sz w:val="32"/>
              <w:szCs w:val="32"/>
              <w:lang w:val="en-US" w:eastAsia="zh-CN" w:bidi="ar-SA"/>
            </w:rPr>
            <w:fldChar w:fldCharType="begin"/>
          </w:r>
          <w:r>
            <w:rPr>
              <w:rFonts w:hint="eastAsia" w:ascii="Times New Roman" w:hAnsi="Times New Roman" w:eastAsia="宋体" w:cs="Times New Roman"/>
              <w:kern w:val="2"/>
              <w:sz w:val="32"/>
              <w:szCs w:val="32"/>
              <w:lang w:val="en-US" w:eastAsia="zh-CN" w:bidi="ar-SA"/>
            </w:rPr>
            <w:instrText xml:space="preserve"> HYPERLINK \l _Toc16496 </w:instrText>
          </w:r>
          <w:r>
            <w:rPr>
              <w:rFonts w:hint="eastAsia" w:ascii="Times New Roman" w:hAnsi="Times New Roman" w:eastAsia="宋体" w:cs="Times New Roman"/>
              <w:kern w:val="2"/>
              <w:sz w:val="32"/>
              <w:szCs w:val="32"/>
              <w:lang w:val="en-US" w:eastAsia="zh-CN" w:bidi="ar-SA"/>
            </w:rPr>
            <w:fldChar w:fldCharType="separate"/>
          </w:r>
          <w:r>
            <w:rPr>
              <w:rFonts w:hint="eastAsia" w:ascii="Times New Roman" w:hAnsi="Times New Roman" w:eastAsia="黑体"/>
              <w:sz w:val="32"/>
              <w:szCs w:val="32"/>
              <w:highlight w:val="none"/>
              <w:lang w:eastAsia="zh-CN"/>
            </w:rPr>
            <w:t>十、</w:t>
          </w:r>
          <w:r>
            <w:rPr>
              <w:rFonts w:hint="eastAsia" w:ascii="Times New Roman" w:hAnsi="Times New Roman" w:eastAsia="黑体"/>
              <w:sz w:val="32"/>
              <w:szCs w:val="32"/>
              <w:highlight w:val="none"/>
            </w:rPr>
            <w:t>其他重要事项的情况说明</w:t>
          </w:r>
          <w:r>
            <w:rPr>
              <w:sz w:val="32"/>
              <w:szCs w:val="32"/>
            </w:rPr>
            <w:tab/>
          </w:r>
          <w:r>
            <w:rPr>
              <w:sz w:val="32"/>
              <w:szCs w:val="32"/>
            </w:rPr>
            <w:fldChar w:fldCharType="begin"/>
          </w:r>
          <w:r>
            <w:rPr>
              <w:sz w:val="32"/>
              <w:szCs w:val="32"/>
            </w:rPr>
            <w:instrText xml:space="preserve"> PAGEREF _Toc16496 \h </w:instrText>
          </w:r>
          <w:r>
            <w:rPr>
              <w:sz w:val="32"/>
              <w:szCs w:val="32"/>
            </w:rPr>
            <w:fldChar w:fldCharType="separate"/>
          </w:r>
          <w:r>
            <w:rPr>
              <w:sz w:val="32"/>
              <w:szCs w:val="32"/>
            </w:rPr>
            <w:t>13</w:t>
          </w:r>
          <w:r>
            <w:rPr>
              <w:sz w:val="32"/>
              <w:szCs w:val="32"/>
            </w:rPr>
            <w:fldChar w:fldCharType="end"/>
          </w:r>
          <w:r>
            <w:rPr>
              <w:rFonts w:hint="eastAsia" w:ascii="Times New Roman" w:hAnsi="Times New Roman" w:eastAsia="宋体" w:cs="Times New Roman"/>
              <w:kern w:val="2"/>
              <w:sz w:val="32"/>
              <w:szCs w:val="32"/>
              <w:lang w:val="en-US" w:eastAsia="zh-CN" w:bidi="ar-SA"/>
            </w:rPr>
            <w:fldChar w:fldCharType="end"/>
          </w:r>
        </w:p>
        <w:p w14:paraId="12373184">
          <w:pPr>
            <w:pStyle w:val="13"/>
            <w:tabs>
              <w:tab w:val="right" w:leader="dot" w:pos="8306"/>
              <w:tab w:val="clear" w:pos="8296"/>
            </w:tabs>
            <w:rPr>
              <w:rFonts w:hint="default"/>
              <w:sz w:val="32"/>
              <w:szCs w:val="32"/>
              <w:lang w:val="en-US"/>
            </w:rPr>
          </w:pPr>
          <w:r>
            <w:rPr>
              <w:rFonts w:hint="eastAsia" w:ascii="Times New Roman" w:hAnsi="Times New Roman" w:eastAsia="宋体" w:cs="Times New Roman"/>
              <w:kern w:val="2"/>
              <w:sz w:val="32"/>
              <w:szCs w:val="32"/>
              <w:lang w:val="en-US" w:eastAsia="zh-CN" w:bidi="ar-SA"/>
            </w:rPr>
            <w:fldChar w:fldCharType="begin"/>
          </w:r>
          <w:r>
            <w:rPr>
              <w:rFonts w:hint="eastAsia" w:ascii="Times New Roman" w:hAnsi="Times New Roman" w:eastAsia="宋体" w:cs="Times New Roman"/>
              <w:kern w:val="2"/>
              <w:sz w:val="32"/>
              <w:szCs w:val="32"/>
              <w:lang w:val="en-US" w:eastAsia="zh-CN" w:bidi="ar-SA"/>
            </w:rPr>
            <w:instrText xml:space="preserve"> HYPERLINK \l _Toc30880 </w:instrText>
          </w:r>
          <w:r>
            <w:rPr>
              <w:rFonts w:hint="eastAsia" w:ascii="Times New Roman" w:hAnsi="Times New Roman" w:eastAsia="宋体" w:cs="Times New Roman"/>
              <w:kern w:val="2"/>
              <w:sz w:val="32"/>
              <w:szCs w:val="32"/>
              <w:lang w:val="en-US" w:eastAsia="zh-CN" w:bidi="ar-SA"/>
            </w:rPr>
            <w:fldChar w:fldCharType="separate"/>
          </w:r>
          <w:r>
            <w:rPr>
              <w:rFonts w:hint="eastAsia" w:ascii="Times New Roman" w:hAnsi="Times New Roman" w:eastAsia="黑体"/>
              <w:sz w:val="32"/>
              <w:szCs w:val="32"/>
              <w:highlight w:val="none"/>
            </w:rPr>
            <w:t>第</w:t>
          </w:r>
          <w:r>
            <w:rPr>
              <w:rFonts w:hint="eastAsia" w:eastAsia="黑体"/>
              <w:sz w:val="32"/>
              <w:szCs w:val="32"/>
              <w:highlight w:val="none"/>
              <w:lang w:eastAsia="zh-CN"/>
            </w:rPr>
            <w:t>三</w:t>
          </w:r>
          <w:r>
            <w:rPr>
              <w:rFonts w:hint="eastAsia" w:ascii="Times New Roman" w:hAnsi="Times New Roman" w:eastAsia="黑体"/>
              <w:sz w:val="32"/>
              <w:szCs w:val="32"/>
              <w:highlight w:val="none"/>
            </w:rPr>
            <w:t>部分</w:t>
          </w:r>
          <w:r>
            <w:rPr>
              <w:rFonts w:hint="eastAsia" w:ascii="Times New Roman" w:hAnsi="Times New Roman" w:eastAsia="黑体"/>
              <w:sz w:val="32"/>
              <w:szCs w:val="32"/>
              <w:highlight w:val="none"/>
              <w:lang w:val="en-US" w:eastAsia="zh-CN"/>
            </w:rPr>
            <w:t xml:space="preserve"> </w:t>
          </w:r>
          <w:r>
            <w:rPr>
              <w:rFonts w:hint="eastAsia" w:eastAsia="黑体"/>
              <w:sz w:val="32"/>
              <w:szCs w:val="32"/>
              <w:highlight w:val="none"/>
              <w:lang w:val="en-US" w:eastAsia="zh-CN"/>
            </w:rPr>
            <w:t xml:space="preserve"> </w:t>
          </w:r>
          <w:r>
            <w:rPr>
              <w:rFonts w:hint="eastAsia" w:ascii="Times New Roman" w:hAnsi="Times New Roman" w:eastAsia="黑体"/>
              <w:sz w:val="32"/>
              <w:szCs w:val="32"/>
              <w:highlight w:val="none"/>
            </w:rPr>
            <w:t>名词解释</w:t>
          </w:r>
          <w:r>
            <w:rPr>
              <w:sz w:val="32"/>
              <w:szCs w:val="32"/>
            </w:rPr>
            <w:tab/>
          </w:r>
          <w:r>
            <w:rPr>
              <w:rFonts w:hint="eastAsia"/>
              <w:sz w:val="32"/>
              <w:szCs w:val="32"/>
              <w:lang w:val="en-US" w:eastAsia="zh-CN"/>
            </w:rPr>
            <w:t>1</w:t>
          </w:r>
          <w:r>
            <w:rPr>
              <w:rFonts w:hint="eastAsia" w:ascii="Times New Roman" w:hAnsi="Times New Roman" w:eastAsia="宋体" w:cs="Times New Roman"/>
              <w:kern w:val="2"/>
              <w:sz w:val="32"/>
              <w:szCs w:val="32"/>
              <w:lang w:val="en-US" w:eastAsia="zh-CN" w:bidi="ar-SA"/>
            </w:rPr>
            <w:fldChar w:fldCharType="end"/>
          </w:r>
          <w:r>
            <w:rPr>
              <w:rFonts w:hint="eastAsia" w:ascii="Times New Roman" w:hAnsi="Times New Roman" w:eastAsia="宋体" w:cs="Times New Roman"/>
              <w:kern w:val="2"/>
              <w:sz w:val="32"/>
              <w:szCs w:val="32"/>
              <w:lang w:val="en-US" w:eastAsia="zh-CN" w:bidi="ar-SA"/>
            </w:rPr>
            <w:t>5</w:t>
          </w:r>
        </w:p>
        <w:p w14:paraId="36A2185B">
          <w:pPr>
            <w:pStyle w:val="13"/>
            <w:tabs>
              <w:tab w:val="right" w:leader="dot" w:pos="8306"/>
              <w:tab w:val="clear" w:pos="8296"/>
            </w:tabs>
            <w:rPr>
              <w:rFonts w:hint="default"/>
              <w:sz w:val="32"/>
              <w:szCs w:val="32"/>
              <w:lang w:val="en-US"/>
            </w:rPr>
          </w:pPr>
          <w:r>
            <w:rPr>
              <w:rFonts w:hint="eastAsia" w:ascii="Times New Roman" w:hAnsi="Times New Roman" w:eastAsia="宋体" w:cs="Times New Roman"/>
              <w:kern w:val="2"/>
              <w:sz w:val="32"/>
              <w:szCs w:val="32"/>
              <w:lang w:val="en-US" w:eastAsia="zh-CN" w:bidi="ar-SA"/>
            </w:rPr>
            <w:fldChar w:fldCharType="begin"/>
          </w:r>
          <w:r>
            <w:rPr>
              <w:rFonts w:hint="eastAsia" w:ascii="Times New Roman" w:hAnsi="Times New Roman" w:eastAsia="宋体" w:cs="Times New Roman"/>
              <w:kern w:val="2"/>
              <w:sz w:val="32"/>
              <w:szCs w:val="32"/>
              <w:lang w:val="en-US" w:eastAsia="zh-CN" w:bidi="ar-SA"/>
            </w:rPr>
            <w:instrText xml:space="preserve"> HYPERLINK \l _Toc8795 </w:instrText>
          </w:r>
          <w:r>
            <w:rPr>
              <w:rFonts w:hint="eastAsia" w:ascii="Times New Roman" w:hAnsi="Times New Roman" w:eastAsia="宋体" w:cs="Times New Roman"/>
              <w:kern w:val="2"/>
              <w:sz w:val="32"/>
              <w:szCs w:val="32"/>
              <w:lang w:val="en-US" w:eastAsia="zh-CN" w:bidi="ar-SA"/>
            </w:rPr>
            <w:fldChar w:fldCharType="separate"/>
          </w:r>
          <w:r>
            <w:rPr>
              <w:rFonts w:hint="eastAsia" w:ascii="Times New Roman" w:hAnsi="Times New Roman" w:eastAsia="黑体"/>
              <w:sz w:val="32"/>
              <w:szCs w:val="32"/>
              <w:highlight w:val="none"/>
            </w:rPr>
            <w:t>第四部分</w:t>
          </w:r>
          <w:r>
            <w:rPr>
              <w:rFonts w:hint="eastAsia" w:ascii="Times New Roman" w:hAnsi="Times New Roman" w:eastAsia="黑体"/>
              <w:sz w:val="32"/>
              <w:szCs w:val="32"/>
              <w:highlight w:val="none"/>
              <w:lang w:val="en-US" w:eastAsia="zh-CN"/>
            </w:rPr>
            <w:t xml:space="preserve"> </w:t>
          </w:r>
          <w:r>
            <w:rPr>
              <w:rFonts w:hint="eastAsia" w:ascii="Times New Roman" w:hAnsi="Times New Roman" w:eastAsia="黑体"/>
              <w:sz w:val="32"/>
              <w:szCs w:val="32"/>
              <w:highlight w:val="none"/>
            </w:rPr>
            <w:t xml:space="preserve"> 附件</w:t>
          </w:r>
          <w:r>
            <w:rPr>
              <w:sz w:val="32"/>
              <w:szCs w:val="32"/>
            </w:rPr>
            <w:tab/>
          </w:r>
          <w:r>
            <w:rPr>
              <w:rFonts w:hint="eastAsia"/>
              <w:sz w:val="32"/>
              <w:szCs w:val="32"/>
              <w:lang w:val="en-US" w:eastAsia="zh-CN"/>
            </w:rPr>
            <w:t>2</w:t>
          </w:r>
          <w:r>
            <w:rPr>
              <w:rFonts w:hint="eastAsia" w:ascii="Times New Roman" w:hAnsi="Times New Roman" w:eastAsia="宋体" w:cs="Times New Roman"/>
              <w:kern w:val="2"/>
              <w:sz w:val="32"/>
              <w:szCs w:val="32"/>
              <w:lang w:val="en-US" w:eastAsia="zh-CN" w:bidi="ar-SA"/>
            </w:rPr>
            <w:fldChar w:fldCharType="end"/>
          </w:r>
          <w:r>
            <w:rPr>
              <w:rFonts w:hint="eastAsia" w:ascii="Times New Roman" w:hAnsi="Times New Roman" w:eastAsia="宋体" w:cs="Times New Roman"/>
              <w:kern w:val="2"/>
              <w:sz w:val="32"/>
              <w:szCs w:val="32"/>
              <w:lang w:val="en-US" w:eastAsia="zh-CN" w:bidi="ar-SA"/>
            </w:rPr>
            <w:t>7</w:t>
          </w:r>
        </w:p>
        <w:p w14:paraId="001FF45C">
          <w:pPr>
            <w:pStyle w:val="13"/>
            <w:tabs>
              <w:tab w:val="right" w:leader="dot" w:pos="8306"/>
              <w:tab w:val="clear" w:pos="8296"/>
            </w:tabs>
            <w:rPr>
              <w:rFonts w:hint="default" w:ascii="Times New Roman" w:hAnsi="Times New Roman" w:eastAsia="宋体" w:cs="Times New Roman"/>
              <w:kern w:val="2"/>
              <w:sz w:val="32"/>
              <w:szCs w:val="32"/>
              <w:lang w:val="en-US" w:eastAsia="zh-CN" w:bidi="ar-SA"/>
            </w:rPr>
          </w:pPr>
        </w:p>
        <w:p w14:paraId="46051B61">
          <w:pPr>
            <w:rPr>
              <w:rFonts w:hint="default"/>
              <w:lang w:val="en-US"/>
            </w:rPr>
          </w:pPr>
        </w:p>
        <w:p w14:paraId="4D0E6D77">
          <w:pPr>
            <w:rPr>
              <w:rFonts w:hint="eastAsia" w:ascii="Times New Roman" w:hAnsi="Times New Roman" w:eastAsia="黑体" w:cs="黑体"/>
              <w:color w:val="auto"/>
              <w:sz w:val="32"/>
              <w:szCs w:val="32"/>
              <w:highlight w:val="none"/>
            </w:rPr>
          </w:pPr>
          <w:r>
            <w:rPr>
              <w:rFonts w:hint="eastAsia" w:ascii="Times New Roman" w:hAnsi="Times New Roman" w:eastAsia="宋体" w:cs="Times New Roman"/>
              <w:kern w:val="2"/>
              <w:szCs w:val="32"/>
              <w:lang w:val="en-US" w:eastAsia="zh-CN" w:bidi="ar-SA"/>
            </w:rPr>
            <w:fldChar w:fldCharType="end"/>
          </w:r>
        </w:p>
      </w:sdtContent>
    </w:sdt>
    <w:p w14:paraId="6FFAB480">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outlineLvl w:val="9"/>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p>
    <w:p w14:paraId="6942AE00">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outlineLvl w:val="9"/>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二、收入决算表</w:t>
      </w:r>
    </w:p>
    <w:p w14:paraId="2366C3E9">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outlineLvl w:val="9"/>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三、支出决算表</w:t>
      </w:r>
    </w:p>
    <w:p w14:paraId="39BA86FD">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outlineLvl w:val="9"/>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四、财政拨款收入支出决算总表</w:t>
      </w:r>
    </w:p>
    <w:p w14:paraId="48151DA1">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outlineLvl w:val="9"/>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五、财政拨款支出决算明细表</w:t>
      </w:r>
    </w:p>
    <w:p w14:paraId="5BE3EFF0">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outlineLvl w:val="9"/>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p>
    <w:p w14:paraId="60A05C2F">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outlineLvl w:val="9"/>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七、一般公共预算财政拨款支出决算明细表</w:t>
      </w:r>
    </w:p>
    <w:p w14:paraId="6BC65FB5">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outlineLvl w:val="9"/>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八、一般公共预算财政拨款基本支出决算</w:t>
      </w:r>
      <w:r>
        <w:rPr>
          <w:rFonts w:hint="eastAsia" w:ascii="Times New Roman" w:hAnsi="Times New Roman" w:eastAsia="仿宋_GB2312" w:cs="仿宋_GB2312"/>
          <w:color w:val="auto"/>
          <w:sz w:val="32"/>
          <w:szCs w:val="32"/>
          <w:highlight w:val="none"/>
          <w:lang w:eastAsia="zh-CN"/>
        </w:rPr>
        <w:t>明细</w:t>
      </w:r>
      <w:r>
        <w:rPr>
          <w:rFonts w:hint="eastAsia" w:ascii="Times New Roman" w:hAnsi="Times New Roman" w:eastAsia="仿宋_GB2312" w:cs="仿宋_GB2312"/>
          <w:color w:val="auto"/>
          <w:sz w:val="32"/>
          <w:szCs w:val="32"/>
          <w:highlight w:val="none"/>
        </w:rPr>
        <w:t>表</w:t>
      </w:r>
    </w:p>
    <w:p w14:paraId="24D9BE76">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outlineLvl w:val="9"/>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九、一般公共预算财政拨款项目支出决算表</w:t>
      </w:r>
    </w:p>
    <w:p w14:paraId="67109C3E">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outlineLvl w:val="9"/>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十、政府性基金预算财政拨款收入支出决算表</w:t>
      </w:r>
    </w:p>
    <w:p w14:paraId="3638D4DD">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outlineLvl w:val="9"/>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十一、国有资本经营预算财政拨款收入支出决算表</w:t>
      </w:r>
    </w:p>
    <w:p w14:paraId="3D9236D8">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outlineLvl w:val="9"/>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十二、</w:t>
      </w:r>
      <w:r>
        <w:rPr>
          <w:rFonts w:hint="eastAsia" w:ascii="Times New Roman" w:hAnsi="Times New Roman" w:eastAsia="仿宋_GB2312" w:cs="仿宋_GB2312"/>
          <w:color w:val="auto"/>
          <w:sz w:val="32"/>
          <w:szCs w:val="32"/>
          <w:highlight w:val="none"/>
          <w:lang w:val="en-US" w:eastAsia="zh-CN"/>
        </w:rPr>
        <w:t>国有资本经营预算财政拨款支出决算表</w:t>
      </w:r>
    </w:p>
    <w:p w14:paraId="0E56B8CD">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outlineLvl w:val="9"/>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十三、财政拨款“三公”经费支出决算表</w:t>
      </w:r>
    </w:p>
    <w:p w14:paraId="5A4F71C2">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eastAsia="仿宋_GB2312" w:cs="仿宋_GB2312"/>
          <w:bCs/>
          <w:color w:val="auto"/>
          <w:kern w:val="44"/>
          <w:sz w:val="32"/>
          <w:szCs w:val="32"/>
          <w:highlight w:val="none"/>
        </w:rPr>
      </w:pPr>
      <w:bookmarkStart w:id="14" w:name="_Toc15377196"/>
      <w:bookmarkStart w:id="15" w:name="_Toc15396599"/>
      <w:r>
        <w:rPr>
          <w:rFonts w:hint="eastAsia" w:ascii="Times New Roman" w:hAnsi="Times New Roman" w:eastAsia="仿宋_GB2312" w:cs="仿宋_GB2312"/>
          <w:b/>
          <w:color w:val="auto"/>
          <w:sz w:val="32"/>
          <w:szCs w:val="32"/>
          <w:highlight w:val="none"/>
        </w:rPr>
        <w:br w:type="page"/>
      </w:r>
    </w:p>
    <w:p w14:paraId="2723B37B">
      <w:pPr>
        <w:pStyle w:val="3"/>
        <w:jc w:val="center"/>
        <w:rPr>
          <w:rStyle w:val="29"/>
          <w:rFonts w:hint="eastAsia" w:ascii="Times New Roman" w:hAnsi="Times New Roman" w:eastAsia="方正小标宋简体" w:cs="方正小标宋简体"/>
          <w:b/>
          <w:bCs w:val="0"/>
          <w:color w:val="auto"/>
          <w:highlight w:val="none"/>
        </w:rPr>
      </w:pPr>
      <w:bookmarkStart w:id="16" w:name="_Toc18539"/>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29"/>
          <w:rFonts w:hint="eastAsia" w:ascii="Times New Roman" w:hAnsi="Times New Roman" w:eastAsia="方正小标宋简体" w:cs="方正小标宋简体"/>
          <w:b w:val="0"/>
          <w:bCs w:val="0"/>
          <w:color w:val="auto"/>
          <w:highlight w:val="none"/>
        </w:rPr>
        <w:t>部门概况</w:t>
      </w:r>
      <w:bookmarkEnd w:id="14"/>
      <w:bookmarkEnd w:id="15"/>
      <w:bookmarkEnd w:id="16"/>
    </w:p>
    <w:p w14:paraId="1ABAE754">
      <w:pPr>
        <w:widowControl/>
        <w:jc w:val="left"/>
        <w:rPr>
          <w:rFonts w:ascii="Times New Roman" w:hAnsi="Times New Roman" w:eastAsia="黑体"/>
          <w:color w:val="auto"/>
          <w:sz w:val="32"/>
          <w:szCs w:val="32"/>
          <w:highlight w:val="none"/>
        </w:rPr>
      </w:pPr>
    </w:p>
    <w:p w14:paraId="1E10C6BD">
      <w:pPr>
        <w:pStyle w:val="4"/>
        <w:numPr>
          <w:ilvl w:val="0"/>
          <w:numId w:val="1"/>
        </w:numPr>
        <w:rPr>
          <w:rFonts w:hint="eastAsia" w:ascii="Times New Roman" w:hAnsi="Times New Roman" w:eastAsia="黑体"/>
          <w:b w:val="0"/>
          <w:color w:val="auto"/>
          <w:highlight w:val="none"/>
          <w:lang w:eastAsia="zh-CN"/>
        </w:rPr>
      </w:pPr>
      <w:bookmarkStart w:id="17" w:name="_Toc12466"/>
      <w:r>
        <w:rPr>
          <w:rFonts w:hint="eastAsia" w:ascii="Times New Roman" w:hAnsi="Times New Roman" w:eastAsia="黑体"/>
          <w:b w:val="0"/>
          <w:color w:val="auto"/>
          <w:highlight w:val="none"/>
          <w:lang w:eastAsia="zh-CN"/>
        </w:rPr>
        <w:t>部门职责</w:t>
      </w:r>
      <w:bookmarkEnd w:id="17"/>
    </w:p>
    <w:p w14:paraId="0CE94275">
      <w:pPr>
        <w:spacing w:line="720" w:lineRule="exact"/>
        <w:ind w:firstLine="600" w:firstLineChars="200"/>
        <w:rPr>
          <w:rFonts w:ascii="仿宋_GB2312" w:eastAsia="仿宋_GB2312" w:cs="仿宋_GB2312"/>
          <w:sz w:val="30"/>
          <w:szCs w:val="30"/>
        </w:rPr>
      </w:pPr>
      <w:r>
        <w:rPr>
          <w:rFonts w:hint="eastAsia" w:ascii="仿宋_GB2312" w:eastAsia="仿宋_GB2312" w:cs="仿宋_GB2312"/>
          <w:sz w:val="30"/>
          <w:szCs w:val="30"/>
        </w:rPr>
        <w:t>一是贯彻执行《中华人民共和国档案法》以及党和国家有关档案工作的方针、政策；对全县档案工作履行统筹规划、宏观管理；起草全县档案工作的规范性文件和规章草案，完善档案管理的政策和规章制度；监督、检查档案法律法规的贯彻执行，依法查处档案违法行为。</w:t>
      </w:r>
    </w:p>
    <w:p w14:paraId="47E44453">
      <w:pPr>
        <w:spacing w:line="720" w:lineRule="exact"/>
        <w:ind w:firstLine="600" w:firstLineChars="200"/>
        <w:rPr>
          <w:rFonts w:ascii="仿宋_GB2312" w:eastAsia="仿宋_GB2312" w:cs="仿宋_GB2312"/>
          <w:sz w:val="30"/>
          <w:szCs w:val="30"/>
        </w:rPr>
      </w:pPr>
      <w:r>
        <w:rPr>
          <w:rFonts w:hint="eastAsia" w:ascii="仿宋_GB2312" w:eastAsia="仿宋_GB2312" w:cs="仿宋_GB2312"/>
          <w:sz w:val="30"/>
          <w:szCs w:val="30"/>
        </w:rPr>
        <w:t>二是制定全县档案事业发展的中长期规划和年度计划并组织实施。</w:t>
      </w:r>
    </w:p>
    <w:p w14:paraId="56F74187">
      <w:pPr>
        <w:spacing w:line="720" w:lineRule="exact"/>
        <w:ind w:firstLine="600" w:firstLineChars="200"/>
        <w:rPr>
          <w:rFonts w:ascii="仿宋_GB2312" w:eastAsia="仿宋_GB2312" w:cs="仿宋_GB2312"/>
          <w:sz w:val="30"/>
          <w:szCs w:val="30"/>
        </w:rPr>
      </w:pPr>
      <w:r>
        <w:rPr>
          <w:rFonts w:hint="eastAsia" w:ascii="仿宋_GB2312" w:eastAsia="仿宋_GB2312" w:cs="仿宋_GB2312"/>
          <w:sz w:val="30"/>
          <w:szCs w:val="30"/>
        </w:rPr>
        <w:t>三是依法对全县区域内各类馆及机关、团体、企事业单位和其他组织的档案工作进行指导、监督、检查和协调。</w:t>
      </w:r>
    </w:p>
    <w:p w14:paraId="0D6ED853">
      <w:pPr>
        <w:spacing w:line="720" w:lineRule="exact"/>
        <w:ind w:firstLine="600" w:firstLineChars="200"/>
        <w:rPr>
          <w:rFonts w:ascii="仿宋_GB2312" w:eastAsia="仿宋_GB2312" w:cs="仿宋_GB2312"/>
          <w:sz w:val="30"/>
          <w:szCs w:val="30"/>
        </w:rPr>
      </w:pPr>
      <w:r>
        <w:rPr>
          <w:rFonts w:hint="eastAsia" w:ascii="仿宋_GB2312" w:eastAsia="仿宋_GB2312" w:cs="仿宋_GB2312"/>
          <w:sz w:val="30"/>
          <w:szCs w:val="30"/>
        </w:rPr>
        <w:t>四是组织指导全县档案理论、档案科研和档案宣传工作，逐步实现档案管理的标准化、科学化和现代化。</w:t>
      </w:r>
    </w:p>
    <w:p w14:paraId="4A2D2E69">
      <w:pPr>
        <w:spacing w:line="720" w:lineRule="exact"/>
        <w:ind w:firstLine="600" w:firstLineChars="200"/>
        <w:rPr>
          <w:rFonts w:ascii="仿宋_GB2312" w:eastAsia="仿宋_GB2312" w:cs="仿宋_GB2312"/>
          <w:sz w:val="30"/>
          <w:szCs w:val="30"/>
        </w:rPr>
      </w:pPr>
      <w:r>
        <w:rPr>
          <w:rFonts w:hint="eastAsia" w:ascii="仿宋_GB2312" w:eastAsia="仿宋_GB2312" w:cs="仿宋_GB2312"/>
          <w:sz w:val="30"/>
          <w:szCs w:val="30"/>
        </w:rPr>
        <w:t>五是负责全县档案人员的业务指导；指导全县档案人员队伍建设；负责全县档案专业技术职务评审工作的组织实施。</w:t>
      </w:r>
    </w:p>
    <w:p w14:paraId="1C1D74D0">
      <w:pPr>
        <w:spacing w:line="720" w:lineRule="exact"/>
        <w:ind w:firstLine="600" w:firstLineChars="200"/>
        <w:rPr>
          <w:rFonts w:ascii="仿宋_GB2312" w:eastAsia="仿宋_GB2312" w:cs="仿宋_GB2312"/>
          <w:sz w:val="30"/>
          <w:szCs w:val="30"/>
        </w:rPr>
      </w:pPr>
      <w:r>
        <w:rPr>
          <w:rFonts w:hint="eastAsia" w:ascii="仿宋_GB2312" w:eastAsia="仿宋_GB2312" w:cs="仿宋_GB2312"/>
          <w:sz w:val="30"/>
          <w:szCs w:val="30"/>
        </w:rPr>
        <w:t>六是依法保管、保护、鉴定和提供利用档案；依法向社会开放档案、编研、编辑、公布档案史料。</w:t>
      </w:r>
    </w:p>
    <w:p w14:paraId="072C4E42">
      <w:pPr>
        <w:numPr>
          <w:ilvl w:val="0"/>
          <w:numId w:val="0"/>
        </w:numPr>
        <w:rPr>
          <w:rFonts w:hint="eastAsia"/>
          <w:lang w:eastAsia="zh-CN"/>
        </w:rPr>
      </w:pPr>
    </w:p>
    <w:p w14:paraId="19815F9F">
      <w:pPr>
        <w:pStyle w:val="4"/>
        <w:rPr>
          <w:rStyle w:val="30"/>
          <w:rFonts w:ascii="Times New Roman" w:hAnsi="Times New Roman"/>
          <w:b w:val="0"/>
          <w:bCs w:val="0"/>
          <w:color w:val="auto"/>
          <w:highlight w:val="none"/>
        </w:rPr>
      </w:pPr>
      <w:bookmarkStart w:id="18" w:name="_Toc15396601"/>
      <w:bookmarkStart w:id="19" w:name="_Toc15377200"/>
      <w:bookmarkStart w:id="20" w:name="_Toc16671"/>
      <w:r>
        <w:rPr>
          <w:rFonts w:hint="eastAsia" w:ascii="Times New Roman" w:hAnsi="Times New Roman" w:eastAsia="黑体"/>
          <w:b w:val="0"/>
          <w:color w:val="auto"/>
          <w:highlight w:val="none"/>
        </w:rPr>
        <w:t>二、机</w:t>
      </w:r>
      <w:r>
        <w:rPr>
          <w:rStyle w:val="30"/>
          <w:rFonts w:hint="eastAsia" w:ascii="Times New Roman" w:hAnsi="Times New Roman" w:eastAsia="黑体"/>
          <w:b w:val="0"/>
          <w:bCs w:val="0"/>
          <w:color w:val="auto"/>
          <w:highlight w:val="none"/>
        </w:rPr>
        <w:t>构设置</w:t>
      </w:r>
      <w:bookmarkEnd w:id="18"/>
      <w:bookmarkEnd w:id="19"/>
      <w:bookmarkEnd w:id="20"/>
    </w:p>
    <w:p w14:paraId="40ABB4DF">
      <w:pPr>
        <w:spacing w:line="540" w:lineRule="exact"/>
        <w:ind w:firstLine="800" w:firstLineChars="250"/>
        <w:rPr>
          <w:rFonts w:ascii="Times New Roman" w:hAnsi="Times New Roman" w:eastAsia="仿宋"/>
          <w:color w:val="auto"/>
          <w:kern w:val="0"/>
          <w:sz w:val="32"/>
          <w:szCs w:val="32"/>
          <w:highlight w:val="none"/>
        </w:rPr>
      </w:pPr>
      <w:r>
        <w:rPr>
          <w:rFonts w:hint="eastAsia" w:ascii="仿宋_GB2312" w:hAnsi="仿宋_GB2312" w:eastAsia="仿宋_GB2312" w:cs="仿宋_GB2312"/>
          <w:color w:val="auto"/>
          <w:sz w:val="32"/>
          <w:szCs w:val="32"/>
          <w:highlight w:val="none"/>
        </w:rPr>
        <w:t>金川县档案馆</w:t>
      </w:r>
      <w:r>
        <w:rPr>
          <w:rFonts w:hint="eastAsia" w:ascii="仿宋_GB2312" w:eastAsia="仿宋_GB2312" w:cs="仿宋_GB2312"/>
          <w:sz w:val="30"/>
          <w:szCs w:val="30"/>
        </w:rPr>
        <w:t>为县委直属正科级事业单位，由县委办代管，保留参公管理。内设办公室、档案接收征集保管利用股、档案开发编辑信息技术股。人员编制数7人，年末实有在职7人，退休</w:t>
      </w:r>
      <w:r>
        <w:rPr>
          <w:rFonts w:hint="eastAsia" w:ascii="仿宋_GB2312" w:eastAsia="仿宋_GB2312" w:cs="仿宋_GB2312"/>
          <w:sz w:val="30"/>
          <w:szCs w:val="30"/>
          <w:lang w:val="en-US" w:eastAsia="zh-CN"/>
        </w:rPr>
        <w:t>5</w:t>
      </w:r>
      <w:r>
        <w:rPr>
          <w:rFonts w:hint="eastAsia" w:ascii="仿宋_GB2312" w:eastAsia="仿宋_GB2312" w:cs="仿宋_GB2312"/>
          <w:sz w:val="30"/>
          <w:szCs w:val="30"/>
        </w:rPr>
        <w:t>人</w:t>
      </w:r>
      <w:r>
        <w:rPr>
          <w:rFonts w:hint="eastAsia" w:ascii="仿宋_GB2312" w:eastAsia="仿宋_GB2312" w:cs="仿宋_GB2312"/>
          <w:sz w:val="30"/>
          <w:szCs w:val="30"/>
          <w:lang w:eastAsia="zh-CN"/>
        </w:rPr>
        <w:t>。</w:t>
      </w:r>
      <w:r>
        <w:rPr>
          <w:rFonts w:ascii="Times New Roman" w:hAnsi="Times New Roman" w:eastAsia="仿宋"/>
          <w:color w:val="auto"/>
          <w:sz w:val="32"/>
          <w:szCs w:val="32"/>
          <w:highlight w:val="none"/>
        </w:rPr>
        <w:br w:type="page"/>
      </w:r>
    </w:p>
    <w:p w14:paraId="497648BC">
      <w:pPr>
        <w:pStyle w:val="3"/>
        <w:jc w:val="center"/>
        <w:rPr>
          <w:rFonts w:hint="eastAsia" w:ascii="Times New Roman" w:hAnsi="Times New Roman" w:eastAsia="方正小标宋简体" w:cs="方正小标宋简体"/>
          <w:b w:val="0"/>
          <w:color w:val="auto"/>
          <w:highlight w:val="none"/>
        </w:rPr>
      </w:pPr>
      <w:bookmarkStart w:id="21" w:name="_Toc15377204"/>
      <w:bookmarkStart w:id="22" w:name="_Toc22077"/>
      <w:bookmarkStart w:id="23" w:name="_Toc15396602"/>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ascii="Times New Roman" w:hAnsi="Times New Roman" w:eastAsia="方正小标宋简体" w:cs="方正小标宋简体"/>
          <w:b w:val="0"/>
          <w:color w:val="auto"/>
          <w:highlight w:val="none"/>
          <w:lang w:val="en-US" w:eastAsia="zh-CN"/>
        </w:rPr>
        <w:t>2024年度</w:t>
      </w:r>
      <w:r>
        <w:rPr>
          <w:rFonts w:hint="eastAsia" w:ascii="Times New Roman" w:hAnsi="Times New Roman" w:eastAsia="方正小标宋简体" w:cs="方正小标宋简体"/>
          <w:b w:val="0"/>
          <w:color w:val="auto"/>
          <w:highlight w:val="none"/>
        </w:rPr>
        <w:t>部门决算情况说明</w:t>
      </w:r>
      <w:bookmarkEnd w:id="21"/>
      <w:bookmarkEnd w:id="22"/>
      <w:bookmarkEnd w:id="23"/>
    </w:p>
    <w:p w14:paraId="6DA96817">
      <w:pPr>
        <w:rPr>
          <w:rFonts w:ascii="Times New Roman" w:hAnsi="Times New Roman"/>
          <w:color w:val="auto"/>
          <w:highlight w:val="none"/>
        </w:rPr>
      </w:pPr>
    </w:p>
    <w:p w14:paraId="1BC4684D">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0"/>
          <w:rFonts w:hint="eastAsia" w:ascii="Times New Roman" w:hAnsi="Times New Roman" w:eastAsia="黑体"/>
          <w:b w:val="0"/>
          <w:color w:val="auto"/>
          <w:highlight w:val="none"/>
        </w:rPr>
      </w:pPr>
      <w:bookmarkStart w:id="24" w:name="_Toc15396603"/>
      <w:bookmarkStart w:id="25" w:name="_Toc15377205"/>
      <w:bookmarkStart w:id="26" w:name="_Toc7453"/>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30"/>
          <w:rFonts w:hint="eastAsia" w:ascii="Times New Roman" w:hAnsi="Times New Roman" w:eastAsia="黑体"/>
          <w:b w:val="0"/>
          <w:color w:val="auto"/>
          <w:highlight w:val="none"/>
        </w:rPr>
        <w:t>入支出决算总体情况说明</w:t>
      </w:r>
      <w:bookmarkEnd w:id="24"/>
      <w:bookmarkEnd w:id="25"/>
      <w:bookmarkEnd w:id="26"/>
    </w:p>
    <w:p w14:paraId="59B529FE">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lang w:eastAsia="zh-CN"/>
        </w:rPr>
      </w:pPr>
      <w:bookmarkStart w:id="27" w:name="_Toc27012"/>
      <w:bookmarkStart w:id="28" w:name="_Toc17194"/>
      <w:r>
        <w:rPr>
          <w:rFonts w:hint="eastAsia" w:ascii="Times New Roman" w:hAnsi="Times New Roman" w:eastAsia="仿宋_GB2312" w:cs="仿宋_GB2312"/>
          <w:color w:val="auto"/>
          <w:sz w:val="32"/>
          <w:szCs w:val="32"/>
          <w:highlight w:val="none"/>
          <w:lang w:eastAsia="zh-CN"/>
        </w:rPr>
        <w:t>2024年度收入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w:t>
      </w:r>
      <w:r>
        <w:rPr>
          <w:rFonts w:hint="eastAsia" w:ascii="Times New Roman" w:hAnsi="Times New Roman" w:eastAsia="仿宋_GB2312" w:cs="仿宋_GB2312"/>
          <w:color w:val="auto"/>
          <w:sz w:val="32"/>
          <w:szCs w:val="32"/>
          <w:highlight w:val="none"/>
          <w:lang w:eastAsia="zh-CN"/>
        </w:rPr>
        <w:t>均为</w:t>
      </w:r>
      <w:r>
        <w:rPr>
          <w:rFonts w:hint="eastAsia" w:ascii="仿宋_GB2312" w:hAnsi="仿宋_GB2312" w:eastAsia="仿宋_GB2312" w:cs="仿宋_GB2312"/>
          <w:sz w:val="32"/>
          <w:szCs w:val="32"/>
        </w:rPr>
        <w:t>174.63</w:t>
      </w:r>
      <w:r>
        <w:rPr>
          <w:rFonts w:hint="eastAsia" w:ascii="Times New Roman" w:hAnsi="Times New Roman" w:eastAsia="仿宋_GB2312" w:cs="仿宋_GB2312"/>
          <w:color w:val="auto"/>
          <w:sz w:val="32"/>
          <w:szCs w:val="32"/>
          <w:highlight w:val="none"/>
        </w:rPr>
        <w:t>万元。与</w:t>
      </w:r>
      <w:r>
        <w:rPr>
          <w:rFonts w:hint="eastAsia" w:ascii="Times New Roman" w:hAnsi="Times New Roman" w:eastAsia="仿宋_GB2312" w:cs="仿宋_GB2312"/>
          <w:color w:val="auto"/>
          <w:sz w:val="32"/>
          <w:szCs w:val="32"/>
          <w:highlight w:val="none"/>
          <w:lang w:eastAsia="zh-CN"/>
        </w:rPr>
        <w:t>202</w:t>
      </w:r>
      <w:r>
        <w:rPr>
          <w:rFonts w:hint="eastAsia" w:ascii="Times New Roman" w:hAnsi="Times New Roman" w:eastAsia="仿宋_GB2312" w:cs="仿宋_GB2312"/>
          <w:color w:val="auto"/>
          <w:sz w:val="32"/>
          <w:szCs w:val="32"/>
          <w:highlight w:val="none"/>
          <w:lang w:val="en-US" w:eastAsia="zh-CN"/>
        </w:rPr>
        <w:t>3</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eastAsia="zh-CN"/>
        </w:rPr>
        <w:t>度</w:t>
      </w:r>
      <w:r>
        <w:rPr>
          <w:rFonts w:hint="eastAsia" w:ascii="Times New Roman" w:hAnsi="Times New Roman" w:eastAsia="仿宋_GB2312" w:cs="仿宋_GB2312"/>
          <w:color w:val="auto"/>
          <w:sz w:val="32"/>
          <w:szCs w:val="32"/>
          <w:highlight w:val="none"/>
        </w:rPr>
        <w:t>相比，</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总计增加</w:t>
      </w:r>
      <w:r>
        <w:rPr>
          <w:rFonts w:hint="eastAsia" w:eastAsia="仿宋_GB2312" w:cs="仿宋_GB2312"/>
          <w:color w:val="auto"/>
          <w:sz w:val="32"/>
          <w:szCs w:val="32"/>
          <w:highlight w:val="none"/>
          <w:lang w:val="en-US" w:eastAsia="zh-CN"/>
        </w:rPr>
        <w:t>5.68</w:t>
      </w:r>
      <w:r>
        <w:rPr>
          <w:rFonts w:hint="eastAsia" w:ascii="Times New Roman" w:hAnsi="Times New Roman" w:eastAsia="仿宋_GB2312" w:cs="仿宋_GB2312"/>
          <w:color w:val="auto"/>
          <w:sz w:val="32"/>
          <w:szCs w:val="32"/>
          <w:highlight w:val="none"/>
        </w:rPr>
        <w:t>万元，增长</w:t>
      </w:r>
      <w:r>
        <w:rPr>
          <w:rFonts w:hint="eastAsia" w:eastAsia="仿宋_GB2312" w:cs="仿宋_GB2312"/>
          <w:color w:val="auto"/>
          <w:sz w:val="32"/>
          <w:szCs w:val="32"/>
          <w:highlight w:val="none"/>
          <w:lang w:val="en-US" w:eastAsia="zh-CN"/>
        </w:rPr>
        <w:t>3.36</w:t>
      </w:r>
      <w:r>
        <w:rPr>
          <w:rFonts w:hint="eastAsia" w:ascii="Times New Roman" w:hAnsi="Times New Roman" w:eastAsia="仿宋_GB2312" w:cs="仿宋_GB2312"/>
          <w:color w:val="auto"/>
          <w:sz w:val="32"/>
          <w:szCs w:val="32"/>
          <w:highlight w:val="none"/>
        </w:rPr>
        <w:t>%。主要变动原因是</w:t>
      </w:r>
      <w:r>
        <w:rPr>
          <w:rFonts w:hint="eastAsia" w:eastAsia="仿宋_GB2312" w:cs="仿宋_GB2312"/>
          <w:color w:val="auto"/>
          <w:sz w:val="32"/>
          <w:szCs w:val="32"/>
          <w:highlight w:val="none"/>
          <w:lang w:eastAsia="zh-CN"/>
        </w:rPr>
        <w:t>职工工资正常增加。</w:t>
      </w:r>
      <w:bookmarkEnd w:id="27"/>
      <w:bookmarkEnd w:id="28"/>
    </w:p>
    <w:p w14:paraId="03C211F5">
      <w:pPr>
        <w:keepNext w:val="0"/>
        <w:keepLines w:val="0"/>
        <w:pageBreakBefore w:val="0"/>
        <w:widowControl w:val="0"/>
        <w:kinsoku/>
        <w:wordWrap/>
        <w:overflowPunct/>
        <w:topLinePunct w:val="0"/>
        <w:autoSpaceDE/>
        <w:autoSpaceDN/>
        <w:bidi w:val="0"/>
        <w:adjustRightInd/>
        <w:snapToGrid/>
        <w:ind w:firstLine="632" w:firstLineChars="200"/>
        <w:textAlignment w:val="auto"/>
        <w:rPr>
          <w:rFonts w:hint="eastAsia" w:ascii="Times New Roman" w:hAnsi="Times New Roman" w:eastAsia="仿宋_GB2312" w:cs="仿宋_GB2312"/>
          <w:color w:val="auto"/>
          <w:sz w:val="32"/>
          <w:szCs w:val="32"/>
          <w:highlight w:val="none"/>
        </w:rPr>
      </w:pPr>
      <w:r>
        <w:rPr>
          <w:rFonts w:hint="eastAsia" w:ascii="仿宋_GB2312" w:eastAsia="仿宋_GB2312"/>
          <w:spacing w:val="-2"/>
          <w:sz w:val="32"/>
          <w:szCs w:val="32"/>
          <w:lang w:eastAsia="zh-CN"/>
        </w:rPr>
        <w:drawing>
          <wp:anchor distT="0" distB="0" distL="114300" distR="114300" simplePos="0" relativeHeight="251659264" behindDoc="0" locked="0" layoutInCell="1" allowOverlap="1">
            <wp:simplePos x="0" y="0"/>
            <wp:positionH relativeFrom="column">
              <wp:posOffset>-4445</wp:posOffset>
            </wp:positionH>
            <wp:positionV relativeFrom="paragraph">
              <wp:posOffset>92075</wp:posOffset>
            </wp:positionV>
            <wp:extent cx="5256530" cy="2988310"/>
            <wp:effectExtent l="5080" t="4445" r="15240" b="17145"/>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14:paraId="6E73E70B">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bookmarkStart w:id="29" w:name="_Toc15396604"/>
      <w:bookmarkStart w:id="30" w:name="_Toc15377206"/>
      <w:bookmarkStart w:id="31" w:name="_Toc17969"/>
      <w:r>
        <w:rPr>
          <w:rFonts w:hint="eastAsia" w:ascii="Times New Roman" w:hAnsi="Times New Roman" w:eastAsia="黑体"/>
          <w:color w:val="auto"/>
          <w:sz w:val="32"/>
          <w:szCs w:val="32"/>
          <w:highlight w:val="none"/>
          <w:lang w:eastAsia="zh-CN"/>
        </w:rPr>
        <w:t>二、收入决算情况说明</w:t>
      </w:r>
      <w:bookmarkEnd w:id="29"/>
      <w:bookmarkEnd w:id="30"/>
      <w:bookmarkEnd w:id="31"/>
    </w:p>
    <w:p w14:paraId="391BC70F">
      <w:pPr>
        <w:ind w:firstLine="800" w:firstLineChars="250"/>
        <w:rPr>
          <w:rFonts w:hint="eastAsia" w:ascii="Times New Roman" w:hAnsi="Times New Roman"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2024年度本年收入合计</w:t>
      </w:r>
      <w:r>
        <w:rPr>
          <w:rFonts w:hint="eastAsia" w:ascii="仿宋_GB2312" w:hAnsi="仿宋_GB2312" w:eastAsia="仿宋_GB2312" w:cs="仿宋_GB2312"/>
          <w:sz w:val="32"/>
          <w:szCs w:val="32"/>
        </w:rPr>
        <w:t>174.63万元，其中：一般公共预算财政拨款收入174.63</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sz w:val="32"/>
          <w:szCs w:val="32"/>
          <w:highlight w:val="none"/>
          <w:lang w:eastAsia="zh-CN"/>
        </w:rPr>
        <w:t>%；政府性基金预算财政拨款收入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%；国有资本经营预算财政拨款收入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%；上级补助收入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%；事业收入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%；经营收入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%；附属单位上缴收入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%；其他收入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lang w:eastAsia="zh-CN"/>
        </w:rPr>
        <w:drawing>
          <wp:inline distT="0" distB="0" distL="114300" distR="114300">
            <wp:extent cx="5256530" cy="2988310"/>
            <wp:effectExtent l="5080" t="4445" r="15240" b="1714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CA4F0DC">
      <w:pPr>
        <w:ind w:firstLine="800" w:firstLineChars="250"/>
        <w:rPr>
          <w:rFonts w:hint="eastAsia" w:ascii="Times New Roman" w:hAnsi="Times New Roman" w:eastAsia="仿宋_GB2312" w:cs="仿宋_GB2312"/>
          <w:color w:val="auto"/>
          <w:sz w:val="32"/>
          <w:szCs w:val="32"/>
          <w:highlight w:val="none"/>
          <w:lang w:eastAsia="zh-CN"/>
        </w:rPr>
      </w:pPr>
    </w:p>
    <w:p w14:paraId="493BDC6B">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0"/>
          <w:rFonts w:hint="eastAsia" w:ascii="Times New Roman" w:hAnsi="Times New Roman" w:eastAsia="黑体"/>
          <w:b w:val="0"/>
          <w:color w:val="auto"/>
          <w:highlight w:val="none"/>
        </w:rPr>
      </w:pPr>
      <w:bookmarkStart w:id="32" w:name="_Toc15377207"/>
      <w:bookmarkStart w:id="33" w:name="_Toc15396605"/>
      <w:bookmarkStart w:id="34" w:name="_Toc15282"/>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30"/>
          <w:rFonts w:hint="eastAsia" w:ascii="Times New Roman" w:hAnsi="Times New Roman" w:eastAsia="黑体"/>
          <w:b w:val="0"/>
          <w:color w:val="auto"/>
          <w:highlight w:val="none"/>
        </w:rPr>
        <w:t>出决算情况说明</w:t>
      </w:r>
      <w:bookmarkEnd w:id="32"/>
      <w:bookmarkEnd w:id="33"/>
      <w:bookmarkEnd w:id="34"/>
    </w:p>
    <w:p w14:paraId="42B7D68B">
      <w:pPr>
        <w:ind w:firstLine="800" w:firstLineChars="250"/>
        <w:rPr>
          <w:rFonts w:hint="eastAsia" w:ascii="仿宋_GB2312" w:hAnsi="仿宋_GB2312"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drawing>
          <wp:anchor distT="0" distB="0" distL="114300" distR="114300" simplePos="0" relativeHeight="251660288" behindDoc="0" locked="0" layoutInCell="1" allowOverlap="1">
            <wp:simplePos x="0" y="0"/>
            <wp:positionH relativeFrom="column">
              <wp:posOffset>-10795</wp:posOffset>
            </wp:positionH>
            <wp:positionV relativeFrom="paragraph">
              <wp:posOffset>1737995</wp:posOffset>
            </wp:positionV>
            <wp:extent cx="5256530" cy="2988310"/>
            <wp:effectExtent l="5080" t="4445" r="15240" b="17145"/>
            <wp:wrapSquare wrapText="bothSides"/>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仿宋_GB2312" w:hAnsi="仿宋_GB2312" w:eastAsia="仿宋_GB2312" w:cs="仿宋_GB2312"/>
          <w:color w:val="auto"/>
          <w:sz w:val="32"/>
          <w:szCs w:val="32"/>
          <w:highlight w:val="none"/>
          <w:lang w:eastAsia="zh-CN"/>
        </w:rPr>
        <w:t>2024年度本年支出合计</w:t>
      </w:r>
      <w:r>
        <w:rPr>
          <w:rFonts w:hint="eastAsia" w:ascii="仿宋_GB2312" w:hAnsi="仿宋_GB2312" w:eastAsia="仿宋_GB2312" w:cs="仿宋_GB2312"/>
          <w:sz w:val="32"/>
          <w:szCs w:val="32"/>
        </w:rPr>
        <w:t>174.63</w:t>
      </w:r>
      <w:r>
        <w:rPr>
          <w:rFonts w:hint="eastAsia" w:ascii="仿宋_GB2312" w:hAnsi="仿宋_GB2312" w:eastAsia="仿宋_GB2312" w:cs="仿宋_GB2312"/>
          <w:color w:val="auto"/>
          <w:sz w:val="32"/>
          <w:szCs w:val="32"/>
          <w:highlight w:val="none"/>
          <w:lang w:eastAsia="zh-CN"/>
        </w:rPr>
        <w:t>万元，其中：基本支出</w:t>
      </w:r>
      <w:r>
        <w:rPr>
          <w:rFonts w:hint="eastAsia" w:ascii="仿宋_GB2312" w:hAnsi="仿宋_GB2312" w:eastAsia="仿宋_GB2312" w:cs="仿宋_GB2312"/>
          <w:sz w:val="32"/>
          <w:szCs w:val="32"/>
        </w:rPr>
        <w:t>174.37</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99.85</w:t>
      </w:r>
      <w:r>
        <w:rPr>
          <w:rFonts w:hint="eastAsia" w:ascii="仿宋_GB2312" w:hAnsi="仿宋_GB2312" w:eastAsia="仿宋_GB2312" w:cs="仿宋_GB2312"/>
          <w:color w:val="auto"/>
          <w:sz w:val="32"/>
          <w:szCs w:val="32"/>
          <w:highlight w:val="none"/>
          <w:lang w:eastAsia="zh-CN"/>
        </w:rPr>
        <w:t>%；项目支出</w:t>
      </w:r>
      <w:r>
        <w:rPr>
          <w:rFonts w:hint="eastAsia" w:ascii="仿宋_GB2312" w:hAnsi="仿宋_GB2312" w:eastAsia="仿宋_GB2312" w:cs="仿宋_GB2312"/>
          <w:sz w:val="32"/>
          <w:szCs w:val="32"/>
        </w:rPr>
        <w:t>0.26</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0.14</w:t>
      </w:r>
      <w:r>
        <w:rPr>
          <w:rFonts w:hint="eastAsia" w:ascii="仿宋_GB2312" w:hAnsi="仿宋_GB2312" w:eastAsia="仿宋_GB2312" w:cs="仿宋_GB2312"/>
          <w:color w:val="auto"/>
          <w:sz w:val="32"/>
          <w:szCs w:val="32"/>
          <w:highlight w:val="none"/>
          <w:lang w:eastAsia="zh-CN"/>
        </w:rPr>
        <w:t>%；上缴上级支出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%；经营支出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%；对附属单位补助支出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w:t>
      </w:r>
    </w:p>
    <w:p w14:paraId="686A1732">
      <w:pPr>
        <w:ind w:firstLine="800" w:firstLineChars="250"/>
        <w:rPr>
          <w:rFonts w:hint="eastAsia" w:ascii="仿宋_GB2312" w:hAnsi="仿宋_GB2312" w:eastAsia="仿宋_GB2312" w:cs="仿宋_GB2312"/>
          <w:color w:val="auto"/>
          <w:sz w:val="32"/>
          <w:szCs w:val="32"/>
          <w:highlight w:val="none"/>
          <w:lang w:eastAsia="zh-CN"/>
        </w:rPr>
      </w:pPr>
    </w:p>
    <w:p w14:paraId="13957CA6">
      <w:pPr>
        <w:ind w:firstLine="800" w:firstLineChars="250"/>
        <w:rPr>
          <w:rFonts w:hint="eastAsia" w:ascii="Times New Roman" w:hAnsi="Times New Roman" w:eastAsia="仿宋_GB2312" w:cs="仿宋_GB2312"/>
          <w:color w:val="auto"/>
          <w:sz w:val="32"/>
          <w:szCs w:val="32"/>
          <w:highlight w:val="none"/>
          <w:lang w:eastAsia="zh-CN"/>
        </w:rPr>
      </w:pPr>
    </w:p>
    <w:p w14:paraId="1A0804A3">
      <w:pPr>
        <w:spacing w:line="600" w:lineRule="exact"/>
        <w:ind w:firstLine="640" w:firstLineChars="200"/>
        <w:outlineLvl w:val="1"/>
        <w:rPr>
          <w:rStyle w:val="30"/>
          <w:rFonts w:ascii="Times New Roman" w:hAnsi="Times New Roman" w:eastAsia="黑体"/>
          <w:b w:val="0"/>
          <w:color w:val="auto"/>
          <w:highlight w:val="none"/>
        </w:rPr>
      </w:pPr>
      <w:bookmarkStart w:id="35" w:name="_Toc15396606"/>
      <w:bookmarkStart w:id="36" w:name="_Toc15377208"/>
      <w:bookmarkStart w:id="37" w:name="_Toc1286"/>
      <w:r>
        <w:rPr>
          <w:rFonts w:hint="eastAsia" w:ascii="Times New Roman" w:hAnsi="Times New Roman" w:eastAsia="黑体"/>
          <w:color w:val="auto"/>
          <w:sz w:val="32"/>
          <w:szCs w:val="32"/>
          <w:highlight w:val="none"/>
        </w:rPr>
        <w:t>四、财</w:t>
      </w:r>
      <w:r>
        <w:rPr>
          <w:rStyle w:val="30"/>
          <w:rFonts w:hint="eastAsia" w:ascii="Times New Roman" w:hAnsi="Times New Roman" w:eastAsia="黑体"/>
          <w:b w:val="0"/>
          <w:color w:val="auto"/>
          <w:highlight w:val="none"/>
        </w:rPr>
        <w:t>政拨款收入支出决算总体情况说明</w:t>
      </w:r>
      <w:bookmarkEnd w:id="35"/>
      <w:bookmarkEnd w:id="36"/>
      <w:bookmarkEnd w:id="37"/>
    </w:p>
    <w:p w14:paraId="70BC9DE2">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2024年度财政拨款收入、支出总计均为</w:t>
      </w:r>
      <w:r>
        <w:rPr>
          <w:rFonts w:hint="eastAsia" w:ascii="仿宋_GB2312" w:hAnsi="仿宋_GB2312" w:eastAsia="仿宋_GB2312" w:cs="仿宋_GB2312"/>
          <w:sz w:val="32"/>
          <w:szCs w:val="32"/>
        </w:rPr>
        <w:t>174.63</w:t>
      </w:r>
      <w:r>
        <w:rPr>
          <w:rFonts w:hint="eastAsia" w:ascii="Times New Roman" w:hAnsi="Times New Roman" w:eastAsia="仿宋_GB2312" w:cs="仿宋_GB2312"/>
          <w:color w:val="auto"/>
          <w:kern w:val="2"/>
          <w:sz w:val="32"/>
          <w:szCs w:val="32"/>
          <w:highlight w:val="none"/>
          <w:lang w:val="en-US" w:eastAsia="zh-CN" w:bidi="ar-SA"/>
        </w:rPr>
        <w:t>万元。与2023年度相比，财政拨款收入总计、支出总计增加</w:t>
      </w:r>
      <w:r>
        <w:rPr>
          <w:rFonts w:hint="eastAsia" w:eastAsia="仿宋_GB2312" w:cs="仿宋_GB2312"/>
          <w:color w:val="auto"/>
          <w:kern w:val="2"/>
          <w:sz w:val="32"/>
          <w:szCs w:val="32"/>
          <w:highlight w:val="none"/>
          <w:lang w:val="en-US" w:eastAsia="zh-CN" w:bidi="ar-SA"/>
        </w:rPr>
        <w:t>5.68</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3.36</w:t>
      </w:r>
      <w:r>
        <w:rPr>
          <w:rFonts w:hint="eastAsia" w:ascii="Times New Roman" w:hAnsi="Times New Roman" w:eastAsia="仿宋_GB2312" w:cs="仿宋_GB2312"/>
          <w:color w:val="auto"/>
          <w:kern w:val="2"/>
          <w:sz w:val="32"/>
          <w:szCs w:val="32"/>
          <w:highlight w:val="none"/>
          <w:lang w:val="en-US" w:eastAsia="zh-CN" w:bidi="ar-SA"/>
        </w:rPr>
        <w:t>%。主要变动原因是</w:t>
      </w:r>
      <w:r>
        <w:rPr>
          <w:rFonts w:hint="eastAsia" w:eastAsia="仿宋_GB2312" w:cs="仿宋_GB2312"/>
          <w:color w:val="auto"/>
          <w:sz w:val="32"/>
          <w:szCs w:val="32"/>
          <w:highlight w:val="none"/>
          <w:lang w:eastAsia="zh-CN"/>
        </w:rPr>
        <w:t>职工工资正常增加。</w:t>
      </w:r>
    </w:p>
    <w:p w14:paraId="6CB1E4C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eastAsia="仿宋_GB2312"/>
          <w:spacing w:val="-2"/>
          <w:sz w:val="32"/>
          <w:szCs w:val="32"/>
          <w:lang w:eastAsia="zh-CN"/>
        </w:rPr>
        <w:drawing>
          <wp:anchor distT="0" distB="0" distL="114300" distR="114300" simplePos="0" relativeHeight="251661312" behindDoc="0" locked="0" layoutInCell="1" allowOverlap="1">
            <wp:simplePos x="0" y="0"/>
            <wp:positionH relativeFrom="column">
              <wp:posOffset>-33020</wp:posOffset>
            </wp:positionH>
            <wp:positionV relativeFrom="paragraph">
              <wp:posOffset>212090</wp:posOffset>
            </wp:positionV>
            <wp:extent cx="5256530" cy="2988310"/>
            <wp:effectExtent l="5080" t="4445" r="15240" b="17145"/>
            <wp:wrapSquare wrapText="bothSides"/>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6BECA352">
      <w:pPr>
        <w:spacing w:line="600" w:lineRule="exact"/>
        <w:ind w:firstLine="640" w:firstLineChars="200"/>
        <w:outlineLvl w:val="1"/>
        <w:rPr>
          <w:rStyle w:val="30"/>
          <w:rFonts w:ascii="Times New Roman" w:hAnsi="Times New Roman" w:eastAsia="黑体"/>
          <w:b w:val="0"/>
          <w:color w:val="auto"/>
          <w:highlight w:val="none"/>
        </w:rPr>
      </w:pPr>
      <w:bookmarkStart w:id="38" w:name="_Toc15377209"/>
      <w:bookmarkStart w:id="39" w:name="_Toc15396607"/>
      <w:bookmarkStart w:id="40" w:name="_Toc1588"/>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30"/>
          <w:rFonts w:hint="eastAsia" w:ascii="Times New Roman" w:hAnsi="Times New Roman" w:eastAsia="黑体"/>
          <w:b w:val="0"/>
          <w:color w:val="auto"/>
          <w:highlight w:val="none"/>
        </w:rPr>
        <w:t>般公共预算财政拨款支出决算情况说明</w:t>
      </w:r>
      <w:bookmarkEnd w:id="38"/>
      <w:bookmarkEnd w:id="39"/>
      <w:bookmarkEnd w:id="40"/>
    </w:p>
    <w:p w14:paraId="441347B2">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1"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41"/>
    </w:p>
    <w:p w14:paraId="7A4E00F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174.63</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%。与2023年度相比，一般公共预算财政拨款支出增加5.68万元，增长3.36%。主要变动原因是</w:t>
      </w:r>
      <w:r>
        <w:rPr>
          <w:rFonts w:hint="eastAsia" w:eastAsia="仿宋_GB2312" w:cs="仿宋_GB2312"/>
          <w:color w:val="auto"/>
          <w:sz w:val="32"/>
          <w:szCs w:val="32"/>
          <w:highlight w:val="none"/>
          <w:lang w:eastAsia="zh-CN"/>
        </w:rPr>
        <w:t>职工工资正常增加。</w:t>
      </w:r>
    </w:p>
    <w:p w14:paraId="3A41C1F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186CC8FC">
      <w:pPr>
        <w:spacing w:line="600" w:lineRule="exact"/>
        <w:ind w:firstLine="632" w:firstLineChars="200"/>
        <w:outlineLvl w:val="2"/>
        <w:rPr>
          <w:rFonts w:hint="eastAsia" w:ascii="Times New Roman" w:hAnsi="Times New Roman" w:eastAsia="楷体_GB2312" w:cs="楷体_GB2312"/>
          <w:b/>
          <w:color w:val="auto"/>
          <w:sz w:val="32"/>
          <w:szCs w:val="32"/>
          <w:highlight w:val="none"/>
        </w:rPr>
      </w:pPr>
      <w:bookmarkStart w:id="42" w:name="_Toc15377211"/>
      <w:r>
        <w:rPr>
          <w:rFonts w:hint="eastAsia" w:ascii="仿宋_GB2312" w:eastAsia="仿宋_GB2312"/>
          <w:spacing w:val="-2"/>
          <w:sz w:val="32"/>
          <w:szCs w:val="32"/>
          <w:lang w:eastAsia="zh-CN"/>
        </w:rPr>
        <w:drawing>
          <wp:anchor distT="0" distB="0" distL="114300" distR="114300" simplePos="0" relativeHeight="251662336" behindDoc="0" locked="0" layoutInCell="1" allowOverlap="1">
            <wp:simplePos x="0" y="0"/>
            <wp:positionH relativeFrom="column">
              <wp:posOffset>262255</wp:posOffset>
            </wp:positionH>
            <wp:positionV relativeFrom="paragraph">
              <wp:posOffset>318770</wp:posOffset>
            </wp:positionV>
            <wp:extent cx="5256530" cy="3235325"/>
            <wp:effectExtent l="4445" t="4445" r="15875" b="17780"/>
            <wp:wrapSquare wrapText="bothSides"/>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Times New Roman" w:hAnsi="Times New Roman" w:eastAsia="楷体_GB2312" w:cs="楷体_GB2312"/>
          <w:b/>
          <w:color w:val="auto"/>
          <w:sz w:val="32"/>
          <w:szCs w:val="32"/>
          <w:highlight w:val="none"/>
        </w:rPr>
        <w:t>（二）一般公共预算财政拨款支出决算结构情况</w:t>
      </w:r>
      <w:bookmarkEnd w:id="42"/>
    </w:p>
    <w:p w14:paraId="0A73EF5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drawing>
          <wp:anchor distT="0" distB="0" distL="114300" distR="114300" simplePos="0" relativeHeight="251663360" behindDoc="0" locked="0" layoutInCell="1" allowOverlap="1">
            <wp:simplePos x="0" y="0"/>
            <wp:positionH relativeFrom="column">
              <wp:posOffset>163830</wp:posOffset>
            </wp:positionH>
            <wp:positionV relativeFrom="paragraph">
              <wp:posOffset>2485390</wp:posOffset>
            </wp:positionV>
            <wp:extent cx="5256530" cy="2988310"/>
            <wp:effectExtent l="5080" t="4445" r="15240" b="17145"/>
            <wp:wrapSquare wrapText="bothSides"/>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hint="eastAsia" w:ascii="Times New Roman" w:hAnsi="Times New Roman"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174.63</w:t>
      </w:r>
      <w:r>
        <w:rPr>
          <w:rFonts w:hint="eastAsia" w:ascii="仿宋_GB2312" w:hAnsi="仿宋_GB2312"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，主要用于以下方面</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一般公共服务支出</w:t>
      </w:r>
      <w:r>
        <w:rPr>
          <w:rFonts w:hint="eastAsia" w:eastAsia="仿宋_GB2312" w:cs="仿宋_GB2312"/>
          <w:color w:val="auto"/>
          <w:kern w:val="2"/>
          <w:sz w:val="32"/>
          <w:szCs w:val="32"/>
          <w:highlight w:val="none"/>
          <w:lang w:val="en-US" w:eastAsia="zh-CN" w:bidi="ar-SA"/>
        </w:rPr>
        <w:t>127.07</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72.77</w:t>
      </w:r>
      <w:r>
        <w:rPr>
          <w:rFonts w:hint="eastAsia" w:ascii="Times New Roman" w:hAnsi="Times New Roman" w:eastAsia="仿宋_GB2312" w:cs="仿宋_GB2312"/>
          <w:color w:val="auto"/>
          <w:kern w:val="2"/>
          <w:sz w:val="32"/>
          <w:szCs w:val="32"/>
          <w:highlight w:val="none"/>
          <w:lang w:val="en-US" w:eastAsia="zh-CN" w:bidi="ar-SA"/>
        </w:rPr>
        <w:t>%；教育支出</w:t>
      </w:r>
      <w:r>
        <w:rPr>
          <w:rFonts w:hint="eastAsia" w:eastAsia="仿宋_GB2312" w:cs="仿宋_GB2312"/>
          <w:color w:val="auto"/>
          <w:kern w:val="2"/>
          <w:sz w:val="32"/>
          <w:szCs w:val="32"/>
          <w:highlight w:val="none"/>
          <w:lang w:val="en-US" w:eastAsia="zh-CN" w:bidi="ar-SA"/>
        </w:rPr>
        <w:t>0.26</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0.15</w:t>
      </w:r>
      <w:r>
        <w:rPr>
          <w:rFonts w:hint="eastAsia" w:ascii="Times New Roman" w:hAnsi="Times New Roman" w:eastAsia="仿宋_GB2312" w:cs="仿宋_GB2312"/>
          <w:color w:val="auto"/>
          <w:kern w:val="2"/>
          <w:sz w:val="32"/>
          <w:szCs w:val="32"/>
          <w:highlight w:val="none"/>
          <w:lang w:val="en-US" w:eastAsia="zh-CN" w:bidi="ar-SA"/>
        </w:rPr>
        <w:t>%；科学技术支出</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%；文化旅游体育与传媒支出</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%；社会保障和就业支出</w:t>
      </w:r>
      <w:r>
        <w:rPr>
          <w:rFonts w:hint="eastAsia" w:eastAsia="仿宋_GB2312" w:cs="仿宋_GB2312"/>
          <w:color w:val="auto"/>
          <w:kern w:val="2"/>
          <w:sz w:val="32"/>
          <w:szCs w:val="32"/>
          <w:highlight w:val="none"/>
          <w:lang w:val="en-US" w:eastAsia="zh-CN" w:bidi="ar-SA"/>
        </w:rPr>
        <w:t>23.53</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13.47</w:t>
      </w:r>
      <w:r>
        <w:rPr>
          <w:rFonts w:hint="eastAsia" w:ascii="Times New Roman" w:hAnsi="Times New Roman" w:eastAsia="仿宋_GB2312" w:cs="仿宋_GB2312"/>
          <w:color w:val="auto"/>
          <w:kern w:val="2"/>
          <w:sz w:val="32"/>
          <w:szCs w:val="32"/>
          <w:highlight w:val="none"/>
          <w:lang w:val="en-US" w:eastAsia="zh-CN" w:bidi="ar-SA"/>
        </w:rPr>
        <w:t>%；卫生健康支出</w:t>
      </w:r>
      <w:r>
        <w:rPr>
          <w:rFonts w:hint="eastAsia" w:eastAsia="仿宋_GB2312" w:cs="仿宋_GB2312"/>
          <w:color w:val="auto"/>
          <w:kern w:val="2"/>
          <w:sz w:val="32"/>
          <w:szCs w:val="32"/>
          <w:highlight w:val="none"/>
          <w:lang w:val="en-US" w:eastAsia="zh-CN" w:bidi="ar-SA"/>
        </w:rPr>
        <w:t>10.03</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5.74</w:t>
      </w:r>
      <w:r>
        <w:rPr>
          <w:rFonts w:hint="eastAsia" w:ascii="Times New Roman" w:hAnsi="Times New Roman" w:eastAsia="仿宋_GB2312" w:cs="仿宋_GB2312"/>
          <w:color w:val="auto"/>
          <w:kern w:val="2"/>
          <w:sz w:val="32"/>
          <w:szCs w:val="32"/>
          <w:highlight w:val="none"/>
          <w:lang w:val="en-US" w:eastAsia="zh-CN" w:bidi="ar-SA"/>
        </w:rPr>
        <w:t>%；住房保障支出</w:t>
      </w:r>
      <w:r>
        <w:rPr>
          <w:rFonts w:hint="eastAsia" w:eastAsia="仿宋_GB2312" w:cs="仿宋_GB2312"/>
          <w:color w:val="auto"/>
          <w:kern w:val="2"/>
          <w:sz w:val="32"/>
          <w:szCs w:val="32"/>
          <w:highlight w:val="none"/>
          <w:lang w:val="en-US" w:eastAsia="zh-CN" w:bidi="ar-SA"/>
        </w:rPr>
        <w:t>13.74</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7.87</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p>
    <w:p w14:paraId="1F10E30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6E1A4B73">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3" w:name="_Toc15377212"/>
      <w:r>
        <w:rPr>
          <w:rFonts w:hint="eastAsia" w:ascii="Times New Roman" w:hAnsi="Times New Roman" w:eastAsia="楷体_GB2312" w:cs="楷体_GB2312"/>
          <w:b/>
          <w:color w:val="auto"/>
          <w:sz w:val="32"/>
          <w:szCs w:val="32"/>
          <w:highlight w:val="none"/>
        </w:rPr>
        <w:t>（三）一般公共预算财政拨款支出决算具体情况</w:t>
      </w:r>
      <w:bookmarkEnd w:id="43"/>
    </w:p>
    <w:p w14:paraId="3E1895F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44" w:name="_Toc15378460"/>
      <w:bookmarkStart w:id="45" w:name="_Toc15377213"/>
      <w:bookmarkStart w:id="46" w:name="_Toc15377444"/>
      <w:r>
        <w:rPr>
          <w:rFonts w:hint="eastAsia" w:ascii="Times New Roman" w:hAnsi="Times New Roman" w:eastAsia="仿宋_GB2312" w:cs="仿宋_GB2312"/>
          <w:color w:val="auto"/>
          <w:kern w:val="2"/>
          <w:sz w:val="32"/>
          <w:szCs w:val="32"/>
          <w:highlight w:val="none"/>
          <w:lang w:val="en-US" w:eastAsia="zh-CN" w:bidi="ar-SA"/>
        </w:rPr>
        <w:t>2024年度一般公共预算财政拨款支出决算数为</w:t>
      </w:r>
      <w:r>
        <w:rPr>
          <w:rFonts w:hint="eastAsia" w:ascii="仿宋_GB2312" w:hAnsi="仿宋_GB2312" w:eastAsia="仿宋_GB2312" w:cs="仿宋_GB2312"/>
          <w:sz w:val="32"/>
          <w:szCs w:val="32"/>
        </w:rPr>
        <w:t>174.63</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%。其中：</w:t>
      </w:r>
      <w:bookmarkEnd w:id="44"/>
      <w:bookmarkEnd w:id="45"/>
      <w:bookmarkEnd w:id="46"/>
    </w:p>
    <w:p w14:paraId="7129529A">
      <w:pPr>
        <w:numPr>
          <w:ilvl w:val="0"/>
          <w:numId w:val="2"/>
        </w:num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一般公共服务（类）档案事务（款）行政运行（项）：支出决算为127.07万元，完成预算100%。</w:t>
      </w:r>
    </w:p>
    <w:p w14:paraId="17B593ED">
      <w:pPr>
        <w:numPr>
          <w:ilvl w:val="0"/>
          <w:numId w:val="0"/>
        </w:num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2.教育（类）进修及培训（款）培训支出（项）: 支出决算为</w:t>
      </w:r>
      <w:r>
        <w:rPr>
          <w:rFonts w:hint="eastAsia" w:eastAsia="仿宋_GB2312" w:cs="仿宋_GB2312"/>
          <w:color w:val="auto"/>
          <w:kern w:val="2"/>
          <w:sz w:val="32"/>
          <w:szCs w:val="32"/>
          <w:highlight w:val="none"/>
          <w:lang w:val="en-US" w:eastAsia="zh-CN" w:bidi="ar-SA"/>
        </w:rPr>
        <w:t>0.26</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eastAsia="仿宋_GB2312" w:cs="仿宋_GB2312"/>
          <w:color w:val="auto"/>
          <w:kern w:val="2"/>
          <w:sz w:val="32"/>
          <w:szCs w:val="32"/>
          <w:highlight w:val="none"/>
          <w:lang w:val="en-US" w:eastAsia="zh-CN" w:bidi="ar-SA"/>
        </w:rPr>
        <w:t>65</w:t>
      </w:r>
      <w:r>
        <w:rPr>
          <w:rFonts w:hint="eastAsia" w:ascii="Times New Roman" w:hAnsi="Times New Roman" w:eastAsia="仿宋_GB2312" w:cs="仿宋_GB2312"/>
          <w:color w:val="auto"/>
          <w:kern w:val="2"/>
          <w:sz w:val="32"/>
          <w:szCs w:val="32"/>
          <w:highlight w:val="none"/>
          <w:lang w:val="en-US" w:eastAsia="zh-CN" w:bidi="ar-SA"/>
        </w:rPr>
        <w:t>%，决算数小于预算数的主要原因是</w:t>
      </w:r>
      <w:r>
        <w:rPr>
          <w:rFonts w:hint="eastAsia" w:eastAsia="仿宋_GB2312" w:cs="仿宋_GB2312"/>
          <w:color w:val="auto"/>
          <w:kern w:val="2"/>
          <w:sz w:val="32"/>
          <w:szCs w:val="32"/>
          <w:highlight w:val="none"/>
          <w:lang w:val="en-US" w:eastAsia="zh-CN" w:bidi="ar-SA"/>
        </w:rPr>
        <w:t>减少了培训内容。</w:t>
      </w:r>
    </w:p>
    <w:p w14:paraId="27654664">
      <w:pPr>
        <w:spacing w:line="600" w:lineRule="exact"/>
        <w:ind w:firstLine="640"/>
        <w:rPr>
          <w:rFonts w:hint="eastAsia"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3.科学技术（类）（款）（项）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支出决算为</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p>
    <w:p w14:paraId="4705859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4.文化旅游体育与传媒（类）（款）（项）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支出决算为</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p>
    <w:p w14:paraId="7A1D9234">
      <w:pPr>
        <w:spacing w:line="600" w:lineRule="exact"/>
        <w:ind w:firstLine="640"/>
        <w:rPr>
          <w:rFonts w:hint="default"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5.社会保障和就业（类）</w:t>
      </w:r>
      <w:r>
        <w:rPr>
          <w:rFonts w:hint="eastAsia" w:eastAsia="仿宋_GB2312" w:cs="仿宋_GB2312"/>
          <w:color w:val="auto"/>
          <w:kern w:val="2"/>
          <w:sz w:val="32"/>
          <w:szCs w:val="32"/>
          <w:highlight w:val="none"/>
          <w:lang w:val="en-US" w:eastAsia="zh-CN" w:bidi="ar-SA"/>
        </w:rPr>
        <w:t>行政事业单位养老支出</w:t>
      </w:r>
      <w:r>
        <w:rPr>
          <w:rFonts w:hint="eastAsia" w:ascii="Times New Roman" w:hAnsi="Times New Roman" w:eastAsia="仿宋_GB2312" w:cs="仿宋_GB2312"/>
          <w:color w:val="auto"/>
          <w:kern w:val="2"/>
          <w:sz w:val="32"/>
          <w:szCs w:val="32"/>
          <w:highlight w:val="none"/>
          <w:lang w:val="en-US" w:eastAsia="zh-CN" w:bidi="ar-SA"/>
        </w:rPr>
        <w:t>（款）</w:t>
      </w:r>
      <w:r>
        <w:rPr>
          <w:rFonts w:hint="eastAsia" w:eastAsia="仿宋_GB2312" w:cs="仿宋_GB2312"/>
          <w:color w:val="auto"/>
          <w:kern w:val="2"/>
          <w:sz w:val="32"/>
          <w:szCs w:val="32"/>
          <w:highlight w:val="none"/>
          <w:lang w:val="en-US" w:eastAsia="zh-CN" w:bidi="ar-SA"/>
        </w:rPr>
        <w:t>机关事业单位养老保险缴费支出/机关事业单位职业年金缴费支出</w:t>
      </w:r>
      <w:r>
        <w:rPr>
          <w:rFonts w:hint="eastAsia" w:ascii="Times New Roman" w:hAnsi="Times New Roman" w:eastAsia="仿宋_GB2312" w:cs="仿宋_GB2312"/>
          <w:color w:val="auto"/>
          <w:kern w:val="2"/>
          <w:sz w:val="32"/>
          <w:szCs w:val="32"/>
          <w:highlight w:val="none"/>
          <w:lang w:val="en-US" w:eastAsia="zh-CN" w:bidi="ar-SA"/>
        </w:rPr>
        <w:t>（项）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支出决算为</w:t>
      </w:r>
      <w:r>
        <w:rPr>
          <w:rFonts w:hint="eastAsia" w:eastAsia="仿宋_GB2312" w:cs="仿宋_GB2312"/>
          <w:color w:val="auto"/>
          <w:kern w:val="2"/>
          <w:sz w:val="32"/>
          <w:szCs w:val="32"/>
          <w:highlight w:val="none"/>
          <w:lang w:val="en-US" w:eastAsia="zh-CN" w:bidi="ar-SA"/>
        </w:rPr>
        <w:t>23.53</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eastAsia="仿宋_GB2312" w:cs="仿宋_GB2312"/>
          <w:color w:val="auto"/>
          <w:kern w:val="2"/>
          <w:sz w:val="32"/>
          <w:szCs w:val="32"/>
          <w:highlight w:val="none"/>
          <w:lang w:val="en-US" w:eastAsia="zh-CN" w:bidi="ar-SA"/>
        </w:rPr>
        <w:t>96</w:t>
      </w:r>
      <w:r>
        <w:rPr>
          <w:rFonts w:hint="eastAsia" w:ascii="Times New Roman" w:hAnsi="Times New Roman" w:eastAsia="仿宋_GB2312" w:cs="仿宋_GB2312"/>
          <w:color w:val="auto"/>
          <w:kern w:val="2"/>
          <w:sz w:val="32"/>
          <w:szCs w:val="32"/>
          <w:highlight w:val="none"/>
          <w:lang w:val="en-US" w:eastAsia="zh-CN" w:bidi="ar-SA"/>
        </w:rPr>
        <w:t>%，决算数小于预算数的主要原因是</w:t>
      </w:r>
      <w:r>
        <w:rPr>
          <w:rFonts w:hint="eastAsia" w:eastAsia="仿宋_GB2312" w:cs="仿宋_GB2312"/>
          <w:color w:val="auto"/>
          <w:kern w:val="2"/>
          <w:sz w:val="32"/>
          <w:szCs w:val="32"/>
          <w:highlight w:val="none"/>
          <w:lang w:val="en-US" w:eastAsia="zh-CN" w:bidi="ar-SA"/>
        </w:rPr>
        <w:t>2024年期间有4个月缺编1人，费用减少。</w:t>
      </w:r>
    </w:p>
    <w:p w14:paraId="0679DAA8">
      <w:pPr>
        <w:spacing w:line="600" w:lineRule="exact"/>
        <w:ind w:firstLine="640"/>
        <w:rPr>
          <w:rFonts w:hint="default"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6.卫生健康（类）</w:t>
      </w:r>
      <w:r>
        <w:rPr>
          <w:rFonts w:hint="eastAsia" w:eastAsia="仿宋_GB2312" w:cs="仿宋_GB2312"/>
          <w:color w:val="auto"/>
          <w:kern w:val="2"/>
          <w:sz w:val="32"/>
          <w:szCs w:val="32"/>
          <w:highlight w:val="none"/>
          <w:lang w:val="en-US" w:eastAsia="zh-CN" w:bidi="ar-SA"/>
        </w:rPr>
        <w:t>行政事业单位医疗</w:t>
      </w:r>
      <w:r>
        <w:rPr>
          <w:rFonts w:hint="eastAsia" w:ascii="Times New Roman" w:hAnsi="Times New Roman" w:eastAsia="仿宋_GB2312" w:cs="仿宋_GB2312"/>
          <w:color w:val="auto"/>
          <w:kern w:val="2"/>
          <w:sz w:val="32"/>
          <w:szCs w:val="32"/>
          <w:highlight w:val="none"/>
          <w:lang w:val="en-US" w:eastAsia="zh-CN" w:bidi="ar-SA"/>
        </w:rPr>
        <w:t>（款）</w:t>
      </w:r>
      <w:r>
        <w:rPr>
          <w:rFonts w:hint="eastAsia" w:eastAsia="仿宋_GB2312" w:cs="仿宋_GB2312"/>
          <w:color w:val="auto"/>
          <w:kern w:val="2"/>
          <w:sz w:val="32"/>
          <w:szCs w:val="32"/>
          <w:highlight w:val="none"/>
          <w:lang w:val="en-US" w:eastAsia="zh-CN" w:bidi="ar-SA"/>
        </w:rPr>
        <w:t>行政单位医疗/公务员医疗补助</w:t>
      </w:r>
      <w:r>
        <w:rPr>
          <w:rFonts w:hint="eastAsia" w:ascii="Times New Roman" w:hAnsi="Times New Roman" w:eastAsia="仿宋_GB2312" w:cs="仿宋_GB2312"/>
          <w:color w:val="auto"/>
          <w:kern w:val="2"/>
          <w:sz w:val="32"/>
          <w:szCs w:val="32"/>
          <w:highlight w:val="none"/>
          <w:lang w:val="en-US" w:eastAsia="zh-CN" w:bidi="ar-SA"/>
        </w:rPr>
        <w:t>（项）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支出决算为</w:t>
      </w:r>
      <w:r>
        <w:rPr>
          <w:rFonts w:hint="eastAsia" w:eastAsia="仿宋_GB2312" w:cs="仿宋_GB2312"/>
          <w:color w:val="auto"/>
          <w:kern w:val="2"/>
          <w:sz w:val="32"/>
          <w:szCs w:val="32"/>
          <w:highlight w:val="none"/>
          <w:lang w:val="en-US" w:eastAsia="zh-CN" w:bidi="ar-SA"/>
        </w:rPr>
        <w:t>10.03</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eastAsia="仿宋_GB2312" w:cs="仿宋_GB2312"/>
          <w:color w:val="auto"/>
          <w:kern w:val="2"/>
          <w:sz w:val="32"/>
          <w:szCs w:val="32"/>
          <w:highlight w:val="none"/>
          <w:lang w:val="en-US" w:eastAsia="zh-CN" w:bidi="ar-SA"/>
        </w:rPr>
        <w:t>97</w:t>
      </w:r>
      <w:r>
        <w:rPr>
          <w:rFonts w:hint="eastAsia" w:ascii="Times New Roman" w:hAnsi="Times New Roman" w:eastAsia="仿宋_GB2312" w:cs="仿宋_GB2312"/>
          <w:color w:val="auto"/>
          <w:kern w:val="2"/>
          <w:sz w:val="32"/>
          <w:szCs w:val="32"/>
          <w:highlight w:val="none"/>
          <w:lang w:val="en-US" w:eastAsia="zh-CN" w:bidi="ar-SA"/>
        </w:rPr>
        <w:t>%，决算数小于预算数的主要原因是</w:t>
      </w:r>
      <w:r>
        <w:rPr>
          <w:rFonts w:hint="eastAsia" w:eastAsia="仿宋_GB2312" w:cs="仿宋_GB2312"/>
          <w:color w:val="auto"/>
          <w:kern w:val="2"/>
          <w:sz w:val="32"/>
          <w:szCs w:val="32"/>
          <w:highlight w:val="none"/>
          <w:lang w:val="en-US" w:eastAsia="zh-CN" w:bidi="ar-SA"/>
        </w:rPr>
        <w:t>2024年期间有4个月缺编1人，费用减少。</w:t>
      </w:r>
    </w:p>
    <w:p w14:paraId="2A1F167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4B28243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471D891A">
      <w:pPr>
        <w:tabs>
          <w:tab w:val="right" w:pos="8306"/>
        </w:tabs>
        <w:spacing w:line="600" w:lineRule="exact"/>
        <w:ind w:firstLine="640"/>
        <w:outlineLvl w:val="1"/>
        <w:rPr>
          <w:rStyle w:val="30"/>
          <w:rFonts w:ascii="Times New Roman" w:hAnsi="Times New Roman"/>
          <w:color w:val="auto"/>
          <w:highlight w:val="none"/>
        </w:rPr>
      </w:pPr>
      <w:bookmarkStart w:id="47" w:name="_Toc6937"/>
      <w:bookmarkStart w:id="48" w:name="_Toc15377214"/>
      <w:bookmarkStart w:id="49" w:name="_Toc15396608"/>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30"/>
          <w:rFonts w:hint="eastAsia" w:ascii="Times New Roman" w:hAnsi="Times New Roman" w:eastAsia="黑体"/>
          <w:b w:val="0"/>
          <w:color w:val="auto"/>
          <w:highlight w:val="none"/>
        </w:rPr>
        <w:t>般公共预算财政拨款基本支出决算情况说明</w:t>
      </w:r>
      <w:bookmarkEnd w:id="47"/>
      <w:bookmarkEnd w:id="48"/>
      <w:bookmarkEnd w:id="49"/>
      <w:r>
        <w:rPr>
          <w:rStyle w:val="30"/>
          <w:rFonts w:ascii="Times New Roman" w:hAnsi="Times New Roman" w:eastAsia="黑体"/>
          <w:b w:val="0"/>
          <w:color w:val="auto"/>
          <w:highlight w:val="none"/>
        </w:rPr>
        <w:tab/>
      </w:r>
    </w:p>
    <w:p w14:paraId="5F2A163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2024年度一般公共预算财政拨款基本支出</w:t>
      </w:r>
      <w:r>
        <w:rPr>
          <w:rFonts w:hint="eastAsia" w:ascii="仿宋_GB2312" w:hAnsi="仿宋_GB2312" w:eastAsia="仿宋_GB2312" w:cs="仿宋_GB2312"/>
          <w:sz w:val="32"/>
          <w:szCs w:val="32"/>
        </w:rPr>
        <w:t>174.37</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元，其中：</w:t>
      </w:r>
    </w:p>
    <w:p w14:paraId="157AB86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人员经费</w:t>
      </w:r>
      <w:r>
        <w:rPr>
          <w:rFonts w:hint="eastAsia" w:ascii="仿宋_GB2312" w:hAnsi="仿宋_GB2312" w:eastAsia="仿宋_GB2312" w:cs="仿宋_GB2312"/>
          <w:sz w:val="32"/>
          <w:szCs w:val="32"/>
        </w:rPr>
        <w:t>162.96</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元，主要包括：基本工资</w:t>
      </w:r>
      <w:r>
        <w:rPr>
          <w:rFonts w:hint="eastAsia" w:eastAsia="仿宋_GB2312" w:cs="仿宋_GB2312"/>
          <w:color w:val="auto"/>
          <w:kern w:val="2"/>
          <w:sz w:val="32"/>
          <w:szCs w:val="32"/>
          <w:highlight w:val="none"/>
          <w:lang w:val="en-US" w:eastAsia="zh-CN" w:bidi="ar-SA"/>
        </w:rPr>
        <w:t>32.38万元</w:t>
      </w:r>
      <w:r>
        <w:rPr>
          <w:rFonts w:hint="eastAsia" w:ascii="Times New Roman" w:hAnsi="Times New Roman" w:eastAsia="仿宋_GB2312" w:cs="仿宋_GB2312"/>
          <w:color w:val="auto"/>
          <w:kern w:val="2"/>
          <w:sz w:val="32"/>
          <w:szCs w:val="32"/>
          <w:highlight w:val="none"/>
          <w:lang w:val="en-US" w:eastAsia="zh-CN" w:bidi="ar-SA"/>
        </w:rPr>
        <w:t>、津贴补贴</w:t>
      </w:r>
      <w:r>
        <w:rPr>
          <w:rFonts w:hint="eastAsia" w:eastAsia="仿宋_GB2312" w:cs="仿宋_GB2312"/>
          <w:color w:val="auto"/>
          <w:kern w:val="2"/>
          <w:sz w:val="32"/>
          <w:szCs w:val="32"/>
          <w:highlight w:val="none"/>
          <w:lang w:val="en-US" w:eastAsia="zh-CN" w:bidi="ar-SA"/>
        </w:rPr>
        <w:t>38.63万元</w:t>
      </w:r>
      <w:r>
        <w:rPr>
          <w:rFonts w:hint="eastAsia" w:ascii="Times New Roman" w:hAnsi="Times New Roman" w:eastAsia="仿宋_GB2312" w:cs="仿宋_GB2312"/>
          <w:color w:val="auto"/>
          <w:kern w:val="2"/>
          <w:sz w:val="32"/>
          <w:szCs w:val="32"/>
          <w:highlight w:val="none"/>
          <w:lang w:val="en-US" w:eastAsia="zh-CN" w:bidi="ar-SA"/>
        </w:rPr>
        <w:t>、奖金</w:t>
      </w:r>
      <w:r>
        <w:rPr>
          <w:rFonts w:hint="eastAsia" w:eastAsia="仿宋_GB2312" w:cs="仿宋_GB2312"/>
          <w:color w:val="auto"/>
          <w:kern w:val="2"/>
          <w:sz w:val="32"/>
          <w:szCs w:val="32"/>
          <w:highlight w:val="none"/>
          <w:lang w:val="en-US" w:eastAsia="zh-CN" w:bidi="ar-SA"/>
        </w:rPr>
        <w:t>40.17万元</w:t>
      </w:r>
      <w:r>
        <w:rPr>
          <w:rFonts w:hint="eastAsia" w:ascii="Times New Roman" w:hAnsi="Times New Roman" w:eastAsia="仿宋_GB2312" w:cs="仿宋_GB2312"/>
          <w:color w:val="auto"/>
          <w:kern w:val="2"/>
          <w:sz w:val="32"/>
          <w:szCs w:val="32"/>
          <w:highlight w:val="none"/>
          <w:lang w:val="en-US" w:eastAsia="zh-CN" w:bidi="ar-SA"/>
        </w:rPr>
        <w:t>、伙食补助费</w:t>
      </w:r>
      <w:r>
        <w:rPr>
          <w:rFonts w:hint="eastAsia" w:eastAsia="仿宋_GB2312" w:cs="仿宋_GB2312"/>
          <w:color w:val="auto"/>
          <w:kern w:val="2"/>
          <w:sz w:val="32"/>
          <w:szCs w:val="32"/>
          <w:highlight w:val="none"/>
          <w:lang w:val="en-US" w:eastAsia="zh-CN" w:bidi="ar-SA"/>
        </w:rPr>
        <w:t>0万元</w:t>
      </w:r>
      <w:r>
        <w:rPr>
          <w:rFonts w:hint="eastAsia" w:ascii="Times New Roman" w:hAnsi="Times New Roman" w:eastAsia="仿宋_GB2312" w:cs="仿宋_GB2312"/>
          <w:color w:val="auto"/>
          <w:kern w:val="2"/>
          <w:sz w:val="32"/>
          <w:szCs w:val="32"/>
          <w:highlight w:val="none"/>
          <w:lang w:val="en-US" w:eastAsia="zh-CN" w:bidi="ar-SA"/>
        </w:rPr>
        <w:t>、绩效工资</w:t>
      </w:r>
      <w:r>
        <w:rPr>
          <w:rFonts w:hint="eastAsia" w:eastAsia="仿宋_GB2312" w:cs="仿宋_GB2312"/>
          <w:color w:val="auto"/>
          <w:kern w:val="2"/>
          <w:sz w:val="32"/>
          <w:szCs w:val="32"/>
          <w:highlight w:val="none"/>
          <w:lang w:val="en-US" w:eastAsia="zh-CN" w:bidi="ar-SA"/>
        </w:rPr>
        <w:t>0万元</w:t>
      </w:r>
      <w:r>
        <w:rPr>
          <w:rFonts w:hint="eastAsia" w:ascii="Times New Roman" w:hAnsi="Times New Roman" w:eastAsia="仿宋_GB2312" w:cs="仿宋_GB2312"/>
          <w:color w:val="auto"/>
          <w:kern w:val="2"/>
          <w:sz w:val="32"/>
          <w:szCs w:val="32"/>
          <w:highlight w:val="none"/>
          <w:lang w:val="en-US" w:eastAsia="zh-CN" w:bidi="ar-SA"/>
        </w:rPr>
        <w:t>、机关事业单位基本养老保险缴费</w:t>
      </w:r>
      <w:r>
        <w:rPr>
          <w:rFonts w:hint="eastAsia" w:eastAsia="仿宋_GB2312" w:cs="仿宋_GB2312"/>
          <w:color w:val="auto"/>
          <w:kern w:val="2"/>
          <w:sz w:val="32"/>
          <w:szCs w:val="32"/>
          <w:highlight w:val="none"/>
          <w:lang w:val="en-US" w:eastAsia="zh-CN" w:bidi="ar-SA"/>
        </w:rPr>
        <w:t>15.69万元</w:t>
      </w:r>
      <w:r>
        <w:rPr>
          <w:rFonts w:hint="eastAsia" w:ascii="Times New Roman" w:hAnsi="Times New Roman" w:eastAsia="仿宋_GB2312" w:cs="仿宋_GB2312"/>
          <w:color w:val="auto"/>
          <w:kern w:val="2"/>
          <w:sz w:val="32"/>
          <w:szCs w:val="32"/>
          <w:highlight w:val="none"/>
          <w:lang w:val="en-US" w:eastAsia="zh-CN" w:bidi="ar-SA"/>
        </w:rPr>
        <w:t>、职业年金缴费</w:t>
      </w:r>
      <w:r>
        <w:rPr>
          <w:rFonts w:hint="eastAsia" w:eastAsia="仿宋_GB2312" w:cs="仿宋_GB2312"/>
          <w:color w:val="auto"/>
          <w:kern w:val="2"/>
          <w:sz w:val="32"/>
          <w:szCs w:val="32"/>
          <w:highlight w:val="none"/>
          <w:lang w:val="en-US" w:eastAsia="zh-CN" w:bidi="ar-SA"/>
        </w:rPr>
        <w:t>7.84万元</w:t>
      </w:r>
      <w:r>
        <w:rPr>
          <w:rFonts w:hint="eastAsia" w:ascii="Times New Roman" w:hAnsi="Times New Roman" w:eastAsia="仿宋_GB2312" w:cs="仿宋_GB2312"/>
          <w:color w:val="auto"/>
          <w:kern w:val="2"/>
          <w:sz w:val="32"/>
          <w:szCs w:val="32"/>
          <w:highlight w:val="none"/>
          <w:lang w:val="en-US" w:eastAsia="zh-CN" w:bidi="ar-SA"/>
        </w:rPr>
        <w:t>、其他社会保障缴费</w:t>
      </w:r>
      <w:r>
        <w:rPr>
          <w:rFonts w:hint="eastAsia" w:eastAsia="仿宋_GB2312" w:cs="仿宋_GB2312"/>
          <w:color w:val="auto"/>
          <w:kern w:val="2"/>
          <w:sz w:val="32"/>
          <w:szCs w:val="32"/>
          <w:highlight w:val="none"/>
          <w:lang w:val="en-US" w:eastAsia="zh-CN" w:bidi="ar-SA"/>
        </w:rPr>
        <w:t>1.44万元</w:t>
      </w:r>
      <w:r>
        <w:rPr>
          <w:rFonts w:hint="eastAsia" w:ascii="Times New Roman" w:hAnsi="Times New Roman" w:eastAsia="仿宋_GB2312" w:cs="仿宋_GB2312"/>
          <w:color w:val="auto"/>
          <w:kern w:val="2"/>
          <w:sz w:val="32"/>
          <w:szCs w:val="32"/>
          <w:highlight w:val="none"/>
          <w:lang w:val="en-US" w:eastAsia="zh-CN" w:bidi="ar-SA"/>
        </w:rPr>
        <w:t>、其他工资福利支出</w:t>
      </w:r>
      <w:r>
        <w:rPr>
          <w:rFonts w:hint="eastAsia" w:eastAsia="仿宋_GB2312" w:cs="仿宋_GB2312"/>
          <w:color w:val="auto"/>
          <w:kern w:val="2"/>
          <w:sz w:val="32"/>
          <w:szCs w:val="32"/>
          <w:highlight w:val="none"/>
          <w:lang w:val="en-US" w:eastAsia="zh-CN" w:bidi="ar-SA"/>
        </w:rPr>
        <w:t>0万元</w:t>
      </w:r>
      <w:r>
        <w:rPr>
          <w:rFonts w:hint="eastAsia" w:ascii="Times New Roman" w:hAnsi="Times New Roman" w:eastAsia="仿宋_GB2312" w:cs="仿宋_GB2312"/>
          <w:color w:val="auto"/>
          <w:kern w:val="2"/>
          <w:sz w:val="32"/>
          <w:szCs w:val="32"/>
          <w:highlight w:val="none"/>
          <w:lang w:val="en-US" w:eastAsia="zh-CN" w:bidi="ar-SA"/>
        </w:rPr>
        <w:t>、离休费</w:t>
      </w:r>
      <w:r>
        <w:rPr>
          <w:rFonts w:hint="eastAsia" w:eastAsia="仿宋_GB2312" w:cs="仿宋_GB2312"/>
          <w:color w:val="auto"/>
          <w:kern w:val="2"/>
          <w:sz w:val="32"/>
          <w:szCs w:val="32"/>
          <w:highlight w:val="none"/>
          <w:lang w:val="en-US" w:eastAsia="zh-CN" w:bidi="ar-SA"/>
        </w:rPr>
        <w:t>0万元</w:t>
      </w:r>
      <w:r>
        <w:rPr>
          <w:rFonts w:hint="eastAsia" w:ascii="Times New Roman" w:hAnsi="Times New Roman" w:eastAsia="仿宋_GB2312" w:cs="仿宋_GB2312"/>
          <w:color w:val="auto"/>
          <w:kern w:val="2"/>
          <w:sz w:val="32"/>
          <w:szCs w:val="32"/>
          <w:highlight w:val="none"/>
          <w:lang w:val="en-US" w:eastAsia="zh-CN" w:bidi="ar-SA"/>
        </w:rPr>
        <w:t>、退休费</w:t>
      </w:r>
      <w:r>
        <w:rPr>
          <w:rFonts w:hint="eastAsia" w:eastAsia="仿宋_GB2312" w:cs="仿宋_GB2312"/>
          <w:color w:val="auto"/>
          <w:kern w:val="2"/>
          <w:sz w:val="32"/>
          <w:szCs w:val="32"/>
          <w:highlight w:val="none"/>
          <w:lang w:val="en-US" w:eastAsia="zh-CN" w:bidi="ar-SA"/>
        </w:rPr>
        <w:t>0万元</w:t>
      </w:r>
      <w:r>
        <w:rPr>
          <w:rFonts w:hint="eastAsia" w:ascii="Times New Roman" w:hAnsi="Times New Roman" w:eastAsia="仿宋_GB2312" w:cs="仿宋_GB2312"/>
          <w:color w:val="auto"/>
          <w:kern w:val="2"/>
          <w:sz w:val="32"/>
          <w:szCs w:val="32"/>
          <w:highlight w:val="none"/>
          <w:lang w:val="en-US" w:eastAsia="zh-CN" w:bidi="ar-SA"/>
        </w:rPr>
        <w:t>、抚恤金</w:t>
      </w:r>
      <w:r>
        <w:rPr>
          <w:rFonts w:hint="eastAsia" w:eastAsia="仿宋_GB2312" w:cs="仿宋_GB2312"/>
          <w:color w:val="auto"/>
          <w:kern w:val="2"/>
          <w:sz w:val="32"/>
          <w:szCs w:val="32"/>
          <w:highlight w:val="none"/>
          <w:lang w:val="en-US" w:eastAsia="zh-CN" w:bidi="ar-SA"/>
        </w:rPr>
        <w:t>0万元</w:t>
      </w:r>
      <w:r>
        <w:rPr>
          <w:rFonts w:hint="eastAsia" w:ascii="Times New Roman" w:hAnsi="Times New Roman" w:eastAsia="仿宋_GB2312" w:cs="仿宋_GB2312"/>
          <w:color w:val="auto"/>
          <w:kern w:val="2"/>
          <w:sz w:val="32"/>
          <w:szCs w:val="32"/>
          <w:highlight w:val="none"/>
          <w:lang w:val="en-US" w:eastAsia="zh-CN" w:bidi="ar-SA"/>
        </w:rPr>
        <w:t>、生活补助</w:t>
      </w:r>
      <w:r>
        <w:rPr>
          <w:rFonts w:hint="eastAsia" w:eastAsia="仿宋_GB2312" w:cs="仿宋_GB2312"/>
          <w:color w:val="auto"/>
          <w:kern w:val="2"/>
          <w:sz w:val="32"/>
          <w:szCs w:val="32"/>
          <w:highlight w:val="none"/>
          <w:lang w:val="en-US" w:eastAsia="zh-CN" w:bidi="ar-SA"/>
        </w:rPr>
        <w:t>4.24万元</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职工基本医疗保险缴费7.53万元、</w:t>
      </w:r>
      <w:r>
        <w:rPr>
          <w:rFonts w:hint="eastAsia" w:ascii="Times New Roman" w:hAnsi="Times New Roman" w:eastAsia="仿宋_GB2312" w:cs="仿宋_GB2312"/>
          <w:color w:val="auto"/>
          <w:kern w:val="2"/>
          <w:sz w:val="32"/>
          <w:szCs w:val="32"/>
          <w:highlight w:val="none"/>
          <w:lang w:val="en-US" w:eastAsia="zh-CN" w:bidi="ar-SA"/>
        </w:rPr>
        <w:t>医疗费补助</w:t>
      </w:r>
      <w:r>
        <w:rPr>
          <w:rFonts w:hint="eastAsia" w:eastAsia="仿宋_GB2312" w:cs="仿宋_GB2312"/>
          <w:color w:val="auto"/>
          <w:kern w:val="2"/>
          <w:sz w:val="32"/>
          <w:szCs w:val="32"/>
          <w:highlight w:val="none"/>
          <w:lang w:val="en-US" w:eastAsia="zh-CN" w:bidi="ar-SA"/>
        </w:rPr>
        <w:t>2.51万元</w:t>
      </w:r>
      <w:r>
        <w:rPr>
          <w:rFonts w:hint="eastAsia" w:ascii="Times New Roman" w:hAnsi="Times New Roman" w:eastAsia="仿宋_GB2312" w:cs="仿宋_GB2312"/>
          <w:color w:val="auto"/>
          <w:kern w:val="2"/>
          <w:sz w:val="32"/>
          <w:szCs w:val="32"/>
          <w:highlight w:val="none"/>
          <w:lang w:val="en-US" w:eastAsia="zh-CN" w:bidi="ar-SA"/>
        </w:rPr>
        <w:t>、奖励金</w:t>
      </w:r>
      <w:r>
        <w:rPr>
          <w:rFonts w:hint="eastAsia" w:eastAsia="仿宋_GB2312" w:cs="仿宋_GB2312"/>
          <w:color w:val="auto"/>
          <w:kern w:val="2"/>
          <w:sz w:val="32"/>
          <w:szCs w:val="32"/>
          <w:highlight w:val="none"/>
          <w:lang w:val="en-US" w:eastAsia="zh-CN" w:bidi="ar-SA"/>
        </w:rPr>
        <w:t>0万元</w:t>
      </w:r>
      <w:r>
        <w:rPr>
          <w:rFonts w:hint="eastAsia" w:ascii="Times New Roman" w:hAnsi="Times New Roman" w:eastAsia="仿宋_GB2312" w:cs="仿宋_GB2312"/>
          <w:color w:val="auto"/>
          <w:kern w:val="2"/>
          <w:sz w:val="32"/>
          <w:szCs w:val="32"/>
          <w:highlight w:val="none"/>
          <w:lang w:val="en-US" w:eastAsia="zh-CN" w:bidi="ar-SA"/>
        </w:rPr>
        <w:t>、住房公积金</w:t>
      </w:r>
      <w:r>
        <w:rPr>
          <w:rFonts w:hint="eastAsia" w:eastAsia="仿宋_GB2312" w:cs="仿宋_GB2312"/>
          <w:color w:val="auto"/>
          <w:kern w:val="2"/>
          <w:sz w:val="32"/>
          <w:szCs w:val="32"/>
          <w:highlight w:val="none"/>
          <w:lang w:val="en-US" w:eastAsia="zh-CN" w:bidi="ar-SA"/>
        </w:rPr>
        <w:t>12.53万元</w:t>
      </w:r>
      <w:r>
        <w:rPr>
          <w:rFonts w:hint="eastAsia" w:ascii="Times New Roman" w:hAnsi="Times New Roman" w:eastAsia="仿宋_GB2312" w:cs="仿宋_GB2312"/>
          <w:color w:val="auto"/>
          <w:kern w:val="2"/>
          <w:sz w:val="32"/>
          <w:szCs w:val="32"/>
          <w:highlight w:val="none"/>
          <w:lang w:val="en-US" w:eastAsia="zh-CN" w:bidi="ar-SA"/>
        </w:rPr>
        <w:t>、其他对个人和家庭的补助支出等。</w:t>
      </w:r>
      <w:r>
        <w:rPr>
          <w:rFonts w:hint="eastAsia" w:ascii="Times New Roman" w:hAnsi="Times New Roman" w:eastAsia="仿宋_GB2312" w:cs="仿宋_GB2312"/>
          <w:color w:val="auto"/>
          <w:kern w:val="2"/>
          <w:sz w:val="32"/>
          <w:szCs w:val="32"/>
          <w:highlight w:val="none"/>
          <w:lang w:val="en-US" w:eastAsia="zh-CN" w:bidi="ar-SA"/>
        </w:rPr>
        <w:br w:type="textWrapping"/>
      </w:r>
      <w:r>
        <w:rPr>
          <w:rFonts w:hint="eastAsia" w:ascii="Times New Roman" w:hAnsi="Times New Roman" w:eastAsia="仿宋_GB2312" w:cs="仿宋_GB2312"/>
          <w:color w:val="auto"/>
          <w:kern w:val="2"/>
          <w:sz w:val="32"/>
          <w:szCs w:val="32"/>
          <w:highlight w:val="none"/>
          <w:lang w:val="en-US" w:eastAsia="zh-CN" w:bidi="ar-SA"/>
        </w:rPr>
        <w:t>　　公用经费</w:t>
      </w:r>
      <w:r>
        <w:rPr>
          <w:rFonts w:hint="eastAsia" w:ascii="仿宋_GB2312" w:hAnsi="仿宋_GB2312" w:eastAsia="仿宋_GB2312" w:cs="仿宋_GB2312"/>
          <w:sz w:val="32"/>
          <w:szCs w:val="32"/>
        </w:rPr>
        <w:t>11.41</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元，主要包括：办公费</w:t>
      </w:r>
      <w:r>
        <w:rPr>
          <w:rFonts w:hint="eastAsia" w:eastAsia="仿宋_GB2312" w:cs="仿宋_GB2312"/>
          <w:color w:val="auto"/>
          <w:kern w:val="2"/>
          <w:sz w:val="32"/>
          <w:szCs w:val="32"/>
          <w:highlight w:val="none"/>
          <w:lang w:val="en-US" w:eastAsia="zh-CN" w:bidi="ar-SA"/>
        </w:rPr>
        <w:t>5.29万元</w:t>
      </w:r>
      <w:r>
        <w:rPr>
          <w:rFonts w:hint="eastAsia" w:ascii="Times New Roman" w:hAnsi="Times New Roman" w:eastAsia="仿宋_GB2312" w:cs="仿宋_GB2312"/>
          <w:color w:val="auto"/>
          <w:kern w:val="2"/>
          <w:sz w:val="32"/>
          <w:szCs w:val="32"/>
          <w:highlight w:val="none"/>
          <w:lang w:val="en-US" w:eastAsia="zh-CN" w:bidi="ar-SA"/>
        </w:rPr>
        <w:t>、印刷费</w:t>
      </w:r>
      <w:r>
        <w:rPr>
          <w:rFonts w:hint="eastAsia" w:eastAsia="仿宋_GB2312" w:cs="仿宋_GB2312"/>
          <w:color w:val="auto"/>
          <w:kern w:val="2"/>
          <w:sz w:val="32"/>
          <w:szCs w:val="32"/>
          <w:highlight w:val="none"/>
          <w:lang w:val="en-US" w:eastAsia="zh-CN" w:bidi="ar-SA"/>
        </w:rPr>
        <w:t>0万元</w:t>
      </w:r>
      <w:r>
        <w:rPr>
          <w:rFonts w:hint="eastAsia" w:ascii="Times New Roman" w:hAnsi="Times New Roman" w:eastAsia="仿宋_GB2312" w:cs="仿宋_GB2312"/>
          <w:color w:val="auto"/>
          <w:kern w:val="2"/>
          <w:sz w:val="32"/>
          <w:szCs w:val="32"/>
          <w:highlight w:val="none"/>
          <w:lang w:val="en-US" w:eastAsia="zh-CN" w:bidi="ar-SA"/>
        </w:rPr>
        <w:t>、咨询费</w:t>
      </w:r>
      <w:r>
        <w:rPr>
          <w:rFonts w:hint="eastAsia" w:eastAsia="仿宋_GB2312" w:cs="仿宋_GB2312"/>
          <w:color w:val="auto"/>
          <w:kern w:val="2"/>
          <w:sz w:val="32"/>
          <w:szCs w:val="32"/>
          <w:highlight w:val="none"/>
          <w:lang w:val="en-US" w:eastAsia="zh-CN" w:bidi="ar-SA"/>
        </w:rPr>
        <w:t>0万元</w:t>
      </w:r>
      <w:r>
        <w:rPr>
          <w:rFonts w:hint="eastAsia" w:ascii="Times New Roman" w:hAnsi="Times New Roman" w:eastAsia="仿宋_GB2312" w:cs="仿宋_GB2312"/>
          <w:color w:val="auto"/>
          <w:kern w:val="2"/>
          <w:sz w:val="32"/>
          <w:szCs w:val="32"/>
          <w:highlight w:val="none"/>
          <w:lang w:val="en-US" w:eastAsia="zh-CN" w:bidi="ar-SA"/>
        </w:rPr>
        <w:t>、手续费</w:t>
      </w:r>
      <w:r>
        <w:rPr>
          <w:rFonts w:hint="eastAsia" w:eastAsia="仿宋_GB2312" w:cs="仿宋_GB2312"/>
          <w:color w:val="auto"/>
          <w:kern w:val="2"/>
          <w:sz w:val="32"/>
          <w:szCs w:val="32"/>
          <w:highlight w:val="none"/>
          <w:lang w:val="en-US" w:eastAsia="zh-CN" w:bidi="ar-SA"/>
        </w:rPr>
        <w:t>0万元</w:t>
      </w:r>
      <w:r>
        <w:rPr>
          <w:rFonts w:hint="eastAsia" w:ascii="Times New Roman" w:hAnsi="Times New Roman" w:eastAsia="仿宋_GB2312" w:cs="仿宋_GB2312"/>
          <w:color w:val="auto"/>
          <w:kern w:val="2"/>
          <w:sz w:val="32"/>
          <w:szCs w:val="32"/>
          <w:highlight w:val="none"/>
          <w:lang w:val="en-US" w:eastAsia="zh-CN" w:bidi="ar-SA"/>
        </w:rPr>
        <w:t>、水费</w:t>
      </w:r>
      <w:r>
        <w:rPr>
          <w:rFonts w:hint="eastAsia" w:eastAsia="仿宋_GB2312" w:cs="仿宋_GB2312"/>
          <w:color w:val="auto"/>
          <w:kern w:val="2"/>
          <w:sz w:val="32"/>
          <w:szCs w:val="32"/>
          <w:highlight w:val="none"/>
          <w:lang w:val="en-US" w:eastAsia="zh-CN" w:bidi="ar-SA"/>
        </w:rPr>
        <w:t>0.12万元</w:t>
      </w:r>
      <w:r>
        <w:rPr>
          <w:rFonts w:hint="eastAsia" w:ascii="Times New Roman" w:hAnsi="Times New Roman" w:eastAsia="仿宋_GB2312" w:cs="仿宋_GB2312"/>
          <w:color w:val="auto"/>
          <w:kern w:val="2"/>
          <w:sz w:val="32"/>
          <w:szCs w:val="32"/>
          <w:highlight w:val="none"/>
          <w:lang w:val="en-US" w:eastAsia="zh-CN" w:bidi="ar-SA"/>
        </w:rPr>
        <w:t>、电费</w:t>
      </w:r>
      <w:r>
        <w:rPr>
          <w:rFonts w:hint="eastAsia" w:eastAsia="仿宋_GB2312" w:cs="仿宋_GB2312"/>
          <w:color w:val="auto"/>
          <w:kern w:val="2"/>
          <w:sz w:val="32"/>
          <w:szCs w:val="32"/>
          <w:highlight w:val="none"/>
          <w:lang w:val="en-US" w:eastAsia="zh-CN" w:bidi="ar-SA"/>
        </w:rPr>
        <w:t>0.2万元</w:t>
      </w:r>
      <w:r>
        <w:rPr>
          <w:rFonts w:hint="eastAsia" w:ascii="Times New Roman" w:hAnsi="Times New Roman" w:eastAsia="仿宋_GB2312" w:cs="仿宋_GB2312"/>
          <w:color w:val="auto"/>
          <w:kern w:val="2"/>
          <w:sz w:val="32"/>
          <w:szCs w:val="32"/>
          <w:highlight w:val="none"/>
          <w:lang w:val="en-US" w:eastAsia="zh-CN" w:bidi="ar-SA"/>
        </w:rPr>
        <w:t>、邮电费</w:t>
      </w:r>
      <w:r>
        <w:rPr>
          <w:rFonts w:hint="eastAsia" w:eastAsia="仿宋_GB2312" w:cs="仿宋_GB2312"/>
          <w:color w:val="auto"/>
          <w:kern w:val="2"/>
          <w:sz w:val="32"/>
          <w:szCs w:val="32"/>
          <w:highlight w:val="none"/>
          <w:lang w:val="en-US" w:eastAsia="zh-CN" w:bidi="ar-SA"/>
        </w:rPr>
        <w:t>0.2万元</w:t>
      </w:r>
      <w:r>
        <w:rPr>
          <w:rFonts w:hint="eastAsia" w:ascii="Times New Roman" w:hAnsi="Times New Roman" w:eastAsia="仿宋_GB2312" w:cs="仿宋_GB2312"/>
          <w:color w:val="auto"/>
          <w:kern w:val="2"/>
          <w:sz w:val="32"/>
          <w:szCs w:val="32"/>
          <w:highlight w:val="none"/>
          <w:lang w:val="en-US" w:eastAsia="zh-CN" w:bidi="ar-SA"/>
        </w:rPr>
        <w:t>、取暖费</w:t>
      </w:r>
      <w:r>
        <w:rPr>
          <w:rFonts w:hint="eastAsia" w:eastAsia="仿宋_GB2312" w:cs="仿宋_GB2312"/>
          <w:color w:val="auto"/>
          <w:kern w:val="2"/>
          <w:sz w:val="32"/>
          <w:szCs w:val="32"/>
          <w:highlight w:val="none"/>
          <w:lang w:val="en-US" w:eastAsia="zh-CN" w:bidi="ar-SA"/>
        </w:rPr>
        <w:t>0万元</w:t>
      </w:r>
      <w:r>
        <w:rPr>
          <w:rFonts w:hint="eastAsia" w:ascii="Times New Roman" w:hAnsi="Times New Roman" w:eastAsia="仿宋_GB2312" w:cs="仿宋_GB2312"/>
          <w:color w:val="auto"/>
          <w:kern w:val="2"/>
          <w:sz w:val="32"/>
          <w:szCs w:val="32"/>
          <w:highlight w:val="none"/>
          <w:lang w:val="en-US" w:eastAsia="zh-CN" w:bidi="ar-SA"/>
        </w:rPr>
        <w:t>、物业管理费</w:t>
      </w:r>
      <w:r>
        <w:rPr>
          <w:rFonts w:hint="eastAsia" w:eastAsia="仿宋_GB2312" w:cs="仿宋_GB2312"/>
          <w:color w:val="auto"/>
          <w:kern w:val="2"/>
          <w:sz w:val="32"/>
          <w:szCs w:val="32"/>
          <w:highlight w:val="none"/>
          <w:lang w:val="en-US" w:eastAsia="zh-CN" w:bidi="ar-SA"/>
        </w:rPr>
        <w:t>0万元</w:t>
      </w:r>
      <w:r>
        <w:rPr>
          <w:rFonts w:hint="eastAsia" w:ascii="Times New Roman" w:hAnsi="Times New Roman" w:eastAsia="仿宋_GB2312" w:cs="仿宋_GB2312"/>
          <w:color w:val="auto"/>
          <w:kern w:val="2"/>
          <w:sz w:val="32"/>
          <w:szCs w:val="32"/>
          <w:highlight w:val="none"/>
          <w:lang w:val="en-US" w:eastAsia="zh-CN" w:bidi="ar-SA"/>
        </w:rPr>
        <w:t>、差旅费</w:t>
      </w:r>
      <w:r>
        <w:rPr>
          <w:rFonts w:hint="eastAsia" w:eastAsia="仿宋_GB2312" w:cs="仿宋_GB2312"/>
          <w:color w:val="auto"/>
          <w:kern w:val="2"/>
          <w:sz w:val="32"/>
          <w:szCs w:val="32"/>
          <w:highlight w:val="none"/>
          <w:lang w:val="en-US" w:eastAsia="zh-CN" w:bidi="ar-SA"/>
        </w:rPr>
        <w:t>3万元</w:t>
      </w:r>
      <w:r>
        <w:rPr>
          <w:rFonts w:hint="eastAsia" w:ascii="Times New Roman" w:hAnsi="Times New Roman" w:eastAsia="仿宋_GB2312" w:cs="仿宋_GB2312"/>
          <w:color w:val="auto"/>
          <w:kern w:val="2"/>
          <w:sz w:val="32"/>
          <w:szCs w:val="32"/>
          <w:highlight w:val="none"/>
          <w:lang w:val="en-US" w:eastAsia="zh-CN" w:bidi="ar-SA"/>
        </w:rPr>
        <w:t>、因公出国（境）费用</w:t>
      </w:r>
      <w:r>
        <w:rPr>
          <w:rFonts w:hint="eastAsia" w:eastAsia="仿宋_GB2312" w:cs="仿宋_GB2312"/>
          <w:color w:val="auto"/>
          <w:kern w:val="2"/>
          <w:sz w:val="32"/>
          <w:szCs w:val="32"/>
          <w:highlight w:val="none"/>
          <w:lang w:val="en-US" w:eastAsia="zh-CN" w:bidi="ar-SA"/>
        </w:rPr>
        <w:t>0万元</w:t>
      </w:r>
      <w:r>
        <w:rPr>
          <w:rFonts w:hint="eastAsia" w:ascii="Times New Roman" w:hAnsi="Times New Roman" w:eastAsia="仿宋_GB2312" w:cs="仿宋_GB2312"/>
          <w:color w:val="auto"/>
          <w:kern w:val="2"/>
          <w:sz w:val="32"/>
          <w:szCs w:val="32"/>
          <w:highlight w:val="none"/>
          <w:lang w:val="en-US" w:eastAsia="zh-CN" w:bidi="ar-SA"/>
        </w:rPr>
        <w:t>、维修（护）费</w:t>
      </w:r>
      <w:r>
        <w:rPr>
          <w:rFonts w:hint="eastAsia" w:eastAsia="仿宋_GB2312" w:cs="仿宋_GB2312"/>
          <w:color w:val="auto"/>
          <w:kern w:val="2"/>
          <w:sz w:val="32"/>
          <w:szCs w:val="32"/>
          <w:highlight w:val="none"/>
          <w:lang w:val="en-US" w:eastAsia="zh-CN" w:bidi="ar-SA"/>
        </w:rPr>
        <w:t>0.4万元</w:t>
      </w:r>
      <w:r>
        <w:rPr>
          <w:rFonts w:hint="eastAsia" w:ascii="Times New Roman" w:hAnsi="Times New Roman" w:eastAsia="仿宋_GB2312" w:cs="仿宋_GB2312"/>
          <w:color w:val="auto"/>
          <w:kern w:val="2"/>
          <w:sz w:val="32"/>
          <w:szCs w:val="32"/>
          <w:highlight w:val="none"/>
          <w:lang w:val="en-US" w:eastAsia="zh-CN" w:bidi="ar-SA"/>
        </w:rPr>
        <w:t>、租赁费</w:t>
      </w:r>
      <w:r>
        <w:rPr>
          <w:rFonts w:hint="eastAsia" w:eastAsia="仿宋_GB2312" w:cs="仿宋_GB2312"/>
          <w:color w:val="auto"/>
          <w:kern w:val="2"/>
          <w:sz w:val="32"/>
          <w:szCs w:val="32"/>
          <w:highlight w:val="none"/>
          <w:lang w:val="en-US" w:eastAsia="zh-CN" w:bidi="ar-SA"/>
        </w:rPr>
        <w:t>0万元</w:t>
      </w:r>
      <w:r>
        <w:rPr>
          <w:rFonts w:hint="eastAsia" w:ascii="Times New Roman" w:hAnsi="Times New Roman" w:eastAsia="仿宋_GB2312" w:cs="仿宋_GB2312"/>
          <w:color w:val="auto"/>
          <w:kern w:val="2"/>
          <w:sz w:val="32"/>
          <w:szCs w:val="32"/>
          <w:highlight w:val="none"/>
          <w:lang w:val="en-US" w:eastAsia="zh-CN" w:bidi="ar-SA"/>
        </w:rPr>
        <w:t>、会议费</w:t>
      </w:r>
      <w:r>
        <w:rPr>
          <w:rFonts w:hint="eastAsia" w:eastAsia="仿宋_GB2312" w:cs="仿宋_GB2312"/>
          <w:color w:val="auto"/>
          <w:kern w:val="2"/>
          <w:sz w:val="32"/>
          <w:szCs w:val="32"/>
          <w:highlight w:val="none"/>
          <w:lang w:val="en-US" w:eastAsia="zh-CN" w:bidi="ar-SA"/>
        </w:rPr>
        <w:t>0万元</w:t>
      </w:r>
      <w:r>
        <w:rPr>
          <w:rFonts w:hint="eastAsia" w:ascii="Times New Roman" w:hAnsi="Times New Roman" w:eastAsia="仿宋_GB2312" w:cs="仿宋_GB2312"/>
          <w:color w:val="auto"/>
          <w:kern w:val="2"/>
          <w:sz w:val="32"/>
          <w:szCs w:val="32"/>
          <w:highlight w:val="none"/>
          <w:lang w:val="en-US" w:eastAsia="zh-CN" w:bidi="ar-SA"/>
        </w:rPr>
        <w:t>、培训费</w:t>
      </w:r>
      <w:r>
        <w:rPr>
          <w:rFonts w:hint="eastAsia" w:eastAsia="仿宋_GB2312" w:cs="仿宋_GB2312"/>
          <w:color w:val="auto"/>
          <w:kern w:val="2"/>
          <w:sz w:val="32"/>
          <w:szCs w:val="32"/>
          <w:highlight w:val="none"/>
          <w:lang w:val="en-US" w:eastAsia="zh-CN" w:bidi="ar-SA"/>
        </w:rPr>
        <w:t>0万元</w:t>
      </w:r>
      <w:r>
        <w:rPr>
          <w:rFonts w:hint="eastAsia" w:ascii="Times New Roman" w:hAnsi="Times New Roman" w:eastAsia="仿宋_GB2312" w:cs="仿宋_GB2312"/>
          <w:color w:val="auto"/>
          <w:kern w:val="2"/>
          <w:sz w:val="32"/>
          <w:szCs w:val="32"/>
          <w:highlight w:val="none"/>
          <w:lang w:val="en-US" w:eastAsia="zh-CN" w:bidi="ar-SA"/>
        </w:rPr>
        <w:t>、公务接待费</w:t>
      </w:r>
      <w:r>
        <w:rPr>
          <w:rFonts w:hint="eastAsia" w:eastAsia="仿宋_GB2312" w:cs="仿宋_GB2312"/>
          <w:color w:val="auto"/>
          <w:kern w:val="2"/>
          <w:sz w:val="32"/>
          <w:szCs w:val="32"/>
          <w:highlight w:val="none"/>
          <w:lang w:val="en-US" w:eastAsia="zh-CN" w:bidi="ar-SA"/>
        </w:rPr>
        <w:t>0万元</w:t>
      </w:r>
      <w:r>
        <w:rPr>
          <w:rFonts w:hint="eastAsia" w:ascii="Times New Roman" w:hAnsi="Times New Roman" w:eastAsia="仿宋_GB2312" w:cs="仿宋_GB2312"/>
          <w:color w:val="auto"/>
          <w:kern w:val="2"/>
          <w:sz w:val="32"/>
          <w:szCs w:val="32"/>
          <w:highlight w:val="none"/>
          <w:lang w:val="en-US" w:eastAsia="zh-CN" w:bidi="ar-SA"/>
        </w:rPr>
        <w:t>、劳务费</w:t>
      </w:r>
      <w:r>
        <w:rPr>
          <w:rFonts w:hint="eastAsia" w:eastAsia="仿宋_GB2312" w:cs="仿宋_GB2312"/>
          <w:color w:val="auto"/>
          <w:kern w:val="2"/>
          <w:sz w:val="32"/>
          <w:szCs w:val="32"/>
          <w:highlight w:val="none"/>
          <w:lang w:val="en-US" w:eastAsia="zh-CN" w:bidi="ar-SA"/>
        </w:rPr>
        <w:t>0万元</w:t>
      </w:r>
      <w:r>
        <w:rPr>
          <w:rFonts w:hint="eastAsia" w:ascii="Times New Roman" w:hAnsi="Times New Roman" w:eastAsia="仿宋_GB2312" w:cs="仿宋_GB2312"/>
          <w:color w:val="auto"/>
          <w:kern w:val="2"/>
          <w:sz w:val="32"/>
          <w:szCs w:val="32"/>
          <w:highlight w:val="none"/>
          <w:lang w:val="en-US" w:eastAsia="zh-CN" w:bidi="ar-SA"/>
        </w:rPr>
        <w:t>、委托业务费</w:t>
      </w:r>
      <w:r>
        <w:rPr>
          <w:rFonts w:hint="eastAsia" w:eastAsia="仿宋_GB2312" w:cs="仿宋_GB2312"/>
          <w:color w:val="auto"/>
          <w:kern w:val="2"/>
          <w:sz w:val="32"/>
          <w:szCs w:val="32"/>
          <w:highlight w:val="none"/>
          <w:lang w:val="en-US" w:eastAsia="zh-CN" w:bidi="ar-SA"/>
        </w:rPr>
        <w:t>0万元</w:t>
      </w:r>
      <w:r>
        <w:rPr>
          <w:rFonts w:hint="eastAsia" w:ascii="Times New Roman" w:hAnsi="Times New Roman" w:eastAsia="仿宋_GB2312" w:cs="仿宋_GB2312"/>
          <w:color w:val="auto"/>
          <w:kern w:val="2"/>
          <w:sz w:val="32"/>
          <w:szCs w:val="32"/>
          <w:highlight w:val="none"/>
          <w:lang w:val="en-US" w:eastAsia="zh-CN" w:bidi="ar-SA"/>
        </w:rPr>
        <w:t>、工会经费</w:t>
      </w:r>
      <w:r>
        <w:rPr>
          <w:rFonts w:hint="eastAsia" w:eastAsia="仿宋_GB2312" w:cs="仿宋_GB2312"/>
          <w:color w:val="auto"/>
          <w:kern w:val="2"/>
          <w:sz w:val="32"/>
          <w:szCs w:val="32"/>
          <w:highlight w:val="none"/>
          <w:lang w:val="en-US" w:eastAsia="zh-CN" w:bidi="ar-SA"/>
        </w:rPr>
        <w:t>0万元</w:t>
      </w:r>
      <w:r>
        <w:rPr>
          <w:rFonts w:hint="eastAsia" w:ascii="Times New Roman" w:hAnsi="Times New Roman" w:eastAsia="仿宋_GB2312" w:cs="仿宋_GB2312"/>
          <w:color w:val="auto"/>
          <w:kern w:val="2"/>
          <w:sz w:val="32"/>
          <w:szCs w:val="32"/>
          <w:highlight w:val="none"/>
          <w:lang w:val="en-US" w:eastAsia="zh-CN" w:bidi="ar-SA"/>
        </w:rPr>
        <w:t>、福利费</w:t>
      </w:r>
      <w:r>
        <w:rPr>
          <w:rFonts w:hint="eastAsia" w:eastAsia="仿宋_GB2312" w:cs="仿宋_GB2312"/>
          <w:color w:val="auto"/>
          <w:kern w:val="2"/>
          <w:sz w:val="32"/>
          <w:szCs w:val="32"/>
          <w:highlight w:val="none"/>
          <w:lang w:val="en-US" w:eastAsia="zh-CN" w:bidi="ar-SA"/>
        </w:rPr>
        <w:t>0万元</w:t>
      </w:r>
      <w:r>
        <w:rPr>
          <w:rFonts w:hint="eastAsia" w:ascii="Times New Roman" w:hAnsi="Times New Roman" w:eastAsia="仿宋_GB2312" w:cs="仿宋_GB2312"/>
          <w:color w:val="auto"/>
          <w:kern w:val="2"/>
          <w:sz w:val="32"/>
          <w:szCs w:val="32"/>
          <w:highlight w:val="none"/>
          <w:lang w:val="en-US" w:eastAsia="zh-CN" w:bidi="ar-SA"/>
        </w:rPr>
        <w:t>、公务用车运行维护费</w:t>
      </w:r>
      <w:r>
        <w:rPr>
          <w:rFonts w:hint="eastAsia" w:eastAsia="仿宋_GB2312" w:cs="仿宋_GB2312"/>
          <w:color w:val="auto"/>
          <w:kern w:val="2"/>
          <w:sz w:val="32"/>
          <w:szCs w:val="32"/>
          <w:highlight w:val="none"/>
          <w:lang w:val="en-US" w:eastAsia="zh-CN" w:bidi="ar-SA"/>
        </w:rPr>
        <w:t>0万元</w:t>
      </w:r>
      <w:r>
        <w:rPr>
          <w:rFonts w:hint="eastAsia" w:ascii="Times New Roman" w:hAnsi="Times New Roman" w:eastAsia="仿宋_GB2312" w:cs="仿宋_GB2312"/>
          <w:color w:val="auto"/>
          <w:kern w:val="2"/>
          <w:sz w:val="32"/>
          <w:szCs w:val="32"/>
          <w:highlight w:val="none"/>
          <w:lang w:val="en-US" w:eastAsia="zh-CN" w:bidi="ar-SA"/>
        </w:rPr>
        <w:t>、其他交通费</w:t>
      </w:r>
      <w:r>
        <w:rPr>
          <w:rFonts w:hint="eastAsia" w:eastAsia="仿宋_GB2312" w:cs="仿宋_GB2312"/>
          <w:color w:val="auto"/>
          <w:kern w:val="2"/>
          <w:sz w:val="32"/>
          <w:szCs w:val="32"/>
          <w:highlight w:val="none"/>
          <w:lang w:val="en-US" w:eastAsia="zh-CN" w:bidi="ar-SA"/>
        </w:rPr>
        <w:t>2.2万元</w:t>
      </w:r>
      <w:r>
        <w:rPr>
          <w:rFonts w:hint="eastAsia" w:ascii="Times New Roman" w:hAnsi="Times New Roman" w:eastAsia="仿宋_GB2312" w:cs="仿宋_GB2312"/>
          <w:color w:val="auto"/>
          <w:kern w:val="2"/>
          <w:sz w:val="32"/>
          <w:szCs w:val="32"/>
          <w:highlight w:val="none"/>
          <w:lang w:val="en-US" w:eastAsia="zh-CN" w:bidi="ar-SA"/>
        </w:rPr>
        <w:t>、税金及附加费用</w:t>
      </w:r>
      <w:r>
        <w:rPr>
          <w:rFonts w:hint="eastAsia" w:eastAsia="仿宋_GB2312" w:cs="仿宋_GB2312"/>
          <w:color w:val="auto"/>
          <w:kern w:val="2"/>
          <w:sz w:val="32"/>
          <w:szCs w:val="32"/>
          <w:highlight w:val="none"/>
          <w:lang w:val="en-US" w:eastAsia="zh-CN" w:bidi="ar-SA"/>
        </w:rPr>
        <w:t>0万元</w:t>
      </w:r>
      <w:r>
        <w:rPr>
          <w:rFonts w:hint="eastAsia" w:ascii="Times New Roman" w:hAnsi="Times New Roman" w:eastAsia="仿宋_GB2312" w:cs="仿宋_GB2312"/>
          <w:color w:val="auto"/>
          <w:kern w:val="2"/>
          <w:sz w:val="32"/>
          <w:szCs w:val="32"/>
          <w:highlight w:val="none"/>
          <w:lang w:val="en-US" w:eastAsia="zh-CN" w:bidi="ar-SA"/>
        </w:rPr>
        <w:t>、其他商品和服务支出</w:t>
      </w:r>
      <w:r>
        <w:rPr>
          <w:rFonts w:hint="eastAsia" w:eastAsia="仿宋_GB2312" w:cs="仿宋_GB2312"/>
          <w:color w:val="auto"/>
          <w:kern w:val="2"/>
          <w:sz w:val="32"/>
          <w:szCs w:val="32"/>
          <w:highlight w:val="none"/>
          <w:lang w:val="en-US" w:eastAsia="zh-CN" w:bidi="ar-SA"/>
        </w:rPr>
        <w:t>0万元</w:t>
      </w:r>
      <w:r>
        <w:rPr>
          <w:rFonts w:hint="eastAsia" w:ascii="Times New Roman" w:hAnsi="Times New Roman" w:eastAsia="仿宋_GB2312" w:cs="仿宋_GB2312"/>
          <w:color w:val="auto"/>
          <w:kern w:val="2"/>
          <w:sz w:val="32"/>
          <w:szCs w:val="32"/>
          <w:highlight w:val="none"/>
          <w:lang w:val="en-US" w:eastAsia="zh-CN" w:bidi="ar-SA"/>
        </w:rPr>
        <w:t>、办公设备购置</w:t>
      </w:r>
      <w:r>
        <w:rPr>
          <w:rFonts w:hint="eastAsia" w:eastAsia="仿宋_GB2312" w:cs="仿宋_GB2312"/>
          <w:color w:val="auto"/>
          <w:kern w:val="2"/>
          <w:sz w:val="32"/>
          <w:szCs w:val="32"/>
          <w:highlight w:val="none"/>
          <w:lang w:val="en-US" w:eastAsia="zh-CN" w:bidi="ar-SA"/>
        </w:rPr>
        <w:t>0万元</w:t>
      </w:r>
      <w:r>
        <w:rPr>
          <w:rFonts w:hint="eastAsia" w:ascii="Times New Roman" w:hAnsi="Times New Roman" w:eastAsia="仿宋_GB2312" w:cs="仿宋_GB2312"/>
          <w:color w:val="auto"/>
          <w:kern w:val="2"/>
          <w:sz w:val="32"/>
          <w:szCs w:val="32"/>
          <w:highlight w:val="none"/>
          <w:lang w:val="en-US" w:eastAsia="zh-CN" w:bidi="ar-SA"/>
        </w:rPr>
        <w:t>、专用设备购置</w:t>
      </w:r>
      <w:r>
        <w:rPr>
          <w:rFonts w:hint="eastAsia" w:eastAsia="仿宋_GB2312" w:cs="仿宋_GB2312"/>
          <w:color w:val="auto"/>
          <w:kern w:val="2"/>
          <w:sz w:val="32"/>
          <w:szCs w:val="32"/>
          <w:highlight w:val="none"/>
          <w:lang w:val="en-US" w:eastAsia="zh-CN" w:bidi="ar-SA"/>
        </w:rPr>
        <w:t>0万元</w:t>
      </w:r>
      <w:r>
        <w:rPr>
          <w:rFonts w:hint="eastAsia" w:ascii="Times New Roman" w:hAnsi="Times New Roman" w:eastAsia="仿宋_GB2312" w:cs="仿宋_GB2312"/>
          <w:color w:val="auto"/>
          <w:kern w:val="2"/>
          <w:sz w:val="32"/>
          <w:szCs w:val="32"/>
          <w:highlight w:val="none"/>
          <w:lang w:val="en-US" w:eastAsia="zh-CN" w:bidi="ar-SA"/>
        </w:rPr>
        <w:t>、信息网络及软件购置更新</w:t>
      </w:r>
      <w:r>
        <w:rPr>
          <w:rFonts w:hint="eastAsia" w:eastAsia="仿宋_GB2312" w:cs="仿宋_GB2312"/>
          <w:color w:val="auto"/>
          <w:kern w:val="2"/>
          <w:sz w:val="32"/>
          <w:szCs w:val="32"/>
          <w:highlight w:val="none"/>
          <w:lang w:val="en-US" w:eastAsia="zh-CN" w:bidi="ar-SA"/>
        </w:rPr>
        <w:t>0万元</w:t>
      </w:r>
      <w:r>
        <w:rPr>
          <w:rFonts w:hint="eastAsia" w:ascii="Times New Roman" w:hAnsi="Times New Roman" w:eastAsia="仿宋_GB2312" w:cs="仿宋_GB2312"/>
          <w:color w:val="auto"/>
          <w:kern w:val="2"/>
          <w:sz w:val="32"/>
          <w:szCs w:val="32"/>
          <w:highlight w:val="none"/>
          <w:lang w:val="en-US" w:eastAsia="zh-CN" w:bidi="ar-SA"/>
        </w:rPr>
        <w:t>、其他资本性支出</w:t>
      </w:r>
      <w:r>
        <w:rPr>
          <w:rFonts w:hint="eastAsia" w:eastAsia="仿宋_GB2312" w:cs="仿宋_GB2312"/>
          <w:color w:val="auto"/>
          <w:kern w:val="2"/>
          <w:sz w:val="32"/>
          <w:szCs w:val="32"/>
          <w:highlight w:val="none"/>
          <w:lang w:val="en-US" w:eastAsia="zh-CN" w:bidi="ar-SA"/>
        </w:rPr>
        <w:t>0万元</w:t>
      </w:r>
      <w:r>
        <w:rPr>
          <w:rFonts w:hint="eastAsia" w:ascii="Times New Roman" w:hAnsi="Times New Roman" w:eastAsia="仿宋_GB2312" w:cs="仿宋_GB2312"/>
          <w:color w:val="auto"/>
          <w:kern w:val="2"/>
          <w:sz w:val="32"/>
          <w:szCs w:val="32"/>
          <w:highlight w:val="none"/>
          <w:lang w:val="en-US" w:eastAsia="zh-CN" w:bidi="ar-SA"/>
        </w:rPr>
        <w:t>等。</w:t>
      </w:r>
    </w:p>
    <w:p w14:paraId="0E12B9ED">
      <w:pPr>
        <w:spacing w:line="600" w:lineRule="exact"/>
        <w:ind w:firstLine="640"/>
        <w:outlineLvl w:val="1"/>
        <w:rPr>
          <w:rStyle w:val="30"/>
          <w:rFonts w:ascii="Times New Roman" w:hAnsi="Times New Roman" w:eastAsia="黑体"/>
          <w:b w:val="0"/>
          <w:color w:val="auto"/>
          <w:highlight w:val="none"/>
        </w:rPr>
      </w:pPr>
      <w:bookmarkStart w:id="50" w:name="_Toc15377215"/>
      <w:bookmarkStart w:id="51" w:name="_Toc15396609"/>
      <w:bookmarkStart w:id="52" w:name="_Toc17231"/>
      <w:r>
        <w:rPr>
          <w:rFonts w:hint="eastAsia" w:ascii="Times New Roman" w:hAnsi="Times New Roman" w:eastAsia="黑体"/>
          <w:color w:val="auto"/>
          <w:sz w:val="32"/>
          <w:szCs w:val="32"/>
          <w:highlight w:val="none"/>
        </w:rPr>
        <w:t>七、</w:t>
      </w:r>
      <w:r>
        <w:rPr>
          <w:rStyle w:val="30"/>
          <w:rFonts w:hint="eastAsia" w:ascii="Times New Roman" w:hAnsi="Times New Roman" w:eastAsia="黑体"/>
          <w:b w:val="0"/>
          <w:color w:val="auto"/>
          <w:highlight w:val="none"/>
        </w:rPr>
        <w:t>财政拨款</w:t>
      </w:r>
      <w:r>
        <w:rPr>
          <w:rStyle w:val="30"/>
          <w:rFonts w:hint="eastAsia" w:ascii="Times New Roman" w:hAnsi="Times New Roman" w:eastAsia="黑体"/>
          <w:color w:val="auto"/>
          <w:highlight w:val="none"/>
        </w:rPr>
        <w:t>“</w:t>
      </w:r>
      <w:r>
        <w:rPr>
          <w:rStyle w:val="30"/>
          <w:rFonts w:hint="eastAsia" w:ascii="Times New Roman" w:hAnsi="Times New Roman" w:eastAsia="黑体"/>
          <w:b w:val="0"/>
          <w:color w:val="auto"/>
          <w:highlight w:val="none"/>
        </w:rPr>
        <w:t>三公”经费支出决算情况说明</w:t>
      </w:r>
      <w:bookmarkEnd w:id="50"/>
      <w:bookmarkEnd w:id="51"/>
      <w:bookmarkEnd w:id="52"/>
    </w:p>
    <w:p w14:paraId="6E04AF76">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53" w:name="_Toc15377216"/>
      <w:r>
        <w:rPr>
          <w:rFonts w:hint="eastAsia" w:ascii="Times New Roman" w:hAnsi="Times New Roman" w:eastAsia="楷体_GB2312" w:cs="楷体_GB2312"/>
          <w:b/>
          <w:color w:val="auto"/>
          <w:sz w:val="32"/>
          <w:szCs w:val="32"/>
          <w:highlight w:val="none"/>
        </w:rPr>
        <w:t>（一）“三公”经费财政拨款支出决算总体情况说明</w:t>
      </w:r>
      <w:bookmarkEnd w:id="53"/>
    </w:p>
    <w:p w14:paraId="2EDCC11C">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2024年度“三公”经费财政拨款支出决算为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万元，完成预算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p>
    <w:p w14:paraId="6D9C8A92">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54" w:name="_Toc15377217"/>
      <w:r>
        <w:rPr>
          <w:rFonts w:hint="eastAsia" w:ascii="Times New Roman" w:hAnsi="Times New Roman" w:eastAsia="楷体_GB2312" w:cs="楷体_GB2312"/>
          <w:b/>
          <w:color w:val="auto"/>
          <w:sz w:val="32"/>
          <w:szCs w:val="32"/>
          <w:highlight w:val="none"/>
        </w:rPr>
        <w:t>（二）“三公”经费财政拨款支出决算具体情况说明</w:t>
      </w:r>
      <w:bookmarkEnd w:id="54"/>
    </w:p>
    <w:p w14:paraId="0878D9D0">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2024年度“三公”经费财政拨款支出决算中，因公出国（境）费支出决算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万元，占0%；公务用车购置及运行维护费支出决算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万元，占0%；公务接待费支出决算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万元，占0%。</w:t>
      </w:r>
    </w:p>
    <w:p w14:paraId="34E81B4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1.因公出国（境）经费支出</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万元，完成预算</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全年安排因公出国（境）团</w:t>
      </w:r>
      <w:r>
        <w:rPr>
          <w:rFonts w:hint="eastAsia" w:ascii="仿宋_GB2312" w:hAnsi="仿宋_GB2312" w:eastAsia="仿宋_GB2312" w:cs="仿宋_GB2312"/>
          <w:color w:val="auto"/>
          <w:kern w:val="2"/>
          <w:sz w:val="32"/>
          <w:szCs w:val="32"/>
          <w:highlight w:val="none"/>
          <w:lang w:val="en-US" w:eastAsia="zh-CN" w:bidi="ar-SA"/>
        </w:rPr>
        <w:t>组</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次，出国（境）</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人</w:t>
      </w:r>
      <w:r>
        <w:rPr>
          <w:rFonts w:hint="eastAsia" w:ascii="Times New Roman" w:hAnsi="Times New Roman" w:eastAsia="仿宋_GB2312" w:cs="仿宋_GB2312"/>
          <w:color w:val="auto"/>
          <w:kern w:val="2"/>
          <w:sz w:val="32"/>
          <w:szCs w:val="32"/>
          <w:highlight w:val="none"/>
          <w:lang w:val="en-US" w:eastAsia="zh-CN" w:bidi="ar-SA"/>
        </w:rPr>
        <w:t>。因公出国（境）支出决算比2023年增加/减少</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万元，增长/下降</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w:t>
      </w:r>
    </w:p>
    <w:p w14:paraId="54D05A7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2.公务用车购置及运行维护费支出</w:t>
      </w:r>
      <w:r>
        <w:rPr>
          <w:rFonts w:hint="eastAsia" w:ascii="仿宋_GB2312" w:hAnsi="仿宋_GB2312" w:eastAsia="仿宋_GB2312" w:cs="仿宋_GB2312"/>
          <w:b/>
          <w:bCs/>
          <w:color w:val="auto"/>
          <w:kern w:val="2"/>
          <w:sz w:val="32"/>
          <w:szCs w:val="32"/>
          <w:highlight w:val="none"/>
          <w:lang w:val="en-US" w:eastAsia="zh-CN" w:bidi="ar-SA"/>
        </w:rPr>
        <w:t>0万</w:t>
      </w:r>
      <w:r>
        <w:rPr>
          <w:rFonts w:hint="eastAsia" w:ascii="Times New Roman" w:hAnsi="Times New Roman" w:eastAsia="仿宋_GB2312" w:cs="仿宋_GB2312"/>
          <w:b/>
          <w:bCs/>
          <w:color w:val="auto"/>
          <w:kern w:val="2"/>
          <w:sz w:val="32"/>
          <w:szCs w:val="32"/>
          <w:highlight w:val="none"/>
          <w:lang w:val="en-US" w:eastAsia="zh-CN" w:bidi="ar-SA"/>
        </w:rPr>
        <w:t>元</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完成预算</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公务用车购置及运行维护费支出决算比2023年度增加/减少</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万元，增长/下降</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w:t>
      </w:r>
    </w:p>
    <w:p w14:paraId="763D0B8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其中：公务用车购置支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万元。全年按规定更新购置公务用车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辆，其中：轿车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辆、金额</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万元，越野车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辆、金额</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万元，载客汽车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辆、金额</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万元。截至2024年12月31日，单位共有公务用车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辆，其中：轿车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辆、越野车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辆、载客汽车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w:t>
      </w:r>
    </w:p>
    <w:p w14:paraId="2DF6C162">
      <w:pPr>
        <w:spacing w:line="600" w:lineRule="exact"/>
        <w:ind w:firstLine="640"/>
        <w:rPr>
          <w:rFonts w:hint="eastAsia"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公务用车运行维护费支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w:t>
      </w:r>
    </w:p>
    <w:p w14:paraId="5D59CFBF">
      <w:pPr>
        <w:spacing w:line="600" w:lineRule="exact"/>
        <w:ind w:firstLine="643" w:firstLineChars="200"/>
        <w:rPr>
          <w:rFonts w:hint="default"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3.公务接待费支出</w:t>
      </w:r>
      <w:r>
        <w:rPr>
          <w:rFonts w:hint="eastAsia" w:ascii="仿宋_GB2312" w:hAnsi="仿宋_GB2312" w:eastAsia="仿宋_GB2312" w:cs="仿宋_GB2312"/>
          <w:b/>
          <w:bCs/>
          <w:color w:val="auto"/>
          <w:kern w:val="2"/>
          <w:sz w:val="32"/>
          <w:szCs w:val="32"/>
          <w:highlight w:val="none"/>
          <w:lang w:val="en-US" w:eastAsia="zh-CN" w:bidi="ar-SA"/>
        </w:rPr>
        <w:t>0万</w:t>
      </w:r>
      <w:r>
        <w:rPr>
          <w:rFonts w:hint="eastAsia" w:ascii="Times New Roman" w:hAnsi="Times New Roman" w:eastAsia="仿宋_GB2312" w:cs="仿宋_GB2312"/>
          <w:b/>
          <w:bCs/>
          <w:color w:val="auto"/>
          <w:kern w:val="2"/>
          <w:sz w:val="32"/>
          <w:szCs w:val="32"/>
          <w:highlight w:val="none"/>
          <w:lang w:val="en-US" w:eastAsia="zh-CN" w:bidi="ar-SA"/>
        </w:rPr>
        <w:t>元，完成预算</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公务接待费支出决算比2023年度增加/减少</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万元，增长/下降</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w:t>
      </w:r>
    </w:p>
    <w:p w14:paraId="406EB27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国内公务接待支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w:t>
      </w:r>
    </w:p>
    <w:p w14:paraId="0FCAAFF1">
      <w:pPr>
        <w:spacing w:line="600" w:lineRule="exact"/>
        <w:ind w:firstLine="640"/>
        <w:outlineLvl w:val="1"/>
        <w:rPr>
          <w:rFonts w:hint="eastAsia" w:ascii="仿宋_GB2312" w:hAnsi="仿宋_GB2312" w:eastAsia="仿宋_GB2312" w:cs="仿宋_GB2312"/>
          <w:color w:val="auto"/>
          <w:kern w:val="2"/>
          <w:sz w:val="32"/>
          <w:szCs w:val="32"/>
          <w:highlight w:val="none"/>
          <w:lang w:val="en-US" w:eastAsia="zh-CN" w:bidi="ar-SA"/>
        </w:rPr>
      </w:pPr>
      <w:bookmarkStart w:id="55" w:name="_Toc17772"/>
      <w:bookmarkStart w:id="56" w:name="_Toc15058"/>
      <w:r>
        <w:rPr>
          <w:rFonts w:hint="eastAsia" w:ascii="Times New Roman" w:hAnsi="Times New Roman" w:eastAsia="仿宋_GB2312" w:cs="仿宋_GB2312"/>
          <w:color w:val="auto"/>
          <w:kern w:val="2"/>
          <w:sz w:val="32"/>
          <w:szCs w:val="32"/>
          <w:highlight w:val="none"/>
          <w:lang w:val="en-US" w:eastAsia="zh-CN" w:bidi="ar-SA"/>
        </w:rPr>
        <w:t>外事接待支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w:t>
      </w:r>
      <w:bookmarkStart w:id="57" w:name="_Toc15396610"/>
      <w:bookmarkStart w:id="58" w:name="_Toc15377218"/>
      <w:r>
        <w:rPr>
          <w:rFonts w:hint="eastAsia" w:ascii="仿宋_GB2312" w:hAnsi="仿宋_GB2312" w:eastAsia="仿宋_GB2312" w:cs="仿宋_GB2312"/>
          <w:color w:val="auto"/>
          <w:kern w:val="2"/>
          <w:sz w:val="32"/>
          <w:szCs w:val="32"/>
          <w:highlight w:val="none"/>
          <w:lang w:val="en-US" w:eastAsia="zh-CN" w:bidi="ar-SA"/>
        </w:rPr>
        <w:t>。</w:t>
      </w:r>
      <w:bookmarkEnd w:id="55"/>
      <w:bookmarkEnd w:id="56"/>
    </w:p>
    <w:p w14:paraId="2DD7DC41">
      <w:pPr>
        <w:spacing w:line="600" w:lineRule="exact"/>
        <w:ind w:firstLine="640"/>
        <w:outlineLvl w:val="1"/>
        <w:rPr>
          <w:rStyle w:val="30"/>
          <w:rFonts w:ascii="Times New Roman" w:hAnsi="Times New Roman" w:eastAsia="黑体"/>
          <w:color w:val="auto"/>
          <w:highlight w:val="none"/>
        </w:rPr>
      </w:pPr>
      <w:bookmarkStart w:id="59" w:name="_Toc131"/>
      <w:r>
        <w:rPr>
          <w:rFonts w:hint="eastAsia" w:ascii="Times New Roman" w:hAnsi="Times New Roman" w:eastAsia="黑体"/>
          <w:color w:val="auto"/>
          <w:sz w:val="32"/>
          <w:szCs w:val="32"/>
          <w:highlight w:val="none"/>
        </w:rPr>
        <w:t>八、</w:t>
      </w:r>
      <w:r>
        <w:rPr>
          <w:rStyle w:val="30"/>
          <w:rFonts w:hint="eastAsia" w:ascii="Times New Roman" w:hAnsi="Times New Roman" w:eastAsia="黑体"/>
          <w:b w:val="0"/>
          <w:color w:val="auto"/>
          <w:highlight w:val="none"/>
        </w:rPr>
        <w:t>政府性基金预算支出决算情况说明</w:t>
      </w:r>
      <w:bookmarkEnd w:id="57"/>
      <w:bookmarkEnd w:id="58"/>
      <w:bookmarkEnd w:id="59"/>
    </w:p>
    <w:p w14:paraId="6DBADC3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2024年度政府性基金预算财政拨款支出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。与2023年度相比，政府性基金预算财政拨款支出增加/减少</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万元，增长/下降</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w:t>
      </w:r>
    </w:p>
    <w:p w14:paraId="402C4E3C">
      <w:pPr>
        <w:numPr>
          <w:ilvl w:val="0"/>
          <w:numId w:val="0"/>
        </w:numPr>
        <w:spacing w:line="600" w:lineRule="exact"/>
        <w:ind w:left="630" w:leftChars="0"/>
        <w:outlineLvl w:val="1"/>
        <w:rPr>
          <w:rStyle w:val="30"/>
          <w:rFonts w:ascii="Times New Roman" w:hAnsi="Times New Roman" w:eastAsia="黑体"/>
          <w:b w:val="0"/>
          <w:color w:val="auto"/>
          <w:highlight w:val="none"/>
        </w:rPr>
      </w:pPr>
      <w:bookmarkStart w:id="60" w:name="_Toc15396611"/>
      <w:bookmarkStart w:id="61" w:name="_Toc13798"/>
      <w:bookmarkStart w:id="62" w:name="_Toc15377219"/>
      <w:r>
        <w:rPr>
          <w:rStyle w:val="30"/>
          <w:rFonts w:hint="eastAsia" w:ascii="Times New Roman" w:hAnsi="Times New Roman" w:eastAsia="黑体"/>
          <w:b w:val="0"/>
          <w:color w:val="auto"/>
          <w:highlight w:val="none"/>
          <w:lang w:eastAsia="zh-CN"/>
        </w:rPr>
        <w:t>九、</w:t>
      </w:r>
      <w:r>
        <w:rPr>
          <w:rStyle w:val="30"/>
          <w:rFonts w:hint="eastAsia" w:ascii="Times New Roman" w:hAnsi="Times New Roman" w:eastAsia="黑体"/>
          <w:b w:val="0"/>
          <w:color w:val="auto"/>
          <w:highlight w:val="none"/>
        </w:rPr>
        <w:t>国有资本经营预算支出决算情况说明</w:t>
      </w:r>
      <w:bookmarkEnd w:id="60"/>
      <w:bookmarkEnd w:id="61"/>
      <w:bookmarkEnd w:id="62"/>
    </w:p>
    <w:p w14:paraId="50D3FC37">
      <w:pPr>
        <w:numPr>
          <w:ilvl w:val="0"/>
          <w:numId w:val="0"/>
        </w:numPr>
        <w:spacing w:line="600" w:lineRule="exact"/>
        <w:ind w:left="630" w:leftChars="0"/>
        <w:outlineLvl w:val="1"/>
        <w:rPr>
          <w:rFonts w:hint="eastAsia" w:ascii="Times New Roman" w:hAnsi="Times New Roman" w:eastAsia="仿宋_GB2312" w:cs="仿宋_GB2312"/>
          <w:color w:val="auto"/>
          <w:kern w:val="2"/>
          <w:sz w:val="32"/>
          <w:szCs w:val="32"/>
          <w:highlight w:val="none"/>
          <w:lang w:val="en-US" w:eastAsia="zh-CN" w:bidi="ar-SA"/>
        </w:rPr>
      </w:pPr>
      <w:bookmarkStart w:id="63" w:name="_Toc15813"/>
      <w:bookmarkStart w:id="64" w:name="_Toc8444"/>
      <w:r>
        <w:rPr>
          <w:rFonts w:hint="eastAsia" w:ascii="Times New Roman" w:hAnsi="Times New Roman" w:eastAsia="仿宋_GB2312" w:cs="仿宋_GB2312"/>
          <w:color w:val="auto"/>
          <w:kern w:val="2"/>
          <w:sz w:val="32"/>
          <w:szCs w:val="32"/>
          <w:highlight w:val="none"/>
          <w:lang w:val="en-US" w:eastAsia="zh-CN" w:bidi="ar-SA"/>
        </w:rPr>
        <w:t>2024年度国有资本经营预算财政拨款支出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。与2023年度相比，国有资本经营预算财政拨款支出增加/减少</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万元，增长/下降</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w:t>
      </w:r>
      <w:bookmarkEnd w:id="63"/>
      <w:bookmarkEnd w:id="64"/>
      <w:bookmarkStart w:id="65" w:name="_Toc15396612"/>
      <w:bookmarkStart w:id="66" w:name="_Toc15377221"/>
    </w:p>
    <w:p w14:paraId="31713E3C">
      <w:pPr>
        <w:numPr>
          <w:ilvl w:val="0"/>
          <w:numId w:val="0"/>
        </w:numPr>
        <w:spacing w:line="600" w:lineRule="exact"/>
        <w:ind w:left="630" w:leftChars="0"/>
        <w:outlineLvl w:val="1"/>
        <w:rPr>
          <w:rStyle w:val="30"/>
          <w:rFonts w:hint="eastAsia" w:ascii="Times New Roman" w:hAnsi="Times New Roman" w:eastAsia="黑体"/>
          <w:b w:val="0"/>
          <w:color w:val="auto"/>
          <w:highlight w:val="none"/>
        </w:rPr>
      </w:pPr>
      <w:bookmarkStart w:id="67" w:name="_Toc16496"/>
      <w:r>
        <w:rPr>
          <w:rStyle w:val="30"/>
          <w:rFonts w:hint="eastAsia" w:ascii="Times New Roman" w:hAnsi="Times New Roman" w:eastAsia="黑体"/>
          <w:b w:val="0"/>
          <w:color w:val="auto"/>
          <w:highlight w:val="none"/>
          <w:lang w:eastAsia="zh-CN"/>
        </w:rPr>
        <w:t>十、</w:t>
      </w:r>
      <w:r>
        <w:rPr>
          <w:rStyle w:val="30"/>
          <w:rFonts w:hint="eastAsia" w:ascii="Times New Roman" w:hAnsi="Times New Roman" w:eastAsia="黑体"/>
          <w:b w:val="0"/>
          <w:color w:val="auto"/>
          <w:highlight w:val="none"/>
        </w:rPr>
        <w:t>其他重要事项的情况说明</w:t>
      </w:r>
      <w:bookmarkEnd w:id="65"/>
      <w:bookmarkEnd w:id="66"/>
      <w:bookmarkEnd w:id="67"/>
    </w:p>
    <w:p w14:paraId="645A7594">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68" w:name="_Toc15377222"/>
      <w:r>
        <w:rPr>
          <w:rFonts w:hint="eastAsia" w:ascii="Times New Roman" w:hAnsi="Times New Roman" w:eastAsia="楷体_GB2312" w:cs="楷体_GB2312"/>
          <w:b/>
          <w:color w:val="auto"/>
          <w:sz w:val="32"/>
          <w:szCs w:val="32"/>
          <w:highlight w:val="none"/>
        </w:rPr>
        <w:t>（一）机关运行经费支出情况</w:t>
      </w:r>
      <w:bookmarkEnd w:id="68"/>
    </w:p>
    <w:p w14:paraId="20E6A47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sz w:val="32"/>
          <w:szCs w:val="32"/>
        </w:rPr>
        <w:t>金川县档案馆</w:t>
      </w:r>
      <w:r>
        <w:rPr>
          <w:rFonts w:hint="eastAsia" w:ascii="仿宋_GB2312" w:hAnsi="仿宋_GB2312" w:eastAsia="仿宋_GB2312" w:cs="仿宋_GB2312"/>
          <w:color w:val="auto"/>
          <w:kern w:val="2"/>
          <w:sz w:val="32"/>
          <w:szCs w:val="32"/>
          <w:highlight w:val="none"/>
          <w:lang w:val="en-US" w:eastAsia="zh-CN" w:bidi="ar-SA"/>
        </w:rPr>
        <w:t>机关运行经费支出</w:t>
      </w:r>
      <w:r>
        <w:rPr>
          <w:rFonts w:hint="eastAsia" w:ascii="仿宋_GB2312" w:hAnsi="仿宋_GB2312" w:eastAsia="仿宋_GB2312" w:cs="仿宋_GB2312"/>
          <w:sz w:val="32"/>
          <w:szCs w:val="32"/>
        </w:rPr>
        <w:t>11.41</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元，比2023年度增加</w:t>
      </w:r>
      <w:r>
        <w:rPr>
          <w:rFonts w:hint="eastAsia" w:eastAsia="仿宋_GB2312" w:cs="仿宋_GB2312"/>
          <w:color w:val="auto"/>
          <w:kern w:val="2"/>
          <w:sz w:val="32"/>
          <w:szCs w:val="32"/>
          <w:highlight w:val="none"/>
          <w:lang w:val="en-US" w:eastAsia="zh-CN" w:bidi="ar-SA"/>
        </w:rPr>
        <w:t>0.85</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8</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eastAsia" w:eastAsia="仿宋_GB2312" w:cs="仿宋_GB2312"/>
          <w:color w:val="auto"/>
          <w:kern w:val="2"/>
          <w:sz w:val="32"/>
          <w:szCs w:val="32"/>
          <w:highlight w:val="none"/>
          <w:lang w:val="en-US" w:eastAsia="zh-CN" w:bidi="ar-SA"/>
        </w:rPr>
        <w:t>人均公用经费标准有所提高。</w:t>
      </w:r>
    </w:p>
    <w:p w14:paraId="071C038B">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69" w:name="_Toc15377223"/>
      <w:r>
        <w:rPr>
          <w:rFonts w:hint="eastAsia" w:ascii="Times New Roman" w:hAnsi="Times New Roman" w:eastAsia="楷体_GB2312" w:cs="楷体_GB2312"/>
          <w:b/>
          <w:color w:val="auto"/>
          <w:sz w:val="32"/>
          <w:szCs w:val="32"/>
          <w:highlight w:val="none"/>
        </w:rPr>
        <w:t>（二）政府采购支出情况</w:t>
      </w:r>
      <w:bookmarkEnd w:id="69"/>
    </w:p>
    <w:p w14:paraId="43DB07B4">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sz w:val="32"/>
          <w:szCs w:val="32"/>
        </w:rPr>
        <w:t>金川县档案馆</w:t>
      </w:r>
      <w:r>
        <w:rPr>
          <w:rFonts w:hint="eastAsia" w:ascii="仿宋_GB2312" w:hAnsi="仿宋_GB2312" w:eastAsia="仿宋_GB2312" w:cs="仿宋_GB2312"/>
          <w:color w:val="auto"/>
          <w:kern w:val="2"/>
          <w:sz w:val="32"/>
          <w:szCs w:val="32"/>
          <w:highlight w:val="none"/>
          <w:lang w:val="en-US" w:eastAsia="zh-CN" w:bidi="ar-SA"/>
        </w:rPr>
        <w:t>政府采购支出总额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万元，其中：政府采购货物支出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万元、政府采购工程支出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万元、政府采购服务支出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万元。授予中小企业合同金额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%，其中：授予小微企业合同金额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p>
    <w:p w14:paraId="78820E4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6DDCED08">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70" w:name="_Toc15377224"/>
      <w:r>
        <w:rPr>
          <w:rFonts w:hint="eastAsia" w:ascii="Times New Roman" w:hAnsi="Times New Roman" w:eastAsia="楷体_GB2312" w:cs="楷体_GB2312"/>
          <w:b/>
          <w:color w:val="auto"/>
          <w:sz w:val="32"/>
          <w:szCs w:val="32"/>
          <w:highlight w:val="none"/>
        </w:rPr>
        <w:t>（三）国有资产占有使用情况</w:t>
      </w:r>
      <w:bookmarkEnd w:id="70"/>
    </w:p>
    <w:p w14:paraId="0E22603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截至2024年12月31日，</w:t>
      </w:r>
      <w:r>
        <w:rPr>
          <w:rFonts w:hint="eastAsia" w:ascii="仿宋_GB2312" w:hAnsi="仿宋_GB2312" w:eastAsia="仿宋_GB2312" w:cs="仿宋_GB2312"/>
          <w:sz w:val="32"/>
          <w:szCs w:val="32"/>
        </w:rPr>
        <w:t>金川县档案馆</w:t>
      </w:r>
      <w:r>
        <w:rPr>
          <w:rFonts w:hint="eastAsia" w:ascii="仿宋_GB2312" w:hAnsi="仿宋_GB2312" w:eastAsia="仿宋_GB2312" w:cs="仿宋_GB2312"/>
          <w:color w:val="auto"/>
          <w:kern w:val="2"/>
          <w:sz w:val="32"/>
          <w:szCs w:val="32"/>
          <w:highlight w:val="none"/>
          <w:lang w:val="en-US" w:eastAsia="zh-CN" w:bidi="ar-SA"/>
        </w:rPr>
        <w:t>共有车辆</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辆，其中：主要负责人用车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辆、机要通信用车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辆、应急保障用车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辆、其他用车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辆。单价100万元（含）以上设备（不含车辆）</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台（套）</w:t>
      </w:r>
      <w:r>
        <w:rPr>
          <w:rFonts w:hint="eastAsia" w:ascii="Times New Roman" w:hAnsi="Times New Roman" w:eastAsia="仿宋_GB2312" w:cs="仿宋_GB2312"/>
          <w:color w:val="auto"/>
          <w:kern w:val="2"/>
          <w:sz w:val="32"/>
          <w:szCs w:val="32"/>
          <w:highlight w:val="none"/>
          <w:lang w:val="en-US" w:eastAsia="zh-CN" w:bidi="ar-SA"/>
        </w:rPr>
        <w:t>。</w:t>
      </w:r>
    </w:p>
    <w:p w14:paraId="2E801852">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41D353D6">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（四）预算绩效管理情况</w:t>
      </w:r>
    </w:p>
    <w:p w14:paraId="1753AC4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根据预算绩效管理要求，在2024年度预算编制阶段，</w:t>
      </w:r>
      <w:r>
        <w:rPr>
          <w:rFonts w:hint="eastAsia" w:eastAsia="仿宋_GB2312" w:cs="仿宋_GB2312"/>
          <w:color w:val="auto"/>
          <w:kern w:val="2"/>
          <w:sz w:val="32"/>
          <w:szCs w:val="32"/>
          <w:highlight w:val="none"/>
          <w:lang w:val="en-US" w:eastAsia="zh-CN" w:bidi="ar-SA"/>
        </w:rPr>
        <w:t>因未涉及特定项目，则未</w:t>
      </w:r>
      <w:r>
        <w:rPr>
          <w:rFonts w:hint="eastAsia" w:ascii="Times New Roman" w:hAnsi="Times New Roman" w:eastAsia="仿宋_GB2312" w:cs="仿宋_GB2312"/>
          <w:color w:val="auto"/>
          <w:kern w:val="2"/>
          <w:sz w:val="32"/>
          <w:szCs w:val="32"/>
          <w:highlight w:val="none"/>
          <w:lang w:val="en-US" w:eastAsia="zh-CN" w:bidi="ar-SA"/>
        </w:rPr>
        <w:t>组织</w:t>
      </w:r>
      <w:r>
        <w:rPr>
          <w:rFonts w:hint="eastAsia" w:eastAsia="仿宋_GB2312" w:cs="仿宋_GB2312"/>
          <w:color w:val="auto"/>
          <w:kern w:val="2"/>
          <w:sz w:val="32"/>
          <w:szCs w:val="32"/>
          <w:highlight w:val="none"/>
          <w:lang w:val="en-US" w:eastAsia="zh-CN" w:bidi="ar-SA"/>
        </w:rPr>
        <w:t>开展</w:t>
      </w:r>
      <w:r>
        <w:rPr>
          <w:rFonts w:hint="eastAsia" w:ascii="Times New Roman" w:hAnsi="Times New Roman" w:eastAsia="仿宋_GB2312" w:cs="仿宋_GB2312"/>
          <w:color w:val="auto"/>
          <w:kern w:val="2"/>
          <w:sz w:val="32"/>
          <w:szCs w:val="32"/>
          <w:highlight w:val="none"/>
          <w:lang w:val="en-US" w:eastAsia="zh-CN" w:bidi="ar-SA"/>
        </w:rPr>
        <w:t>项目预算事前绩效评估。</w:t>
      </w:r>
    </w:p>
    <w:p w14:paraId="2A14CD0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组织对2024年度一般公共预算、政府性基金预算、国有资本经营预算、社会保险基金预算以及资本资产、债券资金等全面开展绩效自评，形成</w:t>
      </w:r>
      <w:r>
        <w:rPr>
          <w:rFonts w:hint="eastAsia" w:eastAsia="仿宋_GB2312" w:cs="仿宋_GB2312"/>
          <w:color w:val="auto"/>
          <w:kern w:val="2"/>
          <w:sz w:val="32"/>
          <w:szCs w:val="32"/>
          <w:highlight w:val="none"/>
          <w:lang w:val="en-US" w:eastAsia="zh-CN" w:bidi="ar-SA"/>
        </w:rPr>
        <w:t>金川县档案馆</w:t>
      </w:r>
      <w:r>
        <w:rPr>
          <w:rFonts w:hint="eastAsia" w:ascii="Times New Roman" w:hAnsi="Times New Roman" w:eastAsia="仿宋_GB2312" w:cs="仿宋_GB2312"/>
          <w:color w:val="auto"/>
          <w:kern w:val="2"/>
          <w:sz w:val="32"/>
          <w:szCs w:val="32"/>
          <w:highlight w:val="none"/>
          <w:lang w:val="en-US" w:eastAsia="zh-CN" w:bidi="ar-SA"/>
        </w:rPr>
        <w:t>部门整体绩效自评报告，其中，</w:t>
      </w:r>
      <w:r>
        <w:rPr>
          <w:rFonts w:hint="eastAsia" w:eastAsia="仿宋_GB2312" w:cs="仿宋_GB2312"/>
          <w:color w:val="auto"/>
          <w:kern w:val="2"/>
          <w:sz w:val="32"/>
          <w:szCs w:val="32"/>
          <w:highlight w:val="none"/>
          <w:lang w:val="en-US" w:eastAsia="zh-CN" w:bidi="ar-SA"/>
        </w:rPr>
        <w:t>金川县档案馆</w:t>
      </w:r>
      <w:r>
        <w:rPr>
          <w:rFonts w:hint="eastAsia" w:ascii="Times New Roman" w:hAnsi="Times New Roman" w:eastAsia="仿宋_GB2312" w:cs="仿宋_GB2312"/>
          <w:color w:val="auto"/>
          <w:kern w:val="2"/>
          <w:sz w:val="32"/>
          <w:szCs w:val="32"/>
          <w:highlight w:val="none"/>
          <w:lang w:val="en-US" w:eastAsia="zh-CN" w:bidi="ar-SA"/>
        </w:rPr>
        <w:t>部门整体绩效自评得分为</w:t>
      </w:r>
      <w:r>
        <w:rPr>
          <w:rFonts w:hint="eastAsia" w:eastAsia="仿宋_GB2312" w:cs="仿宋_GB2312"/>
          <w:color w:val="auto"/>
          <w:kern w:val="2"/>
          <w:sz w:val="32"/>
          <w:szCs w:val="32"/>
          <w:highlight w:val="none"/>
          <w:lang w:val="en-US" w:eastAsia="zh-CN" w:bidi="ar-SA"/>
        </w:rPr>
        <w:t>96</w:t>
      </w:r>
      <w:r>
        <w:rPr>
          <w:rFonts w:hint="eastAsia" w:ascii="Times New Roman" w:hAnsi="Times New Roman" w:eastAsia="仿宋_GB2312" w:cs="仿宋_GB2312"/>
          <w:color w:val="auto"/>
          <w:kern w:val="2"/>
          <w:sz w:val="32"/>
          <w:szCs w:val="32"/>
          <w:highlight w:val="none"/>
          <w:lang w:val="en-US" w:eastAsia="zh-CN" w:bidi="ar-SA"/>
        </w:rPr>
        <w:t>分，绩效自评综述</w:t>
      </w:r>
      <w:r>
        <w:rPr>
          <w:rFonts w:ascii="Times New Roman" w:hAnsi="Times New Roman" w:eastAsia="仿宋_GB2312" w:cs="Times New Roman"/>
          <w:bCs/>
          <w:kern w:val="0"/>
          <w:sz w:val="32"/>
          <w:szCs w:val="32"/>
          <w:shd w:val="clear" w:color="auto" w:fill="FFFFFF"/>
          <w:lang w:val="zh-CN" w:eastAsia="zh-CN"/>
        </w:rPr>
        <w:t>从总体性分析评价，全年整体支出较优，实现了年初绩效目标。</w:t>
      </w:r>
    </w:p>
    <w:p w14:paraId="4B7D692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3B3C657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6A48F148">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11B964F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450186E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34A4C53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09BAA26A">
      <w:pPr>
        <w:numPr>
          <w:ilvl w:val="0"/>
          <w:numId w:val="0"/>
        </w:numPr>
        <w:spacing w:line="600" w:lineRule="exact"/>
        <w:jc w:val="center"/>
        <w:outlineLvl w:val="0"/>
        <w:rPr>
          <w:rFonts w:hint="eastAsia" w:ascii="Times New Roman" w:hAnsi="Times New Roman" w:eastAsia="黑体"/>
          <w:color w:val="auto"/>
          <w:sz w:val="44"/>
          <w:szCs w:val="44"/>
          <w:highlight w:val="none"/>
        </w:rPr>
      </w:pPr>
      <w:bookmarkStart w:id="71" w:name="_Toc30880"/>
      <w:bookmarkStart w:id="72" w:name="_Toc15396613"/>
      <w:bookmarkStart w:id="73" w:name="_Toc15377225"/>
      <w:r>
        <w:rPr>
          <w:rFonts w:hint="eastAsia" w:ascii="Times New Roman" w:hAnsi="Times New Roman" w:eastAsia="黑体"/>
          <w:color w:val="auto"/>
          <w:sz w:val="44"/>
          <w:szCs w:val="44"/>
          <w:highlight w:val="none"/>
        </w:rPr>
        <w:t>第</w:t>
      </w:r>
      <w:r>
        <w:rPr>
          <w:rFonts w:hint="eastAsia" w:eastAsia="黑体"/>
          <w:color w:val="auto"/>
          <w:sz w:val="44"/>
          <w:szCs w:val="44"/>
          <w:highlight w:val="none"/>
          <w:lang w:eastAsia="zh-CN"/>
        </w:rPr>
        <w:t>三</w:t>
      </w:r>
      <w:r>
        <w:rPr>
          <w:rFonts w:hint="eastAsia" w:ascii="Times New Roman" w:hAnsi="Times New Roman" w:eastAsia="黑体"/>
          <w:color w:val="auto"/>
          <w:sz w:val="44"/>
          <w:szCs w:val="44"/>
          <w:highlight w:val="none"/>
        </w:rPr>
        <w:t>部分</w:t>
      </w:r>
      <w:r>
        <w:rPr>
          <w:rFonts w:hint="eastAsia" w:ascii="Times New Roman" w:hAnsi="Times New Roman" w:eastAsia="黑体"/>
          <w:color w:val="auto"/>
          <w:sz w:val="44"/>
          <w:szCs w:val="44"/>
          <w:highlight w:val="none"/>
          <w:lang w:val="en-US" w:eastAsia="zh-CN"/>
        </w:rPr>
        <w:t xml:space="preserve"> </w:t>
      </w:r>
      <w:r>
        <w:rPr>
          <w:rFonts w:hint="eastAsia"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bookmarkEnd w:id="71"/>
      <w:bookmarkEnd w:id="72"/>
      <w:bookmarkEnd w:id="73"/>
    </w:p>
    <w:p w14:paraId="1BF8783B">
      <w:pPr>
        <w:spacing w:line="600" w:lineRule="exact"/>
        <w:jc w:val="left"/>
        <w:rPr>
          <w:rFonts w:ascii="Times New Roman" w:hAnsi="Times New Roman"/>
          <w:b/>
          <w:color w:val="auto"/>
          <w:sz w:val="44"/>
          <w:szCs w:val="44"/>
          <w:highlight w:val="none"/>
        </w:rPr>
      </w:pPr>
    </w:p>
    <w:p w14:paraId="4A3C5C02">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1.财政拨款收入：指单位从同级财政部门取得的财政预算资金。</w:t>
      </w:r>
    </w:p>
    <w:p w14:paraId="424D86D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2.事业收入：指事业单位开展专业业务活动及辅助活动取得的收入。</w:t>
      </w:r>
    </w:p>
    <w:p w14:paraId="35D7AB1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3.经营收入：指事业单位在专业业务活动及其辅助活动之外开展非独立核算经营活动取得的收入。</w:t>
      </w:r>
    </w:p>
    <w:p w14:paraId="6BCBE6B2">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4.其他收入：指单位取得的除上述收入以外的各项收入。 </w:t>
      </w:r>
    </w:p>
    <w:p w14:paraId="35BA4DB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5.使用非财政拨款结余（含专用结余）：指事业单位使用以前年度积累的非财政拨款结余弥补当年收支差额的金额。 </w:t>
      </w:r>
    </w:p>
    <w:p w14:paraId="77E77B15">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 xml:space="preserve">6.年初结转和结余：指以前年度尚未完成、结转到本年按有关规定继续使用的资金。 </w:t>
      </w:r>
    </w:p>
    <w:p w14:paraId="75E4850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7.结余分配：指事业单位按照会计制度规定缴纳的所得税、提取的专用结余以及转入非财政拨款结余的金额等。</w:t>
      </w:r>
    </w:p>
    <w:p w14:paraId="5ED18A8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8.年末结转和结余：指单位按有关规定结转到下年或以后年度继续使用的资金。</w:t>
      </w:r>
    </w:p>
    <w:p w14:paraId="4305C8CC">
      <w:pPr>
        <w:ind w:firstLine="640" w:firstLineChars="200"/>
        <w:rPr>
          <w:rFonts w:ascii="仿宋_GB2312" w:eastAsia="仿宋_GB2312"/>
          <w:color w:val="000000"/>
          <w:sz w:val="32"/>
          <w:szCs w:val="32"/>
        </w:rPr>
      </w:pPr>
      <w:r>
        <w:rPr>
          <w:rFonts w:hint="eastAsia" w:ascii="Times New Roman" w:hAnsi="Times New Roman" w:eastAsia="仿宋_GB2312" w:cs="仿宋_GB2312"/>
          <w:color w:val="auto"/>
          <w:kern w:val="2"/>
          <w:sz w:val="32"/>
          <w:szCs w:val="32"/>
          <w:highlight w:val="none"/>
          <w:lang w:val="en-US" w:eastAsia="zh-CN" w:bidi="ar-SA"/>
        </w:rPr>
        <w:t>9.</w:t>
      </w:r>
      <w:r>
        <w:rPr>
          <w:rFonts w:hint="eastAsia" w:ascii="仿宋_GB2312" w:eastAsia="仿宋_GB2312" w:cs="仿宋"/>
          <w:color w:val="000000"/>
          <w:kern w:val="0"/>
          <w:sz w:val="32"/>
          <w:szCs w:val="32"/>
        </w:rPr>
        <w:t>一般公共服务（类）档案事务（款）行政运行（项）：指行政单位的基本支出</w:t>
      </w:r>
      <w:r>
        <w:rPr>
          <w:rFonts w:hint="eastAsia" w:ascii="仿宋_GB2312" w:eastAsia="仿宋_GB2312"/>
          <w:color w:val="000000"/>
          <w:sz w:val="32"/>
          <w:szCs w:val="32"/>
        </w:rPr>
        <w:t>。</w:t>
      </w:r>
    </w:p>
    <w:p w14:paraId="0C744228">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10</w:t>
      </w:r>
      <w:r>
        <w:rPr>
          <w:rFonts w:ascii="仿宋_GB2312" w:eastAsia="仿宋_GB2312"/>
          <w:color w:val="000000"/>
          <w:sz w:val="32"/>
          <w:szCs w:val="32"/>
        </w:rPr>
        <w:t>.</w:t>
      </w:r>
      <w:r>
        <w:rPr>
          <w:rFonts w:hint="eastAsia" w:ascii="仿宋_GB2312" w:eastAsia="仿宋_GB2312" w:cs="仿宋"/>
          <w:color w:val="000000"/>
          <w:kern w:val="0"/>
          <w:sz w:val="32"/>
          <w:szCs w:val="32"/>
        </w:rPr>
        <w:t>教育（类）其他教育支出（款）其他教育支出（项）：</w:t>
      </w:r>
      <w:r>
        <w:rPr>
          <w:rFonts w:hint="eastAsia" w:ascii="仿宋_GB2312" w:eastAsia="仿宋_GB2312"/>
          <w:color w:val="000000"/>
          <w:sz w:val="32"/>
          <w:szCs w:val="32"/>
        </w:rPr>
        <w:t>除上诉项目以外用于教育管理事务方面的支出。</w:t>
      </w:r>
    </w:p>
    <w:p w14:paraId="6AEC7D32">
      <w:pPr>
        <w:ind w:firstLine="640" w:firstLineChars="200"/>
        <w:rPr>
          <w:rFonts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1</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社会保障和就业（类）行政事业单位离退休（款）机关事业单位基本养老保险缴费支出（项）：</w:t>
      </w:r>
      <w:r>
        <w:rPr>
          <w:rFonts w:hint="eastAsia" w:ascii="仿宋_GB2312" w:eastAsia="仿宋_GB2312"/>
          <w:color w:val="000000"/>
          <w:sz w:val="32"/>
          <w:szCs w:val="32"/>
        </w:rPr>
        <w:t>指单位为职工缴纳的基本养老保险费。</w:t>
      </w:r>
    </w:p>
    <w:p w14:paraId="0172761E">
      <w:pPr>
        <w:ind w:firstLine="640" w:firstLineChars="200"/>
        <w:rPr>
          <w:rFonts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2</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社会保障和就业（类）行政事业单位离退休（款）机关事业单位基本职业年金缴费支出（项）：</w:t>
      </w:r>
      <w:r>
        <w:rPr>
          <w:rFonts w:hint="eastAsia" w:ascii="仿宋_GB2312" w:eastAsia="仿宋_GB2312"/>
          <w:color w:val="000000"/>
          <w:sz w:val="32"/>
          <w:szCs w:val="32"/>
        </w:rPr>
        <w:t>指单位为职工实际缴纳的职业年金。</w:t>
      </w:r>
    </w:p>
    <w:p w14:paraId="504B09EC">
      <w:pPr>
        <w:ind w:firstLine="640" w:firstLineChars="200"/>
        <w:rPr>
          <w:rFonts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3</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医疗卫生与计划生育（类）行政事业单位医疗（款）行政单位医疗（项）：指反映职工缴纳的基本医疗保险费。</w:t>
      </w:r>
    </w:p>
    <w:p w14:paraId="330F979B">
      <w:pPr>
        <w:ind w:firstLine="640" w:firstLineChars="200"/>
        <w:rPr>
          <w:rFonts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4</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医疗卫生与计划生育（类）行政事业单位医疗（款）公务员医疗补助（项）：指按规定可享受公务员医疗补助单位为职工缴纳的公务员医疗补助费。</w:t>
      </w:r>
    </w:p>
    <w:p w14:paraId="3315F474">
      <w:pPr>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5</w:t>
      </w:r>
      <w:r>
        <w:rPr>
          <w:rFonts w:ascii="仿宋_GB2312" w:eastAsia="仿宋_GB2312"/>
          <w:color w:val="000000"/>
          <w:sz w:val="32"/>
          <w:szCs w:val="32"/>
        </w:rPr>
        <w:t>.</w:t>
      </w:r>
      <w:r>
        <w:rPr>
          <w:rFonts w:hint="eastAsia" w:ascii="仿宋_GB2312" w:eastAsia="仿宋_GB2312"/>
          <w:color w:val="000000"/>
          <w:sz w:val="32"/>
          <w:szCs w:val="32"/>
        </w:rPr>
        <w:t>住房保障（类）住房改革支出（款）住房公积金（项）：指单位按规定为职工缴纳的住房公积金。</w:t>
      </w:r>
    </w:p>
    <w:p w14:paraId="115E954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16</w:t>
      </w:r>
      <w:r>
        <w:rPr>
          <w:rFonts w:hint="eastAsia" w:ascii="Times New Roman" w:hAnsi="Times New Roman" w:eastAsia="仿宋_GB2312" w:cs="仿宋_GB2312"/>
          <w:color w:val="auto"/>
          <w:kern w:val="2"/>
          <w:sz w:val="32"/>
          <w:szCs w:val="32"/>
          <w:highlight w:val="none"/>
          <w:lang w:val="en-US" w:eastAsia="zh-CN" w:bidi="ar-SA"/>
        </w:rPr>
        <w:t>.基本支出：指为保障机构正常运转、完成日常工作任务而发生的人员支出和公用支出。</w:t>
      </w:r>
    </w:p>
    <w:p w14:paraId="5E8E635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17</w:t>
      </w:r>
      <w:r>
        <w:rPr>
          <w:rFonts w:hint="eastAsia" w:ascii="Times New Roman" w:hAnsi="Times New Roman" w:eastAsia="仿宋_GB2312" w:cs="仿宋_GB2312"/>
          <w:color w:val="auto"/>
          <w:kern w:val="2"/>
          <w:sz w:val="32"/>
          <w:szCs w:val="32"/>
          <w:highlight w:val="none"/>
          <w:lang w:val="en-US" w:eastAsia="zh-CN" w:bidi="ar-SA"/>
        </w:rPr>
        <w:t xml:space="preserve">.项目支出：指在基本支出之外为完成特定行政任务和事业发展目标所发生的支出。 </w:t>
      </w:r>
    </w:p>
    <w:p w14:paraId="5C6F3AB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18</w:t>
      </w:r>
      <w:r>
        <w:rPr>
          <w:rFonts w:hint="eastAsia" w:ascii="Times New Roman" w:hAnsi="Times New Roman" w:eastAsia="仿宋_GB2312" w:cs="仿宋_GB2312"/>
          <w:color w:val="auto"/>
          <w:kern w:val="2"/>
          <w:sz w:val="32"/>
          <w:szCs w:val="32"/>
          <w:highlight w:val="none"/>
          <w:lang w:val="en-US" w:eastAsia="zh-CN" w:bidi="ar-SA"/>
        </w:rPr>
        <w:t>.经营支出：指事业单位在专业业务活动及其辅助活动之外开展非独立核算经营活动发生的支出。</w:t>
      </w:r>
    </w:p>
    <w:p w14:paraId="15BDCE2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19</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三公</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410CC362">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20</w:t>
      </w:r>
      <w:r>
        <w:rPr>
          <w:rFonts w:hint="eastAsia" w:ascii="Times New Roman" w:hAnsi="Times New Roman" w:eastAsia="仿宋_GB2312" w:cs="仿宋_GB2312"/>
          <w:color w:val="auto"/>
          <w:kern w:val="2"/>
          <w:sz w:val="32"/>
          <w:szCs w:val="32"/>
          <w:highlight w:val="none"/>
          <w:lang w:val="en-US" w:eastAsia="zh-CN" w:bidi="ar-SA"/>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61BCED7">
      <w:pPr>
        <w:spacing w:line="600" w:lineRule="exact"/>
        <w:jc w:val="center"/>
        <w:outlineLvl w:val="0"/>
        <w:rPr>
          <w:rStyle w:val="29"/>
          <w:rFonts w:hint="eastAsia" w:ascii="Times New Roman" w:hAnsi="Times New Roman" w:eastAsia="黑体"/>
          <w:b w:val="0"/>
          <w:color w:val="auto"/>
          <w:highlight w:val="none"/>
          <w:lang w:eastAsia="zh-CN"/>
        </w:rPr>
      </w:pPr>
      <w:bookmarkStart w:id="74" w:name="_Toc15377226"/>
      <w:r>
        <w:rPr>
          <w:rFonts w:hint="eastAsia" w:ascii="Times New Roman" w:hAnsi="Times New Roman" w:eastAsia="仿宋_GB2312" w:cs="仿宋_GB2312"/>
          <w:color w:val="auto"/>
          <w:kern w:val="2"/>
          <w:sz w:val="32"/>
          <w:szCs w:val="32"/>
          <w:highlight w:val="none"/>
          <w:lang w:val="en-US" w:eastAsia="zh-CN" w:bidi="ar-SA"/>
        </w:rPr>
        <w:br w:type="page"/>
      </w:r>
      <w:bookmarkStart w:id="75" w:name="_Toc8795"/>
      <w:bookmarkStart w:id="76" w:name="_Toc15396614"/>
      <w:r>
        <w:rPr>
          <w:rFonts w:hint="eastAsia" w:ascii="Times New Roman" w:hAnsi="Times New Roman" w:eastAsia="黑体"/>
          <w:color w:val="auto"/>
          <w:sz w:val="44"/>
          <w:szCs w:val="44"/>
          <w:highlight w:val="none"/>
        </w:rPr>
        <w:t>第四部分</w:t>
      </w:r>
      <w:r>
        <w:rPr>
          <w:rFonts w:hint="eastAsia" w:ascii="Times New Roman" w:hAnsi="Times New Roman"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 xml:space="preserve"> 附件</w:t>
      </w:r>
      <w:bookmarkEnd w:id="75"/>
      <w:bookmarkEnd w:id="76"/>
    </w:p>
    <w:p w14:paraId="4F04221C">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黑体"/>
          <w:color w:val="FF0000"/>
          <w:sz w:val="32"/>
          <w:szCs w:val="32"/>
          <w:highlight w:val="none"/>
        </w:rPr>
      </w:pPr>
    </w:p>
    <w:p w14:paraId="3E251222">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方正小标宋简体"/>
          <w:color w:val="auto"/>
          <w:sz w:val="44"/>
          <w:szCs w:val="44"/>
          <w:highlight w:val="none"/>
          <w:lang w:val="en-US" w:eastAsia="zh-CN"/>
        </w:rPr>
      </w:pPr>
      <w:bookmarkStart w:id="77" w:name="_Toc11388"/>
      <w:r>
        <w:rPr>
          <w:rFonts w:hint="eastAsia" w:ascii="Times New Roman" w:hAnsi="Times New Roman" w:eastAsia="黑体" w:cs="黑体"/>
          <w:color w:val="auto"/>
          <w:sz w:val="32"/>
          <w:szCs w:val="32"/>
          <w:highlight w:val="none"/>
        </w:rPr>
        <w:t>附件</w:t>
      </w:r>
      <w:r>
        <w:rPr>
          <w:rFonts w:hint="eastAsia" w:ascii="Times New Roman" w:hAnsi="Times New Roman" w:eastAsia="黑体" w:cs="黑体"/>
          <w:color w:val="auto"/>
          <w:sz w:val="32"/>
          <w:szCs w:val="32"/>
          <w:highlight w:val="none"/>
          <w:lang w:val="en-US" w:eastAsia="zh-CN"/>
        </w:rPr>
        <w:t>1</w:t>
      </w:r>
      <w:bookmarkEnd w:id="77"/>
    </w:p>
    <w:p w14:paraId="6C117FE0">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p>
    <w:p w14:paraId="43A3AD80">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eastAsia" w:eastAsia="方正小标宋_GBK"/>
          <w:sz w:val="44"/>
          <w:szCs w:val="44"/>
          <w:lang w:eastAsia="zh-CN"/>
        </w:rPr>
      </w:pPr>
      <w:r>
        <w:rPr>
          <w:sz w:val="44"/>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1828800" cy="1828800"/>
                <wp:effectExtent l="0" t="0" r="0" b="0"/>
                <wp:wrapSquare wrapText="bothSides"/>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A40D96">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eastAsia="方正小标宋_GBK"/>
                                <w:b/>
                                <w:bCs/>
                                <w:color w:val="000000" w:themeColor="text1"/>
                                <w:sz w:val="72"/>
                                <w:szCs w:val="72"/>
                                <w:lang w:eastAsia="zh-CN"/>
                                <w14:shadow w14:blurRad="38100" w14:dist="19050" w14:dir="2700000" w14:sx="100000" w14:sy="100000" w14:kx="0" w14:ky="0" w14:algn="tl">
                                  <w14:schemeClr w14:val="dk1">
                                    <w14:alpha w14:val="60000"/>
                                  </w14:schemeClr>
                                </w14:shadow>
                                <w14:textFill>
                                  <w14:solidFill>
                                    <w14:schemeClr w14:val="tx1"/>
                                  </w14:solidFill>
                                </w14:textFill>
                              </w:rPr>
                            </w:pPr>
                          </w:p>
                        </w:txbxContent>
                      </wps:txbx>
                      <wps:bodyPr rot="0" spcFirstLastPara="0" vertOverflow="overflow" horzOverflow="overflow" vert="horz" wrap="non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0pt;margin-top:0pt;height:144pt;width:144pt;mso-wrap-distance-bottom:0pt;mso-wrap-distance-left:9pt;mso-wrap-distance-right:9pt;mso-wrap-distance-top:0pt;mso-wrap-style:none;z-index:251664384;mso-width-relative:page;mso-height-relative:page;" filled="f" stroked="f" coordsize="21600,21600" o:gfxdata="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45yS50QAAAAUBAAAPAAAAAAAAAAEAIAAAACIAAABkcnMvZG93bnJldi54bWxQ&#10;SwECFAAUAAAACACHTuJAus0p9TcCAABlBAAADgAAAAAAAAABACAAAAAgAQAAZHJzL2Uyb0RvYy54&#10;bWxQSwUGAAAAAAYABgBZAQAAyQUAAAAA&#10;">
                <v:fill on="f" focussize="0,0"/>
                <v:stroke on="f" weight="0.5pt"/>
                <v:imagedata o:title=""/>
                <o:lock v:ext="edit" aspectratio="f"/>
                <v:textbox style="mso-fit-shape-to-text:t;">
                  <w:txbxContent>
                    <w:p w14:paraId="5FA40D96">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eastAsia="方正小标宋_GBK"/>
                          <w:b/>
                          <w:bCs/>
                          <w:color w:val="000000" w:themeColor="text1"/>
                          <w:sz w:val="72"/>
                          <w:szCs w:val="72"/>
                          <w:lang w:eastAsia="zh-CN"/>
                          <w14:shadow w14:blurRad="38100" w14:dist="19050" w14:dir="2700000" w14:sx="100000" w14:sy="100000" w14:kx="0" w14:ky="0" w14:algn="tl">
                            <w14:schemeClr w14:val="dk1">
                              <w14:alpha w14:val="60000"/>
                            </w14:schemeClr>
                          </w14:shadow>
                          <w14:textFill>
                            <w14:solidFill>
                              <w14:schemeClr w14:val="tx1"/>
                            </w14:solidFill>
                          </w14:textFill>
                        </w:rPr>
                      </w:pPr>
                    </w:p>
                  </w:txbxContent>
                </v:textbox>
                <w10:wrap type="square"/>
              </v:shape>
            </w:pict>
          </mc:Fallback>
        </mc:AlternateContent>
      </w:r>
      <w:r>
        <w:rPr>
          <w:rFonts w:hint="eastAsia" w:eastAsia="方正小标宋_GBK"/>
          <w:sz w:val="44"/>
          <w:szCs w:val="44"/>
          <w:lang w:eastAsia="zh-CN"/>
        </w:rPr>
        <w:t>金川县档案馆</w:t>
      </w:r>
    </w:p>
    <w:p w14:paraId="34302822">
      <w:pPr>
        <w:keepNext w:val="0"/>
        <w:keepLines w:val="0"/>
        <w:pageBreakBefore w:val="0"/>
        <w:widowControl/>
        <w:kinsoku/>
        <w:wordWrap/>
        <w:overflowPunct/>
        <w:topLinePunct w:val="0"/>
        <w:autoSpaceDE/>
        <w:autoSpaceDN/>
        <w:spacing w:line="578" w:lineRule="exact"/>
        <w:contextualSpacing/>
        <w:jc w:val="center"/>
        <w:rPr>
          <w:rFonts w:ascii="Times New Roman" w:hAnsi="Times New Roman" w:eastAsia="方正小标宋_GBK"/>
          <w:sz w:val="44"/>
          <w:szCs w:val="44"/>
        </w:rPr>
      </w:pPr>
      <w:r>
        <w:rPr>
          <w:rFonts w:hint="eastAsia" w:ascii="Times New Roman" w:hAnsi="Times New Roman" w:eastAsia="方正小标宋_GBK"/>
          <w:sz w:val="44"/>
          <w:szCs w:val="44"/>
          <w:lang w:eastAsia="zh-CN"/>
        </w:rPr>
        <w:t>20</w:t>
      </w:r>
      <w:r>
        <w:rPr>
          <w:rFonts w:hint="eastAsia" w:ascii="Times New Roman" w:hAnsi="Times New Roman" w:eastAsia="方正小标宋_GBK"/>
          <w:sz w:val="44"/>
          <w:szCs w:val="44"/>
          <w:lang w:val="en-US" w:eastAsia="zh-CN"/>
        </w:rPr>
        <w:t>24</w:t>
      </w:r>
      <w:r>
        <w:rPr>
          <w:rFonts w:hint="eastAsia" w:ascii="Times New Roman" w:hAnsi="Times New Roman" w:eastAsia="方正小标宋_GBK"/>
          <w:sz w:val="44"/>
          <w:szCs w:val="44"/>
          <w:lang w:eastAsia="zh-CN"/>
        </w:rPr>
        <w:t>年</w:t>
      </w:r>
      <w:r>
        <w:rPr>
          <w:rFonts w:ascii="Times New Roman" w:hAnsi="Times New Roman" w:eastAsia="方正小标宋_GBK"/>
          <w:sz w:val="44"/>
          <w:szCs w:val="44"/>
          <w:lang w:eastAsia="zh-CN"/>
        </w:rPr>
        <w:t>部门预算</w:t>
      </w:r>
      <w:r>
        <w:rPr>
          <w:rFonts w:ascii="Times New Roman" w:hAnsi="Times New Roman" w:eastAsia="方正小标宋_GBK"/>
          <w:sz w:val="44"/>
          <w:szCs w:val="44"/>
        </w:rPr>
        <w:t>绩效</w:t>
      </w:r>
      <w:r>
        <w:rPr>
          <w:rFonts w:hint="eastAsia" w:ascii="Times New Roman" w:hAnsi="Times New Roman" w:eastAsia="方正小标宋_GBK"/>
          <w:sz w:val="44"/>
          <w:szCs w:val="44"/>
          <w:lang w:eastAsia="zh-CN"/>
        </w:rPr>
        <w:t>评价</w:t>
      </w:r>
      <w:r>
        <w:rPr>
          <w:rFonts w:ascii="Times New Roman" w:hAnsi="Times New Roman" w:eastAsia="方正小标宋_GBK"/>
          <w:sz w:val="44"/>
          <w:szCs w:val="44"/>
        </w:rPr>
        <w:t>报告</w:t>
      </w:r>
    </w:p>
    <w:p w14:paraId="5CDE1A1F">
      <w:pPr>
        <w:keepNext w:val="0"/>
        <w:keepLines w:val="0"/>
        <w:pageBreakBefore w:val="0"/>
        <w:widowControl/>
        <w:kinsoku/>
        <w:wordWrap/>
        <w:overflowPunct/>
        <w:topLinePunct w:val="0"/>
        <w:autoSpaceDE/>
        <w:autoSpaceDN/>
        <w:spacing w:line="578" w:lineRule="exact"/>
        <w:contextualSpacing/>
        <w:jc w:val="center"/>
        <w:rPr>
          <w:rFonts w:eastAsia="方正小标宋_GBK"/>
          <w:sz w:val="44"/>
          <w:szCs w:val="44"/>
        </w:rPr>
      </w:pPr>
    </w:p>
    <w:p w14:paraId="583357D0">
      <w:pPr>
        <w:keepNext w:val="0"/>
        <w:keepLines w:val="0"/>
        <w:pageBreakBefore w:val="0"/>
        <w:widowControl w:val="0"/>
        <w:bidi w:val="0"/>
        <w:snapToGrid w:val="0"/>
        <w:spacing w:line="560" w:lineRule="exact"/>
        <w:textAlignment w:val="auto"/>
        <w:rPr>
          <w:rFonts w:hint="eastAsia" w:ascii="仿宋_GB2312" w:eastAsia="仿宋_GB2312"/>
          <w:color w:val="000000"/>
          <w:spacing w:val="-2"/>
          <w:sz w:val="32"/>
          <w:szCs w:val="32"/>
          <w:lang w:eastAsia="zh-CN"/>
        </w:rPr>
      </w:pPr>
      <w:r>
        <w:rPr>
          <w:rFonts w:hint="eastAsia" w:ascii="仿宋_GB2312" w:eastAsia="仿宋_GB2312"/>
          <w:color w:val="000000"/>
          <w:spacing w:val="-2"/>
          <w:sz w:val="32"/>
          <w:szCs w:val="32"/>
          <w:lang w:eastAsia="zh-CN"/>
        </w:rPr>
        <w:t>金川县财政局:</w:t>
      </w:r>
    </w:p>
    <w:p w14:paraId="19E3FC1F">
      <w:pPr>
        <w:keepNext w:val="0"/>
        <w:keepLines w:val="0"/>
        <w:pageBreakBefore w:val="0"/>
        <w:widowControl w:val="0"/>
        <w:bidi w:val="0"/>
        <w:snapToGrid w:val="0"/>
        <w:spacing w:line="560" w:lineRule="exact"/>
        <w:ind w:firstLine="632" w:firstLineChars="200"/>
        <w:textAlignment w:val="auto"/>
        <w:rPr>
          <w:rFonts w:ascii="仿宋_GB2312" w:eastAsia="仿宋_GB2312"/>
          <w:color w:val="000000"/>
          <w:spacing w:val="-2"/>
          <w:sz w:val="32"/>
          <w:szCs w:val="32"/>
          <w:lang w:eastAsia="zh-CN"/>
        </w:rPr>
      </w:pPr>
      <w:r>
        <w:rPr>
          <w:rFonts w:hint="eastAsia" w:ascii="仿宋_GB2312" w:eastAsia="仿宋_GB2312"/>
          <w:color w:val="000000"/>
          <w:spacing w:val="-2"/>
          <w:sz w:val="32"/>
          <w:szCs w:val="32"/>
          <w:lang w:eastAsia="zh-CN"/>
        </w:rPr>
        <w:t>根据</w:t>
      </w:r>
      <w:r>
        <w:rPr>
          <w:rFonts w:hint="eastAsia" w:ascii="仿宋_GB2312"/>
          <w:color w:val="000000"/>
          <w:spacing w:val="-2"/>
          <w:sz w:val="32"/>
          <w:szCs w:val="32"/>
          <w:lang w:eastAsia="zh-CN"/>
        </w:rPr>
        <w:t>《</w:t>
      </w:r>
      <w:r>
        <w:rPr>
          <w:rFonts w:hint="eastAsia" w:ascii="仿宋_GB2312" w:eastAsia="仿宋_GB2312" w:cs="Times New Roman"/>
          <w:color w:val="000000"/>
          <w:spacing w:val="-2"/>
          <w:sz w:val="32"/>
          <w:szCs w:val="32"/>
          <w:lang w:eastAsia="zh-CN"/>
        </w:rPr>
        <w:t>金川县财政局关于2024年县级部门绩效自评工作的通知</w:t>
      </w:r>
      <w:r>
        <w:rPr>
          <w:rFonts w:hint="eastAsia" w:ascii="仿宋_GB2312" w:cs="Times New Roman"/>
          <w:color w:val="000000"/>
          <w:spacing w:val="-2"/>
          <w:sz w:val="32"/>
          <w:szCs w:val="32"/>
          <w:lang w:eastAsia="zh-CN"/>
        </w:rPr>
        <w:t>》</w:t>
      </w:r>
      <w:r>
        <w:rPr>
          <w:rFonts w:hint="eastAsia" w:ascii="仿宋_GB2312" w:eastAsia="仿宋_GB2312"/>
          <w:color w:val="000000"/>
          <w:spacing w:val="-2"/>
          <w:sz w:val="32"/>
          <w:szCs w:val="32"/>
          <w:lang w:eastAsia="zh-CN"/>
        </w:rPr>
        <w:t>(金财</w:t>
      </w:r>
      <w:r>
        <w:rPr>
          <w:rFonts w:hint="eastAsia" w:ascii="仿宋_GB2312" w:eastAsia="仿宋_GB2312"/>
          <w:color w:val="000000"/>
          <w:spacing w:val="-2"/>
          <w:sz w:val="32"/>
          <w:szCs w:val="32"/>
          <w:lang w:val="en-US" w:eastAsia="zh-CN"/>
        </w:rPr>
        <w:t>监绩</w:t>
      </w:r>
      <w:r>
        <w:rPr>
          <w:rFonts w:hint="eastAsia" w:ascii="仿宋_GB2312" w:eastAsia="仿宋_GB2312"/>
          <w:color w:val="000000"/>
          <w:spacing w:val="-2"/>
          <w:sz w:val="32"/>
          <w:szCs w:val="32"/>
          <w:lang w:eastAsia="zh-CN"/>
        </w:rPr>
        <w:t>〔202</w:t>
      </w:r>
      <w:r>
        <w:rPr>
          <w:rFonts w:hint="eastAsia" w:ascii="仿宋_GB2312"/>
          <w:color w:val="000000"/>
          <w:spacing w:val="-2"/>
          <w:sz w:val="32"/>
          <w:szCs w:val="32"/>
          <w:lang w:val="en-US" w:eastAsia="zh-CN"/>
        </w:rPr>
        <w:t>5</w:t>
      </w:r>
      <w:r>
        <w:rPr>
          <w:rFonts w:hint="eastAsia" w:ascii="仿宋_GB2312" w:eastAsia="仿宋_GB2312"/>
          <w:color w:val="000000"/>
          <w:spacing w:val="-2"/>
          <w:sz w:val="32"/>
          <w:szCs w:val="32"/>
          <w:lang w:eastAsia="zh-CN"/>
        </w:rPr>
        <w:t>〕</w:t>
      </w:r>
      <w:r>
        <w:rPr>
          <w:rFonts w:hint="eastAsia" w:ascii="仿宋_GB2312" w:eastAsia="仿宋_GB2312"/>
          <w:color w:val="000000"/>
          <w:spacing w:val="-2"/>
          <w:sz w:val="32"/>
          <w:szCs w:val="32"/>
          <w:lang w:val="en-US" w:eastAsia="zh-CN"/>
        </w:rPr>
        <w:t>35</w:t>
      </w:r>
      <w:r>
        <w:rPr>
          <w:rFonts w:hint="eastAsia" w:ascii="仿宋_GB2312" w:eastAsia="仿宋_GB2312"/>
          <w:color w:val="000000"/>
          <w:spacing w:val="-2"/>
          <w:sz w:val="32"/>
          <w:szCs w:val="32"/>
          <w:lang w:eastAsia="zh-CN"/>
        </w:rPr>
        <w:t>号)文件要求，我馆高度重视，赓即对我馆20</w:t>
      </w:r>
      <w:r>
        <w:rPr>
          <w:rFonts w:hint="eastAsia" w:ascii="仿宋_GB2312" w:eastAsia="仿宋_GB2312"/>
          <w:color w:val="000000"/>
          <w:spacing w:val="-2"/>
          <w:sz w:val="32"/>
          <w:szCs w:val="32"/>
          <w:lang w:val="en-US" w:eastAsia="zh-CN"/>
        </w:rPr>
        <w:t>2</w:t>
      </w:r>
      <w:r>
        <w:rPr>
          <w:rFonts w:hint="eastAsia" w:ascii="仿宋_GB2312"/>
          <w:color w:val="000000"/>
          <w:spacing w:val="-2"/>
          <w:sz w:val="32"/>
          <w:szCs w:val="32"/>
          <w:lang w:val="en-US" w:eastAsia="zh-CN"/>
        </w:rPr>
        <w:t>4</w:t>
      </w:r>
      <w:r>
        <w:rPr>
          <w:rFonts w:hint="eastAsia" w:ascii="仿宋_GB2312" w:eastAsia="仿宋_GB2312"/>
          <w:color w:val="000000"/>
          <w:spacing w:val="-2"/>
          <w:sz w:val="32"/>
          <w:szCs w:val="32"/>
          <w:lang w:eastAsia="zh-CN"/>
        </w:rPr>
        <w:t>年</w:t>
      </w:r>
      <w:r>
        <w:rPr>
          <w:rFonts w:ascii="仿宋_GB2312" w:eastAsia="仿宋_GB2312"/>
          <w:color w:val="000000"/>
          <w:spacing w:val="-2"/>
          <w:sz w:val="32"/>
          <w:szCs w:val="32"/>
          <w:lang w:eastAsia="zh-CN"/>
        </w:rPr>
        <w:t>部门预算绩效</w:t>
      </w:r>
      <w:r>
        <w:rPr>
          <w:rFonts w:hint="eastAsia" w:ascii="仿宋_GB2312" w:eastAsia="仿宋_GB2312"/>
          <w:color w:val="000000"/>
          <w:spacing w:val="-2"/>
          <w:sz w:val="32"/>
          <w:szCs w:val="32"/>
          <w:lang w:val="en-US" w:eastAsia="zh-CN"/>
        </w:rPr>
        <w:t>开展自评工作，</w:t>
      </w:r>
      <w:r>
        <w:rPr>
          <w:rFonts w:hint="eastAsia" w:ascii="仿宋_GB2312" w:eastAsia="仿宋_GB2312"/>
          <w:color w:val="000000"/>
          <w:spacing w:val="-2"/>
          <w:sz w:val="32"/>
          <w:szCs w:val="32"/>
          <w:lang w:eastAsia="zh-CN"/>
        </w:rPr>
        <w:t>评价</w:t>
      </w:r>
      <w:r>
        <w:rPr>
          <w:rFonts w:ascii="仿宋_GB2312" w:eastAsia="仿宋_GB2312"/>
          <w:color w:val="000000"/>
          <w:spacing w:val="-2"/>
          <w:sz w:val="32"/>
          <w:szCs w:val="32"/>
          <w:lang w:eastAsia="zh-CN"/>
        </w:rPr>
        <w:t>报告</w:t>
      </w:r>
      <w:r>
        <w:rPr>
          <w:rFonts w:hint="eastAsia" w:ascii="仿宋_GB2312" w:eastAsia="仿宋_GB2312"/>
          <w:color w:val="000000"/>
          <w:spacing w:val="-2"/>
          <w:sz w:val="32"/>
          <w:szCs w:val="32"/>
          <w:lang w:eastAsia="zh-CN"/>
        </w:rPr>
        <w:t>情况如下。</w:t>
      </w:r>
    </w:p>
    <w:p w14:paraId="7566C499">
      <w:pPr>
        <w:keepNext w:val="0"/>
        <w:keepLines w:val="0"/>
        <w:pageBreakBefore w:val="0"/>
        <w:widowControl/>
        <w:kinsoku/>
        <w:wordWrap/>
        <w:overflowPunct/>
        <w:topLinePunct w:val="0"/>
        <w:autoSpaceDE/>
        <w:autoSpaceDN/>
        <w:bidi w:val="0"/>
        <w:adjustRightInd w:val="0"/>
        <w:snapToGrid w:val="0"/>
        <w:spacing w:line="560" w:lineRule="exact"/>
        <w:ind w:left="0" w:firstLine="640" w:firstLineChars="200"/>
        <w:contextualSpacing/>
        <w:jc w:val="left"/>
        <w:textAlignment w:val="auto"/>
        <w:outlineLvl w:val="9"/>
        <w:rPr>
          <w:rFonts w:hint="eastAsia" w:ascii="黑体" w:hAnsi="黑体" w:eastAsia="黑体" w:cs="黑体"/>
          <w:sz w:val="32"/>
          <w:szCs w:val="32"/>
        </w:rPr>
      </w:pPr>
      <w:r>
        <w:rPr>
          <w:rFonts w:hint="eastAsia" w:ascii="黑体" w:hAnsi="黑体" w:eastAsia="黑体" w:cs="黑体"/>
          <w:color w:val="000000"/>
          <w:kern w:val="0"/>
          <w:sz w:val="32"/>
          <w:szCs w:val="32"/>
          <w:highlight w:val="none"/>
          <w:shd w:val="clear" w:color="auto" w:fill="FFFFFF"/>
          <w:lang w:val="zh-CN"/>
        </w:rPr>
        <w:t>一、部门（单位）基本情况</w:t>
      </w:r>
    </w:p>
    <w:p w14:paraId="11B2899D">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outlineLvl w:val="9"/>
        <w:rPr>
          <w:rFonts w:ascii="Times New Roman" w:hAnsi="Times New Roman" w:eastAsia="楷体_GB2312" w:cs="Times New Roman"/>
          <w:b/>
          <w:bCs/>
          <w:color w:val="000000"/>
          <w:kern w:val="0"/>
          <w:sz w:val="32"/>
          <w:szCs w:val="32"/>
          <w:highlight w:val="none"/>
          <w:shd w:val="clear" w:color="auto" w:fill="FFFFFF"/>
          <w:lang w:val="zh-CN"/>
        </w:rPr>
      </w:pPr>
      <w:r>
        <w:rPr>
          <w:rFonts w:hint="eastAsia" w:eastAsia="楷体_GB2312" w:cs="Times New Roman"/>
          <w:b/>
          <w:bCs/>
          <w:color w:val="000000"/>
          <w:kern w:val="0"/>
          <w:sz w:val="32"/>
          <w:szCs w:val="32"/>
          <w:highlight w:val="none"/>
          <w:shd w:val="clear" w:color="auto" w:fill="FFFFFF"/>
          <w:lang w:val="zh-CN"/>
        </w:rPr>
        <w:t>（一）</w:t>
      </w:r>
      <w:r>
        <w:rPr>
          <w:rFonts w:ascii="Times New Roman" w:hAnsi="Times New Roman" w:eastAsia="楷体_GB2312" w:cs="Times New Roman"/>
          <w:b/>
          <w:bCs/>
          <w:color w:val="000000"/>
          <w:kern w:val="0"/>
          <w:sz w:val="32"/>
          <w:szCs w:val="32"/>
          <w:highlight w:val="none"/>
          <w:shd w:val="clear" w:color="auto" w:fill="FFFFFF"/>
          <w:lang w:val="zh-CN"/>
        </w:rPr>
        <w:t>机构组成。</w:t>
      </w:r>
    </w:p>
    <w:p w14:paraId="0B8C3C20">
      <w:pPr>
        <w:keepNext w:val="0"/>
        <w:keepLines w:val="0"/>
        <w:pageBreakBefore w:val="0"/>
        <w:widowControl w:val="0"/>
        <w:bidi w:val="0"/>
        <w:snapToGrid w:val="0"/>
        <w:spacing w:line="560" w:lineRule="exact"/>
        <w:ind w:firstLine="632" w:firstLineChars="200"/>
        <w:textAlignment w:val="auto"/>
        <w:rPr>
          <w:rFonts w:hint="eastAsia" w:ascii="仿宋_GB2312" w:eastAsia="仿宋_GB2312"/>
          <w:color w:val="000000"/>
          <w:spacing w:val="-2"/>
          <w:sz w:val="32"/>
          <w:szCs w:val="32"/>
          <w:lang w:eastAsia="zh-CN"/>
        </w:rPr>
      </w:pPr>
      <w:r>
        <w:rPr>
          <w:rFonts w:hint="eastAsia" w:ascii="仿宋_GB2312" w:eastAsia="仿宋_GB2312"/>
          <w:color w:val="000000"/>
          <w:spacing w:val="-2"/>
          <w:sz w:val="32"/>
          <w:szCs w:val="32"/>
          <w:lang w:eastAsia="zh-CN"/>
        </w:rPr>
        <w:t>我馆为县委直属正科级事业单位，由县委办代管，保留参公管理。内设办公室、档案接收征集保管利用股、档案开发编辑信息技术股。</w:t>
      </w:r>
    </w:p>
    <w:p w14:paraId="021802BE">
      <w:pPr>
        <w:keepNext w:val="0"/>
        <w:keepLines w:val="0"/>
        <w:pageBreakBefore w:val="0"/>
        <w:widowControl/>
        <w:numPr>
          <w:ilvl w:val="0"/>
          <w:numId w:val="3"/>
        </w:numPr>
        <w:kinsoku w:val="0"/>
        <w:overflowPunct w:val="0"/>
        <w:autoSpaceDE w:val="0"/>
        <w:autoSpaceDN w:val="0"/>
        <w:bidi w:val="0"/>
        <w:spacing w:line="560" w:lineRule="exact"/>
        <w:ind w:left="0" w:firstLine="643" w:firstLineChars="200"/>
        <w:jc w:val="left"/>
        <w:textAlignment w:val="auto"/>
        <w:rPr>
          <w:rFonts w:hint="eastAsia" w:eastAsia="楷体_GB2312" w:cs="Times New Roman"/>
          <w:b/>
          <w:bCs/>
          <w:color w:val="000000"/>
          <w:kern w:val="0"/>
          <w:sz w:val="32"/>
          <w:szCs w:val="32"/>
          <w:highlight w:val="none"/>
          <w:shd w:val="clear" w:color="auto" w:fill="FFFFFF"/>
          <w:lang w:val="zh-CN"/>
        </w:rPr>
      </w:pPr>
      <w:r>
        <w:rPr>
          <w:rFonts w:ascii="Times New Roman" w:hAnsi="Times New Roman" w:eastAsia="楷体_GB2312" w:cs="Times New Roman"/>
          <w:b/>
          <w:bCs/>
          <w:color w:val="000000"/>
          <w:kern w:val="0"/>
          <w:sz w:val="32"/>
          <w:szCs w:val="32"/>
          <w:highlight w:val="none"/>
          <w:shd w:val="clear" w:color="auto" w:fill="FFFFFF"/>
          <w:lang w:val="zh-CN"/>
        </w:rPr>
        <w:t>机构职能</w:t>
      </w:r>
      <w:r>
        <w:rPr>
          <w:rFonts w:hint="eastAsia" w:eastAsia="楷体_GB2312" w:cs="Times New Roman"/>
          <w:b/>
          <w:bCs/>
          <w:color w:val="000000"/>
          <w:kern w:val="0"/>
          <w:sz w:val="32"/>
          <w:szCs w:val="32"/>
          <w:highlight w:val="none"/>
          <w:shd w:val="clear" w:color="auto" w:fill="FFFFFF"/>
          <w:lang w:val="zh-CN"/>
        </w:rPr>
        <w:t>。</w:t>
      </w:r>
    </w:p>
    <w:p w14:paraId="23FA1A62">
      <w:pPr>
        <w:keepNext w:val="0"/>
        <w:keepLines w:val="0"/>
        <w:pageBreakBefore w:val="0"/>
        <w:widowControl w:val="0"/>
        <w:bidi w:val="0"/>
        <w:snapToGrid w:val="0"/>
        <w:spacing w:line="560" w:lineRule="exact"/>
        <w:ind w:firstLine="632" w:firstLineChars="200"/>
        <w:textAlignment w:val="auto"/>
        <w:rPr>
          <w:rFonts w:hint="eastAsia" w:ascii="仿宋_GB2312" w:eastAsia="仿宋_GB2312"/>
          <w:color w:val="000000"/>
          <w:spacing w:val="-2"/>
          <w:sz w:val="32"/>
          <w:szCs w:val="32"/>
          <w:lang w:eastAsia="zh-CN"/>
        </w:rPr>
      </w:pPr>
      <w:r>
        <w:rPr>
          <w:rFonts w:hint="eastAsia" w:ascii="仿宋_GB2312" w:eastAsia="仿宋_GB2312"/>
          <w:color w:val="000000"/>
          <w:spacing w:val="-2"/>
          <w:sz w:val="32"/>
          <w:szCs w:val="32"/>
          <w:lang w:eastAsia="zh-CN"/>
        </w:rPr>
        <w:t xml:space="preserve"> 一是贯彻执行《中华人民共和国档案法》以及党和国家有关档案工作的方针、政策；对全县档案工作履行统筹规划、宏观管理；起草全县档案工作的规范性文件和规章草案，完善档案管理的政策和规章制度；监督、检查档案法律法规的贯彻执行，依法查处档案违法行为。</w:t>
      </w:r>
    </w:p>
    <w:p w14:paraId="4785D3EA">
      <w:pPr>
        <w:keepNext w:val="0"/>
        <w:keepLines w:val="0"/>
        <w:pageBreakBefore w:val="0"/>
        <w:widowControl w:val="0"/>
        <w:bidi w:val="0"/>
        <w:snapToGrid w:val="0"/>
        <w:spacing w:line="560" w:lineRule="exact"/>
        <w:ind w:firstLine="632" w:firstLineChars="200"/>
        <w:textAlignment w:val="auto"/>
        <w:rPr>
          <w:rFonts w:hint="eastAsia" w:ascii="仿宋_GB2312" w:eastAsia="仿宋_GB2312"/>
          <w:color w:val="000000"/>
          <w:spacing w:val="-2"/>
          <w:sz w:val="32"/>
          <w:szCs w:val="32"/>
          <w:lang w:eastAsia="zh-CN"/>
        </w:rPr>
      </w:pPr>
      <w:r>
        <w:rPr>
          <w:rFonts w:hint="eastAsia" w:ascii="仿宋_GB2312" w:eastAsia="仿宋_GB2312"/>
          <w:color w:val="000000"/>
          <w:spacing w:val="-2"/>
          <w:sz w:val="32"/>
          <w:szCs w:val="32"/>
          <w:lang w:eastAsia="zh-CN"/>
        </w:rPr>
        <w:t>二是制定全县档案事业发展的中长期规划和年度计划并组织实施。</w:t>
      </w:r>
    </w:p>
    <w:p w14:paraId="39DD7B15">
      <w:pPr>
        <w:keepNext w:val="0"/>
        <w:keepLines w:val="0"/>
        <w:pageBreakBefore w:val="0"/>
        <w:widowControl w:val="0"/>
        <w:bidi w:val="0"/>
        <w:snapToGrid w:val="0"/>
        <w:spacing w:line="560" w:lineRule="exact"/>
        <w:ind w:firstLine="632" w:firstLineChars="200"/>
        <w:textAlignment w:val="auto"/>
        <w:rPr>
          <w:rFonts w:hint="eastAsia" w:ascii="仿宋_GB2312" w:eastAsia="仿宋_GB2312"/>
          <w:color w:val="000000"/>
          <w:spacing w:val="-2"/>
          <w:sz w:val="32"/>
          <w:szCs w:val="32"/>
          <w:lang w:eastAsia="zh-CN"/>
        </w:rPr>
      </w:pPr>
      <w:r>
        <w:rPr>
          <w:rFonts w:hint="eastAsia" w:ascii="仿宋_GB2312" w:eastAsia="仿宋_GB2312"/>
          <w:color w:val="000000"/>
          <w:spacing w:val="-2"/>
          <w:sz w:val="32"/>
          <w:szCs w:val="32"/>
          <w:lang w:eastAsia="zh-CN"/>
        </w:rPr>
        <w:t>三是依法对全县区域内各类馆及机关、团体、企事业单位和其他组织的档案工作进行指导、监督、检查和协调。</w:t>
      </w:r>
    </w:p>
    <w:p w14:paraId="0C63C351">
      <w:pPr>
        <w:keepNext w:val="0"/>
        <w:keepLines w:val="0"/>
        <w:pageBreakBefore w:val="0"/>
        <w:widowControl w:val="0"/>
        <w:bidi w:val="0"/>
        <w:snapToGrid w:val="0"/>
        <w:spacing w:line="560" w:lineRule="exact"/>
        <w:ind w:firstLine="632" w:firstLineChars="200"/>
        <w:textAlignment w:val="auto"/>
        <w:rPr>
          <w:rFonts w:hint="eastAsia" w:ascii="仿宋_GB2312" w:eastAsia="仿宋_GB2312"/>
          <w:color w:val="000000"/>
          <w:spacing w:val="-2"/>
          <w:sz w:val="32"/>
          <w:szCs w:val="32"/>
          <w:lang w:eastAsia="zh-CN"/>
        </w:rPr>
      </w:pPr>
      <w:r>
        <w:rPr>
          <w:rFonts w:hint="eastAsia" w:ascii="仿宋_GB2312" w:eastAsia="仿宋_GB2312"/>
          <w:color w:val="000000"/>
          <w:spacing w:val="-2"/>
          <w:sz w:val="32"/>
          <w:szCs w:val="32"/>
          <w:lang w:eastAsia="zh-CN"/>
        </w:rPr>
        <w:t>四是组织指导全县档案理论、档案科研和档案宣传工作，逐步实现档案管理的标准化、科学化和现代化。</w:t>
      </w:r>
    </w:p>
    <w:p w14:paraId="2DB46BBA">
      <w:pPr>
        <w:keepNext w:val="0"/>
        <w:keepLines w:val="0"/>
        <w:pageBreakBefore w:val="0"/>
        <w:widowControl w:val="0"/>
        <w:bidi w:val="0"/>
        <w:snapToGrid w:val="0"/>
        <w:spacing w:line="560" w:lineRule="exact"/>
        <w:ind w:firstLine="632" w:firstLineChars="200"/>
        <w:textAlignment w:val="auto"/>
        <w:rPr>
          <w:rFonts w:hint="eastAsia" w:ascii="仿宋_GB2312" w:eastAsia="仿宋_GB2312"/>
          <w:color w:val="000000"/>
          <w:spacing w:val="-2"/>
          <w:sz w:val="32"/>
          <w:szCs w:val="32"/>
          <w:lang w:eastAsia="zh-CN"/>
        </w:rPr>
      </w:pPr>
      <w:r>
        <w:rPr>
          <w:rFonts w:hint="eastAsia" w:ascii="仿宋_GB2312" w:eastAsia="仿宋_GB2312"/>
          <w:color w:val="000000"/>
          <w:spacing w:val="-2"/>
          <w:sz w:val="32"/>
          <w:szCs w:val="32"/>
          <w:lang w:eastAsia="zh-CN"/>
        </w:rPr>
        <w:t>五是负责全县档案人员的业务指导；指导全县档案人员队伍建设；负责全县档案专业技术职务评审工作的组织实施。</w:t>
      </w:r>
    </w:p>
    <w:p w14:paraId="1E2367AC">
      <w:pPr>
        <w:keepNext w:val="0"/>
        <w:keepLines w:val="0"/>
        <w:pageBreakBefore w:val="0"/>
        <w:widowControl w:val="0"/>
        <w:bidi w:val="0"/>
        <w:snapToGrid w:val="0"/>
        <w:spacing w:line="560" w:lineRule="exact"/>
        <w:ind w:firstLine="632" w:firstLineChars="200"/>
        <w:textAlignment w:val="auto"/>
        <w:rPr>
          <w:rFonts w:ascii="仿宋_GB2312" w:eastAsia="仿宋_GB2312"/>
          <w:color w:val="000000"/>
          <w:spacing w:val="-2"/>
          <w:sz w:val="32"/>
          <w:szCs w:val="32"/>
          <w:lang w:val="zh-CN" w:eastAsia="zh-CN"/>
        </w:rPr>
      </w:pPr>
      <w:r>
        <w:rPr>
          <w:rFonts w:hint="eastAsia" w:ascii="仿宋_GB2312" w:eastAsia="仿宋_GB2312"/>
          <w:color w:val="000000"/>
          <w:spacing w:val="-2"/>
          <w:sz w:val="32"/>
          <w:szCs w:val="32"/>
          <w:lang w:eastAsia="zh-CN"/>
        </w:rPr>
        <w:t>六是依法保管、保护、鉴定和提供利用档案；依法向社会开放档案、编研、编辑、公布档案史料。</w:t>
      </w:r>
    </w:p>
    <w:p w14:paraId="5E239FEE">
      <w:pPr>
        <w:keepNext w:val="0"/>
        <w:keepLines w:val="0"/>
        <w:pageBreakBefore w:val="0"/>
        <w:widowControl w:val="0"/>
        <w:kinsoku/>
        <w:wordWrap w:val="0"/>
        <w:overflowPunct/>
        <w:autoSpaceDE/>
        <w:autoSpaceDN/>
        <w:bidi w:val="0"/>
        <w:spacing w:line="560" w:lineRule="exact"/>
        <w:ind w:firstLine="643" w:firstLineChars="200"/>
        <w:jc w:val="left"/>
        <w:textAlignment w:val="auto"/>
        <w:rPr>
          <w:rFonts w:hint="eastAsia" w:eastAsia="楷体_GB2312" w:cs="Times New Roman"/>
          <w:b/>
          <w:bCs/>
          <w:color w:val="000000"/>
          <w:kern w:val="0"/>
          <w:sz w:val="32"/>
          <w:szCs w:val="32"/>
          <w:highlight w:val="none"/>
          <w:shd w:val="clear" w:color="auto" w:fill="FFFFFF"/>
          <w:lang w:val="zh-CN"/>
        </w:rPr>
      </w:pPr>
      <w:r>
        <w:rPr>
          <w:rFonts w:ascii="Times New Roman" w:hAnsi="Times New Roman" w:eastAsia="楷体_GB2312" w:cs="Times New Roman"/>
          <w:b/>
          <w:bCs/>
          <w:color w:val="000000"/>
          <w:kern w:val="0"/>
          <w:sz w:val="32"/>
          <w:szCs w:val="32"/>
          <w:highlight w:val="none"/>
          <w:shd w:val="clear" w:color="auto" w:fill="FFFFFF"/>
          <w:lang w:val="zh-CN"/>
        </w:rPr>
        <w:t>（</w:t>
      </w:r>
      <w:r>
        <w:rPr>
          <w:rFonts w:hint="eastAsia" w:eastAsia="楷体_GB2312" w:cs="Times New Roman"/>
          <w:b/>
          <w:bCs/>
          <w:color w:val="000000"/>
          <w:kern w:val="0"/>
          <w:sz w:val="32"/>
          <w:szCs w:val="32"/>
          <w:highlight w:val="none"/>
          <w:shd w:val="clear" w:color="auto" w:fill="FFFFFF"/>
          <w:lang w:val="zh-CN"/>
        </w:rPr>
        <w:t>三</w:t>
      </w:r>
      <w:r>
        <w:rPr>
          <w:rFonts w:ascii="Times New Roman" w:hAnsi="Times New Roman" w:eastAsia="楷体_GB2312" w:cs="Times New Roman"/>
          <w:b/>
          <w:bCs/>
          <w:color w:val="000000"/>
          <w:kern w:val="0"/>
          <w:sz w:val="32"/>
          <w:szCs w:val="32"/>
          <w:highlight w:val="none"/>
          <w:shd w:val="clear" w:color="auto" w:fill="FFFFFF"/>
          <w:lang w:val="zh-CN"/>
        </w:rPr>
        <w:t>）人员概况</w:t>
      </w:r>
      <w:r>
        <w:rPr>
          <w:rFonts w:hint="eastAsia" w:eastAsia="楷体_GB2312" w:cs="Times New Roman"/>
          <w:b/>
          <w:bCs/>
          <w:color w:val="000000"/>
          <w:kern w:val="0"/>
          <w:sz w:val="32"/>
          <w:szCs w:val="32"/>
          <w:highlight w:val="none"/>
          <w:shd w:val="clear" w:color="auto" w:fill="FFFFFF"/>
          <w:lang w:val="zh-CN"/>
        </w:rPr>
        <w:t>。</w:t>
      </w:r>
    </w:p>
    <w:p w14:paraId="1889E285">
      <w:pPr>
        <w:keepNext w:val="0"/>
        <w:keepLines w:val="0"/>
        <w:pageBreakBefore w:val="0"/>
        <w:widowControl w:val="0"/>
        <w:bidi w:val="0"/>
        <w:spacing w:line="560" w:lineRule="exact"/>
        <w:ind w:firstLine="750" w:firstLineChars="250"/>
        <w:textAlignment w:val="auto"/>
        <w:rPr>
          <w:rFonts w:ascii="仿宋_GB2312" w:eastAsia="仿宋_GB2312" w:cs="仿宋_GB2312"/>
          <w:sz w:val="30"/>
          <w:szCs w:val="30"/>
        </w:rPr>
      </w:pPr>
      <w:r>
        <w:rPr>
          <w:rFonts w:hint="eastAsia" w:ascii="仿宋_GB2312" w:eastAsia="仿宋_GB2312" w:cs="仿宋_GB2312"/>
          <w:sz w:val="30"/>
          <w:szCs w:val="30"/>
        </w:rPr>
        <w:t>人员编制数7人，年末实有在职7人，退休</w:t>
      </w:r>
      <w:r>
        <w:rPr>
          <w:rFonts w:hint="eastAsia" w:ascii="仿宋_GB2312" w:cs="仿宋_GB2312"/>
          <w:sz w:val="30"/>
          <w:szCs w:val="30"/>
          <w:lang w:val="en-US" w:eastAsia="zh-CN"/>
        </w:rPr>
        <w:t>5</w:t>
      </w:r>
      <w:r>
        <w:rPr>
          <w:rFonts w:hint="eastAsia" w:ascii="仿宋_GB2312" w:eastAsia="仿宋_GB2312" w:cs="仿宋_GB2312"/>
          <w:sz w:val="30"/>
          <w:szCs w:val="30"/>
        </w:rPr>
        <w:t>人。</w:t>
      </w:r>
    </w:p>
    <w:p w14:paraId="125AB663">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黑体" w:hAnsi="黑体" w:eastAsia="黑体" w:cs="黑体"/>
          <w:color w:val="000000"/>
          <w:kern w:val="0"/>
          <w:sz w:val="32"/>
          <w:szCs w:val="32"/>
          <w:highlight w:val="none"/>
          <w:shd w:val="clear" w:color="auto" w:fill="FFFFFF"/>
        </w:rPr>
      </w:pPr>
      <w:r>
        <w:rPr>
          <w:rFonts w:hint="eastAsia" w:ascii="黑体" w:hAnsi="黑体" w:eastAsia="黑体" w:cs="黑体"/>
          <w:color w:val="000000"/>
          <w:kern w:val="0"/>
          <w:sz w:val="32"/>
          <w:szCs w:val="32"/>
          <w:highlight w:val="none"/>
          <w:shd w:val="clear" w:color="auto" w:fill="FFFFFF"/>
        </w:rPr>
        <w:t>二、</w:t>
      </w:r>
      <w:r>
        <w:rPr>
          <w:rFonts w:hint="eastAsia" w:ascii="黑体" w:hAnsi="黑体" w:eastAsia="黑体" w:cs="黑体"/>
          <w:color w:val="000000"/>
          <w:kern w:val="0"/>
          <w:sz w:val="32"/>
          <w:szCs w:val="32"/>
          <w:highlight w:val="none"/>
          <w:shd w:val="clear" w:color="auto" w:fill="FFFFFF"/>
          <w:lang w:eastAsia="zh-CN"/>
        </w:rPr>
        <w:t>部门</w:t>
      </w:r>
      <w:r>
        <w:rPr>
          <w:rFonts w:hint="eastAsia" w:ascii="黑体" w:hAnsi="黑体" w:eastAsia="黑体" w:cs="黑体"/>
          <w:color w:val="000000"/>
          <w:kern w:val="0"/>
          <w:sz w:val="32"/>
          <w:szCs w:val="32"/>
          <w:highlight w:val="none"/>
          <w:shd w:val="clear" w:color="auto" w:fill="FFFFFF"/>
        </w:rPr>
        <w:t>资金收支情况</w:t>
      </w:r>
    </w:p>
    <w:p w14:paraId="17CC063A">
      <w:pPr>
        <w:snapToGrid w:val="0"/>
        <w:spacing w:line="520" w:lineRule="exact"/>
        <w:ind w:firstLine="643" w:firstLineChars="200"/>
        <w:rPr>
          <w:rFonts w:ascii="仿宋_GB2312" w:eastAsia="仿宋_GB2312"/>
          <w:color w:val="000000"/>
          <w:spacing w:val="-2"/>
          <w:sz w:val="32"/>
          <w:szCs w:val="32"/>
        </w:rPr>
      </w:pPr>
      <w:r>
        <w:rPr>
          <w:rFonts w:ascii="Times New Roman" w:hAnsi="Times New Roman" w:eastAsia="楷体_GB2312" w:cs="Times New Roman"/>
          <w:b/>
          <w:bCs/>
          <w:color w:val="000000"/>
          <w:kern w:val="0"/>
          <w:sz w:val="32"/>
          <w:szCs w:val="32"/>
          <w:highlight w:val="none"/>
          <w:shd w:val="clear" w:color="auto" w:fill="FFFFFF"/>
          <w:lang w:val="zh-CN"/>
        </w:rPr>
        <w:t>（一）收入情况</w:t>
      </w:r>
      <w:r>
        <w:rPr>
          <w:rFonts w:ascii="Times New Roman" w:hAnsi="Times New Roman" w:eastAsia="楷体_GB2312" w:cs="Times New Roman"/>
          <w:b/>
          <w:bCs/>
          <w:color w:val="000000"/>
          <w:kern w:val="0"/>
          <w:szCs w:val="32"/>
          <w:highlight w:val="none"/>
          <w:shd w:val="clear" w:color="auto" w:fill="FFFFFF"/>
          <w:lang w:val="zh-CN"/>
        </w:rPr>
        <w:t>。</w:t>
      </w:r>
      <w:r>
        <w:rPr>
          <w:rFonts w:hint="eastAsia" w:ascii="仿宋_GB2312" w:eastAsia="仿宋_GB2312"/>
          <w:color w:val="000000"/>
          <w:spacing w:val="-2"/>
          <w:sz w:val="32"/>
          <w:szCs w:val="32"/>
          <w:lang w:eastAsia="zh-CN"/>
        </w:rPr>
        <w:t>2024</w:t>
      </w:r>
      <w:r>
        <w:rPr>
          <w:rFonts w:hint="eastAsia" w:ascii="仿宋_GB2312" w:eastAsia="仿宋_GB2312"/>
          <w:color w:val="000000"/>
          <w:spacing w:val="-2"/>
          <w:sz w:val="32"/>
          <w:szCs w:val="32"/>
        </w:rPr>
        <w:t>年度总收入</w:t>
      </w:r>
      <w:r>
        <w:rPr>
          <w:rFonts w:hint="eastAsia" w:ascii="仿宋_GB2312" w:eastAsia="仿宋_GB2312"/>
          <w:color w:val="000000"/>
          <w:spacing w:val="-2"/>
          <w:sz w:val="32"/>
          <w:szCs w:val="32"/>
          <w:lang w:val="en-US" w:eastAsia="zh-CN"/>
        </w:rPr>
        <w:t>174.63</w:t>
      </w:r>
      <w:r>
        <w:rPr>
          <w:rFonts w:hint="eastAsia" w:ascii="仿宋_GB2312" w:eastAsia="仿宋_GB2312"/>
          <w:color w:val="000000"/>
          <w:spacing w:val="-2"/>
          <w:sz w:val="32"/>
          <w:szCs w:val="32"/>
        </w:rPr>
        <w:t>万元，较上年收入</w:t>
      </w:r>
      <w:r>
        <w:rPr>
          <w:rFonts w:hint="eastAsia" w:ascii="仿宋_GB2312" w:eastAsia="仿宋_GB2312"/>
          <w:color w:val="000000"/>
          <w:spacing w:val="-2"/>
          <w:sz w:val="32"/>
          <w:szCs w:val="32"/>
          <w:lang w:eastAsia="zh-CN"/>
        </w:rPr>
        <w:t>增加</w:t>
      </w:r>
      <w:r>
        <w:rPr>
          <w:rFonts w:hint="eastAsia" w:ascii="仿宋_GB2312" w:eastAsia="仿宋_GB2312"/>
          <w:color w:val="000000"/>
          <w:spacing w:val="-2"/>
          <w:sz w:val="32"/>
          <w:szCs w:val="32"/>
          <w:lang w:val="en-US" w:eastAsia="zh-CN"/>
        </w:rPr>
        <w:t>5.68</w:t>
      </w:r>
      <w:r>
        <w:rPr>
          <w:rFonts w:hint="eastAsia" w:ascii="仿宋_GB2312" w:eastAsia="仿宋_GB2312"/>
          <w:color w:val="000000"/>
          <w:spacing w:val="-2"/>
          <w:sz w:val="32"/>
          <w:szCs w:val="32"/>
        </w:rPr>
        <w:t>万元，</w:t>
      </w:r>
      <w:r>
        <w:rPr>
          <w:rFonts w:hint="eastAsia" w:ascii="仿宋_GB2312" w:eastAsia="仿宋_GB2312"/>
          <w:color w:val="000000"/>
          <w:spacing w:val="-2"/>
          <w:sz w:val="32"/>
          <w:szCs w:val="32"/>
          <w:lang w:eastAsia="zh-CN"/>
        </w:rPr>
        <w:t>增加</w:t>
      </w:r>
      <w:r>
        <w:rPr>
          <w:rFonts w:hint="eastAsia" w:ascii="仿宋_GB2312" w:eastAsia="仿宋_GB2312"/>
          <w:color w:val="000000"/>
          <w:spacing w:val="-2"/>
          <w:sz w:val="32"/>
          <w:szCs w:val="32"/>
          <w:lang w:val="en-US" w:eastAsia="zh-CN"/>
        </w:rPr>
        <w:t>3.36</w:t>
      </w:r>
      <w:r>
        <w:rPr>
          <w:rFonts w:hint="eastAsia" w:ascii="仿宋_GB2312" w:eastAsia="仿宋_GB2312"/>
          <w:color w:val="000000"/>
          <w:spacing w:val="-2"/>
          <w:sz w:val="32"/>
          <w:szCs w:val="32"/>
        </w:rPr>
        <w:t>%。增加的主要原因是</w:t>
      </w:r>
      <w:r>
        <w:rPr>
          <w:rFonts w:hint="eastAsia" w:ascii="仿宋_GB2312" w:eastAsia="仿宋_GB2312"/>
          <w:color w:val="000000"/>
          <w:spacing w:val="-2"/>
          <w:sz w:val="32"/>
          <w:szCs w:val="32"/>
          <w:lang w:eastAsia="zh-CN"/>
        </w:rPr>
        <w:t>2024</w:t>
      </w:r>
      <w:r>
        <w:rPr>
          <w:rFonts w:hint="eastAsia" w:ascii="仿宋_GB2312" w:eastAsia="仿宋_GB2312"/>
          <w:color w:val="000000"/>
          <w:spacing w:val="-2"/>
          <w:sz w:val="32"/>
          <w:szCs w:val="32"/>
        </w:rPr>
        <w:t>年</w:t>
      </w:r>
      <w:r>
        <w:rPr>
          <w:rFonts w:hint="eastAsia" w:ascii="仿宋_GB2312" w:eastAsia="仿宋_GB2312"/>
          <w:color w:val="000000"/>
          <w:spacing w:val="-2"/>
          <w:sz w:val="32"/>
          <w:szCs w:val="32"/>
          <w:lang w:eastAsia="zh-CN"/>
        </w:rPr>
        <w:t>期间人员调动，人员费用开支增加</w:t>
      </w:r>
      <w:r>
        <w:rPr>
          <w:rFonts w:hint="eastAsia" w:ascii="仿宋_GB2312" w:eastAsia="仿宋_GB2312"/>
          <w:color w:val="000000"/>
          <w:spacing w:val="-2"/>
          <w:sz w:val="32"/>
          <w:szCs w:val="32"/>
        </w:rPr>
        <w:t>等。</w:t>
      </w:r>
      <w:r>
        <w:rPr>
          <w:rFonts w:hint="eastAsia" w:ascii="仿宋" w:eastAsia="仿宋"/>
          <w:color w:val="000000"/>
          <w:sz w:val="32"/>
          <w:szCs w:val="32"/>
        </w:rPr>
        <w:t>其中：一般公共预算财政拨款收入</w:t>
      </w:r>
      <w:r>
        <w:rPr>
          <w:rFonts w:hint="eastAsia" w:ascii="仿宋" w:eastAsia="仿宋"/>
          <w:color w:val="000000"/>
          <w:sz w:val="32"/>
          <w:szCs w:val="32"/>
          <w:lang w:val="en-US" w:eastAsia="zh-CN"/>
        </w:rPr>
        <w:t>174.63</w:t>
      </w:r>
      <w:r>
        <w:rPr>
          <w:rFonts w:hint="eastAsia" w:ascii="仿宋" w:eastAsia="仿宋"/>
          <w:color w:val="000000"/>
          <w:sz w:val="32"/>
          <w:szCs w:val="32"/>
        </w:rPr>
        <w:t>万元，占100</w:t>
      </w:r>
      <w:r>
        <w:rPr>
          <w:rFonts w:ascii="仿宋" w:eastAsia="仿宋"/>
          <w:color w:val="000000"/>
          <w:sz w:val="32"/>
          <w:szCs w:val="32"/>
        </w:rPr>
        <w:t>%</w:t>
      </w:r>
      <w:r>
        <w:rPr>
          <w:rFonts w:hint="eastAsia" w:ascii="仿宋" w:eastAsia="仿宋"/>
          <w:color w:val="000000"/>
          <w:sz w:val="32"/>
          <w:szCs w:val="32"/>
        </w:rPr>
        <w:t>；政府性基金预算财政拨款收入0万元，占0</w:t>
      </w:r>
      <w:r>
        <w:rPr>
          <w:rFonts w:ascii="仿宋" w:eastAsia="仿宋"/>
          <w:color w:val="000000"/>
          <w:sz w:val="32"/>
          <w:szCs w:val="32"/>
        </w:rPr>
        <w:t>%</w:t>
      </w:r>
      <w:r>
        <w:rPr>
          <w:rFonts w:hint="eastAsia" w:ascii="仿宋" w:eastAsia="仿宋"/>
          <w:color w:val="000000"/>
          <w:sz w:val="32"/>
          <w:szCs w:val="32"/>
        </w:rPr>
        <w:t>；国有资本经营预算财政拨款收入0万元，占0</w:t>
      </w:r>
      <w:r>
        <w:rPr>
          <w:rFonts w:ascii="仿宋" w:eastAsia="仿宋"/>
          <w:color w:val="000000"/>
          <w:sz w:val="32"/>
          <w:szCs w:val="32"/>
        </w:rPr>
        <w:t>%</w:t>
      </w:r>
      <w:r>
        <w:rPr>
          <w:rFonts w:hint="eastAsia" w:ascii="仿宋" w:eastAsia="仿宋"/>
          <w:color w:val="000000"/>
          <w:sz w:val="32"/>
          <w:szCs w:val="32"/>
        </w:rPr>
        <w:t>；事业收入0万元，占0</w:t>
      </w:r>
      <w:r>
        <w:rPr>
          <w:rFonts w:ascii="仿宋" w:eastAsia="仿宋"/>
          <w:color w:val="000000"/>
          <w:sz w:val="32"/>
          <w:szCs w:val="32"/>
        </w:rPr>
        <w:t>%</w:t>
      </w:r>
      <w:r>
        <w:rPr>
          <w:rFonts w:hint="eastAsia" w:ascii="仿宋" w:eastAsia="仿宋"/>
          <w:color w:val="000000"/>
          <w:sz w:val="32"/>
          <w:szCs w:val="32"/>
        </w:rPr>
        <w:t>；经营收入0万元，占0</w:t>
      </w:r>
      <w:r>
        <w:rPr>
          <w:rFonts w:ascii="仿宋" w:eastAsia="仿宋"/>
          <w:color w:val="000000"/>
          <w:sz w:val="32"/>
          <w:szCs w:val="32"/>
        </w:rPr>
        <w:t>%</w:t>
      </w:r>
      <w:r>
        <w:rPr>
          <w:rFonts w:hint="eastAsia" w:ascii="仿宋" w:eastAsia="仿宋"/>
          <w:color w:val="000000"/>
          <w:sz w:val="32"/>
          <w:szCs w:val="32"/>
        </w:rPr>
        <w:t>；附属单位上缴收入0万元，占0</w:t>
      </w:r>
      <w:r>
        <w:rPr>
          <w:rFonts w:ascii="仿宋" w:eastAsia="仿宋"/>
          <w:color w:val="000000"/>
          <w:sz w:val="32"/>
          <w:szCs w:val="32"/>
        </w:rPr>
        <w:t>%</w:t>
      </w:r>
      <w:r>
        <w:rPr>
          <w:rFonts w:hint="eastAsia" w:ascii="仿宋" w:eastAsia="仿宋"/>
          <w:color w:val="000000"/>
          <w:sz w:val="32"/>
          <w:szCs w:val="32"/>
        </w:rPr>
        <w:t>；其他收入0万元，占0%</w:t>
      </w:r>
    </w:p>
    <w:p w14:paraId="581EE2F0">
      <w:pPr>
        <w:spacing w:line="600" w:lineRule="exact"/>
        <w:ind w:firstLine="645"/>
        <w:rPr>
          <w:rFonts w:hint="eastAsia" w:ascii="仿宋" w:eastAsia="仿宋"/>
          <w:color w:val="000000"/>
          <w:sz w:val="32"/>
          <w:szCs w:val="32"/>
          <w:lang w:eastAsia="zh-CN"/>
        </w:rPr>
      </w:pPr>
      <w:r>
        <w:rPr>
          <w:rFonts w:ascii="Times New Roman" w:hAnsi="Times New Roman" w:eastAsia="楷体_GB2312" w:cs="Times New Roman"/>
          <w:b/>
          <w:bCs/>
          <w:color w:val="000000"/>
          <w:kern w:val="0"/>
          <w:sz w:val="32"/>
          <w:szCs w:val="32"/>
          <w:highlight w:val="none"/>
          <w:shd w:val="clear" w:color="auto" w:fill="FFFFFF"/>
          <w:lang w:val="zh-CN"/>
        </w:rPr>
        <w:t>（二）支出情况。</w:t>
      </w:r>
      <w:r>
        <w:rPr>
          <w:rFonts w:hint="eastAsia" w:ascii="仿宋" w:eastAsia="仿宋"/>
          <w:color w:val="000000"/>
          <w:sz w:val="32"/>
          <w:szCs w:val="32"/>
          <w:lang w:eastAsia="zh-CN"/>
        </w:rPr>
        <w:t>2024</w:t>
      </w:r>
      <w:r>
        <w:rPr>
          <w:rFonts w:hint="eastAsia" w:ascii="仿宋" w:eastAsia="仿宋"/>
          <w:color w:val="000000"/>
          <w:sz w:val="32"/>
          <w:szCs w:val="32"/>
        </w:rPr>
        <w:t>年</w:t>
      </w:r>
      <w:r>
        <w:rPr>
          <w:rFonts w:hint="eastAsia" w:ascii="仿宋" w:eastAsia="仿宋"/>
          <w:color w:val="000000"/>
          <w:sz w:val="32"/>
          <w:szCs w:val="32"/>
          <w:lang w:eastAsia="zh-CN"/>
        </w:rPr>
        <w:t>度总</w:t>
      </w:r>
      <w:r>
        <w:rPr>
          <w:rFonts w:hint="eastAsia" w:ascii="仿宋" w:eastAsia="仿宋"/>
          <w:color w:val="000000"/>
          <w:sz w:val="32"/>
          <w:szCs w:val="32"/>
        </w:rPr>
        <w:t>支出</w:t>
      </w:r>
      <w:r>
        <w:rPr>
          <w:rFonts w:hint="eastAsia" w:ascii="仿宋" w:eastAsia="仿宋"/>
          <w:color w:val="000000"/>
          <w:sz w:val="32"/>
          <w:szCs w:val="32"/>
          <w:lang w:val="en-US" w:eastAsia="zh-CN"/>
        </w:rPr>
        <w:t>174.63</w:t>
      </w:r>
      <w:r>
        <w:rPr>
          <w:rFonts w:hint="eastAsia" w:ascii="仿宋" w:eastAsia="仿宋"/>
          <w:color w:val="000000"/>
          <w:sz w:val="32"/>
          <w:szCs w:val="32"/>
        </w:rPr>
        <w:t>万元，其中：人员经费</w:t>
      </w:r>
      <w:r>
        <w:rPr>
          <w:rFonts w:hint="eastAsia" w:ascii="仿宋" w:eastAsia="仿宋"/>
          <w:color w:val="000000"/>
          <w:sz w:val="32"/>
          <w:szCs w:val="32"/>
          <w:lang w:val="en-US" w:eastAsia="zh-CN"/>
        </w:rPr>
        <w:t>162.96</w:t>
      </w:r>
      <w:r>
        <w:rPr>
          <w:rFonts w:hint="eastAsia" w:ascii="仿宋" w:eastAsia="仿宋"/>
          <w:color w:val="000000"/>
          <w:sz w:val="32"/>
          <w:szCs w:val="32"/>
        </w:rPr>
        <w:t>万元，主要包括：基本工资</w:t>
      </w:r>
      <w:r>
        <w:rPr>
          <w:rFonts w:hint="eastAsia" w:ascii="仿宋" w:eastAsia="仿宋"/>
          <w:color w:val="000000"/>
          <w:sz w:val="32"/>
          <w:szCs w:val="32"/>
          <w:lang w:val="en-US" w:eastAsia="zh-CN"/>
        </w:rPr>
        <w:t>32.38</w:t>
      </w:r>
      <w:r>
        <w:rPr>
          <w:rFonts w:hint="eastAsia" w:ascii="仿宋" w:eastAsia="仿宋"/>
          <w:color w:val="000000"/>
          <w:sz w:val="32"/>
          <w:szCs w:val="32"/>
        </w:rPr>
        <w:t>万元、津贴补贴</w:t>
      </w:r>
      <w:r>
        <w:rPr>
          <w:rFonts w:hint="eastAsia" w:ascii="仿宋" w:eastAsia="仿宋"/>
          <w:color w:val="000000"/>
          <w:sz w:val="32"/>
          <w:szCs w:val="32"/>
          <w:lang w:val="en-US" w:eastAsia="zh-CN"/>
        </w:rPr>
        <w:t>36.98</w:t>
      </w:r>
      <w:r>
        <w:rPr>
          <w:rFonts w:hint="eastAsia" w:ascii="仿宋" w:eastAsia="仿宋"/>
          <w:color w:val="000000"/>
          <w:sz w:val="32"/>
          <w:szCs w:val="32"/>
        </w:rPr>
        <w:t>万元、奖金</w:t>
      </w:r>
      <w:r>
        <w:rPr>
          <w:rFonts w:hint="eastAsia" w:ascii="仿宋" w:eastAsia="仿宋"/>
          <w:color w:val="000000"/>
          <w:sz w:val="32"/>
          <w:szCs w:val="32"/>
          <w:lang w:val="en-US" w:eastAsia="zh-CN"/>
        </w:rPr>
        <w:t>43.38</w:t>
      </w:r>
      <w:r>
        <w:rPr>
          <w:rFonts w:hint="eastAsia" w:ascii="仿宋" w:eastAsia="仿宋"/>
          <w:color w:val="000000"/>
          <w:sz w:val="32"/>
          <w:szCs w:val="32"/>
        </w:rPr>
        <w:t>万元、伙食补助费0万元、机关事业单位基本养老保险缴费</w:t>
      </w:r>
      <w:r>
        <w:rPr>
          <w:rFonts w:hint="eastAsia" w:ascii="仿宋" w:eastAsia="仿宋"/>
          <w:color w:val="000000"/>
          <w:sz w:val="32"/>
          <w:szCs w:val="32"/>
          <w:lang w:val="en-US" w:eastAsia="zh-CN"/>
        </w:rPr>
        <w:t>15.69</w:t>
      </w:r>
      <w:r>
        <w:rPr>
          <w:rFonts w:hint="eastAsia" w:ascii="仿宋" w:eastAsia="仿宋"/>
          <w:color w:val="000000"/>
          <w:sz w:val="32"/>
          <w:szCs w:val="32"/>
        </w:rPr>
        <w:t>万元、职业年金缴费</w:t>
      </w:r>
      <w:r>
        <w:rPr>
          <w:rFonts w:hint="eastAsia" w:ascii="仿宋" w:eastAsia="仿宋"/>
          <w:color w:val="000000"/>
          <w:sz w:val="32"/>
          <w:szCs w:val="32"/>
          <w:lang w:val="en-US" w:eastAsia="zh-CN"/>
        </w:rPr>
        <w:t>7.84</w:t>
      </w:r>
      <w:r>
        <w:rPr>
          <w:rFonts w:hint="eastAsia" w:ascii="仿宋" w:eastAsia="仿宋"/>
          <w:color w:val="000000"/>
          <w:sz w:val="32"/>
          <w:szCs w:val="32"/>
        </w:rPr>
        <w:t>万元、职工基本医疗保险缴费</w:t>
      </w:r>
      <w:r>
        <w:rPr>
          <w:rFonts w:hint="eastAsia" w:ascii="仿宋" w:eastAsia="仿宋"/>
          <w:color w:val="000000"/>
          <w:sz w:val="32"/>
          <w:szCs w:val="32"/>
          <w:lang w:val="en-US" w:eastAsia="zh-CN"/>
        </w:rPr>
        <w:t>7.53</w:t>
      </w:r>
      <w:r>
        <w:rPr>
          <w:rFonts w:hint="eastAsia" w:ascii="仿宋" w:eastAsia="仿宋"/>
          <w:color w:val="000000"/>
          <w:sz w:val="32"/>
          <w:szCs w:val="32"/>
        </w:rPr>
        <w:t>万元、公务员医疗补助缴费</w:t>
      </w:r>
      <w:r>
        <w:rPr>
          <w:rFonts w:hint="eastAsia" w:ascii="仿宋" w:eastAsia="仿宋"/>
          <w:color w:val="000000"/>
          <w:sz w:val="32"/>
          <w:szCs w:val="32"/>
          <w:lang w:val="en-US" w:eastAsia="zh-CN"/>
        </w:rPr>
        <w:t>2.51</w:t>
      </w:r>
      <w:r>
        <w:rPr>
          <w:rFonts w:hint="eastAsia" w:ascii="仿宋" w:eastAsia="仿宋"/>
          <w:color w:val="000000"/>
          <w:sz w:val="32"/>
          <w:szCs w:val="32"/>
        </w:rPr>
        <w:t>万元、其他社会保障缴费</w:t>
      </w:r>
      <w:r>
        <w:rPr>
          <w:rFonts w:hint="eastAsia" w:ascii="仿宋" w:eastAsia="仿宋"/>
          <w:color w:val="000000"/>
          <w:sz w:val="32"/>
          <w:szCs w:val="32"/>
          <w:lang w:val="en-US" w:eastAsia="zh-CN"/>
        </w:rPr>
        <w:t>1.44</w:t>
      </w:r>
      <w:r>
        <w:rPr>
          <w:rFonts w:hint="eastAsia" w:ascii="仿宋" w:eastAsia="仿宋"/>
          <w:color w:val="000000"/>
          <w:sz w:val="32"/>
          <w:szCs w:val="32"/>
        </w:rPr>
        <w:t>万元、住房公积金</w:t>
      </w:r>
      <w:r>
        <w:rPr>
          <w:rFonts w:hint="eastAsia" w:ascii="仿宋" w:eastAsia="仿宋"/>
          <w:color w:val="000000"/>
          <w:sz w:val="32"/>
          <w:szCs w:val="32"/>
          <w:lang w:val="en-US" w:eastAsia="zh-CN"/>
        </w:rPr>
        <w:t>12.53</w:t>
      </w:r>
      <w:r>
        <w:rPr>
          <w:rFonts w:hint="eastAsia" w:ascii="仿宋" w:eastAsia="仿宋"/>
          <w:color w:val="000000"/>
          <w:sz w:val="32"/>
          <w:szCs w:val="32"/>
        </w:rPr>
        <w:t>万元、生活补助</w:t>
      </w:r>
      <w:r>
        <w:rPr>
          <w:rFonts w:hint="eastAsia" w:ascii="仿宋" w:eastAsia="仿宋"/>
          <w:color w:val="000000"/>
          <w:sz w:val="32"/>
          <w:szCs w:val="32"/>
          <w:lang w:val="en-US" w:eastAsia="zh-CN"/>
        </w:rPr>
        <w:t>0.27</w:t>
      </w:r>
      <w:r>
        <w:rPr>
          <w:rFonts w:hint="eastAsia" w:ascii="仿宋" w:eastAsia="仿宋"/>
          <w:color w:val="000000"/>
          <w:sz w:val="32"/>
          <w:szCs w:val="32"/>
        </w:rPr>
        <w:t>万元</w:t>
      </w:r>
      <w:r>
        <w:rPr>
          <w:rFonts w:hint="eastAsia" w:ascii="仿宋" w:eastAsia="仿宋"/>
          <w:color w:val="000000"/>
          <w:sz w:val="32"/>
          <w:szCs w:val="32"/>
          <w:lang w:eastAsia="zh-CN"/>
        </w:rPr>
        <w:t>。</w:t>
      </w:r>
    </w:p>
    <w:p w14:paraId="7C895E70">
      <w:pPr>
        <w:spacing w:line="600" w:lineRule="exact"/>
        <w:rPr>
          <w:rFonts w:ascii="Times New Roman" w:hAnsi="Times New Roman" w:cs="Times New Roman"/>
          <w:szCs w:val="32"/>
          <w:lang w:val="zh-CN" w:eastAsia="zh-CN"/>
        </w:rPr>
      </w:pPr>
      <w:r>
        <w:rPr>
          <w:rFonts w:hint="eastAsia" w:ascii="仿宋" w:eastAsia="仿宋"/>
          <w:color w:val="000000"/>
          <w:sz w:val="32"/>
          <w:szCs w:val="32"/>
        </w:rPr>
        <w:t>　　公用经费</w:t>
      </w:r>
      <w:r>
        <w:rPr>
          <w:rFonts w:hint="eastAsia" w:ascii="仿宋" w:eastAsia="仿宋"/>
          <w:color w:val="000000"/>
          <w:sz w:val="32"/>
          <w:szCs w:val="32"/>
          <w:lang w:val="en-US" w:eastAsia="zh-CN"/>
        </w:rPr>
        <w:t>11.41</w:t>
      </w:r>
      <w:r>
        <w:rPr>
          <w:rFonts w:hint="eastAsia" w:ascii="仿宋" w:eastAsia="仿宋"/>
          <w:color w:val="000000"/>
          <w:sz w:val="32"/>
          <w:szCs w:val="32"/>
        </w:rPr>
        <w:t>万元，主要包括：办公费</w:t>
      </w:r>
      <w:r>
        <w:rPr>
          <w:rFonts w:hint="eastAsia" w:ascii="仿宋" w:eastAsia="仿宋"/>
          <w:color w:val="000000"/>
          <w:sz w:val="32"/>
          <w:szCs w:val="32"/>
          <w:lang w:val="en-US" w:eastAsia="zh-CN"/>
        </w:rPr>
        <w:t>5.29</w:t>
      </w:r>
      <w:r>
        <w:rPr>
          <w:rFonts w:hint="eastAsia" w:ascii="仿宋" w:eastAsia="仿宋"/>
          <w:color w:val="000000"/>
          <w:sz w:val="32"/>
          <w:szCs w:val="32"/>
        </w:rPr>
        <w:t>万元、水费</w:t>
      </w:r>
      <w:r>
        <w:rPr>
          <w:rFonts w:hint="eastAsia" w:ascii="仿宋" w:eastAsia="仿宋"/>
          <w:color w:val="000000"/>
          <w:sz w:val="32"/>
          <w:szCs w:val="32"/>
          <w:lang w:val="en-US" w:eastAsia="zh-CN"/>
        </w:rPr>
        <w:t>0.12</w:t>
      </w:r>
      <w:r>
        <w:rPr>
          <w:rFonts w:hint="eastAsia" w:ascii="仿宋" w:eastAsia="仿宋"/>
          <w:color w:val="000000"/>
          <w:sz w:val="32"/>
          <w:szCs w:val="32"/>
        </w:rPr>
        <w:t>万元、电费</w:t>
      </w:r>
      <w:r>
        <w:rPr>
          <w:rFonts w:hint="eastAsia" w:ascii="仿宋" w:eastAsia="仿宋"/>
          <w:color w:val="000000"/>
          <w:sz w:val="32"/>
          <w:szCs w:val="32"/>
          <w:lang w:val="en-US" w:eastAsia="zh-CN"/>
        </w:rPr>
        <w:t>0.2</w:t>
      </w:r>
      <w:r>
        <w:rPr>
          <w:rFonts w:hint="eastAsia" w:ascii="仿宋" w:eastAsia="仿宋"/>
          <w:color w:val="000000"/>
          <w:sz w:val="32"/>
          <w:szCs w:val="32"/>
        </w:rPr>
        <w:t>万元、邮电费</w:t>
      </w:r>
      <w:r>
        <w:rPr>
          <w:rFonts w:hint="eastAsia" w:ascii="仿宋" w:eastAsia="仿宋"/>
          <w:color w:val="000000"/>
          <w:sz w:val="32"/>
          <w:szCs w:val="32"/>
          <w:lang w:val="en-US" w:eastAsia="zh-CN"/>
        </w:rPr>
        <w:t>0.2</w:t>
      </w:r>
      <w:r>
        <w:rPr>
          <w:rFonts w:hint="eastAsia" w:ascii="仿宋" w:eastAsia="仿宋"/>
          <w:color w:val="000000"/>
          <w:sz w:val="32"/>
          <w:szCs w:val="32"/>
        </w:rPr>
        <w:t>万元、差旅费</w:t>
      </w:r>
      <w:r>
        <w:rPr>
          <w:rFonts w:hint="eastAsia" w:ascii="仿宋" w:eastAsia="仿宋"/>
          <w:color w:val="000000"/>
          <w:sz w:val="32"/>
          <w:szCs w:val="32"/>
          <w:lang w:val="en-US" w:eastAsia="zh-CN"/>
        </w:rPr>
        <w:t>3</w:t>
      </w:r>
      <w:r>
        <w:rPr>
          <w:rFonts w:hint="eastAsia" w:ascii="仿宋" w:eastAsia="仿宋"/>
          <w:color w:val="000000"/>
          <w:sz w:val="32"/>
          <w:szCs w:val="32"/>
        </w:rPr>
        <w:t>万元、维修（护）费</w:t>
      </w:r>
      <w:r>
        <w:rPr>
          <w:rFonts w:hint="eastAsia" w:ascii="仿宋" w:eastAsia="仿宋"/>
          <w:color w:val="000000"/>
          <w:sz w:val="32"/>
          <w:szCs w:val="32"/>
          <w:lang w:val="en-US" w:eastAsia="zh-CN"/>
        </w:rPr>
        <w:t>0.4</w:t>
      </w:r>
      <w:r>
        <w:rPr>
          <w:rFonts w:hint="eastAsia" w:ascii="仿宋" w:eastAsia="仿宋"/>
          <w:color w:val="000000"/>
          <w:sz w:val="32"/>
          <w:szCs w:val="32"/>
        </w:rPr>
        <w:t>万元、会议费</w:t>
      </w:r>
      <w:r>
        <w:rPr>
          <w:rFonts w:hint="eastAsia" w:ascii="仿宋" w:eastAsia="仿宋"/>
          <w:color w:val="000000"/>
          <w:sz w:val="32"/>
          <w:szCs w:val="32"/>
          <w:lang w:val="en-US" w:eastAsia="zh-CN"/>
        </w:rPr>
        <w:t>0</w:t>
      </w:r>
      <w:r>
        <w:rPr>
          <w:rFonts w:hint="eastAsia" w:ascii="仿宋" w:eastAsia="仿宋"/>
          <w:color w:val="000000"/>
          <w:sz w:val="32"/>
          <w:szCs w:val="32"/>
        </w:rPr>
        <w:t>万元、福利费0万元、其他交通费2.20万元。</w:t>
      </w:r>
    </w:p>
    <w:p w14:paraId="15B64C52">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outlineLvl w:val="9"/>
        <w:rPr>
          <w:rFonts w:ascii="Times New Roman" w:hAnsi="Times New Roman" w:cs="Times New Roman"/>
          <w:szCs w:val="32"/>
          <w:lang w:val="zh-CN" w:eastAsia="zh-CN"/>
        </w:rPr>
      </w:pPr>
      <w:r>
        <w:rPr>
          <w:rFonts w:ascii="Times New Roman" w:hAnsi="Times New Roman" w:eastAsia="楷体_GB2312" w:cs="Times New Roman"/>
          <w:b/>
          <w:bCs/>
          <w:color w:val="000000"/>
          <w:kern w:val="0"/>
          <w:sz w:val="32"/>
          <w:szCs w:val="32"/>
          <w:highlight w:val="none"/>
          <w:shd w:val="clear" w:color="auto" w:fill="FFFFFF"/>
          <w:lang w:val="zh-CN"/>
        </w:rPr>
        <w:t>（三）</w:t>
      </w:r>
      <w:r>
        <w:rPr>
          <w:rFonts w:ascii="Times New Roman" w:hAnsi="Times New Roman" w:eastAsia="楷体_GB2312" w:cs="Times New Roman"/>
          <w:b/>
          <w:sz w:val="32"/>
          <w:szCs w:val="32"/>
        </w:rPr>
        <w:t>结余分配和结转结余情况</w:t>
      </w:r>
      <w:r>
        <w:rPr>
          <w:rFonts w:ascii="Times New Roman" w:hAnsi="Times New Roman" w:eastAsia="楷体_GB2312" w:cs="Times New Roman"/>
          <w:b/>
          <w:sz w:val="32"/>
          <w:szCs w:val="32"/>
          <w:lang w:eastAsia="zh-CN"/>
        </w:rPr>
        <w:t>。</w:t>
      </w:r>
      <w:r>
        <w:rPr>
          <w:rFonts w:hint="eastAsia" w:ascii="仿宋_GB2312" w:eastAsia="仿宋_GB2312"/>
          <w:color w:val="000000"/>
          <w:spacing w:val="-2"/>
          <w:sz w:val="32"/>
          <w:szCs w:val="32"/>
          <w:lang w:val="en-US" w:eastAsia="zh-CN"/>
        </w:rPr>
        <w:t>本单位202</w:t>
      </w:r>
      <w:r>
        <w:rPr>
          <w:rFonts w:hint="eastAsia" w:ascii="仿宋_GB2312"/>
          <w:color w:val="000000"/>
          <w:spacing w:val="-2"/>
          <w:sz w:val="32"/>
          <w:szCs w:val="32"/>
          <w:lang w:val="en-US" w:eastAsia="zh-CN"/>
        </w:rPr>
        <w:t>4</w:t>
      </w:r>
      <w:r>
        <w:rPr>
          <w:rFonts w:hint="eastAsia" w:ascii="仿宋_GB2312" w:eastAsia="仿宋_GB2312"/>
          <w:color w:val="000000"/>
          <w:spacing w:val="-2"/>
          <w:sz w:val="32"/>
          <w:szCs w:val="32"/>
          <w:lang w:val="en-US" w:eastAsia="zh-CN"/>
        </w:rPr>
        <w:t>年决算报表无</w:t>
      </w:r>
      <w:r>
        <w:rPr>
          <w:rFonts w:ascii="仿宋_GB2312" w:eastAsia="仿宋_GB2312"/>
          <w:color w:val="000000"/>
          <w:spacing w:val="-2"/>
          <w:sz w:val="32"/>
          <w:szCs w:val="32"/>
          <w:lang w:val="en-US" w:eastAsia="zh-CN"/>
        </w:rPr>
        <w:t>结转结余</w:t>
      </w:r>
      <w:r>
        <w:rPr>
          <w:rFonts w:hint="eastAsia" w:ascii="仿宋_GB2312" w:eastAsia="仿宋_GB2312"/>
          <w:color w:val="000000"/>
          <w:spacing w:val="-2"/>
          <w:sz w:val="32"/>
          <w:szCs w:val="32"/>
          <w:lang w:val="en-US" w:eastAsia="zh-CN"/>
        </w:rPr>
        <w:t>情况</w:t>
      </w:r>
      <w:r>
        <w:rPr>
          <w:rFonts w:ascii="仿宋_GB2312" w:eastAsia="仿宋_GB2312"/>
          <w:color w:val="000000"/>
          <w:spacing w:val="-2"/>
          <w:sz w:val="32"/>
          <w:szCs w:val="32"/>
          <w:lang w:val="en-US" w:eastAsia="zh-CN"/>
        </w:rPr>
        <w:t>。</w:t>
      </w:r>
    </w:p>
    <w:p w14:paraId="10F47AA2">
      <w:pPr>
        <w:keepNext w:val="0"/>
        <w:keepLines w:val="0"/>
        <w:pageBreakBefore w:val="0"/>
        <w:widowControl/>
        <w:kinsoku/>
        <w:wordWrap/>
        <w:overflowPunct/>
        <w:topLinePunct w:val="0"/>
        <w:autoSpaceDE/>
        <w:autoSpaceDN/>
        <w:bidi w:val="0"/>
        <w:adjustRightInd w:val="0"/>
        <w:snapToGrid w:val="0"/>
        <w:spacing w:line="578" w:lineRule="exact"/>
        <w:ind w:firstLine="420" w:firstLineChars="200"/>
        <w:contextualSpacing/>
        <w:jc w:val="left"/>
        <w:textAlignment w:val="auto"/>
        <w:outlineLvl w:val="9"/>
        <w:rPr>
          <w:rFonts w:ascii="Times New Roman" w:hAnsi="Times New Roman" w:eastAsia="仿宋_GB2312" w:cs="Times New Roman"/>
          <w:b w:val="0"/>
          <w:bCs w:val="0"/>
          <w:color w:val="000000"/>
          <w:kern w:val="0"/>
          <w:szCs w:val="32"/>
          <w:highlight w:val="none"/>
          <w:shd w:val="clear" w:color="auto" w:fill="FFFFFF"/>
          <w:lang w:val="zh-CN" w:eastAsia="zh-CN"/>
        </w:rPr>
      </w:pPr>
    </w:p>
    <w:p w14:paraId="7FBE7D32">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黑体" w:hAnsi="黑体" w:eastAsia="黑体" w:cs="黑体"/>
          <w:color w:val="000000"/>
          <w:kern w:val="0"/>
          <w:sz w:val="32"/>
          <w:szCs w:val="32"/>
          <w:highlight w:val="none"/>
          <w:shd w:val="clear" w:color="auto" w:fill="FFFFFF"/>
        </w:rPr>
      </w:pPr>
      <w:r>
        <w:rPr>
          <w:rFonts w:hint="eastAsia" w:ascii="黑体" w:hAnsi="黑体" w:eastAsia="黑体" w:cs="黑体"/>
          <w:color w:val="000000"/>
          <w:kern w:val="0"/>
          <w:sz w:val="32"/>
          <w:szCs w:val="32"/>
          <w:highlight w:val="none"/>
          <w:shd w:val="clear" w:color="auto" w:fill="FFFFFF"/>
        </w:rPr>
        <w:t>三、</w:t>
      </w:r>
      <w:r>
        <w:rPr>
          <w:rFonts w:hint="eastAsia" w:ascii="黑体" w:hAnsi="黑体" w:eastAsia="黑体" w:cs="黑体"/>
          <w:color w:val="000000"/>
          <w:kern w:val="0"/>
          <w:sz w:val="32"/>
          <w:szCs w:val="32"/>
          <w:highlight w:val="none"/>
          <w:u w:val="none"/>
          <w:shd w:val="clear" w:color="auto" w:fill="FFFFFF"/>
        </w:rPr>
        <w:t>部门</w:t>
      </w:r>
      <w:r>
        <w:rPr>
          <w:rFonts w:hint="eastAsia" w:ascii="黑体" w:hAnsi="黑体" w:eastAsia="黑体" w:cs="黑体"/>
          <w:color w:val="000000"/>
          <w:kern w:val="0"/>
          <w:sz w:val="32"/>
          <w:szCs w:val="32"/>
          <w:highlight w:val="none"/>
          <w:u w:val="none"/>
          <w:shd w:val="clear" w:color="auto" w:fill="FFFFFF"/>
          <w:lang w:eastAsia="zh-CN"/>
        </w:rPr>
        <w:t>预算</w:t>
      </w:r>
      <w:r>
        <w:rPr>
          <w:rFonts w:hint="eastAsia" w:ascii="黑体" w:hAnsi="黑体" w:eastAsia="黑体" w:cs="黑体"/>
          <w:color w:val="000000"/>
          <w:kern w:val="0"/>
          <w:sz w:val="32"/>
          <w:szCs w:val="32"/>
          <w:highlight w:val="none"/>
          <w:u w:val="none"/>
          <w:shd w:val="clear" w:color="auto" w:fill="FFFFFF"/>
        </w:rPr>
        <w:t>绩效</w:t>
      </w:r>
      <w:r>
        <w:rPr>
          <w:rFonts w:hint="eastAsia" w:ascii="黑体" w:hAnsi="黑体" w:eastAsia="黑体" w:cs="黑体"/>
          <w:color w:val="000000"/>
          <w:kern w:val="0"/>
          <w:sz w:val="32"/>
          <w:szCs w:val="32"/>
          <w:highlight w:val="none"/>
          <w:u w:val="none"/>
          <w:shd w:val="clear" w:color="auto" w:fill="FFFFFF"/>
          <w:lang w:eastAsia="zh-CN"/>
        </w:rPr>
        <w:t>分析</w:t>
      </w:r>
    </w:p>
    <w:p w14:paraId="2BFD819B">
      <w:pPr>
        <w:keepNext w:val="0"/>
        <w:keepLines w:val="0"/>
        <w:pageBreakBefore w:val="0"/>
        <w:widowControl w:val="0"/>
        <w:kinsoku/>
        <w:wordWrap/>
        <w:overflowPunct/>
        <w:topLinePunct w:val="0"/>
        <w:autoSpaceDE/>
        <w:autoSpaceDN/>
        <w:bidi w:val="0"/>
        <w:adjustRightInd w:val="0"/>
        <w:snapToGrid w:val="0"/>
        <w:spacing w:line="560" w:lineRule="exact"/>
        <w:ind w:left="0" w:firstLine="643" w:firstLineChars="200"/>
        <w:contextualSpacing/>
        <w:jc w:val="left"/>
        <w:textAlignment w:val="auto"/>
        <w:outlineLvl w:val="9"/>
        <w:rPr>
          <w:rFonts w:ascii="Times New Roman" w:hAnsi="Times New Roman" w:eastAsia="楷体_GB2312" w:cs="Times New Roman"/>
          <w:b/>
          <w:bCs/>
          <w:color w:val="000000"/>
          <w:kern w:val="0"/>
          <w:sz w:val="32"/>
          <w:szCs w:val="32"/>
          <w:highlight w:val="none"/>
          <w:shd w:val="clear" w:color="auto" w:fill="FFFFFF"/>
          <w:lang w:val="zh-CN"/>
        </w:rPr>
      </w:pPr>
      <w:r>
        <w:rPr>
          <w:rFonts w:ascii="Times New Roman" w:hAnsi="Times New Roman" w:eastAsia="楷体_GB2312" w:cs="Times New Roman"/>
          <w:b/>
          <w:bCs/>
          <w:color w:val="000000"/>
          <w:kern w:val="0"/>
          <w:sz w:val="32"/>
          <w:szCs w:val="32"/>
          <w:highlight w:val="none"/>
          <w:shd w:val="clear" w:color="auto" w:fill="FFFFFF"/>
          <w:lang w:val="zh-CN"/>
        </w:rPr>
        <w:t>（一）部门预算总体绩效分析。</w:t>
      </w:r>
    </w:p>
    <w:p w14:paraId="64B3C47C">
      <w:pPr>
        <w:keepNext w:val="0"/>
        <w:keepLines w:val="0"/>
        <w:pageBreakBefore w:val="0"/>
        <w:widowControl/>
        <w:wordWrap w:val="0"/>
        <w:topLinePunct/>
        <w:bidi w:val="0"/>
        <w:adjustRightInd w:val="0"/>
        <w:snapToGrid w:val="0"/>
        <w:spacing w:line="560" w:lineRule="exact"/>
        <w:ind w:left="0" w:firstLine="640" w:firstLineChars="200"/>
        <w:jc w:val="left"/>
        <w:textAlignment w:val="auto"/>
        <w:rPr>
          <w:rFonts w:hint="eastAsia" w:ascii="仿宋" w:eastAsia="仿宋" w:cs="仿宋_GB2312"/>
          <w:color w:val="000000"/>
          <w:sz w:val="32"/>
          <w:szCs w:val="32"/>
          <w:lang w:val="zh-CN" w:eastAsia="zh-CN"/>
        </w:rPr>
      </w:pPr>
      <w:r>
        <w:rPr>
          <w:rFonts w:hint="eastAsia" w:ascii="仿宋" w:eastAsia="仿宋" w:cs="仿宋_GB2312"/>
          <w:color w:val="000000"/>
          <w:sz w:val="32"/>
          <w:szCs w:val="32"/>
          <w:lang w:val="zh-CN" w:eastAsia="zh-CN"/>
        </w:rPr>
        <w:t>我馆按照规定完全履行职责，整体评价良好，服务对象基本满意从预算执行来情况看，预算资金覆盖我单位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p>
    <w:p w14:paraId="710FA0E3">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ascii="Times New Roman" w:hAnsi="Times New Roman" w:cs="Times New Roman"/>
          <w:color w:val="000000"/>
          <w:kern w:val="0"/>
          <w:sz w:val="32"/>
          <w:szCs w:val="32"/>
          <w:highlight w:val="none"/>
          <w:shd w:val="clear" w:color="auto" w:fill="FFFFFF"/>
          <w:lang w:val="zh-CN"/>
        </w:rPr>
      </w:pPr>
    </w:p>
    <w:p w14:paraId="6BCD45E0">
      <w:pPr>
        <w:keepNext w:val="0"/>
        <w:keepLines w:val="0"/>
        <w:pageBreakBefore w:val="0"/>
        <w:widowControl/>
        <w:numPr>
          <w:ilvl w:val="0"/>
          <w:numId w:val="4"/>
        </w:numPr>
        <w:kinsoku/>
        <w:wordWrap/>
        <w:overflowPunct/>
        <w:topLinePunct w:val="0"/>
        <w:autoSpaceDE/>
        <w:autoSpaceDN/>
        <w:bidi w:val="0"/>
        <w:adjustRightInd w:val="0"/>
        <w:snapToGrid w:val="0"/>
        <w:spacing w:line="560" w:lineRule="exact"/>
        <w:ind w:left="0" w:firstLine="640" w:firstLineChars="200"/>
        <w:contextualSpacing/>
        <w:jc w:val="left"/>
        <w:textAlignment w:val="auto"/>
        <w:outlineLvl w:val="9"/>
        <w:rPr>
          <w:rFonts w:ascii="Times New Roman" w:hAnsi="Times New Roman" w:eastAsia="楷体_GB2312" w:cs="Times New Roman"/>
          <w:color w:val="000000"/>
          <w:kern w:val="0"/>
          <w:sz w:val="32"/>
          <w:szCs w:val="32"/>
          <w:highlight w:val="none"/>
          <w:shd w:val="clear" w:color="auto" w:fill="FFFFFF"/>
          <w:lang w:val="zh-CN"/>
        </w:rPr>
      </w:pPr>
      <w:r>
        <w:rPr>
          <w:rFonts w:ascii="Times New Roman" w:hAnsi="Times New Roman" w:eastAsia="楷体_GB2312" w:cs="Times New Roman"/>
          <w:color w:val="000000"/>
          <w:kern w:val="0"/>
          <w:sz w:val="32"/>
          <w:szCs w:val="32"/>
          <w:highlight w:val="none"/>
          <w:shd w:val="clear" w:color="auto" w:fill="FFFFFF"/>
          <w:lang w:val="zh-CN"/>
        </w:rPr>
        <w:t>履职效能。</w:t>
      </w:r>
    </w:p>
    <w:p w14:paraId="4FE5B78B">
      <w:pPr>
        <w:keepNext w:val="0"/>
        <w:keepLines w:val="0"/>
        <w:pageBreakBefore w:val="0"/>
        <w:widowControl/>
        <w:wordWrap w:val="0"/>
        <w:topLinePunct/>
        <w:bidi w:val="0"/>
        <w:adjustRightInd w:val="0"/>
        <w:snapToGrid w:val="0"/>
        <w:spacing w:line="560" w:lineRule="exact"/>
        <w:ind w:left="0" w:firstLine="640" w:firstLineChars="200"/>
        <w:jc w:val="left"/>
        <w:textAlignment w:val="auto"/>
        <w:rPr>
          <w:rFonts w:hint="eastAsia" w:ascii="仿宋" w:eastAsia="仿宋" w:cs="仿宋_GB2312"/>
          <w:color w:val="000000"/>
          <w:sz w:val="32"/>
          <w:szCs w:val="32"/>
          <w:lang w:val="zh-CN" w:eastAsia="zh-CN"/>
        </w:rPr>
      </w:pPr>
      <w:r>
        <w:rPr>
          <w:rFonts w:hint="eastAsia" w:ascii="仿宋" w:eastAsia="仿宋" w:cs="仿宋_GB2312"/>
          <w:color w:val="000000"/>
          <w:sz w:val="32"/>
          <w:szCs w:val="32"/>
          <w:lang w:val="zh-CN" w:eastAsia="zh-CN"/>
        </w:rPr>
        <w:t>数量指标履职效果</w:t>
      </w:r>
      <w:r>
        <w:rPr>
          <w:rFonts w:hint="eastAsia" w:ascii="仿宋" w:eastAsia="仿宋" w:cs="仿宋_GB2312"/>
          <w:color w:val="000000"/>
          <w:sz w:val="32"/>
          <w:szCs w:val="32"/>
          <w:lang w:val="en-US" w:eastAsia="zh-CN"/>
        </w:rPr>
        <w:t>:严格控制数量确保无遗漏无浪费，厉行节约</w:t>
      </w:r>
      <w:r>
        <w:rPr>
          <w:rFonts w:hint="eastAsia" w:ascii="仿宋" w:eastAsia="仿宋" w:cs="仿宋_GB2312"/>
          <w:color w:val="000000"/>
          <w:sz w:val="32"/>
          <w:szCs w:val="32"/>
          <w:lang w:val="zh-CN" w:eastAsia="zh-CN"/>
        </w:rPr>
        <w:t>。</w:t>
      </w:r>
    </w:p>
    <w:p w14:paraId="4747DF48">
      <w:pPr>
        <w:keepNext w:val="0"/>
        <w:keepLines w:val="0"/>
        <w:pageBreakBefore w:val="0"/>
        <w:widowControl/>
        <w:wordWrap w:val="0"/>
        <w:topLinePunct/>
        <w:bidi w:val="0"/>
        <w:adjustRightInd w:val="0"/>
        <w:snapToGrid w:val="0"/>
        <w:spacing w:line="560" w:lineRule="exact"/>
        <w:ind w:left="0" w:firstLine="640" w:firstLineChars="200"/>
        <w:jc w:val="left"/>
        <w:textAlignment w:val="auto"/>
        <w:rPr>
          <w:rFonts w:hint="eastAsia" w:ascii="仿宋" w:eastAsia="仿宋" w:cs="仿宋_GB2312"/>
          <w:color w:val="000000"/>
          <w:sz w:val="32"/>
          <w:szCs w:val="32"/>
          <w:lang w:val="en-US" w:eastAsia="zh-CN"/>
        </w:rPr>
      </w:pPr>
      <w:r>
        <w:rPr>
          <w:rFonts w:hint="eastAsia" w:ascii="仿宋" w:eastAsia="仿宋" w:cs="仿宋_GB2312"/>
          <w:color w:val="000000"/>
          <w:sz w:val="32"/>
          <w:szCs w:val="32"/>
          <w:lang w:val="zh-CN" w:eastAsia="zh-CN"/>
        </w:rPr>
        <w:t>质量指标履职效果：</w:t>
      </w:r>
      <w:r>
        <w:rPr>
          <w:rFonts w:hint="eastAsia" w:ascii="仿宋" w:eastAsia="仿宋" w:cs="仿宋_GB2312"/>
          <w:color w:val="000000"/>
          <w:sz w:val="32"/>
          <w:szCs w:val="32"/>
          <w:lang w:val="en-US" w:eastAsia="zh-CN"/>
        </w:rPr>
        <w:t>严格把控质量关，确保与采购文件相匹配。</w:t>
      </w:r>
    </w:p>
    <w:p w14:paraId="7E71FA24">
      <w:pPr>
        <w:keepNext w:val="0"/>
        <w:keepLines w:val="0"/>
        <w:pageBreakBefore w:val="0"/>
        <w:widowControl/>
        <w:wordWrap w:val="0"/>
        <w:topLinePunct/>
        <w:bidi w:val="0"/>
        <w:adjustRightInd w:val="0"/>
        <w:snapToGrid w:val="0"/>
        <w:spacing w:line="560" w:lineRule="exact"/>
        <w:ind w:left="0" w:firstLine="640" w:firstLineChars="200"/>
        <w:jc w:val="left"/>
        <w:textAlignment w:val="auto"/>
        <w:rPr>
          <w:rFonts w:hint="eastAsia" w:ascii="仿宋" w:eastAsia="仿宋" w:cs="仿宋_GB2312"/>
          <w:color w:val="000000"/>
          <w:sz w:val="32"/>
          <w:szCs w:val="32"/>
          <w:lang w:val="en-US" w:eastAsia="zh-CN"/>
        </w:rPr>
      </w:pPr>
      <w:r>
        <w:rPr>
          <w:rFonts w:hint="eastAsia" w:ascii="仿宋" w:eastAsia="仿宋" w:cs="仿宋_GB2312"/>
          <w:color w:val="000000"/>
          <w:sz w:val="32"/>
          <w:szCs w:val="32"/>
          <w:lang w:val="en-US" w:eastAsia="zh-CN"/>
        </w:rPr>
        <w:t>社会效益指标履职效果：确保每一项采购项目都能实现单位职能，提高社会效益，促进社会发展。</w:t>
      </w:r>
    </w:p>
    <w:p w14:paraId="1FD97D1E">
      <w:pPr>
        <w:keepNext w:val="0"/>
        <w:keepLines w:val="0"/>
        <w:pageBreakBefore w:val="0"/>
        <w:widowControl/>
        <w:wordWrap w:val="0"/>
        <w:topLinePunct/>
        <w:bidi w:val="0"/>
        <w:adjustRightInd w:val="0"/>
        <w:snapToGrid w:val="0"/>
        <w:spacing w:line="560" w:lineRule="exact"/>
        <w:ind w:left="0" w:firstLine="640" w:firstLineChars="200"/>
        <w:jc w:val="left"/>
        <w:textAlignment w:val="auto"/>
        <w:rPr>
          <w:rFonts w:hint="eastAsia" w:ascii="仿宋" w:eastAsia="仿宋" w:cs="仿宋_GB2312"/>
          <w:color w:val="000000"/>
          <w:sz w:val="32"/>
          <w:szCs w:val="32"/>
          <w:lang w:val="en-US" w:eastAsia="zh-CN"/>
        </w:rPr>
      </w:pPr>
      <w:r>
        <w:rPr>
          <w:rFonts w:hint="eastAsia" w:ascii="仿宋" w:eastAsia="仿宋" w:cs="仿宋_GB2312"/>
          <w:color w:val="000000"/>
          <w:sz w:val="32"/>
          <w:szCs w:val="32"/>
          <w:lang w:val="en-US" w:eastAsia="zh-CN"/>
        </w:rPr>
        <w:t>服务对象满意度指标履职效果：以高质量、高标准、高要求实施采购项目，确保受益对象满意度。</w:t>
      </w:r>
    </w:p>
    <w:p w14:paraId="219E1085">
      <w:pPr>
        <w:keepNext w:val="0"/>
        <w:keepLines w:val="0"/>
        <w:pageBreakBefore w:val="0"/>
        <w:widowControl/>
        <w:wordWrap w:val="0"/>
        <w:topLinePunct/>
        <w:bidi w:val="0"/>
        <w:adjustRightInd w:val="0"/>
        <w:snapToGrid w:val="0"/>
        <w:spacing w:line="560" w:lineRule="exact"/>
        <w:ind w:left="0" w:firstLine="640" w:firstLineChars="200"/>
        <w:jc w:val="left"/>
        <w:textAlignment w:val="auto"/>
        <w:rPr>
          <w:rFonts w:hint="eastAsia" w:ascii="仿宋" w:eastAsia="仿宋" w:cs="仿宋_GB2312"/>
          <w:color w:val="000000"/>
          <w:sz w:val="32"/>
          <w:szCs w:val="32"/>
          <w:lang w:val="en-US" w:eastAsia="zh-CN"/>
        </w:rPr>
      </w:pPr>
      <w:r>
        <w:rPr>
          <w:rFonts w:hint="eastAsia" w:ascii="仿宋" w:eastAsia="仿宋" w:cs="仿宋_GB2312"/>
          <w:color w:val="000000"/>
          <w:sz w:val="32"/>
          <w:szCs w:val="32"/>
          <w:lang w:val="en-US" w:eastAsia="zh-CN"/>
        </w:rPr>
        <w:t>经济成本指标履职效果：经过专业评估，以合理的经济成本实现项目价值。</w:t>
      </w:r>
    </w:p>
    <w:p w14:paraId="7E0C418B">
      <w:pPr>
        <w:keepNext w:val="0"/>
        <w:keepLines w:val="0"/>
        <w:pageBreakBefore w:val="0"/>
        <w:widowControl/>
        <w:numPr>
          <w:ilvl w:val="0"/>
          <w:numId w:val="4"/>
        </w:numPr>
        <w:wordWrap w:val="0"/>
        <w:topLinePunct/>
        <w:bidi w:val="0"/>
        <w:adjustRightInd w:val="0"/>
        <w:snapToGrid w:val="0"/>
        <w:spacing w:line="560" w:lineRule="exact"/>
        <w:ind w:left="0" w:firstLine="640" w:firstLineChars="200"/>
        <w:jc w:val="left"/>
        <w:textAlignment w:val="auto"/>
        <w:rPr>
          <w:rFonts w:ascii="Times New Roman" w:hAnsi="Times New Roman" w:eastAsia="楷体_GB2312" w:cs="Times New Roman"/>
          <w:color w:val="000000"/>
          <w:kern w:val="0"/>
          <w:sz w:val="32"/>
          <w:szCs w:val="32"/>
          <w:highlight w:val="none"/>
          <w:shd w:val="clear" w:color="auto" w:fill="FFFFFF"/>
          <w:lang w:val="zh-CN"/>
        </w:rPr>
      </w:pPr>
      <w:r>
        <w:rPr>
          <w:rFonts w:ascii="Times New Roman" w:hAnsi="Times New Roman" w:eastAsia="楷体_GB2312" w:cs="Times New Roman"/>
          <w:color w:val="000000"/>
          <w:kern w:val="0"/>
          <w:sz w:val="32"/>
          <w:szCs w:val="32"/>
          <w:highlight w:val="none"/>
          <w:shd w:val="clear" w:color="auto" w:fill="FFFFFF"/>
          <w:lang w:val="zh-CN"/>
        </w:rPr>
        <w:t>预算管理。</w:t>
      </w:r>
    </w:p>
    <w:p w14:paraId="20B33659">
      <w:pPr>
        <w:keepNext w:val="0"/>
        <w:keepLines w:val="0"/>
        <w:pageBreakBefore w:val="0"/>
        <w:widowControl/>
        <w:wordWrap w:val="0"/>
        <w:topLinePunct/>
        <w:bidi w:val="0"/>
        <w:adjustRightInd w:val="0"/>
        <w:snapToGrid w:val="0"/>
        <w:spacing w:line="560" w:lineRule="exact"/>
        <w:ind w:left="0" w:firstLine="640" w:firstLineChars="200"/>
        <w:jc w:val="left"/>
        <w:textAlignment w:val="auto"/>
        <w:rPr>
          <w:rFonts w:hint="eastAsia" w:ascii="仿宋" w:eastAsia="仿宋" w:cs="仿宋_GB2312"/>
          <w:color w:val="000000"/>
          <w:sz w:val="32"/>
          <w:szCs w:val="32"/>
          <w:lang w:val="zh-CN"/>
        </w:rPr>
      </w:pPr>
      <w:r>
        <w:rPr>
          <w:rFonts w:hint="eastAsia" w:ascii="仿宋" w:eastAsia="仿宋" w:cs="仿宋_GB2312"/>
          <w:color w:val="000000"/>
          <w:sz w:val="32"/>
          <w:szCs w:val="32"/>
          <w:lang w:val="zh-CN" w:eastAsia="zh-CN"/>
        </w:rPr>
        <w:t>严格按照县级部门预算编制通知和有关要求，按时完成基础库、项目库报送工作，按时完成202</w:t>
      </w:r>
      <w:r>
        <w:rPr>
          <w:rFonts w:hint="eastAsia" w:ascii="仿宋" w:eastAsia="仿宋" w:cs="仿宋_GB2312"/>
          <w:color w:val="000000"/>
          <w:sz w:val="32"/>
          <w:szCs w:val="32"/>
          <w:lang w:val="en-US" w:eastAsia="zh-CN"/>
        </w:rPr>
        <w:t>4</w:t>
      </w:r>
      <w:r>
        <w:rPr>
          <w:rFonts w:hint="eastAsia" w:ascii="仿宋" w:eastAsia="仿宋" w:cs="仿宋_GB2312"/>
          <w:color w:val="000000"/>
          <w:sz w:val="32"/>
          <w:szCs w:val="32"/>
          <w:lang w:val="zh-CN" w:eastAsia="zh-CN"/>
        </w:rPr>
        <w:t>年预算编制工作，并按时提交部门预算草案。预算编制全面、科学。202</w:t>
      </w:r>
      <w:r>
        <w:rPr>
          <w:rFonts w:hint="eastAsia" w:ascii="仿宋" w:eastAsia="仿宋" w:cs="仿宋_GB2312"/>
          <w:color w:val="000000"/>
          <w:sz w:val="32"/>
          <w:szCs w:val="32"/>
          <w:lang w:val="en-US" w:eastAsia="zh-CN"/>
        </w:rPr>
        <w:t>4</w:t>
      </w:r>
      <w:r>
        <w:rPr>
          <w:rFonts w:hint="eastAsia" w:ascii="仿宋" w:eastAsia="仿宋" w:cs="仿宋_GB2312"/>
          <w:color w:val="000000"/>
          <w:sz w:val="32"/>
          <w:szCs w:val="32"/>
          <w:lang w:val="zh-CN" w:eastAsia="zh-CN"/>
        </w:rPr>
        <w:t>年实际支出和部门决算一致，绩效目标填报及年末结余结转都是严格按照县财政局的要求认真完成，不存在违规违纪使用资金的情况并按时完成202</w:t>
      </w:r>
      <w:r>
        <w:rPr>
          <w:rFonts w:hint="eastAsia" w:ascii="仿宋" w:eastAsia="仿宋" w:cs="仿宋_GB2312"/>
          <w:color w:val="000000"/>
          <w:sz w:val="32"/>
          <w:szCs w:val="32"/>
          <w:lang w:val="en-US" w:eastAsia="zh-CN"/>
        </w:rPr>
        <w:t>5</w:t>
      </w:r>
      <w:r>
        <w:rPr>
          <w:rFonts w:hint="eastAsia" w:ascii="仿宋" w:eastAsia="仿宋" w:cs="仿宋_GB2312"/>
          <w:color w:val="000000"/>
          <w:sz w:val="32"/>
          <w:szCs w:val="32"/>
          <w:lang w:val="zh-CN" w:eastAsia="zh-CN"/>
        </w:rPr>
        <w:t>年预算编制工作，及时提交了部门预算草案。</w:t>
      </w:r>
    </w:p>
    <w:p w14:paraId="3756859E">
      <w:pPr>
        <w:keepNext w:val="0"/>
        <w:keepLines w:val="0"/>
        <w:pageBreakBefore w:val="0"/>
        <w:widowControl/>
        <w:numPr>
          <w:ilvl w:val="0"/>
          <w:numId w:val="4"/>
        </w:numPr>
        <w:wordWrap w:val="0"/>
        <w:topLinePunct/>
        <w:bidi w:val="0"/>
        <w:adjustRightInd w:val="0"/>
        <w:snapToGrid w:val="0"/>
        <w:spacing w:line="560" w:lineRule="exact"/>
        <w:ind w:left="0" w:firstLine="640" w:firstLineChars="200"/>
        <w:jc w:val="left"/>
        <w:textAlignment w:val="auto"/>
        <w:rPr>
          <w:rFonts w:ascii="Times New Roman" w:hAnsi="Times New Roman" w:eastAsia="楷体_GB2312" w:cs="Times New Roman"/>
          <w:color w:val="000000"/>
          <w:kern w:val="0"/>
          <w:sz w:val="32"/>
          <w:szCs w:val="32"/>
          <w:highlight w:val="none"/>
          <w:shd w:val="clear" w:color="auto" w:fill="FFFFFF"/>
          <w:lang w:val="zh-CN"/>
        </w:rPr>
      </w:pPr>
      <w:r>
        <w:rPr>
          <w:rFonts w:ascii="Times New Roman" w:hAnsi="Times New Roman" w:eastAsia="楷体_GB2312" w:cs="Times New Roman"/>
          <w:color w:val="000000"/>
          <w:kern w:val="0"/>
          <w:sz w:val="32"/>
          <w:szCs w:val="32"/>
          <w:highlight w:val="none"/>
          <w:shd w:val="clear" w:color="auto" w:fill="FFFFFF"/>
          <w:lang w:val="zh-CN"/>
        </w:rPr>
        <w:t>财务管理。</w:t>
      </w:r>
    </w:p>
    <w:p w14:paraId="34E1A126">
      <w:pPr>
        <w:keepNext w:val="0"/>
        <w:keepLines w:val="0"/>
        <w:pageBreakBefore w:val="0"/>
        <w:widowControl/>
        <w:wordWrap w:val="0"/>
        <w:topLinePunct/>
        <w:bidi w:val="0"/>
        <w:adjustRightInd w:val="0"/>
        <w:snapToGrid w:val="0"/>
        <w:spacing w:line="560" w:lineRule="exact"/>
        <w:ind w:left="0" w:firstLine="640" w:firstLineChars="200"/>
        <w:jc w:val="left"/>
        <w:textAlignment w:val="auto"/>
        <w:rPr>
          <w:rFonts w:hint="eastAsia" w:ascii="Times New Roman" w:hAnsi="Times New Roman" w:cs="Times New Roman"/>
          <w:sz w:val="32"/>
          <w:szCs w:val="32"/>
          <w:lang w:val="zh-CN" w:eastAsia="zh-CN"/>
        </w:rPr>
      </w:pPr>
      <w:r>
        <w:rPr>
          <w:rFonts w:hint="eastAsia" w:ascii="仿宋" w:eastAsia="仿宋" w:cs="仿宋_GB2312"/>
          <w:color w:val="000000"/>
          <w:sz w:val="32"/>
          <w:szCs w:val="32"/>
          <w:lang w:val="zh-CN"/>
        </w:rPr>
        <w:t>根据相关要求，单位使用预算资金基本符合相关的预算财务管理制度。我馆在财政批复后</w:t>
      </w:r>
      <w:r>
        <w:rPr>
          <w:rFonts w:hint="eastAsia" w:ascii="仿宋" w:eastAsia="仿宋" w:cs="仿宋_GB2312"/>
          <w:color w:val="000000"/>
          <w:sz w:val="32"/>
          <w:szCs w:val="32"/>
        </w:rPr>
        <w:t>20日内在指定网站公开预决算信息。按照相关要求进行绩效自我评价，按要求及时上报，对发现的问题提出整改措施，并整改落实到位。</w:t>
      </w:r>
      <w:r>
        <w:rPr>
          <w:rFonts w:hint="eastAsia" w:ascii="仿宋" w:eastAsia="仿宋" w:cs="仿宋_GB2312"/>
          <w:color w:val="000000"/>
          <w:sz w:val="32"/>
          <w:szCs w:val="32"/>
          <w:lang w:val="zh-CN"/>
        </w:rPr>
        <w:t>绩效评价及依法接受财政监督情况等。</w:t>
      </w:r>
    </w:p>
    <w:p w14:paraId="03EEB1AA">
      <w:pPr>
        <w:keepNext w:val="0"/>
        <w:keepLines w:val="0"/>
        <w:pageBreakBefore w:val="0"/>
        <w:widowControl/>
        <w:numPr>
          <w:ilvl w:val="0"/>
          <w:numId w:val="4"/>
        </w:numPr>
        <w:wordWrap w:val="0"/>
        <w:topLinePunct/>
        <w:bidi w:val="0"/>
        <w:adjustRightInd w:val="0"/>
        <w:snapToGrid w:val="0"/>
        <w:spacing w:line="560" w:lineRule="exact"/>
        <w:ind w:left="0" w:firstLine="640" w:firstLineChars="200"/>
        <w:jc w:val="left"/>
        <w:textAlignment w:val="auto"/>
        <w:rPr>
          <w:rFonts w:ascii="Times New Roman" w:hAnsi="Times New Roman" w:eastAsia="楷体_GB2312" w:cs="Times New Roman"/>
          <w:color w:val="000000"/>
          <w:kern w:val="0"/>
          <w:sz w:val="32"/>
          <w:szCs w:val="32"/>
          <w:highlight w:val="none"/>
          <w:shd w:val="clear" w:color="auto" w:fill="FFFFFF"/>
          <w:lang w:val="zh-CN"/>
        </w:rPr>
      </w:pPr>
      <w:r>
        <w:rPr>
          <w:rFonts w:ascii="Times New Roman" w:hAnsi="Times New Roman" w:eastAsia="楷体_GB2312" w:cs="Times New Roman"/>
          <w:color w:val="000000"/>
          <w:kern w:val="0"/>
          <w:sz w:val="32"/>
          <w:szCs w:val="32"/>
          <w:highlight w:val="none"/>
          <w:shd w:val="clear" w:color="auto" w:fill="FFFFFF"/>
          <w:lang w:val="zh-CN"/>
        </w:rPr>
        <w:t>资产管理。</w:t>
      </w:r>
    </w:p>
    <w:p w14:paraId="486F0E9A">
      <w:pPr>
        <w:keepNext w:val="0"/>
        <w:keepLines w:val="0"/>
        <w:pageBreakBefore w:val="0"/>
        <w:widowControl/>
        <w:wordWrap w:val="0"/>
        <w:topLinePunct/>
        <w:bidi w:val="0"/>
        <w:adjustRightInd w:val="0"/>
        <w:snapToGrid w:val="0"/>
        <w:spacing w:line="560" w:lineRule="exact"/>
        <w:ind w:left="0" w:firstLine="640" w:firstLineChars="200"/>
        <w:jc w:val="left"/>
        <w:textAlignment w:val="auto"/>
        <w:rPr>
          <w:rFonts w:hint="eastAsia" w:ascii="仿宋" w:eastAsia="仿宋" w:cs="仿宋_GB2312"/>
          <w:color w:val="000000"/>
          <w:sz w:val="32"/>
          <w:szCs w:val="32"/>
          <w:lang w:val="en-US" w:eastAsia="zh-CN"/>
        </w:rPr>
      </w:pPr>
      <w:r>
        <w:rPr>
          <w:rFonts w:hint="eastAsia" w:ascii="仿宋" w:eastAsia="仿宋" w:cs="仿宋_GB2312"/>
          <w:color w:val="000000"/>
          <w:sz w:val="32"/>
          <w:szCs w:val="32"/>
          <w:lang w:val="zh-CN"/>
        </w:rPr>
        <w:t>我馆</w:t>
      </w:r>
      <w:r>
        <w:rPr>
          <w:rFonts w:hint="eastAsia" w:ascii="仿宋" w:eastAsia="仿宋" w:cs="仿宋_GB2312"/>
          <w:color w:val="000000"/>
          <w:sz w:val="32"/>
          <w:szCs w:val="32"/>
        </w:rPr>
        <w:t>202</w:t>
      </w:r>
      <w:r>
        <w:rPr>
          <w:rFonts w:hint="eastAsia" w:ascii="仿宋" w:eastAsia="仿宋" w:cs="仿宋_GB2312"/>
          <w:color w:val="000000"/>
          <w:sz w:val="32"/>
          <w:szCs w:val="32"/>
          <w:lang w:val="en-US" w:eastAsia="zh-CN"/>
        </w:rPr>
        <w:t>4</w:t>
      </w:r>
      <w:r>
        <w:rPr>
          <w:rFonts w:hint="eastAsia" w:ascii="仿宋" w:eastAsia="仿宋" w:cs="仿宋_GB2312"/>
          <w:color w:val="000000"/>
          <w:sz w:val="32"/>
          <w:szCs w:val="32"/>
        </w:rPr>
        <w:t>年所有国有资产纳入</w:t>
      </w:r>
      <w:r>
        <w:rPr>
          <w:rFonts w:hint="eastAsia" w:ascii="仿宋" w:eastAsia="仿宋" w:cs="仿宋_GB2312"/>
          <w:color w:val="000000"/>
          <w:sz w:val="32"/>
          <w:szCs w:val="32"/>
          <w:lang w:val="zh-CN"/>
        </w:rPr>
        <w:t>资产管理系统，及时准确上报并做好资产的管理工作，</w:t>
      </w:r>
      <w:r>
        <w:rPr>
          <w:rFonts w:hint="eastAsia" w:ascii="仿宋" w:eastAsia="仿宋" w:cs="仿宋_GB2312"/>
          <w:color w:val="000000"/>
          <w:sz w:val="32"/>
          <w:szCs w:val="32"/>
          <w:lang w:val="en-US" w:eastAsia="zh-CN"/>
        </w:rPr>
        <w:t>无闲置资产。</w:t>
      </w:r>
    </w:p>
    <w:p w14:paraId="10F0A521">
      <w:pPr>
        <w:keepNext w:val="0"/>
        <w:keepLines w:val="0"/>
        <w:pageBreakBefore w:val="0"/>
        <w:widowControl/>
        <w:wordWrap w:val="0"/>
        <w:topLinePunct/>
        <w:bidi w:val="0"/>
        <w:adjustRightInd w:val="0"/>
        <w:snapToGrid w:val="0"/>
        <w:spacing w:line="560" w:lineRule="exact"/>
        <w:ind w:left="0" w:firstLine="640" w:firstLineChars="200"/>
        <w:jc w:val="left"/>
        <w:textAlignment w:val="auto"/>
        <w:rPr>
          <w:rFonts w:hint="eastAsia" w:ascii="仿宋" w:eastAsia="仿宋" w:cs="仿宋_GB2312"/>
          <w:color w:val="000000"/>
          <w:sz w:val="32"/>
          <w:szCs w:val="32"/>
          <w:lang w:val="zh-CN"/>
        </w:rPr>
      </w:pPr>
      <w:r>
        <w:rPr>
          <w:rFonts w:hint="eastAsia" w:ascii="仿宋" w:eastAsia="仿宋" w:cs="仿宋_GB2312"/>
          <w:color w:val="000000"/>
          <w:sz w:val="32"/>
          <w:szCs w:val="32"/>
          <w:lang w:val="zh-CN"/>
        </w:rPr>
        <w:t>采购管理。</w:t>
      </w:r>
    </w:p>
    <w:p w14:paraId="38556D86">
      <w:pPr>
        <w:keepNext w:val="0"/>
        <w:keepLines w:val="0"/>
        <w:pageBreakBefore w:val="0"/>
        <w:widowControl/>
        <w:wordWrap w:val="0"/>
        <w:topLinePunct/>
        <w:bidi w:val="0"/>
        <w:adjustRightInd w:val="0"/>
        <w:snapToGrid w:val="0"/>
        <w:spacing w:line="560" w:lineRule="exact"/>
        <w:ind w:left="0" w:firstLine="640" w:firstLineChars="200"/>
        <w:jc w:val="left"/>
        <w:textAlignment w:val="auto"/>
        <w:rPr>
          <w:rFonts w:hint="eastAsia" w:ascii="仿宋" w:eastAsia="仿宋" w:cs="仿宋_GB2312"/>
          <w:color w:val="000000"/>
          <w:sz w:val="32"/>
          <w:szCs w:val="32"/>
          <w:lang w:val="zh-CN" w:eastAsia="zh-CN"/>
        </w:rPr>
      </w:pPr>
      <w:r>
        <w:rPr>
          <w:rFonts w:hint="eastAsia" w:ascii="仿宋" w:eastAsia="仿宋" w:cs="仿宋_GB2312"/>
          <w:color w:val="000000"/>
          <w:sz w:val="32"/>
          <w:szCs w:val="32"/>
          <w:lang w:val="en-US" w:eastAsia="zh-CN"/>
        </w:rPr>
        <w:t>为保障单位正常运转，实现机构职能，如有需求会严格根据实际需求按照程序实施政府采购，做到采购结果与预期目标相匹配，通过科学合理的评价方法和标准，提高采购质量和效益</w:t>
      </w:r>
      <w:r>
        <w:rPr>
          <w:rFonts w:hint="eastAsia" w:ascii="仿宋" w:eastAsia="仿宋" w:cs="仿宋_GB2312"/>
          <w:color w:val="000000"/>
          <w:sz w:val="32"/>
          <w:szCs w:val="32"/>
          <w:lang w:val="zh-CN" w:eastAsia="zh-CN"/>
        </w:rPr>
        <w:t>。</w:t>
      </w:r>
    </w:p>
    <w:p w14:paraId="58582F32">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ascii="Times New Roman" w:hAnsi="Times New Roman" w:eastAsia="楷体_GB2312" w:cs="Times New Roman"/>
          <w:color w:val="000000"/>
          <w:kern w:val="0"/>
          <w:sz w:val="32"/>
          <w:szCs w:val="32"/>
          <w:highlight w:val="none"/>
          <w:shd w:val="clear" w:color="auto" w:fill="FFFFFF"/>
          <w:lang w:val="zh-CN"/>
        </w:rPr>
      </w:pPr>
    </w:p>
    <w:p w14:paraId="6E075889">
      <w:pPr>
        <w:keepNext w:val="0"/>
        <w:keepLines w:val="0"/>
        <w:pageBreakBefore w:val="0"/>
        <w:widowControl w:val="0"/>
        <w:numPr>
          <w:ilvl w:val="0"/>
          <w:numId w:val="3"/>
        </w:numPr>
        <w:kinsoku/>
        <w:wordWrap/>
        <w:overflowPunct/>
        <w:topLinePunct w:val="0"/>
        <w:autoSpaceDE/>
        <w:autoSpaceDN/>
        <w:bidi w:val="0"/>
        <w:adjustRightInd w:val="0"/>
        <w:snapToGrid w:val="0"/>
        <w:spacing w:line="560" w:lineRule="exact"/>
        <w:ind w:left="0" w:firstLine="643" w:firstLineChars="200"/>
        <w:contextualSpacing/>
        <w:jc w:val="left"/>
        <w:textAlignment w:val="auto"/>
        <w:outlineLvl w:val="9"/>
        <w:rPr>
          <w:rFonts w:ascii="Times New Roman" w:hAnsi="Times New Roman" w:eastAsia="楷体_GB2312" w:cs="Times New Roman"/>
          <w:b/>
          <w:bCs/>
          <w:color w:val="000000"/>
          <w:kern w:val="0"/>
          <w:sz w:val="32"/>
          <w:szCs w:val="32"/>
          <w:highlight w:val="none"/>
          <w:shd w:val="clear" w:color="auto" w:fill="FFFFFF"/>
          <w:lang w:val="zh-CN"/>
        </w:rPr>
      </w:pPr>
      <w:r>
        <w:rPr>
          <w:rFonts w:ascii="Times New Roman" w:hAnsi="Times New Roman" w:eastAsia="楷体_GB2312" w:cs="Times New Roman"/>
          <w:b/>
          <w:bCs/>
          <w:color w:val="000000"/>
          <w:kern w:val="0"/>
          <w:sz w:val="32"/>
          <w:szCs w:val="32"/>
          <w:highlight w:val="none"/>
          <w:shd w:val="clear" w:color="auto" w:fill="FFFFFF"/>
          <w:lang w:val="zh-CN"/>
        </w:rPr>
        <w:t>部门预算项目绩效分析。</w:t>
      </w:r>
    </w:p>
    <w:p w14:paraId="24C9D2B7">
      <w:pPr>
        <w:keepNext w:val="0"/>
        <w:keepLines w:val="0"/>
        <w:pageBreakBefore w:val="0"/>
        <w:widowControl/>
        <w:wordWrap w:val="0"/>
        <w:topLinePunct/>
        <w:bidi w:val="0"/>
        <w:adjustRightInd w:val="0"/>
        <w:snapToGrid w:val="0"/>
        <w:spacing w:line="560" w:lineRule="exact"/>
        <w:ind w:left="0" w:firstLine="640" w:firstLineChars="200"/>
        <w:jc w:val="left"/>
        <w:textAlignment w:val="auto"/>
        <w:rPr>
          <w:rFonts w:hint="eastAsia" w:ascii="仿宋" w:eastAsia="仿宋" w:cs="仿宋_GB2312"/>
          <w:color w:val="000000"/>
          <w:sz w:val="32"/>
          <w:szCs w:val="32"/>
          <w:lang w:val="zh-CN" w:eastAsia="zh-CN"/>
        </w:rPr>
      </w:pPr>
      <w:r>
        <w:rPr>
          <w:rFonts w:hint="eastAsia" w:ascii="仿宋" w:eastAsia="仿宋" w:cs="仿宋_GB2312"/>
          <w:color w:val="000000"/>
          <w:sz w:val="32"/>
          <w:szCs w:val="32"/>
          <w:lang w:val="en-US" w:eastAsia="zh-CN"/>
        </w:rPr>
        <w:t>我馆常年项目绩效分析。</w:t>
      </w:r>
      <w:r>
        <w:rPr>
          <w:rFonts w:hint="eastAsia" w:ascii="仿宋" w:eastAsia="仿宋" w:cs="仿宋_GB2312"/>
          <w:color w:val="000000"/>
          <w:sz w:val="32"/>
          <w:szCs w:val="32"/>
          <w:lang w:val="zh-CN" w:eastAsia="zh-CN"/>
        </w:rPr>
        <w:t>该类项目总数</w:t>
      </w:r>
      <w:r>
        <w:rPr>
          <w:rFonts w:hint="eastAsia" w:ascii="仿宋" w:eastAsia="仿宋" w:cs="仿宋_GB2312"/>
          <w:color w:val="000000"/>
          <w:sz w:val="32"/>
          <w:szCs w:val="32"/>
          <w:lang w:val="en-US" w:eastAsia="zh-CN"/>
        </w:rPr>
        <w:t>0</w:t>
      </w:r>
      <w:r>
        <w:rPr>
          <w:rFonts w:hint="eastAsia" w:ascii="仿宋" w:eastAsia="仿宋" w:cs="仿宋_GB2312"/>
          <w:color w:val="000000"/>
          <w:sz w:val="32"/>
          <w:szCs w:val="32"/>
          <w:lang w:val="zh-CN" w:eastAsia="zh-CN"/>
        </w:rPr>
        <w:t>个，涉及预算总金额</w:t>
      </w:r>
      <w:r>
        <w:rPr>
          <w:rFonts w:hint="eastAsia" w:ascii="仿宋" w:eastAsia="仿宋" w:cs="仿宋_GB2312"/>
          <w:color w:val="000000"/>
          <w:sz w:val="32"/>
          <w:szCs w:val="32"/>
          <w:lang w:val="en-US" w:eastAsia="zh-CN"/>
        </w:rPr>
        <w:t>0</w:t>
      </w:r>
      <w:r>
        <w:rPr>
          <w:rFonts w:hint="eastAsia" w:ascii="仿宋" w:eastAsia="仿宋" w:cs="仿宋_GB2312"/>
          <w:color w:val="000000"/>
          <w:sz w:val="32"/>
          <w:szCs w:val="32"/>
          <w:lang w:val="zh-CN" w:eastAsia="zh-CN"/>
        </w:rPr>
        <w:t>万元，1—1</w:t>
      </w:r>
      <w:r>
        <w:rPr>
          <w:rFonts w:hint="eastAsia" w:ascii="仿宋" w:eastAsia="仿宋" w:cs="仿宋_GB2312"/>
          <w:color w:val="000000"/>
          <w:sz w:val="32"/>
          <w:szCs w:val="32"/>
          <w:lang w:val="en-US" w:eastAsia="zh-CN"/>
        </w:rPr>
        <w:t>2</w:t>
      </w:r>
      <w:r>
        <w:rPr>
          <w:rFonts w:hint="eastAsia" w:ascii="仿宋" w:eastAsia="仿宋" w:cs="仿宋_GB2312"/>
          <w:color w:val="000000"/>
          <w:sz w:val="32"/>
          <w:szCs w:val="32"/>
          <w:lang w:val="zh-CN" w:eastAsia="zh-CN"/>
        </w:rPr>
        <w:t>月预算执行总体进度为</w:t>
      </w:r>
      <w:r>
        <w:rPr>
          <w:rFonts w:hint="eastAsia" w:ascii="仿宋" w:eastAsia="仿宋" w:cs="仿宋_GB2312"/>
          <w:color w:val="000000"/>
          <w:sz w:val="32"/>
          <w:szCs w:val="32"/>
          <w:lang w:val="en-US" w:eastAsia="zh-CN"/>
        </w:rPr>
        <w:t>100</w:t>
      </w:r>
      <w:r>
        <w:rPr>
          <w:rFonts w:hint="eastAsia" w:ascii="仿宋" w:eastAsia="仿宋" w:cs="仿宋_GB2312"/>
          <w:color w:val="000000"/>
          <w:sz w:val="32"/>
          <w:szCs w:val="32"/>
          <w:lang w:val="zh-CN" w:eastAsia="zh-CN"/>
        </w:rPr>
        <w:t>%，其中：预算结余率大于</w:t>
      </w:r>
      <w:r>
        <w:rPr>
          <w:rFonts w:hint="eastAsia" w:ascii="仿宋" w:eastAsia="仿宋" w:cs="仿宋_GB2312"/>
          <w:color w:val="000000"/>
          <w:sz w:val="32"/>
          <w:szCs w:val="32"/>
          <w:lang w:val="en-US" w:eastAsia="zh-CN"/>
        </w:rPr>
        <w:t>10%</w:t>
      </w:r>
      <w:r>
        <w:rPr>
          <w:rFonts w:hint="eastAsia" w:ascii="仿宋" w:eastAsia="仿宋" w:cs="仿宋_GB2312"/>
          <w:color w:val="000000"/>
          <w:sz w:val="32"/>
          <w:szCs w:val="32"/>
          <w:lang w:val="zh-CN" w:eastAsia="zh-CN"/>
        </w:rPr>
        <w:t>的项目共计</w:t>
      </w:r>
      <w:r>
        <w:rPr>
          <w:rFonts w:hint="eastAsia" w:ascii="仿宋" w:eastAsia="仿宋" w:cs="仿宋_GB2312"/>
          <w:color w:val="000000"/>
          <w:sz w:val="32"/>
          <w:szCs w:val="32"/>
          <w:lang w:val="en-US" w:eastAsia="zh-CN"/>
        </w:rPr>
        <w:t xml:space="preserve"> 0  </w:t>
      </w:r>
      <w:r>
        <w:rPr>
          <w:rFonts w:hint="eastAsia" w:ascii="仿宋" w:eastAsia="仿宋" w:cs="仿宋_GB2312"/>
          <w:color w:val="000000"/>
          <w:sz w:val="32"/>
          <w:szCs w:val="32"/>
          <w:lang w:val="zh-CN" w:eastAsia="zh-CN"/>
        </w:rPr>
        <w:t>个。</w:t>
      </w:r>
    </w:p>
    <w:p w14:paraId="76E77BDA">
      <w:pPr>
        <w:keepNext w:val="0"/>
        <w:keepLines w:val="0"/>
        <w:pageBreakBefore w:val="0"/>
        <w:widowControl/>
        <w:wordWrap w:val="0"/>
        <w:topLinePunct/>
        <w:bidi w:val="0"/>
        <w:adjustRightInd w:val="0"/>
        <w:snapToGrid w:val="0"/>
        <w:spacing w:line="560" w:lineRule="exact"/>
        <w:ind w:left="0" w:firstLine="640" w:firstLineChars="200"/>
        <w:jc w:val="left"/>
        <w:textAlignment w:val="auto"/>
        <w:rPr>
          <w:rFonts w:hint="eastAsia" w:ascii="仿宋" w:eastAsia="仿宋" w:cs="仿宋_GB2312"/>
          <w:color w:val="000000"/>
          <w:sz w:val="32"/>
          <w:szCs w:val="32"/>
          <w:lang w:val="zh-CN" w:eastAsia="zh-CN"/>
        </w:rPr>
      </w:pPr>
      <w:r>
        <w:rPr>
          <w:rFonts w:hint="eastAsia" w:ascii="仿宋" w:eastAsia="仿宋" w:cs="仿宋_GB2312"/>
          <w:color w:val="000000"/>
          <w:sz w:val="32"/>
          <w:szCs w:val="32"/>
          <w:lang w:val="en-US" w:eastAsia="zh-CN"/>
        </w:rPr>
        <w:t>阶段（一次性）项目绩效分析。</w:t>
      </w:r>
      <w:r>
        <w:rPr>
          <w:rFonts w:hint="eastAsia" w:ascii="仿宋" w:eastAsia="仿宋" w:cs="仿宋_GB2312"/>
          <w:color w:val="000000"/>
          <w:sz w:val="32"/>
          <w:szCs w:val="32"/>
          <w:lang w:val="zh-CN" w:eastAsia="zh-CN"/>
        </w:rPr>
        <w:t>该类项目总数</w:t>
      </w:r>
      <w:r>
        <w:rPr>
          <w:rFonts w:hint="eastAsia" w:ascii="仿宋" w:eastAsia="仿宋" w:cs="仿宋_GB2312"/>
          <w:color w:val="000000"/>
          <w:sz w:val="32"/>
          <w:szCs w:val="32"/>
          <w:lang w:val="en-US" w:eastAsia="zh-CN"/>
        </w:rPr>
        <w:t xml:space="preserve"> 1 </w:t>
      </w:r>
      <w:r>
        <w:rPr>
          <w:rFonts w:hint="eastAsia" w:ascii="仿宋" w:eastAsia="仿宋" w:cs="仿宋_GB2312"/>
          <w:color w:val="000000"/>
          <w:sz w:val="32"/>
          <w:szCs w:val="32"/>
          <w:lang w:val="zh-CN" w:eastAsia="zh-CN"/>
        </w:rPr>
        <w:t>个，涉及预算总金额</w:t>
      </w:r>
      <w:r>
        <w:rPr>
          <w:rFonts w:hint="eastAsia" w:ascii="仿宋" w:eastAsia="仿宋" w:cs="仿宋_GB2312"/>
          <w:color w:val="000000"/>
          <w:sz w:val="32"/>
          <w:szCs w:val="32"/>
          <w:lang w:val="en-US" w:eastAsia="zh-CN"/>
        </w:rPr>
        <w:t>10</w:t>
      </w:r>
      <w:r>
        <w:rPr>
          <w:rFonts w:hint="eastAsia" w:ascii="仿宋" w:eastAsia="仿宋" w:cs="仿宋_GB2312"/>
          <w:color w:val="000000"/>
          <w:sz w:val="32"/>
          <w:szCs w:val="32"/>
          <w:lang w:val="zh-CN" w:eastAsia="zh-CN"/>
        </w:rPr>
        <w:t>万元，1—1</w:t>
      </w:r>
      <w:r>
        <w:rPr>
          <w:rFonts w:hint="eastAsia" w:ascii="仿宋" w:eastAsia="仿宋" w:cs="仿宋_GB2312"/>
          <w:color w:val="000000"/>
          <w:sz w:val="32"/>
          <w:szCs w:val="32"/>
          <w:lang w:val="en-US" w:eastAsia="zh-CN"/>
        </w:rPr>
        <w:t>2</w:t>
      </w:r>
      <w:r>
        <w:rPr>
          <w:rFonts w:hint="eastAsia" w:ascii="仿宋" w:eastAsia="仿宋" w:cs="仿宋_GB2312"/>
          <w:color w:val="000000"/>
          <w:sz w:val="32"/>
          <w:szCs w:val="32"/>
          <w:lang w:val="zh-CN" w:eastAsia="zh-CN"/>
        </w:rPr>
        <w:t>月预算执行总体进度为</w:t>
      </w:r>
      <w:r>
        <w:rPr>
          <w:rFonts w:hint="eastAsia" w:ascii="仿宋" w:eastAsia="仿宋" w:cs="仿宋_GB2312"/>
          <w:color w:val="000000"/>
          <w:sz w:val="32"/>
          <w:szCs w:val="32"/>
          <w:lang w:val="en-US" w:eastAsia="zh-CN"/>
        </w:rPr>
        <w:t xml:space="preserve">0 </w:t>
      </w:r>
      <w:r>
        <w:rPr>
          <w:rFonts w:hint="eastAsia" w:ascii="仿宋" w:eastAsia="仿宋" w:cs="仿宋_GB2312"/>
          <w:color w:val="000000"/>
          <w:sz w:val="32"/>
          <w:szCs w:val="32"/>
          <w:lang w:val="zh-CN" w:eastAsia="zh-CN"/>
        </w:rPr>
        <w:t>%，原因：该项目为州级下达资金，下达时间接近年末，项目无法实施，计划在</w:t>
      </w:r>
      <w:r>
        <w:rPr>
          <w:rFonts w:hint="eastAsia" w:ascii="仿宋" w:eastAsia="仿宋" w:cs="仿宋_GB2312"/>
          <w:color w:val="000000"/>
          <w:sz w:val="32"/>
          <w:szCs w:val="32"/>
          <w:lang w:val="en-US" w:eastAsia="zh-CN"/>
        </w:rPr>
        <w:t>2025年完成该项目</w:t>
      </w:r>
      <w:r>
        <w:rPr>
          <w:rFonts w:hint="eastAsia" w:ascii="仿宋" w:eastAsia="仿宋" w:cs="仿宋_GB2312"/>
          <w:color w:val="000000"/>
          <w:sz w:val="32"/>
          <w:szCs w:val="32"/>
          <w:lang w:val="zh-CN" w:eastAsia="zh-CN"/>
        </w:rPr>
        <w:t>。</w:t>
      </w:r>
    </w:p>
    <w:p w14:paraId="29B8B1C2">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ascii="Times New Roman" w:hAnsi="Times New Roman" w:cs="Times New Roman"/>
          <w:color w:val="000000"/>
          <w:kern w:val="0"/>
          <w:sz w:val="32"/>
          <w:szCs w:val="32"/>
          <w:highlight w:val="none"/>
          <w:shd w:val="clear" w:color="auto" w:fill="FFFFFF"/>
          <w:lang w:val="en-US" w:eastAsia="zh-CN"/>
        </w:rPr>
      </w:pPr>
    </w:p>
    <w:p w14:paraId="1819BF13">
      <w:pPr>
        <w:keepNext w:val="0"/>
        <w:keepLines w:val="0"/>
        <w:pageBreakBefore w:val="0"/>
        <w:widowControl w:val="0"/>
        <w:numPr>
          <w:ilvl w:val="0"/>
          <w:numId w:val="5"/>
        </w:numPr>
        <w:kinsoku/>
        <w:wordWrap/>
        <w:overflowPunct/>
        <w:topLinePunct w:val="0"/>
        <w:autoSpaceDE/>
        <w:autoSpaceDN/>
        <w:bidi w:val="0"/>
        <w:adjustRightInd w:val="0"/>
        <w:snapToGrid w:val="0"/>
        <w:spacing w:line="560" w:lineRule="exact"/>
        <w:ind w:left="0" w:firstLine="640" w:firstLineChars="200"/>
        <w:contextualSpacing/>
        <w:jc w:val="left"/>
        <w:textAlignment w:val="auto"/>
        <w:outlineLvl w:val="9"/>
        <w:rPr>
          <w:rFonts w:hint="eastAsia" w:cs="Times New Roman"/>
          <w:color w:val="000000"/>
          <w:kern w:val="0"/>
          <w:sz w:val="32"/>
          <w:szCs w:val="32"/>
          <w:highlight w:val="none"/>
          <w:shd w:val="clear" w:color="auto" w:fill="FFFFFF"/>
          <w:lang w:val="zh-CN" w:eastAsia="zh-CN"/>
        </w:rPr>
      </w:pPr>
      <w:r>
        <w:rPr>
          <w:rFonts w:ascii="Times New Roman" w:hAnsi="Times New Roman" w:eastAsia="楷体_GB2312" w:cs="Times New Roman"/>
          <w:color w:val="000000"/>
          <w:kern w:val="0"/>
          <w:sz w:val="32"/>
          <w:szCs w:val="32"/>
          <w:highlight w:val="none"/>
          <w:shd w:val="clear" w:color="auto" w:fill="FFFFFF"/>
          <w:lang w:val="zh-CN"/>
        </w:rPr>
        <w:t>项目决策。</w:t>
      </w:r>
    </w:p>
    <w:p w14:paraId="48B65757">
      <w:pPr>
        <w:keepNext w:val="0"/>
        <w:keepLines w:val="0"/>
        <w:pageBreakBefore w:val="0"/>
        <w:widowControl/>
        <w:wordWrap w:val="0"/>
        <w:topLinePunct/>
        <w:bidi w:val="0"/>
        <w:adjustRightInd w:val="0"/>
        <w:snapToGrid w:val="0"/>
        <w:spacing w:line="560" w:lineRule="exact"/>
        <w:ind w:left="0" w:firstLine="640" w:firstLineChars="200"/>
        <w:jc w:val="left"/>
        <w:textAlignment w:val="auto"/>
        <w:rPr>
          <w:rFonts w:hint="eastAsia" w:ascii="仿宋" w:eastAsia="仿宋" w:cs="仿宋_GB2312"/>
          <w:color w:val="000000"/>
          <w:sz w:val="32"/>
          <w:szCs w:val="32"/>
          <w:lang w:val="zh-CN" w:eastAsia="zh-CN"/>
        </w:rPr>
      </w:pPr>
      <w:r>
        <w:rPr>
          <w:rFonts w:hint="eastAsia" w:ascii="仿宋" w:eastAsia="仿宋" w:cs="仿宋_GB2312"/>
          <w:color w:val="000000"/>
          <w:sz w:val="32"/>
          <w:szCs w:val="32"/>
          <w:lang w:val="en-US" w:eastAsia="zh-CN"/>
        </w:rPr>
        <w:t>本单位</w:t>
      </w:r>
      <w:r>
        <w:rPr>
          <w:rFonts w:hint="eastAsia" w:ascii="仿宋" w:eastAsia="仿宋" w:cs="仿宋_GB2312"/>
          <w:color w:val="000000"/>
          <w:sz w:val="32"/>
          <w:szCs w:val="32"/>
          <w:lang w:val="zh-CN" w:eastAsia="zh-CN"/>
        </w:rPr>
        <w:t>预算项目设立</w:t>
      </w:r>
      <w:r>
        <w:rPr>
          <w:rFonts w:hint="eastAsia" w:ascii="仿宋" w:eastAsia="仿宋" w:cs="仿宋_GB2312"/>
          <w:color w:val="000000"/>
          <w:sz w:val="32"/>
          <w:szCs w:val="32"/>
          <w:lang w:val="en-US" w:eastAsia="zh-CN"/>
        </w:rPr>
        <w:t>都</w:t>
      </w:r>
      <w:r>
        <w:rPr>
          <w:rFonts w:hint="eastAsia" w:ascii="仿宋" w:eastAsia="仿宋" w:cs="仿宋_GB2312"/>
          <w:color w:val="000000"/>
          <w:sz w:val="32"/>
          <w:szCs w:val="32"/>
          <w:lang w:val="zh-CN" w:eastAsia="zh-CN"/>
        </w:rPr>
        <w:t>按规定履行评估论证、按程序申报、预算项目绩效目标与计划期内的任务量、预算安排的资金量匹配情况，绩效目标设置科学合理、规范完整、量化细化、预算匹配、预算项目在规定时间</w:t>
      </w:r>
      <w:r>
        <w:rPr>
          <w:rFonts w:hint="eastAsia" w:ascii="仿宋" w:eastAsia="仿宋" w:cs="仿宋_GB2312"/>
          <w:color w:val="000000"/>
          <w:sz w:val="32"/>
          <w:szCs w:val="32"/>
          <w:lang w:val="en-US" w:eastAsia="zh-CN"/>
        </w:rPr>
        <w:t>内</w:t>
      </w:r>
      <w:r>
        <w:rPr>
          <w:rFonts w:hint="eastAsia" w:ascii="仿宋" w:eastAsia="仿宋" w:cs="仿宋_GB2312"/>
          <w:color w:val="000000"/>
          <w:sz w:val="32"/>
          <w:szCs w:val="32"/>
          <w:lang w:val="zh-CN" w:eastAsia="zh-CN"/>
        </w:rPr>
        <w:t>完成项目入库，</w:t>
      </w:r>
      <w:r>
        <w:rPr>
          <w:rFonts w:hint="eastAsia" w:ascii="仿宋" w:eastAsia="仿宋" w:cs="仿宋_GB2312"/>
          <w:color w:val="000000"/>
          <w:sz w:val="32"/>
          <w:szCs w:val="32"/>
          <w:lang w:val="en-US" w:eastAsia="zh-CN"/>
        </w:rPr>
        <w:t>明确绩效目标，控制支行成本，提高项目发挥作用。</w:t>
      </w:r>
    </w:p>
    <w:p w14:paraId="5C18D558">
      <w:pPr>
        <w:keepNext w:val="0"/>
        <w:keepLines w:val="0"/>
        <w:pageBreakBefore w:val="0"/>
        <w:widowControl/>
        <w:wordWrap w:val="0"/>
        <w:topLinePunct/>
        <w:bidi w:val="0"/>
        <w:adjustRightInd w:val="0"/>
        <w:snapToGrid w:val="0"/>
        <w:spacing w:line="560" w:lineRule="exact"/>
        <w:ind w:left="0" w:firstLine="640" w:firstLineChars="200"/>
        <w:jc w:val="left"/>
        <w:textAlignment w:val="auto"/>
        <w:rPr>
          <w:rFonts w:hint="eastAsia" w:ascii="仿宋" w:eastAsia="仿宋" w:cs="仿宋_GB2312"/>
          <w:color w:val="000000"/>
          <w:sz w:val="32"/>
          <w:szCs w:val="32"/>
          <w:lang w:val="zh-CN" w:eastAsia="zh-CN"/>
        </w:rPr>
      </w:pPr>
      <w:r>
        <w:rPr>
          <w:rFonts w:hint="eastAsia" w:ascii="仿宋" w:eastAsia="仿宋" w:cs="仿宋_GB2312"/>
          <w:color w:val="000000"/>
          <w:sz w:val="32"/>
          <w:szCs w:val="32"/>
          <w:lang w:val="en-US" w:eastAsia="zh-CN"/>
        </w:rPr>
        <w:t>项目执行</w:t>
      </w:r>
      <w:r>
        <w:rPr>
          <w:rFonts w:hint="eastAsia" w:ascii="仿宋" w:eastAsia="仿宋" w:cs="仿宋_GB2312"/>
          <w:color w:val="000000"/>
          <w:sz w:val="32"/>
          <w:szCs w:val="32"/>
          <w:lang w:val="zh-CN" w:eastAsia="zh-CN"/>
        </w:rPr>
        <w:t>。</w:t>
      </w:r>
    </w:p>
    <w:p w14:paraId="1F3AB850">
      <w:pPr>
        <w:keepNext w:val="0"/>
        <w:keepLines w:val="0"/>
        <w:pageBreakBefore w:val="0"/>
        <w:widowControl/>
        <w:wordWrap w:val="0"/>
        <w:topLinePunct/>
        <w:bidi w:val="0"/>
        <w:adjustRightInd w:val="0"/>
        <w:snapToGrid w:val="0"/>
        <w:spacing w:line="560" w:lineRule="exact"/>
        <w:ind w:left="0" w:firstLine="640" w:firstLineChars="200"/>
        <w:jc w:val="left"/>
        <w:textAlignment w:val="auto"/>
        <w:rPr>
          <w:rFonts w:hint="eastAsia" w:ascii="仿宋" w:eastAsia="仿宋" w:cs="仿宋_GB2312"/>
          <w:color w:val="000000"/>
          <w:sz w:val="32"/>
          <w:szCs w:val="32"/>
          <w:lang w:val="zh-CN" w:eastAsia="zh-CN"/>
        </w:rPr>
      </w:pPr>
      <w:r>
        <w:rPr>
          <w:rFonts w:hint="eastAsia" w:ascii="仿宋" w:eastAsia="仿宋" w:cs="仿宋_GB2312"/>
          <w:color w:val="000000"/>
          <w:sz w:val="32"/>
          <w:szCs w:val="32"/>
          <w:lang w:val="zh-CN" w:eastAsia="zh-CN"/>
        </w:rPr>
        <w:t>预算项目实际列支内容与绩效目标设置方向相符、预算项目采取对应调整措施，</w:t>
      </w:r>
      <w:r>
        <w:rPr>
          <w:rFonts w:hint="eastAsia" w:ascii="仿宋" w:eastAsia="仿宋" w:cs="仿宋_GB2312"/>
          <w:color w:val="000000"/>
          <w:sz w:val="32"/>
          <w:szCs w:val="32"/>
          <w:lang w:val="en-US" w:eastAsia="zh-CN"/>
        </w:rPr>
        <w:t>按程序调整</w:t>
      </w:r>
      <w:r>
        <w:rPr>
          <w:rFonts w:hint="eastAsia" w:ascii="仿宋" w:eastAsia="仿宋" w:cs="仿宋_GB2312"/>
          <w:color w:val="000000"/>
          <w:sz w:val="32"/>
          <w:szCs w:val="32"/>
          <w:lang w:val="zh-CN" w:eastAsia="zh-CN"/>
        </w:rPr>
        <w:t>、预算项目</w:t>
      </w:r>
      <w:r>
        <w:rPr>
          <w:rFonts w:hint="eastAsia" w:ascii="仿宋" w:eastAsia="仿宋" w:cs="仿宋_GB2312"/>
          <w:color w:val="000000"/>
          <w:sz w:val="32"/>
          <w:szCs w:val="32"/>
          <w:lang w:val="en-US" w:eastAsia="zh-CN"/>
        </w:rPr>
        <w:t>按照文件时间节点有序推进，按时完成并</w:t>
      </w:r>
      <w:r>
        <w:rPr>
          <w:rFonts w:hint="eastAsia" w:ascii="仿宋" w:eastAsia="仿宋" w:cs="仿宋_GB2312"/>
          <w:color w:val="000000"/>
          <w:sz w:val="32"/>
          <w:szCs w:val="32"/>
          <w:lang w:val="zh-CN" w:eastAsia="zh-CN"/>
        </w:rPr>
        <w:t>根据财政局统一要求编制了我办整体绩效目标报告及项目整体绩效目标表，并报县财政局。</w:t>
      </w:r>
    </w:p>
    <w:p w14:paraId="369F8C38">
      <w:pPr>
        <w:keepNext w:val="0"/>
        <w:keepLines w:val="0"/>
        <w:pageBreakBefore w:val="0"/>
        <w:widowControl/>
        <w:wordWrap w:val="0"/>
        <w:topLinePunct/>
        <w:bidi w:val="0"/>
        <w:adjustRightInd w:val="0"/>
        <w:snapToGrid w:val="0"/>
        <w:spacing w:line="560" w:lineRule="exact"/>
        <w:ind w:left="0" w:firstLine="640" w:firstLineChars="200"/>
        <w:jc w:val="left"/>
        <w:textAlignment w:val="auto"/>
        <w:rPr>
          <w:rFonts w:hint="eastAsia" w:ascii="仿宋" w:eastAsia="仿宋" w:cs="仿宋_GB2312"/>
          <w:color w:val="000000"/>
          <w:sz w:val="32"/>
          <w:szCs w:val="32"/>
          <w:lang w:val="zh-CN" w:eastAsia="zh-CN"/>
        </w:rPr>
      </w:pPr>
      <w:r>
        <w:rPr>
          <w:rFonts w:hint="eastAsia" w:ascii="仿宋" w:eastAsia="仿宋" w:cs="仿宋_GB2312"/>
          <w:color w:val="000000"/>
          <w:sz w:val="32"/>
          <w:szCs w:val="32"/>
          <w:lang w:val="zh-CN" w:eastAsia="zh-CN"/>
        </w:rPr>
        <w:t>目标实现。</w:t>
      </w:r>
    </w:p>
    <w:p w14:paraId="2D45CBBC">
      <w:pPr>
        <w:keepNext w:val="0"/>
        <w:keepLines w:val="0"/>
        <w:pageBreakBefore w:val="0"/>
        <w:widowControl/>
        <w:wordWrap w:val="0"/>
        <w:topLinePunct/>
        <w:bidi w:val="0"/>
        <w:adjustRightInd w:val="0"/>
        <w:snapToGrid w:val="0"/>
        <w:spacing w:line="560" w:lineRule="exact"/>
        <w:ind w:left="0" w:firstLine="640" w:firstLineChars="200"/>
        <w:jc w:val="left"/>
        <w:textAlignment w:val="auto"/>
        <w:rPr>
          <w:rFonts w:hint="eastAsia" w:ascii="仿宋" w:eastAsia="仿宋" w:cs="仿宋_GB2312"/>
          <w:color w:val="000000"/>
          <w:sz w:val="32"/>
          <w:szCs w:val="32"/>
          <w:lang w:val="zh-CN" w:eastAsia="zh-CN"/>
        </w:rPr>
      </w:pPr>
      <w:r>
        <w:rPr>
          <w:rFonts w:hint="eastAsia" w:ascii="仿宋" w:eastAsia="仿宋" w:cs="仿宋_GB2312"/>
          <w:color w:val="000000"/>
          <w:sz w:val="32"/>
          <w:szCs w:val="32"/>
          <w:lang w:val="zh-CN" w:eastAsia="zh-CN"/>
        </w:rPr>
        <w:t>该项目为州级下达资金，下达时间接近年末，项目无法实施，计划在</w:t>
      </w:r>
      <w:r>
        <w:rPr>
          <w:rFonts w:hint="eastAsia" w:ascii="仿宋" w:eastAsia="仿宋" w:cs="仿宋_GB2312"/>
          <w:color w:val="000000"/>
          <w:sz w:val="32"/>
          <w:szCs w:val="32"/>
          <w:lang w:val="en-US" w:eastAsia="zh-CN"/>
        </w:rPr>
        <w:t>2025年完成该项目，2025年预计</w:t>
      </w:r>
      <w:r>
        <w:rPr>
          <w:rFonts w:hint="eastAsia" w:ascii="仿宋" w:eastAsia="仿宋" w:cs="仿宋_GB2312"/>
          <w:color w:val="000000"/>
          <w:sz w:val="32"/>
          <w:szCs w:val="32"/>
          <w:lang w:val="zh-CN" w:eastAsia="zh-CN"/>
        </w:rPr>
        <w:t>部门预算项目绩效目标数量指标完成情况完成率基本为</w:t>
      </w:r>
      <w:r>
        <w:rPr>
          <w:rFonts w:hint="eastAsia" w:ascii="仿宋" w:eastAsia="仿宋" w:cs="仿宋_GB2312"/>
          <w:color w:val="000000"/>
          <w:sz w:val="32"/>
          <w:szCs w:val="32"/>
          <w:lang w:val="en-US" w:eastAsia="zh-CN"/>
        </w:rPr>
        <w:t>100%</w:t>
      </w:r>
      <w:r>
        <w:rPr>
          <w:rFonts w:hint="eastAsia" w:ascii="仿宋" w:eastAsia="仿宋" w:cs="仿宋_GB2312"/>
          <w:color w:val="000000"/>
          <w:sz w:val="32"/>
          <w:szCs w:val="32"/>
          <w:lang w:val="zh-CN" w:eastAsia="zh-CN"/>
        </w:rPr>
        <w:t>。目标偏离，部门预算项目绩效目标数量指标实现程度与预期目标的偏离率为基本在＜</w:t>
      </w:r>
      <w:r>
        <w:rPr>
          <w:rFonts w:hint="eastAsia" w:ascii="仿宋" w:eastAsia="仿宋" w:cs="仿宋_GB2312"/>
          <w:color w:val="000000"/>
          <w:sz w:val="32"/>
          <w:szCs w:val="32"/>
          <w:lang w:val="en-US" w:eastAsia="zh-CN"/>
        </w:rPr>
        <w:t>30%</w:t>
      </w:r>
      <w:r>
        <w:rPr>
          <w:rFonts w:hint="eastAsia" w:ascii="仿宋" w:eastAsia="仿宋" w:cs="仿宋_GB2312"/>
          <w:color w:val="000000"/>
          <w:sz w:val="32"/>
          <w:szCs w:val="32"/>
          <w:lang w:val="zh-CN" w:eastAsia="zh-CN"/>
        </w:rPr>
        <w:t>。实现效果，部门预算项目绩效目标效益指标实施效果。</w:t>
      </w:r>
    </w:p>
    <w:p w14:paraId="609B9793">
      <w:pPr>
        <w:keepNext w:val="0"/>
        <w:keepLines w:val="0"/>
        <w:pageBreakBefore w:val="0"/>
        <w:widowControl w:val="0"/>
        <w:numPr>
          <w:ilvl w:val="0"/>
          <w:numId w:val="3"/>
        </w:numPr>
        <w:bidi w:val="0"/>
        <w:spacing w:line="560" w:lineRule="exact"/>
        <w:ind w:left="0" w:firstLine="643" w:firstLineChars="200"/>
        <w:textAlignment w:val="auto"/>
        <w:rPr>
          <w:rFonts w:ascii="Times New Roman" w:hAnsi="Times New Roman" w:eastAsia="楷体_GB2312" w:cs="Times New Roman"/>
          <w:b/>
          <w:bCs/>
          <w:sz w:val="32"/>
          <w:szCs w:val="32"/>
          <w:lang w:val="zh-CN"/>
        </w:rPr>
      </w:pPr>
      <w:r>
        <w:rPr>
          <w:rFonts w:ascii="Times New Roman" w:hAnsi="Times New Roman" w:eastAsia="楷体_GB2312" w:cs="Times New Roman"/>
          <w:b/>
          <w:bCs/>
          <w:sz w:val="32"/>
          <w:szCs w:val="32"/>
          <w:lang w:val="zh-CN"/>
        </w:rPr>
        <w:t>绩效结果应用情况。</w:t>
      </w:r>
    </w:p>
    <w:p w14:paraId="42383EE4">
      <w:pPr>
        <w:keepNext w:val="0"/>
        <w:keepLines w:val="0"/>
        <w:pageBreakBefore w:val="0"/>
        <w:widowControl w:val="0"/>
        <w:bidi w:val="0"/>
        <w:spacing w:line="560" w:lineRule="exact"/>
        <w:ind w:firstLine="640" w:firstLineChars="200"/>
        <w:textAlignment w:val="auto"/>
        <w:rPr>
          <w:rFonts w:ascii="Times New Roman" w:hAnsi="Times New Roman" w:cs="Times New Roman"/>
          <w:color w:val="000000"/>
          <w:kern w:val="0"/>
          <w:sz w:val="32"/>
          <w:szCs w:val="32"/>
          <w:highlight w:val="none"/>
          <w:shd w:val="clear" w:color="auto" w:fill="FFFFFF"/>
          <w:lang w:val="en-US"/>
        </w:rPr>
      </w:pPr>
      <w:r>
        <w:rPr>
          <w:rFonts w:hint="eastAsia" w:ascii="仿宋_GB2312" w:eastAsia="仿宋_GB2312" w:cs="仿宋_GB2312"/>
          <w:sz w:val="32"/>
          <w:szCs w:val="32"/>
        </w:rPr>
        <w:t>根据预算绩效管理要求，我单位在年初预算编制阶段，组织对项目开展了预算事前绩效评估，本部门按要求对202</w:t>
      </w:r>
      <w:r>
        <w:rPr>
          <w:rFonts w:hint="eastAsia" w:ascii="仿宋_GB2312" w:cs="仿宋_GB2312"/>
          <w:sz w:val="32"/>
          <w:szCs w:val="32"/>
          <w:lang w:val="en-US" w:eastAsia="zh-CN"/>
        </w:rPr>
        <w:t>4</w:t>
      </w:r>
      <w:r>
        <w:rPr>
          <w:rFonts w:hint="eastAsia" w:ascii="仿宋_GB2312" w:eastAsia="仿宋_GB2312" w:cs="仿宋_GB2312"/>
          <w:sz w:val="32"/>
          <w:szCs w:val="32"/>
        </w:rPr>
        <w:t>年部门整体支出开展绩效自评，</w:t>
      </w:r>
      <w:r>
        <w:rPr>
          <w:rFonts w:hint="eastAsia" w:ascii="仿宋_GB2312" w:eastAsia="仿宋_GB2312"/>
          <w:sz w:val="32"/>
          <w:szCs w:val="32"/>
        </w:rPr>
        <w:t>我单位深入贯彻落实</w:t>
      </w:r>
      <w:r>
        <w:rPr>
          <w:rFonts w:hint="eastAsia" w:ascii="仿宋_GB2312" w:eastAsia="仿宋_GB2312"/>
          <w:sz w:val="32"/>
          <w:szCs w:val="32"/>
          <w:lang w:val="en-US" w:eastAsia="zh-CN"/>
        </w:rPr>
        <w:t>二十</w:t>
      </w:r>
      <w:r>
        <w:rPr>
          <w:rFonts w:hint="eastAsia" w:ascii="仿宋_GB2312" w:eastAsia="仿宋_GB2312"/>
          <w:sz w:val="32"/>
          <w:szCs w:val="32"/>
        </w:rPr>
        <w:t>大关于“全面实施绩效管理”的要求，努力提升本单位绩效预算管理业务水平。主动公开绩效结果，加大资金使用效率，提升政府管理水平。</w:t>
      </w:r>
    </w:p>
    <w:p w14:paraId="349D041A">
      <w:pPr>
        <w:keepNext w:val="0"/>
        <w:keepLines w:val="0"/>
        <w:pageBreakBefore w:val="0"/>
        <w:widowControl w:val="0"/>
        <w:kinsoku/>
        <w:wordWrap/>
        <w:overflowPunct/>
        <w:topLinePunct w:val="0"/>
        <w:autoSpaceDE/>
        <w:autoSpaceDN/>
        <w:bidi w:val="0"/>
        <w:snapToGrid w:val="0"/>
        <w:spacing w:line="600" w:lineRule="exact"/>
        <w:ind w:firstLine="643" w:firstLineChars="200"/>
        <w:textAlignment w:val="auto"/>
        <w:rPr>
          <w:rFonts w:ascii="Times New Roman" w:hAnsi="Times New Roman" w:eastAsia="仿宋_GB2312" w:cs="Times New Roman"/>
          <w:b/>
          <w:bCs w:val="0"/>
          <w:sz w:val="32"/>
          <w:szCs w:val="32"/>
        </w:rPr>
      </w:pPr>
    </w:p>
    <w:p w14:paraId="2EC018CE">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黑体" w:hAnsi="黑体" w:eastAsia="黑体" w:cs="黑体"/>
          <w:color w:val="000000"/>
          <w:kern w:val="0"/>
          <w:sz w:val="32"/>
          <w:szCs w:val="32"/>
          <w:highlight w:val="none"/>
          <w:shd w:val="clear" w:color="auto" w:fill="FFFFFF"/>
        </w:rPr>
      </w:pPr>
      <w:r>
        <w:rPr>
          <w:rFonts w:hint="eastAsia" w:ascii="黑体" w:hAnsi="黑体" w:eastAsia="黑体" w:cs="黑体"/>
          <w:color w:val="000000"/>
          <w:kern w:val="0"/>
          <w:sz w:val="32"/>
          <w:szCs w:val="32"/>
          <w:highlight w:val="none"/>
          <w:shd w:val="clear" w:color="auto" w:fill="FFFFFF"/>
          <w:lang w:eastAsia="zh-CN"/>
        </w:rPr>
        <w:t>四、</w:t>
      </w:r>
      <w:r>
        <w:rPr>
          <w:rFonts w:hint="eastAsia" w:ascii="黑体" w:hAnsi="黑体" w:eastAsia="黑体" w:cs="黑体"/>
          <w:color w:val="000000"/>
          <w:kern w:val="0"/>
          <w:sz w:val="32"/>
          <w:szCs w:val="32"/>
          <w:highlight w:val="none"/>
          <w:shd w:val="clear" w:color="auto" w:fill="FFFFFF"/>
        </w:rPr>
        <w:t>评价结论及建议</w:t>
      </w:r>
    </w:p>
    <w:p w14:paraId="009326C7">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outlineLvl w:val="9"/>
        <w:rPr>
          <w:rFonts w:ascii="Times New Roman" w:hAnsi="Times New Roman" w:eastAsia="仿宋_GB2312" w:cs="Times New Roman"/>
          <w:kern w:val="0"/>
          <w:sz w:val="32"/>
          <w:szCs w:val="32"/>
          <w:shd w:val="clear" w:color="auto" w:fill="FFFFFF"/>
          <w:lang w:val="zh-CN"/>
        </w:rPr>
      </w:pPr>
      <w:r>
        <w:rPr>
          <w:rFonts w:ascii="Times New Roman" w:hAnsi="Times New Roman" w:eastAsia="楷体_GB2312" w:cs="Times New Roman"/>
          <w:b/>
          <w:bCs/>
          <w:color w:val="000000"/>
          <w:kern w:val="0"/>
          <w:sz w:val="32"/>
          <w:szCs w:val="32"/>
          <w:highlight w:val="none"/>
          <w:shd w:val="clear" w:color="auto" w:fill="FFFFFF"/>
          <w:lang w:val="zh-CN"/>
        </w:rPr>
        <w:t>（一）评价结论。</w:t>
      </w:r>
      <w:r>
        <w:rPr>
          <w:rFonts w:ascii="Times New Roman" w:hAnsi="Times New Roman" w:eastAsia="仿宋_GB2312" w:cs="Times New Roman"/>
          <w:bCs/>
          <w:kern w:val="0"/>
          <w:sz w:val="32"/>
          <w:szCs w:val="32"/>
          <w:shd w:val="clear" w:color="auto" w:fill="FFFFFF"/>
          <w:lang w:val="zh-CN" w:eastAsia="zh-CN"/>
        </w:rPr>
        <w:t>我</w:t>
      </w:r>
      <w:r>
        <w:rPr>
          <w:rFonts w:hint="eastAsia" w:cs="Times New Roman"/>
          <w:bCs/>
          <w:kern w:val="0"/>
          <w:sz w:val="32"/>
          <w:szCs w:val="32"/>
          <w:shd w:val="clear" w:color="auto" w:fill="FFFFFF"/>
          <w:lang w:val="zh-CN" w:eastAsia="zh-CN"/>
        </w:rPr>
        <w:t>馆</w:t>
      </w:r>
      <w:r>
        <w:rPr>
          <w:rFonts w:ascii="Times New Roman" w:hAnsi="Times New Roman" w:eastAsia="仿宋_GB2312" w:cs="Times New Roman"/>
          <w:bCs/>
          <w:kern w:val="0"/>
          <w:sz w:val="32"/>
          <w:szCs w:val="32"/>
          <w:shd w:val="clear" w:color="auto" w:fill="FFFFFF"/>
          <w:lang w:val="zh-CN" w:eastAsia="zh-CN"/>
        </w:rPr>
        <w:t>对202</w:t>
      </w:r>
      <w:r>
        <w:rPr>
          <w:rFonts w:hint="eastAsia" w:ascii="Times New Roman" w:hAnsi="Times New Roman" w:cs="Times New Roman"/>
          <w:bCs/>
          <w:kern w:val="0"/>
          <w:sz w:val="32"/>
          <w:szCs w:val="32"/>
          <w:shd w:val="clear" w:color="auto" w:fill="FFFFFF"/>
          <w:lang w:val="en-US" w:eastAsia="zh-CN"/>
        </w:rPr>
        <w:t>4</w:t>
      </w:r>
      <w:r>
        <w:rPr>
          <w:rFonts w:ascii="Times New Roman" w:hAnsi="Times New Roman" w:eastAsia="仿宋_GB2312" w:cs="Times New Roman"/>
          <w:bCs/>
          <w:kern w:val="0"/>
          <w:sz w:val="32"/>
          <w:szCs w:val="32"/>
          <w:shd w:val="clear" w:color="auto" w:fill="FFFFFF"/>
          <w:lang w:val="zh-CN" w:eastAsia="zh-CN"/>
        </w:rPr>
        <w:t>年度整体支出情况开展自评，得分</w:t>
      </w:r>
      <w:r>
        <w:rPr>
          <w:rFonts w:hint="eastAsia" w:cs="Times New Roman"/>
          <w:bCs/>
          <w:kern w:val="0"/>
          <w:sz w:val="32"/>
          <w:szCs w:val="32"/>
          <w:shd w:val="clear" w:color="auto" w:fill="FFFFFF"/>
          <w:lang w:val="en-US" w:eastAsia="zh-CN"/>
        </w:rPr>
        <w:t>96</w:t>
      </w:r>
      <w:r>
        <w:rPr>
          <w:rFonts w:ascii="Times New Roman" w:hAnsi="Times New Roman" w:eastAsia="仿宋_GB2312" w:cs="Times New Roman"/>
          <w:bCs/>
          <w:kern w:val="0"/>
          <w:sz w:val="32"/>
          <w:szCs w:val="32"/>
          <w:shd w:val="clear" w:color="auto" w:fill="FFFFFF"/>
          <w:lang w:val="zh-CN" w:eastAsia="zh-CN"/>
        </w:rPr>
        <w:t>分。从总体性分析评价，全年整体支出较优，实现了年初绩效目标。从结构性分析评价，一般公共预算基本支出完成预算的</w:t>
      </w:r>
      <w:r>
        <w:rPr>
          <w:rFonts w:hint="eastAsia" w:eastAsia="仿宋_GB2312" w:cs="Times New Roman"/>
          <w:bCs/>
          <w:kern w:val="0"/>
          <w:sz w:val="32"/>
          <w:szCs w:val="32"/>
          <w:shd w:val="clear" w:color="auto" w:fill="FFFFFF"/>
          <w:lang w:val="en-US" w:eastAsia="zh-CN"/>
        </w:rPr>
        <w:t>100</w:t>
      </w:r>
      <w:r>
        <w:rPr>
          <w:rFonts w:ascii="Times New Roman" w:hAnsi="Times New Roman" w:eastAsia="仿宋_GB2312" w:cs="Times New Roman"/>
          <w:bCs/>
          <w:kern w:val="0"/>
          <w:sz w:val="32"/>
          <w:szCs w:val="32"/>
          <w:shd w:val="clear" w:color="auto" w:fill="FFFFFF"/>
          <w:lang w:val="zh-CN" w:eastAsia="zh-CN"/>
        </w:rPr>
        <w:t>%，绩效目标实际实现程度与预期目标的偏离度为</w:t>
      </w:r>
      <w:r>
        <w:rPr>
          <w:rFonts w:hint="eastAsia" w:eastAsia="仿宋_GB2312" w:cs="Times New Roman"/>
          <w:bCs/>
          <w:kern w:val="0"/>
          <w:sz w:val="32"/>
          <w:szCs w:val="32"/>
          <w:shd w:val="clear" w:color="auto" w:fill="FFFFFF"/>
          <w:lang w:val="zh-CN" w:eastAsia="zh-CN"/>
        </w:rPr>
        <w:t>持平</w:t>
      </w:r>
      <w:r>
        <w:rPr>
          <w:rFonts w:ascii="Times New Roman" w:hAnsi="Times New Roman" w:eastAsia="仿宋_GB2312" w:cs="Times New Roman"/>
          <w:bCs/>
          <w:kern w:val="0"/>
          <w:sz w:val="32"/>
          <w:szCs w:val="32"/>
          <w:shd w:val="clear" w:color="auto" w:fill="FFFFFF"/>
          <w:lang w:val="zh-CN" w:eastAsia="zh-CN"/>
        </w:rPr>
        <w:t>，整体绩效管理合理合规；一般公共预算项目支出完成预算的</w:t>
      </w:r>
      <w:r>
        <w:rPr>
          <w:rFonts w:hint="eastAsia" w:eastAsia="仿宋_GB2312" w:cs="Times New Roman"/>
          <w:bCs/>
          <w:kern w:val="0"/>
          <w:sz w:val="32"/>
          <w:szCs w:val="32"/>
          <w:shd w:val="clear" w:color="auto" w:fill="FFFFFF"/>
          <w:lang w:val="en-US" w:eastAsia="zh-CN"/>
        </w:rPr>
        <w:t>100</w:t>
      </w:r>
      <w:r>
        <w:rPr>
          <w:rFonts w:ascii="Times New Roman" w:hAnsi="Times New Roman" w:eastAsia="仿宋_GB2312" w:cs="Times New Roman"/>
          <w:bCs/>
          <w:kern w:val="0"/>
          <w:sz w:val="32"/>
          <w:szCs w:val="32"/>
          <w:shd w:val="clear" w:color="auto" w:fill="FFFFFF"/>
          <w:lang w:val="zh-CN" w:eastAsia="zh-CN"/>
        </w:rPr>
        <w:t>%，绩效目标实际实现程度与预期目标的偏离度为</w:t>
      </w:r>
      <w:r>
        <w:rPr>
          <w:rFonts w:hint="eastAsia" w:eastAsia="仿宋_GB2312" w:cs="Times New Roman"/>
          <w:bCs/>
          <w:kern w:val="0"/>
          <w:sz w:val="32"/>
          <w:szCs w:val="32"/>
          <w:shd w:val="clear" w:color="auto" w:fill="FFFFFF"/>
          <w:lang w:val="zh-CN" w:eastAsia="zh-CN"/>
        </w:rPr>
        <w:t>持平</w:t>
      </w:r>
      <w:r>
        <w:rPr>
          <w:rFonts w:ascii="Times New Roman" w:hAnsi="Times New Roman" w:eastAsia="仿宋_GB2312" w:cs="Times New Roman"/>
          <w:bCs/>
          <w:kern w:val="0"/>
          <w:sz w:val="32"/>
          <w:szCs w:val="32"/>
          <w:shd w:val="clear" w:color="auto" w:fill="FFFFFF"/>
          <w:lang w:val="zh-CN" w:eastAsia="zh-CN"/>
        </w:rPr>
        <w:t>，整体绩效管理合理合规。202</w:t>
      </w:r>
      <w:r>
        <w:rPr>
          <w:rFonts w:hint="eastAsia" w:ascii="Times New Roman" w:hAnsi="Times New Roman" w:cs="Times New Roman"/>
          <w:bCs/>
          <w:kern w:val="0"/>
          <w:sz w:val="32"/>
          <w:szCs w:val="32"/>
          <w:shd w:val="clear" w:color="auto" w:fill="FFFFFF"/>
          <w:lang w:val="en-US" w:eastAsia="zh-CN"/>
        </w:rPr>
        <w:t>4</w:t>
      </w:r>
      <w:r>
        <w:rPr>
          <w:rFonts w:ascii="Times New Roman" w:hAnsi="Times New Roman" w:eastAsia="仿宋_GB2312" w:cs="Times New Roman"/>
          <w:bCs/>
          <w:kern w:val="0"/>
          <w:sz w:val="32"/>
          <w:szCs w:val="32"/>
          <w:shd w:val="clear" w:color="auto" w:fill="FFFFFF"/>
          <w:lang w:val="zh-CN" w:eastAsia="zh-CN"/>
        </w:rPr>
        <w:t>年度整体支出绩效评价优好，无违纪违规问题，预算编制、预算执行、完成结果等均达到既定目标管理。</w:t>
      </w:r>
    </w:p>
    <w:p w14:paraId="51F6F131">
      <w:pPr>
        <w:keepNext w:val="0"/>
        <w:keepLines w:val="0"/>
        <w:pageBreakBefore w:val="0"/>
        <w:widowControl/>
        <w:kinsoku/>
        <w:wordWrap/>
        <w:overflowPunct/>
        <w:topLinePunct w:val="0"/>
        <w:bidi w:val="0"/>
        <w:adjustRightInd w:val="0"/>
        <w:snapToGrid w:val="0"/>
        <w:spacing w:line="560" w:lineRule="exact"/>
        <w:ind w:firstLine="643" w:firstLineChars="200"/>
        <w:contextualSpacing/>
        <w:jc w:val="left"/>
        <w:textAlignment w:val="auto"/>
        <w:rPr>
          <w:rFonts w:ascii="Times New Roman" w:hAnsi="Times New Roman" w:eastAsia="楷体_GB2312" w:cs="Times New Roman"/>
          <w:b/>
          <w:bCs/>
          <w:color w:val="000000"/>
          <w:kern w:val="0"/>
          <w:sz w:val="32"/>
          <w:szCs w:val="32"/>
          <w:highlight w:val="none"/>
          <w:shd w:val="clear" w:color="auto" w:fill="FFFFFF"/>
          <w:lang w:val="zh-CN"/>
        </w:rPr>
      </w:pPr>
      <w:r>
        <w:rPr>
          <w:rFonts w:ascii="Times New Roman" w:hAnsi="Times New Roman" w:eastAsia="楷体_GB2312" w:cs="Times New Roman"/>
          <w:b/>
          <w:bCs/>
          <w:color w:val="000000"/>
          <w:kern w:val="0"/>
          <w:sz w:val="32"/>
          <w:szCs w:val="32"/>
          <w:highlight w:val="none"/>
          <w:shd w:val="clear" w:color="auto" w:fill="FFFFFF"/>
          <w:lang w:val="zh-CN"/>
        </w:rPr>
        <w:t>（二）存在问题。</w:t>
      </w:r>
    </w:p>
    <w:p w14:paraId="485088DF">
      <w:pPr>
        <w:keepNext w:val="0"/>
        <w:keepLines w:val="0"/>
        <w:pageBreakBefore w:val="0"/>
        <w:widowControl/>
        <w:kinsoku/>
        <w:wordWrap/>
        <w:overflowPunct/>
        <w:topLinePunct w:val="0"/>
        <w:bidi w:val="0"/>
        <w:adjustRightInd w:val="0"/>
        <w:snapToGrid w:val="0"/>
        <w:spacing w:line="560" w:lineRule="exact"/>
        <w:ind w:firstLine="640" w:firstLineChars="200"/>
        <w:contextualSpacing/>
        <w:jc w:val="left"/>
        <w:textAlignment w:val="auto"/>
        <w:rPr>
          <w:rFonts w:ascii="Times New Roman" w:hAnsi="Times New Roman" w:eastAsia="仿宋_GB2312" w:cs="Times New Roman"/>
          <w:bCs/>
          <w:kern w:val="0"/>
          <w:sz w:val="32"/>
          <w:szCs w:val="32"/>
          <w:shd w:val="clear" w:color="auto" w:fill="FFFFFF"/>
          <w:lang w:val="zh-CN" w:eastAsia="zh-CN"/>
        </w:rPr>
      </w:pPr>
      <w:r>
        <w:rPr>
          <w:rFonts w:ascii="Times New Roman" w:hAnsi="Times New Roman" w:eastAsia="仿宋_GB2312" w:cs="Times New Roman"/>
          <w:bCs/>
          <w:kern w:val="0"/>
          <w:sz w:val="32"/>
          <w:szCs w:val="32"/>
          <w:shd w:val="clear" w:color="auto" w:fill="FFFFFF"/>
          <w:lang w:val="zh-CN" w:eastAsia="zh-CN"/>
        </w:rPr>
        <w:t>个别人员经费和公用经费测算标准及套用公式不够科学精准，部分经济科目在预算执行中存在较早亮红灯</w:t>
      </w:r>
      <w:r>
        <w:rPr>
          <w:rFonts w:hint="eastAsia" w:ascii="Times New Roman" w:hAnsi="Times New Roman" w:eastAsia="仿宋_GB2312" w:cs="Times New Roman"/>
          <w:bCs/>
          <w:kern w:val="0"/>
          <w:sz w:val="32"/>
          <w:szCs w:val="32"/>
          <w:shd w:val="clear" w:color="auto" w:fill="FFFFFF"/>
          <w:lang w:val="zh-CN" w:eastAsia="zh-CN"/>
        </w:rPr>
        <w:t>，预算经费支出进度较快</w:t>
      </w:r>
      <w:r>
        <w:rPr>
          <w:rFonts w:ascii="Times New Roman" w:hAnsi="Times New Roman" w:eastAsia="仿宋_GB2312" w:cs="Times New Roman"/>
          <w:bCs/>
          <w:kern w:val="0"/>
          <w:sz w:val="32"/>
          <w:szCs w:val="32"/>
          <w:shd w:val="clear" w:color="auto" w:fill="FFFFFF"/>
          <w:lang w:val="zh-CN" w:eastAsia="zh-CN"/>
        </w:rPr>
        <w:t>。</w:t>
      </w:r>
    </w:p>
    <w:p w14:paraId="2157D73B">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ascii="Times New Roman" w:hAnsi="Times New Roman" w:eastAsia="楷体_GB2312" w:cs="Times New Roman"/>
          <w:b/>
          <w:bCs/>
          <w:color w:val="000000"/>
          <w:kern w:val="0"/>
          <w:sz w:val="32"/>
          <w:szCs w:val="32"/>
          <w:highlight w:val="none"/>
          <w:shd w:val="clear" w:color="auto" w:fill="FFFFFF"/>
          <w:lang w:val="en-US" w:eastAsia="zh-CN"/>
        </w:rPr>
      </w:pPr>
    </w:p>
    <w:p w14:paraId="07F61176">
      <w:pPr>
        <w:keepNext w:val="0"/>
        <w:keepLines w:val="0"/>
        <w:pageBreakBefore w:val="0"/>
        <w:widowControl/>
        <w:numPr>
          <w:ilvl w:val="0"/>
          <w:numId w:val="6"/>
        </w:numPr>
        <w:kinsoku/>
        <w:wordWrap/>
        <w:overflowPunct/>
        <w:topLinePunct w:val="0"/>
        <w:bidi w:val="0"/>
        <w:adjustRightInd w:val="0"/>
        <w:snapToGrid w:val="0"/>
        <w:spacing w:line="560" w:lineRule="exact"/>
        <w:ind w:left="0" w:firstLine="643" w:firstLineChars="200"/>
        <w:contextualSpacing/>
        <w:jc w:val="left"/>
        <w:textAlignment w:val="auto"/>
        <w:rPr>
          <w:rFonts w:ascii="Times New Roman" w:hAnsi="Times New Roman" w:eastAsia="楷体_GB2312" w:cs="Times New Roman"/>
          <w:b/>
          <w:bCs/>
          <w:color w:val="000000"/>
          <w:kern w:val="0"/>
          <w:sz w:val="32"/>
          <w:szCs w:val="32"/>
          <w:highlight w:val="none"/>
          <w:shd w:val="clear" w:color="auto" w:fill="FFFFFF"/>
          <w:lang w:val="zh-CN" w:eastAsia="zh-CN"/>
        </w:rPr>
      </w:pPr>
      <w:r>
        <w:rPr>
          <w:rFonts w:ascii="Times New Roman" w:hAnsi="Times New Roman" w:eastAsia="楷体_GB2312" w:cs="Times New Roman"/>
          <w:b/>
          <w:bCs/>
          <w:color w:val="000000"/>
          <w:kern w:val="0"/>
          <w:sz w:val="32"/>
          <w:szCs w:val="32"/>
          <w:highlight w:val="none"/>
          <w:shd w:val="clear" w:color="auto" w:fill="FFFFFF"/>
          <w:lang w:val="zh-CN" w:eastAsia="zh-CN"/>
        </w:rPr>
        <w:t>改进建议。</w:t>
      </w:r>
      <w:bookmarkStart w:id="78" w:name="_Hlk110546638"/>
    </w:p>
    <w:p w14:paraId="0E65B544">
      <w:pPr>
        <w:keepNext w:val="0"/>
        <w:keepLines w:val="0"/>
        <w:pageBreakBefore w:val="0"/>
        <w:widowControl/>
        <w:kinsoku/>
        <w:wordWrap/>
        <w:overflowPunct/>
        <w:topLinePunct w:val="0"/>
        <w:bidi w:val="0"/>
        <w:adjustRightInd w:val="0"/>
        <w:snapToGrid w:val="0"/>
        <w:spacing w:line="560" w:lineRule="exact"/>
        <w:ind w:left="0" w:firstLine="640" w:firstLineChars="200"/>
        <w:contextualSpacing/>
        <w:jc w:val="left"/>
        <w:textAlignment w:val="auto"/>
        <w:rPr>
          <w:rFonts w:ascii="Times New Roman" w:hAnsi="Times New Roman" w:eastAsia="仿宋_GB2312" w:cs="Times New Roman"/>
          <w:bCs/>
          <w:kern w:val="0"/>
          <w:sz w:val="32"/>
          <w:szCs w:val="32"/>
          <w:shd w:val="clear" w:color="auto" w:fill="FFFFFF"/>
          <w:lang w:val="zh-CN" w:eastAsia="zh-CN"/>
        </w:rPr>
      </w:pPr>
      <w:r>
        <w:rPr>
          <w:rFonts w:ascii="Times New Roman" w:hAnsi="Times New Roman" w:eastAsia="仿宋_GB2312" w:cs="Times New Roman"/>
          <w:bCs/>
          <w:kern w:val="0"/>
          <w:sz w:val="32"/>
          <w:szCs w:val="32"/>
          <w:shd w:val="clear" w:color="auto" w:fill="FFFFFF"/>
          <w:lang w:val="zh-CN" w:eastAsia="zh-CN"/>
        </w:rPr>
        <w:t>我办将积极对接财政部门作出技术调整，优化预算测算标准，科学审批年度预算汇编，使资金真正能够因地制宜，发挥实效。进一步做好预算编制前提调研准备工作，根据实际需要积极评估测算，尽量减少减轻资金闲置或低使用率现象，启用预算执行绩效监控机制，及时提示项目管理部门按照绩效目标开展实施。</w:t>
      </w:r>
    </w:p>
    <w:p w14:paraId="1B18C5A2">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ascii="Times New Roman" w:hAnsi="Times New Roman" w:eastAsia="仿宋_GB2312" w:cs="Times New Roman"/>
          <w:b w:val="0"/>
          <w:bCs w:val="0"/>
          <w:kern w:val="0"/>
          <w:position w:val="0"/>
          <w:sz w:val="32"/>
          <w:szCs w:val="32"/>
          <w:highlight w:val="none"/>
          <w:lang w:eastAsia="zh-CN" w:bidi="ar-SA"/>
        </w:rPr>
      </w:pPr>
    </w:p>
    <w:p w14:paraId="0BD06FD5">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ascii="Times New Roman" w:hAnsi="Times New Roman" w:eastAsia="仿宋_GB2312" w:cs="Times New Roman"/>
          <w:b w:val="0"/>
          <w:bCs w:val="0"/>
          <w:kern w:val="0"/>
          <w:position w:val="0"/>
          <w:sz w:val="32"/>
          <w:szCs w:val="32"/>
          <w:highlight w:val="none"/>
          <w:lang w:eastAsia="zh-CN" w:bidi="ar-SA"/>
        </w:rPr>
      </w:pPr>
    </w:p>
    <w:p w14:paraId="34D800BB">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ascii="Times New Roman" w:hAnsi="Times New Roman" w:eastAsia="仿宋_GB2312" w:cs="Times New Roman"/>
          <w:b w:val="0"/>
          <w:bCs w:val="0"/>
          <w:kern w:val="0"/>
          <w:position w:val="0"/>
          <w:sz w:val="32"/>
          <w:szCs w:val="32"/>
          <w:highlight w:val="none"/>
          <w:lang w:eastAsia="zh-CN" w:bidi="ar-SA"/>
        </w:rPr>
      </w:pPr>
    </w:p>
    <w:p w14:paraId="67D7D265">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ascii="Times New Roman" w:hAnsi="Times New Roman" w:eastAsia="仿宋_GB2312" w:cs="Times New Roman"/>
          <w:b w:val="0"/>
          <w:bCs w:val="0"/>
          <w:kern w:val="0"/>
          <w:position w:val="0"/>
          <w:sz w:val="32"/>
          <w:szCs w:val="32"/>
          <w:highlight w:val="none"/>
          <w:lang w:eastAsia="zh-CN" w:bidi="ar-SA"/>
        </w:rPr>
      </w:pPr>
    </w:p>
    <w:p w14:paraId="7FB0731E">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ascii="Times New Roman" w:hAnsi="Times New Roman" w:eastAsia="仿宋_GB2312" w:cs="Times New Roman"/>
          <w:b w:val="0"/>
          <w:bCs w:val="0"/>
          <w:kern w:val="0"/>
          <w:position w:val="0"/>
          <w:sz w:val="32"/>
          <w:szCs w:val="32"/>
          <w:highlight w:val="none"/>
          <w:lang w:eastAsia="zh-CN" w:bidi="ar-SA"/>
        </w:rPr>
      </w:pPr>
    </w:p>
    <w:p w14:paraId="01B1B617">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ascii="Times New Roman" w:hAnsi="Times New Roman" w:eastAsia="仿宋_GB2312" w:cs="Times New Roman"/>
          <w:b w:val="0"/>
          <w:bCs w:val="0"/>
          <w:kern w:val="0"/>
          <w:position w:val="0"/>
          <w:sz w:val="32"/>
          <w:szCs w:val="32"/>
          <w:highlight w:val="none"/>
          <w:lang w:eastAsia="zh-CN" w:bidi="ar-SA"/>
        </w:rPr>
      </w:pPr>
    </w:p>
    <w:p w14:paraId="10C5E3EA">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ascii="Times New Roman" w:hAnsi="Times New Roman" w:eastAsia="仿宋_GB2312" w:cs="Times New Roman"/>
          <w:b w:val="0"/>
          <w:bCs w:val="0"/>
          <w:kern w:val="0"/>
          <w:position w:val="0"/>
          <w:sz w:val="32"/>
          <w:szCs w:val="32"/>
          <w:highlight w:val="none"/>
          <w:lang w:eastAsia="zh-CN" w:bidi="ar-SA"/>
        </w:rPr>
      </w:pPr>
    </w:p>
    <w:p w14:paraId="5BD17CE8">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ascii="Times New Roman" w:hAnsi="Times New Roman" w:eastAsia="仿宋_GB2312" w:cs="Times New Roman"/>
          <w:b w:val="0"/>
          <w:bCs w:val="0"/>
          <w:kern w:val="0"/>
          <w:position w:val="0"/>
          <w:sz w:val="32"/>
          <w:szCs w:val="32"/>
          <w:highlight w:val="none"/>
          <w:lang w:eastAsia="zh-CN" w:bidi="ar-SA"/>
        </w:rPr>
      </w:pPr>
    </w:p>
    <w:p w14:paraId="5AD1A6A4">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ascii="Times New Roman" w:hAnsi="Times New Roman" w:eastAsia="仿宋_GB2312" w:cs="Times New Roman"/>
          <w:b w:val="0"/>
          <w:bCs w:val="0"/>
          <w:kern w:val="0"/>
          <w:position w:val="0"/>
          <w:sz w:val="32"/>
          <w:szCs w:val="32"/>
          <w:highlight w:val="none"/>
          <w:lang w:eastAsia="zh-CN" w:bidi="ar-SA"/>
        </w:rPr>
      </w:pPr>
    </w:p>
    <w:bookmarkEnd w:id="78"/>
    <w:tbl>
      <w:tblPr>
        <w:tblStyle w:val="16"/>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27"/>
        <w:gridCol w:w="591"/>
        <w:gridCol w:w="652"/>
        <w:gridCol w:w="1861"/>
        <w:gridCol w:w="1482"/>
        <w:gridCol w:w="1033"/>
        <w:gridCol w:w="1243"/>
        <w:gridCol w:w="1033"/>
      </w:tblGrid>
      <w:tr w14:paraId="7FF5C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5000" w:type="pct"/>
            <w:gridSpan w:val="8"/>
            <w:tcBorders>
              <w:top w:val="nil"/>
              <w:left w:val="nil"/>
              <w:bottom w:val="nil"/>
              <w:right w:val="nil"/>
            </w:tcBorders>
            <w:shd w:val="clear" w:color="auto" w:fill="auto"/>
            <w:noWrap/>
            <w:vAlign w:val="center"/>
          </w:tcPr>
          <w:p w14:paraId="124B4886">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default" w:ascii="黑体" w:hAnsi="Times New Roman" w:eastAsia="黑体" w:cs="黑体"/>
                <w:i w:val="0"/>
                <w:iCs w:val="0"/>
                <w:color w:val="000000"/>
                <w:kern w:val="2"/>
                <w:sz w:val="30"/>
                <w:szCs w:val="30"/>
              </w:rPr>
            </w:pPr>
            <w:r>
              <w:rPr>
                <w:rFonts w:hint="default" w:ascii="黑体" w:hAnsi="宋体" w:eastAsia="黑体" w:cs="黑体"/>
                <w:i w:val="0"/>
                <w:iCs w:val="0"/>
                <w:color w:val="000000"/>
                <w:kern w:val="0"/>
                <w:sz w:val="30"/>
                <w:szCs w:val="30"/>
                <w:lang w:val="en-US" w:eastAsia="zh-CN" w:bidi="ar"/>
              </w:rPr>
              <w:t>部门整体支出绩效目标表</w:t>
            </w:r>
          </w:p>
        </w:tc>
      </w:tr>
      <w:tr w14:paraId="3D890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5000" w:type="pct"/>
            <w:gridSpan w:val="8"/>
            <w:tcBorders>
              <w:top w:val="nil"/>
              <w:left w:val="nil"/>
              <w:bottom w:val="nil"/>
              <w:right w:val="nil"/>
            </w:tcBorders>
            <w:shd w:val="clear" w:color="auto" w:fill="auto"/>
            <w:noWrap/>
            <w:vAlign w:val="center"/>
          </w:tcPr>
          <w:p w14:paraId="2F6C0461">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eastAsia" w:ascii="宋体" w:hAnsi="Times New Roman"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w:t>
            </w:r>
            <w:r>
              <w:rPr>
                <w:rFonts w:hint="eastAsia" w:ascii="宋体" w:hAnsi="Times New Roman" w:eastAsia="宋体" w:cs="宋体"/>
                <w:i w:val="0"/>
                <w:iCs w:val="0"/>
                <w:color w:val="000000"/>
                <w:kern w:val="0"/>
                <w:sz w:val="18"/>
                <w:szCs w:val="18"/>
                <w:lang w:val="en-US" w:eastAsia="zh-CN" w:bidi="ar"/>
              </w:rPr>
              <w:t>2024年度）</w:t>
            </w:r>
          </w:p>
        </w:tc>
      </w:tr>
      <w:tr w14:paraId="27A205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000" w:type="pct"/>
            <w:gridSpan w:val="8"/>
            <w:tcBorders>
              <w:top w:val="nil"/>
              <w:left w:val="nil"/>
              <w:bottom w:val="single" w:color="000000" w:sz="4" w:space="0"/>
              <w:right w:val="nil"/>
            </w:tcBorders>
            <w:shd w:val="clear" w:color="auto" w:fill="auto"/>
            <w:noWrap/>
            <w:vAlign w:val="center"/>
          </w:tcPr>
          <w:p w14:paraId="64D949DA">
            <w:pPr>
              <w:keepNext w:val="0"/>
              <w:keepLines w:val="0"/>
              <w:widowControl/>
              <w:suppressLineNumbers w:val="0"/>
              <w:autoSpaceDE w:val="0"/>
              <w:autoSpaceDN/>
              <w:spacing w:before="0" w:beforeAutospacing="0" w:after="0" w:afterAutospacing="0" w:line="280" w:lineRule="exact"/>
              <w:ind w:left="0" w:right="0"/>
              <w:jc w:val="right"/>
              <w:textAlignment w:val="center"/>
              <w:rPr>
                <w:rFonts w:hint="eastAsia" w:ascii="宋体" w:hAnsi="Times New Roman"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金额单位：万元</w:t>
            </w:r>
          </w:p>
        </w:tc>
      </w:tr>
      <w:tr w14:paraId="06269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683"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9B959">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eastAsia" w:ascii="宋体" w:hAnsi="Times New Roman"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部门名称</w:t>
            </w:r>
          </w:p>
        </w:tc>
        <w:tc>
          <w:tcPr>
            <w:tcW w:w="3316" w:type="pct"/>
            <w:gridSpan w:val="5"/>
            <w:tcBorders>
              <w:top w:val="single" w:color="000000" w:sz="4" w:space="0"/>
              <w:left w:val="nil"/>
              <w:bottom w:val="single" w:color="000000" w:sz="4" w:space="0"/>
              <w:right w:val="single" w:color="000000" w:sz="4" w:space="0"/>
            </w:tcBorders>
            <w:shd w:val="clear" w:color="auto" w:fill="auto"/>
            <w:noWrap/>
            <w:vAlign w:val="center"/>
          </w:tcPr>
          <w:p w14:paraId="734C431F">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eastAsia" w:ascii="宋体" w:hAnsi="Times New Roman"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金川县档案馆本级</w:t>
            </w:r>
          </w:p>
        </w:tc>
      </w:tr>
      <w:tr w14:paraId="76CBDF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ED7BE">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eastAsia" w:ascii="宋体" w:hAnsi="Times New Roman"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年度部门整体支出预算</w:t>
            </w:r>
          </w:p>
        </w:tc>
        <w:tc>
          <w:tcPr>
            <w:tcW w:w="1169" w:type="pct"/>
            <w:gridSpan w:val="2"/>
            <w:tcBorders>
              <w:top w:val="single" w:color="000000" w:sz="4" w:space="0"/>
              <w:left w:val="nil"/>
              <w:bottom w:val="single" w:color="000000" w:sz="4" w:space="0"/>
              <w:right w:val="single" w:color="000000" w:sz="4" w:space="0"/>
            </w:tcBorders>
            <w:shd w:val="clear" w:color="auto" w:fill="auto"/>
            <w:noWrap/>
            <w:vAlign w:val="center"/>
          </w:tcPr>
          <w:p w14:paraId="599F3D26">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eastAsia" w:ascii="宋体" w:hAnsi="Times New Roman"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资金总额</w:t>
            </w:r>
          </w:p>
        </w:tc>
        <w:tc>
          <w:tcPr>
            <w:tcW w:w="1716" w:type="pct"/>
            <w:gridSpan w:val="2"/>
            <w:tcBorders>
              <w:top w:val="single" w:color="000000" w:sz="4" w:space="0"/>
              <w:left w:val="nil"/>
              <w:bottom w:val="single" w:color="000000" w:sz="4" w:space="0"/>
              <w:right w:val="single" w:color="000000" w:sz="4" w:space="0"/>
            </w:tcBorders>
            <w:shd w:val="clear" w:color="auto" w:fill="auto"/>
            <w:noWrap/>
            <w:vAlign w:val="center"/>
          </w:tcPr>
          <w:p w14:paraId="3B86D103">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eastAsia" w:ascii="宋体" w:hAnsi="Times New Roman"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财政拨款</w:t>
            </w:r>
          </w:p>
        </w:tc>
        <w:tc>
          <w:tcPr>
            <w:tcW w:w="1600" w:type="pct"/>
            <w:gridSpan w:val="3"/>
            <w:tcBorders>
              <w:top w:val="single" w:color="000000" w:sz="4" w:space="0"/>
              <w:left w:val="nil"/>
              <w:bottom w:val="single" w:color="000000" w:sz="4" w:space="0"/>
              <w:right w:val="single" w:color="000000" w:sz="4" w:space="0"/>
            </w:tcBorders>
            <w:shd w:val="clear" w:color="auto" w:fill="auto"/>
            <w:noWrap/>
            <w:vAlign w:val="center"/>
          </w:tcPr>
          <w:p w14:paraId="0755A74C">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eastAsia" w:ascii="宋体" w:hAnsi="Times New Roman"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其他资金</w:t>
            </w:r>
          </w:p>
        </w:tc>
      </w:tr>
      <w:tr w14:paraId="77269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E5756">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kern w:val="2"/>
                <w:sz w:val="32"/>
                <w:szCs w:val="32"/>
              </w:rPr>
            </w:pPr>
          </w:p>
        </w:tc>
        <w:tc>
          <w:tcPr>
            <w:tcW w:w="1169" w:type="pct"/>
            <w:gridSpan w:val="2"/>
            <w:tcBorders>
              <w:top w:val="single" w:color="000000" w:sz="4" w:space="0"/>
              <w:left w:val="nil"/>
              <w:bottom w:val="single" w:color="000000" w:sz="4" w:space="0"/>
              <w:right w:val="single" w:color="000000" w:sz="4" w:space="0"/>
            </w:tcBorders>
            <w:shd w:val="clear" w:color="auto" w:fill="auto"/>
            <w:noWrap/>
            <w:vAlign w:val="center"/>
          </w:tcPr>
          <w:p w14:paraId="1995C5CA">
            <w:pPr>
              <w:keepNext w:val="0"/>
              <w:keepLines w:val="0"/>
              <w:widowControl/>
              <w:suppressLineNumbers w:val="0"/>
              <w:autoSpaceDE w:val="0"/>
              <w:autoSpaceDN/>
              <w:spacing w:before="0" w:beforeAutospacing="0" w:after="0" w:afterAutospacing="0" w:line="280" w:lineRule="exact"/>
              <w:ind w:left="0" w:right="0"/>
              <w:jc w:val="right"/>
              <w:textAlignment w:val="center"/>
              <w:rPr>
                <w:rFonts w:hint="eastAsia" w:ascii="宋体" w:hAnsi="Times New Roman" w:eastAsia="宋体" w:cs="宋体"/>
                <w:i w:val="0"/>
                <w:iCs w:val="0"/>
                <w:color w:val="000000"/>
                <w:kern w:val="2"/>
                <w:sz w:val="18"/>
                <w:szCs w:val="18"/>
              </w:rPr>
            </w:pPr>
            <w:r>
              <w:rPr>
                <w:rFonts w:hint="eastAsia" w:ascii="宋体" w:hAnsi="Times New Roman" w:eastAsia="宋体" w:cs="宋体"/>
                <w:i w:val="0"/>
                <w:iCs w:val="0"/>
                <w:color w:val="000000"/>
                <w:kern w:val="0"/>
                <w:sz w:val="18"/>
                <w:szCs w:val="18"/>
                <w:lang w:val="en-US" w:eastAsia="zh-CN" w:bidi="ar"/>
              </w:rPr>
              <w:t>1</w:t>
            </w:r>
            <w:r>
              <w:rPr>
                <w:rFonts w:hint="eastAsia" w:ascii="宋体" w:hAnsi="宋体" w:eastAsia="宋体" w:cs="宋体"/>
                <w:i w:val="0"/>
                <w:iCs w:val="0"/>
                <w:color w:val="000000"/>
                <w:kern w:val="0"/>
                <w:sz w:val="18"/>
                <w:szCs w:val="18"/>
                <w:lang w:val="en-US" w:eastAsia="zh-CN" w:bidi="ar"/>
              </w:rPr>
              <w:t>74.63</w:t>
            </w:r>
          </w:p>
        </w:tc>
        <w:tc>
          <w:tcPr>
            <w:tcW w:w="1716" w:type="pct"/>
            <w:gridSpan w:val="2"/>
            <w:tcBorders>
              <w:top w:val="single" w:color="000000" w:sz="4" w:space="0"/>
              <w:left w:val="nil"/>
              <w:bottom w:val="single" w:color="000000" w:sz="4" w:space="0"/>
              <w:right w:val="single" w:color="000000" w:sz="4" w:space="0"/>
            </w:tcBorders>
            <w:shd w:val="clear" w:color="auto" w:fill="auto"/>
            <w:noWrap/>
            <w:vAlign w:val="center"/>
          </w:tcPr>
          <w:p w14:paraId="25C65785">
            <w:pPr>
              <w:keepNext w:val="0"/>
              <w:keepLines w:val="0"/>
              <w:widowControl/>
              <w:suppressLineNumbers w:val="0"/>
              <w:autoSpaceDE w:val="0"/>
              <w:autoSpaceDN/>
              <w:spacing w:before="0" w:beforeAutospacing="0" w:after="0" w:afterAutospacing="0" w:line="280" w:lineRule="exact"/>
              <w:ind w:left="0" w:right="0"/>
              <w:jc w:val="right"/>
              <w:textAlignment w:val="center"/>
              <w:rPr>
                <w:rFonts w:hint="eastAsia" w:ascii="宋体" w:hAnsi="Times New Roman"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174.63</w:t>
            </w:r>
          </w:p>
        </w:tc>
        <w:tc>
          <w:tcPr>
            <w:tcW w:w="1600" w:type="pct"/>
            <w:gridSpan w:val="3"/>
            <w:tcBorders>
              <w:top w:val="single" w:color="000000" w:sz="4" w:space="0"/>
              <w:left w:val="nil"/>
              <w:bottom w:val="single" w:color="000000" w:sz="4" w:space="0"/>
              <w:right w:val="single" w:color="000000" w:sz="4" w:space="0"/>
            </w:tcBorders>
            <w:shd w:val="clear" w:color="auto" w:fill="auto"/>
            <w:noWrap/>
            <w:vAlign w:val="center"/>
          </w:tcPr>
          <w:p w14:paraId="7FD80085">
            <w:pPr>
              <w:keepNext w:val="0"/>
              <w:keepLines w:val="0"/>
              <w:widowControl w:val="0"/>
              <w:suppressLineNumbers w:val="0"/>
              <w:autoSpaceDE w:val="0"/>
              <w:autoSpaceDN/>
              <w:spacing w:before="0" w:beforeAutospacing="0" w:after="0" w:afterAutospacing="0" w:line="280" w:lineRule="exact"/>
              <w:ind w:left="0" w:right="0"/>
              <w:jc w:val="right"/>
              <w:rPr>
                <w:rFonts w:hint="eastAsia" w:ascii="宋体" w:hAnsi="Times New Roman" w:eastAsia="宋体" w:cs="宋体"/>
                <w:i w:val="0"/>
                <w:iCs w:val="0"/>
                <w:color w:val="000000"/>
                <w:kern w:val="2"/>
                <w:sz w:val="18"/>
                <w:szCs w:val="18"/>
              </w:rPr>
            </w:pPr>
          </w:p>
        </w:tc>
      </w:tr>
      <w:tr w14:paraId="4289D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35" w:hRule="atLeast"/>
        </w:trPr>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4014C">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eastAsia" w:ascii="宋体" w:hAnsi="Times New Roman"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年度总体目标</w:t>
            </w:r>
          </w:p>
        </w:tc>
        <w:tc>
          <w:tcPr>
            <w:tcW w:w="4486" w:type="pct"/>
            <w:gridSpan w:val="7"/>
            <w:tcBorders>
              <w:top w:val="single" w:color="000000" w:sz="4" w:space="0"/>
              <w:left w:val="nil"/>
              <w:bottom w:val="single" w:color="000000" w:sz="4" w:space="0"/>
              <w:right w:val="single" w:color="000000" w:sz="4" w:space="0"/>
            </w:tcBorders>
            <w:shd w:val="clear" w:color="auto" w:fill="auto"/>
            <w:noWrap/>
            <w:vAlign w:val="center"/>
          </w:tcPr>
          <w:p w14:paraId="73B8E106">
            <w:pPr>
              <w:keepNext w:val="0"/>
              <w:keepLines w:val="0"/>
              <w:widowControl/>
              <w:suppressLineNumbers w:val="0"/>
              <w:autoSpaceDE w:val="0"/>
              <w:autoSpaceDN/>
              <w:spacing w:before="0" w:beforeAutospacing="0" w:after="0" w:afterAutospacing="0" w:line="280" w:lineRule="exact"/>
              <w:ind w:left="0" w:right="0"/>
              <w:jc w:val="left"/>
              <w:textAlignment w:val="center"/>
              <w:rPr>
                <w:rFonts w:hint="eastAsia" w:ascii="宋体" w:hAnsi="Times New Roman" w:eastAsia="宋体" w:cs="宋体"/>
                <w:i w:val="0"/>
                <w:iCs w:val="0"/>
                <w:color w:val="000000"/>
                <w:kern w:val="2"/>
                <w:sz w:val="18"/>
                <w:szCs w:val="18"/>
              </w:rPr>
            </w:pPr>
            <w:r>
              <w:rPr>
                <w:rFonts w:hint="eastAsia" w:ascii="宋体" w:hAnsi="Times New Roman" w:eastAsia="宋体" w:cs="宋体"/>
                <w:i w:val="0"/>
                <w:iCs w:val="0"/>
                <w:color w:val="000000"/>
                <w:kern w:val="0"/>
                <w:sz w:val="18"/>
                <w:szCs w:val="18"/>
                <w:lang w:val="en-US" w:eastAsia="zh-CN" w:bidi="ar"/>
              </w:rPr>
              <w:t>1、继续加大各乡镇和县级部门三年执法检查力度。</w:t>
            </w:r>
            <w:r>
              <w:rPr>
                <w:rFonts w:hint="eastAsia" w:ascii="宋体" w:hAnsi="Times New Roman" w:eastAsia="宋体" w:cs="宋体"/>
                <w:i w:val="0"/>
                <w:iCs w:val="0"/>
                <w:color w:val="000000"/>
                <w:kern w:val="0"/>
                <w:sz w:val="18"/>
                <w:szCs w:val="18"/>
                <w:lang w:val="en-US" w:eastAsia="zh-CN" w:bidi="ar"/>
              </w:rPr>
              <w:br w:type="textWrapping"/>
            </w:r>
            <w:r>
              <w:rPr>
                <w:rFonts w:hint="eastAsia" w:ascii="宋体" w:hAnsi="Times New Roman" w:eastAsia="宋体" w:cs="宋体"/>
                <w:i w:val="0"/>
                <w:iCs w:val="0"/>
                <w:color w:val="000000"/>
                <w:kern w:val="0"/>
                <w:sz w:val="18"/>
                <w:szCs w:val="18"/>
                <w:lang w:val="en-US" w:eastAsia="zh-CN" w:bidi="ar"/>
              </w:rPr>
              <w:t>2、积极开展民生档案调研和民生档案业务指导工作。</w:t>
            </w:r>
            <w:r>
              <w:rPr>
                <w:rFonts w:hint="eastAsia" w:ascii="宋体" w:hAnsi="Times New Roman" w:eastAsia="宋体" w:cs="宋体"/>
                <w:i w:val="0"/>
                <w:iCs w:val="0"/>
                <w:color w:val="000000"/>
                <w:kern w:val="0"/>
                <w:sz w:val="18"/>
                <w:szCs w:val="18"/>
                <w:lang w:val="en-US" w:eastAsia="zh-CN" w:bidi="ar"/>
              </w:rPr>
              <w:br w:type="textWrapping"/>
            </w:r>
            <w:r>
              <w:rPr>
                <w:rFonts w:hint="eastAsia" w:ascii="宋体" w:hAnsi="Times New Roman" w:eastAsia="宋体" w:cs="宋体"/>
                <w:i w:val="0"/>
                <w:iCs w:val="0"/>
                <w:color w:val="000000"/>
                <w:kern w:val="0"/>
                <w:sz w:val="18"/>
                <w:szCs w:val="18"/>
                <w:lang w:val="en-US" w:eastAsia="zh-CN" w:bidi="ar"/>
              </w:rPr>
              <w:t>3、按照《国家重点建设项目档案管理登记办法》的规定，对我县2022年的重大建设项目档案进行登记，监督指导重大建设项目档案的收集、整理 归档工作，验收重大建设项目的档案资料。</w:t>
            </w:r>
            <w:r>
              <w:rPr>
                <w:rFonts w:hint="eastAsia" w:ascii="宋体" w:hAnsi="Times New Roman" w:eastAsia="宋体" w:cs="宋体"/>
                <w:i w:val="0"/>
                <w:iCs w:val="0"/>
                <w:color w:val="000000"/>
                <w:kern w:val="0"/>
                <w:sz w:val="18"/>
                <w:szCs w:val="18"/>
                <w:lang w:val="en-US" w:eastAsia="zh-CN" w:bidi="ar"/>
              </w:rPr>
              <w:br w:type="textWrapping"/>
            </w:r>
            <w:r>
              <w:rPr>
                <w:rFonts w:hint="eastAsia" w:ascii="宋体" w:hAnsi="Times New Roman" w:eastAsia="宋体" w:cs="宋体"/>
                <w:i w:val="0"/>
                <w:iCs w:val="0"/>
                <w:color w:val="000000"/>
                <w:kern w:val="0"/>
                <w:sz w:val="18"/>
                <w:szCs w:val="18"/>
                <w:lang w:val="en-US" w:eastAsia="zh-CN" w:bidi="ar"/>
              </w:rPr>
              <w:t>4、完成50个以上的机关、事业单位档案工作业务指导和行政执法检查。</w:t>
            </w:r>
            <w:r>
              <w:rPr>
                <w:rFonts w:hint="eastAsia" w:ascii="宋体" w:hAnsi="Times New Roman" w:eastAsia="宋体" w:cs="宋体"/>
                <w:i w:val="0"/>
                <w:iCs w:val="0"/>
                <w:color w:val="000000"/>
                <w:kern w:val="0"/>
                <w:sz w:val="18"/>
                <w:szCs w:val="18"/>
                <w:lang w:val="en-US" w:eastAsia="zh-CN" w:bidi="ar"/>
              </w:rPr>
              <w:br w:type="textWrapping"/>
            </w:r>
            <w:r>
              <w:rPr>
                <w:rFonts w:hint="eastAsia" w:ascii="宋体" w:hAnsi="Times New Roman" w:eastAsia="宋体" w:cs="宋体"/>
                <w:i w:val="0"/>
                <w:iCs w:val="0"/>
                <w:color w:val="000000"/>
                <w:kern w:val="0"/>
                <w:sz w:val="18"/>
                <w:szCs w:val="18"/>
                <w:lang w:val="en-US" w:eastAsia="zh-CN" w:bidi="ar"/>
              </w:rPr>
              <w:t>5、做好档案馆信息化建设的前期工作。</w:t>
            </w:r>
            <w:r>
              <w:rPr>
                <w:rFonts w:hint="eastAsia" w:ascii="宋体" w:hAnsi="Times New Roman" w:eastAsia="宋体" w:cs="宋体"/>
                <w:i w:val="0"/>
                <w:iCs w:val="0"/>
                <w:color w:val="000000"/>
                <w:kern w:val="0"/>
                <w:sz w:val="18"/>
                <w:szCs w:val="18"/>
                <w:lang w:val="en-US" w:eastAsia="zh-CN" w:bidi="ar"/>
              </w:rPr>
              <w:br w:type="textWrapping"/>
            </w:r>
            <w:r>
              <w:rPr>
                <w:rFonts w:hint="eastAsia" w:ascii="宋体" w:hAnsi="Times New Roman" w:eastAsia="宋体" w:cs="宋体"/>
                <w:i w:val="0"/>
                <w:iCs w:val="0"/>
                <w:color w:val="000000"/>
                <w:kern w:val="0"/>
                <w:sz w:val="18"/>
                <w:szCs w:val="18"/>
                <w:lang w:val="en-US" w:eastAsia="zh-CN" w:bidi="ar"/>
              </w:rPr>
              <w:t>6、对档案接收进馆工作进行查漏补缺，将接收进馆的档案进行仔细检查，确保每一卷（盒）档案都达到进馆标准。</w:t>
            </w:r>
            <w:r>
              <w:rPr>
                <w:rFonts w:hint="eastAsia" w:ascii="宋体" w:hAnsi="Times New Roman" w:eastAsia="宋体" w:cs="宋体"/>
                <w:i w:val="0"/>
                <w:iCs w:val="0"/>
                <w:color w:val="000000"/>
                <w:kern w:val="0"/>
                <w:sz w:val="18"/>
                <w:szCs w:val="18"/>
                <w:lang w:val="en-US" w:eastAsia="zh-CN" w:bidi="ar"/>
              </w:rPr>
              <w:br w:type="textWrapping"/>
            </w:r>
            <w:r>
              <w:rPr>
                <w:rFonts w:hint="eastAsia" w:ascii="宋体" w:hAnsi="Times New Roman" w:eastAsia="宋体" w:cs="宋体"/>
                <w:i w:val="0"/>
                <w:iCs w:val="0"/>
                <w:color w:val="000000"/>
                <w:kern w:val="0"/>
                <w:sz w:val="18"/>
                <w:szCs w:val="18"/>
                <w:lang w:val="en-US" w:eastAsia="zh-CN" w:bidi="ar"/>
              </w:rPr>
              <w:t>7、完成县委、县政府、县委办、县档案局和州档案馆安排的其他工作。</w:t>
            </w:r>
          </w:p>
        </w:tc>
      </w:tr>
      <w:tr w14:paraId="419C3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09560">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eastAsia" w:ascii="宋体" w:hAnsi="Times New Roman"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年度主要任务</w:t>
            </w:r>
          </w:p>
        </w:tc>
        <w:tc>
          <w:tcPr>
            <w:tcW w:w="1169" w:type="pct"/>
            <w:gridSpan w:val="2"/>
            <w:tcBorders>
              <w:top w:val="single" w:color="000000" w:sz="4" w:space="0"/>
              <w:left w:val="nil"/>
              <w:bottom w:val="single" w:color="000000" w:sz="4" w:space="0"/>
              <w:right w:val="single" w:color="000000" w:sz="4" w:space="0"/>
            </w:tcBorders>
            <w:shd w:val="clear" w:color="auto" w:fill="auto"/>
            <w:noWrap/>
            <w:vAlign w:val="center"/>
          </w:tcPr>
          <w:p w14:paraId="56CB4539">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eastAsia" w:ascii="宋体" w:hAnsi="Times New Roman"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任务名称</w:t>
            </w:r>
          </w:p>
        </w:tc>
        <w:tc>
          <w:tcPr>
            <w:tcW w:w="3316" w:type="pct"/>
            <w:gridSpan w:val="5"/>
            <w:tcBorders>
              <w:top w:val="single" w:color="000000" w:sz="4" w:space="0"/>
              <w:left w:val="nil"/>
              <w:bottom w:val="single" w:color="000000" w:sz="4" w:space="0"/>
              <w:right w:val="single" w:color="000000" w:sz="4" w:space="0"/>
            </w:tcBorders>
            <w:shd w:val="clear" w:color="auto" w:fill="auto"/>
            <w:noWrap/>
            <w:vAlign w:val="center"/>
          </w:tcPr>
          <w:p w14:paraId="2CC4F58D">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eastAsia" w:ascii="宋体" w:hAnsi="Times New Roman"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主要内容</w:t>
            </w:r>
          </w:p>
        </w:tc>
      </w:tr>
      <w:tr w14:paraId="03FEB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0" w:hRule="atLeast"/>
        </w:trPr>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5E61E">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kern w:val="2"/>
                <w:sz w:val="32"/>
                <w:szCs w:val="32"/>
              </w:rPr>
            </w:pPr>
          </w:p>
        </w:tc>
        <w:tc>
          <w:tcPr>
            <w:tcW w:w="1169" w:type="pct"/>
            <w:gridSpan w:val="2"/>
            <w:tcBorders>
              <w:top w:val="single" w:color="000000" w:sz="4" w:space="0"/>
              <w:left w:val="nil"/>
              <w:bottom w:val="single" w:color="000000" w:sz="4" w:space="0"/>
              <w:right w:val="single" w:color="000000" w:sz="4" w:space="0"/>
            </w:tcBorders>
            <w:shd w:val="clear" w:color="auto" w:fill="auto"/>
            <w:noWrap/>
            <w:vAlign w:val="center"/>
          </w:tcPr>
          <w:p w14:paraId="7C3C1CD6">
            <w:pPr>
              <w:keepNext w:val="0"/>
              <w:keepLines w:val="0"/>
              <w:widowControl/>
              <w:suppressLineNumbers w:val="0"/>
              <w:autoSpaceDE w:val="0"/>
              <w:autoSpaceDN/>
              <w:spacing w:before="0" w:beforeAutospacing="0" w:after="0" w:afterAutospacing="0" w:line="280" w:lineRule="exact"/>
              <w:ind w:left="0" w:right="0"/>
              <w:jc w:val="left"/>
              <w:textAlignment w:val="center"/>
              <w:rPr>
                <w:rFonts w:hint="eastAsia" w:ascii="宋体" w:hAnsi="Times New Roman"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档案工作</w:t>
            </w:r>
          </w:p>
        </w:tc>
        <w:tc>
          <w:tcPr>
            <w:tcW w:w="3316" w:type="pct"/>
            <w:gridSpan w:val="5"/>
            <w:tcBorders>
              <w:top w:val="single" w:color="000000" w:sz="4" w:space="0"/>
              <w:left w:val="nil"/>
              <w:bottom w:val="single" w:color="000000" w:sz="4" w:space="0"/>
              <w:right w:val="single" w:color="000000" w:sz="4" w:space="0"/>
            </w:tcBorders>
            <w:shd w:val="clear" w:color="auto" w:fill="auto"/>
            <w:noWrap/>
            <w:vAlign w:val="center"/>
          </w:tcPr>
          <w:p w14:paraId="765A909B">
            <w:pPr>
              <w:keepNext w:val="0"/>
              <w:keepLines w:val="0"/>
              <w:widowControl/>
              <w:suppressLineNumbers w:val="0"/>
              <w:autoSpaceDE w:val="0"/>
              <w:autoSpaceDN/>
              <w:spacing w:before="0" w:beforeAutospacing="0" w:after="0" w:afterAutospacing="0" w:line="280" w:lineRule="exact"/>
              <w:ind w:left="0" w:right="0"/>
              <w:jc w:val="left"/>
              <w:textAlignment w:val="center"/>
              <w:rPr>
                <w:rFonts w:hint="eastAsia" w:ascii="宋体" w:hAnsi="Times New Roman"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贯彻执行《中华人民共和国档案法》、《四川省</w:t>
            </w:r>
            <w:r>
              <w:rPr>
                <w:rFonts w:hint="eastAsia" w:ascii="宋体" w:hAnsi="Times New Roman" w:eastAsia="宋体" w:cs="宋体"/>
                <w:i w:val="0"/>
                <w:iCs w:val="0"/>
                <w:color w:val="000000"/>
                <w:kern w:val="0"/>
                <w:sz w:val="18"/>
                <w:szCs w:val="18"/>
                <w:lang w:val="en-US" w:eastAsia="zh-CN" w:bidi="ar"/>
              </w:rPr>
              <w:t>&lt;中华人民共和国档案法&gt;实施办法》以及党和国家有关档案工作的方针、政策，依法对全县各机关、团体、企事业单位、乡镇和其他的档案业务工作进行组织、指导、监督、检查。做好档案资源建设和保管，优化馆藏，做好重点档案抢救、保护、开发和信息化管理工作。</w:t>
            </w:r>
          </w:p>
        </w:tc>
      </w:tr>
      <w:tr w14:paraId="41632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9" w:hRule="atLeast"/>
        </w:trPr>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3AB20">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kern w:val="2"/>
                <w:sz w:val="32"/>
                <w:szCs w:val="32"/>
              </w:rPr>
            </w:pPr>
          </w:p>
        </w:tc>
        <w:tc>
          <w:tcPr>
            <w:tcW w:w="1169" w:type="pct"/>
            <w:gridSpan w:val="2"/>
            <w:tcBorders>
              <w:top w:val="single" w:color="000000" w:sz="4" w:space="0"/>
              <w:left w:val="nil"/>
              <w:bottom w:val="single" w:color="000000" w:sz="4" w:space="0"/>
              <w:right w:val="single" w:color="000000" w:sz="4" w:space="0"/>
            </w:tcBorders>
            <w:shd w:val="clear" w:color="auto" w:fill="auto"/>
            <w:noWrap/>
            <w:vAlign w:val="center"/>
          </w:tcPr>
          <w:p w14:paraId="5DD6471D">
            <w:pPr>
              <w:keepNext w:val="0"/>
              <w:keepLines w:val="0"/>
              <w:widowControl/>
              <w:suppressLineNumbers w:val="0"/>
              <w:autoSpaceDE w:val="0"/>
              <w:autoSpaceDN/>
              <w:spacing w:before="0" w:beforeAutospacing="0" w:after="0" w:afterAutospacing="0" w:line="280" w:lineRule="exact"/>
              <w:ind w:left="0" w:right="0"/>
              <w:jc w:val="left"/>
              <w:textAlignment w:val="center"/>
              <w:rPr>
                <w:rFonts w:hint="eastAsia" w:ascii="宋体" w:hAnsi="Times New Roman"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综合事务管理</w:t>
            </w:r>
          </w:p>
        </w:tc>
        <w:tc>
          <w:tcPr>
            <w:tcW w:w="3316" w:type="pct"/>
            <w:gridSpan w:val="5"/>
            <w:tcBorders>
              <w:top w:val="single" w:color="000000" w:sz="4" w:space="0"/>
              <w:left w:val="nil"/>
              <w:bottom w:val="single" w:color="000000" w:sz="4" w:space="0"/>
              <w:right w:val="single" w:color="000000" w:sz="4" w:space="0"/>
            </w:tcBorders>
            <w:shd w:val="clear" w:color="auto" w:fill="auto"/>
            <w:noWrap/>
            <w:vAlign w:val="center"/>
          </w:tcPr>
          <w:p w14:paraId="3F6B6ECE">
            <w:pPr>
              <w:keepNext w:val="0"/>
              <w:keepLines w:val="0"/>
              <w:widowControl/>
              <w:suppressLineNumbers w:val="0"/>
              <w:autoSpaceDE w:val="0"/>
              <w:autoSpaceDN/>
              <w:spacing w:before="0" w:beforeAutospacing="0" w:after="0" w:afterAutospacing="0" w:line="280" w:lineRule="exact"/>
              <w:ind w:left="0" w:right="0"/>
              <w:jc w:val="left"/>
              <w:textAlignment w:val="center"/>
              <w:rPr>
                <w:rFonts w:hint="eastAsia" w:ascii="宋体" w:hAnsi="Times New Roman"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确保机关正常运转，各项业务顺利推进，适应档案事业发展需要。</w:t>
            </w:r>
          </w:p>
        </w:tc>
      </w:tr>
      <w:tr w14:paraId="4DCA04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4" w:hRule="atLeast"/>
        </w:trPr>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E834A">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eastAsia" w:ascii="宋体" w:hAnsi="Times New Roman"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年度绩效指标</w:t>
            </w:r>
          </w:p>
        </w:tc>
        <w:tc>
          <w:tcPr>
            <w:tcW w:w="546" w:type="pct"/>
            <w:tcBorders>
              <w:top w:val="single" w:color="000000" w:sz="4" w:space="0"/>
              <w:left w:val="nil"/>
              <w:bottom w:val="single" w:color="000000" w:sz="4" w:space="0"/>
              <w:right w:val="single" w:color="000000" w:sz="4" w:space="0"/>
            </w:tcBorders>
            <w:shd w:val="clear" w:color="auto" w:fill="auto"/>
            <w:noWrap/>
            <w:vAlign w:val="center"/>
          </w:tcPr>
          <w:p w14:paraId="575B80AB">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eastAsia" w:ascii="宋体" w:hAnsi="Times New Roman"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一级指标</w:t>
            </w:r>
          </w:p>
        </w:tc>
        <w:tc>
          <w:tcPr>
            <w:tcW w:w="622" w:type="pct"/>
            <w:tcBorders>
              <w:top w:val="single" w:color="000000" w:sz="4" w:space="0"/>
              <w:left w:val="nil"/>
              <w:bottom w:val="single" w:color="000000" w:sz="4" w:space="0"/>
              <w:right w:val="single" w:color="000000" w:sz="4" w:space="0"/>
            </w:tcBorders>
            <w:shd w:val="clear" w:color="auto" w:fill="auto"/>
            <w:noWrap/>
            <w:vAlign w:val="center"/>
          </w:tcPr>
          <w:p w14:paraId="24A77B95">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eastAsia" w:ascii="宋体" w:hAnsi="Times New Roman"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二级指标</w:t>
            </w:r>
          </w:p>
        </w:tc>
        <w:tc>
          <w:tcPr>
            <w:tcW w:w="966" w:type="pct"/>
            <w:tcBorders>
              <w:top w:val="single" w:color="000000" w:sz="4" w:space="0"/>
              <w:left w:val="nil"/>
              <w:bottom w:val="single" w:color="000000" w:sz="4" w:space="0"/>
              <w:right w:val="single" w:color="000000" w:sz="4" w:space="0"/>
            </w:tcBorders>
            <w:shd w:val="clear" w:color="auto" w:fill="auto"/>
            <w:noWrap/>
            <w:vAlign w:val="center"/>
          </w:tcPr>
          <w:p w14:paraId="0C582DC0">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eastAsia" w:ascii="宋体" w:hAnsi="Times New Roman"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三级指标</w:t>
            </w:r>
          </w:p>
        </w:tc>
        <w:tc>
          <w:tcPr>
            <w:tcW w:w="749" w:type="pct"/>
            <w:tcBorders>
              <w:top w:val="single" w:color="000000" w:sz="4" w:space="0"/>
              <w:left w:val="nil"/>
              <w:bottom w:val="single" w:color="000000" w:sz="4" w:space="0"/>
              <w:right w:val="single" w:color="000000" w:sz="4" w:space="0"/>
            </w:tcBorders>
            <w:shd w:val="clear" w:color="auto" w:fill="auto"/>
            <w:noWrap/>
            <w:vAlign w:val="center"/>
          </w:tcPr>
          <w:p w14:paraId="41F15B3D">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eastAsia" w:ascii="宋体" w:hAnsi="Times New Roman"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绩效指标性质</w:t>
            </w:r>
          </w:p>
        </w:tc>
        <w:tc>
          <w:tcPr>
            <w:tcW w:w="494" w:type="pct"/>
            <w:tcBorders>
              <w:top w:val="single" w:color="000000" w:sz="4" w:space="0"/>
              <w:left w:val="nil"/>
              <w:bottom w:val="single" w:color="000000" w:sz="4" w:space="0"/>
              <w:right w:val="single" w:color="000000" w:sz="4" w:space="0"/>
            </w:tcBorders>
            <w:shd w:val="clear" w:color="auto" w:fill="auto"/>
            <w:noWrap/>
            <w:vAlign w:val="center"/>
          </w:tcPr>
          <w:p w14:paraId="3089BD66">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eastAsia" w:ascii="宋体" w:hAnsi="Times New Roman"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绩效指标值</w:t>
            </w:r>
          </w:p>
        </w:tc>
        <w:tc>
          <w:tcPr>
            <w:tcW w:w="614" w:type="pct"/>
            <w:tcBorders>
              <w:top w:val="single" w:color="000000" w:sz="4" w:space="0"/>
              <w:left w:val="nil"/>
              <w:bottom w:val="single" w:color="000000" w:sz="4" w:space="0"/>
              <w:right w:val="single" w:color="000000" w:sz="4" w:space="0"/>
            </w:tcBorders>
            <w:shd w:val="clear" w:color="auto" w:fill="auto"/>
            <w:noWrap/>
            <w:vAlign w:val="center"/>
          </w:tcPr>
          <w:p w14:paraId="0C35AED3">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eastAsia" w:ascii="宋体" w:hAnsi="Times New Roman"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绩效度量单位</w:t>
            </w:r>
          </w:p>
        </w:tc>
        <w:tc>
          <w:tcPr>
            <w:tcW w:w="491" w:type="pct"/>
            <w:tcBorders>
              <w:top w:val="single" w:color="000000" w:sz="4" w:space="0"/>
              <w:left w:val="nil"/>
              <w:bottom w:val="single" w:color="000000" w:sz="4" w:space="0"/>
              <w:right w:val="single" w:color="000000" w:sz="4" w:space="0"/>
            </w:tcBorders>
            <w:shd w:val="clear" w:color="auto" w:fill="auto"/>
            <w:noWrap/>
            <w:vAlign w:val="center"/>
          </w:tcPr>
          <w:p w14:paraId="1B1DD419">
            <w:pPr>
              <w:keepNext w:val="0"/>
              <w:keepLines w:val="0"/>
              <w:widowControl/>
              <w:suppressLineNumbers w:val="0"/>
              <w:autoSpaceDE w:val="0"/>
              <w:autoSpaceDN/>
              <w:spacing w:before="0" w:beforeAutospacing="0" w:after="0" w:afterAutospacing="0" w:line="280" w:lineRule="exact"/>
              <w:ind w:left="0" w:right="0"/>
              <w:jc w:val="center"/>
              <w:textAlignment w:val="center"/>
              <w:rPr>
                <w:rFonts w:hint="eastAsia" w:ascii="宋体" w:hAnsi="Times New Roman"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权重</w:t>
            </w:r>
          </w:p>
        </w:tc>
      </w:tr>
      <w:tr w14:paraId="418FC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A149E">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kern w:val="2"/>
                <w:sz w:val="32"/>
                <w:szCs w:val="32"/>
              </w:rPr>
            </w:pPr>
          </w:p>
        </w:tc>
        <w:tc>
          <w:tcPr>
            <w:tcW w:w="546" w:type="pct"/>
            <w:tcBorders>
              <w:top w:val="single" w:color="000000" w:sz="4" w:space="0"/>
              <w:left w:val="nil"/>
              <w:bottom w:val="single" w:color="000000" w:sz="4" w:space="0"/>
              <w:right w:val="single" w:color="000000" w:sz="4" w:space="0"/>
            </w:tcBorders>
            <w:shd w:val="clear" w:color="auto" w:fill="auto"/>
            <w:noWrap/>
            <w:vAlign w:val="center"/>
          </w:tcPr>
          <w:p w14:paraId="5EBC7B51">
            <w:pPr>
              <w:keepNext w:val="0"/>
              <w:keepLines w:val="0"/>
              <w:widowControl/>
              <w:suppressLineNumbers w:val="0"/>
              <w:autoSpaceDE w:val="0"/>
              <w:autoSpaceDN/>
              <w:spacing w:before="0" w:beforeAutospacing="0" w:after="0" w:afterAutospacing="0" w:line="280" w:lineRule="exact"/>
              <w:ind w:left="0" w:right="0"/>
              <w:jc w:val="left"/>
              <w:textAlignment w:val="center"/>
              <w:rPr>
                <w:rFonts w:hint="eastAsia" w:ascii="宋体" w:hAnsi="Times New Roman"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产出指标</w:t>
            </w:r>
          </w:p>
        </w:tc>
        <w:tc>
          <w:tcPr>
            <w:tcW w:w="622" w:type="pct"/>
            <w:tcBorders>
              <w:top w:val="single" w:color="000000" w:sz="4" w:space="0"/>
              <w:left w:val="nil"/>
              <w:bottom w:val="single" w:color="000000" w:sz="4" w:space="0"/>
              <w:right w:val="single" w:color="000000" w:sz="4" w:space="0"/>
            </w:tcBorders>
            <w:shd w:val="clear" w:color="auto" w:fill="auto"/>
            <w:noWrap/>
            <w:vAlign w:val="center"/>
          </w:tcPr>
          <w:p w14:paraId="2214487A">
            <w:pPr>
              <w:keepNext w:val="0"/>
              <w:keepLines w:val="0"/>
              <w:widowControl/>
              <w:suppressLineNumbers w:val="0"/>
              <w:autoSpaceDE w:val="0"/>
              <w:autoSpaceDN/>
              <w:spacing w:before="0" w:beforeAutospacing="0" w:after="0" w:afterAutospacing="0" w:line="280" w:lineRule="exact"/>
              <w:ind w:left="0" w:right="0"/>
              <w:jc w:val="left"/>
              <w:textAlignment w:val="center"/>
              <w:rPr>
                <w:rFonts w:hint="eastAsia" w:ascii="宋体" w:hAnsi="Times New Roman"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数量指标</w:t>
            </w:r>
          </w:p>
        </w:tc>
        <w:tc>
          <w:tcPr>
            <w:tcW w:w="966" w:type="pct"/>
            <w:tcBorders>
              <w:top w:val="single" w:color="000000" w:sz="4" w:space="0"/>
              <w:left w:val="nil"/>
              <w:bottom w:val="single" w:color="000000" w:sz="4" w:space="0"/>
              <w:right w:val="single" w:color="000000" w:sz="4" w:space="0"/>
            </w:tcBorders>
            <w:shd w:val="clear" w:color="auto" w:fill="auto"/>
            <w:noWrap/>
            <w:vAlign w:val="center"/>
          </w:tcPr>
          <w:p w14:paraId="1078A8E3">
            <w:pPr>
              <w:keepNext w:val="0"/>
              <w:keepLines w:val="0"/>
              <w:widowControl/>
              <w:suppressLineNumbers w:val="0"/>
              <w:autoSpaceDE w:val="0"/>
              <w:autoSpaceDN/>
              <w:spacing w:before="0" w:beforeAutospacing="0" w:after="0" w:afterAutospacing="0" w:line="280" w:lineRule="exact"/>
              <w:ind w:left="0" w:right="0"/>
              <w:jc w:val="left"/>
              <w:textAlignment w:val="center"/>
              <w:rPr>
                <w:rFonts w:hint="eastAsia" w:ascii="宋体" w:hAnsi="Times New Roman"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科目调整次数</w:t>
            </w:r>
          </w:p>
        </w:tc>
        <w:tc>
          <w:tcPr>
            <w:tcW w:w="749" w:type="pct"/>
            <w:tcBorders>
              <w:top w:val="single" w:color="000000" w:sz="4" w:space="0"/>
              <w:left w:val="nil"/>
              <w:bottom w:val="single" w:color="000000" w:sz="4" w:space="0"/>
              <w:right w:val="single" w:color="000000" w:sz="4" w:space="0"/>
            </w:tcBorders>
            <w:shd w:val="clear" w:color="auto" w:fill="auto"/>
            <w:noWrap/>
            <w:vAlign w:val="center"/>
          </w:tcPr>
          <w:p w14:paraId="59E7157B">
            <w:pPr>
              <w:keepNext w:val="0"/>
              <w:keepLines w:val="0"/>
              <w:widowControl/>
              <w:suppressLineNumbers w:val="0"/>
              <w:autoSpaceDE w:val="0"/>
              <w:autoSpaceDN/>
              <w:spacing w:before="0" w:beforeAutospacing="0" w:after="0" w:afterAutospacing="0" w:line="280" w:lineRule="exact"/>
              <w:ind w:left="0" w:right="0"/>
              <w:jc w:val="left"/>
              <w:textAlignment w:val="center"/>
              <w:rPr>
                <w:rFonts w:hint="eastAsia" w:ascii="宋体" w:hAnsi="Times New Roman" w:eastAsia="宋体" w:cs="宋体"/>
                <w:i w:val="0"/>
                <w:iCs w:val="0"/>
                <w:color w:val="000000"/>
                <w:kern w:val="2"/>
                <w:sz w:val="18"/>
                <w:szCs w:val="18"/>
              </w:rPr>
            </w:pPr>
            <w:r>
              <w:rPr>
                <w:rFonts w:hint="default" w:ascii="Times New Roman" w:hAnsi="Times New Roman" w:eastAsia="宋体" w:cs="Times New Roman"/>
                <w:i w:val="0"/>
                <w:iCs w:val="0"/>
                <w:color w:val="000000"/>
                <w:kern w:val="0"/>
                <w:sz w:val="18"/>
                <w:szCs w:val="18"/>
                <w:lang w:val="en-US" w:eastAsia="zh-CN" w:bidi="ar"/>
              </w:rPr>
              <w:t>≤</w:t>
            </w:r>
          </w:p>
        </w:tc>
        <w:tc>
          <w:tcPr>
            <w:tcW w:w="494" w:type="pct"/>
            <w:tcBorders>
              <w:top w:val="single" w:color="000000" w:sz="4" w:space="0"/>
              <w:left w:val="nil"/>
              <w:bottom w:val="single" w:color="000000" w:sz="4" w:space="0"/>
              <w:right w:val="single" w:color="000000" w:sz="4" w:space="0"/>
            </w:tcBorders>
            <w:shd w:val="clear" w:color="auto" w:fill="auto"/>
            <w:noWrap/>
            <w:vAlign w:val="center"/>
          </w:tcPr>
          <w:p w14:paraId="4929EA32">
            <w:pPr>
              <w:keepNext w:val="0"/>
              <w:keepLines w:val="0"/>
              <w:widowControl/>
              <w:suppressLineNumbers w:val="0"/>
              <w:autoSpaceDE w:val="0"/>
              <w:autoSpaceDN/>
              <w:spacing w:before="0" w:beforeAutospacing="0" w:after="0" w:afterAutospacing="0" w:line="280" w:lineRule="exact"/>
              <w:ind w:left="0" w:right="0"/>
              <w:jc w:val="left"/>
              <w:textAlignment w:val="center"/>
              <w:rPr>
                <w:rFonts w:hint="eastAsia" w:ascii="宋体" w:hAnsi="Times New Roman" w:eastAsia="宋体" w:cs="宋体"/>
                <w:i w:val="0"/>
                <w:iCs w:val="0"/>
                <w:color w:val="000000"/>
                <w:kern w:val="2"/>
                <w:sz w:val="18"/>
                <w:szCs w:val="18"/>
              </w:rPr>
            </w:pPr>
            <w:r>
              <w:rPr>
                <w:rFonts w:hint="eastAsia" w:ascii="宋体" w:hAnsi="Times New Roman" w:eastAsia="宋体" w:cs="宋体"/>
                <w:i w:val="0"/>
                <w:iCs w:val="0"/>
                <w:color w:val="000000"/>
                <w:kern w:val="0"/>
                <w:sz w:val="18"/>
                <w:szCs w:val="18"/>
                <w:lang w:val="en-US" w:eastAsia="zh-CN" w:bidi="ar"/>
              </w:rPr>
              <w:t>5</w:t>
            </w:r>
          </w:p>
        </w:tc>
        <w:tc>
          <w:tcPr>
            <w:tcW w:w="614" w:type="pct"/>
            <w:tcBorders>
              <w:top w:val="single" w:color="000000" w:sz="4" w:space="0"/>
              <w:left w:val="nil"/>
              <w:bottom w:val="single" w:color="000000" w:sz="4" w:space="0"/>
              <w:right w:val="single" w:color="000000" w:sz="4" w:space="0"/>
            </w:tcBorders>
            <w:shd w:val="clear" w:color="auto" w:fill="auto"/>
            <w:noWrap/>
            <w:vAlign w:val="center"/>
          </w:tcPr>
          <w:p w14:paraId="0FF464AD">
            <w:pPr>
              <w:keepNext w:val="0"/>
              <w:keepLines w:val="0"/>
              <w:widowControl/>
              <w:suppressLineNumbers w:val="0"/>
              <w:autoSpaceDE w:val="0"/>
              <w:autoSpaceDN/>
              <w:spacing w:before="0" w:beforeAutospacing="0" w:after="0" w:afterAutospacing="0" w:line="280" w:lineRule="exact"/>
              <w:ind w:left="0" w:right="0"/>
              <w:jc w:val="left"/>
              <w:textAlignment w:val="center"/>
              <w:rPr>
                <w:rFonts w:hint="eastAsia" w:ascii="宋体" w:hAnsi="Times New Roman" w:eastAsia="宋体" w:cs="宋体"/>
                <w:i w:val="0"/>
                <w:iCs w:val="0"/>
                <w:color w:val="000000"/>
                <w:kern w:val="2"/>
                <w:sz w:val="18"/>
                <w:szCs w:val="18"/>
              </w:rPr>
            </w:pPr>
            <w:r>
              <w:rPr>
                <w:rFonts w:hint="eastAsia" w:ascii="宋体" w:hAnsi="Times New Roman" w:eastAsia="宋体" w:cs="宋体"/>
                <w:i w:val="0"/>
                <w:iCs w:val="0"/>
                <w:color w:val="000000"/>
                <w:kern w:val="0"/>
                <w:sz w:val="18"/>
                <w:szCs w:val="18"/>
                <w:lang w:val="en-US" w:eastAsia="zh-CN" w:bidi="ar"/>
              </w:rPr>
              <w:t>%</w:t>
            </w:r>
          </w:p>
        </w:tc>
        <w:tc>
          <w:tcPr>
            <w:tcW w:w="491" w:type="pct"/>
            <w:tcBorders>
              <w:top w:val="single" w:color="000000" w:sz="4" w:space="0"/>
              <w:left w:val="nil"/>
              <w:bottom w:val="single" w:color="000000" w:sz="4" w:space="0"/>
              <w:right w:val="single" w:color="000000" w:sz="4" w:space="0"/>
            </w:tcBorders>
            <w:shd w:val="clear" w:color="auto" w:fill="auto"/>
            <w:noWrap/>
            <w:vAlign w:val="center"/>
          </w:tcPr>
          <w:p w14:paraId="1551F52A">
            <w:pPr>
              <w:keepNext w:val="0"/>
              <w:keepLines w:val="0"/>
              <w:widowControl/>
              <w:suppressLineNumbers w:val="0"/>
              <w:autoSpaceDE w:val="0"/>
              <w:autoSpaceDN/>
              <w:spacing w:before="0" w:beforeAutospacing="0" w:after="0" w:afterAutospacing="0" w:line="280" w:lineRule="exact"/>
              <w:ind w:left="0" w:right="0"/>
              <w:jc w:val="left"/>
              <w:textAlignment w:val="center"/>
              <w:rPr>
                <w:rFonts w:hint="eastAsia" w:ascii="宋体" w:hAnsi="Times New Roman" w:eastAsia="宋体" w:cs="宋体"/>
                <w:i w:val="0"/>
                <w:iCs w:val="0"/>
                <w:color w:val="000000"/>
                <w:kern w:val="2"/>
                <w:sz w:val="18"/>
                <w:szCs w:val="18"/>
              </w:rPr>
            </w:pPr>
            <w:r>
              <w:rPr>
                <w:rFonts w:hint="eastAsia" w:ascii="宋体" w:hAnsi="Times New Roman" w:eastAsia="宋体" w:cs="宋体"/>
                <w:i w:val="0"/>
                <w:iCs w:val="0"/>
                <w:color w:val="000000"/>
                <w:kern w:val="0"/>
                <w:sz w:val="18"/>
                <w:szCs w:val="18"/>
                <w:lang w:val="en-US" w:eastAsia="zh-CN" w:bidi="ar"/>
              </w:rPr>
              <w:t>10</w:t>
            </w:r>
          </w:p>
        </w:tc>
      </w:tr>
      <w:tr w14:paraId="2D34D6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95FEB">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kern w:val="2"/>
                <w:sz w:val="32"/>
                <w:szCs w:val="32"/>
              </w:rPr>
            </w:pPr>
          </w:p>
        </w:tc>
        <w:tc>
          <w:tcPr>
            <w:tcW w:w="546" w:type="pct"/>
            <w:tcBorders>
              <w:top w:val="single" w:color="000000" w:sz="4" w:space="0"/>
              <w:left w:val="nil"/>
              <w:bottom w:val="single" w:color="000000" w:sz="4" w:space="0"/>
              <w:right w:val="single" w:color="000000" w:sz="4" w:space="0"/>
            </w:tcBorders>
            <w:shd w:val="clear" w:color="auto" w:fill="auto"/>
            <w:noWrap/>
            <w:vAlign w:val="center"/>
          </w:tcPr>
          <w:p w14:paraId="26BA8057">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kern w:val="2"/>
                <w:sz w:val="32"/>
                <w:szCs w:val="32"/>
              </w:rPr>
            </w:pPr>
          </w:p>
        </w:tc>
        <w:tc>
          <w:tcPr>
            <w:tcW w:w="622" w:type="pct"/>
            <w:tcBorders>
              <w:top w:val="single" w:color="000000" w:sz="4" w:space="0"/>
              <w:left w:val="nil"/>
              <w:bottom w:val="single" w:color="000000" w:sz="4" w:space="0"/>
              <w:right w:val="single" w:color="000000" w:sz="4" w:space="0"/>
            </w:tcBorders>
            <w:shd w:val="clear" w:color="auto" w:fill="auto"/>
            <w:noWrap/>
            <w:vAlign w:val="center"/>
          </w:tcPr>
          <w:p w14:paraId="485BEBB6">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kern w:val="2"/>
                <w:sz w:val="32"/>
                <w:szCs w:val="32"/>
              </w:rPr>
            </w:pPr>
          </w:p>
        </w:tc>
        <w:tc>
          <w:tcPr>
            <w:tcW w:w="966" w:type="pct"/>
            <w:tcBorders>
              <w:top w:val="single" w:color="000000" w:sz="4" w:space="0"/>
              <w:left w:val="nil"/>
              <w:bottom w:val="single" w:color="000000" w:sz="4" w:space="0"/>
              <w:right w:val="single" w:color="000000" w:sz="4" w:space="0"/>
            </w:tcBorders>
            <w:shd w:val="clear" w:color="auto" w:fill="auto"/>
            <w:noWrap/>
            <w:vAlign w:val="center"/>
          </w:tcPr>
          <w:p w14:paraId="2E793C3F">
            <w:pPr>
              <w:keepNext w:val="0"/>
              <w:keepLines w:val="0"/>
              <w:widowControl/>
              <w:suppressLineNumbers w:val="0"/>
              <w:autoSpaceDE w:val="0"/>
              <w:autoSpaceDN/>
              <w:spacing w:before="0" w:beforeAutospacing="0" w:after="0" w:afterAutospacing="0" w:line="280" w:lineRule="exact"/>
              <w:ind w:left="0" w:right="0"/>
              <w:jc w:val="left"/>
              <w:textAlignment w:val="center"/>
              <w:rPr>
                <w:rFonts w:hint="eastAsia" w:ascii="宋体" w:hAnsi="Times New Roman"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人员经费足额保障率</w:t>
            </w:r>
          </w:p>
        </w:tc>
        <w:tc>
          <w:tcPr>
            <w:tcW w:w="749" w:type="pct"/>
            <w:tcBorders>
              <w:top w:val="single" w:color="000000" w:sz="4" w:space="0"/>
              <w:left w:val="nil"/>
              <w:bottom w:val="single" w:color="000000" w:sz="4" w:space="0"/>
              <w:right w:val="single" w:color="000000" w:sz="4" w:space="0"/>
            </w:tcBorders>
            <w:shd w:val="clear" w:color="auto" w:fill="auto"/>
            <w:noWrap/>
            <w:vAlign w:val="center"/>
          </w:tcPr>
          <w:p w14:paraId="67488447">
            <w:pPr>
              <w:keepNext w:val="0"/>
              <w:keepLines w:val="0"/>
              <w:widowControl/>
              <w:suppressLineNumbers w:val="0"/>
              <w:autoSpaceDE w:val="0"/>
              <w:autoSpaceDN/>
              <w:spacing w:before="0" w:beforeAutospacing="0" w:after="0" w:afterAutospacing="0" w:line="280" w:lineRule="exact"/>
              <w:ind w:left="0" w:right="0"/>
              <w:jc w:val="left"/>
              <w:textAlignment w:val="center"/>
              <w:rPr>
                <w:rFonts w:hint="eastAsia" w:ascii="宋体" w:hAnsi="Times New Roman"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w:t>
            </w:r>
          </w:p>
        </w:tc>
        <w:tc>
          <w:tcPr>
            <w:tcW w:w="494" w:type="pct"/>
            <w:tcBorders>
              <w:top w:val="single" w:color="000000" w:sz="4" w:space="0"/>
              <w:left w:val="nil"/>
              <w:bottom w:val="single" w:color="000000" w:sz="4" w:space="0"/>
              <w:right w:val="single" w:color="000000" w:sz="4" w:space="0"/>
            </w:tcBorders>
            <w:shd w:val="clear" w:color="auto" w:fill="auto"/>
            <w:noWrap/>
            <w:vAlign w:val="center"/>
          </w:tcPr>
          <w:p w14:paraId="6339B75C">
            <w:pPr>
              <w:keepNext w:val="0"/>
              <w:keepLines w:val="0"/>
              <w:widowControl/>
              <w:suppressLineNumbers w:val="0"/>
              <w:autoSpaceDE w:val="0"/>
              <w:autoSpaceDN/>
              <w:spacing w:before="0" w:beforeAutospacing="0" w:after="0" w:afterAutospacing="0" w:line="280" w:lineRule="exact"/>
              <w:ind w:left="0" w:right="0"/>
              <w:jc w:val="left"/>
              <w:textAlignment w:val="center"/>
              <w:rPr>
                <w:rFonts w:hint="eastAsia" w:ascii="宋体" w:hAnsi="Times New Roman" w:eastAsia="宋体" w:cs="宋体"/>
                <w:i w:val="0"/>
                <w:iCs w:val="0"/>
                <w:color w:val="000000"/>
                <w:kern w:val="2"/>
                <w:sz w:val="18"/>
                <w:szCs w:val="18"/>
              </w:rPr>
            </w:pPr>
            <w:r>
              <w:rPr>
                <w:rFonts w:hint="eastAsia" w:ascii="宋体" w:hAnsi="Times New Roman" w:eastAsia="宋体" w:cs="宋体"/>
                <w:i w:val="0"/>
                <w:iCs w:val="0"/>
                <w:color w:val="000000"/>
                <w:kern w:val="0"/>
                <w:sz w:val="18"/>
                <w:szCs w:val="18"/>
                <w:lang w:val="en-US" w:eastAsia="zh-CN" w:bidi="ar"/>
              </w:rPr>
              <w:t>100</w:t>
            </w:r>
          </w:p>
        </w:tc>
        <w:tc>
          <w:tcPr>
            <w:tcW w:w="614" w:type="pct"/>
            <w:tcBorders>
              <w:top w:val="single" w:color="000000" w:sz="4" w:space="0"/>
              <w:left w:val="nil"/>
              <w:bottom w:val="single" w:color="000000" w:sz="4" w:space="0"/>
              <w:right w:val="single" w:color="000000" w:sz="4" w:space="0"/>
            </w:tcBorders>
            <w:shd w:val="clear" w:color="auto" w:fill="auto"/>
            <w:noWrap/>
            <w:vAlign w:val="center"/>
          </w:tcPr>
          <w:p w14:paraId="722B18D3">
            <w:pPr>
              <w:keepNext w:val="0"/>
              <w:keepLines w:val="0"/>
              <w:widowControl/>
              <w:suppressLineNumbers w:val="0"/>
              <w:autoSpaceDE w:val="0"/>
              <w:autoSpaceDN/>
              <w:spacing w:before="0" w:beforeAutospacing="0" w:after="0" w:afterAutospacing="0" w:line="280" w:lineRule="exact"/>
              <w:ind w:left="0" w:right="0"/>
              <w:jc w:val="left"/>
              <w:textAlignment w:val="center"/>
              <w:rPr>
                <w:rFonts w:hint="eastAsia" w:ascii="宋体" w:hAnsi="Times New Roman" w:eastAsia="宋体" w:cs="宋体"/>
                <w:i w:val="0"/>
                <w:iCs w:val="0"/>
                <w:color w:val="000000"/>
                <w:kern w:val="2"/>
                <w:sz w:val="18"/>
                <w:szCs w:val="18"/>
              </w:rPr>
            </w:pPr>
            <w:r>
              <w:rPr>
                <w:rFonts w:hint="eastAsia" w:ascii="宋体" w:hAnsi="Times New Roman" w:eastAsia="宋体" w:cs="宋体"/>
                <w:i w:val="0"/>
                <w:iCs w:val="0"/>
                <w:color w:val="000000"/>
                <w:kern w:val="0"/>
                <w:sz w:val="18"/>
                <w:szCs w:val="18"/>
                <w:lang w:val="en-US" w:eastAsia="zh-CN" w:bidi="ar"/>
              </w:rPr>
              <w:t>%</w:t>
            </w:r>
          </w:p>
        </w:tc>
        <w:tc>
          <w:tcPr>
            <w:tcW w:w="491" w:type="pct"/>
            <w:tcBorders>
              <w:top w:val="single" w:color="000000" w:sz="4" w:space="0"/>
              <w:left w:val="nil"/>
              <w:bottom w:val="single" w:color="000000" w:sz="4" w:space="0"/>
              <w:right w:val="single" w:color="000000" w:sz="4" w:space="0"/>
            </w:tcBorders>
            <w:shd w:val="clear" w:color="auto" w:fill="auto"/>
            <w:noWrap/>
            <w:vAlign w:val="center"/>
          </w:tcPr>
          <w:p w14:paraId="59C88CAC">
            <w:pPr>
              <w:keepNext w:val="0"/>
              <w:keepLines w:val="0"/>
              <w:widowControl/>
              <w:suppressLineNumbers w:val="0"/>
              <w:autoSpaceDE w:val="0"/>
              <w:autoSpaceDN/>
              <w:spacing w:before="0" w:beforeAutospacing="0" w:after="0" w:afterAutospacing="0" w:line="280" w:lineRule="exact"/>
              <w:ind w:left="0" w:right="0"/>
              <w:jc w:val="left"/>
              <w:textAlignment w:val="center"/>
              <w:rPr>
                <w:rFonts w:hint="eastAsia" w:ascii="宋体" w:hAnsi="Times New Roman" w:eastAsia="宋体" w:cs="宋体"/>
                <w:i w:val="0"/>
                <w:iCs w:val="0"/>
                <w:color w:val="000000"/>
                <w:kern w:val="2"/>
                <w:sz w:val="18"/>
                <w:szCs w:val="18"/>
              </w:rPr>
            </w:pPr>
            <w:r>
              <w:rPr>
                <w:rFonts w:hint="eastAsia" w:ascii="宋体" w:hAnsi="Times New Roman" w:eastAsia="宋体" w:cs="宋体"/>
                <w:i w:val="0"/>
                <w:iCs w:val="0"/>
                <w:color w:val="000000"/>
                <w:kern w:val="0"/>
                <w:sz w:val="18"/>
                <w:szCs w:val="18"/>
                <w:lang w:val="en-US" w:eastAsia="zh-CN" w:bidi="ar"/>
              </w:rPr>
              <w:t>15</w:t>
            </w:r>
          </w:p>
        </w:tc>
      </w:tr>
      <w:tr w14:paraId="0A0C5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4" w:hRule="atLeast"/>
        </w:trPr>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232EE">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kern w:val="2"/>
                <w:sz w:val="32"/>
                <w:szCs w:val="32"/>
              </w:rPr>
            </w:pPr>
          </w:p>
        </w:tc>
        <w:tc>
          <w:tcPr>
            <w:tcW w:w="546" w:type="pct"/>
            <w:tcBorders>
              <w:top w:val="single" w:color="000000" w:sz="4" w:space="0"/>
              <w:left w:val="nil"/>
              <w:bottom w:val="single" w:color="000000" w:sz="4" w:space="0"/>
              <w:right w:val="single" w:color="000000" w:sz="4" w:space="0"/>
            </w:tcBorders>
            <w:shd w:val="clear" w:color="auto" w:fill="auto"/>
            <w:noWrap/>
            <w:vAlign w:val="center"/>
          </w:tcPr>
          <w:p w14:paraId="4C624DCE">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kern w:val="2"/>
                <w:sz w:val="32"/>
                <w:szCs w:val="32"/>
              </w:rPr>
            </w:pPr>
          </w:p>
        </w:tc>
        <w:tc>
          <w:tcPr>
            <w:tcW w:w="622" w:type="pct"/>
            <w:tcBorders>
              <w:top w:val="single" w:color="000000" w:sz="4" w:space="0"/>
              <w:left w:val="nil"/>
              <w:bottom w:val="single" w:color="000000" w:sz="4" w:space="0"/>
              <w:right w:val="single" w:color="000000" w:sz="4" w:space="0"/>
            </w:tcBorders>
            <w:shd w:val="clear" w:color="auto" w:fill="auto"/>
            <w:noWrap/>
            <w:vAlign w:val="center"/>
          </w:tcPr>
          <w:p w14:paraId="00B83189">
            <w:pPr>
              <w:keepNext w:val="0"/>
              <w:keepLines w:val="0"/>
              <w:widowControl/>
              <w:suppressLineNumbers w:val="0"/>
              <w:autoSpaceDE w:val="0"/>
              <w:autoSpaceDN/>
              <w:spacing w:before="0" w:beforeAutospacing="0" w:after="0" w:afterAutospacing="0" w:line="280" w:lineRule="exact"/>
              <w:ind w:left="0" w:right="0"/>
              <w:jc w:val="left"/>
              <w:textAlignment w:val="center"/>
              <w:rPr>
                <w:rFonts w:hint="eastAsia" w:ascii="宋体" w:hAnsi="Times New Roman"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质量指标</w:t>
            </w:r>
          </w:p>
        </w:tc>
        <w:tc>
          <w:tcPr>
            <w:tcW w:w="966" w:type="pct"/>
            <w:tcBorders>
              <w:top w:val="single" w:color="000000" w:sz="4" w:space="0"/>
              <w:left w:val="nil"/>
              <w:bottom w:val="single" w:color="000000" w:sz="4" w:space="0"/>
              <w:right w:val="single" w:color="000000" w:sz="4" w:space="0"/>
            </w:tcBorders>
            <w:shd w:val="clear" w:color="auto" w:fill="auto"/>
            <w:noWrap/>
            <w:vAlign w:val="center"/>
          </w:tcPr>
          <w:p w14:paraId="5072F386">
            <w:pPr>
              <w:keepNext w:val="0"/>
              <w:keepLines w:val="0"/>
              <w:widowControl/>
              <w:suppressLineNumbers w:val="0"/>
              <w:autoSpaceDE w:val="0"/>
              <w:autoSpaceDN/>
              <w:spacing w:before="0" w:beforeAutospacing="0" w:after="0" w:afterAutospacing="0" w:line="280" w:lineRule="exact"/>
              <w:ind w:left="0" w:right="0"/>
              <w:jc w:val="left"/>
              <w:textAlignment w:val="center"/>
              <w:rPr>
                <w:rFonts w:hint="eastAsia" w:ascii="宋体" w:hAnsi="Times New Roman"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预算编制准确率</w:t>
            </w:r>
          </w:p>
        </w:tc>
        <w:tc>
          <w:tcPr>
            <w:tcW w:w="749" w:type="pct"/>
            <w:tcBorders>
              <w:top w:val="single" w:color="000000" w:sz="4" w:space="0"/>
              <w:left w:val="nil"/>
              <w:bottom w:val="single" w:color="000000" w:sz="4" w:space="0"/>
              <w:right w:val="single" w:color="000000" w:sz="4" w:space="0"/>
            </w:tcBorders>
            <w:shd w:val="clear" w:color="auto" w:fill="auto"/>
            <w:noWrap/>
            <w:vAlign w:val="center"/>
          </w:tcPr>
          <w:p w14:paraId="52BBF821">
            <w:pPr>
              <w:keepNext w:val="0"/>
              <w:keepLines w:val="0"/>
              <w:widowControl/>
              <w:suppressLineNumbers w:val="0"/>
              <w:autoSpaceDE w:val="0"/>
              <w:autoSpaceDN/>
              <w:spacing w:before="0" w:beforeAutospacing="0" w:after="0" w:afterAutospacing="0" w:line="280" w:lineRule="exact"/>
              <w:ind w:left="0" w:right="0"/>
              <w:jc w:val="left"/>
              <w:textAlignment w:val="center"/>
              <w:rPr>
                <w:rFonts w:hint="eastAsia" w:ascii="宋体" w:hAnsi="Times New Roman" w:eastAsia="宋体" w:cs="宋体"/>
                <w:i w:val="0"/>
                <w:iCs w:val="0"/>
                <w:color w:val="000000"/>
                <w:kern w:val="2"/>
                <w:sz w:val="18"/>
                <w:szCs w:val="18"/>
              </w:rPr>
            </w:pPr>
            <w:r>
              <w:rPr>
                <w:rFonts w:hint="default" w:ascii="Times New Roman" w:hAnsi="Times New Roman" w:eastAsia="宋体" w:cs="Times New Roman"/>
                <w:i w:val="0"/>
                <w:iCs w:val="0"/>
                <w:color w:val="000000"/>
                <w:kern w:val="0"/>
                <w:sz w:val="18"/>
                <w:szCs w:val="18"/>
                <w:lang w:val="en-US" w:eastAsia="zh-CN" w:bidi="ar"/>
              </w:rPr>
              <w:t>≥</w:t>
            </w:r>
          </w:p>
        </w:tc>
        <w:tc>
          <w:tcPr>
            <w:tcW w:w="494" w:type="pct"/>
            <w:tcBorders>
              <w:top w:val="single" w:color="000000" w:sz="4" w:space="0"/>
              <w:left w:val="nil"/>
              <w:bottom w:val="single" w:color="000000" w:sz="4" w:space="0"/>
              <w:right w:val="single" w:color="000000" w:sz="4" w:space="0"/>
            </w:tcBorders>
            <w:shd w:val="clear" w:color="auto" w:fill="auto"/>
            <w:noWrap/>
            <w:vAlign w:val="center"/>
          </w:tcPr>
          <w:p w14:paraId="5F2EE5C4">
            <w:pPr>
              <w:keepNext w:val="0"/>
              <w:keepLines w:val="0"/>
              <w:widowControl/>
              <w:suppressLineNumbers w:val="0"/>
              <w:autoSpaceDE w:val="0"/>
              <w:autoSpaceDN/>
              <w:spacing w:before="0" w:beforeAutospacing="0" w:after="0" w:afterAutospacing="0" w:line="280" w:lineRule="exact"/>
              <w:ind w:left="0" w:right="0"/>
              <w:jc w:val="left"/>
              <w:textAlignment w:val="center"/>
              <w:rPr>
                <w:rFonts w:hint="eastAsia" w:ascii="宋体" w:hAnsi="Times New Roman" w:eastAsia="宋体" w:cs="宋体"/>
                <w:i w:val="0"/>
                <w:iCs w:val="0"/>
                <w:color w:val="000000"/>
                <w:kern w:val="2"/>
                <w:sz w:val="18"/>
                <w:szCs w:val="18"/>
              </w:rPr>
            </w:pPr>
            <w:r>
              <w:rPr>
                <w:rFonts w:hint="eastAsia" w:ascii="宋体" w:hAnsi="Times New Roman" w:eastAsia="宋体" w:cs="宋体"/>
                <w:i w:val="0"/>
                <w:iCs w:val="0"/>
                <w:color w:val="000000"/>
                <w:kern w:val="0"/>
                <w:sz w:val="18"/>
                <w:szCs w:val="18"/>
                <w:lang w:val="en-US" w:eastAsia="zh-CN" w:bidi="ar"/>
              </w:rPr>
              <w:t>99</w:t>
            </w:r>
          </w:p>
        </w:tc>
        <w:tc>
          <w:tcPr>
            <w:tcW w:w="614" w:type="pct"/>
            <w:tcBorders>
              <w:top w:val="single" w:color="000000" w:sz="4" w:space="0"/>
              <w:left w:val="nil"/>
              <w:bottom w:val="single" w:color="000000" w:sz="4" w:space="0"/>
              <w:right w:val="single" w:color="000000" w:sz="4" w:space="0"/>
            </w:tcBorders>
            <w:shd w:val="clear" w:color="auto" w:fill="auto"/>
            <w:noWrap/>
            <w:vAlign w:val="center"/>
          </w:tcPr>
          <w:p w14:paraId="7E9C6D22">
            <w:pPr>
              <w:keepNext w:val="0"/>
              <w:keepLines w:val="0"/>
              <w:widowControl/>
              <w:suppressLineNumbers w:val="0"/>
              <w:autoSpaceDE w:val="0"/>
              <w:autoSpaceDN/>
              <w:spacing w:before="0" w:beforeAutospacing="0" w:after="0" w:afterAutospacing="0" w:line="280" w:lineRule="exact"/>
              <w:ind w:left="0" w:right="0"/>
              <w:jc w:val="left"/>
              <w:textAlignment w:val="center"/>
              <w:rPr>
                <w:rFonts w:hint="eastAsia" w:ascii="宋体" w:hAnsi="Times New Roman" w:eastAsia="宋体" w:cs="宋体"/>
                <w:i w:val="0"/>
                <w:iCs w:val="0"/>
                <w:color w:val="000000"/>
                <w:kern w:val="2"/>
                <w:sz w:val="18"/>
                <w:szCs w:val="18"/>
              </w:rPr>
            </w:pPr>
            <w:r>
              <w:rPr>
                <w:rFonts w:hint="eastAsia" w:ascii="宋体" w:hAnsi="Times New Roman" w:eastAsia="宋体" w:cs="宋体"/>
                <w:i w:val="0"/>
                <w:iCs w:val="0"/>
                <w:color w:val="000000"/>
                <w:kern w:val="0"/>
                <w:sz w:val="18"/>
                <w:szCs w:val="18"/>
                <w:lang w:val="en-US" w:eastAsia="zh-CN" w:bidi="ar"/>
              </w:rPr>
              <w:t>%</w:t>
            </w:r>
          </w:p>
        </w:tc>
        <w:tc>
          <w:tcPr>
            <w:tcW w:w="491" w:type="pct"/>
            <w:tcBorders>
              <w:top w:val="single" w:color="000000" w:sz="4" w:space="0"/>
              <w:left w:val="nil"/>
              <w:bottom w:val="single" w:color="000000" w:sz="4" w:space="0"/>
              <w:right w:val="single" w:color="000000" w:sz="4" w:space="0"/>
            </w:tcBorders>
            <w:shd w:val="clear" w:color="auto" w:fill="auto"/>
            <w:noWrap/>
            <w:vAlign w:val="center"/>
          </w:tcPr>
          <w:p w14:paraId="25F701A9">
            <w:pPr>
              <w:keepNext w:val="0"/>
              <w:keepLines w:val="0"/>
              <w:widowControl/>
              <w:suppressLineNumbers w:val="0"/>
              <w:autoSpaceDE w:val="0"/>
              <w:autoSpaceDN/>
              <w:spacing w:before="0" w:beforeAutospacing="0" w:after="0" w:afterAutospacing="0" w:line="280" w:lineRule="exact"/>
              <w:ind w:left="0" w:right="0"/>
              <w:jc w:val="left"/>
              <w:textAlignment w:val="center"/>
              <w:rPr>
                <w:rFonts w:hint="eastAsia" w:ascii="宋体" w:hAnsi="Times New Roman" w:eastAsia="宋体" w:cs="宋体"/>
                <w:i w:val="0"/>
                <w:iCs w:val="0"/>
                <w:color w:val="000000"/>
                <w:kern w:val="2"/>
                <w:sz w:val="18"/>
                <w:szCs w:val="18"/>
              </w:rPr>
            </w:pPr>
            <w:r>
              <w:rPr>
                <w:rFonts w:hint="eastAsia" w:ascii="宋体" w:hAnsi="Times New Roman" w:eastAsia="宋体" w:cs="宋体"/>
                <w:i w:val="0"/>
                <w:iCs w:val="0"/>
                <w:color w:val="000000"/>
                <w:kern w:val="0"/>
                <w:sz w:val="18"/>
                <w:szCs w:val="18"/>
                <w:lang w:val="en-US" w:eastAsia="zh-CN" w:bidi="ar"/>
              </w:rPr>
              <w:t>15</w:t>
            </w:r>
          </w:p>
        </w:tc>
      </w:tr>
      <w:tr w14:paraId="190AC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BDBEB">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kern w:val="2"/>
                <w:sz w:val="32"/>
                <w:szCs w:val="32"/>
              </w:rPr>
            </w:pPr>
          </w:p>
        </w:tc>
        <w:tc>
          <w:tcPr>
            <w:tcW w:w="546" w:type="pct"/>
            <w:tcBorders>
              <w:top w:val="single" w:color="000000" w:sz="4" w:space="0"/>
              <w:left w:val="nil"/>
              <w:bottom w:val="single" w:color="000000" w:sz="4" w:space="0"/>
              <w:right w:val="single" w:color="000000" w:sz="4" w:space="0"/>
            </w:tcBorders>
            <w:shd w:val="clear" w:color="auto" w:fill="auto"/>
            <w:noWrap/>
            <w:vAlign w:val="center"/>
          </w:tcPr>
          <w:p w14:paraId="36D700A3">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kern w:val="2"/>
                <w:sz w:val="32"/>
                <w:szCs w:val="32"/>
              </w:rPr>
            </w:pPr>
          </w:p>
        </w:tc>
        <w:tc>
          <w:tcPr>
            <w:tcW w:w="622" w:type="pct"/>
            <w:tcBorders>
              <w:top w:val="single" w:color="000000" w:sz="4" w:space="0"/>
              <w:left w:val="nil"/>
              <w:bottom w:val="single" w:color="000000" w:sz="4" w:space="0"/>
              <w:right w:val="single" w:color="000000" w:sz="4" w:space="0"/>
            </w:tcBorders>
            <w:shd w:val="clear" w:color="auto" w:fill="auto"/>
            <w:noWrap/>
            <w:vAlign w:val="center"/>
          </w:tcPr>
          <w:p w14:paraId="6D95BA36">
            <w:pPr>
              <w:keepNext w:val="0"/>
              <w:keepLines w:val="0"/>
              <w:widowControl/>
              <w:suppressLineNumbers w:val="0"/>
              <w:autoSpaceDE w:val="0"/>
              <w:autoSpaceDN/>
              <w:spacing w:before="0" w:beforeAutospacing="0" w:after="0" w:afterAutospacing="0" w:line="280" w:lineRule="exact"/>
              <w:ind w:left="0" w:right="0"/>
              <w:jc w:val="left"/>
              <w:textAlignment w:val="center"/>
              <w:rPr>
                <w:rFonts w:hint="eastAsia" w:ascii="宋体" w:hAnsi="Times New Roman"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时效指标</w:t>
            </w:r>
          </w:p>
        </w:tc>
        <w:tc>
          <w:tcPr>
            <w:tcW w:w="966" w:type="pct"/>
            <w:tcBorders>
              <w:top w:val="single" w:color="000000" w:sz="4" w:space="0"/>
              <w:left w:val="nil"/>
              <w:bottom w:val="single" w:color="000000" w:sz="4" w:space="0"/>
              <w:right w:val="single" w:color="000000" w:sz="4" w:space="0"/>
            </w:tcBorders>
            <w:shd w:val="clear" w:color="auto" w:fill="auto"/>
            <w:noWrap/>
            <w:vAlign w:val="center"/>
          </w:tcPr>
          <w:p w14:paraId="297437D2">
            <w:pPr>
              <w:keepNext w:val="0"/>
              <w:keepLines w:val="0"/>
              <w:widowControl/>
              <w:suppressLineNumbers w:val="0"/>
              <w:autoSpaceDE w:val="0"/>
              <w:autoSpaceDN/>
              <w:spacing w:before="0" w:beforeAutospacing="0" w:after="0" w:afterAutospacing="0" w:line="280" w:lineRule="exact"/>
              <w:ind w:left="0" w:right="0"/>
              <w:jc w:val="left"/>
              <w:textAlignment w:val="center"/>
              <w:rPr>
                <w:rFonts w:hint="eastAsia" w:ascii="宋体" w:hAnsi="Times New Roman"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按时发放率</w:t>
            </w:r>
          </w:p>
        </w:tc>
        <w:tc>
          <w:tcPr>
            <w:tcW w:w="749" w:type="pct"/>
            <w:tcBorders>
              <w:top w:val="single" w:color="000000" w:sz="4" w:space="0"/>
              <w:left w:val="nil"/>
              <w:bottom w:val="single" w:color="000000" w:sz="4" w:space="0"/>
              <w:right w:val="single" w:color="000000" w:sz="4" w:space="0"/>
            </w:tcBorders>
            <w:shd w:val="clear" w:color="auto" w:fill="auto"/>
            <w:noWrap/>
            <w:vAlign w:val="center"/>
          </w:tcPr>
          <w:p w14:paraId="167C0769">
            <w:pPr>
              <w:keepNext w:val="0"/>
              <w:keepLines w:val="0"/>
              <w:widowControl/>
              <w:suppressLineNumbers w:val="0"/>
              <w:autoSpaceDE w:val="0"/>
              <w:autoSpaceDN/>
              <w:spacing w:before="0" w:beforeAutospacing="0" w:after="0" w:afterAutospacing="0" w:line="280" w:lineRule="exact"/>
              <w:ind w:left="0" w:right="0"/>
              <w:jc w:val="left"/>
              <w:textAlignment w:val="center"/>
              <w:rPr>
                <w:rFonts w:hint="eastAsia" w:ascii="宋体" w:hAnsi="Times New Roman"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w:t>
            </w:r>
          </w:p>
        </w:tc>
        <w:tc>
          <w:tcPr>
            <w:tcW w:w="494" w:type="pct"/>
            <w:tcBorders>
              <w:top w:val="single" w:color="000000" w:sz="4" w:space="0"/>
              <w:left w:val="nil"/>
              <w:bottom w:val="single" w:color="000000" w:sz="4" w:space="0"/>
              <w:right w:val="single" w:color="000000" w:sz="4" w:space="0"/>
            </w:tcBorders>
            <w:shd w:val="clear" w:color="auto" w:fill="auto"/>
            <w:noWrap/>
            <w:vAlign w:val="center"/>
          </w:tcPr>
          <w:p w14:paraId="269EACB3">
            <w:pPr>
              <w:keepNext w:val="0"/>
              <w:keepLines w:val="0"/>
              <w:widowControl/>
              <w:suppressLineNumbers w:val="0"/>
              <w:autoSpaceDE w:val="0"/>
              <w:autoSpaceDN/>
              <w:spacing w:before="0" w:beforeAutospacing="0" w:after="0" w:afterAutospacing="0" w:line="280" w:lineRule="exact"/>
              <w:ind w:left="0" w:right="0"/>
              <w:jc w:val="left"/>
              <w:textAlignment w:val="center"/>
              <w:rPr>
                <w:rFonts w:hint="eastAsia" w:ascii="宋体" w:hAnsi="Times New Roman" w:eastAsia="宋体" w:cs="宋体"/>
                <w:i w:val="0"/>
                <w:iCs w:val="0"/>
                <w:color w:val="000000"/>
                <w:kern w:val="2"/>
                <w:sz w:val="18"/>
                <w:szCs w:val="18"/>
              </w:rPr>
            </w:pPr>
            <w:r>
              <w:rPr>
                <w:rFonts w:hint="eastAsia" w:ascii="宋体" w:hAnsi="Times New Roman" w:eastAsia="宋体" w:cs="宋体"/>
                <w:i w:val="0"/>
                <w:iCs w:val="0"/>
                <w:color w:val="000000"/>
                <w:kern w:val="0"/>
                <w:sz w:val="18"/>
                <w:szCs w:val="18"/>
                <w:lang w:val="en-US" w:eastAsia="zh-CN" w:bidi="ar"/>
              </w:rPr>
              <w:t>100</w:t>
            </w:r>
          </w:p>
        </w:tc>
        <w:tc>
          <w:tcPr>
            <w:tcW w:w="614" w:type="pct"/>
            <w:tcBorders>
              <w:top w:val="single" w:color="000000" w:sz="4" w:space="0"/>
              <w:left w:val="nil"/>
              <w:bottom w:val="single" w:color="000000" w:sz="4" w:space="0"/>
              <w:right w:val="single" w:color="000000" w:sz="4" w:space="0"/>
            </w:tcBorders>
            <w:shd w:val="clear" w:color="auto" w:fill="auto"/>
            <w:noWrap/>
            <w:vAlign w:val="center"/>
          </w:tcPr>
          <w:p w14:paraId="7C13FB30">
            <w:pPr>
              <w:keepNext w:val="0"/>
              <w:keepLines w:val="0"/>
              <w:widowControl/>
              <w:suppressLineNumbers w:val="0"/>
              <w:autoSpaceDE w:val="0"/>
              <w:autoSpaceDN/>
              <w:spacing w:before="0" w:beforeAutospacing="0" w:after="0" w:afterAutospacing="0" w:line="280" w:lineRule="exact"/>
              <w:ind w:left="0" w:right="0"/>
              <w:jc w:val="left"/>
              <w:textAlignment w:val="center"/>
              <w:rPr>
                <w:rFonts w:hint="eastAsia" w:ascii="宋体" w:hAnsi="Times New Roman" w:eastAsia="宋体" w:cs="宋体"/>
                <w:i w:val="0"/>
                <w:iCs w:val="0"/>
                <w:color w:val="000000"/>
                <w:kern w:val="2"/>
                <w:sz w:val="18"/>
                <w:szCs w:val="18"/>
              </w:rPr>
            </w:pPr>
            <w:r>
              <w:rPr>
                <w:rFonts w:hint="eastAsia" w:ascii="宋体" w:hAnsi="Times New Roman" w:eastAsia="宋体" w:cs="宋体"/>
                <w:i w:val="0"/>
                <w:iCs w:val="0"/>
                <w:color w:val="000000"/>
                <w:kern w:val="0"/>
                <w:sz w:val="18"/>
                <w:szCs w:val="18"/>
                <w:lang w:val="en-US" w:eastAsia="zh-CN" w:bidi="ar"/>
              </w:rPr>
              <w:t>%</w:t>
            </w:r>
          </w:p>
        </w:tc>
        <w:tc>
          <w:tcPr>
            <w:tcW w:w="491" w:type="pct"/>
            <w:tcBorders>
              <w:top w:val="single" w:color="000000" w:sz="4" w:space="0"/>
              <w:left w:val="nil"/>
              <w:bottom w:val="single" w:color="000000" w:sz="4" w:space="0"/>
              <w:right w:val="single" w:color="000000" w:sz="4" w:space="0"/>
            </w:tcBorders>
            <w:shd w:val="clear" w:color="auto" w:fill="auto"/>
            <w:noWrap/>
            <w:vAlign w:val="center"/>
          </w:tcPr>
          <w:p w14:paraId="1CDCF624">
            <w:pPr>
              <w:keepNext w:val="0"/>
              <w:keepLines w:val="0"/>
              <w:widowControl/>
              <w:suppressLineNumbers w:val="0"/>
              <w:autoSpaceDE w:val="0"/>
              <w:autoSpaceDN/>
              <w:spacing w:before="0" w:beforeAutospacing="0" w:after="0" w:afterAutospacing="0" w:line="280" w:lineRule="exact"/>
              <w:ind w:left="0" w:right="0"/>
              <w:jc w:val="left"/>
              <w:textAlignment w:val="center"/>
              <w:rPr>
                <w:rFonts w:hint="eastAsia" w:ascii="宋体" w:hAnsi="Times New Roman" w:eastAsia="宋体" w:cs="宋体"/>
                <w:i w:val="0"/>
                <w:iCs w:val="0"/>
                <w:color w:val="000000"/>
                <w:kern w:val="2"/>
                <w:sz w:val="18"/>
                <w:szCs w:val="18"/>
              </w:rPr>
            </w:pPr>
            <w:r>
              <w:rPr>
                <w:rFonts w:hint="eastAsia" w:ascii="宋体" w:hAnsi="Times New Roman" w:eastAsia="宋体" w:cs="宋体"/>
                <w:i w:val="0"/>
                <w:iCs w:val="0"/>
                <w:color w:val="000000"/>
                <w:kern w:val="0"/>
                <w:sz w:val="18"/>
                <w:szCs w:val="18"/>
                <w:lang w:val="en-US" w:eastAsia="zh-CN" w:bidi="ar"/>
              </w:rPr>
              <w:t>10</w:t>
            </w:r>
          </w:p>
        </w:tc>
      </w:tr>
      <w:tr w14:paraId="654C0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9" w:hRule="atLeast"/>
        </w:trPr>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5882C">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kern w:val="2"/>
                <w:sz w:val="32"/>
                <w:szCs w:val="32"/>
              </w:rPr>
            </w:pPr>
          </w:p>
        </w:tc>
        <w:tc>
          <w:tcPr>
            <w:tcW w:w="546" w:type="pct"/>
            <w:tcBorders>
              <w:top w:val="single" w:color="000000" w:sz="4" w:space="0"/>
              <w:left w:val="nil"/>
              <w:bottom w:val="single" w:color="000000" w:sz="4" w:space="0"/>
              <w:right w:val="single" w:color="000000" w:sz="4" w:space="0"/>
            </w:tcBorders>
            <w:shd w:val="clear" w:color="auto" w:fill="auto"/>
            <w:noWrap/>
            <w:vAlign w:val="center"/>
          </w:tcPr>
          <w:p w14:paraId="69EE2F3A">
            <w:pPr>
              <w:keepNext w:val="0"/>
              <w:keepLines w:val="0"/>
              <w:widowControl/>
              <w:suppressLineNumbers w:val="0"/>
              <w:autoSpaceDE w:val="0"/>
              <w:autoSpaceDN/>
              <w:spacing w:before="0" w:beforeAutospacing="0" w:after="0" w:afterAutospacing="0" w:line="280" w:lineRule="exact"/>
              <w:ind w:left="0" w:right="0"/>
              <w:jc w:val="left"/>
              <w:textAlignment w:val="center"/>
              <w:rPr>
                <w:rFonts w:hint="eastAsia" w:ascii="宋体" w:hAnsi="Times New Roman"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效益指标</w:t>
            </w:r>
          </w:p>
        </w:tc>
        <w:tc>
          <w:tcPr>
            <w:tcW w:w="622" w:type="pct"/>
            <w:tcBorders>
              <w:top w:val="single" w:color="000000" w:sz="4" w:space="0"/>
              <w:left w:val="nil"/>
              <w:bottom w:val="single" w:color="000000" w:sz="4" w:space="0"/>
              <w:right w:val="single" w:color="000000" w:sz="4" w:space="0"/>
            </w:tcBorders>
            <w:shd w:val="clear" w:color="auto" w:fill="auto"/>
            <w:noWrap/>
            <w:vAlign w:val="center"/>
          </w:tcPr>
          <w:p w14:paraId="7488542A">
            <w:pPr>
              <w:keepNext w:val="0"/>
              <w:keepLines w:val="0"/>
              <w:widowControl/>
              <w:suppressLineNumbers w:val="0"/>
              <w:autoSpaceDE w:val="0"/>
              <w:autoSpaceDN/>
              <w:spacing w:before="0" w:beforeAutospacing="0" w:after="0" w:afterAutospacing="0" w:line="280" w:lineRule="exact"/>
              <w:ind w:left="0" w:right="0"/>
              <w:jc w:val="left"/>
              <w:textAlignment w:val="center"/>
              <w:rPr>
                <w:rFonts w:hint="eastAsia" w:ascii="宋体" w:hAnsi="Times New Roman"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经济效益指标</w:t>
            </w:r>
          </w:p>
        </w:tc>
        <w:tc>
          <w:tcPr>
            <w:tcW w:w="966" w:type="pct"/>
            <w:tcBorders>
              <w:top w:val="single" w:color="000000" w:sz="4" w:space="0"/>
              <w:left w:val="nil"/>
              <w:bottom w:val="single" w:color="000000" w:sz="4" w:space="0"/>
              <w:right w:val="single" w:color="000000" w:sz="4" w:space="0"/>
            </w:tcBorders>
            <w:shd w:val="clear" w:color="auto" w:fill="auto"/>
            <w:noWrap/>
            <w:vAlign w:val="center"/>
          </w:tcPr>
          <w:p w14:paraId="2FF14A5E">
            <w:pPr>
              <w:keepNext w:val="0"/>
              <w:keepLines w:val="0"/>
              <w:widowControl/>
              <w:suppressLineNumbers w:val="0"/>
              <w:autoSpaceDE w:val="0"/>
              <w:autoSpaceDN/>
              <w:spacing w:before="0" w:beforeAutospacing="0" w:after="0" w:afterAutospacing="0" w:line="280" w:lineRule="exact"/>
              <w:ind w:left="0" w:right="0"/>
              <w:jc w:val="left"/>
              <w:textAlignment w:val="center"/>
              <w:rPr>
                <w:rFonts w:hint="eastAsia" w:ascii="宋体" w:hAnsi="Times New Roman"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三公经费控制率</w:t>
            </w:r>
          </w:p>
        </w:tc>
        <w:tc>
          <w:tcPr>
            <w:tcW w:w="749" w:type="pct"/>
            <w:tcBorders>
              <w:top w:val="single" w:color="000000" w:sz="4" w:space="0"/>
              <w:left w:val="nil"/>
              <w:bottom w:val="single" w:color="000000" w:sz="4" w:space="0"/>
              <w:right w:val="single" w:color="000000" w:sz="4" w:space="0"/>
            </w:tcBorders>
            <w:shd w:val="clear" w:color="auto" w:fill="auto"/>
            <w:noWrap/>
            <w:vAlign w:val="center"/>
          </w:tcPr>
          <w:p w14:paraId="13D80EFA">
            <w:pPr>
              <w:keepNext w:val="0"/>
              <w:keepLines w:val="0"/>
              <w:widowControl/>
              <w:suppressLineNumbers w:val="0"/>
              <w:autoSpaceDE w:val="0"/>
              <w:autoSpaceDN/>
              <w:spacing w:before="0" w:beforeAutospacing="0" w:after="0" w:afterAutospacing="0" w:line="280" w:lineRule="exact"/>
              <w:ind w:left="0" w:right="0"/>
              <w:jc w:val="left"/>
              <w:textAlignment w:val="center"/>
              <w:rPr>
                <w:rFonts w:hint="eastAsia" w:ascii="宋体" w:hAnsi="Times New Roman"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w:t>
            </w:r>
          </w:p>
        </w:tc>
        <w:tc>
          <w:tcPr>
            <w:tcW w:w="494" w:type="pct"/>
            <w:tcBorders>
              <w:top w:val="single" w:color="000000" w:sz="4" w:space="0"/>
              <w:left w:val="nil"/>
              <w:bottom w:val="single" w:color="000000" w:sz="4" w:space="0"/>
              <w:right w:val="single" w:color="000000" w:sz="4" w:space="0"/>
            </w:tcBorders>
            <w:shd w:val="clear" w:color="auto" w:fill="auto"/>
            <w:noWrap/>
            <w:vAlign w:val="center"/>
          </w:tcPr>
          <w:p w14:paraId="34EE28C6">
            <w:pPr>
              <w:keepNext w:val="0"/>
              <w:keepLines w:val="0"/>
              <w:widowControl/>
              <w:suppressLineNumbers w:val="0"/>
              <w:autoSpaceDE w:val="0"/>
              <w:autoSpaceDN/>
              <w:spacing w:before="0" w:beforeAutospacing="0" w:after="0" w:afterAutospacing="0" w:line="280" w:lineRule="exact"/>
              <w:ind w:left="0" w:right="0"/>
              <w:jc w:val="left"/>
              <w:textAlignment w:val="center"/>
              <w:rPr>
                <w:rFonts w:hint="eastAsia" w:ascii="宋体" w:hAnsi="Times New Roman" w:eastAsia="宋体" w:cs="宋体"/>
                <w:i w:val="0"/>
                <w:iCs w:val="0"/>
                <w:color w:val="000000"/>
                <w:kern w:val="2"/>
                <w:sz w:val="18"/>
                <w:szCs w:val="18"/>
              </w:rPr>
            </w:pPr>
            <w:r>
              <w:rPr>
                <w:rFonts w:hint="eastAsia" w:ascii="宋体" w:hAnsi="Times New Roman" w:eastAsia="宋体" w:cs="宋体"/>
                <w:i w:val="0"/>
                <w:iCs w:val="0"/>
                <w:color w:val="000000"/>
                <w:kern w:val="0"/>
                <w:sz w:val="18"/>
                <w:szCs w:val="18"/>
                <w:lang w:val="en-US" w:eastAsia="zh-CN" w:bidi="ar"/>
              </w:rPr>
              <w:t>100</w:t>
            </w:r>
          </w:p>
        </w:tc>
        <w:tc>
          <w:tcPr>
            <w:tcW w:w="614" w:type="pct"/>
            <w:tcBorders>
              <w:top w:val="single" w:color="000000" w:sz="4" w:space="0"/>
              <w:left w:val="nil"/>
              <w:bottom w:val="single" w:color="000000" w:sz="4" w:space="0"/>
              <w:right w:val="single" w:color="000000" w:sz="4" w:space="0"/>
            </w:tcBorders>
            <w:shd w:val="clear" w:color="auto" w:fill="auto"/>
            <w:noWrap/>
            <w:vAlign w:val="center"/>
          </w:tcPr>
          <w:p w14:paraId="59A4EC88">
            <w:pPr>
              <w:keepNext w:val="0"/>
              <w:keepLines w:val="0"/>
              <w:widowControl/>
              <w:suppressLineNumbers w:val="0"/>
              <w:autoSpaceDE w:val="0"/>
              <w:autoSpaceDN/>
              <w:spacing w:before="0" w:beforeAutospacing="0" w:after="0" w:afterAutospacing="0" w:line="280" w:lineRule="exact"/>
              <w:ind w:left="0" w:right="0"/>
              <w:jc w:val="left"/>
              <w:textAlignment w:val="center"/>
              <w:rPr>
                <w:rFonts w:hint="eastAsia" w:ascii="宋体" w:hAnsi="Times New Roman" w:eastAsia="宋体" w:cs="宋体"/>
                <w:i w:val="0"/>
                <w:iCs w:val="0"/>
                <w:color w:val="000000"/>
                <w:kern w:val="2"/>
                <w:sz w:val="18"/>
                <w:szCs w:val="18"/>
              </w:rPr>
            </w:pPr>
            <w:r>
              <w:rPr>
                <w:rFonts w:hint="eastAsia" w:ascii="宋体" w:hAnsi="Times New Roman" w:eastAsia="宋体" w:cs="宋体"/>
                <w:i w:val="0"/>
                <w:iCs w:val="0"/>
                <w:color w:val="000000"/>
                <w:kern w:val="0"/>
                <w:sz w:val="18"/>
                <w:szCs w:val="18"/>
                <w:lang w:val="en-US" w:eastAsia="zh-CN" w:bidi="ar"/>
              </w:rPr>
              <w:t>%</w:t>
            </w:r>
          </w:p>
        </w:tc>
        <w:tc>
          <w:tcPr>
            <w:tcW w:w="491" w:type="pct"/>
            <w:tcBorders>
              <w:top w:val="single" w:color="000000" w:sz="4" w:space="0"/>
              <w:left w:val="nil"/>
              <w:bottom w:val="single" w:color="000000" w:sz="4" w:space="0"/>
              <w:right w:val="single" w:color="000000" w:sz="4" w:space="0"/>
            </w:tcBorders>
            <w:shd w:val="clear" w:color="auto" w:fill="auto"/>
            <w:noWrap/>
            <w:vAlign w:val="center"/>
          </w:tcPr>
          <w:p w14:paraId="57AA6F48">
            <w:pPr>
              <w:keepNext w:val="0"/>
              <w:keepLines w:val="0"/>
              <w:widowControl/>
              <w:suppressLineNumbers w:val="0"/>
              <w:autoSpaceDE w:val="0"/>
              <w:autoSpaceDN/>
              <w:spacing w:before="0" w:beforeAutospacing="0" w:after="0" w:afterAutospacing="0" w:line="280" w:lineRule="exact"/>
              <w:ind w:left="0" w:right="0"/>
              <w:jc w:val="left"/>
              <w:textAlignment w:val="center"/>
              <w:rPr>
                <w:rFonts w:hint="eastAsia" w:ascii="宋体" w:hAnsi="Times New Roman" w:eastAsia="宋体" w:cs="宋体"/>
                <w:i w:val="0"/>
                <w:iCs w:val="0"/>
                <w:color w:val="000000"/>
                <w:kern w:val="2"/>
                <w:sz w:val="18"/>
                <w:szCs w:val="18"/>
              </w:rPr>
            </w:pPr>
            <w:r>
              <w:rPr>
                <w:rFonts w:hint="eastAsia" w:ascii="宋体" w:hAnsi="Times New Roman" w:eastAsia="宋体" w:cs="宋体"/>
                <w:i w:val="0"/>
                <w:iCs w:val="0"/>
                <w:color w:val="000000"/>
                <w:kern w:val="0"/>
                <w:sz w:val="18"/>
                <w:szCs w:val="18"/>
                <w:lang w:val="en-US" w:eastAsia="zh-CN" w:bidi="ar"/>
              </w:rPr>
              <w:t>15</w:t>
            </w:r>
          </w:p>
        </w:tc>
      </w:tr>
      <w:tr w14:paraId="65C5F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9" w:hRule="atLeast"/>
        </w:trPr>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B9886">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kern w:val="2"/>
                <w:sz w:val="32"/>
                <w:szCs w:val="32"/>
              </w:rPr>
            </w:pPr>
          </w:p>
        </w:tc>
        <w:tc>
          <w:tcPr>
            <w:tcW w:w="546" w:type="pct"/>
            <w:tcBorders>
              <w:top w:val="single" w:color="000000" w:sz="4" w:space="0"/>
              <w:left w:val="nil"/>
              <w:bottom w:val="single" w:color="000000" w:sz="4" w:space="0"/>
              <w:right w:val="single" w:color="000000" w:sz="4" w:space="0"/>
            </w:tcBorders>
            <w:shd w:val="clear" w:color="auto" w:fill="auto"/>
            <w:noWrap/>
            <w:vAlign w:val="center"/>
          </w:tcPr>
          <w:p w14:paraId="38407702">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kern w:val="2"/>
                <w:sz w:val="32"/>
                <w:szCs w:val="32"/>
              </w:rPr>
            </w:pPr>
          </w:p>
        </w:tc>
        <w:tc>
          <w:tcPr>
            <w:tcW w:w="622" w:type="pct"/>
            <w:tcBorders>
              <w:top w:val="single" w:color="000000" w:sz="4" w:space="0"/>
              <w:left w:val="nil"/>
              <w:bottom w:val="single" w:color="000000" w:sz="4" w:space="0"/>
              <w:right w:val="single" w:color="000000" w:sz="4" w:space="0"/>
            </w:tcBorders>
            <w:shd w:val="clear" w:color="auto" w:fill="auto"/>
            <w:noWrap/>
            <w:vAlign w:val="center"/>
          </w:tcPr>
          <w:p w14:paraId="53895BE5">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kern w:val="2"/>
                <w:sz w:val="32"/>
                <w:szCs w:val="32"/>
              </w:rPr>
            </w:pPr>
          </w:p>
        </w:tc>
        <w:tc>
          <w:tcPr>
            <w:tcW w:w="966" w:type="pct"/>
            <w:tcBorders>
              <w:top w:val="single" w:color="000000" w:sz="4" w:space="0"/>
              <w:left w:val="nil"/>
              <w:bottom w:val="single" w:color="000000" w:sz="4" w:space="0"/>
              <w:right w:val="single" w:color="000000" w:sz="4" w:space="0"/>
            </w:tcBorders>
            <w:shd w:val="clear" w:color="auto" w:fill="auto"/>
            <w:noWrap/>
            <w:vAlign w:val="center"/>
          </w:tcPr>
          <w:p w14:paraId="06C26639">
            <w:pPr>
              <w:keepNext w:val="0"/>
              <w:keepLines w:val="0"/>
              <w:widowControl/>
              <w:suppressLineNumbers w:val="0"/>
              <w:autoSpaceDE w:val="0"/>
              <w:autoSpaceDN/>
              <w:spacing w:before="0" w:beforeAutospacing="0" w:after="0" w:afterAutospacing="0" w:line="280" w:lineRule="exact"/>
              <w:ind w:left="0" w:right="0"/>
              <w:jc w:val="left"/>
              <w:textAlignment w:val="center"/>
              <w:rPr>
                <w:rFonts w:hint="eastAsia" w:ascii="宋体" w:hAnsi="Times New Roman"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预算结余率</w:t>
            </w:r>
          </w:p>
        </w:tc>
        <w:tc>
          <w:tcPr>
            <w:tcW w:w="749" w:type="pct"/>
            <w:tcBorders>
              <w:top w:val="single" w:color="000000" w:sz="4" w:space="0"/>
              <w:left w:val="nil"/>
              <w:bottom w:val="single" w:color="000000" w:sz="4" w:space="0"/>
              <w:right w:val="single" w:color="000000" w:sz="4" w:space="0"/>
            </w:tcBorders>
            <w:shd w:val="clear" w:color="auto" w:fill="auto"/>
            <w:noWrap/>
            <w:vAlign w:val="center"/>
          </w:tcPr>
          <w:p w14:paraId="0140C12F">
            <w:pPr>
              <w:keepNext w:val="0"/>
              <w:keepLines w:val="0"/>
              <w:widowControl/>
              <w:suppressLineNumbers w:val="0"/>
              <w:autoSpaceDE w:val="0"/>
              <w:autoSpaceDN/>
              <w:spacing w:before="0" w:beforeAutospacing="0" w:after="0" w:afterAutospacing="0" w:line="280" w:lineRule="exact"/>
              <w:ind w:left="0" w:right="0"/>
              <w:jc w:val="left"/>
              <w:textAlignment w:val="center"/>
              <w:rPr>
                <w:rFonts w:hint="eastAsia" w:ascii="宋体" w:hAnsi="Times New Roman" w:eastAsia="宋体" w:cs="宋体"/>
                <w:i w:val="0"/>
                <w:iCs w:val="0"/>
                <w:color w:val="000000"/>
                <w:kern w:val="2"/>
                <w:sz w:val="18"/>
                <w:szCs w:val="18"/>
              </w:rPr>
            </w:pPr>
            <w:r>
              <w:rPr>
                <w:rFonts w:hint="default" w:ascii="Times New Roman" w:hAnsi="Times New Roman" w:eastAsia="宋体" w:cs="Times New Roman"/>
                <w:i w:val="0"/>
                <w:iCs w:val="0"/>
                <w:color w:val="000000"/>
                <w:kern w:val="0"/>
                <w:sz w:val="18"/>
                <w:szCs w:val="18"/>
                <w:lang w:val="en-US" w:eastAsia="zh-CN" w:bidi="ar"/>
              </w:rPr>
              <w:t>≤</w:t>
            </w:r>
          </w:p>
        </w:tc>
        <w:tc>
          <w:tcPr>
            <w:tcW w:w="494" w:type="pct"/>
            <w:tcBorders>
              <w:top w:val="single" w:color="000000" w:sz="4" w:space="0"/>
              <w:left w:val="nil"/>
              <w:bottom w:val="single" w:color="000000" w:sz="4" w:space="0"/>
              <w:right w:val="single" w:color="000000" w:sz="4" w:space="0"/>
            </w:tcBorders>
            <w:shd w:val="clear" w:color="auto" w:fill="auto"/>
            <w:noWrap/>
            <w:vAlign w:val="center"/>
          </w:tcPr>
          <w:p w14:paraId="2EBC2FFD">
            <w:pPr>
              <w:keepNext w:val="0"/>
              <w:keepLines w:val="0"/>
              <w:widowControl/>
              <w:suppressLineNumbers w:val="0"/>
              <w:autoSpaceDE w:val="0"/>
              <w:autoSpaceDN/>
              <w:spacing w:before="0" w:beforeAutospacing="0" w:after="0" w:afterAutospacing="0" w:line="280" w:lineRule="exact"/>
              <w:ind w:left="0" w:right="0"/>
              <w:jc w:val="left"/>
              <w:textAlignment w:val="center"/>
              <w:rPr>
                <w:rFonts w:hint="eastAsia" w:ascii="宋体" w:hAnsi="Times New Roman" w:eastAsia="宋体" w:cs="宋体"/>
                <w:i w:val="0"/>
                <w:iCs w:val="0"/>
                <w:color w:val="000000"/>
                <w:kern w:val="2"/>
                <w:sz w:val="18"/>
                <w:szCs w:val="18"/>
              </w:rPr>
            </w:pPr>
            <w:r>
              <w:rPr>
                <w:rFonts w:hint="eastAsia" w:ascii="宋体" w:hAnsi="Times New Roman" w:eastAsia="宋体" w:cs="宋体"/>
                <w:i w:val="0"/>
                <w:iCs w:val="0"/>
                <w:color w:val="000000"/>
                <w:kern w:val="0"/>
                <w:sz w:val="18"/>
                <w:szCs w:val="18"/>
                <w:lang w:val="en-US" w:eastAsia="zh-CN" w:bidi="ar"/>
              </w:rPr>
              <w:t>5</w:t>
            </w:r>
          </w:p>
        </w:tc>
        <w:tc>
          <w:tcPr>
            <w:tcW w:w="614" w:type="pct"/>
            <w:tcBorders>
              <w:top w:val="single" w:color="000000" w:sz="4" w:space="0"/>
              <w:left w:val="nil"/>
              <w:bottom w:val="single" w:color="000000" w:sz="4" w:space="0"/>
              <w:right w:val="single" w:color="000000" w:sz="4" w:space="0"/>
            </w:tcBorders>
            <w:shd w:val="clear" w:color="auto" w:fill="auto"/>
            <w:noWrap/>
            <w:vAlign w:val="center"/>
          </w:tcPr>
          <w:p w14:paraId="5630B7C7">
            <w:pPr>
              <w:keepNext w:val="0"/>
              <w:keepLines w:val="0"/>
              <w:widowControl/>
              <w:suppressLineNumbers w:val="0"/>
              <w:autoSpaceDE w:val="0"/>
              <w:autoSpaceDN/>
              <w:spacing w:before="0" w:beforeAutospacing="0" w:after="0" w:afterAutospacing="0" w:line="280" w:lineRule="exact"/>
              <w:ind w:left="0" w:right="0"/>
              <w:jc w:val="left"/>
              <w:textAlignment w:val="center"/>
              <w:rPr>
                <w:rFonts w:hint="eastAsia" w:ascii="宋体" w:hAnsi="Times New Roman" w:eastAsia="宋体" w:cs="宋体"/>
                <w:i w:val="0"/>
                <w:iCs w:val="0"/>
                <w:color w:val="000000"/>
                <w:kern w:val="2"/>
                <w:sz w:val="18"/>
                <w:szCs w:val="18"/>
              </w:rPr>
            </w:pPr>
            <w:r>
              <w:rPr>
                <w:rFonts w:hint="eastAsia" w:ascii="宋体" w:hAnsi="Times New Roman" w:eastAsia="宋体" w:cs="宋体"/>
                <w:i w:val="0"/>
                <w:iCs w:val="0"/>
                <w:color w:val="000000"/>
                <w:kern w:val="0"/>
                <w:sz w:val="18"/>
                <w:szCs w:val="18"/>
                <w:lang w:val="en-US" w:eastAsia="zh-CN" w:bidi="ar"/>
              </w:rPr>
              <w:t>%</w:t>
            </w:r>
          </w:p>
        </w:tc>
        <w:tc>
          <w:tcPr>
            <w:tcW w:w="491" w:type="pct"/>
            <w:tcBorders>
              <w:top w:val="single" w:color="000000" w:sz="4" w:space="0"/>
              <w:left w:val="nil"/>
              <w:bottom w:val="single" w:color="000000" w:sz="4" w:space="0"/>
              <w:right w:val="single" w:color="000000" w:sz="4" w:space="0"/>
            </w:tcBorders>
            <w:shd w:val="clear" w:color="auto" w:fill="auto"/>
            <w:noWrap/>
            <w:vAlign w:val="center"/>
          </w:tcPr>
          <w:p w14:paraId="33C09ABD">
            <w:pPr>
              <w:keepNext w:val="0"/>
              <w:keepLines w:val="0"/>
              <w:widowControl/>
              <w:suppressLineNumbers w:val="0"/>
              <w:autoSpaceDE w:val="0"/>
              <w:autoSpaceDN/>
              <w:spacing w:before="0" w:beforeAutospacing="0" w:after="0" w:afterAutospacing="0" w:line="280" w:lineRule="exact"/>
              <w:ind w:left="0" w:right="0"/>
              <w:jc w:val="left"/>
              <w:textAlignment w:val="center"/>
              <w:rPr>
                <w:rFonts w:hint="eastAsia" w:ascii="宋体" w:hAnsi="Times New Roman" w:eastAsia="宋体" w:cs="宋体"/>
                <w:i w:val="0"/>
                <w:iCs w:val="0"/>
                <w:color w:val="000000"/>
                <w:kern w:val="2"/>
                <w:sz w:val="18"/>
                <w:szCs w:val="18"/>
              </w:rPr>
            </w:pPr>
            <w:r>
              <w:rPr>
                <w:rFonts w:hint="eastAsia" w:ascii="宋体" w:hAnsi="Times New Roman" w:eastAsia="宋体" w:cs="宋体"/>
                <w:i w:val="0"/>
                <w:iCs w:val="0"/>
                <w:color w:val="000000"/>
                <w:kern w:val="0"/>
                <w:sz w:val="18"/>
                <w:szCs w:val="18"/>
                <w:lang w:val="en-US" w:eastAsia="zh-CN" w:bidi="ar"/>
              </w:rPr>
              <w:t>15</w:t>
            </w:r>
          </w:p>
        </w:tc>
      </w:tr>
      <w:tr w14:paraId="47C63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9C4C6">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kern w:val="2"/>
                <w:sz w:val="32"/>
                <w:szCs w:val="32"/>
              </w:rPr>
            </w:pPr>
          </w:p>
        </w:tc>
        <w:tc>
          <w:tcPr>
            <w:tcW w:w="546" w:type="pct"/>
            <w:tcBorders>
              <w:top w:val="single" w:color="000000" w:sz="4" w:space="0"/>
              <w:left w:val="nil"/>
              <w:bottom w:val="single" w:color="000000" w:sz="4" w:space="0"/>
              <w:right w:val="single" w:color="000000" w:sz="4" w:space="0"/>
            </w:tcBorders>
            <w:shd w:val="clear" w:color="auto" w:fill="auto"/>
            <w:noWrap/>
            <w:vAlign w:val="center"/>
          </w:tcPr>
          <w:p w14:paraId="33D8865E">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kern w:val="2"/>
                <w:sz w:val="32"/>
                <w:szCs w:val="32"/>
              </w:rPr>
            </w:pPr>
          </w:p>
        </w:tc>
        <w:tc>
          <w:tcPr>
            <w:tcW w:w="622" w:type="pct"/>
            <w:tcBorders>
              <w:top w:val="single" w:color="000000" w:sz="4" w:space="0"/>
              <w:left w:val="nil"/>
              <w:bottom w:val="single" w:color="000000" w:sz="4" w:space="0"/>
              <w:right w:val="single" w:color="000000" w:sz="4" w:space="0"/>
            </w:tcBorders>
            <w:shd w:val="clear" w:color="auto" w:fill="auto"/>
            <w:noWrap/>
            <w:vAlign w:val="center"/>
          </w:tcPr>
          <w:p w14:paraId="293748B5">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kern w:val="2"/>
                <w:sz w:val="32"/>
                <w:szCs w:val="32"/>
              </w:rPr>
            </w:pPr>
          </w:p>
        </w:tc>
        <w:tc>
          <w:tcPr>
            <w:tcW w:w="966" w:type="pct"/>
            <w:tcBorders>
              <w:top w:val="single" w:color="000000" w:sz="4" w:space="0"/>
              <w:left w:val="nil"/>
              <w:bottom w:val="single" w:color="000000" w:sz="4" w:space="0"/>
              <w:right w:val="single" w:color="000000" w:sz="4" w:space="0"/>
            </w:tcBorders>
            <w:shd w:val="clear" w:color="auto" w:fill="auto"/>
            <w:noWrap/>
            <w:vAlign w:val="center"/>
          </w:tcPr>
          <w:p w14:paraId="71CEE660">
            <w:pPr>
              <w:keepNext w:val="0"/>
              <w:keepLines w:val="0"/>
              <w:widowControl/>
              <w:suppressLineNumbers w:val="0"/>
              <w:autoSpaceDE w:val="0"/>
              <w:autoSpaceDN/>
              <w:spacing w:before="0" w:beforeAutospacing="0" w:after="0" w:afterAutospacing="0" w:line="280" w:lineRule="exact"/>
              <w:ind w:left="0" w:right="0"/>
              <w:jc w:val="left"/>
              <w:textAlignment w:val="center"/>
              <w:rPr>
                <w:rFonts w:hint="eastAsia" w:ascii="宋体" w:hAnsi="Times New Roman"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运转保障率</w:t>
            </w:r>
          </w:p>
        </w:tc>
        <w:tc>
          <w:tcPr>
            <w:tcW w:w="749" w:type="pct"/>
            <w:tcBorders>
              <w:top w:val="single" w:color="000000" w:sz="4" w:space="0"/>
              <w:left w:val="nil"/>
              <w:bottom w:val="single" w:color="000000" w:sz="4" w:space="0"/>
              <w:right w:val="single" w:color="000000" w:sz="4" w:space="0"/>
            </w:tcBorders>
            <w:shd w:val="clear" w:color="auto" w:fill="auto"/>
            <w:noWrap/>
            <w:vAlign w:val="center"/>
          </w:tcPr>
          <w:p w14:paraId="735F6A31">
            <w:pPr>
              <w:keepNext w:val="0"/>
              <w:keepLines w:val="0"/>
              <w:widowControl/>
              <w:suppressLineNumbers w:val="0"/>
              <w:autoSpaceDE w:val="0"/>
              <w:autoSpaceDN/>
              <w:spacing w:before="0" w:beforeAutospacing="0" w:after="0" w:afterAutospacing="0" w:line="280" w:lineRule="exact"/>
              <w:ind w:left="0" w:right="0"/>
              <w:jc w:val="left"/>
              <w:textAlignment w:val="center"/>
              <w:rPr>
                <w:rFonts w:hint="eastAsia" w:ascii="宋体" w:hAnsi="Times New Roman"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w:t>
            </w:r>
          </w:p>
        </w:tc>
        <w:tc>
          <w:tcPr>
            <w:tcW w:w="494" w:type="pct"/>
            <w:tcBorders>
              <w:top w:val="single" w:color="000000" w:sz="4" w:space="0"/>
              <w:left w:val="nil"/>
              <w:bottom w:val="single" w:color="000000" w:sz="4" w:space="0"/>
              <w:right w:val="single" w:color="000000" w:sz="4" w:space="0"/>
            </w:tcBorders>
            <w:shd w:val="clear" w:color="auto" w:fill="auto"/>
            <w:noWrap/>
            <w:vAlign w:val="center"/>
          </w:tcPr>
          <w:p w14:paraId="7A63DE3B">
            <w:pPr>
              <w:keepNext w:val="0"/>
              <w:keepLines w:val="0"/>
              <w:widowControl/>
              <w:suppressLineNumbers w:val="0"/>
              <w:autoSpaceDE w:val="0"/>
              <w:autoSpaceDN/>
              <w:spacing w:before="0" w:beforeAutospacing="0" w:after="0" w:afterAutospacing="0" w:line="280" w:lineRule="exact"/>
              <w:ind w:left="0" w:right="0"/>
              <w:jc w:val="left"/>
              <w:textAlignment w:val="center"/>
              <w:rPr>
                <w:rFonts w:hint="eastAsia" w:ascii="宋体" w:hAnsi="Times New Roman" w:eastAsia="宋体" w:cs="宋体"/>
                <w:i w:val="0"/>
                <w:iCs w:val="0"/>
                <w:color w:val="000000"/>
                <w:kern w:val="2"/>
                <w:sz w:val="18"/>
                <w:szCs w:val="18"/>
              </w:rPr>
            </w:pPr>
            <w:r>
              <w:rPr>
                <w:rFonts w:hint="eastAsia" w:ascii="宋体" w:hAnsi="Times New Roman" w:eastAsia="宋体" w:cs="宋体"/>
                <w:i w:val="0"/>
                <w:iCs w:val="0"/>
                <w:color w:val="000000"/>
                <w:kern w:val="0"/>
                <w:sz w:val="18"/>
                <w:szCs w:val="18"/>
                <w:lang w:val="en-US" w:eastAsia="zh-CN" w:bidi="ar"/>
              </w:rPr>
              <w:t>100</w:t>
            </w:r>
          </w:p>
        </w:tc>
        <w:tc>
          <w:tcPr>
            <w:tcW w:w="614" w:type="pct"/>
            <w:tcBorders>
              <w:top w:val="single" w:color="000000" w:sz="4" w:space="0"/>
              <w:left w:val="nil"/>
              <w:bottom w:val="single" w:color="000000" w:sz="4" w:space="0"/>
              <w:right w:val="single" w:color="000000" w:sz="4" w:space="0"/>
            </w:tcBorders>
            <w:shd w:val="clear" w:color="auto" w:fill="auto"/>
            <w:noWrap/>
            <w:vAlign w:val="center"/>
          </w:tcPr>
          <w:p w14:paraId="052E76CF">
            <w:pPr>
              <w:keepNext w:val="0"/>
              <w:keepLines w:val="0"/>
              <w:widowControl/>
              <w:suppressLineNumbers w:val="0"/>
              <w:autoSpaceDE w:val="0"/>
              <w:autoSpaceDN/>
              <w:spacing w:before="0" w:beforeAutospacing="0" w:after="0" w:afterAutospacing="0" w:line="280" w:lineRule="exact"/>
              <w:ind w:left="0" w:right="0"/>
              <w:jc w:val="left"/>
              <w:textAlignment w:val="center"/>
              <w:rPr>
                <w:rFonts w:hint="eastAsia" w:ascii="宋体" w:hAnsi="Times New Roman" w:eastAsia="宋体" w:cs="宋体"/>
                <w:i w:val="0"/>
                <w:iCs w:val="0"/>
                <w:color w:val="000000"/>
                <w:kern w:val="2"/>
                <w:sz w:val="18"/>
                <w:szCs w:val="18"/>
              </w:rPr>
            </w:pPr>
            <w:r>
              <w:rPr>
                <w:rFonts w:hint="eastAsia" w:ascii="宋体" w:hAnsi="Times New Roman" w:eastAsia="宋体" w:cs="宋体"/>
                <w:i w:val="0"/>
                <w:iCs w:val="0"/>
                <w:color w:val="000000"/>
                <w:kern w:val="0"/>
                <w:sz w:val="18"/>
                <w:szCs w:val="18"/>
                <w:lang w:val="en-US" w:eastAsia="zh-CN" w:bidi="ar"/>
              </w:rPr>
              <w:t>%</w:t>
            </w:r>
          </w:p>
        </w:tc>
        <w:tc>
          <w:tcPr>
            <w:tcW w:w="491" w:type="pct"/>
            <w:tcBorders>
              <w:top w:val="single" w:color="000000" w:sz="4" w:space="0"/>
              <w:left w:val="nil"/>
              <w:bottom w:val="single" w:color="000000" w:sz="4" w:space="0"/>
              <w:right w:val="single" w:color="000000" w:sz="4" w:space="0"/>
            </w:tcBorders>
            <w:shd w:val="clear" w:color="auto" w:fill="auto"/>
            <w:noWrap/>
            <w:vAlign w:val="center"/>
          </w:tcPr>
          <w:p w14:paraId="5694069E">
            <w:pPr>
              <w:keepNext w:val="0"/>
              <w:keepLines w:val="0"/>
              <w:widowControl/>
              <w:suppressLineNumbers w:val="0"/>
              <w:autoSpaceDE w:val="0"/>
              <w:autoSpaceDN/>
              <w:spacing w:before="0" w:beforeAutospacing="0" w:after="0" w:afterAutospacing="0" w:line="280" w:lineRule="exact"/>
              <w:ind w:left="0" w:right="0"/>
              <w:jc w:val="left"/>
              <w:textAlignment w:val="center"/>
              <w:rPr>
                <w:rFonts w:hint="eastAsia" w:ascii="宋体" w:hAnsi="Times New Roman" w:eastAsia="宋体" w:cs="宋体"/>
                <w:i w:val="0"/>
                <w:iCs w:val="0"/>
                <w:color w:val="000000"/>
                <w:kern w:val="2"/>
                <w:sz w:val="18"/>
                <w:szCs w:val="18"/>
              </w:rPr>
            </w:pPr>
            <w:r>
              <w:rPr>
                <w:rFonts w:hint="eastAsia" w:ascii="宋体" w:hAnsi="Times New Roman" w:eastAsia="宋体" w:cs="宋体"/>
                <w:i w:val="0"/>
                <w:iCs w:val="0"/>
                <w:color w:val="000000"/>
                <w:kern w:val="0"/>
                <w:sz w:val="18"/>
                <w:szCs w:val="18"/>
                <w:lang w:val="en-US" w:eastAsia="zh-CN" w:bidi="ar"/>
              </w:rPr>
              <w:t>10</w:t>
            </w:r>
          </w:p>
        </w:tc>
      </w:tr>
      <w:tr w14:paraId="69058C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0EB2B">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kern w:val="2"/>
                <w:sz w:val="32"/>
                <w:szCs w:val="32"/>
              </w:rPr>
            </w:pPr>
          </w:p>
        </w:tc>
        <w:tc>
          <w:tcPr>
            <w:tcW w:w="546" w:type="pct"/>
            <w:tcBorders>
              <w:top w:val="single" w:color="000000" w:sz="4" w:space="0"/>
              <w:left w:val="nil"/>
              <w:bottom w:val="single" w:color="000000" w:sz="4" w:space="0"/>
              <w:right w:val="single" w:color="000000" w:sz="4" w:space="0"/>
            </w:tcBorders>
            <w:shd w:val="clear" w:color="auto" w:fill="auto"/>
            <w:noWrap/>
            <w:vAlign w:val="center"/>
          </w:tcPr>
          <w:p w14:paraId="25784F96">
            <w:pPr>
              <w:keepNext w:val="0"/>
              <w:keepLines w:val="0"/>
              <w:widowControl/>
              <w:suppressLineNumbers w:val="0"/>
              <w:autoSpaceDE w:val="0"/>
              <w:autoSpaceDN/>
              <w:spacing w:before="0" w:beforeAutospacing="0" w:after="0" w:afterAutospacing="0" w:line="280" w:lineRule="exact"/>
              <w:ind w:left="0" w:right="0"/>
              <w:jc w:val="left"/>
              <w:textAlignment w:val="center"/>
              <w:rPr>
                <w:rFonts w:hint="eastAsia" w:ascii="宋体" w:hAnsi="Times New Roman"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满意度指标</w:t>
            </w:r>
          </w:p>
        </w:tc>
        <w:tc>
          <w:tcPr>
            <w:tcW w:w="622" w:type="pct"/>
            <w:tcBorders>
              <w:top w:val="single" w:color="000000" w:sz="4" w:space="0"/>
              <w:left w:val="nil"/>
              <w:bottom w:val="single" w:color="000000" w:sz="4" w:space="0"/>
              <w:right w:val="single" w:color="000000" w:sz="4" w:space="0"/>
            </w:tcBorders>
            <w:shd w:val="clear" w:color="auto" w:fill="auto"/>
            <w:noWrap/>
            <w:vAlign w:val="center"/>
          </w:tcPr>
          <w:p w14:paraId="7D2887B3">
            <w:pPr>
              <w:keepNext w:val="0"/>
              <w:keepLines w:val="0"/>
              <w:widowControl/>
              <w:suppressLineNumbers w:val="0"/>
              <w:autoSpaceDE w:val="0"/>
              <w:autoSpaceDN/>
              <w:spacing w:before="0" w:beforeAutospacing="0" w:after="0" w:afterAutospacing="0" w:line="280" w:lineRule="exact"/>
              <w:ind w:left="0" w:right="0"/>
              <w:jc w:val="left"/>
              <w:textAlignment w:val="center"/>
              <w:rPr>
                <w:rFonts w:hint="eastAsia" w:ascii="宋体" w:hAnsi="Times New Roman"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服务对象满意度指标</w:t>
            </w:r>
          </w:p>
        </w:tc>
        <w:tc>
          <w:tcPr>
            <w:tcW w:w="966" w:type="pct"/>
            <w:tcBorders>
              <w:top w:val="single" w:color="000000" w:sz="4" w:space="0"/>
              <w:left w:val="nil"/>
              <w:bottom w:val="single" w:color="000000" w:sz="4" w:space="0"/>
              <w:right w:val="single" w:color="000000" w:sz="4" w:space="0"/>
            </w:tcBorders>
            <w:shd w:val="clear" w:color="auto" w:fill="auto"/>
            <w:noWrap/>
            <w:vAlign w:val="center"/>
          </w:tcPr>
          <w:p w14:paraId="18901D1E">
            <w:pPr>
              <w:keepNext w:val="0"/>
              <w:keepLines w:val="0"/>
              <w:widowControl/>
              <w:suppressLineNumbers w:val="0"/>
              <w:autoSpaceDE w:val="0"/>
              <w:autoSpaceDN/>
              <w:spacing w:before="0" w:beforeAutospacing="0" w:after="0" w:afterAutospacing="0" w:line="280" w:lineRule="exact"/>
              <w:ind w:left="0" w:right="0"/>
              <w:jc w:val="left"/>
              <w:textAlignment w:val="center"/>
              <w:rPr>
                <w:rFonts w:hint="eastAsia" w:ascii="宋体" w:hAnsi="Times New Roman" w:eastAsia="宋体" w:cs="宋体"/>
                <w:i w:val="0"/>
                <w:iCs w:val="0"/>
                <w:color w:val="000000"/>
                <w:kern w:val="2"/>
                <w:sz w:val="18"/>
                <w:szCs w:val="18"/>
              </w:rPr>
            </w:pPr>
            <w:r>
              <w:rPr>
                <w:rFonts w:hint="eastAsia" w:ascii="宋体" w:hAnsi="宋体" w:eastAsia="宋体" w:cs="宋体"/>
                <w:i w:val="0"/>
                <w:iCs w:val="0"/>
                <w:color w:val="000000"/>
                <w:kern w:val="0"/>
                <w:sz w:val="18"/>
                <w:szCs w:val="18"/>
                <w:lang w:val="en-US" w:eastAsia="zh-CN" w:bidi="ar"/>
              </w:rPr>
              <w:t>群众满意度</w:t>
            </w:r>
          </w:p>
        </w:tc>
        <w:tc>
          <w:tcPr>
            <w:tcW w:w="749" w:type="pct"/>
            <w:tcBorders>
              <w:top w:val="single" w:color="000000" w:sz="4" w:space="0"/>
              <w:left w:val="nil"/>
              <w:bottom w:val="single" w:color="000000" w:sz="4" w:space="0"/>
              <w:right w:val="single" w:color="000000" w:sz="4" w:space="0"/>
            </w:tcBorders>
            <w:shd w:val="clear" w:color="auto" w:fill="auto"/>
            <w:noWrap/>
            <w:vAlign w:val="center"/>
          </w:tcPr>
          <w:p w14:paraId="0BB19813">
            <w:pPr>
              <w:keepNext w:val="0"/>
              <w:keepLines w:val="0"/>
              <w:widowControl/>
              <w:suppressLineNumbers w:val="0"/>
              <w:autoSpaceDE w:val="0"/>
              <w:autoSpaceDN/>
              <w:spacing w:before="0" w:beforeAutospacing="0" w:after="0" w:afterAutospacing="0" w:line="280" w:lineRule="exact"/>
              <w:ind w:left="0" w:right="0"/>
              <w:jc w:val="left"/>
              <w:textAlignment w:val="center"/>
              <w:rPr>
                <w:rFonts w:hint="eastAsia" w:ascii="宋体" w:hAnsi="Times New Roman" w:eastAsia="宋体" w:cs="宋体"/>
                <w:i w:val="0"/>
                <w:iCs w:val="0"/>
                <w:color w:val="000000"/>
                <w:kern w:val="2"/>
                <w:sz w:val="18"/>
                <w:szCs w:val="18"/>
              </w:rPr>
            </w:pPr>
            <w:r>
              <w:rPr>
                <w:rFonts w:hint="default" w:ascii="Times New Roman" w:hAnsi="Times New Roman" w:eastAsia="宋体" w:cs="Times New Roman"/>
                <w:i w:val="0"/>
                <w:iCs w:val="0"/>
                <w:color w:val="000000"/>
                <w:kern w:val="0"/>
                <w:sz w:val="18"/>
                <w:szCs w:val="18"/>
                <w:lang w:val="en-US" w:eastAsia="zh-CN" w:bidi="ar"/>
              </w:rPr>
              <w:t>≥</w:t>
            </w:r>
          </w:p>
        </w:tc>
        <w:tc>
          <w:tcPr>
            <w:tcW w:w="494" w:type="pct"/>
            <w:tcBorders>
              <w:top w:val="single" w:color="000000" w:sz="4" w:space="0"/>
              <w:left w:val="nil"/>
              <w:bottom w:val="single" w:color="000000" w:sz="4" w:space="0"/>
              <w:right w:val="single" w:color="000000" w:sz="4" w:space="0"/>
            </w:tcBorders>
            <w:shd w:val="clear" w:color="auto" w:fill="auto"/>
            <w:noWrap/>
            <w:vAlign w:val="center"/>
          </w:tcPr>
          <w:p w14:paraId="73DA2857">
            <w:pPr>
              <w:keepNext w:val="0"/>
              <w:keepLines w:val="0"/>
              <w:widowControl/>
              <w:suppressLineNumbers w:val="0"/>
              <w:autoSpaceDE w:val="0"/>
              <w:autoSpaceDN/>
              <w:spacing w:before="0" w:beforeAutospacing="0" w:after="0" w:afterAutospacing="0" w:line="280" w:lineRule="exact"/>
              <w:ind w:left="0" w:right="0"/>
              <w:jc w:val="left"/>
              <w:textAlignment w:val="center"/>
              <w:rPr>
                <w:rFonts w:hint="eastAsia" w:ascii="宋体" w:hAnsi="Times New Roman" w:eastAsia="宋体" w:cs="宋体"/>
                <w:i w:val="0"/>
                <w:iCs w:val="0"/>
                <w:color w:val="000000"/>
                <w:kern w:val="2"/>
                <w:sz w:val="18"/>
                <w:szCs w:val="18"/>
              </w:rPr>
            </w:pPr>
            <w:r>
              <w:rPr>
                <w:rFonts w:hint="eastAsia" w:ascii="宋体" w:hAnsi="Times New Roman" w:eastAsia="宋体" w:cs="宋体"/>
                <w:i w:val="0"/>
                <w:iCs w:val="0"/>
                <w:color w:val="000000"/>
                <w:kern w:val="0"/>
                <w:sz w:val="18"/>
                <w:szCs w:val="18"/>
                <w:lang w:val="en-US" w:eastAsia="zh-CN" w:bidi="ar"/>
              </w:rPr>
              <w:t>99</w:t>
            </w:r>
          </w:p>
        </w:tc>
        <w:tc>
          <w:tcPr>
            <w:tcW w:w="614" w:type="pct"/>
            <w:tcBorders>
              <w:top w:val="single" w:color="000000" w:sz="4" w:space="0"/>
              <w:left w:val="nil"/>
              <w:bottom w:val="single" w:color="000000" w:sz="4" w:space="0"/>
              <w:right w:val="single" w:color="000000" w:sz="4" w:space="0"/>
            </w:tcBorders>
            <w:shd w:val="clear" w:color="auto" w:fill="auto"/>
            <w:noWrap/>
            <w:vAlign w:val="center"/>
          </w:tcPr>
          <w:p w14:paraId="3D57F446">
            <w:pPr>
              <w:keepNext w:val="0"/>
              <w:keepLines w:val="0"/>
              <w:widowControl/>
              <w:suppressLineNumbers w:val="0"/>
              <w:autoSpaceDE w:val="0"/>
              <w:autoSpaceDN/>
              <w:spacing w:before="0" w:beforeAutospacing="0" w:after="0" w:afterAutospacing="0" w:line="280" w:lineRule="exact"/>
              <w:ind w:left="0" w:right="0"/>
              <w:jc w:val="left"/>
              <w:textAlignment w:val="center"/>
              <w:rPr>
                <w:rFonts w:hint="eastAsia" w:ascii="宋体" w:hAnsi="Times New Roman" w:eastAsia="宋体" w:cs="宋体"/>
                <w:i w:val="0"/>
                <w:iCs w:val="0"/>
                <w:color w:val="000000"/>
                <w:kern w:val="2"/>
                <w:sz w:val="18"/>
                <w:szCs w:val="18"/>
              </w:rPr>
            </w:pPr>
            <w:r>
              <w:rPr>
                <w:rFonts w:hint="eastAsia" w:ascii="宋体" w:hAnsi="Times New Roman" w:eastAsia="宋体" w:cs="宋体"/>
                <w:i w:val="0"/>
                <w:iCs w:val="0"/>
                <w:color w:val="000000"/>
                <w:kern w:val="0"/>
                <w:sz w:val="18"/>
                <w:szCs w:val="18"/>
                <w:lang w:val="en-US" w:eastAsia="zh-CN" w:bidi="ar"/>
              </w:rPr>
              <w:t>%</w:t>
            </w:r>
          </w:p>
        </w:tc>
        <w:tc>
          <w:tcPr>
            <w:tcW w:w="491" w:type="pct"/>
            <w:tcBorders>
              <w:top w:val="single" w:color="000000" w:sz="4" w:space="0"/>
              <w:left w:val="nil"/>
              <w:bottom w:val="single" w:color="000000" w:sz="4" w:space="0"/>
              <w:right w:val="single" w:color="000000" w:sz="4" w:space="0"/>
            </w:tcBorders>
            <w:shd w:val="clear" w:color="auto" w:fill="auto"/>
            <w:noWrap/>
            <w:vAlign w:val="center"/>
          </w:tcPr>
          <w:p w14:paraId="544964D9">
            <w:pPr>
              <w:keepNext w:val="0"/>
              <w:keepLines w:val="0"/>
              <w:widowControl/>
              <w:suppressLineNumbers w:val="0"/>
              <w:autoSpaceDE w:val="0"/>
              <w:autoSpaceDN/>
              <w:spacing w:before="0" w:beforeAutospacing="0" w:after="0" w:afterAutospacing="0" w:line="280" w:lineRule="exact"/>
              <w:ind w:left="0" w:right="0"/>
              <w:jc w:val="left"/>
              <w:textAlignment w:val="center"/>
              <w:rPr>
                <w:rFonts w:hint="eastAsia" w:ascii="宋体" w:hAnsi="Times New Roman" w:eastAsia="宋体" w:cs="宋体"/>
                <w:i w:val="0"/>
                <w:iCs w:val="0"/>
                <w:color w:val="000000"/>
                <w:kern w:val="2"/>
                <w:sz w:val="18"/>
                <w:szCs w:val="18"/>
              </w:rPr>
            </w:pPr>
            <w:r>
              <w:rPr>
                <w:rFonts w:hint="eastAsia" w:ascii="宋体" w:hAnsi="Times New Roman" w:eastAsia="宋体" w:cs="宋体"/>
                <w:i w:val="0"/>
                <w:iCs w:val="0"/>
                <w:color w:val="000000"/>
                <w:kern w:val="0"/>
                <w:sz w:val="18"/>
                <w:szCs w:val="18"/>
                <w:lang w:val="en-US" w:eastAsia="zh-CN" w:bidi="ar"/>
              </w:rPr>
              <w:t>10</w:t>
            </w:r>
          </w:p>
        </w:tc>
      </w:tr>
    </w:tbl>
    <w:p w14:paraId="0E307DE6">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48C9B319">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767AF93A">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bookmarkStart w:id="79" w:name="_Toc15396618"/>
      <w:r>
        <w:rPr>
          <w:rFonts w:hint="eastAsia" w:ascii="Times New Roman" w:hAnsi="Times New Roman" w:eastAsia="仿宋_GB2312" w:cs="仿宋_GB2312"/>
          <w:b w:val="0"/>
          <w:bCs w:val="0"/>
          <w:kern w:val="0"/>
          <w:position w:val="0"/>
          <w:sz w:val="32"/>
          <w:szCs w:val="32"/>
          <w:highlight w:val="none"/>
          <w:lang w:val="en-US" w:eastAsia="zh-CN" w:bidi="ar-SA"/>
        </w:rPr>
        <w:br w:type="page"/>
      </w:r>
    </w:p>
    <w:p w14:paraId="2EBA52B8">
      <w:pPr>
        <w:widowControl/>
        <w:jc w:val="center"/>
        <w:outlineLvl w:val="0"/>
        <w:rPr>
          <w:rFonts w:hint="eastAsia" w:ascii="Times New Roman" w:hAnsi="Times New Roman" w:eastAsia="仿宋"/>
          <w:b w:val="0"/>
          <w:color w:val="auto"/>
          <w:highlight w:val="none"/>
        </w:rPr>
      </w:pPr>
      <w:bookmarkStart w:id="80" w:name="_Toc15760"/>
      <w:r>
        <w:rPr>
          <w:rFonts w:hint="eastAsia" w:ascii="Times New Roman" w:hAnsi="Times New Roman" w:eastAsia="黑体"/>
          <w:color w:val="auto"/>
          <w:sz w:val="44"/>
          <w:szCs w:val="44"/>
          <w:highlight w:val="none"/>
        </w:rPr>
        <w:t>第</w:t>
      </w:r>
      <w:r>
        <w:rPr>
          <w:rStyle w:val="29"/>
          <w:rFonts w:hint="eastAsia" w:ascii="Times New Roman" w:hAnsi="Times New Roman" w:eastAsia="黑体"/>
          <w:b w:val="0"/>
          <w:color w:val="auto"/>
          <w:highlight w:val="none"/>
        </w:rPr>
        <w:t>五部分 附表</w:t>
      </w:r>
      <w:bookmarkEnd w:id="74"/>
      <w:bookmarkEnd w:id="79"/>
      <w:bookmarkEnd w:id="80"/>
      <w:bookmarkStart w:id="81" w:name="_Toc15396619"/>
    </w:p>
    <w:p w14:paraId="78D5D155">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14:paraId="6FFBCF99">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bookmarkEnd w:id="81"/>
    </w:p>
    <w:p w14:paraId="4279D65B">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82" w:name="_Toc15396620"/>
      <w:r>
        <w:rPr>
          <w:rFonts w:hint="eastAsia" w:ascii="Times New Roman" w:hAnsi="Times New Roman" w:eastAsia="仿宋_GB2312" w:cs="仿宋_GB2312"/>
          <w:color w:val="auto"/>
          <w:sz w:val="32"/>
          <w:szCs w:val="32"/>
          <w:highlight w:val="none"/>
        </w:rPr>
        <w:t>二、收入决算表</w:t>
      </w:r>
      <w:bookmarkEnd w:id="82"/>
    </w:p>
    <w:p w14:paraId="57D49FAB">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83" w:name="_Toc15396621"/>
      <w:r>
        <w:rPr>
          <w:rFonts w:hint="eastAsia" w:ascii="Times New Roman" w:hAnsi="Times New Roman" w:eastAsia="仿宋_GB2312" w:cs="仿宋_GB2312"/>
          <w:color w:val="auto"/>
          <w:sz w:val="32"/>
          <w:szCs w:val="32"/>
          <w:highlight w:val="none"/>
        </w:rPr>
        <w:t>三、支出决算表</w:t>
      </w:r>
      <w:bookmarkEnd w:id="83"/>
    </w:p>
    <w:p w14:paraId="6DF1B542">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84" w:name="_Toc15396622"/>
      <w:r>
        <w:rPr>
          <w:rFonts w:hint="eastAsia" w:ascii="Times New Roman" w:hAnsi="Times New Roman" w:eastAsia="仿宋_GB2312" w:cs="仿宋_GB2312"/>
          <w:color w:val="auto"/>
          <w:sz w:val="32"/>
          <w:szCs w:val="32"/>
          <w:highlight w:val="none"/>
        </w:rPr>
        <w:t>四、财政拨款收入支出决算总表</w:t>
      </w:r>
      <w:bookmarkEnd w:id="84"/>
    </w:p>
    <w:p w14:paraId="2C61261C">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85" w:name="_Toc15396623"/>
      <w:r>
        <w:rPr>
          <w:rFonts w:hint="eastAsia" w:ascii="Times New Roman" w:hAnsi="Times New Roman" w:eastAsia="仿宋_GB2312" w:cs="仿宋_GB2312"/>
          <w:color w:val="auto"/>
          <w:sz w:val="32"/>
          <w:szCs w:val="32"/>
          <w:highlight w:val="none"/>
        </w:rPr>
        <w:t>五、财政拨款支出决算明细表</w:t>
      </w:r>
      <w:bookmarkEnd w:id="85"/>
      <w:bookmarkStart w:id="86" w:name="_Toc15396624"/>
    </w:p>
    <w:p w14:paraId="28E01E6A">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bookmarkEnd w:id="86"/>
    </w:p>
    <w:p w14:paraId="458AD11D">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87" w:name="_Toc15396625"/>
      <w:r>
        <w:rPr>
          <w:rFonts w:hint="eastAsia" w:ascii="Times New Roman" w:hAnsi="Times New Roman" w:eastAsia="仿宋_GB2312" w:cs="仿宋_GB2312"/>
          <w:color w:val="auto"/>
          <w:sz w:val="32"/>
          <w:szCs w:val="32"/>
          <w:highlight w:val="none"/>
        </w:rPr>
        <w:t>七、一般公共预算财政拨款支出决算明细表</w:t>
      </w:r>
      <w:bookmarkEnd w:id="87"/>
    </w:p>
    <w:p w14:paraId="4971D566">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88" w:name="_Toc15396626"/>
      <w:r>
        <w:rPr>
          <w:rFonts w:hint="eastAsia" w:ascii="Times New Roman" w:hAnsi="Times New Roman" w:eastAsia="仿宋_GB2312" w:cs="仿宋_GB2312"/>
          <w:color w:val="auto"/>
          <w:sz w:val="32"/>
          <w:szCs w:val="32"/>
          <w:highlight w:val="none"/>
        </w:rPr>
        <w:t>八、一般公共预算财政拨款基本支出决算表</w:t>
      </w:r>
      <w:bookmarkEnd w:id="88"/>
    </w:p>
    <w:p w14:paraId="0AFCCA15">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89" w:name="_Toc15396627"/>
      <w:r>
        <w:rPr>
          <w:rFonts w:hint="eastAsia" w:ascii="Times New Roman" w:hAnsi="Times New Roman" w:eastAsia="仿宋_GB2312" w:cs="仿宋_GB2312"/>
          <w:color w:val="auto"/>
          <w:sz w:val="32"/>
          <w:szCs w:val="32"/>
          <w:highlight w:val="none"/>
        </w:rPr>
        <w:t>九、一般公共预算财政拨款项目支出决算表</w:t>
      </w:r>
      <w:bookmarkEnd w:id="89"/>
    </w:p>
    <w:p w14:paraId="2B7A74D4">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90" w:name="_Toc15396628"/>
      <w:r>
        <w:rPr>
          <w:rFonts w:hint="eastAsia" w:ascii="Times New Roman" w:hAnsi="Times New Roman" w:eastAsia="仿宋_GB2312" w:cs="仿宋_GB2312"/>
          <w:color w:val="auto"/>
          <w:sz w:val="32"/>
          <w:szCs w:val="32"/>
          <w:highlight w:val="none"/>
        </w:rPr>
        <w:t>十、</w:t>
      </w:r>
      <w:bookmarkEnd w:id="90"/>
      <w:r>
        <w:rPr>
          <w:rFonts w:hint="eastAsia" w:ascii="Times New Roman" w:hAnsi="Times New Roman" w:eastAsia="仿宋_GB2312" w:cs="仿宋_GB2312"/>
          <w:color w:val="auto"/>
          <w:sz w:val="32"/>
          <w:szCs w:val="32"/>
          <w:highlight w:val="none"/>
        </w:rPr>
        <w:t>政府性基金预算财政拨款收入支出决算表</w:t>
      </w:r>
    </w:p>
    <w:p w14:paraId="5B492C8A">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91" w:name="_Toc15396629"/>
      <w:r>
        <w:rPr>
          <w:rFonts w:hint="eastAsia" w:ascii="Times New Roman" w:hAnsi="Times New Roman" w:eastAsia="仿宋_GB2312" w:cs="仿宋_GB2312"/>
          <w:color w:val="auto"/>
          <w:sz w:val="32"/>
          <w:szCs w:val="32"/>
          <w:highlight w:val="none"/>
        </w:rPr>
        <w:t>十一、</w:t>
      </w:r>
      <w:bookmarkEnd w:id="91"/>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p>
    <w:p w14:paraId="350824FB">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92" w:name="_Toc15396630"/>
      <w:r>
        <w:rPr>
          <w:rFonts w:hint="eastAsia" w:ascii="Times New Roman" w:hAnsi="Times New Roman" w:eastAsia="仿宋_GB2312" w:cs="仿宋_GB2312"/>
          <w:color w:val="auto"/>
          <w:sz w:val="32"/>
          <w:szCs w:val="32"/>
          <w:highlight w:val="none"/>
        </w:rPr>
        <w:t>十二、</w:t>
      </w:r>
      <w:bookmarkEnd w:id="92"/>
      <w:r>
        <w:rPr>
          <w:rFonts w:hint="eastAsia" w:ascii="Times New Roman" w:hAnsi="Times New Roman" w:eastAsia="仿宋_GB2312" w:cs="仿宋_GB2312"/>
          <w:color w:val="auto"/>
          <w:sz w:val="32"/>
          <w:szCs w:val="32"/>
          <w:highlight w:val="none"/>
          <w:lang w:eastAsia="zh-CN"/>
        </w:rPr>
        <w:t>国有资本经营预算财政拨款支出决算表</w:t>
      </w:r>
    </w:p>
    <w:p w14:paraId="35741A98">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eastAsia="zh-CN"/>
        </w:rPr>
      </w:pPr>
      <w:bookmarkStart w:id="93" w:name="_Toc15396631"/>
      <w:r>
        <w:rPr>
          <w:rFonts w:hint="eastAsia" w:ascii="Times New Roman" w:hAnsi="Times New Roman" w:eastAsia="仿宋_GB2312" w:cs="仿宋_GB2312"/>
          <w:color w:val="auto"/>
          <w:sz w:val="32"/>
          <w:szCs w:val="32"/>
          <w:highlight w:val="none"/>
        </w:rPr>
        <w:t>十三、</w:t>
      </w:r>
      <w:bookmarkEnd w:id="93"/>
      <w:r>
        <w:rPr>
          <w:rFonts w:hint="eastAsia" w:ascii="Times New Roman" w:hAnsi="Times New Roman" w:eastAsia="仿宋_GB2312" w:cs="仿宋_GB2312"/>
          <w:color w:val="auto"/>
          <w:sz w:val="32"/>
          <w:szCs w:val="32"/>
          <w:highlight w:val="none"/>
          <w:lang w:eastAsia="zh-CN"/>
        </w:rPr>
        <w:t>财政拨款“三公”经费支出决算表</w:t>
      </w:r>
    </w:p>
    <w:p w14:paraId="4137F6D3">
      <w:pPr>
        <w:rPr>
          <w:rFonts w:hint="eastAsia" w:ascii="Times New Roman" w:hAnsi="Times New Roman"/>
          <w:lang w:eastAsia="zh-CN"/>
        </w:rPr>
      </w:pPr>
    </w:p>
    <w:sectPr>
      <w:footerReference r:id="rId5" w:type="first"/>
      <w:headerReference r:id="rId3" w:type="default"/>
      <w:footerReference r:id="rId4" w:type="default"/>
      <w:pgSz w:w="11906" w:h="16838"/>
      <w:pgMar w:top="1440" w:right="1800" w:bottom="1440" w:left="1800" w:header="851" w:footer="992" w:gutter="0"/>
      <w:pgNumType w:fmt="decimal"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2010601030101010101"/>
    <w:charset w:val="86"/>
    <w:family w:val="script"/>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A4AB48">
    <w:pPr>
      <w:pStyle w:val="11"/>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6E1150">
                          <w:pPr>
                            <w:pStyle w:val="11"/>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616E1150">
                    <w:pPr>
                      <w:pStyle w:val="11"/>
                    </w:pPr>
                    <w:r>
                      <w:fldChar w:fldCharType="begin"/>
                    </w:r>
                    <w:r>
                      <w:instrText xml:space="preserve"> PAGE  \* MERGEFORMAT </w:instrText>
                    </w:r>
                    <w:r>
                      <w:fldChar w:fldCharType="separate"/>
                    </w:r>
                    <w:r>
                      <w:t>2</w:t>
                    </w:r>
                    <w:r>
                      <w:fldChar w:fldCharType="end"/>
                    </w:r>
                  </w:p>
                </w:txbxContent>
              </v:textbox>
            </v:shape>
          </w:pict>
        </mc:Fallback>
      </mc:AlternateContent>
    </w:r>
  </w:p>
  <w:p w14:paraId="692EFE92">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7BFF03">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4FA0E3">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664FA0E3">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9F6379">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BAE69F"/>
    <w:multiLevelType w:val="singleLevel"/>
    <w:tmpl w:val="B5BAE69F"/>
    <w:lvl w:ilvl="0" w:tentative="0">
      <w:start w:val="3"/>
      <w:numFmt w:val="chineseCounting"/>
      <w:suff w:val="nothing"/>
      <w:lvlText w:val="（%1）"/>
      <w:lvlJc w:val="left"/>
      <w:pPr>
        <w:ind w:left="0" w:firstLine="0"/>
      </w:pPr>
      <w:rPr>
        <w:rFonts w:hint="eastAsia"/>
      </w:rPr>
    </w:lvl>
  </w:abstractNum>
  <w:abstractNum w:abstractNumId="1">
    <w:nsid w:val="F2F07743"/>
    <w:multiLevelType w:val="singleLevel"/>
    <w:tmpl w:val="F2F07743"/>
    <w:lvl w:ilvl="0" w:tentative="0">
      <w:start w:val="1"/>
      <w:numFmt w:val="decimal"/>
      <w:lvlText w:val="%1."/>
      <w:lvlJc w:val="left"/>
      <w:pPr>
        <w:tabs>
          <w:tab w:val="left" w:pos="312"/>
        </w:tabs>
      </w:pPr>
    </w:lvl>
  </w:abstractNum>
  <w:abstractNum w:abstractNumId="2">
    <w:nsid w:val="14D4D85C"/>
    <w:multiLevelType w:val="singleLevel"/>
    <w:tmpl w:val="14D4D85C"/>
    <w:lvl w:ilvl="0" w:tentative="0">
      <w:start w:val="1"/>
      <w:numFmt w:val="decimal"/>
      <w:lvlText w:val="%1."/>
      <w:lvlJc w:val="left"/>
      <w:pPr>
        <w:ind w:left="0" w:firstLine="0"/>
      </w:pPr>
    </w:lvl>
  </w:abstractNum>
  <w:abstractNum w:abstractNumId="3">
    <w:nsid w:val="1FF3B277"/>
    <w:multiLevelType w:val="singleLevel"/>
    <w:tmpl w:val="1FF3B277"/>
    <w:lvl w:ilvl="0" w:tentative="0">
      <w:start w:val="2"/>
      <w:numFmt w:val="chineseCounting"/>
      <w:suff w:val="nothing"/>
      <w:lvlText w:val="（%1）"/>
      <w:lvlJc w:val="left"/>
      <w:pPr>
        <w:ind w:left="0" w:firstLine="0"/>
      </w:pPr>
      <w:rPr>
        <w:rFonts w:hint="eastAsia"/>
      </w:rPr>
    </w:lvl>
  </w:abstractNum>
  <w:abstractNum w:abstractNumId="4">
    <w:nsid w:val="400292E3"/>
    <w:multiLevelType w:val="singleLevel"/>
    <w:tmpl w:val="400292E3"/>
    <w:lvl w:ilvl="0" w:tentative="0">
      <w:start w:val="1"/>
      <w:numFmt w:val="decimal"/>
      <w:lvlText w:val="%1."/>
      <w:lvlJc w:val="left"/>
      <w:pPr>
        <w:ind w:left="0" w:firstLine="0"/>
      </w:pPr>
    </w:lvl>
  </w:abstractNum>
  <w:abstractNum w:abstractNumId="5">
    <w:nsid w:val="58D75ACB"/>
    <w:multiLevelType w:val="singleLevel"/>
    <w:tmpl w:val="58D75ACB"/>
    <w:lvl w:ilvl="0" w:tentative="0">
      <w:start w:val="1"/>
      <w:numFmt w:val="chineseCounting"/>
      <w:suff w:val="nothing"/>
      <w:lvlText w:val="%1、"/>
      <w:lvlJc w:val="left"/>
      <w:rPr>
        <w:rFonts w:hint="eastAsia"/>
      </w:rPr>
    </w:lvl>
  </w:abstractNum>
  <w:num w:numId="1">
    <w:abstractNumId w:val="5"/>
  </w:num>
  <w:num w:numId="2">
    <w:abstractNumId w:val="1"/>
  </w:num>
  <w:num w:numId="3">
    <w:abstractNumId w:val="3"/>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0321C1"/>
    <w:rsid w:val="02FEBE30"/>
    <w:rsid w:val="04916F1E"/>
    <w:rsid w:val="04BB71A3"/>
    <w:rsid w:val="061E35DE"/>
    <w:rsid w:val="066E0107"/>
    <w:rsid w:val="07996F6E"/>
    <w:rsid w:val="07DFD8BA"/>
    <w:rsid w:val="096D2216"/>
    <w:rsid w:val="09867E8F"/>
    <w:rsid w:val="0A2032A3"/>
    <w:rsid w:val="0CA8290A"/>
    <w:rsid w:val="0D35B1ED"/>
    <w:rsid w:val="0E254B6B"/>
    <w:rsid w:val="0F98263C"/>
    <w:rsid w:val="101860EC"/>
    <w:rsid w:val="101F47CC"/>
    <w:rsid w:val="10C055FF"/>
    <w:rsid w:val="11694EBD"/>
    <w:rsid w:val="11772AA4"/>
    <w:rsid w:val="118107EC"/>
    <w:rsid w:val="125C6E10"/>
    <w:rsid w:val="12E24EE2"/>
    <w:rsid w:val="13D50BC4"/>
    <w:rsid w:val="14AE4C1C"/>
    <w:rsid w:val="14B17F78"/>
    <w:rsid w:val="165E0673"/>
    <w:rsid w:val="16B831D5"/>
    <w:rsid w:val="16BB723D"/>
    <w:rsid w:val="17E50567"/>
    <w:rsid w:val="186504BB"/>
    <w:rsid w:val="19375EE1"/>
    <w:rsid w:val="19A445FC"/>
    <w:rsid w:val="1BE8440E"/>
    <w:rsid w:val="1D155CEE"/>
    <w:rsid w:val="1D1638FE"/>
    <w:rsid w:val="1D5D2771"/>
    <w:rsid w:val="1D8F46DC"/>
    <w:rsid w:val="1E312DEB"/>
    <w:rsid w:val="1E740ACF"/>
    <w:rsid w:val="1F8452B0"/>
    <w:rsid w:val="1FF35744"/>
    <w:rsid w:val="1FF6BC77"/>
    <w:rsid w:val="2186353C"/>
    <w:rsid w:val="23860B96"/>
    <w:rsid w:val="240371BF"/>
    <w:rsid w:val="244F3473"/>
    <w:rsid w:val="24A24B56"/>
    <w:rsid w:val="24C97D99"/>
    <w:rsid w:val="25A718F0"/>
    <w:rsid w:val="25BB59F6"/>
    <w:rsid w:val="260F557C"/>
    <w:rsid w:val="26970054"/>
    <w:rsid w:val="281408E2"/>
    <w:rsid w:val="28702875"/>
    <w:rsid w:val="29FD04D3"/>
    <w:rsid w:val="2BFF7BC6"/>
    <w:rsid w:val="2C8A61B5"/>
    <w:rsid w:val="2DF04E50"/>
    <w:rsid w:val="2E586DFA"/>
    <w:rsid w:val="2F040D46"/>
    <w:rsid w:val="2F6B035B"/>
    <w:rsid w:val="2FAE5751"/>
    <w:rsid w:val="2FB1A395"/>
    <w:rsid w:val="2FD9A7D8"/>
    <w:rsid w:val="2FDBF714"/>
    <w:rsid w:val="30AB6865"/>
    <w:rsid w:val="319F7F4E"/>
    <w:rsid w:val="32BD1EF1"/>
    <w:rsid w:val="3304709D"/>
    <w:rsid w:val="33A773CB"/>
    <w:rsid w:val="349D6851"/>
    <w:rsid w:val="36AA5135"/>
    <w:rsid w:val="36BE0DA7"/>
    <w:rsid w:val="376B6AA6"/>
    <w:rsid w:val="376D39B2"/>
    <w:rsid w:val="378B76CC"/>
    <w:rsid w:val="37E16F03"/>
    <w:rsid w:val="37F53A3B"/>
    <w:rsid w:val="388B17E2"/>
    <w:rsid w:val="389B6C89"/>
    <w:rsid w:val="38D469F0"/>
    <w:rsid w:val="39627CCD"/>
    <w:rsid w:val="397BAF1F"/>
    <w:rsid w:val="3A125E82"/>
    <w:rsid w:val="3AB79AF3"/>
    <w:rsid w:val="3AE834C0"/>
    <w:rsid w:val="3B7EF35A"/>
    <w:rsid w:val="3B9FDB6C"/>
    <w:rsid w:val="3BF5BC2F"/>
    <w:rsid w:val="3CEBA265"/>
    <w:rsid w:val="3D98207C"/>
    <w:rsid w:val="3DEE7CF3"/>
    <w:rsid w:val="3E740A63"/>
    <w:rsid w:val="3E78745D"/>
    <w:rsid w:val="3EE17838"/>
    <w:rsid w:val="3F55381A"/>
    <w:rsid w:val="3F7F7599"/>
    <w:rsid w:val="3FF4CAE0"/>
    <w:rsid w:val="3FF7B227"/>
    <w:rsid w:val="44E268DA"/>
    <w:rsid w:val="450D13D7"/>
    <w:rsid w:val="45506656"/>
    <w:rsid w:val="46866CF0"/>
    <w:rsid w:val="486A6C7A"/>
    <w:rsid w:val="4A627F82"/>
    <w:rsid w:val="4B0E749A"/>
    <w:rsid w:val="4B2477C4"/>
    <w:rsid w:val="4B4F25DA"/>
    <w:rsid w:val="4BE068DB"/>
    <w:rsid w:val="4D577224"/>
    <w:rsid w:val="4DBF1CEB"/>
    <w:rsid w:val="4DF0007C"/>
    <w:rsid w:val="4EAB630A"/>
    <w:rsid w:val="4ECE2238"/>
    <w:rsid w:val="4F4B11D7"/>
    <w:rsid w:val="4F833267"/>
    <w:rsid w:val="4FE9BD67"/>
    <w:rsid w:val="4FFB052F"/>
    <w:rsid w:val="537E6D0A"/>
    <w:rsid w:val="53F74C96"/>
    <w:rsid w:val="55170BA8"/>
    <w:rsid w:val="553218C9"/>
    <w:rsid w:val="567E1AA5"/>
    <w:rsid w:val="56E47B74"/>
    <w:rsid w:val="57175D52"/>
    <w:rsid w:val="57BD3DD4"/>
    <w:rsid w:val="59E34756"/>
    <w:rsid w:val="5AF92295"/>
    <w:rsid w:val="5B250254"/>
    <w:rsid w:val="5BB45B41"/>
    <w:rsid w:val="5BDD79E6"/>
    <w:rsid w:val="5BF561CA"/>
    <w:rsid w:val="5BFF5DFC"/>
    <w:rsid w:val="5CD71FC4"/>
    <w:rsid w:val="5D1F11B5"/>
    <w:rsid w:val="5D695134"/>
    <w:rsid w:val="5DAD0E8D"/>
    <w:rsid w:val="5DAE1B18"/>
    <w:rsid w:val="5DE7D9E5"/>
    <w:rsid w:val="5ECEC941"/>
    <w:rsid w:val="5FBF9FF3"/>
    <w:rsid w:val="5FCD4E2C"/>
    <w:rsid w:val="5FEF394A"/>
    <w:rsid w:val="5FF67715"/>
    <w:rsid w:val="6170330B"/>
    <w:rsid w:val="62BF3928"/>
    <w:rsid w:val="63B3701E"/>
    <w:rsid w:val="647F5392"/>
    <w:rsid w:val="64D94D23"/>
    <w:rsid w:val="65E66580"/>
    <w:rsid w:val="664B1D71"/>
    <w:rsid w:val="664B4E8E"/>
    <w:rsid w:val="67277B67"/>
    <w:rsid w:val="67AA3209"/>
    <w:rsid w:val="68C36416"/>
    <w:rsid w:val="698D0931"/>
    <w:rsid w:val="6A7FE5F3"/>
    <w:rsid w:val="6B053271"/>
    <w:rsid w:val="6BDD78B3"/>
    <w:rsid w:val="6C4A05C8"/>
    <w:rsid w:val="6C5775A1"/>
    <w:rsid w:val="6C8742B8"/>
    <w:rsid w:val="6DBF5E93"/>
    <w:rsid w:val="6DFF077E"/>
    <w:rsid w:val="6E714EF0"/>
    <w:rsid w:val="6E7E3605"/>
    <w:rsid w:val="6E7FDCC7"/>
    <w:rsid w:val="6ED6A62E"/>
    <w:rsid w:val="6EE00B15"/>
    <w:rsid w:val="6F6FB3EB"/>
    <w:rsid w:val="6F8731EA"/>
    <w:rsid w:val="6FCE6052"/>
    <w:rsid w:val="6FD57C00"/>
    <w:rsid w:val="6FEFFFD8"/>
    <w:rsid w:val="6FF5CC65"/>
    <w:rsid w:val="6FFB47EC"/>
    <w:rsid w:val="6FFF034A"/>
    <w:rsid w:val="70484440"/>
    <w:rsid w:val="70EB535B"/>
    <w:rsid w:val="712A28F1"/>
    <w:rsid w:val="715C0E4B"/>
    <w:rsid w:val="71992E7C"/>
    <w:rsid w:val="72233669"/>
    <w:rsid w:val="72734D90"/>
    <w:rsid w:val="73160E6D"/>
    <w:rsid w:val="7332FE48"/>
    <w:rsid w:val="73AB61DA"/>
    <w:rsid w:val="73AD73D5"/>
    <w:rsid w:val="73B6EB34"/>
    <w:rsid w:val="73EF4563"/>
    <w:rsid w:val="73FA497D"/>
    <w:rsid w:val="744731E5"/>
    <w:rsid w:val="74BBD01D"/>
    <w:rsid w:val="74ED5379"/>
    <w:rsid w:val="75DEEEC2"/>
    <w:rsid w:val="75E32345"/>
    <w:rsid w:val="75F04588"/>
    <w:rsid w:val="76E3355F"/>
    <w:rsid w:val="76FF5125"/>
    <w:rsid w:val="776F6FFA"/>
    <w:rsid w:val="778356EE"/>
    <w:rsid w:val="778769C8"/>
    <w:rsid w:val="77A75DCA"/>
    <w:rsid w:val="77DC22F5"/>
    <w:rsid w:val="783E271A"/>
    <w:rsid w:val="78616DE9"/>
    <w:rsid w:val="78E875D7"/>
    <w:rsid w:val="79086DAD"/>
    <w:rsid w:val="79D7FD79"/>
    <w:rsid w:val="79EE5BA4"/>
    <w:rsid w:val="7A894339"/>
    <w:rsid w:val="7AD284E8"/>
    <w:rsid w:val="7AFF7572"/>
    <w:rsid w:val="7B6C7DFB"/>
    <w:rsid w:val="7BBFBED0"/>
    <w:rsid w:val="7BC3E394"/>
    <w:rsid w:val="7C1F3737"/>
    <w:rsid w:val="7CBFC87B"/>
    <w:rsid w:val="7CFE0F48"/>
    <w:rsid w:val="7D272ABC"/>
    <w:rsid w:val="7D7EC23E"/>
    <w:rsid w:val="7DE56536"/>
    <w:rsid w:val="7E8ADEBF"/>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9FDE2C1"/>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7">
    <w:name w:val="Default Paragraph Font"/>
    <w:unhideWhenUsed/>
    <w:qFormat/>
    <w:uiPriority w:val="1"/>
  </w:style>
  <w:style w:type="table" w:default="1" w:styleId="16">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table of figures"/>
    <w:basedOn w:val="1"/>
    <w:next w:val="1"/>
    <w:qFormat/>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kinsoku/>
      <w:wordWrap/>
      <w:overflowPunct/>
      <w:topLinePunct w:val="0"/>
      <w:autoSpaceDE/>
      <w:autoSpaceDN/>
      <w:bidi w:val="0"/>
      <w:adjustRightInd/>
      <w:snapToGrid/>
      <w:spacing w:before="100" w:beforeAutospacing="1" w:after="100" w:afterAutospacing="1" w:line="240" w:lineRule="auto"/>
      <w:ind w:left="400" w:leftChars="200" w:right="0" w:hanging="200" w:hangingChars="200"/>
      <w:jc w:val="both"/>
      <w:textAlignment w:val="auto"/>
      <w:outlineLvl w:val="9"/>
    </w:pPr>
    <w:rPr>
      <w:rFonts w:ascii="Calibri" w:hAnsi="Calibri" w:eastAsia="宋体" w:cs="Times New Roman"/>
      <w:snapToGrid/>
      <w:color w:val="auto"/>
      <w:spacing w:val="0"/>
      <w:w w:val="100"/>
      <w:kern w:val="2"/>
      <w:position w:val="0"/>
      <w:sz w:val="21"/>
      <w:szCs w:val="21"/>
      <w:u w:val="none" w:color="auto"/>
      <w:vertAlign w:val="baseline"/>
      <w:lang w:val="en-US" w:eastAsia="zh-CN" w:bidi="ar-SA"/>
    </w:rPr>
  </w:style>
  <w:style w:type="paragraph" w:styleId="6">
    <w:name w:val="Body Text"/>
    <w:basedOn w:val="1"/>
    <w:link w:val="26"/>
    <w:qFormat/>
    <w:uiPriority w:val="99"/>
    <w:pPr>
      <w:spacing w:beforeLines="30"/>
    </w:pPr>
    <w:rPr>
      <w:rFonts w:ascii="仿宋_GB2312" w:eastAsia="仿宋_GB2312"/>
      <w:kern w:val="0"/>
      <w:sz w:val="30"/>
    </w:rPr>
  </w:style>
  <w:style w:type="paragraph" w:styleId="7">
    <w:name w:val="Body Text Indent"/>
    <w:basedOn w:val="1"/>
    <w:next w:val="8"/>
    <w:qFormat/>
    <w:uiPriority w:val="0"/>
    <w:pPr>
      <w:spacing w:after="120"/>
      <w:ind w:leftChars="200"/>
    </w:pPr>
    <w:rPr>
      <w:rFonts w:ascii="仿宋_GB2312"/>
      <w:szCs w:val="32"/>
    </w:rPr>
  </w:style>
  <w:style w:type="paragraph" w:styleId="8">
    <w:name w:val="Body Text First Indent 2"/>
    <w:basedOn w:val="7"/>
    <w:unhideWhenUsed/>
    <w:qFormat/>
    <w:uiPriority w:val="99"/>
    <w:pPr>
      <w:ind w:firstLine="420" w:firstLineChars="200"/>
    </w:p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2"/>
    <w:semiHidden/>
    <w:unhideWhenUsed/>
    <w:qFormat/>
    <w:uiPriority w:val="99"/>
    <w:rPr>
      <w:sz w:val="18"/>
      <w:szCs w:val="18"/>
    </w:rPr>
  </w:style>
  <w:style w:type="paragraph" w:styleId="11">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footnote text"/>
    <w:basedOn w:val="1"/>
    <w:next w:val="8"/>
    <w:semiHidden/>
    <w:qFormat/>
    <w:uiPriority w:val="0"/>
    <w:pPr>
      <w:snapToGrid w:val="0"/>
      <w:jc w:val="left"/>
    </w:pPr>
    <w:rPr>
      <w:sz w:val="18"/>
      <w:szCs w:val="18"/>
    </w:rPr>
  </w:style>
  <w:style w:type="paragraph" w:styleId="15">
    <w:name w:val="toc 2"/>
    <w:basedOn w:val="1"/>
    <w:next w:val="1"/>
    <w:unhideWhenUsed/>
    <w:qFormat/>
    <w:uiPriority w:val="39"/>
    <w:pPr>
      <w:tabs>
        <w:tab w:val="right" w:leader="dot" w:pos="8296"/>
      </w:tabs>
      <w:ind w:left="420" w:leftChars="200"/>
    </w:p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paragraph" w:customStyle="1" w:styleId="20">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1">
    <w:name w:val="Header Char"/>
    <w:basedOn w:val="17"/>
    <w:semiHidden/>
    <w:qFormat/>
    <w:uiPriority w:val="99"/>
    <w:rPr>
      <w:rFonts w:ascii="Times New Roman" w:hAnsi="Times New Roman"/>
      <w:sz w:val="18"/>
      <w:szCs w:val="18"/>
    </w:rPr>
  </w:style>
  <w:style w:type="character" w:customStyle="1" w:styleId="22">
    <w:name w:val="页眉 Char"/>
    <w:link w:val="12"/>
    <w:semiHidden/>
    <w:qFormat/>
    <w:locked/>
    <w:uiPriority w:val="99"/>
    <w:rPr>
      <w:sz w:val="18"/>
    </w:rPr>
  </w:style>
  <w:style w:type="character" w:customStyle="1" w:styleId="23">
    <w:name w:val="Footer Char"/>
    <w:basedOn w:val="17"/>
    <w:semiHidden/>
    <w:qFormat/>
    <w:uiPriority w:val="99"/>
    <w:rPr>
      <w:rFonts w:ascii="Times New Roman" w:hAnsi="Times New Roman"/>
      <w:sz w:val="18"/>
      <w:szCs w:val="18"/>
    </w:rPr>
  </w:style>
  <w:style w:type="character" w:customStyle="1" w:styleId="24">
    <w:name w:val="页脚 Char"/>
    <w:link w:val="11"/>
    <w:qFormat/>
    <w:locked/>
    <w:uiPriority w:val="99"/>
    <w:rPr>
      <w:sz w:val="18"/>
    </w:rPr>
  </w:style>
  <w:style w:type="character" w:customStyle="1" w:styleId="25">
    <w:name w:val="Body Text Char"/>
    <w:basedOn w:val="17"/>
    <w:semiHidden/>
    <w:qFormat/>
    <w:uiPriority w:val="99"/>
    <w:rPr>
      <w:rFonts w:ascii="Times New Roman" w:hAnsi="Times New Roman"/>
      <w:szCs w:val="24"/>
    </w:rPr>
  </w:style>
  <w:style w:type="character" w:customStyle="1" w:styleId="26">
    <w:name w:val="正文文本 Char"/>
    <w:link w:val="6"/>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Char"/>
    <w:basedOn w:val="17"/>
    <w:link w:val="3"/>
    <w:qFormat/>
    <w:uiPriority w:val="9"/>
    <w:rPr>
      <w:rFonts w:ascii="Times New Roman" w:hAnsi="Times New Roman"/>
      <w:b/>
      <w:bCs/>
      <w:kern w:val="44"/>
      <w:sz w:val="44"/>
      <w:szCs w:val="44"/>
    </w:rPr>
  </w:style>
  <w:style w:type="character" w:customStyle="1" w:styleId="30">
    <w:name w:val="标题 2 Char"/>
    <w:basedOn w:val="17"/>
    <w:link w:val="4"/>
    <w:qFormat/>
    <w:uiPriority w:val="9"/>
    <w:rPr>
      <w:rFonts w:asciiTheme="majorHAnsi" w:hAnsiTheme="majorHAnsi" w:eastAsiaTheme="majorEastAsia" w:cstheme="majorBidi"/>
      <w:b/>
      <w:bCs/>
      <w:kern w:val="2"/>
      <w:sz w:val="32"/>
      <w:szCs w:val="32"/>
    </w:rPr>
  </w:style>
  <w:style w:type="paragraph" w:customStyle="1" w:styleId="31">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Char"/>
    <w:basedOn w:val="17"/>
    <w:link w:val="10"/>
    <w:semiHidden/>
    <w:qFormat/>
    <w:uiPriority w:val="99"/>
    <w:rPr>
      <w:rFonts w:ascii="Times New Roman" w:hAnsi="Times New Roman"/>
      <w:kern w:val="2"/>
      <w:sz w:val="18"/>
      <w:szCs w:val="18"/>
    </w:rPr>
  </w:style>
  <w:style w:type="character" w:customStyle="1" w:styleId="33">
    <w:name w:val="标题 3 Char"/>
    <w:basedOn w:val="17"/>
    <w:link w:val="5"/>
    <w:qFormat/>
    <w:uiPriority w:val="9"/>
    <w:rPr>
      <w:rFonts w:ascii="Times New Roman" w:hAnsi="Times New Roman"/>
      <w:b/>
      <w:bCs/>
      <w:kern w:val="2"/>
      <w:sz w:val="32"/>
      <w:szCs w:val="32"/>
    </w:rPr>
  </w:style>
  <w:style w:type="paragraph" w:customStyle="1" w:styleId="34">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5">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2.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4.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5.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6.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en-US" altLang="zh-CN"/>
              <a:t>2024</a:t>
            </a:r>
            <a:r>
              <a:rPr altLang="en-US"/>
              <a:t>年收支对比图</a:t>
            </a:r>
            <a:endParaRPr altLang="en-US"/>
          </a:p>
        </c:rich>
      </c:tx>
      <c:layout/>
      <c:overlay val="0"/>
      <c:spPr>
        <a:noFill/>
        <a:ln>
          <a:noFill/>
        </a:ln>
        <a:effectLst/>
      </c:spPr>
    </c:title>
    <c:autoTitleDeleted val="0"/>
    <c:plotArea>
      <c:layout>
        <c:manualLayout>
          <c:layoutTarget val="inner"/>
          <c:xMode val="edge"/>
          <c:yMode val="edge"/>
          <c:x val="0.0660304421357814"/>
          <c:y val="0.0805354866128347"/>
          <c:w val="0.930345494080696"/>
          <c:h val="0.638631534211645"/>
        </c:manualLayout>
      </c:layout>
      <c:barChart>
        <c:barDir val="col"/>
        <c:grouping val="clustered"/>
        <c:varyColors val="0"/>
        <c:ser>
          <c:idx val="0"/>
          <c:order val="0"/>
          <c:tx>
            <c:strRef>
              <c:f>Sheet1!$A$2</c:f>
              <c:strCache>
                <c:ptCount val="1"/>
                <c:pt idx="0">
                  <c:v>2023年</c:v>
                </c:pt>
              </c:strCache>
            </c:strRef>
          </c:tx>
          <c:spPr>
            <a:solidFill>
              <a:schemeClr val="accent1"/>
            </a:solidFill>
            <a:ln>
              <a:noFill/>
            </a:ln>
            <a:effectLst/>
          </c:spPr>
          <c:invertIfNegative val="0"/>
          <c:dLbls>
            <c:delete val="1"/>
          </c:dLbls>
          <c:cat>
            <c:strRef>
              <c:f>Sheet1!$B$1:$C$1</c:f>
              <c:strCache>
                <c:ptCount val="2"/>
                <c:pt idx="0">
                  <c:v>收入</c:v>
                </c:pt>
                <c:pt idx="1">
                  <c:v>支出</c:v>
                </c:pt>
              </c:strCache>
            </c:strRef>
          </c:cat>
          <c:val>
            <c:numRef>
              <c:f>Sheet1!$B$2:$C$2</c:f>
              <c:numCache>
                <c:formatCode>General</c:formatCode>
                <c:ptCount val="2"/>
                <c:pt idx="0">
                  <c:v>168.95</c:v>
                </c:pt>
                <c:pt idx="1">
                  <c:v>168.95</c:v>
                </c:pt>
              </c:numCache>
            </c:numRef>
          </c:val>
        </c:ser>
        <c:ser>
          <c:idx val="1"/>
          <c:order val="1"/>
          <c:tx>
            <c:strRef>
              <c:f>Sheet1!$A$3</c:f>
              <c:strCache>
                <c:ptCount val="1"/>
                <c:pt idx="0">
                  <c:v>2024年</c:v>
                </c:pt>
              </c:strCache>
            </c:strRef>
          </c:tx>
          <c:spPr>
            <a:solidFill>
              <a:schemeClr val="accent2"/>
            </a:solidFill>
            <a:ln>
              <a:noFill/>
            </a:ln>
            <a:effectLst/>
          </c:spPr>
          <c:invertIfNegative val="0"/>
          <c:dLbls>
            <c:delete val="1"/>
          </c:dLbls>
          <c:cat>
            <c:strRef>
              <c:f>Sheet1!$B$1:$C$1</c:f>
              <c:strCache>
                <c:ptCount val="2"/>
                <c:pt idx="0">
                  <c:v>收入</c:v>
                </c:pt>
                <c:pt idx="1">
                  <c:v>支出</c:v>
                </c:pt>
              </c:strCache>
            </c:strRef>
          </c:cat>
          <c:val>
            <c:numRef>
              <c:f>Sheet1!$B$3:$C$3</c:f>
              <c:numCache>
                <c:formatCode>General</c:formatCode>
                <c:ptCount val="2"/>
                <c:pt idx="0">
                  <c:v>174.63</c:v>
                </c:pt>
                <c:pt idx="1">
                  <c:v>174.63</c:v>
                </c:pt>
              </c:numCache>
            </c:numRef>
          </c:val>
        </c:ser>
        <c:dLbls>
          <c:showLegendKey val="0"/>
          <c:showVal val="0"/>
          <c:showCatName val="0"/>
          <c:showSerName val="0"/>
          <c:showPercent val="0"/>
          <c:showBubbleSize val="0"/>
        </c:dLbls>
        <c:gapWidth val="246"/>
        <c:overlap val="-28"/>
        <c:axId val="865356394"/>
        <c:axId val="51397312"/>
      </c:barChart>
      <c:catAx>
        <c:axId val="86535639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1397312"/>
        <c:crosses val="autoZero"/>
        <c:auto val="1"/>
        <c:lblAlgn val="ctr"/>
        <c:lblOffset val="100"/>
        <c:noMultiLvlLbl val="0"/>
      </c:catAx>
      <c:valAx>
        <c:axId val="51397312"/>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65356394"/>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2cb69b28-4a68-42f6-b3a2-f2161c56493a}"/>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收入决算</a:t>
            </a:r>
          </a:p>
        </c:rich>
      </c:tx>
      <c:layout/>
      <c:overlay val="0"/>
      <c:spPr>
        <a:noFill/>
        <a:ln>
          <a:noFill/>
        </a:ln>
        <a:effectLst/>
      </c:spPr>
    </c:title>
    <c:autoTitleDeleted val="0"/>
    <c:plotArea>
      <c:layout/>
      <c:pieChart>
        <c:varyColors val="1"/>
        <c:ser>
          <c:idx val="0"/>
          <c:order val="0"/>
          <c:tx>
            <c:strRef>
              <c:f>Sheet1!$B$1</c:f>
              <c:strCache>
                <c:ptCount val="1"/>
                <c:pt idx="0">
                  <c:v>收入决算</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Pt>
            <c:idx val="6"/>
            <c:bubble3D val="0"/>
            <c:spPr>
              <a:solidFill>
                <a:schemeClr val="accent1">
                  <a:lumMod val="60000"/>
                </a:schemeClr>
              </a:solidFill>
              <a:ln>
                <a:solidFill>
                  <a:schemeClr val="bg1"/>
                </a:solidFill>
              </a:ln>
              <a:effectLst/>
            </c:spPr>
          </c:dPt>
          <c:dPt>
            <c:idx val="7"/>
            <c:bubble3D val="0"/>
            <c:spPr>
              <a:solidFill>
                <a:schemeClr val="accent2">
                  <a:lumMod val="60000"/>
                </a:schemeClr>
              </a:solidFill>
              <a:ln>
                <a:solidFill>
                  <a:schemeClr val="bg1"/>
                </a:solidFill>
              </a:ln>
              <a:effectLst/>
            </c:spPr>
          </c:dPt>
          <c:dLbls>
            <c:delete val="1"/>
          </c:dLbls>
          <c:cat>
            <c:strRef>
              <c:f>Sheet1!$A$2:$A$9</c:f>
              <c:strCache>
                <c:ptCount val="8"/>
                <c:pt idx="0">
                  <c:v>财政拨款收入</c:v>
                </c:pt>
                <c:pt idx="1">
                  <c:v>政府性基金预算</c:v>
                </c:pt>
                <c:pt idx="2">
                  <c:v>国有资本经营预算财政拨款收入</c:v>
                </c:pt>
                <c:pt idx="3">
                  <c:v>上级补助收入</c:v>
                </c:pt>
                <c:pt idx="4">
                  <c:v>事业收入</c:v>
                </c:pt>
                <c:pt idx="5">
                  <c:v>经营收入</c:v>
                </c:pt>
                <c:pt idx="6">
                  <c:v>附属单位上缴收入</c:v>
                </c:pt>
                <c:pt idx="7">
                  <c:v>其他收入</c:v>
                </c:pt>
              </c:strCache>
            </c:strRef>
          </c:cat>
          <c:val>
            <c:numRef>
              <c:f>Sheet1!$B$2:$B$9</c:f>
              <c:numCache>
                <c:formatCode>General</c:formatCode>
                <c:ptCount val="8"/>
                <c:pt idx="0">
                  <c:v>174.63</c:v>
                </c:pt>
                <c:pt idx="1">
                  <c:v>0</c:v>
                </c:pt>
                <c:pt idx="2">
                  <c:v>0</c:v>
                </c:pt>
                <c:pt idx="3">
                  <c:v>0</c:v>
                </c:pt>
                <c:pt idx="4">
                  <c:v>0</c:v>
                </c:pt>
                <c:pt idx="5">
                  <c:v>0</c:v>
                </c:pt>
                <c:pt idx="6">
                  <c:v>0</c:v>
                </c:pt>
                <c:pt idx="7">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3a44279d-61b0-44cd-a4bb-3ed8c94cbd21}"/>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支出决算</a:t>
            </a: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Lbls>
            <c:delete val="1"/>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174.37</c:v>
                </c:pt>
                <c:pt idx="1">
                  <c:v>0.26</c:v>
                </c:pt>
                <c:pt idx="2">
                  <c:v>0</c:v>
                </c:pt>
                <c:pt idx="3">
                  <c:v>0</c:v>
                </c:pt>
                <c:pt idx="4">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227e849-64c6-4bf2-86ea-283dd4043f36}"/>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en-US" altLang="zh-CN"/>
              <a:t>2024</a:t>
            </a:r>
            <a:r>
              <a:rPr altLang="en-US"/>
              <a:t>年收支对比图</a:t>
            </a:r>
            <a:endParaRPr altLang="en-US"/>
          </a:p>
        </c:rich>
      </c:tx>
      <c:layout/>
      <c:overlay val="0"/>
      <c:spPr>
        <a:noFill/>
        <a:ln>
          <a:noFill/>
        </a:ln>
        <a:effectLst/>
      </c:spPr>
    </c:title>
    <c:autoTitleDeleted val="0"/>
    <c:plotArea>
      <c:layout>
        <c:manualLayout>
          <c:layoutTarget val="inner"/>
          <c:xMode val="edge"/>
          <c:yMode val="edge"/>
          <c:x val="0.0660304421357814"/>
          <c:y val="0.0805354866128347"/>
          <c:w val="0.930345494080696"/>
          <c:h val="0.638631534211645"/>
        </c:manualLayout>
      </c:layout>
      <c:barChart>
        <c:barDir val="col"/>
        <c:grouping val="clustered"/>
        <c:varyColors val="0"/>
        <c:ser>
          <c:idx val="0"/>
          <c:order val="0"/>
          <c:tx>
            <c:strRef>
              <c:f>Sheet1!$A$2</c:f>
              <c:strCache>
                <c:ptCount val="1"/>
                <c:pt idx="0">
                  <c:v>2023年</c:v>
                </c:pt>
              </c:strCache>
            </c:strRef>
          </c:tx>
          <c:spPr>
            <a:solidFill>
              <a:schemeClr val="accent1"/>
            </a:solidFill>
            <a:ln>
              <a:noFill/>
            </a:ln>
            <a:effectLst/>
          </c:spPr>
          <c:invertIfNegative val="0"/>
          <c:dLbls>
            <c:delete val="1"/>
          </c:dLbls>
          <c:cat>
            <c:strRef>
              <c:f>Sheet1!$B$1:$C$1</c:f>
              <c:strCache>
                <c:ptCount val="2"/>
                <c:pt idx="0">
                  <c:v>收入</c:v>
                </c:pt>
                <c:pt idx="1">
                  <c:v>支出</c:v>
                </c:pt>
              </c:strCache>
            </c:strRef>
          </c:cat>
          <c:val>
            <c:numRef>
              <c:f>Sheet1!$B$2:$C$2</c:f>
              <c:numCache>
                <c:formatCode>General</c:formatCode>
                <c:ptCount val="2"/>
                <c:pt idx="0">
                  <c:v>168.95</c:v>
                </c:pt>
                <c:pt idx="1">
                  <c:v>168.95</c:v>
                </c:pt>
              </c:numCache>
            </c:numRef>
          </c:val>
        </c:ser>
        <c:ser>
          <c:idx val="1"/>
          <c:order val="1"/>
          <c:tx>
            <c:strRef>
              <c:f>Sheet1!$A$3</c:f>
              <c:strCache>
                <c:ptCount val="1"/>
                <c:pt idx="0">
                  <c:v>2024年</c:v>
                </c:pt>
              </c:strCache>
            </c:strRef>
          </c:tx>
          <c:spPr>
            <a:solidFill>
              <a:schemeClr val="accent2"/>
            </a:solidFill>
            <a:ln>
              <a:noFill/>
            </a:ln>
            <a:effectLst/>
          </c:spPr>
          <c:invertIfNegative val="0"/>
          <c:dLbls>
            <c:delete val="1"/>
          </c:dLbls>
          <c:cat>
            <c:strRef>
              <c:f>Sheet1!$B$1:$C$1</c:f>
              <c:strCache>
                <c:ptCount val="2"/>
                <c:pt idx="0">
                  <c:v>收入</c:v>
                </c:pt>
                <c:pt idx="1">
                  <c:v>支出</c:v>
                </c:pt>
              </c:strCache>
            </c:strRef>
          </c:cat>
          <c:val>
            <c:numRef>
              <c:f>Sheet1!$B$3:$C$3</c:f>
              <c:numCache>
                <c:formatCode>General</c:formatCode>
                <c:ptCount val="2"/>
                <c:pt idx="0">
                  <c:v>174.63</c:v>
                </c:pt>
                <c:pt idx="1">
                  <c:v>174.63</c:v>
                </c:pt>
              </c:numCache>
            </c:numRef>
          </c:val>
        </c:ser>
        <c:dLbls>
          <c:showLegendKey val="0"/>
          <c:showVal val="0"/>
          <c:showCatName val="0"/>
          <c:showSerName val="0"/>
          <c:showPercent val="0"/>
          <c:showBubbleSize val="0"/>
        </c:dLbls>
        <c:gapWidth val="246"/>
        <c:overlap val="-28"/>
        <c:axId val="865356394"/>
        <c:axId val="51397312"/>
      </c:barChart>
      <c:catAx>
        <c:axId val="86535639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1397312"/>
        <c:crosses val="autoZero"/>
        <c:auto val="1"/>
        <c:lblAlgn val="ctr"/>
        <c:lblOffset val="100"/>
        <c:noMultiLvlLbl val="0"/>
      </c:catAx>
      <c:valAx>
        <c:axId val="51397312"/>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65356394"/>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2cb69b28-4a68-42f6-b3a2-f2161c56493a}"/>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en-US" altLang="zh-CN"/>
              <a:t>2024</a:t>
            </a:r>
            <a:r>
              <a:rPr altLang="en-US"/>
              <a:t>年一般公共预算财政拨款支出决算变动表</a:t>
            </a:r>
            <a:endParaRPr altLang="en-US"/>
          </a:p>
        </c:rich>
      </c:tx>
      <c:layout/>
      <c:overlay val="0"/>
      <c:spPr>
        <a:noFill/>
        <a:ln>
          <a:noFill/>
        </a:ln>
        <a:effectLst/>
      </c:spPr>
    </c:title>
    <c:autoTitleDeleted val="0"/>
    <c:plotArea>
      <c:layout>
        <c:manualLayout>
          <c:layoutTarget val="inner"/>
          <c:xMode val="edge"/>
          <c:yMode val="edge"/>
          <c:x val="0.0566078762986229"/>
          <c:y val="0.189205103042198"/>
          <c:w val="0.930345494080696"/>
          <c:h val="0.638631534211645"/>
        </c:manualLayout>
      </c:layout>
      <c:barChart>
        <c:barDir val="col"/>
        <c:grouping val="clustered"/>
        <c:varyColors val="0"/>
        <c:ser>
          <c:idx val="0"/>
          <c:order val="0"/>
          <c:tx>
            <c:strRef>
              <c:f>Sheet1!$A$2</c:f>
              <c:strCache>
                <c:ptCount val="1"/>
                <c:pt idx="0">
                  <c:v>2023年</c:v>
                </c:pt>
              </c:strCache>
            </c:strRef>
          </c:tx>
          <c:spPr>
            <a:solidFill>
              <a:schemeClr val="accent1"/>
            </a:solidFill>
            <a:ln>
              <a:noFill/>
            </a:ln>
            <a:effectLst/>
          </c:spPr>
          <c:invertIfNegative val="0"/>
          <c:dLbls>
            <c:delete val="1"/>
          </c:dLbls>
          <c:cat>
            <c:strRef>
              <c:f>Sheet1!$B$1</c:f>
              <c:strCache>
                <c:ptCount val="1"/>
                <c:pt idx="0">
                  <c:v>支出</c:v>
                </c:pt>
              </c:strCache>
            </c:strRef>
          </c:cat>
          <c:val>
            <c:numRef>
              <c:f>Sheet1!$B$2</c:f>
              <c:numCache>
                <c:formatCode>General</c:formatCode>
                <c:ptCount val="1"/>
                <c:pt idx="0">
                  <c:v>168.95</c:v>
                </c:pt>
              </c:numCache>
            </c:numRef>
          </c:val>
        </c:ser>
        <c:ser>
          <c:idx val="1"/>
          <c:order val="1"/>
          <c:tx>
            <c:strRef>
              <c:f>Sheet1!$A$3</c:f>
              <c:strCache>
                <c:ptCount val="1"/>
                <c:pt idx="0">
                  <c:v>2024年</c:v>
                </c:pt>
              </c:strCache>
            </c:strRef>
          </c:tx>
          <c:spPr>
            <a:solidFill>
              <a:schemeClr val="accent2"/>
            </a:solidFill>
            <a:ln>
              <a:noFill/>
            </a:ln>
            <a:effectLst/>
          </c:spPr>
          <c:invertIfNegative val="0"/>
          <c:dLbls>
            <c:delete val="1"/>
          </c:dLbls>
          <c:cat>
            <c:strRef>
              <c:f>Sheet1!$B$1</c:f>
              <c:strCache>
                <c:ptCount val="1"/>
                <c:pt idx="0">
                  <c:v>支出</c:v>
                </c:pt>
              </c:strCache>
            </c:strRef>
          </c:cat>
          <c:val>
            <c:numRef>
              <c:f>Sheet1!$B$3</c:f>
              <c:numCache>
                <c:formatCode>General</c:formatCode>
                <c:ptCount val="1"/>
                <c:pt idx="0">
                  <c:v>174.63</c:v>
                </c:pt>
              </c:numCache>
            </c:numRef>
          </c:val>
        </c:ser>
        <c:dLbls>
          <c:showLegendKey val="0"/>
          <c:showVal val="0"/>
          <c:showCatName val="0"/>
          <c:showSerName val="0"/>
          <c:showPercent val="0"/>
          <c:showBubbleSize val="0"/>
        </c:dLbls>
        <c:gapWidth val="246"/>
        <c:overlap val="-28"/>
        <c:axId val="865356394"/>
        <c:axId val="51397312"/>
      </c:barChart>
      <c:catAx>
        <c:axId val="86535639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1397312"/>
        <c:crosses val="autoZero"/>
        <c:auto val="1"/>
        <c:lblAlgn val="ctr"/>
        <c:lblOffset val="100"/>
        <c:noMultiLvlLbl val="0"/>
      </c:catAx>
      <c:valAx>
        <c:axId val="51397312"/>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65356394"/>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2cb69b28-4a68-42f6-b3a2-f2161c56493a}"/>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一般公共预算财政拨款支出决算结构</a:t>
            </a: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Lbls>
            <c:delete val="1"/>
          </c:dLbls>
          <c:cat>
            <c:strRef>
              <c:f>Sheet1!$A$2:$A$6</c:f>
              <c:strCache>
                <c:ptCount val="5"/>
                <c:pt idx="0">
                  <c:v>一般公共服务支出</c:v>
                </c:pt>
                <c:pt idx="1">
                  <c:v>教育支出</c:v>
                </c:pt>
                <c:pt idx="2">
                  <c:v>社会保障和就业支出</c:v>
                </c:pt>
                <c:pt idx="3">
                  <c:v>卫生健康支出</c:v>
                </c:pt>
                <c:pt idx="4">
                  <c:v>住房保障支出</c:v>
                </c:pt>
              </c:strCache>
            </c:strRef>
          </c:cat>
          <c:val>
            <c:numRef>
              <c:f>Sheet1!$B$2:$B$6</c:f>
              <c:numCache>
                <c:formatCode>General</c:formatCode>
                <c:ptCount val="5"/>
                <c:pt idx="0">
                  <c:v>127.07</c:v>
                </c:pt>
                <c:pt idx="1">
                  <c:v>0.26</c:v>
                </c:pt>
                <c:pt idx="2">
                  <c:v>23.53</c:v>
                </c:pt>
                <c:pt idx="3">
                  <c:v>10.03</c:v>
                </c:pt>
                <c:pt idx="4">
                  <c:v>13.74</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2cf15e2-fcf5-4426-a2ac-571763b423b6}"/>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27</Pages>
  <Words>5181</Words>
  <Characters>5605</Characters>
  <Lines>1</Lines>
  <Paragraphs>1</Paragraphs>
  <TotalTime>0</TotalTime>
  <ScaleCrop>false</ScaleCrop>
  <LinksUpToDate>false</LinksUpToDate>
  <CharactersWithSpaces>5683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2020-08-09T17:49:00Z</dcterms:created>
  <dc:creator>曹颖</dc:creator>
  <cp:lastModifiedBy>·喵千世·</cp:lastModifiedBy>
  <cp:lastPrinted>2025-08-07T01:34:00Z</cp:lastPrinted>
  <dcterms:modified xsi:type="dcterms:W3CDTF">2025-08-27T09:09:25Z</dcterms:modified>
  <dc:title>四川省***</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39D0DCFDCFB541B390B21D7F6CFCB017_13</vt:lpwstr>
  </property>
  <property fmtid="{D5CDD505-2E9C-101B-9397-08002B2CF9AE}" pid="4" name="KSOTemplateDocerSaveRecord">
    <vt:lpwstr>eyJoZGlkIjoiYjY1YmViZGJjZWU4MDQ4OWJkMjM4NzY4OWYxMTczZDAiLCJ1c2VySWQiOiI2NDM0NjYwODcifQ==</vt:lpwstr>
  </property>
</Properties>
</file>